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ind w:firstLine="437"/>
        <w:rPr>
          <w:rFonts w:cs="宋体"/>
          <w:b/>
          <w:color w:val="auto"/>
          <w:sz w:val="52"/>
          <w:szCs w:val="52"/>
          <w:highlight w:val="none"/>
        </w:rPr>
      </w:pPr>
    </w:p>
    <w:p>
      <w:pPr>
        <w:spacing w:line="540" w:lineRule="exact"/>
        <w:ind w:firstLine="437"/>
        <w:rPr>
          <w:color w:val="auto"/>
          <w:sz w:val="28"/>
          <w:szCs w:val="28"/>
          <w:highlight w:val="none"/>
        </w:rPr>
      </w:pPr>
    </w:p>
    <w:p>
      <w:pPr>
        <w:spacing w:line="540" w:lineRule="exact"/>
        <w:ind w:firstLine="437"/>
        <w:rPr>
          <w:color w:val="auto"/>
          <w:sz w:val="28"/>
          <w:szCs w:val="28"/>
          <w:highlight w:val="none"/>
        </w:rPr>
      </w:pPr>
    </w:p>
    <w:p>
      <w:pPr>
        <w:pStyle w:val="146"/>
        <w:jc w:val="center"/>
        <w:rPr>
          <w:color w:val="auto"/>
          <w:sz w:val="52"/>
          <w:szCs w:val="52"/>
          <w:highlight w:val="none"/>
        </w:rPr>
      </w:pPr>
      <w:r>
        <w:rPr>
          <w:rFonts w:hint="eastAsia"/>
          <w:color w:val="auto"/>
          <w:sz w:val="52"/>
          <w:szCs w:val="52"/>
          <w:highlight w:val="none"/>
          <w:u w:val="single"/>
        </w:rPr>
        <w:t>广西医科大学武鸣校区图书馆报告厅、演讲厅二次装饰工程项目</w:t>
      </w:r>
    </w:p>
    <w:p>
      <w:pPr>
        <w:spacing w:line="460" w:lineRule="exact"/>
        <w:ind w:firstLine="437"/>
        <w:rPr>
          <w:color w:val="auto"/>
          <w:highlight w:val="none"/>
        </w:rPr>
      </w:pPr>
    </w:p>
    <w:p>
      <w:pPr>
        <w:spacing w:line="540" w:lineRule="exact"/>
        <w:rPr>
          <w:color w:val="auto"/>
          <w:highlight w:val="none"/>
        </w:rPr>
      </w:pPr>
    </w:p>
    <w:p>
      <w:pPr>
        <w:spacing w:line="540" w:lineRule="exact"/>
        <w:rPr>
          <w:color w:val="auto"/>
          <w:highlight w:val="none"/>
        </w:rPr>
      </w:pPr>
      <w:r>
        <w:rPr>
          <w:color w:val="auto"/>
          <w:highlight w:val="none"/>
        </w:rPr>
        <w:t xml:space="preserve"> </w:t>
      </w:r>
    </w:p>
    <w:p>
      <w:pPr>
        <w:jc w:val="center"/>
        <w:rPr>
          <w:color w:val="auto"/>
          <w:sz w:val="72"/>
          <w:szCs w:val="72"/>
          <w:highlight w:val="none"/>
        </w:rPr>
      </w:pPr>
      <w:r>
        <w:rPr>
          <w:rFonts w:hint="eastAsia" w:cs="宋体"/>
          <w:color w:val="auto"/>
          <w:sz w:val="72"/>
          <w:szCs w:val="72"/>
          <w:highlight w:val="none"/>
        </w:rPr>
        <w:t>招</w:t>
      </w:r>
      <w:r>
        <w:rPr>
          <w:color w:val="auto"/>
          <w:sz w:val="72"/>
          <w:szCs w:val="72"/>
          <w:highlight w:val="none"/>
        </w:rPr>
        <w:t xml:space="preserve"> </w:t>
      </w:r>
      <w:r>
        <w:rPr>
          <w:rFonts w:hint="eastAsia" w:cs="宋体"/>
          <w:color w:val="auto"/>
          <w:sz w:val="72"/>
          <w:szCs w:val="72"/>
          <w:highlight w:val="none"/>
        </w:rPr>
        <w:t>标</w:t>
      </w:r>
      <w:r>
        <w:rPr>
          <w:color w:val="auto"/>
          <w:sz w:val="72"/>
          <w:szCs w:val="72"/>
          <w:highlight w:val="none"/>
        </w:rPr>
        <w:t xml:space="preserve"> </w:t>
      </w:r>
      <w:r>
        <w:rPr>
          <w:rFonts w:hint="eastAsia" w:cs="宋体"/>
          <w:color w:val="auto"/>
          <w:sz w:val="72"/>
          <w:szCs w:val="72"/>
          <w:highlight w:val="none"/>
        </w:rPr>
        <w:t>文</w:t>
      </w:r>
      <w:r>
        <w:rPr>
          <w:color w:val="auto"/>
          <w:sz w:val="72"/>
          <w:szCs w:val="72"/>
          <w:highlight w:val="none"/>
        </w:rPr>
        <w:t xml:space="preserve"> </w:t>
      </w:r>
      <w:r>
        <w:rPr>
          <w:rFonts w:hint="eastAsia" w:cs="宋体"/>
          <w:color w:val="auto"/>
          <w:sz w:val="72"/>
          <w:szCs w:val="72"/>
          <w:highlight w:val="none"/>
        </w:rPr>
        <w:t>件</w:t>
      </w:r>
    </w:p>
    <w:p>
      <w:pPr>
        <w:spacing w:line="540" w:lineRule="exact"/>
        <w:ind w:firstLine="437"/>
        <w:rPr>
          <w:color w:val="auto"/>
          <w:highlight w:val="none"/>
        </w:rPr>
      </w:pPr>
    </w:p>
    <w:p>
      <w:pPr>
        <w:spacing w:line="540" w:lineRule="exact"/>
        <w:ind w:firstLine="437"/>
        <w:rPr>
          <w:color w:val="auto"/>
          <w:highlight w:val="none"/>
        </w:rPr>
      </w:pPr>
    </w:p>
    <w:p>
      <w:pPr>
        <w:spacing w:line="540" w:lineRule="exact"/>
        <w:ind w:firstLine="708" w:firstLineChars="253"/>
        <w:jc w:val="left"/>
        <w:rPr>
          <w:color w:val="auto"/>
          <w:sz w:val="28"/>
          <w:szCs w:val="28"/>
          <w:highlight w:val="none"/>
          <w:u w:val="single"/>
        </w:rPr>
      </w:pPr>
      <w:r>
        <w:rPr>
          <w:rFonts w:hint="eastAsia" w:cs="宋体"/>
          <w:color w:val="auto"/>
          <w:sz w:val="28"/>
          <w:szCs w:val="28"/>
          <w:highlight w:val="none"/>
        </w:rPr>
        <w:t>项目招标编号：</w:t>
      </w:r>
      <w:r>
        <w:rPr>
          <w:color w:val="auto"/>
          <w:sz w:val="28"/>
          <w:szCs w:val="28"/>
          <w:highlight w:val="none"/>
        </w:rPr>
        <w:t xml:space="preserve"> </w:t>
      </w:r>
      <w:r>
        <w:rPr>
          <w:rFonts w:hint="eastAsia"/>
          <w:color w:val="auto"/>
          <w:sz w:val="28"/>
          <w:szCs w:val="28"/>
          <w:highlight w:val="none"/>
          <w:u w:val="single"/>
          <w:lang w:eastAsia="zh-CN"/>
        </w:rPr>
        <w:t>GXZC2021-G2-004272-JGJD</w:t>
      </w:r>
      <w:r>
        <w:rPr>
          <w:rFonts w:hint="eastAsia"/>
          <w:color w:val="auto"/>
          <w:sz w:val="28"/>
          <w:szCs w:val="28"/>
          <w:highlight w:val="none"/>
          <w:u w:val="single"/>
        </w:rPr>
        <w:t>/GS(ZB1)2021462G</w:t>
      </w:r>
    </w:p>
    <w:p>
      <w:pPr>
        <w:spacing w:line="540" w:lineRule="exact"/>
        <w:ind w:firstLine="437"/>
        <w:rPr>
          <w:color w:val="auto"/>
          <w:highlight w:val="none"/>
        </w:rPr>
      </w:pPr>
    </w:p>
    <w:p>
      <w:pPr>
        <w:spacing w:line="540" w:lineRule="exact"/>
        <w:ind w:firstLine="437"/>
        <w:rPr>
          <w:color w:val="auto"/>
          <w:highlight w:val="none"/>
        </w:rPr>
      </w:pPr>
    </w:p>
    <w:p>
      <w:pPr>
        <w:spacing w:line="540" w:lineRule="exact"/>
        <w:ind w:firstLine="437"/>
        <w:rPr>
          <w:color w:val="auto"/>
          <w:sz w:val="32"/>
          <w:szCs w:val="32"/>
          <w:highlight w:val="none"/>
        </w:rPr>
      </w:pPr>
      <w:r>
        <w:rPr>
          <w:color w:val="auto"/>
          <w:sz w:val="32"/>
          <w:szCs w:val="32"/>
          <w:highlight w:val="none"/>
        </w:rPr>
        <w:t xml:space="preserve">   </w:t>
      </w:r>
      <w:r>
        <w:rPr>
          <w:rFonts w:hint="eastAsia" w:cs="宋体"/>
          <w:color w:val="auto"/>
          <w:sz w:val="32"/>
          <w:szCs w:val="32"/>
          <w:highlight w:val="none"/>
        </w:rPr>
        <w:t>招</w:t>
      </w:r>
      <w:r>
        <w:rPr>
          <w:color w:val="auto"/>
          <w:sz w:val="32"/>
          <w:szCs w:val="32"/>
          <w:highlight w:val="none"/>
        </w:rPr>
        <w:t xml:space="preserve"> </w:t>
      </w:r>
      <w:r>
        <w:rPr>
          <w:rFonts w:hint="eastAsia" w:cs="宋体"/>
          <w:color w:val="auto"/>
          <w:sz w:val="32"/>
          <w:szCs w:val="32"/>
          <w:highlight w:val="none"/>
        </w:rPr>
        <w:t>标</w:t>
      </w:r>
      <w:r>
        <w:rPr>
          <w:color w:val="auto"/>
          <w:sz w:val="32"/>
          <w:szCs w:val="32"/>
          <w:highlight w:val="none"/>
        </w:rPr>
        <w:t xml:space="preserve"> </w:t>
      </w:r>
      <w:r>
        <w:rPr>
          <w:rFonts w:hint="eastAsia" w:cs="宋体"/>
          <w:color w:val="auto"/>
          <w:sz w:val="32"/>
          <w:szCs w:val="32"/>
          <w:highlight w:val="none"/>
        </w:rPr>
        <w:t>人：</w:t>
      </w:r>
      <w:r>
        <w:rPr>
          <w:rFonts w:hint="eastAsia"/>
          <w:color w:val="auto"/>
          <w:sz w:val="32"/>
          <w:szCs w:val="32"/>
          <w:highlight w:val="none"/>
          <w:u w:val="single"/>
        </w:rPr>
        <w:t>广西医科大学</w:t>
      </w:r>
    </w:p>
    <w:p>
      <w:pPr>
        <w:spacing w:line="540" w:lineRule="exact"/>
        <w:ind w:firstLine="437"/>
        <w:rPr>
          <w:color w:val="auto"/>
          <w:sz w:val="32"/>
          <w:szCs w:val="32"/>
          <w:highlight w:val="none"/>
        </w:rPr>
      </w:pPr>
    </w:p>
    <w:p>
      <w:pPr>
        <w:spacing w:line="540" w:lineRule="exact"/>
        <w:ind w:firstLine="437"/>
        <w:rPr>
          <w:color w:val="auto"/>
          <w:spacing w:val="-12"/>
          <w:sz w:val="32"/>
          <w:szCs w:val="32"/>
          <w:highlight w:val="none"/>
        </w:rPr>
      </w:pPr>
      <w:r>
        <w:rPr>
          <w:color w:val="auto"/>
          <w:sz w:val="32"/>
          <w:szCs w:val="32"/>
          <w:highlight w:val="none"/>
        </w:rPr>
        <w:t xml:space="preserve"> </w:t>
      </w:r>
      <w:r>
        <w:rPr>
          <w:rFonts w:hint="eastAsia" w:cs="宋体"/>
          <w:color w:val="auto"/>
          <w:sz w:val="32"/>
          <w:szCs w:val="32"/>
          <w:highlight w:val="none"/>
        </w:rPr>
        <w:t>招标代理机构：</w:t>
      </w:r>
      <w:r>
        <w:rPr>
          <w:rFonts w:hint="eastAsia"/>
          <w:color w:val="auto"/>
          <w:sz w:val="32"/>
          <w:szCs w:val="32"/>
          <w:highlight w:val="none"/>
          <w:u w:val="single"/>
        </w:rPr>
        <w:t>广西建设工程机电设备招标中心有限公司</w:t>
      </w:r>
    </w:p>
    <w:p>
      <w:pPr>
        <w:spacing w:line="540" w:lineRule="exact"/>
        <w:ind w:firstLine="437"/>
        <w:rPr>
          <w:color w:val="auto"/>
          <w:sz w:val="32"/>
          <w:szCs w:val="32"/>
          <w:highlight w:val="none"/>
        </w:rPr>
      </w:pPr>
    </w:p>
    <w:p>
      <w:pPr>
        <w:spacing w:line="540" w:lineRule="exact"/>
        <w:ind w:firstLine="437"/>
        <w:rPr>
          <w:color w:val="auto"/>
          <w:sz w:val="32"/>
          <w:szCs w:val="32"/>
          <w:highlight w:val="none"/>
        </w:rPr>
        <w:sectPr>
          <w:footerReference r:id="rId3" w:type="default"/>
          <w:pgSz w:w="11906" w:h="16838"/>
          <w:pgMar w:top="1440" w:right="1440" w:bottom="1440" w:left="1797" w:header="851" w:footer="851" w:gutter="0"/>
          <w:pgNumType w:fmt="upperRoman" w:start="1"/>
          <w:cols w:space="720" w:num="1"/>
          <w:docGrid w:linePitch="312" w:charSpace="0"/>
        </w:sectPr>
      </w:pPr>
      <w:r>
        <w:rPr>
          <w:color w:val="auto"/>
          <w:sz w:val="32"/>
          <w:szCs w:val="32"/>
          <w:highlight w:val="none"/>
        </w:rPr>
        <w:t xml:space="preserve">   </w:t>
      </w:r>
      <w:r>
        <w:rPr>
          <w:rFonts w:hint="eastAsia" w:cs="宋体"/>
          <w:color w:val="auto"/>
          <w:sz w:val="32"/>
          <w:szCs w:val="32"/>
          <w:highlight w:val="none"/>
        </w:rPr>
        <w:t>发布日期：</w:t>
      </w:r>
      <w:r>
        <w:rPr>
          <w:color w:val="auto"/>
          <w:sz w:val="32"/>
          <w:szCs w:val="32"/>
          <w:highlight w:val="none"/>
          <w:u w:val="single"/>
        </w:rPr>
        <w:t>2021</w:t>
      </w:r>
      <w:r>
        <w:rPr>
          <w:rFonts w:hint="eastAsia" w:cs="宋体"/>
          <w:color w:val="auto"/>
          <w:sz w:val="32"/>
          <w:szCs w:val="32"/>
          <w:highlight w:val="none"/>
        </w:rPr>
        <w:t>年</w:t>
      </w:r>
      <w:r>
        <w:rPr>
          <w:rFonts w:hint="eastAsia"/>
          <w:color w:val="auto"/>
          <w:sz w:val="32"/>
          <w:szCs w:val="32"/>
          <w:highlight w:val="none"/>
          <w:u w:val="single"/>
          <w:lang w:val="en-US" w:eastAsia="zh-CN"/>
        </w:rPr>
        <w:t>11</w:t>
      </w:r>
      <w:r>
        <w:rPr>
          <w:rFonts w:hint="eastAsia" w:cs="宋体"/>
          <w:color w:val="auto"/>
          <w:sz w:val="32"/>
          <w:szCs w:val="32"/>
          <w:highlight w:val="none"/>
        </w:rPr>
        <w:t>月</w:t>
      </w:r>
    </w:p>
    <w:p>
      <w:pPr>
        <w:spacing w:afterLines="100" w:line="540" w:lineRule="exact"/>
        <w:jc w:val="center"/>
        <w:rPr>
          <w:b/>
          <w:color w:val="auto"/>
          <w:sz w:val="44"/>
          <w:szCs w:val="44"/>
          <w:highlight w:val="none"/>
        </w:rPr>
      </w:pPr>
      <w:r>
        <w:rPr>
          <w:rFonts w:hint="eastAsia" w:cs="宋体"/>
          <w:b/>
          <w:color w:val="auto"/>
          <w:sz w:val="44"/>
          <w:szCs w:val="44"/>
          <w:highlight w:val="none"/>
        </w:rPr>
        <w:t>目</w:t>
      </w:r>
      <w:r>
        <w:rPr>
          <w:b/>
          <w:color w:val="auto"/>
          <w:sz w:val="44"/>
          <w:szCs w:val="44"/>
          <w:highlight w:val="none"/>
        </w:rPr>
        <w:t xml:space="preserve">  </w:t>
      </w:r>
      <w:r>
        <w:rPr>
          <w:rFonts w:hint="eastAsia" w:cs="宋体"/>
          <w:b/>
          <w:color w:val="auto"/>
          <w:sz w:val="44"/>
          <w:szCs w:val="44"/>
          <w:highlight w:val="none"/>
        </w:rPr>
        <w:t>录</w:t>
      </w:r>
    </w:p>
    <w:p>
      <w:pPr>
        <w:pStyle w:val="27"/>
        <w:tabs>
          <w:tab w:val="right" w:leader="dot" w:pos="8669"/>
        </w:tabs>
        <w:rPr>
          <w:color w:val="auto"/>
          <w:highlight w:val="none"/>
        </w:rPr>
      </w:pPr>
      <w:r>
        <w:rPr>
          <w:color w:val="auto"/>
          <w:highlight w:val="none"/>
        </w:rPr>
        <w:fldChar w:fldCharType="begin"/>
      </w:r>
      <w:r>
        <w:rPr>
          <w:color w:val="auto"/>
          <w:highlight w:val="none"/>
        </w:rPr>
        <w:instrText xml:space="preserve"> TOC \o "1-1" \h \z \t "</w:instrText>
      </w:r>
      <w:r>
        <w:rPr>
          <w:rFonts w:hint="eastAsia" w:cs="黑体"/>
          <w:color w:val="auto"/>
          <w:highlight w:val="none"/>
        </w:rPr>
        <w:instrText xml:space="preserve">标题</w:instrText>
      </w:r>
      <w:r>
        <w:rPr>
          <w:color w:val="auto"/>
          <w:highlight w:val="none"/>
        </w:rPr>
        <w:instrText xml:space="preserve"> 2,2,</w:instrText>
      </w:r>
      <w:r>
        <w:rPr>
          <w:rFonts w:hint="eastAsia" w:cs="黑体"/>
          <w:color w:val="auto"/>
          <w:highlight w:val="none"/>
        </w:rPr>
        <w:instrText xml:space="preserve">标题</w:instrText>
      </w:r>
      <w:r>
        <w:rPr>
          <w:color w:val="auto"/>
          <w:highlight w:val="none"/>
        </w:rPr>
        <w:instrText xml:space="preserve"> 3,3" </w:instrText>
      </w:r>
      <w:r>
        <w:rPr>
          <w:color w:val="auto"/>
          <w:highlight w:val="none"/>
        </w:rPr>
        <w:fldChar w:fldCharType="separate"/>
      </w:r>
      <w:r>
        <w:rPr>
          <w:color w:val="auto"/>
          <w:highlight w:val="none"/>
        </w:rPr>
        <w:fldChar w:fldCharType="begin"/>
      </w:r>
      <w:r>
        <w:rPr>
          <w:color w:val="auto"/>
          <w:highlight w:val="none"/>
        </w:rPr>
        <w:instrText xml:space="preserve"> HYPERLINK \l _Toc32238 </w:instrText>
      </w:r>
      <w:r>
        <w:rPr>
          <w:color w:val="auto"/>
          <w:highlight w:val="none"/>
        </w:rPr>
        <w:fldChar w:fldCharType="separate"/>
      </w:r>
      <w:r>
        <w:rPr>
          <w:rFonts w:hint="eastAsia" w:cs="黑体"/>
          <w:color w:val="auto"/>
          <w:highlight w:val="none"/>
        </w:rPr>
        <w:t>第一章</w:t>
      </w:r>
      <w:r>
        <w:rPr>
          <w:color w:val="auto"/>
          <w:highlight w:val="none"/>
        </w:rPr>
        <w:t xml:space="preserve">  </w:t>
      </w:r>
      <w:r>
        <w:rPr>
          <w:rFonts w:hint="eastAsia" w:cs="黑体"/>
          <w:color w:val="auto"/>
          <w:highlight w:val="none"/>
        </w:rPr>
        <w:t>招标公告</w:t>
      </w:r>
      <w:r>
        <w:rPr>
          <w:color w:val="auto"/>
          <w:highlight w:val="none"/>
        </w:rPr>
        <w:tab/>
      </w:r>
      <w:r>
        <w:rPr>
          <w:color w:val="auto"/>
          <w:highlight w:val="none"/>
        </w:rPr>
        <w:fldChar w:fldCharType="begin"/>
      </w:r>
      <w:r>
        <w:rPr>
          <w:color w:val="auto"/>
          <w:highlight w:val="none"/>
        </w:rPr>
        <w:instrText xml:space="preserve"> PAGEREF _Toc32238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_Toc12120 </w:instrText>
      </w:r>
      <w:r>
        <w:rPr>
          <w:color w:val="auto"/>
          <w:highlight w:val="none"/>
        </w:rPr>
        <w:fldChar w:fldCharType="separate"/>
      </w:r>
      <w:r>
        <w:rPr>
          <w:color w:val="auto"/>
          <w:highlight w:val="none"/>
        </w:rPr>
        <w:t xml:space="preserve">1. </w:t>
      </w:r>
      <w:r>
        <w:rPr>
          <w:rFonts w:hint="eastAsia" w:cs="黑体"/>
          <w:color w:val="auto"/>
          <w:highlight w:val="none"/>
        </w:rPr>
        <w:t>招标条件</w:t>
      </w:r>
      <w:r>
        <w:rPr>
          <w:color w:val="auto"/>
          <w:highlight w:val="none"/>
        </w:rPr>
        <w:tab/>
      </w:r>
      <w:r>
        <w:rPr>
          <w:color w:val="auto"/>
          <w:highlight w:val="none"/>
        </w:rPr>
        <w:fldChar w:fldCharType="begin"/>
      </w:r>
      <w:r>
        <w:rPr>
          <w:color w:val="auto"/>
          <w:highlight w:val="none"/>
        </w:rPr>
        <w:instrText xml:space="preserve"> PAGEREF _Toc12120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_Toc28902 </w:instrText>
      </w:r>
      <w:r>
        <w:rPr>
          <w:color w:val="auto"/>
          <w:highlight w:val="none"/>
        </w:rPr>
        <w:fldChar w:fldCharType="separate"/>
      </w:r>
      <w:r>
        <w:rPr>
          <w:color w:val="auto"/>
          <w:highlight w:val="none"/>
        </w:rPr>
        <w:t xml:space="preserve">2. </w:t>
      </w:r>
      <w:r>
        <w:rPr>
          <w:rFonts w:hint="eastAsia" w:cs="黑体"/>
          <w:color w:val="auto"/>
          <w:highlight w:val="none"/>
        </w:rPr>
        <w:t>项目概况与招标范围</w:t>
      </w:r>
      <w:r>
        <w:rPr>
          <w:color w:val="auto"/>
          <w:highlight w:val="none"/>
        </w:rPr>
        <w:tab/>
      </w:r>
      <w:r>
        <w:rPr>
          <w:color w:val="auto"/>
          <w:highlight w:val="none"/>
        </w:rPr>
        <w:fldChar w:fldCharType="begin"/>
      </w:r>
      <w:r>
        <w:rPr>
          <w:color w:val="auto"/>
          <w:highlight w:val="none"/>
        </w:rPr>
        <w:instrText xml:space="preserve"> PAGEREF _Toc28902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_Toc26573 </w:instrText>
      </w:r>
      <w:r>
        <w:rPr>
          <w:color w:val="auto"/>
          <w:highlight w:val="none"/>
        </w:rPr>
        <w:fldChar w:fldCharType="separate"/>
      </w:r>
      <w:r>
        <w:rPr>
          <w:color w:val="auto"/>
          <w:highlight w:val="none"/>
        </w:rPr>
        <w:t xml:space="preserve">3. </w:t>
      </w:r>
      <w:r>
        <w:rPr>
          <w:rFonts w:hint="eastAsia" w:cs="黑体"/>
          <w:color w:val="auto"/>
          <w:highlight w:val="none"/>
        </w:rPr>
        <w:t>投标人资格要求</w:t>
      </w:r>
      <w:r>
        <w:rPr>
          <w:color w:val="auto"/>
          <w:highlight w:val="none"/>
        </w:rPr>
        <w:tab/>
      </w:r>
      <w:r>
        <w:rPr>
          <w:color w:val="auto"/>
          <w:highlight w:val="none"/>
        </w:rPr>
        <w:fldChar w:fldCharType="begin"/>
      </w:r>
      <w:r>
        <w:rPr>
          <w:color w:val="auto"/>
          <w:highlight w:val="none"/>
        </w:rPr>
        <w:instrText xml:space="preserve"> PAGEREF _Toc26573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_Toc22933 </w:instrText>
      </w:r>
      <w:r>
        <w:rPr>
          <w:color w:val="auto"/>
          <w:highlight w:val="none"/>
        </w:rPr>
        <w:fldChar w:fldCharType="separate"/>
      </w:r>
      <w:r>
        <w:rPr>
          <w:color w:val="auto"/>
          <w:highlight w:val="none"/>
        </w:rPr>
        <w:t xml:space="preserve">4. </w:t>
      </w:r>
      <w:r>
        <w:rPr>
          <w:rFonts w:hint="eastAsia" w:cs="黑体"/>
          <w:color w:val="auto"/>
          <w:highlight w:val="none"/>
        </w:rPr>
        <w:t>招标文件的获取</w:t>
      </w:r>
      <w:r>
        <w:rPr>
          <w:color w:val="auto"/>
          <w:highlight w:val="none"/>
        </w:rPr>
        <w:tab/>
      </w:r>
      <w:r>
        <w:rPr>
          <w:color w:val="auto"/>
          <w:highlight w:val="none"/>
        </w:rPr>
        <w:fldChar w:fldCharType="begin"/>
      </w:r>
      <w:r>
        <w:rPr>
          <w:color w:val="auto"/>
          <w:highlight w:val="none"/>
        </w:rPr>
        <w:instrText xml:space="preserve"> PAGEREF _Toc22933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_Toc9522 </w:instrText>
      </w:r>
      <w:r>
        <w:rPr>
          <w:color w:val="auto"/>
          <w:highlight w:val="none"/>
        </w:rPr>
        <w:fldChar w:fldCharType="separate"/>
      </w:r>
      <w:r>
        <w:rPr>
          <w:color w:val="auto"/>
          <w:highlight w:val="none"/>
        </w:rPr>
        <w:t xml:space="preserve">5. </w:t>
      </w:r>
      <w:r>
        <w:rPr>
          <w:rFonts w:hint="eastAsia" w:cs="黑体"/>
          <w:color w:val="auto"/>
          <w:highlight w:val="none"/>
        </w:rPr>
        <w:t>投标文件的递交</w:t>
      </w:r>
      <w:r>
        <w:rPr>
          <w:color w:val="auto"/>
          <w:highlight w:val="none"/>
        </w:rPr>
        <w:tab/>
      </w:r>
      <w:r>
        <w:rPr>
          <w:color w:val="auto"/>
          <w:highlight w:val="none"/>
        </w:rPr>
        <w:fldChar w:fldCharType="begin"/>
      </w:r>
      <w:r>
        <w:rPr>
          <w:color w:val="auto"/>
          <w:highlight w:val="none"/>
        </w:rPr>
        <w:instrText xml:space="preserve"> PAGEREF _Toc9522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_Toc12845 </w:instrText>
      </w:r>
      <w:r>
        <w:rPr>
          <w:color w:val="auto"/>
          <w:highlight w:val="none"/>
        </w:rPr>
        <w:fldChar w:fldCharType="separate"/>
      </w:r>
      <w:r>
        <w:rPr>
          <w:color w:val="auto"/>
          <w:highlight w:val="none"/>
        </w:rPr>
        <w:t xml:space="preserve">6. </w:t>
      </w:r>
      <w:r>
        <w:rPr>
          <w:rFonts w:hint="eastAsia" w:cs="黑体"/>
          <w:color w:val="auto"/>
          <w:highlight w:val="none"/>
        </w:rPr>
        <w:t>评标方式</w:t>
      </w:r>
      <w:r>
        <w:rPr>
          <w:color w:val="auto"/>
          <w:highlight w:val="none"/>
        </w:rPr>
        <w:tab/>
      </w:r>
      <w:r>
        <w:rPr>
          <w:color w:val="auto"/>
          <w:highlight w:val="none"/>
        </w:rPr>
        <w:fldChar w:fldCharType="begin"/>
      </w:r>
      <w:r>
        <w:rPr>
          <w:color w:val="auto"/>
          <w:highlight w:val="none"/>
        </w:rPr>
        <w:instrText xml:space="preserve"> PAGEREF _Toc12845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_Toc953 </w:instrText>
      </w:r>
      <w:r>
        <w:rPr>
          <w:color w:val="auto"/>
          <w:highlight w:val="none"/>
        </w:rPr>
        <w:fldChar w:fldCharType="separate"/>
      </w:r>
      <w:r>
        <w:rPr>
          <w:color w:val="auto"/>
          <w:highlight w:val="none"/>
        </w:rPr>
        <w:t xml:space="preserve">7. </w:t>
      </w:r>
      <w:r>
        <w:rPr>
          <w:rFonts w:hint="eastAsia" w:cs="黑体"/>
          <w:color w:val="auto"/>
          <w:highlight w:val="none"/>
        </w:rPr>
        <w:t>预付款和进度款支付方式【备注：该项为可选项】</w:t>
      </w:r>
      <w:r>
        <w:rPr>
          <w:color w:val="auto"/>
          <w:highlight w:val="none"/>
        </w:rPr>
        <w:tab/>
      </w:r>
      <w:r>
        <w:rPr>
          <w:color w:val="auto"/>
          <w:highlight w:val="none"/>
        </w:rPr>
        <w:fldChar w:fldCharType="begin"/>
      </w:r>
      <w:r>
        <w:rPr>
          <w:color w:val="auto"/>
          <w:highlight w:val="none"/>
        </w:rPr>
        <w:instrText xml:space="preserve"> PAGEREF _Toc953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_Toc3534 </w:instrText>
      </w:r>
      <w:r>
        <w:rPr>
          <w:color w:val="auto"/>
          <w:highlight w:val="none"/>
        </w:rPr>
        <w:fldChar w:fldCharType="separate"/>
      </w:r>
      <w:r>
        <w:rPr>
          <w:rFonts w:hint="eastAsia"/>
          <w:color w:val="auto"/>
          <w:highlight w:val="none"/>
        </w:rPr>
        <w:t>8</w:t>
      </w:r>
      <w:r>
        <w:rPr>
          <w:color w:val="auto"/>
          <w:highlight w:val="none"/>
        </w:rPr>
        <w:t xml:space="preserve">. </w:t>
      </w:r>
      <w:r>
        <w:rPr>
          <w:rFonts w:hint="eastAsia" w:cs="黑体"/>
          <w:color w:val="auto"/>
          <w:highlight w:val="none"/>
        </w:rPr>
        <w:t>发布媒介</w:t>
      </w:r>
      <w:r>
        <w:rPr>
          <w:color w:val="auto"/>
          <w:highlight w:val="none"/>
        </w:rPr>
        <w:tab/>
      </w:r>
      <w:r>
        <w:rPr>
          <w:color w:val="auto"/>
          <w:highlight w:val="none"/>
        </w:rPr>
        <w:fldChar w:fldCharType="begin"/>
      </w:r>
      <w:r>
        <w:rPr>
          <w:color w:val="auto"/>
          <w:highlight w:val="none"/>
        </w:rPr>
        <w:instrText xml:space="preserve"> PAGEREF _Toc3534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_Toc31439 </w:instrText>
      </w:r>
      <w:r>
        <w:rPr>
          <w:color w:val="auto"/>
          <w:highlight w:val="none"/>
        </w:rPr>
        <w:fldChar w:fldCharType="separate"/>
      </w:r>
      <w:r>
        <w:rPr>
          <w:color w:val="auto"/>
          <w:highlight w:val="none"/>
        </w:rPr>
        <w:t xml:space="preserve">9. </w:t>
      </w:r>
      <w:r>
        <w:rPr>
          <w:rFonts w:hint="eastAsia" w:cs="黑体"/>
          <w:color w:val="auto"/>
          <w:highlight w:val="none"/>
        </w:rPr>
        <w:t>交易服务单位</w:t>
      </w:r>
      <w:r>
        <w:rPr>
          <w:color w:val="auto"/>
          <w:highlight w:val="none"/>
        </w:rPr>
        <w:tab/>
      </w:r>
      <w:r>
        <w:rPr>
          <w:color w:val="auto"/>
          <w:highlight w:val="none"/>
        </w:rPr>
        <w:fldChar w:fldCharType="begin"/>
      </w:r>
      <w:r>
        <w:rPr>
          <w:color w:val="auto"/>
          <w:highlight w:val="none"/>
        </w:rPr>
        <w:instrText xml:space="preserve"> PAGEREF _Toc31439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_Toc15296 </w:instrText>
      </w:r>
      <w:r>
        <w:rPr>
          <w:color w:val="auto"/>
          <w:highlight w:val="none"/>
        </w:rPr>
        <w:fldChar w:fldCharType="separate"/>
      </w:r>
      <w:r>
        <w:rPr>
          <w:color w:val="auto"/>
          <w:highlight w:val="none"/>
        </w:rPr>
        <w:t xml:space="preserve">10. </w:t>
      </w:r>
      <w:r>
        <w:rPr>
          <w:rFonts w:hint="eastAsia" w:cs="黑体"/>
          <w:color w:val="auto"/>
          <w:highlight w:val="none"/>
        </w:rPr>
        <w:t>监督部门及电话</w:t>
      </w:r>
      <w:r>
        <w:rPr>
          <w:color w:val="auto"/>
          <w:highlight w:val="none"/>
        </w:rPr>
        <w:tab/>
      </w:r>
      <w:r>
        <w:rPr>
          <w:color w:val="auto"/>
          <w:highlight w:val="none"/>
        </w:rPr>
        <w:fldChar w:fldCharType="begin"/>
      </w:r>
      <w:r>
        <w:rPr>
          <w:color w:val="auto"/>
          <w:highlight w:val="none"/>
        </w:rPr>
        <w:instrText xml:space="preserve"> PAGEREF _Toc15296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_Toc9218 </w:instrText>
      </w:r>
      <w:r>
        <w:rPr>
          <w:color w:val="auto"/>
          <w:highlight w:val="none"/>
        </w:rPr>
        <w:fldChar w:fldCharType="separate"/>
      </w:r>
      <w:r>
        <w:rPr>
          <w:color w:val="auto"/>
          <w:highlight w:val="none"/>
        </w:rPr>
        <w:t xml:space="preserve">11. </w:t>
      </w:r>
      <w:r>
        <w:rPr>
          <w:rFonts w:hint="eastAsia" w:cs="黑体"/>
          <w:color w:val="auto"/>
          <w:highlight w:val="none"/>
        </w:rPr>
        <w:t>联系方式</w:t>
      </w:r>
      <w:r>
        <w:rPr>
          <w:color w:val="auto"/>
          <w:highlight w:val="none"/>
        </w:rPr>
        <w:tab/>
      </w:r>
      <w:r>
        <w:rPr>
          <w:color w:val="auto"/>
          <w:highlight w:val="none"/>
        </w:rPr>
        <w:fldChar w:fldCharType="begin"/>
      </w:r>
      <w:r>
        <w:rPr>
          <w:color w:val="auto"/>
          <w:highlight w:val="none"/>
        </w:rPr>
        <w:instrText xml:space="preserve"> PAGEREF _Toc9218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pPr>
        <w:pStyle w:val="27"/>
        <w:tabs>
          <w:tab w:val="right" w:leader="dot" w:pos="8669"/>
        </w:tabs>
        <w:rPr>
          <w:color w:val="auto"/>
          <w:highlight w:val="none"/>
        </w:rPr>
      </w:pPr>
      <w:r>
        <w:rPr>
          <w:color w:val="auto"/>
          <w:highlight w:val="none"/>
        </w:rPr>
        <w:fldChar w:fldCharType="begin"/>
      </w:r>
      <w:r>
        <w:rPr>
          <w:color w:val="auto"/>
          <w:highlight w:val="none"/>
        </w:rPr>
        <w:instrText xml:space="preserve"> HYPERLINK \l _Toc24880 </w:instrText>
      </w:r>
      <w:r>
        <w:rPr>
          <w:color w:val="auto"/>
          <w:highlight w:val="none"/>
        </w:rPr>
        <w:fldChar w:fldCharType="separate"/>
      </w:r>
      <w:r>
        <w:rPr>
          <w:rFonts w:hint="eastAsia" w:cs="黑体"/>
          <w:color w:val="auto"/>
          <w:highlight w:val="none"/>
        </w:rPr>
        <w:t>第二章</w:t>
      </w:r>
      <w:r>
        <w:rPr>
          <w:color w:val="auto"/>
          <w:highlight w:val="none"/>
        </w:rPr>
        <w:t xml:space="preserve">  </w:t>
      </w:r>
      <w:r>
        <w:rPr>
          <w:rFonts w:hint="eastAsia" w:cs="黑体"/>
          <w:color w:val="auto"/>
          <w:highlight w:val="none"/>
        </w:rPr>
        <w:t>投标人须知</w:t>
      </w:r>
      <w:r>
        <w:rPr>
          <w:color w:val="auto"/>
          <w:highlight w:val="none"/>
        </w:rPr>
        <w:tab/>
      </w:r>
      <w:r>
        <w:rPr>
          <w:color w:val="auto"/>
          <w:highlight w:val="none"/>
        </w:rPr>
        <w:fldChar w:fldCharType="begin"/>
      </w:r>
      <w:r>
        <w:rPr>
          <w:color w:val="auto"/>
          <w:highlight w:val="none"/>
        </w:rPr>
        <w:instrText xml:space="preserve"> PAGEREF _Toc24880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27"/>
        <w:tabs>
          <w:tab w:val="right" w:leader="dot" w:pos="8669"/>
        </w:tabs>
        <w:rPr>
          <w:color w:val="auto"/>
          <w:highlight w:val="none"/>
        </w:rPr>
      </w:pPr>
      <w:r>
        <w:rPr>
          <w:color w:val="auto"/>
          <w:highlight w:val="none"/>
        </w:rPr>
        <w:fldChar w:fldCharType="begin"/>
      </w:r>
      <w:r>
        <w:rPr>
          <w:color w:val="auto"/>
          <w:highlight w:val="none"/>
        </w:rPr>
        <w:instrText xml:space="preserve"> HYPERLINK \l _Toc8761 </w:instrText>
      </w:r>
      <w:r>
        <w:rPr>
          <w:color w:val="auto"/>
          <w:highlight w:val="none"/>
        </w:rPr>
        <w:fldChar w:fldCharType="separate"/>
      </w:r>
      <w:r>
        <w:rPr>
          <w:rFonts w:hint="eastAsia" w:cs="黑体"/>
          <w:color w:val="auto"/>
          <w:szCs w:val="32"/>
          <w:highlight w:val="none"/>
        </w:rPr>
        <w:t>投标人须知前附表</w:t>
      </w:r>
      <w:r>
        <w:rPr>
          <w:color w:val="auto"/>
          <w:highlight w:val="none"/>
        </w:rPr>
        <w:tab/>
      </w:r>
      <w:r>
        <w:rPr>
          <w:color w:val="auto"/>
          <w:highlight w:val="none"/>
        </w:rPr>
        <w:fldChar w:fldCharType="begin"/>
      </w:r>
      <w:r>
        <w:rPr>
          <w:color w:val="auto"/>
          <w:highlight w:val="none"/>
        </w:rPr>
        <w:instrText xml:space="preserve"> PAGEREF _Toc8761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27"/>
        <w:tabs>
          <w:tab w:val="right" w:leader="dot" w:pos="8669"/>
        </w:tabs>
        <w:rPr>
          <w:color w:val="auto"/>
          <w:highlight w:val="none"/>
        </w:rPr>
      </w:pPr>
      <w:r>
        <w:rPr>
          <w:color w:val="auto"/>
          <w:highlight w:val="none"/>
        </w:rPr>
        <w:fldChar w:fldCharType="begin"/>
      </w:r>
      <w:r>
        <w:rPr>
          <w:color w:val="auto"/>
          <w:highlight w:val="none"/>
        </w:rPr>
        <w:instrText xml:space="preserve"> HYPERLINK \l _Toc9744 </w:instrText>
      </w:r>
      <w:r>
        <w:rPr>
          <w:color w:val="auto"/>
          <w:highlight w:val="none"/>
        </w:rPr>
        <w:fldChar w:fldCharType="separate"/>
      </w:r>
      <w:r>
        <w:rPr>
          <w:rFonts w:hint="eastAsia" w:cs="黑体"/>
          <w:color w:val="auto"/>
          <w:highlight w:val="none"/>
        </w:rPr>
        <w:t>投标人须知正文部分</w:t>
      </w:r>
      <w:r>
        <w:rPr>
          <w:color w:val="auto"/>
          <w:highlight w:val="none"/>
        </w:rPr>
        <w:tab/>
      </w:r>
      <w:r>
        <w:rPr>
          <w:color w:val="auto"/>
          <w:highlight w:val="none"/>
        </w:rPr>
        <w:fldChar w:fldCharType="begin"/>
      </w:r>
      <w:r>
        <w:rPr>
          <w:color w:val="auto"/>
          <w:highlight w:val="none"/>
        </w:rPr>
        <w:instrText xml:space="preserve"> PAGEREF _Toc9744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_Toc29603 </w:instrText>
      </w:r>
      <w:r>
        <w:rPr>
          <w:color w:val="auto"/>
          <w:highlight w:val="none"/>
        </w:rPr>
        <w:fldChar w:fldCharType="separate"/>
      </w:r>
      <w:r>
        <w:rPr>
          <w:color w:val="auto"/>
          <w:highlight w:val="none"/>
        </w:rPr>
        <w:t xml:space="preserve">1 </w:t>
      </w:r>
      <w:r>
        <w:rPr>
          <w:rFonts w:hint="eastAsia" w:cs="黑体"/>
          <w:color w:val="auto"/>
          <w:highlight w:val="none"/>
        </w:rPr>
        <w:t>总则</w:t>
      </w:r>
      <w:r>
        <w:rPr>
          <w:color w:val="auto"/>
          <w:highlight w:val="none"/>
        </w:rPr>
        <w:tab/>
      </w:r>
      <w:r>
        <w:rPr>
          <w:color w:val="auto"/>
          <w:highlight w:val="none"/>
        </w:rPr>
        <w:fldChar w:fldCharType="begin"/>
      </w:r>
      <w:r>
        <w:rPr>
          <w:color w:val="auto"/>
          <w:highlight w:val="none"/>
        </w:rPr>
        <w:instrText xml:space="preserve"> PAGEREF _Toc29603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_Toc13779 </w:instrText>
      </w:r>
      <w:r>
        <w:rPr>
          <w:color w:val="auto"/>
          <w:highlight w:val="none"/>
        </w:rPr>
        <w:fldChar w:fldCharType="separate"/>
      </w:r>
      <w:r>
        <w:rPr>
          <w:color w:val="auto"/>
          <w:highlight w:val="none"/>
        </w:rPr>
        <w:t xml:space="preserve">1.1 </w:t>
      </w:r>
      <w:r>
        <w:rPr>
          <w:rFonts w:hint="eastAsia" w:cs="黑体"/>
          <w:color w:val="auto"/>
          <w:highlight w:val="none"/>
        </w:rPr>
        <w:t>项目概况</w:t>
      </w:r>
      <w:r>
        <w:rPr>
          <w:color w:val="auto"/>
          <w:highlight w:val="none"/>
        </w:rPr>
        <w:tab/>
      </w:r>
      <w:r>
        <w:rPr>
          <w:color w:val="auto"/>
          <w:highlight w:val="none"/>
        </w:rPr>
        <w:fldChar w:fldCharType="begin"/>
      </w:r>
      <w:r>
        <w:rPr>
          <w:color w:val="auto"/>
          <w:highlight w:val="none"/>
        </w:rPr>
        <w:instrText xml:space="preserve"> PAGEREF _Toc13779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_Toc3066 </w:instrText>
      </w:r>
      <w:r>
        <w:rPr>
          <w:color w:val="auto"/>
          <w:highlight w:val="none"/>
        </w:rPr>
        <w:fldChar w:fldCharType="separate"/>
      </w:r>
      <w:r>
        <w:rPr>
          <w:color w:val="auto"/>
          <w:highlight w:val="none"/>
        </w:rPr>
        <w:t xml:space="preserve">1.7 </w:t>
      </w:r>
      <w:r>
        <w:rPr>
          <w:rFonts w:hint="eastAsia" w:cs="黑体"/>
          <w:color w:val="auto"/>
          <w:highlight w:val="none"/>
        </w:rPr>
        <w:t>语言文字</w:t>
      </w:r>
      <w:r>
        <w:rPr>
          <w:color w:val="auto"/>
          <w:highlight w:val="none"/>
        </w:rPr>
        <w:tab/>
      </w:r>
      <w:r>
        <w:rPr>
          <w:color w:val="auto"/>
          <w:highlight w:val="none"/>
        </w:rPr>
        <w:fldChar w:fldCharType="begin"/>
      </w:r>
      <w:r>
        <w:rPr>
          <w:color w:val="auto"/>
          <w:highlight w:val="none"/>
        </w:rPr>
        <w:instrText xml:space="preserve"> PAGEREF _Toc3066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_Toc6929 </w:instrText>
      </w:r>
      <w:r>
        <w:rPr>
          <w:color w:val="auto"/>
          <w:highlight w:val="none"/>
        </w:rPr>
        <w:fldChar w:fldCharType="separate"/>
      </w:r>
      <w:r>
        <w:rPr>
          <w:color w:val="auto"/>
          <w:highlight w:val="none"/>
        </w:rPr>
        <w:t xml:space="preserve">1.2 </w:t>
      </w:r>
      <w:r>
        <w:rPr>
          <w:rFonts w:hint="eastAsia" w:cs="黑体"/>
          <w:color w:val="auto"/>
          <w:highlight w:val="none"/>
        </w:rPr>
        <w:t>资金来源和落实及增值税计税方法情况</w:t>
      </w:r>
      <w:r>
        <w:rPr>
          <w:color w:val="auto"/>
          <w:highlight w:val="none"/>
        </w:rPr>
        <w:tab/>
      </w:r>
      <w:r>
        <w:rPr>
          <w:color w:val="auto"/>
          <w:highlight w:val="none"/>
        </w:rPr>
        <w:fldChar w:fldCharType="begin"/>
      </w:r>
      <w:r>
        <w:rPr>
          <w:color w:val="auto"/>
          <w:highlight w:val="none"/>
        </w:rPr>
        <w:instrText xml:space="preserve"> PAGEREF _Toc6929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_Toc16917 </w:instrText>
      </w:r>
      <w:r>
        <w:rPr>
          <w:color w:val="auto"/>
          <w:highlight w:val="none"/>
        </w:rPr>
        <w:fldChar w:fldCharType="separate"/>
      </w:r>
      <w:r>
        <w:rPr>
          <w:color w:val="auto"/>
          <w:highlight w:val="none"/>
        </w:rPr>
        <w:t xml:space="preserve">1.3 </w:t>
      </w:r>
      <w:r>
        <w:rPr>
          <w:rFonts w:hint="eastAsia" w:cs="黑体"/>
          <w:color w:val="auto"/>
          <w:highlight w:val="none"/>
        </w:rPr>
        <w:t>招标范围、计划工期和质量要求</w:t>
      </w:r>
      <w:r>
        <w:rPr>
          <w:color w:val="auto"/>
          <w:highlight w:val="none"/>
        </w:rPr>
        <w:tab/>
      </w:r>
      <w:r>
        <w:rPr>
          <w:color w:val="auto"/>
          <w:highlight w:val="none"/>
        </w:rPr>
        <w:fldChar w:fldCharType="begin"/>
      </w:r>
      <w:r>
        <w:rPr>
          <w:color w:val="auto"/>
          <w:highlight w:val="none"/>
        </w:rPr>
        <w:instrText xml:space="preserve"> PAGEREF _Toc16917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_Toc30050 </w:instrText>
      </w:r>
      <w:r>
        <w:rPr>
          <w:color w:val="auto"/>
          <w:highlight w:val="none"/>
        </w:rPr>
        <w:fldChar w:fldCharType="separate"/>
      </w:r>
      <w:r>
        <w:rPr>
          <w:color w:val="auto"/>
          <w:highlight w:val="none"/>
        </w:rPr>
        <w:t xml:space="preserve">1.4 </w:t>
      </w:r>
      <w:r>
        <w:rPr>
          <w:rFonts w:hint="eastAsia" w:cs="黑体"/>
          <w:color w:val="auto"/>
          <w:highlight w:val="none"/>
        </w:rPr>
        <w:t>投标人资格要求</w:t>
      </w:r>
      <w:r>
        <w:rPr>
          <w:color w:val="auto"/>
          <w:highlight w:val="none"/>
        </w:rPr>
        <w:tab/>
      </w:r>
      <w:r>
        <w:rPr>
          <w:color w:val="auto"/>
          <w:highlight w:val="none"/>
        </w:rPr>
        <w:fldChar w:fldCharType="begin"/>
      </w:r>
      <w:r>
        <w:rPr>
          <w:color w:val="auto"/>
          <w:highlight w:val="none"/>
        </w:rPr>
        <w:instrText xml:space="preserve"> PAGEREF _Toc30050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_Toc13023 </w:instrText>
      </w:r>
      <w:r>
        <w:rPr>
          <w:color w:val="auto"/>
          <w:highlight w:val="none"/>
        </w:rPr>
        <w:fldChar w:fldCharType="separate"/>
      </w:r>
      <w:r>
        <w:rPr>
          <w:color w:val="auto"/>
          <w:highlight w:val="none"/>
        </w:rPr>
        <w:t xml:space="preserve">1.5 </w:t>
      </w:r>
      <w:r>
        <w:rPr>
          <w:rFonts w:hint="eastAsia" w:cs="黑体"/>
          <w:color w:val="auto"/>
          <w:highlight w:val="none"/>
        </w:rPr>
        <w:t>费用承担</w:t>
      </w:r>
      <w:r>
        <w:rPr>
          <w:color w:val="auto"/>
          <w:highlight w:val="none"/>
        </w:rPr>
        <w:tab/>
      </w:r>
      <w:r>
        <w:rPr>
          <w:color w:val="auto"/>
          <w:highlight w:val="none"/>
        </w:rPr>
        <w:fldChar w:fldCharType="begin"/>
      </w:r>
      <w:r>
        <w:rPr>
          <w:color w:val="auto"/>
          <w:highlight w:val="none"/>
        </w:rPr>
        <w:instrText xml:space="preserve"> PAGEREF _Toc13023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_Toc17131 </w:instrText>
      </w:r>
      <w:r>
        <w:rPr>
          <w:color w:val="auto"/>
          <w:highlight w:val="none"/>
        </w:rPr>
        <w:fldChar w:fldCharType="separate"/>
      </w:r>
      <w:r>
        <w:rPr>
          <w:color w:val="auto"/>
          <w:highlight w:val="none"/>
        </w:rPr>
        <w:t xml:space="preserve">1.6 </w:t>
      </w:r>
      <w:r>
        <w:rPr>
          <w:rFonts w:hint="eastAsia" w:cs="黑体"/>
          <w:color w:val="auto"/>
          <w:highlight w:val="none"/>
        </w:rPr>
        <w:t>保密</w:t>
      </w:r>
      <w:r>
        <w:rPr>
          <w:color w:val="auto"/>
          <w:highlight w:val="none"/>
        </w:rPr>
        <w:tab/>
      </w:r>
      <w:r>
        <w:rPr>
          <w:color w:val="auto"/>
          <w:highlight w:val="none"/>
        </w:rPr>
        <w:fldChar w:fldCharType="begin"/>
      </w:r>
      <w:r>
        <w:rPr>
          <w:color w:val="auto"/>
          <w:highlight w:val="none"/>
        </w:rPr>
        <w:instrText xml:space="preserve"> PAGEREF _Toc17131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_Toc3371 </w:instrText>
      </w:r>
      <w:r>
        <w:rPr>
          <w:color w:val="auto"/>
          <w:highlight w:val="none"/>
        </w:rPr>
        <w:fldChar w:fldCharType="separate"/>
      </w:r>
      <w:r>
        <w:rPr>
          <w:color w:val="auto"/>
          <w:highlight w:val="none"/>
        </w:rPr>
        <w:t xml:space="preserve">1.8 </w:t>
      </w:r>
      <w:r>
        <w:rPr>
          <w:rFonts w:hint="eastAsia" w:cs="黑体"/>
          <w:color w:val="auto"/>
          <w:highlight w:val="none"/>
        </w:rPr>
        <w:t>计量单位</w:t>
      </w:r>
      <w:r>
        <w:rPr>
          <w:color w:val="auto"/>
          <w:highlight w:val="none"/>
        </w:rPr>
        <w:tab/>
      </w:r>
      <w:r>
        <w:rPr>
          <w:color w:val="auto"/>
          <w:highlight w:val="none"/>
        </w:rPr>
        <w:fldChar w:fldCharType="begin"/>
      </w:r>
      <w:r>
        <w:rPr>
          <w:color w:val="auto"/>
          <w:highlight w:val="none"/>
        </w:rPr>
        <w:instrText xml:space="preserve"> PAGEREF _Toc3371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_Toc881 </w:instrText>
      </w:r>
      <w:r>
        <w:rPr>
          <w:color w:val="auto"/>
          <w:highlight w:val="none"/>
        </w:rPr>
        <w:fldChar w:fldCharType="separate"/>
      </w:r>
      <w:r>
        <w:rPr>
          <w:color w:val="auto"/>
          <w:highlight w:val="none"/>
        </w:rPr>
        <w:t xml:space="preserve">1.9 </w:t>
      </w:r>
      <w:r>
        <w:rPr>
          <w:rFonts w:hint="eastAsia" w:cs="黑体"/>
          <w:color w:val="auto"/>
          <w:highlight w:val="none"/>
        </w:rPr>
        <w:t>踏勘现场</w:t>
      </w:r>
      <w:r>
        <w:rPr>
          <w:color w:val="auto"/>
          <w:highlight w:val="none"/>
        </w:rPr>
        <w:tab/>
      </w:r>
      <w:r>
        <w:rPr>
          <w:color w:val="auto"/>
          <w:highlight w:val="none"/>
        </w:rPr>
        <w:fldChar w:fldCharType="begin"/>
      </w:r>
      <w:r>
        <w:rPr>
          <w:color w:val="auto"/>
          <w:highlight w:val="none"/>
        </w:rPr>
        <w:instrText xml:space="preserve"> PAGEREF _Toc881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_Toc5372 </w:instrText>
      </w:r>
      <w:r>
        <w:rPr>
          <w:color w:val="auto"/>
          <w:highlight w:val="none"/>
        </w:rPr>
        <w:fldChar w:fldCharType="separate"/>
      </w:r>
      <w:r>
        <w:rPr>
          <w:color w:val="auto"/>
          <w:highlight w:val="none"/>
        </w:rPr>
        <w:t xml:space="preserve">1.10 </w:t>
      </w:r>
      <w:r>
        <w:rPr>
          <w:rFonts w:hint="eastAsia" w:cs="黑体"/>
          <w:color w:val="auto"/>
          <w:highlight w:val="none"/>
        </w:rPr>
        <w:t>投标预备会</w:t>
      </w:r>
      <w:r>
        <w:rPr>
          <w:color w:val="auto"/>
          <w:highlight w:val="none"/>
        </w:rPr>
        <w:tab/>
      </w:r>
      <w:r>
        <w:rPr>
          <w:color w:val="auto"/>
          <w:highlight w:val="none"/>
        </w:rPr>
        <w:fldChar w:fldCharType="begin"/>
      </w:r>
      <w:r>
        <w:rPr>
          <w:color w:val="auto"/>
          <w:highlight w:val="none"/>
        </w:rPr>
        <w:instrText xml:space="preserve"> PAGEREF _Toc5372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_Toc26867 </w:instrText>
      </w:r>
      <w:r>
        <w:rPr>
          <w:color w:val="auto"/>
          <w:highlight w:val="none"/>
        </w:rPr>
        <w:fldChar w:fldCharType="separate"/>
      </w:r>
      <w:r>
        <w:rPr>
          <w:color w:val="auto"/>
          <w:highlight w:val="none"/>
        </w:rPr>
        <w:t xml:space="preserve">1.11 </w:t>
      </w:r>
      <w:r>
        <w:rPr>
          <w:rFonts w:hint="eastAsia" w:cs="黑体"/>
          <w:color w:val="auto"/>
          <w:highlight w:val="none"/>
        </w:rPr>
        <w:t>分包</w:t>
      </w:r>
      <w:r>
        <w:rPr>
          <w:color w:val="auto"/>
          <w:highlight w:val="none"/>
        </w:rPr>
        <w:tab/>
      </w:r>
      <w:r>
        <w:rPr>
          <w:color w:val="auto"/>
          <w:highlight w:val="none"/>
        </w:rPr>
        <w:fldChar w:fldCharType="begin"/>
      </w:r>
      <w:r>
        <w:rPr>
          <w:color w:val="auto"/>
          <w:highlight w:val="none"/>
        </w:rPr>
        <w:instrText xml:space="preserve"> PAGEREF _Toc26867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_Toc25147 </w:instrText>
      </w:r>
      <w:r>
        <w:rPr>
          <w:color w:val="auto"/>
          <w:highlight w:val="none"/>
        </w:rPr>
        <w:fldChar w:fldCharType="separate"/>
      </w:r>
      <w:r>
        <w:rPr>
          <w:color w:val="auto"/>
          <w:highlight w:val="none"/>
        </w:rPr>
        <w:t xml:space="preserve">1.12 </w:t>
      </w:r>
      <w:r>
        <w:rPr>
          <w:rFonts w:hint="eastAsia" w:cs="黑体"/>
          <w:color w:val="auto"/>
          <w:highlight w:val="none"/>
        </w:rPr>
        <w:t>偏离</w:t>
      </w:r>
      <w:r>
        <w:rPr>
          <w:color w:val="auto"/>
          <w:highlight w:val="none"/>
        </w:rPr>
        <w:tab/>
      </w:r>
      <w:r>
        <w:rPr>
          <w:color w:val="auto"/>
          <w:highlight w:val="none"/>
        </w:rPr>
        <w:fldChar w:fldCharType="begin"/>
      </w:r>
      <w:r>
        <w:rPr>
          <w:color w:val="auto"/>
          <w:highlight w:val="none"/>
        </w:rPr>
        <w:instrText xml:space="preserve"> PAGEREF _Toc25147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_Toc10769 </w:instrText>
      </w:r>
      <w:r>
        <w:rPr>
          <w:color w:val="auto"/>
          <w:highlight w:val="none"/>
        </w:rPr>
        <w:fldChar w:fldCharType="separate"/>
      </w:r>
      <w:r>
        <w:rPr>
          <w:color w:val="auto"/>
          <w:highlight w:val="none"/>
        </w:rPr>
        <w:t xml:space="preserve">2 </w:t>
      </w:r>
      <w:r>
        <w:rPr>
          <w:rFonts w:hint="eastAsia" w:cs="黑体"/>
          <w:color w:val="auto"/>
          <w:highlight w:val="none"/>
        </w:rPr>
        <w:t>招标文件</w:t>
      </w:r>
      <w:r>
        <w:rPr>
          <w:color w:val="auto"/>
          <w:highlight w:val="none"/>
        </w:rPr>
        <w:tab/>
      </w:r>
      <w:r>
        <w:rPr>
          <w:color w:val="auto"/>
          <w:highlight w:val="none"/>
        </w:rPr>
        <w:fldChar w:fldCharType="begin"/>
      </w:r>
      <w:r>
        <w:rPr>
          <w:color w:val="auto"/>
          <w:highlight w:val="none"/>
        </w:rPr>
        <w:instrText xml:space="preserve"> PAGEREF _Toc10769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_Toc15856 </w:instrText>
      </w:r>
      <w:r>
        <w:rPr>
          <w:color w:val="auto"/>
          <w:highlight w:val="none"/>
        </w:rPr>
        <w:fldChar w:fldCharType="separate"/>
      </w:r>
      <w:r>
        <w:rPr>
          <w:color w:val="auto"/>
          <w:highlight w:val="none"/>
        </w:rPr>
        <w:t xml:space="preserve">2.1 </w:t>
      </w:r>
      <w:r>
        <w:rPr>
          <w:rFonts w:hint="eastAsia" w:cs="黑体"/>
          <w:color w:val="auto"/>
          <w:highlight w:val="none"/>
        </w:rPr>
        <w:t>招标文件的组成</w:t>
      </w:r>
      <w:r>
        <w:rPr>
          <w:color w:val="auto"/>
          <w:highlight w:val="none"/>
        </w:rPr>
        <w:tab/>
      </w:r>
      <w:r>
        <w:rPr>
          <w:color w:val="auto"/>
          <w:highlight w:val="none"/>
        </w:rPr>
        <w:fldChar w:fldCharType="begin"/>
      </w:r>
      <w:r>
        <w:rPr>
          <w:color w:val="auto"/>
          <w:highlight w:val="none"/>
        </w:rPr>
        <w:instrText xml:space="preserve"> PAGEREF _Toc15856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_Toc27865 </w:instrText>
      </w:r>
      <w:r>
        <w:rPr>
          <w:color w:val="auto"/>
          <w:highlight w:val="none"/>
        </w:rPr>
        <w:fldChar w:fldCharType="separate"/>
      </w:r>
      <w:r>
        <w:rPr>
          <w:color w:val="auto"/>
          <w:highlight w:val="none"/>
        </w:rPr>
        <w:t xml:space="preserve">2.2 </w:t>
      </w:r>
      <w:r>
        <w:rPr>
          <w:rFonts w:hint="eastAsia" w:cs="黑体"/>
          <w:color w:val="auto"/>
          <w:highlight w:val="none"/>
        </w:rPr>
        <w:t>招标文件的澄清</w:t>
      </w:r>
      <w:r>
        <w:rPr>
          <w:color w:val="auto"/>
          <w:highlight w:val="none"/>
        </w:rPr>
        <w:tab/>
      </w:r>
      <w:r>
        <w:rPr>
          <w:color w:val="auto"/>
          <w:highlight w:val="none"/>
        </w:rPr>
        <w:fldChar w:fldCharType="begin"/>
      </w:r>
      <w:r>
        <w:rPr>
          <w:color w:val="auto"/>
          <w:highlight w:val="none"/>
        </w:rPr>
        <w:instrText xml:space="preserve"> PAGEREF _Toc27865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_Toc23166 </w:instrText>
      </w:r>
      <w:r>
        <w:rPr>
          <w:color w:val="auto"/>
          <w:highlight w:val="none"/>
        </w:rPr>
        <w:fldChar w:fldCharType="separate"/>
      </w:r>
      <w:r>
        <w:rPr>
          <w:color w:val="auto"/>
          <w:highlight w:val="none"/>
        </w:rPr>
        <w:t xml:space="preserve">2.3 </w:t>
      </w:r>
      <w:r>
        <w:rPr>
          <w:rFonts w:hint="eastAsia" w:cs="黑体"/>
          <w:color w:val="auto"/>
          <w:highlight w:val="none"/>
        </w:rPr>
        <w:t>招标文件的修改</w:t>
      </w:r>
      <w:r>
        <w:rPr>
          <w:color w:val="auto"/>
          <w:highlight w:val="none"/>
        </w:rPr>
        <w:tab/>
      </w:r>
      <w:r>
        <w:rPr>
          <w:color w:val="auto"/>
          <w:highlight w:val="none"/>
        </w:rPr>
        <w:fldChar w:fldCharType="begin"/>
      </w:r>
      <w:r>
        <w:rPr>
          <w:color w:val="auto"/>
          <w:highlight w:val="none"/>
        </w:rPr>
        <w:instrText xml:space="preserve"> PAGEREF _Toc23166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_Toc13474 </w:instrText>
      </w:r>
      <w:r>
        <w:rPr>
          <w:color w:val="auto"/>
          <w:highlight w:val="none"/>
        </w:rPr>
        <w:fldChar w:fldCharType="separate"/>
      </w:r>
      <w:r>
        <w:rPr>
          <w:color w:val="auto"/>
          <w:highlight w:val="none"/>
        </w:rPr>
        <w:t xml:space="preserve">3 </w:t>
      </w:r>
      <w:r>
        <w:rPr>
          <w:rFonts w:hint="eastAsia" w:cs="黑体"/>
          <w:color w:val="auto"/>
          <w:highlight w:val="none"/>
        </w:rPr>
        <w:t>投标文件</w:t>
      </w:r>
      <w:r>
        <w:rPr>
          <w:color w:val="auto"/>
          <w:highlight w:val="none"/>
        </w:rPr>
        <w:tab/>
      </w:r>
      <w:r>
        <w:rPr>
          <w:color w:val="auto"/>
          <w:highlight w:val="none"/>
        </w:rPr>
        <w:fldChar w:fldCharType="begin"/>
      </w:r>
      <w:r>
        <w:rPr>
          <w:color w:val="auto"/>
          <w:highlight w:val="none"/>
        </w:rPr>
        <w:instrText xml:space="preserve"> PAGEREF _Toc13474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_Toc18027 </w:instrText>
      </w:r>
      <w:r>
        <w:rPr>
          <w:color w:val="auto"/>
          <w:highlight w:val="none"/>
        </w:rPr>
        <w:fldChar w:fldCharType="separate"/>
      </w:r>
      <w:r>
        <w:rPr>
          <w:color w:val="auto"/>
          <w:highlight w:val="none"/>
        </w:rPr>
        <w:t xml:space="preserve">3.1 </w:t>
      </w:r>
      <w:r>
        <w:rPr>
          <w:rFonts w:hint="eastAsia" w:cs="黑体"/>
          <w:color w:val="auto"/>
          <w:highlight w:val="none"/>
        </w:rPr>
        <w:t>投标文件的组成</w:t>
      </w:r>
      <w:r>
        <w:rPr>
          <w:color w:val="auto"/>
          <w:highlight w:val="none"/>
        </w:rPr>
        <w:tab/>
      </w:r>
      <w:r>
        <w:rPr>
          <w:color w:val="auto"/>
          <w:highlight w:val="none"/>
        </w:rPr>
        <w:fldChar w:fldCharType="begin"/>
      </w:r>
      <w:r>
        <w:rPr>
          <w:color w:val="auto"/>
          <w:highlight w:val="none"/>
        </w:rPr>
        <w:instrText xml:space="preserve"> PAGEREF _Toc18027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_Toc21538 </w:instrText>
      </w:r>
      <w:r>
        <w:rPr>
          <w:color w:val="auto"/>
          <w:highlight w:val="none"/>
        </w:rPr>
        <w:fldChar w:fldCharType="separate"/>
      </w:r>
      <w:r>
        <w:rPr>
          <w:color w:val="auto"/>
          <w:highlight w:val="none"/>
        </w:rPr>
        <w:t xml:space="preserve">3.2 </w:t>
      </w:r>
      <w:r>
        <w:rPr>
          <w:rFonts w:hint="eastAsia" w:cs="黑体"/>
          <w:color w:val="auto"/>
          <w:highlight w:val="none"/>
        </w:rPr>
        <w:t>投标报价</w:t>
      </w:r>
      <w:r>
        <w:rPr>
          <w:color w:val="auto"/>
          <w:highlight w:val="none"/>
        </w:rPr>
        <w:tab/>
      </w:r>
      <w:r>
        <w:rPr>
          <w:color w:val="auto"/>
          <w:highlight w:val="none"/>
        </w:rPr>
        <w:fldChar w:fldCharType="begin"/>
      </w:r>
      <w:r>
        <w:rPr>
          <w:color w:val="auto"/>
          <w:highlight w:val="none"/>
        </w:rPr>
        <w:instrText xml:space="preserve"> PAGEREF _Toc21538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_Toc14009 </w:instrText>
      </w:r>
      <w:r>
        <w:rPr>
          <w:color w:val="auto"/>
          <w:highlight w:val="none"/>
        </w:rPr>
        <w:fldChar w:fldCharType="separate"/>
      </w:r>
      <w:r>
        <w:rPr>
          <w:color w:val="auto"/>
          <w:highlight w:val="none"/>
        </w:rPr>
        <w:t xml:space="preserve">3.3 </w:t>
      </w:r>
      <w:r>
        <w:rPr>
          <w:rFonts w:hint="eastAsia" w:cs="黑体"/>
          <w:color w:val="auto"/>
          <w:highlight w:val="none"/>
        </w:rPr>
        <w:t>投标有效期</w:t>
      </w:r>
      <w:r>
        <w:rPr>
          <w:color w:val="auto"/>
          <w:highlight w:val="none"/>
        </w:rPr>
        <w:tab/>
      </w:r>
      <w:r>
        <w:rPr>
          <w:color w:val="auto"/>
          <w:highlight w:val="none"/>
        </w:rPr>
        <w:fldChar w:fldCharType="begin"/>
      </w:r>
      <w:r>
        <w:rPr>
          <w:color w:val="auto"/>
          <w:highlight w:val="none"/>
        </w:rPr>
        <w:instrText xml:space="preserve"> PAGEREF _Toc14009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_Toc11497 </w:instrText>
      </w:r>
      <w:r>
        <w:rPr>
          <w:color w:val="auto"/>
          <w:highlight w:val="none"/>
        </w:rPr>
        <w:fldChar w:fldCharType="separate"/>
      </w:r>
      <w:r>
        <w:rPr>
          <w:color w:val="auto"/>
          <w:highlight w:val="none"/>
        </w:rPr>
        <w:t xml:space="preserve">3.4 </w:t>
      </w:r>
      <w:r>
        <w:rPr>
          <w:rFonts w:hint="eastAsia" w:cs="黑体"/>
          <w:color w:val="auto"/>
          <w:highlight w:val="none"/>
        </w:rPr>
        <w:t>投标保证金</w:t>
      </w:r>
      <w:r>
        <w:rPr>
          <w:color w:val="auto"/>
          <w:highlight w:val="none"/>
        </w:rPr>
        <w:tab/>
      </w:r>
      <w:r>
        <w:rPr>
          <w:color w:val="auto"/>
          <w:highlight w:val="none"/>
        </w:rPr>
        <w:fldChar w:fldCharType="begin"/>
      </w:r>
      <w:r>
        <w:rPr>
          <w:color w:val="auto"/>
          <w:highlight w:val="none"/>
        </w:rPr>
        <w:instrText xml:space="preserve"> PAGEREF _Toc11497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_Toc27885 </w:instrText>
      </w:r>
      <w:r>
        <w:rPr>
          <w:color w:val="auto"/>
          <w:highlight w:val="none"/>
        </w:rPr>
        <w:fldChar w:fldCharType="separate"/>
      </w:r>
      <w:r>
        <w:rPr>
          <w:color w:val="auto"/>
          <w:highlight w:val="none"/>
        </w:rPr>
        <w:t xml:space="preserve">3.5 </w:t>
      </w:r>
      <w:r>
        <w:rPr>
          <w:rFonts w:hint="eastAsia" w:cs="黑体"/>
          <w:color w:val="auto"/>
          <w:highlight w:val="none"/>
        </w:rPr>
        <w:t>备选投标方案</w:t>
      </w:r>
      <w:r>
        <w:rPr>
          <w:color w:val="auto"/>
          <w:highlight w:val="none"/>
        </w:rPr>
        <w:tab/>
      </w:r>
      <w:r>
        <w:rPr>
          <w:color w:val="auto"/>
          <w:highlight w:val="none"/>
        </w:rPr>
        <w:fldChar w:fldCharType="begin"/>
      </w:r>
      <w:r>
        <w:rPr>
          <w:color w:val="auto"/>
          <w:highlight w:val="none"/>
        </w:rPr>
        <w:instrText xml:space="preserve"> PAGEREF _Toc27885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_Toc4057 </w:instrText>
      </w:r>
      <w:r>
        <w:rPr>
          <w:color w:val="auto"/>
          <w:highlight w:val="none"/>
        </w:rPr>
        <w:fldChar w:fldCharType="separate"/>
      </w:r>
      <w:r>
        <w:rPr>
          <w:color w:val="auto"/>
          <w:highlight w:val="none"/>
        </w:rPr>
        <w:t xml:space="preserve">3.6 </w:t>
      </w:r>
      <w:r>
        <w:rPr>
          <w:rFonts w:hint="eastAsia" w:cs="黑体"/>
          <w:color w:val="auto"/>
          <w:highlight w:val="none"/>
        </w:rPr>
        <w:t>投标文件的编制</w:t>
      </w:r>
      <w:r>
        <w:rPr>
          <w:color w:val="auto"/>
          <w:highlight w:val="none"/>
        </w:rPr>
        <w:tab/>
      </w:r>
      <w:r>
        <w:rPr>
          <w:color w:val="auto"/>
          <w:highlight w:val="none"/>
        </w:rPr>
        <w:fldChar w:fldCharType="begin"/>
      </w:r>
      <w:r>
        <w:rPr>
          <w:color w:val="auto"/>
          <w:highlight w:val="none"/>
        </w:rPr>
        <w:instrText xml:space="preserve"> PAGEREF _Toc4057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_Toc24093 </w:instrText>
      </w:r>
      <w:r>
        <w:rPr>
          <w:color w:val="auto"/>
          <w:highlight w:val="none"/>
        </w:rPr>
        <w:fldChar w:fldCharType="separate"/>
      </w:r>
      <w:r>
        <w:rPr>
          <w:color w:val="auto"/>
          <w:highlight w:val="none"/>
        </w:rPr>
        <w:t xml:space="preserve">4 </w:t>
      </w:r>
      <w:r>
        <w:rPr>
          <w:rFonts w:hint="eastAsia" w:cs="黑体"/>
          <w:color w:val="auto"/>
          <w:highlight w:val="none"/>
        </w:rPr>
        <w:t>投标</w:t>
      </w:r>
      <w:r>
        <w:rPr>
          <w:color w:val="auto"/>
          <w:highlight w:val="none"/>
        </w:rPr>
        <w:tab/>
      </w:r>
      <w:r>
        <w:rPr>
          <w:color w:val="auto"/>
          <w:highlight w:val="none"/>
        </w:rPr>
        <w:fldChar w:fldCharType="begin"/>
      </w:r>
      <w:r>
        <w:rPr>
          <w:color w:val="auto"/>
          <w:highlight w:val="none"/>
        </w:rPr>
        <w:instrText xml:space="preserve"> PAGEREF _Toc24093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_Toc28259 </w:instrText>
      </w:r>
      <w:r>
        <w:rPr>
          <w:color w:val="auto"/>
          <w:highlight w:val="none"/>
        </w:rPr>
        <w:fldChar w:fldCharType="separate"/>
      </w:r>
      <w:r>
        <w:rPr>
          <w:color w:val="auto"/>
          <w:highlight w:val="none"/>
          <w:lang w:val="en-US"/>
        </w:rPr>
        <w:t>4.</w:t>
      </w:r>
      <w:r>
        <w:rPr>
          <w:rFonts w:hint="eastAsia"/>
          <w:color w:val="auto"/>
          <w:highlight w:val="none"/>
          <w:lang w:val="en-US"/>
        </w:rPr>
        <w:t>1</w:t>
      </w:r>
      <w:r>
        <w:rPr>
          <w:color w:val="auto"/>
          <w:highlight w:val="none"/>
          <w:lang w:val="en-US"/>
        </w:rPr>
        <w:t>投标文件的密封和标</w:t>
      </w:r>
      <w:r>
        <w:rPr>
          <w:rFonts w:hint="eastAsia"/>
          <w:color w:val="auto"/>
          <w:highlight w:val="none"/>
          <w:lang w:val="en-US"/>
        </w:rPr>
        <w:t>记</w:t>
      </w:r>
      <w:r>
        <w:rPr>
          <w:color w:val="auto"/>
          <w:highlight w:val="none"/>
        </w:rPr>
        <w:tab/>
      </w:r>
      <w:r>
        <w:rPr>
          <w:color w:val="auto"/>
          <w:highlight w:val="none"/>
        </w:rPr>
        <w:fldChar w:fldCharType="begin"/>
      </w:r>
      <w:r>
        <w:rPr>
          <w:color w:val="auto"/>
          <w:highlight w:val="none"/>
        </w:rPr>
        <w:instrText xml:space="preserve"> PAGEREF _Toc28259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_Toc11216 </w:instrText>
      </w:r>
      <w:r>
        <w:rPr>
          <w:color w:val="auto"/>
          <w:highlight w:val="none"/>
        </w:rPr>
        <w:fldChar w:fldCharType="separate"/>
      </w:r>
      <w:r>
        <w:rPr>
          <w:color w:val="auto"/>
          <w:highlight w:val="none"/>
        </w:rPr>
        <w:t>4.</w:t>
      </w:r>
      <w:r>
        <w:rPr>
          <w:color w:val="auto"/>
          <w:highlight w:val="none"/>
          <w:lang w:val="en-US"/>
        </w:rPr>
        <w:t>2</w:t>
      </w:r>
      <w:r>
        <w:rPr>
          <w:color w:val="auto"/>
          <w:highlight w:val="none"/>
        </w:rPr>
        <w:t xml:space="preserve"> </w:t>
      </w:r>
      <w:r>
        <w:rPr>
          <w:rFonts w:hint="eastAsia" w:cs="黑体"/>
          <w:color w:val="auto"/>
          <w:highlight w:val="none"/>
        </w:rPr>
        <w:t>投标文件的递交</w:t>
      </w:r>
      <w:r>
        <w:rPr>
          <w:color w:val="auto"/>
          <w:highlight w:val="none"/>
        </w:rPr>
        <w:tab/>
      </w:r>
      <w:r>
        <w:rPr>
          <w:color w:val="auto"/>
          <w:highlight w:val="none"/>
        </w:rPr>
        <w:fldChar w:fldCharType="begin"/>
      </w:r>
      <w:r>
        <w:rPr>
          <w:color w:val="auto"/>
          <w:highlight w:val="none"/>
        </w:rPr>
        <w:instrText xml:space="preserve"> PAGEREF _Toc11216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_Toc19074 </w:instrText>
      </w:r>
      <w:r>
        <w:rPr>
          <w:color w:val="auto"/>
          <w:highlight w:val="none"/>
        </w:rPr>
        <w:fldChar w:fldCharType="separate"/>
      </w:r>
      <w:r>
        <w:rPr>
          <w:color w:val="auto"/>
          <w:highlight w:val="none"/>
        </w:rPr>
        <w:t>4.</w:t>
      </w:r>
      <w:r>
        <w:rPr>
          <w:color w:val="auto"/>
          <w:highlight w:val="none"/>
          <w:lang w:val="en-US"/>
        </w:rPr>
        <w:t>3</w:t>
      </w:r>
      <w:r>
        <w:rPr>
          <w:color w:val="auto"/>
          <w:highlight w:val="none"/>
        </w:rPr>
        <w:t xml:space="preserve"> </w:t>
      </w:r>
      <w:r>
        <w:rPr>
          <w:rFonts w:hint="eastAsia" w:cs="黑体"/>
          <w:color w:val="auto"/>
          <w:highlight w:val="none"/>
        </w:rPr>
        <w:t>投标文件的修改与撤回</w:t>
      </w:r>
      <w:r>
        <w:rPr>
          <w:color w:val="auto"/>
          <w:highlight w:val="none"/>
        </w:rPr>
        <w:tab/>
      </w:r>
      <w:r>
        <w:rPr>
          <w:color w:val="auto"/>
          <w:highlight w:val="none"/>
        </w:rPr>
        <w:fldChar w:fldCharType="begin"/>
      </w:r>
      <w:r>
        <w:rPr>
          <w:color w:val="auto"/>
          <w:highlight w:val="none"/>
        </w:rPr>
        <w:instrText xml:space="preserve"> PAGEREF _Toc19074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_Toc17516 </w:instrText>
      </w:r>
      <w:r>
        <w:rPr>
          <w:color w:val="auto"/>
          <w:highlight w:val="none"/>
        </w:rPr>
        <w:fldChar w:fldCharType="separate"/>
      </w:r>
      <w:r>
        <w:rPr>
          <w:color w:val="auto"/>
          <w:highlight w:val="none"/>
        </w:rPr>
        <w:t xml:space="preserve">5 </w:t>
      </w:r>
      <w:r>
        <w:rPr>
          <w:rFonts w:hint="eastAsia" w:cs="黑体"/>
          <w:color w:val="auto"/>
          <w:highlight w:val="none"/>
        </w:rPr>
        <w:t>开标</w:t>
      </w:r>
      <w:r>
        <w:rPr>
          <w:color w:val="auto"/>
          <w:highlight w:val="none"/>
        </w:rPr>
        <w:tab/>
      </w:r>
      <w:r>
        <w:rPr>
          <w:color w:val="auto"/>
          <w:highlight w:val="none"/>
        </w:rPr>
        <w:fldChar w:fldCharType="begin"/>
      </w:r>
      <w:r>
        <w:rPr>
          <w:color w:val="auto"/>
          <w:highlight w:val="none"/>
        </w:rPr>
        <w:instrText xml:space="preserve"> PAGEREF _Toc17516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_Toc984 </w:instrText>
      </w:r>
      <w:r>
        <w:rPr>
          <w:color w:val="auto"/>
          <w:highlight w:val="none"/>
        </w:rPr>
        <w:fldChar w:fldCharType="separate"/>
      </w:r>
      <w:r>
        <w:rPr>
          <w:color w:val="auto"/>
          <w:highlight w:val="none"/>
        </w:rPr>
        <w:t xml:space="preserve">5.1 </w:t>
      </w:r>
      <w:r>
        <w:rPr>
          <w:rFonts w:hint="eastAsia" w:cs="黑体"/>
          <w:color w:val="auto"/>
          <w:highlight w:val="none"/>
        </w:rPr>
        <w:t>开标时间和地点</w:t>
      </w:r>
      <w:r>
        <w:rPr>
          <w:color w:val="auto"/>
          <w:highlight w:val="none"/>
        </w:rPr>
        <w:tab/>
      </w:r>
      <w:r>
        <w:rPr>
          <w:color w:val="auto"/>
          <w:highlight w:val="none"/>
        </w:rPr>
        <w:fldChar w:fldCharType="begin"/>
      </w:r>
      <w:r>
        <w:rPr>
          <w:color w:val="auto"/>
          <w:highlight w:val="none"/>
        </w:rPr>
        <w:instrText xml:space="preserve"> PAGEREF _Toc984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_Toc28808 </w:instrText>
      </w:r>
      <w:r>
        <w:rPr>
          <w:color w:val="auto"/>
          <w:highlight w:val="none"/>
        </w:rPr>
        <w:fldChar w:fldCharType="separate"/>
      </w:r>
      <w:r>
        <w:rPr>
          <w:color w:val="auto"/>
          <w:highlight w:val="none"/>
        </w:rPr>
        <w:t xml:space="preserve">5.2 </w:t>
      </w:r>
      <w:r>
        <w:rPr>
          <w:rFonts w:hint="eastAsia" w:cs="黑体"/>
          <w:color w:val="auto"/>
          <w:highlight w:val="none"/>
        </w:rPr>
        <w:t>开标程序</w:t>
      </w:r>
      <w:r>
        <w:rPr>
          <w:color w:val="auto"/>
          <w:highlight w:val="none"/>
        </w:rPr>
        <w:tab/>
      </w:r>
      <w:r>
        <w:rPr>
          <w:color w:val="auto"/>
          <w:highlight w:val="none"/>
        </w:rPr>
        <w:fldChar w:fldCharType="begin"/>
      </w:r>
      <w:r>
        <w:rPr>
          <w:color w:val="auto"/>
          <w:highlight w:val="none"/>
        </w:rPr>
        <w:instrText xml:space="preserve"> PAGEREF _Toc28808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_Toc21072 </w:instrText>
      </w:r>
      <w:r>
        <w:rPr>
          <w:color w:val="auto"/>
          <w:highlight w:val="none"/>
        </w:rPr>
        <w:fldChar w:fldCharType="separate"/>
      </w:r>
      <w:r>
        <w:rPr>
          <w:color w:val="auto"/>
          <w:highlight w:val="none"/>
        </w:rPr>
        <w:t>5.3</w:t>
      </w:r>
      <w:r>
        <w:rPr>
          <w:rFonts w:hAnsi="宋体"/>
          <w:color w:val="auto"/>
          <w:highlight w:val="none"/>
        </w:rPr>
        <w:t xml:space="preserve"> </w:t>
      </w:r>
      <w:r>
        <w:rPr>
          <w:rFonts w:hint="eastAsia" w:cs="黑体"/>
          <w:color w:val="auto"/>
          <w:highlight w:val="none"/>
        </w:rPr>
        <w:t>不予开标</w:t>
      </w:r>
      <w:r>
        <w:rPr>
          <w:color w:val="auto"/>
          <w:highlight w:val="none"/>
        </w:rPr>
        <w:tab/>
      </w:r>
      <w:r>
        <w:rPr>
          <w:color w:val="auto"/>
          <w:highlight w:val="none"/>
        </w:rPr>
        <w:fldChar w:fldCharType="begin"/>
      </w:r>
      <w:r>
        <w:rPr>
          <w:color w:val="auto"/>
          <w:highlight w:val="none"/>
        </w:rPr>
        <w:instrText xml:space="preserve"> PAGEREF _Toc21072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_Toc31582 </w:instrText>
      </w:r>
      <w:r>
        <w:rPr>
          <w:color w:val="auto"/>
          <w:highlight w:val="none"/>
        </w:rPr>
        <w:fldChar w:fldCharType="separate"/>
      </w:r>
      <w:r>
        <w:rPr>
          <w:color w:val="auto"/>
          <w:highlight w:val="none"/>
        </w:rPr>
        <w:t>5.</w:t>
      </w:r>
      <w:r>
        <w:rPr>
          <w:color w:val="auto"/>
          <w:highlight w:val="none"/>
          <w:lang w:val="en-US"/>
        </w:rPr>
        <w:t>4</w:t>
      </w:r>
      <w:r>
        <w:rPr>
          <w:color w:val="auto"/>
          <w:highlight w:val="none"/>
        </w:rPr>
        <w:t xml:space="preserve"> </w:t>
      </w:r>
      <w:r>
        <w:rPr>
          <w:rFonts w:hint="eastAsia" w:cs="黑体"/>
          <w:color w:val="auto"/>
          <w:highlight w:val="none"/>
        </w:rPr>
        <w:t>开标异议</w:t>
      </w:r>
      <w:r>
        <w:rPr>
          <w:color w:val="auto"/>
          <w:highlight w:val="none"/>
        </w:rPr>
        <w:tab/>
      </w:r>
      <w:r>
        <w:rPr>
          <w:color w:val="auto"/>
          <w:highlight w:val="none"/>
        </w:rPr>
        <w:fldChar w:fldCharType="begin"/>
      </w:r>
      <w:r>
        <w:rPr>
          <w:color w:val="auto"/>
          <w:highlight w:val="none"/>
        </w:rPr>
        <w:instrText xml:space="preserve"> PAGEREF _Toc31582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_Toc818 </w:instrText>
      </w:r>
      <w:r>
        <w:rPr>
          <w:color w:val="auto"/>
          <w:highlight w:val="none"/>
        </w:rPr>
        <w:fldChar w:fldCharType="separate"/>
      </w:r>
      <w:r>
        <w:rPr>
          <w:color w:val="auto"/>
          <w:highlight w:val="none"/>
        </w:rPr>
        <w:t xml:space="preserve">6 </w:t>
      </w:r>
      <w:r>
        <w:rPr>
          <w:rFonts w:hint="eastAsia" w:cs="黑体"/>
          <w:color w:val="auto"/>
          <w:highlight w:val="none"/>
        </w:rPr>
        <w:t>评标</w:t>
      </w:r>
      <w:r>
        <w:rPr>
          <w:color w:val="auto"/>
          <w:highlight w:val="none"/>
        </w:rPr>
        <w:tab/>
      </w:r>
      <w:r>
        <w:rPr>
          <w:color w:val="auto"/>
          <w:highlight w:val="none"/>
        </w:rPr>
        <w:fldChar w:fldCharType="begin"/>
      </w:r>
      <w:r>
        <w:rPr>
          <w:color w:val="auto"/>
          <w:highlight w:val="none"/>
        </w:rPr>
        <w:instrText xml:space="preserve"> PAGEREF _Toc818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_Toc22570 </w:instrText>
      </w:r>
      <w:r>
        <w:rPr>
          <w:color w:val="auto"/>
          <w:highlight w:val="none"/>
        </w:rPr>
        <w:fldChar w:fldCharType="separate"/>
      </w:r>
      <w:r>
        <w:rPr>
          <w:color w:val="auto"/>
          <w:highlight w:val="none"/>
        </w:rPr>
        <w:t xml:space="preserve">6.1 </w:t>
      </w:r>
      <w:r>
        <w:rPr>
          <w:rFonts w:hint="eastAsia" w:cs="黑体"/>
          <w:color w:val="auto"/>
          <w:highlight w:val="none"/>
        </w:rPr>
        <w:t>评标委员会</w:t>
      </w:r>
      <w:r>
        <w:rPr>
          <w:color w:val="auto"/>
          <w:highlight w:val="none"/>
        </w:rPr>
        <w:tab/>
      </w:r>
      <w:r>
        <w:rPr>
          <w:color w:val="auto"/>
          <w:highlight w:val="none"/>
        </w:rPr>
        <w:fldChar w:fldCharType="begin"/>
      </w:r>
      <w:r>
        <w:rPr>
          <w:color w:val="auto"/>
          <w:highlight w:val="none"/>
        </w:rPr>
        <w:instrText xml:space="preserve"> PAGEREF _Toc22570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_Toc29592 </w:instrText>
      </w:r>
      <w:r>
        <w:rPr>
          <w:color w:val="auto"/>
          <w:highlight w:val="none"/>
        </w:rPr>
        <w:fldChar w:fldCharType="separate"/>
      </w:r>
      <w:r>
        <w:rPr>
          <w:color w:val="auto"/>
          <w:highlight w:val="none"/>
        </w:rPr>
        <w:t xml:space="preserve">6.2 </w:t>
      </w:r>
      <w:r>
        <w:rPr>
          <w:rFonts w:hint="eastAsia" w:cs="黑体"/>
          <w:color w:val="auto"/>
          <w:highlight w:val="none"/>
        </w:rPr>
        <w:t>评标原则</w:t>
      </w:r>
      <w:r>
        <w:rPr>
          <w:color w:val="auto"/>
          <w:highlight w:val="none"/>
        </w:rPr>
        <w:tab/>
      </w:r>
      <w:r>
        <w:rPr>
          <w:color w:val="auto"/>
          <w:highlight w:val="none"/>
        </w:rPr>
        <w:fldChar w:fldCharType="begin"/>
      </w:r>
      <w:r>
        <w:rPr>
          <w:color w:val="auto"/>
          <w:highlight w:val="none"/>
        </w:rPr>
        <w:instrText xml:space="preserve"> PAGEREF _Toc29592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_Toc29507 </w:instrText>
      </w:r>
      <w:r>
        <w:rPr>
          <w:color w:val="auto"/>
          <w:highlight w:val="none"/>
        </w:rPr>
        <w:fldChar w:fldCharType="separate"/>
      </w:r>
      <w:r>
        <w:rPr>
          <w:color w:val="auto"/>
          <w:highlight w:val="none"/>
        </w:rPr>
        <w:t xml:space="preserve">6.3 </w:t>
      </w:r>
      <w:r>
        <w:rPr>
          <w:rFonts w:hint="eastAsia" w:cs="黑体"/>
          <w:color w:val="auto"/>
          <w:highlight w:val="none"/>
        </w:rPr>
        <w:t>评标方式</w:t>
      </w:r>
      <w:r>
        <w:rPr>
          <w:color w:val="auto"/>
          <w:highlight w:val="none"/>
        </w:rPr>
        <w:tab/>
      </w:r>
      <w:r>
        <w:rPr>
          <w:color w:val="auto"/>
          <w:highlight w:val="none"/>
        </w:rPr>
        <w:fldChar w:fldCharType="begin"/>
      </w:r>
      <w:r>
        <w:rPr>
          <w:color w:val="auto"/>
          <w:highlight w:val="none"/>
        </w:rPr>
        <w:instrText xml:space="preserve"> PAGEREF _Toc29507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_Toc23440 </w:instrText>
      </w:r>
      <w:r>
        <w:rPr>
          <w:color w:val="auto"/>
          <w:highlight w:val="none"/>
        </w:rPr>
        <w:fldChar w:fldCharType="separate"/>
      </w:r>
      <w:r>
        <w:rPr>
          <w:color w:val="auto"/>
          <w:highlight w:val="none"/>
        </w:rPr>
        <w:t xml:space="preserve">6.4 </w:t>
      </w:r>
      <w:r>
        <w:rPr>
          <w:rFonts w:hint="eastAsia" w:cs="黑体"/>
          <w:color w:val="auto"/>
          <w:highlight w:val="none"/>
        </w:rPr>
        <w:t>移交评标资料</w:t>
      </w:r>
      <w:r>
        <w:rPr>
          <w:color w:val="auto"/>
          <w:highlight w:val="none"/>
        </w:rPr>
        <w:tab/>
      </w:r>
      <w:r>
        <w:rPr>
          <w:color w:val="auto"/>
          <w:highlight w:val="none"/>
        </w:rPr>
        <w:fldChar w:fldCharType="begin"/>
      </w:r>
      <w:r>
        <w:rPr>
          <w:color w:val="auto"/>
          <w:highlight w:val="none"/>
        </w:rPr>
        <w:instrText xml:space="preserve"> PAGEREF _Toc23440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_Toc5419 </w:instrText>
      </w:r>
      <w:r>
        <w:rPr>
          <w:color w:val="auto"/>
          <w:highlight w:val="none"/>
        </w:rPr>
        <w:fldChar w:fldCharType="separate"/>
      </w:r>
      <w:r>
        <w:rPr>
          <w:color w:val="auto"/>
          <w:highlight w:val="none"/>
        </w:rPr>
        <w:t xml:space="preserve">6.5 </w:t>
      </w:r>
      <w:r>
        <w:rPr>
          <w:rFonts w:hint="eastAsia" w:cs="黑体"/>
          <w:color w:val="auto"/>
          <w:highlight w:val="none"/>
        </w:rPr>
        <w:t>评标资料封存和启封</w:t>
      </w:r>
      <w:r>
        <w:rPr>
          <w:color w:val="auto"/>
          <w:highlight w:val="none"/>
        </w:rPr>
        <w:tab/>
      </w:r>
      <w:r>
        <w:rPr>
          <w:color w:val="auto"/>
          <w:highlight w:val="none"/>
        </w:rPr>
        <w:fldChar w:fldCharType="begin"/>
      </w:r>
      <w:r>
        <w:rPr>
          <w:color w:val="auto"/>
          <w:highlight w:val="none"/>
        </w:rPr>
        <w:instrText xml:space="preserve"> PAGEREF _Toc5419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_Toc22404 </w:instrText>
      </w:r>
      <w:r>
        <w:rPr>
          <w:color w:val="auto"/>
          <w:highlight w:val="none"/>
        </w:rPr>
        <w:fldChar w:fldCharType="separate"/>
      </w:r>
      <w:r>
        <w:rPr>
          <w:color w:val="auto"/>
          <w:highlight w:val="none"/>
        </w:rPr>
        <w:t xml:space="preserve">6.6 </w:t>
      </w:r>
      <w:r>
        <w:rPr>
          <w:rFonts w:hint="eastAsia" w:cs="黑体"/>
          <w:color w:val="auto"/>
          <w:highlight w:val="none"/>
        </w:rPr>
        <w:t>中标候选人公示</w:t>
      </w:r>
      <w:r>
        <w:rPr>
          <w:color w:val="auto"/>
          <w:highlight w:val="none"/>
        </w:rPr>
        <w:tab/>
      </w:r>
      <w:r>
        <w:rPr>
          <w:color w:val="auto"/>
          <w:highlight w:val="none"/>
        </w:rPr>
        <w:fldChar w:fldCharType="begin"/>
      </w:r>
      <w:r>
        <w:rPr>
          <w:color w:val="auto"/>
          <w:highlight w:val="none"/>
        </w:rPr>
        <w:instrText xml:space="preserve"> PAGEREF _Toc22404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_Toc12009 </w:instrText>
      </w:r>
      <w:r>
        <w:rPr>
          <w:color w:val="auto"/>
          <w:highlight w:val="none"/>
        </w:rPr>
        <w:fldChar w:fldCharType="separate"/>
      </w:r>
      <w:r>
        <w:rPr>
          <w:color w:val="auto"/>
          <w:highlight w:val="none"/>
        </w:rPr>
        <w:t>6.7</w:t>
      </w:r>
      <w:r>
        <w:rPr>
          <w:rFonts w:hint="eastAsia" w:cs="黑体"/>
          <w:color w:val="auto"/>
          <w:highlight w:val="none"/>
        </w:rPr>
        <w:t>履约能力审查</w:t>
      </w:r>
      <w:r>
        <w:rPr>
          <w:color w:val="auto"/>
          <w:highlight w:val="none"/>
        </w:rPr>
        <w:tab/>
      </w:r>
      <w:r>
        <w:rPr>
          <w:color w:val="auto"/>
          <w:highlight w:val="none"/>
        </w:rPr>
        <w:fldChar w:fldCharType="begin"/>
      </w:r>
      <w:r>
        <w:rPr>
          <w:color w:val="auto"/>
          <w:highlight w:val="none"/>
        </w:rPr>
        <w:instrText xml:space="preserve"> PAGEREF _Toc12009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_Toc18839 </w:instrText>
      </w:r>
      <w:r>
        <w:rPr>
          <w:color w:val="auto"/>
          <w:highlight w:val="none"/>
        </w:rPr>
        <w:fldChar w:fldCharType="separate"/>
      </w:r>
      <w:r>
        <w:rPr>
          <w:color w:val="auto"/>
          <w:highlight w:val="none"/>
        </w:rPr>
        <w:t xml:space="preserve">7 </w:t>
      </w:r>
      <w:r>
        <w:rPr>
          <w:rFonts w:hint="eastAsia" w:cs="黑体"/>
          <w:color w:val="auto"/>
          <w:highlight w:val="none"/>
        </w:rPr>
        <w:t>合同授予</w:t>
      </w:r>
      <w:r>
        <w:rPr>
          <w:color w:val="auto"/>
          <w:highlight w:val="none"/>
        </w:rPr>
        <w:tab/>
      </w:r>
      <w:r>
        <w:rPr>
          <w:color w:val="auto"/>
          <w:highlight w:val="none"/>
        </w:rPr>
        <w:fldChar w:fldCharType="begin"/>
      </w:r>
      <w:r>
        <w:rPr>
          <w:color w:val="auto"/>
          <w:highlight w:val="none"/>
        </w:rPr>
        <w:instrText xml:space="preserve"> PAGEREF _Toc18839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_Toc25194 </w:instrText>
      </w:r>
      <w:r>
        <w:rPr>
          <w:color w:val="auto"/>
          <w:highlight w:val="none"/>
        </w:rPr>
        <w:fldChar w:fldCharType="separate"/>
      </w:r>
      <w:r>
        <w:rPr>
          <w:color w:val="auto"/>
          <w:highlight w:val="none"/>
        </w:rPr>
        <w:t xml:space="preserve">7.1 </w:t>
      </w:r>
      <w:r>
        <w:rPr>
          <w:rFonts w:hint="eastAsia" w:cs="黑体"/>
          <w:color w:val="auto"/>
          <w:highlight w:val="none"/>
        </w:rPr>
        <w:t>定标方式</w:t>
      </w:r>
      <w:r>
        <w:rPr>
          <w:color w:val="auto"/>
          <w:highlight w:val="none"/>
        </w:rPr>
        <w:tab/>
      </w:r>
      <w:r>
        <w:rPr>
          <w:color w:val="auto"/>
          <w:highlight w:val="none"/>
        </w:rPr>
        <w:fldChar w:fldCharType="begin"/>
      </w:r>
      <w:r>
        <w:rPr>
          <w:color w:val="auto"/>
          <w:highlight w:val="none"/>
        </w:rPr>
        <w:instrText xml:space="preserve"> PAGEREF _Toc25194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_Toc15116 </w:instrText>
      </w:r>
      <w:r>
        <w:rPr>
          <w:color w:val="auto"/>
          <w:highlight w:val="none"/>
        </w:rPr>
        <w:fldChar w:fldCharType="separate"/>
      </w:r>
      <w:r>
        <w:rPr>
          <w:color w:val="auto"/>
          <w:highlight w:val="none"/>
        </w:rPr>
        <w:t xml:space="preserve">7.2 </w:t>
      </w:r>
      <w:r>
        <w:rPr>
          <w:rFonts w:hint="eastAsia" w:cs="黑体"/>
          <w:color w:val="auto"/>
          <w:highlight w:val="none"/>
        </w:rPr>
        <w:t>中标通知及中标公告</w:t>
      </w:r>
      <w:r>
        <w:rPr>
          <w:color w:val="auto"/>
          <w:highlight w:val="none"/>
        </w:rPr>
        <w:tab/>
      </w:r>
      <w:r>
        <w:rPr>
          <w:color w:val="auto"/>
          <w:highlight w:val="none"/>
        </w:rPr>
        <w:fldChar w:fldCharType="begin"/>
      </w:r>
      <w:r>
        <w:rPr>
          <w:color w:val="auto"/>
          <w:highlight w:val="none"/>
        </w:rPr>
        <w:instrText xml:space="preserve"> PAGEREF _Toc15116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_Toc28352 </w:instrText>
      </w:r>
      <w:r>
        <w:rPr>
          <w:color w:val="auto"/>
          <w:highlight w:val="none"/>
        </w:rPr>
        <w:fldChar w:fldCharType="separate"/>
      </w:r>
      <w:r>
        <w:rPr>
          <w:color w:val="auto"/>
          <w:highlight w:val="none"/>
        </w:rPr>
        <w:t xml:space="preserve">7.3 </w:t>
      </w:r>
      <w:r>
        <w:rPr>
          <w:rFonts w:hint="eastAsia" w:cs="黑体"/>
          <w:color w:val="auto"/>
          <w:highlight w:val="none"/>
        </w:rPr>
        <w:t>履约保证金</w:t>
      </w:r>
      <w:r>
        <w:rPr>
          <w:color w:val="auto"/>
          <w:highlight w:val="none"/>
        </w:rPr>
        <w:tab/>
      </w:r>
      <w:r>
        <w:rPr>
          <w:color w:val="auto"/>
          <w:highlight w:val="none"/>
        </w:rPr>
        <w:fldChar w:fldCharType="begin"/>
      </w:r>
      <w:r>
        <w:rPr>
          <w:color w:val="auto"/>
          <w:highlight w:val="none"/>
        </w:rPr>
        <w:instrText xml:space="preserve"> PAGEREF _Toc28352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_Toc26120 </w:instrText>
      </w:r>
      <w:r>
        <w:rPr>
          <w:color w:val="auto"/>
          <w:highlight w:val="none"/>
        </w:rPr>
        <w:fldChar w:fldCharType="separate"/>
      </w:r>
      <w:r>
        <w:rPr>
          <w:color w:val="auto"/>
          <w:highlight w:val="none"/>
        </w:rPr>
        <w:t xml:space="preserve">7.4 </w:t>
      </w:r>
      <w:r>
        <w:rPr>
          <w:rFonts w:hint="eastAsia" w:cs="黑体"/>
          <w:color w:val="auto"/>
          <w:highlight w:val="none"/>
        </w:rPr>
        <w:t>签订合同</w:t>
      </w:r>
      <w:r>
        <w:rPr>
          <w:color w:val="auto"/>
          <w:highlight w:val="none"/>
        </w:rPr>
        <w:tab/>
      </w:r>
      <w:r>
        <w:rPr>
          <w:color w:val="auto"/>
          <w:highlight w:val="none"/>
        </w:rPr>
        <w:fldChar w:fldCharType="begin"/>
      </w:r>
      <w:r>
        <w:rPr>
          <w:color w:val="auto"/>
          <w:highlight w:val="none"/>
        </w:rPr>
        <w:instrText xml:space="preserve"> PAGEREF _Toc26120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_Toc10097 </w:instrText>
      </w:r>
      <w:r>
        <w:rPr>
          <w:color w:val="auto"/>
          <w:highlight w:val="none"/>
        </w:rPr>
        <w:fldChar w:fldCharType="separate"/>
      </w:r>
      <w:r>
        <w:rPr>
          <w:color w:val="auto"/>
          <w:highlight w:val="none"/>
        </w:rPr>
        <w:t xml:space="preserve">8 </w:t>
      </w:r>
      <w:r>
        <w:rPr>
          <w:rFonts w:hint="eastAsia" w:cs="黑体"/>
          <w:color w:val="auto"/>
          <w:highlight w:val="none"/>
        </w:rPr>
        <w:t>重新招标和不再招标</w:t>
      </w:r>
      <w:r>
        <w:rPr>
          <w:color w:val="auto"/>
          <w:highlight w:val="none"/>
        </w:rPr>
        <w:tab/>
      </w:r>
      <w:r>
        <w:rPr>
          <w:color w:val="auto"/>
          <w:highlight w:val="none"/>
        </w:rPr>
        <w:fldChar w:fldCharType="begin"/>
      </w:r>
      <w:r>
        <w:rPr>
          <w:color w:val="auto"/>
          <w:highlight w:val="none"/>
        </w:rPr>
        <w:instrText xml:space="preserve"> PAGEREF _Toc10097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_Toc4642 </w:instrText>
      </w:r>
      <w:r>
        <w:rPr>
          <w:color w:val="auto"/>
          <w:highlight w:val="none"/>
        </w:rPr>
        <w:fldChar w:fldCharType="separate"/>
      </w:r>
      <w:r>
        <w:rPr>
          <w:color w:val="auto"/>
          <w:highlight w:val="none"/>
        </w:rPr>
        <w:t xml:space="preserve">8.1 </w:t>
      </w:r>
      <w:r>
        <w:rPr>
          <w:rFonts w:hint="eastAsia" w:cs="黑体"/>
          <w:color w:val="auto"/>
          <w:highlight w:val="none"/>
        </w:rPr>
        <w:t>重新招标</w:t>
      </w:r>
      <w:r>
        <w:rPr>
          <w:color w:val="auto"/>
          <w:highlight w:val="none"/>
        </w:rPr>
        <w:tab/>
      </w:r>
      <w:r>
        <w:rPr>
          <w:color w:val="auto"/>
          <w:highlight w:val="none"/>
        </w:rPr>
        <w:fldChar w:fldCharType="begin"/>
      </w:r>
      <w:r>
        <w:rPr>
          <w:color w:val="auto"/>
          <w:highlight w:val="none"/>
        </w:rPr>
        <w:instrText xml:space="preserve"> PAGEREF _Toc4642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_Toc5948 </w:instrText>
      </w:r>
      <w:r>
        <w:rPr>
          <w:color w:val="auto"/>
          <w:highlight w:val="none"/>
        </w:rPr>
        <w:fldChar w:fldCharType="separate"/>
      </w:r>
      <w:r>
        <w:rPr>
          <w:color w:val="auto"/>
          <w:highlight w:val="none"/>
        </w:rPr>
        <w:t xml:space="preserve">8.2 </w:t>
      </w:r>
      <w:r>
        <w:rPr>
          <w:rFonts w:hint="eastAsia" w:cs="黑体"/>
          <w:color w:val="auto"/>
          <w:highlight w:val="none"/>
        </w:rPr>
        <w:t>不再招标</w:t>
      </w:r>
      <w:r>
        <w:rPr>
          <w:color w:val="auto"/>
          <w:highlight w:val="none"/>
        </w:rPr>
        <w:tab/>
      </w:r>
      <w:r>
        <w:rPr>
          <w:color w:val="auto"/>
          <w:highlight w:val="none"/>
        </w:rPr>
        <w:fldChar w:fldCharType="begin"/>
      </w:r>
      <w:r>
        <w:rPr>
          <w:color w:val="auto"/>
          <w:highlight w:val="none"/>
        </w:rPr>
        <w:instrText xml:space="preserve"> PAGEREF _Toc5948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_Toc664 </w:instrText>
      </w:r>
      <w:r>
        <w:rPr>
          <w:color w:val="auto"/>
          <w:highlight w:val="none"/>
        </w:rPr>
        <w:fldChar w:fldCharType="separate"/>
      </w:r>
      <w:r>
        <w:rPr>
          <w:color w:val="auto"/>
          <w:highlight w:val="none"/>
        </w:rPr>
        <w:t xml:space="preserve">9 </w:t>
      </w:r>
      <w:r>
        <w:rPr>
          <w:rFonts w:hint="eastAsia" w:cs="黑体"/>
          <w:color w:val="auto"/>
          <w:highlight w:val="none"/>
        </w:rPr>
        <w:t>纪律和监督</w:t>
      </w:r>
      <w:r>
        <w:rPr>
          <w:color w:val="auto"/>
          <w:highlight w:val="none"/>
        </w:rPr>
        <w:tab/>
      </w:r>
      <w:r>
        <w:rPr>
          <w:color w:val="auto"/>
          <w:highlight w:val="none"/>
        </w:rPr>
        <w:fldChar w:fldCharType="begin"/>
      </w:r>
      <w:r>
        <w:rPr>
          <w:color w:val="auto"/>
          <w:highlight w:val="none"/>
        </w:rPr>
        <w:instrText xml:space="preserve"> PAGEREF _Toc664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_Toc12792 </w:instrText>
      </w:r>
      <w:r>
        <w:rPr>
          <w:color w:val="auto"/>
          <w:highlight w:val="none"/>
        </w:rPr>
        <w:fldChar w:fldCharType="separate"/>
      </w:r>
      <w:r>
        <w:rPr>
          <w:color w:val="auto"/>
          <w:highlight w:val="none"/>
        </w:rPr>
        <w:t xml:space="preserve">9.1 </w:t>
      </w:r>
      <w:r>
        <w:rPr>
          <w:rFonts w:hint="eastAsia" w:cs="黑体"/>
          <w:color w:val="auto"/>
          <w:highlight w:val="none"/>
        </w:rPr>
        <w:t>对招标人或招标代理机构的纪律要求</w:t>
      </w:r>
      <w:r>
        <w:rPr>
          <w:color w:val="auto"/>
          <w:highlight w:val="none"/>
        </w:rPr>
        <w:tab/>
      </w:r>
      <w:r>
        <w:rPr>
          <w:color w:val="auto"/>
          <w:highlight w:val="none"/>
        </w:rPr>
        <w:fldChar w:fldCharType="begin"/>
      </w:r>
      <w:r>
        <w:rPr>
          <w:color w:val="auto"/>
          <w:highlight w:val="none"/>
        </w:rPr>
        <w:instrText xml:space="preserve"> PAGEREF _Toc12792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_Toc27437 </w:instrText>
      </w:r>
      <w:r>
        <w:rPr>
          <w:color w:val="auto"/>
          <w:highlight w:val="none"/>
        </w:rPr>
        <w:fldChar w:fldCharType="separate"/>
      </w:r>
      <w:r>
        <w:rPr>
          <w:color w:val="auto"/>
          <w:highlight w:val="none"/>
        </w:rPr>
        <w:t xml:space="preserve">9.2 </w:t>
      </w:r>
      <w:r>
        <w:rPr>
          <w:rFonts w:hint="eastAsia" w:cs="黑体"/>
          <w:color w:val="auto"/>
          <w:highlight w:val="none"/>
        </w:rPr>
        <w:t>对投标人的纪律要求</w:t>
      </w:r>
      <w:r>
        <w:rPr>
          <w:color w:val="auto"/>
          <w:highlight w:val="none"/>
        </w:rPr>
        <w:tab/>
      </w:r>
      <w:r>
        <w:rPr>
          <w:color w:val="auto"/>
          <w:highlight w:val="none"/>
        </w:rPr>
        <w:fldChar w:fldCharType="begin"/>
      </w:r>
      <w:r>
        <w:rPr>
          <w:color w:val="auto"/>
          <w:highlight w:val="none"/>
        </w:rPr>
        <w:instrText xml:space="preserve"> PAGEREF _Toc27437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_Toc22139 </w:instrText>
      </w:r>
      <w:r>
        <w:rPr>
          <w:color w:val="auto"/>
          <w:highlight w:val="none"/>
        </w:rPr>
        <w:fldChar w:fldCharType="separate"/>
      </w:r>
      <w:r>
        <w:rPr>
          <w:color w:val="auto"/>
          <w:highlight w:val="none"/>
        </w:rPr>
        <w:t xml:space="preserve">9.3 </w:t>
      </w:r>
      <w:r>
        <w:rPr>
          <w:rFonts w:hint="eastAsia" w:cs="黑体"/>
          <w:color w:val="auto"/>
          <w:highlight w:val="none"/>
        </w:rPr>
        <w:t>对评标委员会成员的纪律要求</w:t>
      </w:r>
      <w:r>
        <w:rPr>
          <w:color w:val="auto"/>
          <w:highlight w:val="none"/>
        </w:rPr>
        <w:tab/>
      </w:r>
      <w:r>
        <w:rPr>
          <w:color w:val="auto"/>
          <w:highlight w:val="none"/>
        </w:rPr>
        <w:fldChar w:fldCharType="begin"/>
      </w:r>
      <w:r>
        <w:rPr>
          <w:color w:val="auto"/>
          <w:highlight w:val="none"/>
        </w:rPr>
        <w:instrText xml:space="preserve"> PAGEREF _Toc22139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_Toc18684 </w:instrText>
      </w:r>
      <w:r>
        <w:rPr>
          <w:color w:val="auto"/>
          <w:highlight w:val="none"/>
        </w:rPr>
        <w:fldChar w:fldCharType="separate"/>
      </w:r>
      <w:r>
        <w:rPr>
          <w:color w:val="auto"/>
          <w:highlight w:val="none"/>
        </w:rPr>
        <w:t xml:space="preserve">9.4 </w:t>
      </w:r>
      <w:r>
        <w:rPr>
          <w:rFonts w:hint="eastAsia" w:cs="黑体"/>
          <w:color w:val="auto"/>
          <w:highlight w:val="none"/>
        </w:rPr>
        <w:t>对与评标活动有关的工作人员的纪律要求</w:t>
      </w:r>
      <w:r>
        <w:rPr>
          <w:color w:val="auto"/>
          <w:highlight w:val="none"/>
        </w:rPr>
        <w:tab/>
      </w:r>
      <w:r>
        <w:rPr>
          <w:color w:val="auto"/>
          <w:highlight w:val="none"/>
        </w:rPr>
        <w:fldChar w:fldCharType="begin"/>
      </w:r>
      <w:r>
        <w:rPr>
          <w:color w:val="auto"/>
          <w:highlight w:val="none"/>
        </w:rPr>
        <w:instrText xml:space="preserve"> PAGEREF _Toc18684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_Toc10411 </w:instrText>
      </w:r>
      <w:r>
        <w:rPr>
          <w:color w:val="auto"/>
          <w:highlight w:val="none"/>
        </w:rPr>
        <w:fldChar w:fldCharType="separate"/>
      </w:r>
      <w:r>
        <w:rPr>
          <w:color w:val="auto"/>
          <w:highlight w:val="none"/>
        </w:rPr>
        <w:t xml:space="preserve">9.5 </w:t>
      </w:r>
      <w:r>
        <w:rPr>
          <w:rFonts w:hint="eastAsia" w:cs="黑体"/>
          <w:color w:val="auto"/>
          <w:highlight w:val="none"/>
        </w:rPr>
        <w:t>投诉</w:t>
      </w:r>
      <w:r>
        <w:rPr>
          <w:color w:val="auto"/>
          <w:highlight w:val="none"/>
        </w:rPr>
        <w:tab/>
      </w:r>
      <w:r>
        <w:rPr>
          <w:color w:val="auto"/>
          <w:highlight w:val="none"/>
        </w:rPr>
        <w:fldChar w:fldCharType="begin"/>
      </w:r>
      <w:r>
        <w:rPr>
          <w:color w:val="auto"/>
          <w:highlight w:val="none"/>
        </w:rPr>
        <w:instrText xml:space="preserve"> PAGEREF _Toc10411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_Toc9913 </w:instrText>
      </w:r>
      <w:r>
        <w:rPr>
          <w:color w:val="auto"/>
          <w:highlight w:val="none"/>
        </w:rPr>
        <w:fldChar w:fldCharType="separate"/>
      </w:r>
      <w:r>
        <w:rPr>
          <w:color w:val="auto"/>
          <w:highlight w:val="none"/>
        </w:rPr>
        <w:t xml:space="preserve">10 </w:t>
      </w:r>
      <w:r>
        <w:rPr>
          <w:rFonts w:hint="eastAsia" w:cs="黑体"/>
          <w:color w:val="auto"/>
          <w:highlight w:val="none"/>
        </w:rPr>
        <w:t>需要补充的其他内容</w:t>
      </w:r>
      <w:r>
        <w:rPr>
          <w:color w:val="auto"/>
          <w:highlight w:val="none"/>
        </w:rPr>
        <w:tab/>
      </w:r>
      <w:r>
        <w:rPr>
          <w:color w:val="auto"/>
          <w:highlight w:val="none"/>
        </w:rPr>
        <w:fldChar w:fldCharType="begin"/>
      </w:r>
      <w:r>
        <w:rPr>
          <w:color w:val="auto"/>
          <w:highlight w:val="none"/>
        </w:rPr>
        <w:instrText xml:space="preserve"> PAGEREF _Toc9913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_Toc19752 </w:instrText>
      </w:r>
      <w:r>
        <w:rPr>
          <w:color w:val="auto"/>
          <w:highlight w:val="none"/>
        </w:rPr>
        <w:fldChar w:fldCharType="separate"/>
      </w:r>
      <w:r>
        <w:rPr>
          <w:color w:val="auto"/>
          <w:highlight w:val="none"/>
        </w:rPr>
        <w:t xml:space="preserve">10.1 </w:t>
      </w:r>
      <w:r>
        <w:rPr>
          <w:rFonts w:hint="eastAsia" w:cs="黑体"/>
          <w:color w:val="auto"/>
          <w:highlight w:val="none"/>
        </w:rPr>
        <w:t>词语定义</w:t>
      </w:r>
      <w:r>
        <w:rPr>
          <w:color w:val="auto"/>
          <w:highlight w:val="none"/>
        </w:rPr>
        <w:tab/>
      </w:r>
      <w:r>
        <w:rPr>
          <w:color w:val="auto"/>
          <w:highlight w:val="none"/>
        </w:rPr>
        <w:fldChar w:fldCharType="begin"/>
      </w:r>
      <w:r>
        <w:rPr>
          <w:color w:val="auto"/>
          <w:highlight w:val="none"/>
        </w:rPr>
        <w:instrText xml:space="preserve"> PAGEREF _Toc19752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_Toc20547 </w:instrText>
      </w:r>
      <w:r>
        <w:rPr>
          <w:color w:val="auto"/>
          <w:highlight w:val="none"/>
        </w:rPr>
        <w:fldChar w:fldCharType="separate"/>
      </w:r>
      <w:r>
        <w:rPr>
          <w:color w:val="auto"/>
          <w:highlight w:val="none"/>
        </w:rPr>
        <w:t xml:space="preserve">10.2 </w:t>
      </w:r>
      <w:r>
        <w:rPr>
          <w:rFonts w:hint="eastAsia" w:cs="黑体"/>
          <w:color w:val="auto"/>
          <w:highlight w:val="none"/>
        </w:rPr>
        <w:t>招标控制价</w:t>
      </w:r>
      <w:r>
        <w:rPr>
          <w:color w:val="auto"/>
          <w:highlight w:val="none"/>
        </w:rPr>
        <w:tab/>
      </w:r>
      <w:r>
        <w:rPr>
          <w:color w:val="auto"/>
          <w:highlight w:val="none"/>
        </w:rPr>
        <w:fldChar w:fldCharType="begin"/>
      </w:r>
      <w:r>
        <w:rPr>
          <w:color w:val="auto"/>
          <w:highlight w:val="none"/>
        </w:rPr>
        <w:instrText xml:space="preserve"> PAGEREF _Toc20547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_Toc6958 </w:instrText>
      </w:r>
      <w:r>
        <w:rPr>
          <w:color w:val="auto"/>
          <w:highlight w:val="none"/>
        </w:rPr>
        <w:fldChar w:fldCharType="separate"/>
      </w:r>
      <w:r>
        <w:rPr>
          <w:color w:val="auto"/>
          <w:highlight w:val="none"/>
        </w:rPr>
        <w:t xml:space="preserve">10.3 </w:t>
      </w:r>
      <w:r>
        <w:rPr>
          <w:rFonts w:hint="eastAsia" w:cs="黑体"/>
          <w:color w:val="auto"/>
          <w:highlight w:val="none"/>
        </w:rPr>
        <w:t>技术标</w:t>
      </w:r>
      <w:r>
        <w:rPr>
          <w:rFonts w:cs="黑体"/>
          <w:color w:val="auto"/>
          <w:highlight w:val="none"/>
        </w:rPr>
        <w:t>评审方式</w:t>
      </w:r>
      <w:r>
        <w:rPr>
          <w:color w:val="auto"/>
          <w:highlight w:val="none"/>
        </w:rPr>
        <w:tab/>
      </w:r>
      <w:r>
        <w:rPr>
          <w:color w:val="auto"/>
          <w:highlight w:val="none"/>
        </w:rPr>
        <w:fldChar w:fldCharType="begin"/>
      </w:r>
      <w:r>
        <w:rPr>
          <w:color w:val="auto"/>
          <w:highlight w:val="none"/>
        </w:rPr>
        <w:instrText xml:space="preserve"> PAGEREF _Toc6958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_Toc22381 </w:instrText>
      </w:r>
      <w:r>
        <w:rPr>
          <w:color w:val="auto"/>
          <w:highlight w:val="none"/>
        </w:rPr>
        <w:fldChar w:fldCharType="separate"/>
      </w:r>
      <w:r>
        <w:rPr>
          <w:color w:val="auto"/>
          <w:highlight w:val="none"/>
        </w:rPr>
        <w:t>10.4</w:t>
      </w:r>
      <w:r>
        <w:rPr>
          <w:rFonts w:hint="eastAsia" w:cs="黑体"/>
          <w:color w:val="auto"/>
          <w:highlight w:val="none"/>
        </w:rPr>
        <w:t>投标文件电子版</w:t>
      </w:r>
      <w:r>
        <w:rPr>
          <w:color w:val="auto"/>
          <w:highlight w:val="none"/>
        </w:rPr>
        <w:tab/>
      </w:r>
      <w:r>
        <w:rPr>
          <w:color w:val="auto"/>
          <w:highlight w:val="none"/>
        </w:rPr>
        <w:fldChar w:fldCharType="begin"/>
      </w:r>
      <w:r>
        <w:rPr>
          <w:color w:val="auto"/>
          <w:highlight w:val="none"/>
        </w:rPr>
        <w:instrText xml:space="preserve"> PAGEREF _Toc22381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_Toc16031 </w:instrText>
      </w:r>
      <w:r>
        <w:rPr>
          <w:color w:val="auto"/>
          <w:highlight w:val="none"/>
        </w:rPr>
        <w:fldChar w:fldCharType="separate"/>
      </w:r>
      <w:r>
        <w:rPr>
          <w:color w:val="auto"/>
          <w:highlight w:val="none"/>
        </w:rPr>
        <w:t xml:space="preserve">10.5 </w:t>
      </w:r>
      <w:r>
        <w:rPr>
          <w:rFonts w:hint="eastAsia" w:cs="黑体"/>
          <w:color w:val="auto"/>
          <w:highlight w:val="none"/>
        </w:rPr>
        <w:t>知识产权</w:t>
      </w:r>
      <w:r>
        <w:rPr>
          <w:color w:val="auto"/>
          <w:highlight w:val="none"/>
        </w:rPr>
        <w:tab/>
      </w:r>
      <w:r>
        <w:rPr>
          <w:color w:val="auto"/>
          <w:highlight w:val="none"/>
        </w:rPr>
        <w:fldChar w:fldCharType="begin"/>
      </w:r>
      <w:r>
        <w:rPr>
          <w:color w:val="auto"/>
          <w:highlight w:val="none"/>
        </w:rPr>
        <w:instrText xml:space="preserve"> PAGEREF _Toc16031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_Toc7272 </w:instrText>
      </w:r>
      <w:r>
        <w:rPr>
          <w:color w:val="auto"/>
          <w:highlight w:val="none"/>
        </w:rPr>
        <w:fldChar w:fldCharType="separate"/>
      </w:r>
      <w:r>
        <w:rPr>
          <w:color w:val="auto"/>
          <w:highlight w:val="none"/>
        </w:rPr>
        <w:t xml:space="preserve">10.6 </w:t>
      </w:r>
      <w:r>
        <w:rPr>
          <w:rFonts w:hint="eastAsia" w:cs="黑体"/>
          <w:color w:val="auto"/>
          <w:highlight w:val="none"/>
        </w:rPr>
        <w:t>重新招标的其他情形</w:t>
      </w:r>
      <w:r>
        <w:rPr>
          <w:color w:val="auto"/>
          <w:highlight w:val="none"/>
        </w:rPr>
        <w:tab/>
      </w:r>
      <w:r>
        <w:rPr>
          <w:color w:val="auto"/>
          <w:highlight w:val="none"/>
        </w:rPr>
        <w:fldChar w:fldCharType="begin"/>
      </w:r>
      <w:r>
        <w:rPr>
          <w:color w:val="auto"/>
          <w:highlight w:val="none"/>
        </w:rPr>
        <w:instrText xml:space="preserve"> PAGEREF _Toc7272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_Toc21341 </w:instrText>
      </w:r>
      <w:r>
        <w:rPr>
          <w:color w:val="auto"/>
          <w:highlight w:val="none"/>
        </w:rPr>
        <w:fldChar w:fldCharType="separate"/>
      </w:r>
      <w:r>
        <w:rPr>
          <w:color w:val="auto"/>
          <w:highlight w:val="none"/>
        </w:rPr>
        <w:t xml:space="preserve">10.7 </w:t>
      </w:r>
      <w:r>
        <w:rPr>
          <w:rFonts w:hint="eastAsia" w:cs="黑体"/>
          <w:color w:val="auto"/>
          <w:highlight w:val="none"/>
        </w:rPr>
        <w:t>同义词语</w:t>
      </w:r>
      <w:r>
        <w:rPr>
          <w:color w:val="auto"/>
          <w:highlight w:val="none"/>
        </w:rPr>
        <w:tab/>
      </w:r>
      <w:r>
        <w:rPr>
          <w:color w:val="auto"/>
          <w:highlight w:val="none"/>
        </w:rPr>
        <w:fldChar w:fldCharType="begin"/>
      </w:r>
      <w:r>
        <w:rPr>
          <w:color w:val="auto"/>
          <w:highlight w:val="none"/>
        </w:rPr>
        <w:instrText xml:space="preserve"> PAGEREF _Toc21341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_Toc24125 </w:instrText>
      </w:r>
      <w:r>
        <w:rPr>
          <w:color w:val="auto"/>
          <w:highlight w:val="none"/>
        </w:rPr>
        <w:fldChar w:fldCharType="separate"/>
      </w:r>
      <w:r>
        <w:rPr>
          <w:color w:val="auto"/>
          <w:highlight w:val="none"/>
        </w:rPr>
        <w:t xml:space="preserve">10.8 </w:t>
      </w:r>
      <w:r>
        <w:rPr>
          <w:rFonts w:hint="eastAsia" w:cs="黑体"/>
          <w:color w:val="auto"/>
          <w:highlight w:val="none"/>
        </w:rPr>
        <w:t>监督</w:t>
      </w:r>
      <w:r>
        <w:rPr>
          <w:color w:val="auto"/>
          <w:highlight w:val="none"/>
        </w:rPr>
        <w:tab/>
      </w:r>
      <w:r>
        <w:rPr>
          <w:color w:val="auto"/>
          <w:highlight w:val="none"/>
        </w:rPr>
        <w:fldChar w:fldCharType="begin"/>
      </w:r>
      <w:r>
        <w:rPr>
          <w:color w:val="auto"/>
          <w:highlight w:val="none"/>
        </w:rPr>
        <w:instrText xml:space="preserve"> PAGEREF _Toc24125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_Toc3154 </w:instrText>
      </w:r>
      <w:r>
        <w:rPr>
          <w:color w:val="auto"/>
          <w:highlight w:val="none"/>
        </w:rPr>
        <w:fldChar w:fldCharType="separate"/>
      </w:r>
      <w:r>
        <w:rPr>
          <w:color w:val="auto"/>
          <w:highlight w:val="none"/>
        </w:rPr>
        <w:t xml:space="preserve">10.9 </w:t>
      </w:r>
      <w:r>
        <w:rPr>
          <w:rFonts w:hint="eastAsia" w:cs="黑体"/>
          <w:color w:val="auto"/>
          <w:highlight w:val="none"/>
        </w:rPr>
        <w:t>解释权</w:t>
      </w:r>
      <w:r>
        <w:rPr>
          <w:color w:val="auto"/>
          <w:highlight w:val="none"/>
        </w:rPr>
        <w:tab/>
      </w:r>
      <w:r>
        <w:rPr>
          <w:color w:val="auto"/>
          <w:highlight w:val="none"/>
        </w:rPr>
        <w:fldChar w:fldCharType="begin"/>
      </w:r>
      <w:r>
        <w:rPr>
          <w:color w:val="auto"/>
          <w:highlight w:val="none"/>
        </w:rPr>
        <w:instrText xml:space="preserve"> PAGEREF _Toc3154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_Toc15400 </w:instrText>
      </w:r>
      <w:r>
        <w:rPr>
          <w:color w:val="auto"/>
          <w:highlight w:val="none"/>
        </w:rPr>
        <w:fldChar w:fldCharType="separate"/>
      </w:r>
      <w:r>
        <w:rPr>
          <w:color w:val="auto"/>
          <w:highlight w:val="none"/>
        </w:rPr>
        <w:t xml:space="preserve">10.10 </w:t>
      </w:r>
      <w:r>
        <w:rPr>
          <w:rFonts w:hint="eastAsia" w:cs="黑体"/>
          <w:color w:val="auto"/>
          <w:highlight w:val="none"/>
        </w:rPr>
        <w:t>招标人补充的其他内容</w:t>
      </w:r>
      <w:r>
        <w:rPr>
          <w:color w:val="auto"/>
          <w:highlight w:val="none"/>
        </w:rPr>
        <w:tab/>
      </w:r>
      <w:r>
        <w:rPr>
          <w:color w:val="auto"/>
          <w:highlight w:val="none"/>
        </w:rPr>
        <w:fldChar w:fldCharType="begin"/>
      </w:r>
      <w:r>
        <w:rPr>
          <w:color w:val="auto"/>
          <w:highlight w:val="none"/>
        </w:rPr>
        <w:instrText xml:space="preserve"> PAGEREF _Toc15400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_Toc19416 </w:instrText>
      </w:r>
      <w:r>
        <w:rPr>
          <w:color w:val="auto"/>
          <w:highlight w:val="none"/>
        </w:rPr>
        <w:fldChar w:fldCharType="separate"/>
      </w:r>
      <w:r>
        <w:rPr>
          <w:color w:val="auto"/>
          <w:highlight w:val="none"/>
        </w:rPr>
        <w:t xml:space="preserve">10.11 </w:t>
      </w:r>
      <w:r>
        <w:rPr>
          <w:rFonts w:hint="eastAsia"/>
          <w:color w:val="auto"/>
          <w:highlight w:val="none"/>
        </w:rPr>
        <w:t>投标人递交投标文件、参加开标会须提交的授权委托书等文件格式</w:t>
      </w:r>
      <w:r>
        <w:rPr>
          <w:color w:val="auto"/>
          <w:highlight w:val="none"/>
        </w:rPr>
        <w:tab/>
      </w:r>
      <w:r>
        <w:rPr>
          <w:color w:val="auto"/>
          <w:highlight w:val="none"/>
        </w:rPr>
        <w:fldChar w:fldCharType="begin"/>
      </w:r>
      <w:r>
        <w:rPr>
          <w:color w:val="auto"/>
          <w:highlight w:val="none"/>
        </w:rPr>
        <w:instrText xml:space="preserve"> PAGEREF _Toc19416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27"/>
        <w:tabs>
          <w:tab w:val="right" w:leader="dot" w:pos="8669"/>
        </w:tabs>
        <w:rPr>
          <w:color w:val="auto"/>
          <w:highlight w:val="none"/>
        </w:rPr>
      </w:pPr>
      <w:r>
        <w:rPr>
          <w:color w:val="auto"/>
          <w:highlight w:val="none"/>
        </w:rPr>
        <w:fldChar w:fldCharType="begin"/>
      </w:r>
      <w:r>
        <w:rPr>
          <w:color w:val="auto"/>
          <w:highlight w:val="none"/>
        </w:rPr>
        <w:instrText xml:space="preserve"> HYPERLINK \l _Toc5857 </w:instrText>
      </w:r>
      <w:r>
        <w:rPr>
          <w:color w:val="auto"/>
          <w:highlight w:val="none"/>
        </w:rPr>
        <w:fldChar w:fldCharType="separate"/>
      </w:r>
      <w:r>
        <w:rPr>
          <w:rFonts w:hint="eastAsia" w:cs="黑体"/>
          <w:color w:val="auto"/>
          <w:highlight w:val="none"/>
        </w:rPr>
        <w:t>第三章</w:t>
      </w:r>
      <w:r>
        <w:rPr>
          <w:color w:val="auto"/>
          <w:highlight w:val="none"/>
        </w:rPr>
        <w:t xml:space="preserve">  </w:t>
      </w:r>
      <w:r>
        <w:rPr>
          <w:rFonts w:hint="eastAsia" w:cs="黑体"/>
          <w:color w:val="auto"/>
          <w:highlight w:val="none"/>
        </w:rPr>
        <w:t>评标办法（综合评估法）</w:t>
      </w:r>
      <w:r>
        <w:rPr>
          <w:color w:val="auto"/>
          <w:highlight w:val="none"/>
        </w:rPr>
        <w:tab/>
      </w:r>
      <w:r>
        <w:rPr>
          <w:color w:val="auto"/>
          <w:highlight w:val="none"/>
        </w:rPr>
        <w:fldChar w:fldCharType="begin"/>
      </w:r>
      <w:r>
        <w:rPr>
          <w:color w:val="auto"/>
          <w:highlight w:val="none"/>
        </w:rPr>
        <w:instrText xml:space="preserve"> PAGEREF _Toc5857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pPr>
        <w:pStyle w:val="27"/>
        <w:tabs>
          <w:tab w:val="right" w:leader="dot" w:pos="8669"/>
        </w:tabs>
        <w:rPr>
          <w:color w:val="auto"/>
          <w:highlight w:val="none"/>
        </w:rPr>
      </w:pPr>
      <w:r>
        <w:rPr>
          <w:color w:val="auto"/>
          <w:highlight w:val="none"/>
        </w:rPr>
        <w:fldChar w:fldCharType="begin"/>
      </w:r>
      <w:r>
        <w:rPr>
          <w:color w:val="auto"/>
          <w:highlight w:val="none"/>
        </w:rPr>
        <w:instrText xml:space="preserve"> HYPERLINK \l _Toc107 </w:instrText>
      </w:r>
      <w:r>
        <w:rPr>
          <w:color w:val="auto"/>
          <w:highlight w:val="none"/>
        </w:rPr>
        <w:fldChar w:fldCharType="separate"/>
      </w:r>
      <w:r>
        <w:rPr>
          <w:rFonts w:hint="eastAsia" w:cs="黑体"/>
          <w:color w:val="auto"/>
          <w:highlight w:val="none"/>
        </w:rPr>
        <w:t>评标办法前附表</w:t>
      </w:r>
      <w:r>
        <w:rPr>
          <w:color w:val="auto"/>
          <w:highlight w:val="none"/>
        </w:rPr>
        <w:tab/>
      </w:r>
      <w:r>
        <w:rPr>
          <w:color w:val="auto"/>
          <w:highlight w:val="none"/>
        </w:rPr>
        <w:fldChar w:fldCharType="begin"/>
      </w:r>
      <w:r>
        <w:rPr>
          <w:color w:val="auto"/>
          <w:highlight w:val="none"/>
        </w:rPr>
        <w:instrText xml:space="preserve"> PAGEREF _Toc107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pPr>
        <w:pStyle w:val="27"/>
        <w:tabs>
          <w:tab w:val="right" w:leader="dot" w:pos="8669"/>
        </w:tabs>
        <w:rPr>
          <w:color w:val="auto"/>
          <w:highlight w:val="none"/>
        </w:rPr>
      </w:pPr>
      <w:r>
        <w:rPr>
          <w:color w:val="auto"/>
          <w:highlight w:val="none"/>
        </w:rPr>
        <w:fldChar w:fldCharType="begin"/>
      </w:r>
      <w:r>
        <w:rPr>
          <w:color w:val="auto"/>
          <w:highlight w:val="none"/>
        </w:rPr>
        <w:instrText xml:space="preserve"> HYPERLINK \l _Toc30993 </w:instrText>
      </w:r>
      <w:r>
        <w:rPr>
          <w:color w:val="auto"/>
          <w:highlight w:val="none"/>
        </w:rPr>
        <w:fldChar w:fldCharType="separate"/>
      </w:r>
      <w:r>
        <w:rPr>
          <w:rFonts w:hint="eastAsia" w:cs="黑体"/>
          <w:color w:val="auto"/>
          <w:highlight w:val="none"/>
        </w:rPr>
        <w:t>评标办法（综合评估法）正文部分</w:t>
      </w:r>
      <w:r>
        <w:rPr>
          <w:color w:val="auto"/>
          <w:highlight w:val="none"/>
        </w:rPr>
        <w:tab/>
      </w:r>
      <w:r>
        <w:rPr>
          <w:color w:val="auto"/>
          <w:highlight w:val="none"/>
        </w:rPr>
        <w:fldChar w:fldCharType="begin"/>
      </w:r>
      <w:r>
        <w:rPr>
          <w:color w:val="auto"/>
          <w:highlight w:val="none"/>
        </w:rPr>
        <w:instrText xml:space="preserve"> PAGEREF _Toc30993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_Toc28607 </w:instrText>
      </w:r>
      <w:r>
        <w:rPr>
          <w:color w:val="auto"/>
          <w:highlight w:val="none"/>
        </w:rPr>
        <w:fldChar w:fldCharType="separate"/>
      </w:r>
      <w:r>
        <w:rPr>
          <w:color w:val="auto"/>
          <w:highlight w:val="none"/>
        </w:rPr>
        <w:t xml:space="preserve">1 </w:t>
      </w:r>
      <w:r>
        <w:rPr>
          <w:rFonts w:hint="eastAsia" w:cs="黑体"/>
          <w:color w:val="auto"/>
          <w:highlight w:val="none"/>
        </w:rPr>
        <w:t>评标方法</w:t>
      </w:r>
      <w:r>
        <w:rPr>
          <w:color w:val="auto"/>
          <w:highlight w:val="none"/>
        </w:rPr>
        <w:tab/>
      </w:r>
      <w:r>
        <w:rPr>
          <w:color w:val="auto"/>
          <w:highlight w:val="none"/>
        </w:rPr>
        <w:fldChar w:fldCharType="begin"/>
      </w:r>
      <w:r>
        <w:rPr>
          <w:color w:val="auto"/>
          <w:highlight w:val="none"/>
        </w:rPr>
        <w:instrText xml:space="preserve"> PAGEREF _Toc28607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_Toc10373 </w:instrText>
      </w:r>
      <w:r>
        <w:rPr>
          <w:color w:val="auto"/>
          <w:highlight w:val="none"/>
        </w:rPr>
        <w:fldChar w:fldCharType="separate"/>
      </w:r>
      <w:r>
        <w:rPr>
          <w:color w:val="auto"/>
          <w:highlight w:val="none"/>
        </w:rPr>
        <w:t xml:space="preserve">2 </w:t>
      </w:r>
      <w:r>
        <w:rPr>
          <w:rFonts w:hint="eastAsia" w:cs="黑体"/>
          <w:color w:val="auto"/>
          <w:highlight w:val="none"/>
        </w:rPr>
        <w:t>评审标准</w:t>
      </w:r>
      <w:r>
        <w:rPr>
          <w:color w:val="auto"/>
          <w:highlight w:val="none"/>
        </w:rPr>
        <w:tab/>
      </w:r>
      <w:r>
        <w:rPr>
          <w:color w:val="auto"/>
          <w:highlight w:val="none"/>
        </w:rPr>
        <w:fldChar w:fldCharType="begin"/>
      </w:r>
      <w:r>
        <w:rPr>
          <w:color w:val="auto"/>
          <w:highlight w:val="none"/>
        </w:rPr>
        <w:instrText xml:space="preserve"> PAGEREF _Toc10373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_Toc11187 </w:instrText>
      </w:r>
      <w:r>
        <w:rPr>
          <w:color w:val="auto"/>
          <w:highlight w:val="none"/>
        </w:rPr>
        <w:fldChar w:fldCharType="separate"/>
      </w:r>
      <w:r>
        <w:rPr>
          <w:color w:val="auto"/>
          <w:highlight w:val="none"/>
        </w:rPr>
        <w:t xml:space="preserve">2.1 </w:t>
      </w:r>
      <w:r>
        <w:rPr>
          <w:rFonts w:hint="eastAsia" w:cs="黑体"/>
          <w:color w:val="auto"/>
          <w:highlight w:val="none"/>
        </w:rPr>
        <w:t>初步评审标准</w:t>
      </w:r>
      <w:r>
        <w:rPr>
          <w:color w:val="auto"/>
          <w:highlight w:val="none"/>
        </w:rPr>
        <w:tab/>
      </w:r>
      <w:r>
        <w:rPr>
          <w:color w:val="auto"/>
          <w:highlight w:val="none"/>
        </w:rPr>
        <w:fldChar w:fldCharType="begin"/>
      </w:r>
      <w:r>
        <w:rPr>
          <w:color w:val="auto"/>
          <w:highlight w:val="none"/>
        </w:rPr>
        <w:instrText xml:space="preserve"> PAGEREF _Toc11187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_Toc19932 </w:instrText>
      </w:r>
      <w:r>
        <w:rPr>
          <w:color w:val="auto"/>
          <w:highlight w:val="none"/>
        </w:rPr>
        <w:fldChar w:fldCharType="separate"/>
      </w:r>
      <w:r>
        <w:rPr>
          <w:color w:val="auto"/>
          <w:highlight w:val="none"/>
        </w:rPr>
        <w:t xml:space="preserve">2.2 </w:t>
      </w:r>
      <w:r>
        <w:rPr>
          <w:rFonts w:hint="eastAsia" w:cs="黑体"/>
          <w:color w:val="auto"/>
          <w:highlight w:val="none"/>
        </w:rPr>
        <w:t>详细评审标准</w:t>
      </w:r>
      <w:r>
        <w:rPr>
          <w:color w:val="auto"/>
          <w:highlight w:val="none"/>
        </w:rPr>
        <w:tab/>
      </w:r>
      <w:r>
        <w:rPr>
          <w:color w:val="auto"/>
          <w:highlight w:val="none"/>
        </w:rPr>
        <w:fldChar w:fldCharType="begin"/>
      </w:r>
      <w:r>
        <w:rPr>
          <w:color w:val="auto"/>
          <w:highlight w:val="none"/>
        </w:rPr>
        <w:instrText xml:space="preserve"> PAGEREF _Toc19932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_Toc1978 </w:instrText>
      </w:r>
      <w:r>
        <w:rPr>
          <w:color w:val="auto"/>
          <w:highlight w:val="none"/>
        </w:rPr>
        <w:fldChar w:fldCharType="separate"/>
      </w:r>
      <w:r>
        <w:rPr>
          <w:color w:val="auto"/>
          <w:highlight w:val="none"/>
        </w:rPr>
        <w:t xml:space="preserve">3 </w:t>
      </w:r>
      <w:r>
        <w:rPr>
          <w:rFonts w:hint="eastAsia" w:cs="黑体"/>
          <w:color w:val="auto"/>
          <w:highlight w:val="none"/>
        </w:rPr>
        <w:t>评标程序</w:t>
      </w:r>
      <w:r>
        <w:rPr>
          <w:color w:val="auto"/>
          <w:highlight w:val="none"/>
        </w:rPr>
        <w:tab/>
      </w:r>
      <w:r>
        <w:rPr>
          <w:color w:val="auto"/>
          <w:highlight w:val="none"/>
        </w:rPr>
        <w:fldChar w:fldCharType="begin"/>
      </w:r>
      <w:r>
        <w:rPr>
          <w:color w:val="auto"/>
          <w:highlight w:val="none"/>
        </w:rPr>
        <w:instrText xml:space="preserve"> PAGEREF _Toc1978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_Toc20162 </w:instrText>
      </w:r>
      <w:r>
        <w:rPr>
          <w:color w:val="auto"/>
          <w:highlight w:val="none"/>
        </w:rPr>
        <w:fldChar w:fldCharType="separate"/>
      </w:r>
      <w:r>
        <w:rPr>
          <w:color w:val="auto"/>
          <w:highlight w:val="none"/>
        </w:rPr>
        <w:t xml:space="preserve">3.1 </w:t>
      </w:r>
      <w:r>
        <w:rPr>
          <w:rFonts w:hint="eastAsia" w:cs="黑体"/>
          <w:color w:val="auto"/>
          <w:highlight w:val="none"/>
        </w:rPr>
        <w:t>初步评审</w:t>
      </w:r>
      <w:r>
        <w:rPr>
          <w:color w:val="auto"/>
          <w:highlight w:val="none"/>
        </w:rPr>
        <w:tab/>
      </w:r>
      <w:r>
        <w:rPr>
          <w:color w:val="auto"/>
          <w:highlight w:val="none"/>
        </w:rPr>
        <w:fldChar w:fldCharType="begin"/>
      </w:r>
      <w:r>
        <w:rPr>
          <w:color w:val="auto"/>
          <w:highlight w:val="none"/>
        </w:rPr>
        <w:instrText xml:space="preserve"> PAGEREF _Toc20162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_Toc23218 </w:instrText>
      </w:r>
      <w:r>
        <w:rPr>
          <w:color w:val="auto"/>
          <w:highlight w:val="none"/>
        </w:rPr>
        <w:fldChar w:fldCharType="separate"/>
      </w:r>
      <w:r>
        <w:rPr>
          <w:color w:val="auto"/>
          <w:highlight w:val="none"/>
        </w:rPr>
        <w:t xml:space="preserve">3.2 </w:t>
      </w:r>
      <w:r>
        <w:rPr>
          <w:rFonts w:hint="eastAsia" w:cs="黑体"/>
          <w:color w:val="auto"/>
          <w:highlight w:val="none"/>
        </w:rPr>
        <w:t>详细评审</w:t>
      </w:r>
      <w:r>
        <w:rPr>
          <w:color w:val="auto"/>
          <w:highlight w:val="none"/>
        </w:rPr>
        <w:tab/>
      </w:r>
      <w:r>
        <w:rPr>
          <w:color w:val="auto"/>
          <w:highlight w:val="none"/>
        </w:rPr>
        <w:fldChar w:fldCharType="begin"/>
      </w:r>
      <w:r>
        <w:rPr>
          <w:color w:val="auto"/>
          <w:highlight w:val="none"/>
        </w:rPr>
        <w:instrText xml:space="preserve"> PAGEREF _Toc23218 \h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_Toc5884 </w:instrText>
      </w:r>
      <w:r>
        <w:rPr>
          <w:color w:val="auto"/>
          <w:highlight w:val="none"/>
        </w:rPr>
        <w:fldChar w:fldCharType="separate"/>
      </w:r>
      <w:r>
        <w:rPr>
          <w:color w:val="auto"/>
          <w:highlight w:val="none"/>
        </w:rPr>
        <w:t xml:space="preserve">3.3 </w:t>
      </w:r>
      <w:r>
        <w:rPr>
          <w:rFonts w:hint="eastAsia" w:cs="黑体"/>
          <w:color w:val="auto"/>
          <w:highlight w:val="none"/>
        </w:rPr>
        <w:t>投标文件的澄清和补正</w:t>
      </w:r>
      <w:r>
        <w:rPr>
          <w:color w:val="auto"/>
          <w:highlight w:val="none"/>
        </w:rPr>
        <w:tab/>
      </w:r>
      <w:r>
        <w:rPr>
          <w:color w:val="auto"/>
          <w:highlight w:val="none"/>
        </w:rPr>
        <w:fldChar w:fldCharType="begin"/>
      </w:r>
      <w:r>
        <w:rPr>
          <w:color w:val="auto"/>
          <w:highlight w:val="none"/>
        </w:rPr>
        <w:instrText xml:space="preserve"> PAGEREF _Toc5884 \h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_Toc30781 </w:instrText>
      </w:r>
      <w:r>
        <w:rPr>
          <w:color w:val="auto"/>
          <w:highlight w:val="none"/>
        </w:rPr>
        <w:fldChar w:fldCharType="separate"/>
      </w:r>
      <w:r>
        <w:rPr>
          <w:color w:val="auto"/>
          <w:highlight w:val="none"/>
        </w:rPr>
        <w:t xml:space="preserve">3.4 </w:t>
      </w:r>
      <w:r>
        <w:rPr>
          <w:rFonts w:hint="eastAsia" w:cs="黑体"/>
          <w:color w:val="auto"/>
          <w:highlight w:val="none"/>
        </w:rPr>
        <w:t>评标结果</w:t>
      </w:r>
      <w:r>
        <w:rPr>
          <w:color w:val="auto"/>
          <w:highlight w:val="none"/>
        </w:rPr>
        <w:tab/>
      </w:r>
      <w:r>
        <w:rPr>
          <w:color w:val="auto"/>
          <w:highlight w:val="none"/>
        </w:rPr>
        <w:fldChar w:fldCharType="begin"/>
      </w:r>
      <w:r>
        <w:rPr>
          <w:color w:val="auto"/>
          <w:highlight w:val="none"/>
        </w:rPr>
        <w:instrText xml:space="preserve"> PAGEREF _Toc30781 \h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pPr>
        <w:pStyle w:val="27"/>
        <w:tabs>
          <w:tab w:val="right" w:leader="dot" w:pos="8669"/>
        </w:tabs>
        <w:rPr>
          <w:color w:val="auto"/>
          <w:highlight w:val="none"/>
        </w:rPr>
      </w:pPr>
      <w:r>
        <w:rPr>
          <w:color w:val="auto"/>
          <w:highlight w:val="none"/>
        </w:rPr>
        <w:fldChar w:fldCharType="begin"/>
      </w:r>
      <w:r>
        <w:rPr>
          <w:color w:val="auto"/>
          <w:highlight w:val="none"/>
        </w:rPr>
        <w:instrText xml:space="preserve"> HYPERLINK \l _Toc11981 </w:instrText>
      </w:r>
      <w:r>
        <w:rPr>
          <w:color w:val="auto"/>
          <w:highlight w:val="none"/>
        </w:rPr>
        <w:fldChar w:fldCharType="separate"/>
      </w:r>
      <w:r>
        <w:rPr>
          <w:rFonts w:hint="eastAsia" w:cs="黑体"/>
          <w:color w:val="auto"/>
          <w:highlight w:val="none"/>
        </w:rPr>
        <w:t>附件</w:t>
      </w:r>
      <w:r>
        <w:rPr>
          <w:color w:val="auto"/>
          <w:highlight w:val="none"/>
        </w:rPr>
        <w:t xml:space="preserve">A  </w:t>
      </w:r>
      <w:r>
        <w:rPr>
          <w:rFonts w:hint="eastAsia" w:cs="黑体"/>
          <w:color w:val="auto"/>
          <w:highlight w:val="none"/>
        </w:rPr>
        <w:t>评标详细程序</w:t>
      </w:r>
      <w:r>
        <w:rPr>
          <w:color w:val="auto"/>
          <w:highlight w:val="none"/>
        </w:rPr>
        <w:tab/>
      </w:r>
      <w:r>
        <w:rPr>
          <w:color w:val="auto"/>
          <w:highlight w:val="none"/>
        </w:rPr>
        <w:fldChar w:fldCharType="begin"/>
      </w:r>
      <w:r>
        <w:rPr>
          <w:color w:val="auto"/>
          <w:highlight w:val="none"/>
        </w:rPr>
        <w:instrText xml:space="preserve"> PAGEREF _Toc11981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_Toc26136 </w:instrText>
      </w:r>
      <w:r>
        <w:rPr>
          <w:color w:val="auto"/>
          <w:highlight w:val="none"/>
        </w:rPr>
        <w:fldChar w:fldCharType="separate"/>
      </w:r>
      <w:r>
        <w:rPr>
          <w:color w:val="auto"/>
          <w:highlight w:val="none"/>
        </w:rPr>
        <w:t xml:space="preserve">A0 </w:t>
      </w:r>
      <w:r>
        <w:rPr>
          <w:rFonts w:hint="eastAsia" w:cs="黑体"/>
          <w:color w:val="auto"/>
          <w:highlight w:val="none"/>
        </w:rPr>
        <w:t>总</w:t>
      </w:r>
      <w:r>
        <w:rPr>
          <w:color w:val="auto"/>
          <w:highlight w:val="none"/>
        </w:rPr>
        <w:t xml:space="preserve">  </w:t>
      </w:r>
      <w:r>
        <w:rPr>
          <w:rFonts w:hint="eastAsia" w:cs="黑体"/>
          <w:color w:val="auto"/>
          <w:highlight w:val="none"/>
        </w:rPr>
        <w:t>则</w:t>
      </w:r>
      <w:r>
        <w:rPr>
          <w:color w:val="auto"/>
          <w:highlight w:val="none"/>
        </w:rPr>
        <w:tab/>
      </w:r>
      <w:r>
        <w:rPr>
          <w:color w:val="auto"/>
          <w:highlight w:val="none"/>
        </w:rPr>
        <w:fldChar w:fldCharType="begin"/>
      </w:r>
      <w:r>
        <w:rPr>
          <w:color w:val="auto"/>
          <w:highlight w:val="none"/>
        </w:rPr>
        <w:instrText xml:space="preserve"> PAGEREF _Toc26136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_Toc12663 </w:instrText>
      </w:r>
      <w:r>
        <w:rPr>
          <w:color w:val="auto"/>
          <w:highlight w:val="none"/>
        </w:rPr>
        <w:fldChar w:fldCharType="separate"/>
      </w:r>
      <w:r>
        <w:rPr>
          <w:color w:val="auto"/>
          <w:highlight w:val="none"/>
        </w:rPr>
        <w:t xml:space="preserve">A1 </w:t>
      </w:r>
      <w:r>
        <w:rPr>
          <w:rFonts w:hint="eastAsia" w:cs="黑体"/>
          <w:color w:val="auto"/>
          <w:highlight w:val="none"/>
        </w:rPr>
        <w:t>基本程序</w:t>
      </w:r>
      <w:r>
        <w:rPr>
          <w:color w:val="auto"/>
          <w:highlight w:val="none"/>
        </w:rPr>
        <w:tab/>
      </w:r>
      <w:r>
        <w:rPr>
          <w:color w:val="auto"/>
          <w:highlight w:val="none"/>
        </w:rPr>
        <w:fldChar w:fldCharType="begin"/>
      </w:r>
      <w:r>
        <w:rPr>
          <w:color w:val="auto"/>
          <w:highlight w:val="none"/>
        </w:rPr>
        <w:instrText xml:space="preserve"> PAGEREF _Toc12663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_Toc13578 </w:instrText>
      </w:r>
      <w:r>
        <w:rPr>
          <w:color w:val="auto"/>
          <w:highlight w:val="none"/>
        </w:rPr>
        <w:fldChar w:fldCharType="separate"/>
      </w:r>
      <w:r>
        <w:rPr>
          <w:color w:val="auto"/>
          <w:highlight w:val="none"/>
        </w:rPr>
        <w:t xml:space="preserve">A2 </w:t>
      </w:r>
      <w:r>
        <w:rPr>
          <w:rFonts w:hint="eastAsia" w:cs="黑体"/>
          <w:color w:val="auto"/>
          <w:highlight w:val="none"/>
        </w:rPr>
        <w:t>评标准备</w:t>
      </w:r>
      <w:r>
        <w:rPr>
          <w:color w:val="auto"/>
          <w:highlight w:val="none"/>
        </w:rPr>
        <w:tab/>
      </w:r>
      <w:r>
        <w:rPr>
          <w:color w:val="auto"/>
          <w:highlight w:val="none"/>
        </w:rPr>
        <w:fldChar w:fldCharType="begin"/>
      </w:r>
      <w:r>
        <w:rPr>
          <w:color w:val="auto"/>
          <w:highlight w:val="none"/>
        </w:rPr>
        <w:instrText xml:space="preserve"> PAGEREF _Toc13578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_Toc3310 </w:instrText>
      </w:r>
      <w:r>
        <w:rPr>
          <w:color w:val="auto"/>
          <w:highlight w:val="none"/>
        </w:rPr>
        <w:fldChar w:fldCharType="separate"/>
      </w:r>
      <w:r>
        <w:rPr>
          <w:color w:val="auto"/>
          <w:highlight w:val="none"/>
        </w:rPr>
        <w:t xml:space="preserve">A3 </w:t>
      </w:r>
      <w:r>
        <w:rPr>
          <w:rFonts w:hint="eastAsia" w:cs="黑体"/>
          <w:color w:val="auto"/>
          <w:highlight w:val="none"/>
        </w:rPr>
        <w:t>初步评审</w:t>
      </w:r>
      <w:r>
        <w:rPr>
          <w:color w:val="auto"/>
          <w:highlight w:val="none"/>
        </w:rPr>
        <w:tab/>
      </w:r>
      <w:r>
        <w:rPr>
          <w:color w:val="auto"/>
          <w:highlight w:val="none"/>
        </w:rPr>
        <w:fldChar w:fldCharType="begin"/>
      </w:r>
      <w:r>
        <w:rPr>
          <w:color w:val="auto"/>
          <w:highlight w:val="none"/>
        </w:rPr>
        <w:instrText xml:space="preserve"> PAGEREF _Toc3310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_Toc25179 </w:instrText>
      </w:r>
      <w:r>
        <w:rPr>
          <w:color w:val="auto"/>
          <w:highlight w:val="none"/>
        </w:rPr>
        <w:fldChar w:fldCharType="separate"/>
      </w:r>
      <w:r>
        <w:rPr>
          <w:color w:val="auto"/>
          <w:highlight w:val="none"/>
        </w:rPr>
        <w:t xml:space="preserve">A4 </w:t>
      </w:r>
      <w:r>
        <w:rPr>
          <w:rFonts w:hint="eastAsia" w:cs="黑体"/>
          <w:color w:val="auto"/>
          <w:highlight w:val="none"/>
        </w:rPr>
        <w:t>详细评审</w:t>
      </w:r>
      <w:r>
        <w:rPr>
          <w:color w:val="auto"/>
          <w:highlight w:val="none"/>
        </w:rPr>
        <w:tab/>
      </w:r>
      <w:r>
        <w:rPr>
          <w:color w:val="auto"/>
          <w:highlight w:val="none"/>
        </w:rPr>
        <w:fldChar w:fldCharType="begin"/>
      </w:r>
      <w:r>
        <w:rPr>
          <w:color w:val="auto"/>
          <w:highlight w:val="none"/>
        </w:rPr>
        <w:instrText xml:space="preserve"> PAGEREF _Toc25179 \h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_Toc31733 </w:instrText>
      </w:r>
      <w:r>
        <w:rPr>
          <w:color w:val="auto"/>
          <w:highlight w:val="none"/>
        </w:rPr>
        <w:fldChar w:fldCharType="separate"/>
      </w:r>
      <w:r>
        <w:rPr>
          <w:color w:val="auto"/>
          <w:highlight w:val="none"/>
        </w:rPr>
        <w:t xml:space="preserve">A5 </w:t>
      </w:r>
      <w:r>
        <w:rPr>
          <w:rFonts w:hint="eastAsia" w:cs="黑体"/>
          <w:color w:val="auto"/>
          <w:highlight w:val="none"/>
        </w:rPr>
        <w:t>推荐中标候选人或者直接确定中标人</w:t>
      </w:r>
      <w:r>
        <w:rPr>
          <w:color w:val="auto"/>
          <w:highlight w:val="none"/>
        </w:rPr>
        <w:tab/>
      </w:r>
      <w:r>
        <w:rPr>
          <w:color w:val="auto"/>
          <w:highlight w:val="none"/>
        </w:rPr>
        <w:fldChar w:fldCharType="begin"/>
      </w:r>
      <w:r>
        <w:rPr>
          <w:color w:val="auto"/>
          <w:highlight w:val="none"/>
        </w:rPr>
        <w:instrText xml:space="preserve"> PAGEREF _Toc31733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_Toc3575 </w:instrText>
      </w:r>
      <w:r>
        <w:rPr>
          <w:color w:val="auto"/>
          <w:highlight w:val="none"/>
        </w:rPr>
        <w:fldChar w:fldCharType="separate"/>
      </w:r>
      <w:r>
        <w:rPr>
          <w:color w:val="auto"/>
          <w:highlight w:val="none"/>
        </w:rPr>
        <w:t xml:space="preserve">A6 </w:t>
      </w:r>
      <w:r>
        <w:rPr>
          <w:rFonts w:hint="eastAsia" w:cs="黑体"/>
          <w:color w:val="auto"/>
          <w:highlight w:val="none"/>
        </w:rPr>
        <w:t>特殊情况的处置程序</w:t>
      </w:r>
      <w:r>
        <w:rPr>
          <w:color w:val="auto"/>
          <w:highlight w:val="none"/>
        </w:rPr>
        <w:tab/>
      </w:r>
      <w:r>
        <w:rPr>
          <w:color w:val="auto"/>
          <w:highlight w:val="none"/>
        </w:rPr>
        <w:fldChar w:fldCharType="begin"/>
      </w:r>
      <w:r>
        <w:rPr>
          <w:color w:val="auto"/>
          <w:highlight w:val="none"/>
        </w:rPr>
        <w:instrText xml:space="preserve"> PAGEREF _Toc3575 \h </w:instrText>
      </w:r>
      <w:r>
        <w:rPr>
          <w:color w:val="auto"/>
          <w:highlight w:val="none"/>
        </w:rPr>
        <w:fldChar w:fldCharType="separate"/>
      </w:r>
      <w:r>
        <w:rPr>
          <w:color w:val="auto"/>
          <w:highlight w:val="none"/>
        </w:rPr>
        <w:t>47</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_Toc30260 </w:instrText>
      </w:r>
      <w:r>
        <w:rPr>
          <w:color w:val="auto"/>
          <w:highlight w:val="none"/>
        </w:rPr>
        <w:fldChar w:fldCharType="separate"/>
      </w:r>
      <w:r>
        <w:rPr>
          <w:color w:val="auto"/>
          <w:highlight w:val="none"/>
        </w:rPr>
        <w:t xml:space="preserve">A7 </w:t>
      </w:r>
      <w:r>
        <w:rPr>
          <w:rFonts w:hint="eastAsia" w:cs="黑体"/>
          <w:color w:val="auto"/>
          <w:highlight w:val="none"/>
        </w:rPr>
        <w:t>补充条款</w:t>
      </w:r>
      <w:r>
        <w:rPr>
          <w:color w:val="auto"/>
          <w:highlight w:val="none"/>
        </w:rPr>
        <w:tab/>
      </w:r>
      <w:r>
        <w:rPr>
          <w:color w:val="auto"/>
          <w:highlight w:val="none"/>
        </w:rPr>
        <w:fldChar w:fldCharType="begin"/>
      </w:r>
      <w:r>
        <w:rPr>
          <w:color w:val="auto"/>
          <w:highlight w:val="none"/>
        </w:rPr>
        <w:instrText xml:space="preserve"> PAGEREF _Toc30260 \h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pPr>
        <w:pStyle w:val="27"/>
        <w:tabs>
          <w:tab w:val="right" w:leader="dot" w:pos="8669"/>
        </w:tabs>
        <w:rPr>
          <w:color w:val="auto"/>
          <w:highlight w:val="none"/>
        </w:rPr>
      </w:pPr>
      <w:r>
        <w:rPr>
          <w:color w:val="auto"/>
          <w:highlight w:val="none"/>
        </w:rPr>
        <w:fldChar w:fldCharType="begin"/>
      </w:r>
      <w:r>
        <w:rPr>
          <w:color w:val="auto"/>
          <w:highlight w:val="none"/>
        </w:rPr>
        <w:instrText xml:space="preserve"> HYPERLINK \l _Toc29346 </w:instrText>
      </w:r>
      <w:r>
        <w:rPr>
          <w:color w:val="auto"/>
          <w:highlight w:val="none"/>
        </w:rPr>
        <w:fldChar w:fldCharType="separate"/>
      </w:r>
      <w:r>
        <w:rPr>
          <w:rFonts w:hint="eastAsia" w:cs="黑体"/>
          <w:color w:val="auto"/>
          <w:highlight w:val="none"/>
        </w:rPr>
        <w:t>附件</w:t>
      </w:r>
      <w:r>
        <w:rPr>
          <w:color w:val="auto"/>
          <w:highlight w:val="none"/>
        </w:rPr>
        <w:t xml:space="preserve">B  </w:t>
      </w:r>
      <w:r>
        <w:rPr>
          <w:rFonts w:hint="eastAsia" w:cs="黑体"/>
          <w:color w:val="auto"/>
          <w:highlight w:val="none"/>
        </w:rPr>
        <w:t>否决投标条件</w:t>
      </w:r>
      <w:r>
        <w:rPr>
          <w:color w:val="auto"/>
          <w:highlight w:val="none"/>
        </w:rPr>
        <w:tab/>
      </w:r>
      <w:r>
        <w:rPr>
          <w:color w:val="auto"/>
          <w:highlight w:val="none"/>
        </w:rPr>
        <w:fldChar w:fldCharType="begin"/>
      </w:r>
      <w:r>
        <w:rPr>
          <w:color w:val="auto"/>
          <w:highlight w:val="none"/>
        </w:rPr>
        <w:instrText xml:space="preserve"> PAGEREF _Toc29346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_Toc28182 </w:instrText>
      </w:r>
      <w:r>
        <w:rPr>
          <w:color w:val="auto"/>
          <w:highlight w:val="none"/>
        </w:rPr>
        <w:fldChar w:fldCharType="separate"/>
      </w:r>
      <w:r>
        <w:rPr>
          <w:color w:val="auto"/>
          <w:highlight w:val="none"/>
        </w:rPr>
        <w:t xml:space="preserve">B0 </w:t>
      </w:r>
      <w:r>
        <w:rPr>
          <w:rFonts w:hint="eastAsia" w:cs="黑体"/>
          <w:color w:val="auto"/>
          <w:highlight w:val="none"/>
        </w:rPr>
        <w:t>总</w:t>
      </w:r>
      <w:r>
        <w:rPr>
          <w:color w:val="auto"/>
          <w:highlight w:val="none"/>
        </w:rPr>
        <w:t xml:space="preserve">  </w:t>
      </w:r>
      <w:r>
        <w:rPr>
          <w:rFonts w:hint="eastAsia" w:cs="黑体"/>
          <w:color w:val="auto"/>
          <w:highlight w:val="none"/>
        </w:rPr>
        <w:t>则</w:t>
      </w:r>
      <w:r>
        <w:rPr>
          <w:color w:val="auto"/>
          <w:highlight w:val="none"/>
        </w:rPr>
        <w:tab/>
      </w:r>
      <w:r>
        <w:rPr>
          <w:color w:val="auto"/>
          <w:highlight w:val="none"/>
        </w:rPr>
        <w:fldChar w:fldCharType="begin"/>
      </w:r>
      <w:r>
        <w:rPr>
          <w:color w:val="auto"/>
          <w:highlight w:val="none"/>
        </w:rPr>
        <w:instrText xml:space="preserve"> PAGEREF _Toc28182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_Toc14577 </w:instrText>
      </w:r>
      <w:r>
        <w:rPr>
          <w:color w:val="auto"/>
          <w:highlight w:val="none"/>
        </w:rPr>
        <w:fldChar w:fldCharType="separate"/>
      </w:r>
      <w:r>
        <w:rPr>
          <w:color w:val="auto"/>
          <w:highlight w:val="none"/>
        </w:rPr>
        <w:t xml:space="preserve">B1 </w:t>
      </w:r>
      <w:r>
        <w:rPr>
          <w:rFonts w:hint="eastAsia" w:cs="黑体"/>
          <w:color w:val="auto"/>
          <w:highlight w:val="none"/>
        </w:rPr>
        <w:t>否决投标条件</w:t>
      </w:r>
      <w:r>
        <w:rPr>
          <w:color w:val="auto"/>
          <w:highlight w:val="none"/>
        </w:rPr>
        <w:tab/>
      </w:r>
      <w:r>
        <w:rPr>
          <w:color w:val="auto"/>
          <w:highlight w:val="none"/>
        </w:rPr>
        <w:fldChar w:fldCharType="begin"/>
      </w:r>
      <w:r>
        <w:rPr>
          <w:color w:val="auto"/>
          <w:highlight w:val="none"/>
        </w:rPr>
        <w:instrText xml:space="preserve"> PAGEREF _Toc14577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pPr>
        <w:pStyle w:val="27"/>
        <w:tabs>
          <w:tab w:val="right" w:leader="dot" w:pos="8669"/>
        </w:tabs>
        <w:rPr>
          <w:color w:val="auto"/>
          <w:highlight w:val="none"/>
        </w:rPr>
      </w:pPr>
      <w:r>
        <w:rPr>
          <w:color w:val="auto"/>
          <w:highlight w:val="none"/>
        </w:rPr>
        <w:fldChar w:fldCharType="begin"/>
      </w:r>
      <w:r>
        <w:rPr>
          <w:color w:val="auto"/>
          <w:highlight w:val="none"/>
        </w:rPr>
        <w:instrText xml:space="preserve"> HYPERLINK \l _Toc12904 </w:instrText>
      </w:r>
      <w:r>
        <w:rPr>
          <w:color w:val="auto"/>
          <w:highlight w:val="none"/>
        </w:rPr>
        <w:fldChar w:fldCharType="separate"/>
      </w:r>
      <w:r>
        <w:rPr>
          <w:rFonts w:hint="eastAsia" w:cs="黑体"/>
          <w:color w:val="auto"/>
          <w:highlight w:val="none"/>
        </w:rPr>
        <w:t>第四章</w:t>
      </w:r>
      <w:r>
        <w:rPr>
          <w:rFonts w:cs="黑体"/>
          <w:color w:val="auto"/>
          <w:highlight w:val="none"/>
        </w:rPr>
        <w:t xml:space="preserve">  </w:t>
      </w:r>
      <w:r>
        <w:rPr>
          <w:rFonts w:hint="eastAsia" w:cs="黑体"/>
          <w:color w:val="auto"/>
          <w:highlight w:val="none"/>
        </w:rPr>
        <w:t>合同条款及格式</w:t>
      </w:r>
      <w:r>
        <w:rPr>
          <w:color w:val="auto"/>
          <w:highlight w:val="none"/>
        </w:rPr>
        <w:tab/>
      </w:r>
      <w:r>
        <w:rPr>
          <w:color w:val="auto"/>
          <w:highlight w:val="none"/>
        </w:rPr>
        <w:fldChar w:fldCharType="begin"/>
      </w:r>
      <w:r>
        <w:rPr>
          <w:color w:val="auto"/>
          <w:highlight w:val="none"/>
        </w:rPr>
        <w:instrText xml:space="preserve"> PAGEREF _Toc12904 \h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pPr>
        <w:pStyle w:val="27"/>
        <w:tabs>
          <w:tab w:val="right" w:leader="dot" w:pos="8669"/>
        </w:tabs>
        <w:rPr>
          <w:color w:val="auto"/>
          <w:highlight w:val="none"/>
        </w:rPr>
      </w:pPr>
      <w:r>
        <w:rPr>
          <w:color w:val="auto"/>
          <w:highlight w:val="none"/>
        </w:rPr>
        <w:fldChar w:fldCharType="begin"/>
      </w:r>
      <w:r>
        <w:rPr>
          <w:color w:val="auto"/>
          <w:highlight w:val="none"/>
        </w:rPr>
        <w:instrText xml:space="preserve"> HYPERLINK \l _Toc17122 </w:instrText>
      </w:r>
      <w:r>
        <w:rPr>
          <w:color w:val="auto"/>
          <w:highlight w:val="none"/>
        </w:rPr>
        <w:fldChar w:fldCharType="separate"/>
      </w:r>
      <w:r>
        <w:rPr>
          <w:rFonts w:hint="eastAsia" w:cs="黑体"/>
          <w:color w:val="auto"/>
          <w:highlight w:val="none"/>
        </w:rPr>
        <w:t>第一部分</w:t>
      </w:r>
      <w:r>
        <w:rPr>
          <w:color w:val="auto"/>
          <w:highlight w:val="none"/>
        </w:rPr>
        <w:t xml:space="preserve"> </w:t>
      </w:r>
      <w:r>
        <w:rPr>
          <w:rFonts w:hint="eastAsia" w:cs="黑体"/>
          <w:color w:val="auto"/>
          <w:highlight w:val="none"/>
        </w:rPr>
        <w:t>合同协议书</w:t>
      </w:r>
      <w:r>
        <w:rPr>
          <w:color w:val="auto"/>
          <w:highlight w:val="none"/>
        </w:rPr>
        <w:tab/>
      </w:r>
      <w:r>
        <w:rPr>
          <w:color w:val="auto"/>
          <w:highlight w:val="none"/>
        </w:rPr>
        <w:fldChar w:fldCharType="begin"/>
      </w:r>
      <w:r>
        <w:rPr>
          <w:color w:val="auto"/>
          <w:highlight w:val="none"/>
        </w:rPr>
        <w:instrText xml:space="preserve"> PAGEREF _Toc17122 \h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pPr>
        <w:pStyle w:val="27"/>
        <w:tabs>
          <w:tab w:val="right" w:leader="dot" w:pos="8669"/>
        </w:tabs>
        <w:rPr>
          <w:color w:val="auto"/>
          <w:highlight w:val="none"/>
        </w:rPr>
      </w:pPr>
      <w:r>
        <w:rPr>
          <w:color w:val="auto"/>
          <w:highlight w:val="none"/>
        </w:rPr>
        <w:fldChar w:fldCharType="begin"/>
      </w:r>
      <w:r>
        <w:rPr>
          <w:color w:val="auto"/>
          <w:highlight w:val="none"/>
        </w:rPr>
        <w:instrText xml:space="preserve"> HYPERLINK \l _Toc14857 </w:instrText>
      </w:r>
      <w:r>
        <w:rPr>
          <w:color w:val="auto"/>
          <w:highlight w:val="none"/>
        </w:rPr>
        <w:fldChar w:fldCharType="separate"/>
      </w:r>
      <w:r>
        <w:rPr>
          <w:rFonts w:hint="eastAsia" w:cs="黑体"/>
          <w:color w:val="auto"/>
          <w:highlight w:val="none"/>
        </w:rPr>
        <w:t>第二部分</w:t>
      </w:r>
      <w:r>
        <w:rPr>
          <w:color w:val="auto"/>
          <w:highlight w:val="none"/>
        </w:rPr>
        <w:t xml:space="preserve"> </w:t>
      </w:r>
      <w:r>
        <w:rPr>
          <w:rFonts w:hint="eastAsia" w:cs="黑体"/>
          <w:color w:val="auto"/>
          <w:highlight w:val="none"/>
        </w:rPr>
        <w:t>通用合同条款</w:t>
      </w:r>
      <w:r>
        <w:rPr>
          <w:color w:val="auto"/>
          <w:highlight w:val="none"/>
        </w:rPr>
        <w:tab/>
      </w:r>
      <w:r>
        <w:rPr>
          <w:color w:val="auto"/>
          <w:highlight w:val="none"/>
        </w:rPr>
        <w:fldChar w:fldCharType="begin"/>
      </w:r>
      <w:r>
        <w:rPr>
          <w:color w:val="auto"/>
          <w:highlight w:val="none"/>
        </w:rPr>
        <w:instrText xml:space="preserve"> PAGEREF _Toc14857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pPr>
        <w:pStyle w:val="27"/>
        <w:tabs>
          <w:tab w:val="right" w:leader="dot" w:pos="8669"/>
        </w:tabs>
        <w:rPr>
          <w:color w:val="auto"/>
          <w:highlight w:val="none"/>
        </w:rPr>
      </w:pPr>
      <w:r>
        <w:rPr>
          <w:color w:val="auto"/>
          <w:highlight w:val="none"/>
        </w:rPr>
        <w:fldChar w:fldCharType="begin"/>
      </w:r>
      <w:r>
        <w:rPr>
          <w:color w:val="auto"/>
          <w:highlight w:val="none"/>
        </w:rPr>
        <w:instrText xml:space="preserve"> HYPERLINK \l _Toc15681 </w:instrText>
      </w:r>
      <w:r>
        <w:rPr>
          <w:color w:val="auto"/>
          <w:highlight w:val="none"/>
        </w:rPr>
        <w:fldChar w:fldCharType="separate"/>
      </w:r>
      <w:r>
        <w:rPr>
          <w:rFonts w:hint="eastAsia" w:hAnsi="宋体" w:cs="黑体"/>
          <w:color w:val="auto"/>
          <w:szCs w:val="30"/>
          <w:highlight w:val="none"/>
        </w:rPr>
        <w:t>第三部分</w:t>
      </w:r>
      <w:r>
        <w:rPr>
          <w:color w:val="auto"/>
          <w:szCs w:val="30"/>
          <w:highlight w:val="none"/>
        </w:rPr>
        <w:t xml:space="preserve"> </w:t>
      </w:r>
      <w:r>
        <w:rPr>
          <w:rFonts w:hint="eastAsia" w:hAnsi="宋体" w:cs="黑体"/>
          <w:color w:val="auto"/>
          <w:szCs w:val="30"/>
          <w:highlight w:val="none"/>
        </w:rPr>
        <w:t>专用合同条款</w:t>
      </w:r>
      <w:r>
        <w:rPr>
          <w:color w:val="auto"/>
          <w:highlight w:val="none"/>
        </w:rPr>
        <w:tab/>
      </w:r>
      <w:r>
        <w:rPr>
          <w:color w:val="auto"/>
          <w:highlight w:val="none"/>
        </w:rPr>
        <w:fldChar w:fldCharType="begin"/>
      </w:r>
      <w:r>
        <w:rPr>
          <w:color w:val="auto"/>
          <w:highlight w:val="none"/>
        </w:rPr>
        <w:instrText xml:space="preserve"> PAGEREF _Toc15681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_Toc4671 </w:instrText>
      </w:r>
      <w:r>
        <w:rPr>
          <w:color w:val="auto"/>
          <w:highlight w:val="none"/>
        </w:rPr>
        <w:fldChar w:fldCharType="separate"/>
      </w:r>
      <w:r>
        <w:rPr>
          <w:color w:val="auto"/>
          <w:highlight w:val="none"/>
        </w:rPr>
        <w:t xml:space="preserve">1. </w:t>
      </w:r>
      <w:r>
        <w:rPr>
          <w:rFonts w:hint="eastAsia" w:hAnsi="宋体" w:cs="黑体"/>
          <w:color w:val="auto"/>
          <w:highlight w:val="none"/>
        </w:rPr>
        <w:t>一般约定</w:t>
      </w:r>
      <w:r>
        <w:rPr>
          <w:color w:val="auto"/>
          <w:highlight w:val="none"/>
        </w:rPr>
        <w:tab/>
      </w:r>
      <w:r>
        <w:rPr>
          <w:color w:val="auto"/>
          <w:highlight w:val="none"/>
        </w:rPr>
        <w:fldChar w:fldCharType="begin"/>
      </w:r>
      <w:r>
        <w:rPr>
          <w:color w:val="auto"/>
          <w:highlight w:val="none"/>
        </w:rPr>
        <w:instrText xml:space="preserve"> PAGEREF _Toc4671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_Toc27974 </w:instrText>
      </w:r>
      <w:r>
        <w:rPr>
          <w:color w:val="auto"/>
          <w:highlight w:val="none"/>
        </w:rPr>
        <w:fldChar w:fldCharType="separate"/>
      </w:r>
      <w:r>
        <w:rPr>
          <w:color w:val="auto"/>
          <w:highlight w:val="none"/>
        </w:rPr>
        <w:t xml:space="preserve">1.1 </w:t>
      </w:r>
      <w:r>
        <w:rPr>
          <w:rFonts w:hint="eastAsia" w:hAnsi="宋体" w:cs="黑体"/>
          <w:color w:val="auto"/>
          <w:highlight w:val="none"/>
        </w:rPr>
        <w:t>词语定义</w:t>
      </w:r>
      <w:r>
        <w:rPr>
          <w:color w:val="auto"/>
          <w:highlight w:val="none"/>
        </w:rPr>
        <w:tab/>
      </w:r>
      <w:r>
        <w:rPr>
          <w:color w:val="auto"/>
          <w:highlight w:val="none"/>
        </w:rPr>
        <w:fldChar w:fldCharType="begin"/>
      </w:r>
      <w:r>
        <w:rPr>
          <w:color w:val="auto"/>
          <w:highlight w:val="none"/>
        </w:rPr>
        <w:instrText xml:space="preserve"> PAGEREF _Toc27974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_Toc11355 </w:instrText>
      </w:r>
      <w:r>
        <w:rPr>
          <w:color w:val="auto"/>
          <w:highlight w:val="none"/>
        </w:rPr>
        <w:fldChar w:fldCharType="separate"/>
      </w:r>
      <w:r>
        <w:rPr>
          <w:color w:val="auto"/>
          <w:highlight w:val="none"/>
        </w:rPr>
        <w:t xml:space="preserve">1.3 </w:t>
      </w:r>
      <w:r>
        <w:rPr>
          <w:rFonts w:hint="eastAsia" w:hAnsi="宋体" w:cs="黑体"/>
          <w:color w:val="auto"/>
          <w:highlight w:val="none"/>
        </w:rPr>
        <w:t>法律</w:t>
      </w:r>
      <w:r>
        <w:rPr>
          <w:color w:val="auto"/>
          <w:highlight w:val="none"/>
        </w:rPr>
        <w:tab/>
      </w:r>
      <w:r>
        <w:rPr>
          <w:color w:val="auto"/>
          <w:highlight w:val="none"/>
        </w:rPr>
        <w:fldChar w:fldCharType="begin"/>
      </w:r>
      <w:r>
        <w:rPr>
          <w:color w:val="auto"/>
          <w:highlight w:val="none"/>
        </w:rPr>
        <w:instrText xml:space="preserve"> PAGEREF _Toc11355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_Toc9230 </w:instrText>
      </w:r>
      <w:r>
        <w:rPr>
          <w:color w:val="auto"/>
          <w:highlight w:val="none"/>
        </w:rPr>
        <w:fldChar w:fldCharType="separate"/>
      </w:r>
      <w:r>
        <w:rPr>
          <w:color w:val="auto"/>
          <w:highlight w:val="none"/>
        </w:rPr>
        <w:t xml:space="preserve">1.4 </w:t>
      </w:r>
      <w:r>
        <w:rPr>
          <w:rFonts w:hint="eastAsia" w:hAnsi="宋体" w:cs="黑体"/>
          <w:color w:val="auto"/>
          <w:highlight w:val="none"/>
        </w:rPr>
        <w:t>标准和规范</w:t>
      </w:r>
      <w:r>
        <w:rPr>
          <w:color w:val="auto"/>
          <w:highlight w:val="none"/>
        </w:rPr>
        <w:tab/>
      </w:r>
      <w:r>
        <w:rPr>
          <w:color w:val="auto"/>
          <w:highlight w:val="none"/>
        </w:rPr>
        <w:fldChar w:fldCharType="begin"/>
      </w:r>
      <w:r>
        <w:rPr>
          <w:color w:val="auto"/>
          <w:highlight w:val="none"/>
        </w:rPr>
        <w:instrText xml:space="preserve"> PAGEREF _Toc9230 \h </w:instrText>
      </w:r>
      <w:r>
        <w:rPr>
          <w:color w:val="auto"/>
          <w:highlight w:val="none"/>
        </w:rPr>
        <w:fldChar w:fldCharType="separate"/>
      </w:r>
      <w:r>
        <w:rPr>
          <w:color w:val="auto"/>
          <w:highlight w:val="none"/>
        </w:rPr>
        <w:t>68</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_Toc28115 </w:instrText>
      </w:r>
      <w:r>
        <w:rPr>
          <w:color w:val="auto"/>
          <w:highlight w:val="none"/>
        </w:rPr>
        <w:fldChar w:fldCharType="separate"/>
      </w:r>
      <w:r>
        <w:rPr>
          <w:color w:val="auto"/>
          <w:highlight w:val="none"/>
        </w:rPr>
        <w:t xml:space="preserve">1.5 </w:t>
      </w:r>
      <w:r>
        <w:rPr>
          <w:rFonts w:hint="eastAsia" w:cs="黑体"/>
          <w:color w:val="auto"/>
          <w:highlight w:val="none"/>
        </w:rPr>
        <w:t>合同文件的优先顺序</w:t>
      </w:r>
      <w:r>
        <w:rPr>
          <w:color w:val="auto"/>
          <w:highlight w:val="none"/>
        </w:rPr>
        <w:tab/>
      </w:r>
      <w:r>
        <w:rPr>
          <w:color w:val="auto"/>
          <w:highlight w:val="none"/>
        </w:rPr>
        <w:fldChar w:fldCharType="begin"/>
      </w:r>
      <w:r>
        <w:rPr>
          <w:color w:val="auto"/>
          <w:highlight w:val="none"/>
        </w:rPr>
        <w:instrText xml:space="preserve"> PAGEREF _Toc28115 \h </w:instrText>
      </w:r>
      <w:r>
        <w:rPr>
          <w:color w:val="auto"/>
          <w:highlight w:val="none"/>
        </w:rPr>
        <w:fldChar w:fldCharType="separate"/>
      </w:r>
      <w:r>
        <w:rPr>
          <w:color w:val="auto"/>
          <w:highlight w:val="none"/>
        </w:rPr>
        <w:t>68</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_Toc20181 </w:instrText>
      </w:r>
      <w:r>
        <w:rPr>
          <w:color w:val="auto"/>
          <w:highlight w:val="none"/>
        </w:rPr>
        <w:fldChar w:fldCharType="separate"/>
      </w:r>
      <w:r>
        <w:rPr>
          <w:color w:val="auto"/>
          <w:highlight w:val="none"/>
        </w:rPr>
        <w:t xml:space="preserve">1.6 </w:t>
      </w:r>
      <w:r>
        <w:rPr>
          <w:rFonts w:hint="eastAsia" w:cs="黑体"/>
          <w:color w:val="auto"/>
          <w:highlight w:val="none"/>
        </w:rPr>
        <w:t>图纸和承包人文件</w:t>
      </w:r>
      <w:r>
        <w:rPr>
          <w:color w:val="auto"/>
          <w:highlight w:val="none"/>
        </w:rPr>
        <w:tab/>
      </w:r>
      <w:r>
        <w:rPr>
          <w:color w:val="auto"/>
          <w:highlight w:val="none"/>
        </w:rPr>
        <w:fldChar w:fldCharType="begin"/>
      </w:r>
      <w:r>
        <w:rPr>
          <w:color w:val="auto"/>
          <w:highlight w:val="none"/>
        </w:rPr>
        <w:instrText xml:space="preserve"> PAGEREF _Toc20181 \h </w:instrText>
      </w:r>
      <w:r>
        <w:rPr>
          <w:color w:val="auto"/>
          <w:highlight w:val="none"/>
        </w:rPr>
        <w:fldChar w:fldCharType="separate"/>
      </w:r>
      <w:r>
        <w:rPr>
          <w:color w:val="auto"/>
          <w:highlight w:val="none"/>
        </w:rPr>
        <w:t>69</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_Toc15884 </w:instrText>
      </w:r>
      <w:r>
        <w:rPr>
          <w:color w:val="auto"/>
          <w:highlight w:val="none"/>
        </w:rPr>
        <w:fldChar w:fldCharType="separate"/>
      </w:r>
      <w:r>
        <w:rPr>
          <w:color w:val="auto"/>
          <w:highlight w:val="none"/>
        </w:rPr>
        <w:t xml:space="preserve">1.7 </w:t>
      </w:r>
      <w:r>
        <w:rPr>
          <w:rFonts w:hint="eastAsia" w:hAnsi="宋体" w:cs="黑体"/>
          <w:color w:val="auto"/>
          <w:highlight w:val="none"/>
        </w:rPr>
        <w:t>联络</w:t>
      </w:r>
      <w:r>
        <w:rPr>
          <w:color w:val="auto"/>
          <w:highlight w:val="none"/>
        </w:rPr>
        <w:tab/>
      </w:r>
      <w:r>
        <w:rPr>
          <w:color w:val="auto"/>
          <w:highlight w:val="none"/>
        </w:rPr>
        <w:fldChar w:fldCharType="begin"/>
      </w:r>
      <w:r>
        <w:rPr>
          <w:color w:val="auto"/>
          <w:highlight w:val="none"/>
        </w:rPr>
        <w:instrText xml:space="preserve"> PAGEREF _Toc15884 \h </w:instrText>
      </w:r>
      <w:r>
        <w:rPr>
          <w:color w:val="auto"/>
          <w:highlight w:val="none"/>
        </w:rPr>
        <w:fldChar w:fldCharType="separate"/>
      </w:r>
      <w:r>
        <w:rPr>
          <w:color w:val="auto"/>
          <w:highlight w:val="none"/>
        </w:rPr>
        <w:t>69</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_Toc4643 </w:instrText>
      </w:r>
      <w:r>
        <w:rPr>
          <w:color w:val="auto"/>
          <w:highlight w:val="none"/>
        </w:rPr>
        <w:fldChar w:fldCharType="separate"/>
      </w:r>
      <w:r>
        <w:rPr>
          <w:color w:val="auto"/>
          <w:highlight w:val="none"/>
        </w:rPr>
        <w:t xml:space="preserve">1.10 </w:t>
      </w:r>
      <w:r>
        <w:rPr>
          <w:rFonts w:hint="eastAsia" w:hAnsi="宋体" w:cs="黑体"/>
          <w:color w:val="auto"/>
          <w:highlight w:val="none"/>
        </w:rPr>
        <w:t>交通运输</w:t>
      </w:r>
      <w:r>
        <w:rPr>
          <w:color w:val="auto"/>
          <w:highlight w:val="none"/>
        </w:rPr>
        <w:tab/>
      </w:r>
      <w:r>
        <w:rPr>
          <w:color w:val="auto"/>
          <w:highlight w:val="none"/>
        </w:rPr>
        <w:fldChar w:fldCharType="begin"/>
      </w:r>
      <w:r>
        <w:rPr>
          <w:color w:val="auto"/>
          <w:highlight w:val="none"/>
        </w:rPr>
        <w:instrText xml:space="preserve"> PAGEREF _Toc4643 \h </w:instrText>
      </w:r>
      <w:r>
        <w:rPr>
          <w:color w:val="auto"/>
          <w:highlight w:val="none"/>
        </w:rPr>
        <w:fldChar w:fldCharType="separate"/>
      </w:r>
      <w:r>
        <w:rPr>
          <w:color w:val="auto"/>
          <w:highlight w:val="none"/>
        </w:rPr>
        <w:t>69</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_Toc26452 </w:instrText>
      </w:r>
      <w:r>
        <w:rPr>
          <w:color w:val="auto"/>
          <w:highlight w:val="none"/>
        </w:rPr>
        <w:fldChar w:fldCharType="separate"/>
      </w:r>
      <w:r>
        <w:rPr>
          <w:color w:val="auto"/>
          <w:highlight w:val="none"/>
        </w:rPr>
        <w:t xml:space="preserve">1.11 </w:t>
      </w:r>
      <w:r>
        <w:rPr>
          <w:rFonts w:hint="eastAsia" w:hAnsi="宋体" w:cs="黑体"/>
          <w:color w:val="auto"/>
          <w:highlight w:val="none"/>
        </w:rPr>
        <w:t>知识产权</w:t>
      </w:r>
      <w:r>
        <w:rPr>
          <w:color w:val="auto"/>
          <w:highlight w:val="none"/>
        </w:rPr>
        <w:tab/>
      </w:r>
      <w:r>
        <w:rPr>
          <w:color w:val="auto"/>
          <w:highlight w:val="none"/>
        </w:rPr>
        <w:fldChar w:fldCharType="begin"/>
      </w:r>
      <w:r>
        <w:rPr>
          <w:color w:val="auto"/>
          <w:highlight w:val="none"/>
        </w:rPr>
        <w:instrText xml:space="preserve"> PAGEREF _Toc26452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_Toc3919 </w:instrText>
      </w:r>
      <w:r>
        <w:rPr>
          <w:color w:val="auto"/>
          <w:highlight w:val="none"/>
        </w:rPr>
        <w:fldChar w:fldCharType="separate"/>
      </w:r>
      <w:r>
        <w:rPr>
          <w:color w:val="auto"/>
          <w:highlight w:val="none"/>
        </w:rPr>
        <w:t>1.13</w:t>
      </w:r>
      <w:r>
        <w:rPr>
          <w:rFonts w:hint="eastAsia" w:cs="黑体"/>
          <w:color w:val="auto"/>
          <w:highlight w:val="none"/>
        </w:rPr>
        <w:t>工程量清单错误的修正</w:t>
      </w:r>
      <w:r>
        <w:rPr>
          <w:color w:val="auto"/>
          <w:highlight w:val="none"/>
        </w:rPr>
        <w:tab/>
      </w:r>
      <w:r>
        <w:rPr>
          <w:color w:val="auto"/>
          <w:highlight w:val="none"/>
        </w:rPr>
        <w:fldChar w:fldCharType="begin"/>
      </w:r>
      <w:r>
        <w:rPr>
          <w:color w:val="auto"/>
          <w:highlight w:val="none"/>
        </w:rPr>
        <w:instrText xml:space="preserve"> PAGEREF _Toc3919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_Toc3304 </w:instrText>
      </w:r>
      <w:r>
        <w:rPr>
          <w:color w:val="auto"/>
          <w:highlight w:val="none"/>
        </w:rPr>
        <w:fldChar w:fldCharType="separate"/>
      </w:r>
      <w:r>
        <w:rPr>
          <w:color w:val="auto"/>
          <w:highlight w:val="none"/>
        </w:rPr>
        <w:t xml:space="preserve">2. </w:t>
      </w:r>
      <w:r>
        <w:rPr>
          <w:rFonts w:hint="eastAsia" w:hAnsi="宋体" w:cs="黑体"/>
          <w:color w:val="auto"/>
          <w:highlight w:val="none"/>
        </w:rPr>
        <w:t>发包人</w:t>
      </w:r>
      <w:r>
        <w:rPr>
          <w:color w:val="auto"/>
          <w:highlight w:val="none"/>
        </w:rPr>
        <w:tab/>
      </w:r>
      <w:r>
        <w:rPr>
          <w:color w:val="auto"/>
          <w:highlight w:val="none"/>
        </w:rPr>
        <w:fldChar w:fldCharType="begin"/>
      </w:r>
      <w:r>
        <w:rPr>
          <w:color w:val="auto"/>
          <w:highlight w:val="none"/>
        </w:rPr>
        <w:instrText xml:space="preserve"> PAGEREF _Toc3304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_Toc12019 </w:instrText>
      </w:r>
      <w:r>
        <w:rPr>
          <w:color w:val="auto"/>
          <w:highlight w:val="none"/>
        </w:rPr>
        <w:fldChar w:fldCharType="separate"/>
      </w:r>
      <w:r>
        <w:rPr>
          <w:color w:val="auto"/>
          <w:highlight w:val="none"/>
        </w:rPr>
        <w:t xml:space="preserve">2.2 </w:t>
      </w:r>
      <w:r>
        <w:rPr>
          <w:rFonts w:hint="eastAsia" w:hAnsi="宋体" w:cs="黑体"/>
          <w:color w:val="auto"/>
          <w:highlight w:val="none"/>
        </w:rPr>
        <w:t>发包人代表</w:t>
      </w:r>
      <w:r>
        <w:rPr>
          <w:color w:val="auto"/>
          <w:highlight w:val="none"/>
        </w:rPr>
        <w:tab/>
      </w:r>
      <w:r>
        <w:rPr>
          <w:color w:val="auto"/>
          <w:highlight w:val="none"/>
        </w:rPr>
        <w:fldChar w:fldCharType="begin"/>
      </w:r>
      <w:r>
        <w:rPr>
          <w:color w:val="auto"/>
          <w:highlight w:val="none"/>
        </w:rPr>
        <w:instrText xml:space="preserve"> PAGEREF _Toc12019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_Toc17915 </w:instrText>
      </w:r>
      <w:r>
        <w:rPr>
          <w:color w:val="auto"/>
          <w:highlight w:val="none"/>
        </w:rPr>
        <w:fldChar w:fldCharType="separate"/>
      </w:r>
      <w:r>
        <w:rPr>
          <w:color w:val="auto"/>
          <w:highlight w:val="none"/>
        </w:rPr>
        <w:t xml:space="preserve">2.4 </w:t>
      </w:r>
      <w:r>
        <w:rPr>
          <w:rFonts w:hint="eastAsia" w:cs="黑体"/>
          <w:color w:val="auto"/>
          <w:highlight w:val="none"/>
        </w:rPr>
        <w:t>施工现场、施工条件和基础资料的提供</w:t>
      </w:r>
      <w:r>
        <w:rPr>
          <w:color w:val="auto"/>
          <w:highlight w:val="none"/>
        </w:rPr>
        <w:tab/>
      </w:r>
      <w:r>
        <w:rPr>
          <w:color w:val="auto"/>
          <w:highlight w:val="none"/>
        </w:rPr>
        <w:fldChar w:fldCharType="begin"/>
      </w:r>
      <w:r>
        <w:rPr>
          <w:color w:val="auto"/>
          <w:highlight w:val="none"/>
        </w:rPr>
        <w:instrText xml:space="preserve"> PAGEREF _Toc17915 \h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_Toc24663 </w:instrText>
      </w:r>
      <w:r>
        <w:rPr>
          <w:color w:val="auto"/>
          <w:highlight w:val="none"/>
        </w:rPr>
        <w:fldChar w:fldCharType="separate"/>
      </w:r>
      <w:r>
        <w:rPr>
          <w:color w:val="auto"/>
          <w:highlight w:val="none"/>
        </w:rPr>
        <w:t xml:space="preserve">2.5 </w:t>
      </w:r>
      <w:r>
        <w:rPr>
          <w:rFonts w:hint="eastAsia" w:cs="黑体"/>
          <w:color w:val="auto"/>
          <w:highlight w:val="none"/>
        </w:rPr>
        <w:t>资金来源证明及支付担保</w:t>
      </w:r>
      <w:r>
        <w:rPr>
          <w:color w:val="auto"/>
          <w:highlight w:val="none"/>
        </w:rPr>
        <w:tab/>
      </w:r>
      <w:r>
        <w:rPr>
          <w:color w:val="auto"/>
          <w:highlight w:val="none"/>
        </w:rPr>
        <w:fldChar w:fldCharType="begin"/>
      </w:r>
      <w:r>
        <w:rPr>
          <w:color w:val="auto"/>
          <w:highlight w:val="none"/>
        </w:rPr>
        <w:instrText xml:space="preserve"> PAGEREF _Toc24663 \h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_Toc11796 </w:instrText>
      </w:r>
      <w:r>
        <w:rPr>
          <w:color w:val="auto"/>
          <w:highlight w:val="none"/>
        </w:rPr>
        <w:fldChar w:fldCharType="separate"/>
      </w:r>
      <w:r>
        <w:rPr>
          <w:color w:val="auto"/>
          <w:highlight w:val="none"/>
        </w:rPr>
        <w:t xml:space="preserve">3. </w:t>
      </w:r>
      <w:r>
        <w:rPr>
          <w:rFonts w:hint="eastAsia" w:hAnsi="宋体" w:cs="黑体"/>
          <w:color w:val="auto"/>
          <w:highlight w:val="none"/>
        </w:rPr>
        <w:t>承包人</w:t>
      </w:r>
      <w:r>
        <w:rPr>
          <w:color w:val="auto"/>
          <w:highlight w:val="none"/>
        </w:rPr>
        <w:tab/>
      </w:r>
      <w:r>
        <w:rPr>
          <w:color w:val="auto"/>
          <w:highlight w:val="none"/>
        </w:rPr>
        <w:fldChar w:fldCharType="begin"/>
      </w:r>
      <w:r>
        <w:rPr>
          <w:color w:val="auto"/>
          <w:highlight w:val="none"/>
        </w:rPr>
        <w:instrText xml:space="preserve"> PAGEREF _Toc11796 \h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_Toc31962 </w:instrText>
      </w:r>
      <w:r>
        <w:rPr>
          <w:color w:val="auto"/>
          <w:highlight w:val="none"/>
        </w:rPr>
        <w:fldChar w:fldCharType="separate"/>
      </w:r>
      <w:r>
        <w:rPr>
          <w:color w:val="auto"/>
          <w:highlight w:val="none"/>
        </w:rPr>
        <w:t xml:space="preserve">3.1 </w:t>
      </w:r>
      <w:r>
        <w:rPr>
          <w:rFonts w:hint="eastAsia" w:cs="黑体"/>
          <w:color w:val="auto"/>
          <w:highlight w:val="none"/>
        </w:rPr>
        <w:t>承包人的一般义务</w:t>
      </w:r>
      <w:r>
        <w:rPr>
          <w:color w:val="auto"/>
          <w:highlight w:val="none"/>
        </w:rPr>
        <w:tab/>
      </w:r>
      <w:r>
        <w:rPr>
          <w:color w:val="auto"/>
          <w:highlight w:val="none"/>
        </w:rPr>
        <w:fldChar w:fldCharType="begin"/>
      </w:r>
      <w:r>
        <w:rPr>
          <w:color w:val="auto"/>
          <w:highlight w:val="none"/>
        </w:rPr>
        <w:instrText xml:space="preserve"> PAGEREF _Toc31962 \h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_Toc32064 </w:instrText>
      </w:r>
      <w:r>
        <w:rPr>
          <w:color w:val="auto"/>
          <w:highlight w:val="none"/>
        </w:rPr>
        <w:fldChar w:fldCharType="separate"/>
      </w:r>
      <w:r>
        <w:rPr>
          <w:color w:val="auto"/>
          <w:highlight w:val="none"/>
        </w:rPr>
        <w:t xml:space="preserve">3.2 </w:t>
      </w:r>
      <w:r>
        <w:rPr>
          <w:rFonts w:hint="eastAsia" w:hAnsi="宋体" w:cs="黑体"/>
          <w:color w:val="auto"/>
          <w:highlight w:val="none"/>
        </w:rPr>
        <w:t>项目经理</w:t>
      </w:r>
      <w:r>
        <w:rPr>
          <w:color w:val="auto"/>
          <w:highlight w:val="none"/>
        </w:rPr>
        <w:tab/>
      </w:r>
      <w:r>
        <w:rPr>
          <w:color w:val="auto"/>
          <w:highlight w:val="none"/>
        </w:rPr>
        <w:fldChar w:fldCharType="begin"/>
      </w:r>
      <w:r>
        <w:rPr>
          <w:color w:val="auto"/>
          <w:highlight w:val="none"/>
        </w:rPr>
        <w:instrText xml:space="preserve"> PAGEREF _Toc32064 \h </w:instrText>
      </w:r>
      <w:r>
        <w:rPr>
          <w:color w:val="auto"/>
          <w:highlight w:val="none"/>
        </w:rPr>
        <w:fldChar w:fldCharType="separate"/>
      </w:r>
      <w:r>
        <w:rPr>
          <w:color w:val="auto"/>
          <w:highlight w:val="none"/>
        </w:rPr>
        <w:t>72</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_Toc14295 </w:instrText>
      </w:r>
      <w:r>
        <w:rPr>
          <w:color w:val="auto"/>
          <w:highlight w:val="none"/>
        </w:rPr>
        <w:fldChar w:fldCharType="separate"/>
      </w:r>
      <w:r>
        <w:rPr>
          <w:color w:val="auto"/>
          <w:highlight w:val="none"/>
        </w:rPr>
        <w:t xml:space="preserve">3.3 </w:t>
      </w:r>
      <w:r>
        <w:rPr>
          <w:rFonts w:hint="eastAsia" w:hAnsi="宋体" w:cs="黑体"/>
          <w:color w:val="auto"/>
          <w:highlight w:val="none"/>
        </w:rPr>
        <w:t>承包人人员</w:t>
      </w:r>
      <w:r>
        <w:rPr>
          <w:color w:val="auto"/>
          <w:highlight w:val="none"/>
        </w:rPr>
        <w:tab/>
      </w:r>
      <w:r>
        <w:rPr>
          <w:color w:val="auto"/>
          <w:highlight w:val="none"/>
        </w:rPr>
        <w:fldChar w:fldCharType="begin"/>
      </w:r>
      <w:r>
        <w:rPr>
          <w:color w:val="auto"/>
          <w:highlight w:val="none"/>
        </w:rPr>
        <w:instrText xml:space="preserve"> PAGEREF _Toc14295 \h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_Toc3816 </w:instrText>
      </w:r>
      <w:r>
        <w:rPr>
          <w:color w:val="auto"/>
          <w:highlight w:val="none"/>
        </w:rPr>
        <w:fldChar w:fldCharType="separate"/>
      </w:r>
      <w:r>
        <w:rPr>
          <w:color w:val="auto"/>
          <w:highlight w:val="none"/>
        </w:rPr>
        <w:t xml:space="preserve">3.5 </w:t>
      </w:r>
      <w:r>
        <w:rPr>
          <w:rFonts w:hint="eastAsia" w:hAnsi="宋体" w:cs="黑体"/>
          <w:color w:val="auto"/>
          <w:highlight w:val="none"/>
        </w:rPr>
        <w:t>分包</w:t>
      </w:r>
      <w:r>
        <w:rPr>
          <w:color w:val="auto"/>
          <w:highlight w:val="none"/>
        </w:rPr>
        <w:tab/>
      </w:r>
      <w:r>
        <w:rPr>
          <w:color w:val="auto"/>
          <w:highlight w:val="none"/>
        </w:rPr>
        <w:fldChar w:fldCharType="begin"/>
      </w:r>
      <w:r>
        <w:rPr>
          <w:color w:val="auto"/>
          <w:highlight w:val="none"/>
        </w:rPr>
        <w:instrText xml:space="preserve"> PAGEREF _Toc3816 \h </w:instrText>
      </w:r>
      <w:r>
        <w:rPr>
          <w:color w:val="auto"/>
          <w:highlight w:val="none"/>
        </w:rPr>
        <w:fldChar w:fldCharType="separate"/>
      </w:r>
      <w:r>
        <w:rPr>
          <w:color w:val="auto"/>
          <w:highlight w:val="none"/>
        </w:rPr>
        <w:t>74</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_Toc1702 </w:instrText>
      </w:r>
      <w:r>
        <w:rPr>
          <w:color w:val="auto"/>
          <w:highlight w:val="none"/>
        </w:rPr>
        <w:fldChar w:fldCharType="separate"/>
      </w:r>
      <w:r>
        <w:rPr>
          <w:color w:val="auto"/>
          <w:highlight w:val="none"/>
        </w:rPr>
        <w:t xml:space="preserve">3.6 </w:t>
      </w:r>
      <w:r>
        <w:rPr>
          <w:rFonts w:hint="eastAsia" w:cs="黑体"/>
          <w:color w:val="auto"/>
          <w:highlight w:val="none"/>
        </w:rPr>
        <w:t>工程照管与成品、半成品保护</w:t>
      </w:r>
      <w:r>
        <w:rPr>
          <w:color w:val="auto"/>
          <w:highlight w:val="none"/>
        </w:rPr>
        <w:tab/>
      </w:r>
      <w:r>
        <w:rPr>
          <w:color w:val="auto"/>
          <w:highlight w:val="none"/>
        </w:rPr>
        <w:fldChar w:fldCharType="begin"/>
      </w:r>
      <w:r>
        <w:rPr>
          <w:color w:val="auto"/>
          <w:highlight w:val="none"/>
        </w:rPr>
        <w:instrText xml:space="preserve"> PAGEREF _Toc1702 \h </w:instrText>
      </w:r>
      <w:r>
        <w:rPr>
          <w:color w:val="auto"/>
          <w:highlight w:val="none"/>
        </w:rPr>
        <w:fldChar w:fldCharType="separate"/>
      </w:r>
      <w:r>
        <w:rPr>
          <w:color w:val="auto"/>
          <w:highlight w:val="none"/>
        </w:rPr>
        <w:t>74</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_Toc13389 </w:instrText>
      </w:r>
      <w:r>
        <w:rPr>
          <w:color w:val="auto"/>
          <w:highlight w:val="none"/>
        </w:rPr>
        <w:fldChar w:fldCharType="separate"/>
      </w:r>
      <w:r>
        <w:rPr>
          <w:color w:val="auto"/>
          <w:highlight w:val="none"/>
        </w:rPr>
        <w:t xml:space="preserve">3.7 </w:t>
      </w:r>
      <w:r>
        <w:rPr>
          <w:rFonts w:hint="eastAsia" w:hAnsi="宋体" w:cs="黑体"/>
          <w:color w:val="auto"/>
          <w:highlight w:val="none"/>
        </w:rPr>
        <w:t>履约保证金</w:t>
      </w:r>
      <w:r>
        <w:rPr>
          <w:color w:val="auto"/>
          <w:highlight w:val="none"/>
        </w:rPr>
        <w:tab/>
      </w:r>
      <w:r>
        <w:rPr>
          <w:color w:val="auto"/>
          <w:highlight w:val="none"/>
        </w:rPr>
        <w:fldChar w:fldCharType="begin"/>
      </w:r>
      <w:r>
        <w:rPr>
          <w:color w:val="auto"/>
          <w:highlight w:val="none"/>
        </w:rPr>
        <w:instrText xml:space="preserve"> PAGEREF _Toc13389 \h </w:instrText>
      </w:r>
      <w:r>
        <w:rPr>
          <w:color w:val="auto"/>
          <w:highlight w:val="none"/>
        </w:rPr>
        <w:fldChar w:fldCharType="separate"/>
      </w:r>
      <w:r>
        <w:rPr>
          <w:color w:val="auto"/>
          <w:highlight w:val="none"/>
        </w:rPr>
        <w:t>74</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_Toc2465 </w:instrText>
      </w:r>
      <w:r>
        <w:rPr>
          <w:color w:val="auto"/>
          <w:highlight w:val="none"/>
        </w:rPr>
        <w:fldChar w:fldCharType="separate"/>
      </w:r>
      <w:r>
        <w:rPr>
          <w:color w:val="auto"/>
          <w:highlight w:val="none"/>
        </w:rPr>
        <w:t xml:space="preserve">4. </w:t>
      </w:r>
      <w:r>
        <w:rPr>
          <w:rFonts w:hint="eastAsia" w:hAnsi="宋体" w:cs="黑体"/>
          <w:color w:val="auto"/>
          <w:highlight w:val="none"/>
        </w:rPr>
        <w:t>监理人</w:t>
      </w:r>
      <w:r>
        <w:rPr>
          <w:color w:val="auto"/>
          <w:highlight w:val="none"/>
        </w:rPr>
        <w:tab/>
      </w:r>
      <w:r>
        <w:rPr>
          <w:color w:val="auto"/>
          <w:highlight w:val="none"/>
        </w:rPr>
        <w:fldChar w:fldCharType="begin"/>
      </w:r>
      <w:r>
        <w:rPr>
          <w:color w:val="auto"/>
          <w:highlight w:val="none"/>
        </w:rPr>
        <w:instrText xml:space="preserve"> PAGEREF _Toc2465 \h </w:instrText>
      </w:r>
      <w:r>
        <w:rPr>
          <w:color w:val="auto"/>
          <w:highlight w:val="none"/>
        </w:rPr>
        <w:fldChar w:fldCharType="separate"/>
      </w:r>
      <w:r>
        <w:rPr>
          <w:color w:val="auto"/>
          <w:highlight w:val="none"/>
        </w:rPr>
        <w:t>74</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_Toc22524 </w:instrText>
      </w:r>
      <w:r>
        <w:rPr>
          <w:color w:val="auto"/>
          <w:highlight w:val="none"/>
        </w:rPr>
        <w:fldChar w:fldCharType="separate"/>
      </w:r>
      <w:r>
        <w:rPr>
          <w:color w:val="auto"/>
          <w:highlight w:val="none"/>
        </w:rPr>
        <w:t xml:space="preserve">4.1 </w:t>
      </w:r>
      <w:r>
        <w:rPr>
          <w:rFonts w:hint="eastAsia" w:cs="黑体"/>
          <w:color w:val="auto"/>
          <w:highlight w:val="none"/>
        </w:rPr>
        <w:t>监理人的一般规定</w:t>
      </w:r>
      <w:r>
        <w:rPr>
          <w:color w:val="auto"/>
          <w:highlight w:val="none"/>
        </w:rPr>
        <w:tab/>
      </w:r>
      <w:r>
        <w:rPr>
          <w:color w:val="auto"/>
          <w:highlight w:val="none"/>
        </w:rPr>
        <w:fldChar w:fldCharType="begin"/>
      </w:r>
      <w:r>
        <w:rPr>
          <w:color w:val="auto"/>
          <w:highlight w:val="none"/>
        </w:rPr>
        <w:instrText xml:space="preserve"> PAGEREF _Toc22524 \h </w:instrText>
      </w:r>
      <w:r>
        <w:rPr>
          <w:color w:val="auto"/>
          <w:highlight w:val="none"/>
        </w:rPr>
        <w:fldChar w:fldCharType="separate"/>
      </w:r>
      <w:r>
        <w:rPr>
          <w:color w:val="auto"/>
          <w:highlight w:val="none"/>
        </w:rPr>
        <w:t>74</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_Toc1622 </w:instrText>
      </w:r>
      <w:r>
        <w:rPr>
          <w:color w:val="auto"/>
          <w:highlight w:val="none"/>
        </w:rPr>
        <w:fldChar w:fldCharType="separate"/>
      </w:r>
      <w:r>
        <w:rPr>
          <w:color w:val="auto"/>
          <w:highlight w:val="none"/>
        </w:rPr>
        <w:t xml:space="preserve">4.2 </w:t>
      </w:r>
      <w:r>
        <w:rPr>
          <w:rFonts w:hint="eastAsia" w:hAnsi="宋体" w:cs="黑体"/>
          <w:color w:val="auto"/>
          <w:highlight w:val="none"/>
        </w:rPr>
        <w:t>监理人员</w:t>
      </w:r>
      <w:r>
        <w:rPr>
          <w:color w:val="auto"/>
          <w:highlight w:val="none"/>
        </w:rPr>
        <w:tab/>
      </w:r>
      <w:r>
        <w:rPr>
          <w:color w:val="auto"/>
          <w:highlight w:val="none"/>
        </w:rPr>
        <w:fldChar w:fldCharType="begin"/>
      </w:r>
      <w:r>
        <w:rPr>
          <w:color w:val="auto"/>
          <w:highlight w:val="none"/>
        </w:rPr>
        <w:instrText xml:space="preserve"> PAGEREF _Toc1622 \h </w:instrText>
      </w:r>
      <w:r>
        <w:rPr>
          <w:color w:val="auto"/>
          <w:highlight w:val="none"/>
        </w:rPr>
        <w:fldChar w:fldCharType="separate"/>
      </w:r>
      <w:r>
        <w:rPr>
          <w:color w:val="auto"/>
          <w:highlight w:val="none"/>
        </w:rPr>
        <w:t>75</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_Toc25010 </w:instrText>
      </w:r>
      <w:r>
        <w:rPr>
          <w:color w:val="auto"/>
          <w:highlight w:val="none"/>
        </w:rPr>
        <w:fldChar w:fldCharType="separate"/>
      </w:r>
      <w:r>
        <w:rPr>
          <w:color w:val="auto"/>
          <w:highlight w:val="none"/>
        </w:rPr>
        <w:t xml:space="preserve">4.4 </w:t>
      </w:r>
      <w:r>
        <w:rPr>
          <w:rFonts w:hint="eastAsia" w:hAnsi="宋体" w:cs="黑体"/>
          <w:color w:val="auto"/>
          <w:highlight w:val="none"/>
        </w:rPr>
        <w:t>商定或确定</w:t>
      </w:r>
      <w:r>
        <w:rPr>
          <w:color w:val="auto"/>
          <w:highlight w:val="none"/>
        </w:rPr>
        <w:tab/>
      </w:r>
      <w:r>
        <w:rPr>
          <w:color w:val="auto"/>
          <w:highlight w:val="none"/>
        </w:rPr>
        <w:fldChar w:fldCharType="begin"/>
      </w:r>
      <w:r>
        <w:rPr>
          <w:color w:val="auto"/>
          <w:highlight w:val="none"/>
        </w:rPr>
        <w:instrText xml:space="preserve"> PAGEREF _Toc25010 \h </w:instrText>
      </w:r>
      <w:r>
        <w:rPr>
          <w:color w:val="auto"/>
          <w:highlight w:val="none"/>
        </w:rPr>
        <w:fldChar w:fldCharType="separate"/>
      </w:r>
      <w:r>
        <w:rPr>
          <w:color w:val="auto"/>
          <w:highlight w:val="none"/>
        </w:rPr>
        <w:t>75</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_Toc17490 </w:instrText>
      </w:r>
      <w:r>
        <w:rPr>
          <w:color w:val="auto"/>
          <w:highlight w:val="none"/>
        </w:rPr>
        <w:fldChar w:fldCharType="separate"/>
      </w:r>
      <w:r>
        <w:rPr>
          <w:color w:val="auto"/>
          <w:highlight w:val="none"/>
        </w:rPr>
        <w:t xml:space="preserve">5. </w:t>
      </w:r>
      <w:r>
        <w:rPr>
          <w:rFonts w:hint="eastAsia" w:hAnsi="宋体" w:cs="黑体"/>
          <w:color w:val="auto"/>
          <w:highlight w:val="none"/>
        </w:rPr>
        <w:t>工程质量</w:t>
      </w:r>
      <w:r>
        <w:rPr>
          <w:color w:val="auto"/>
          <w:highlight w:val="none"/>
        </w:rPr>
        <w:tab/>
      </w:r>
      <w:r>
        <w:rPr>
          <w:color w:val="auto"/>
          <w:highlight w:val="none"/>
        </w:rPr>
        <w:fldChar w:fldCharType="begin"/>
      </w:r>
      <w:r>
        <w:rPr>
          <w:color w:val="auto"/>
          <w:highlight w:val="none"/>
        </w:rPr>
        <w:instrText xml:space="preserve"> PAGEREF _Toc17490 \h </w:instrText>
      </w:r>
      <w:r>
        <w:rPr>
          <w:color w:val="auto"/>
          <w:highlight w:val="none"/>
        </w:rPr>
        <w:fldChar w:fldCharType="separate"/>
      </w:r>
      <w:r>
        <w:rPr>
          <w:color w:val="auto"/>
          <w:highlight w:val="none"/>
        </w:rPr>
        <w:t>76</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_Toc1670 </w:instrText>
      </w:r>
      <w:r>
        <w:rPr>
          <w:color w:val="auto"/>
          <w:highlight w:val="none"/>
        </w:rPr>
        <w:fldChar w:fldCharType="separate"/>
      </w:r>
      <w:r>
        <w:rPr>
          <w:color w:val="auto"/>
          <w:highlight w:val="none"/>
        </w:rPr>
        <w:t xml:space="preserve">5.1 </w:t>
      </w:r>
      <w:r>
        <w:rPr>
          <w:rFonts w:hint="eastAsia" w:hAnsi="宋体" w:cs="黑体"/>
          <w:color w:val="auto"/>
          <w:highlight w:val="none"/>
        </w:rPr>
        <w:t>质量要求</w:t>
      </w:r>
      <w:r>
        <w:rPr>
          <w:color w:val="auto"/>
          <w:highlight w:val="none"/>
        </w:rPr>
        <w:tab/>
      </w:r>
      <w:r>
        <w:rPr>
          <w:color w:val="auto"/>
          <w:highlight w:val="none"/>
        </w:rPr>
        <w:fldChar w:fldCharType="begin"/>
      </w:r>
      <w:r>
        <w:rPr>
          <w:color w:val="auto"/>
          <w:highlight w:val="none"/>
        </w:rPr>
        <w:instrText xml:space="preserve"> PAGEREF _Toc1670 \h </w:instrText>
      </w:r>
      <w:r>
        <w:rPr>
          <w:color w:val="auto"/>
          <w:highlight w:val="none"/>
        </w:rPr>
        <w:fldChar w:fldCharType="separate"/>
      </w:r>
      <w:r>
        <w:rPr>
          <w:color w:val="auto"/>
          <w:highlight w:val="none"/>
        </w:rPr>
        <w:t>76</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_Toc26914 </w:instrText>
      </w:r>
      <w:r>
        <w:rPr>
          <w:color w:val="auto"/>
          <w:highlight w:val="none"/>
        </w:rPr>
        <w:fldChar w:fldCharType="separate"/>
      </w:r>
      <w:r>
        <w:rPr>
          <w:color w:val="auto"/>
          <w:highlight w:val="none"/>
        </w:rPr>
        <w:t xml:space="preserve">6. </w:t>
      </w:r>
      <w:r>
        <w:rPr>
          <w:rFonts w:hint="eastAsia" w:cs="黑体"/>
          <w:color w:val="auto"/>
          <w:highlight w:val="none"/>
        </w:rPr>
        <w:t>安全文明施工与环境保护</w:t>
      </w:r>
      <w:r>
        <w:rPr>
          <w:color w:val="auto"/>
          <w:highlight w:val="none"/>
        </w:rPr>
        <w:tab/>
      </w:r>
      <w:r>
        <w:rPr>
          <w:color w:val="auto"/>
          <w:highlight w:val="none"/>
        </w:rPr>
        <w:fldChar w:fldCharType="begin"/>
      </w:r>
      <w:r>
        <w:rPr>
          <w:color w:val="auto"/>
          <w:highlight w:val="none"/>
        </w:rPr>
        <w:instrText xml:space="preserve"> PAGEREF _Toc26914 \h </w:instrText>
      </w:r>
      <w:r>
        <w:rPr>
          <w:color w:val="auto"/>
          <w:highlight w:val="none"/>
        </w:rPr>
        <w:fldChar w:fldCharType="separate"/>
      </w:r>
      <w:r>
        <w:rPr>
          <w:color w:val="auto"/>
          <w:highlight w:val="none"/>
        </w:rPr>
        <w:t>76</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_Toc20314 </w:instrText>
      </w:r>
      <w:r>
        <w:rPr>
          <w:color w:val="auto"/>
          <w:highlight w:val="none"/>
        </w:rPr>
        <w:fldChar w:fldCharType="separate"/>
      </w:r>
      <w:r>
        <w:rPr>
          <w:color w:val="auto"/>
          <w:highlight w:val="none"/>
        </w:rPr>
        <w:t xml:space="preserve">6.1 </w:t>
      </w:r>
      <w:r>
        <w:rPr>
          <w:rFonts w:hint="eastAsia" w:cs="黑体"/>
          <w:color w:val="auto"/>
          <w:highlight w:val="none"/>
        </w:rPr>
        <w:t>安全文明施工</w:t>
      </w:r>
      <w:r>
        <w:rPr>
          <w:color w:val="auto"/>
          <w:highlight w:val="none"/>
        </w:rPr>
        <w:tab/>
      </w:r>
      <w:r>
        <w:rPr>
          <w:color w:val="auto"/>
          <w:highlight w:val="none"/>
        </w:rPr>
        <w:fldChar w:fldCharType="begin"/>
      </w:r>
      <w:r>
        <w:rPr>
          <w:color w:val="auto"/>
          <w:highlight w:val="none"/>
        </w:rPr>
        <w:instrText xml:space="preserve"> PAGEREF _Toc20314 \h </w:instrText>
      </w:r>
      <w:r>
        <w:rPr>
          <w:color w:val="auto"/>
          <w:highlight w:val="none"/>
        </w:rPr>
        <w:fldChar w:fldCharType="separate"/>
      </w:r>
      <w:r>
        <w:rPr>
          <w:color w:val="auto"/>
          <w:highlight w:val="none"/>
        </w:rPr>
        <w:t>76</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_Toc5500 </w:instrText>
      </w:r>
      <w:r>
        <w:rPr>
          <w:color w:val="auto"/>
          <w:highlight w:val="none"/>
        </w:rPr>
        <w:fldChar w:fldCharType="separate"/>
      </w:r>
      <w:r>
        <w:rPr>
          <w:color w:val="auto"/>
          <w:highlight w:val="none"/>
        </w:rPr>
        <w:t xml:space="preserve">6.3 </w:t>
      </w:r>
      <w:r>
        <w:rPr>
          <w:rFonts w:hint="eastAsia" w:hAnsi="宋体" w:cs="黑体"/>
          <w:color w:val="auto"/>
          <w:highlight w:val="none"/>
        </w:rPr>
        <w:t>环境保护</w:t>
      </w:r>
      <w:r>
        <w:rPr>
          <w:color w:val="auto"/>
          <w:highlight w:val="none"/>
        </w:rPr>
        <w:tab/>
      </w:r>
      <w:r>
        <w:rPr>
          <w:color w:val="auto"/>
          <w:highlight w:val="none"/>
        </w:rPr>
        <w:fldChar w:fldCharType="begin"/>
      </w:r>
      <w:r>
        <w:rPr>
          <w:color w:val="auto"/>
          <w:highlight w:val="none"/>
        </w:rPr>
        <w:instrText xml:space="preserve"> PAGEREF _Toc5500 \h </w:instrText>
      </w:r>
      <w:r>
        <w:rPr>
          <w:color w:val="auto"/>
          <w:highlight w:val="none"/>
        </w:rPr>
        <w:fldChar w:fldCharType="separate"/>
      </w:r>
      <w:r>
        <w:rPr>
          <w:color w:val="auto"/>
          <w:highlight w:val="none"/>
        </w:rPr>
        <w:t>77</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_Toc12259 </w:instrText>
      </w:r>
      <w:r>
        <w:rPr>
          <w:color w:val="auto"/>
          <w:highlight w:val="none"/>
        </w:rPr>
        <w:fldChar w:fldCharType="separate"/>
      </w:r>
      <w:r>
        <w:rPr>
          <w:color w:val="auto"/>
          <w:highlight w:val="none"/>
        </w:rPr>
        <w:t xml:space="preserve">7. </w:t>
      </w:r>
      <w:r>
        <w:rPr>
          <w:rFonts w:hint="eastAsia" w:cs="黑体"/>
          <w:color w:val="auto"/>
          <w:highlight w:val="none"/>
        </w:rPr>
        <w:t>工期和进度</w:t>
      </w:r>
      <w:r>
        <w:rPr>
          <w:color w:val="auto"/>
          <w:highlight w:val="none"/>
        </w:rPr>
        <w:tab/>
      </w:r>
      <w:r>
        <w:rPr>
          <w:color w:val="auto"/>
          <w:highlight w:val="none"/>
        </w:rPr>
        <w:fldChar w:fldCharType="begin"/>
      </w:r>
      <w:r>
        <w:rPr>
          <w:color w:val="auto"/>
          <w:highlight w:val="none"/>
        </w:rPr>
        <w:instrText xml:space="preserve"> PAGEREF _Toc12259 \h </w:instrText>
      </w:r>
      <w:r>
        <w:rPr>
          <w:color w:val="auto"/>
          <w:highlight w:val="none"/>
        </w:rPr>
        <w:fldChar w:fldCharType="separate"/>
      </w:r>
      <w:r>
        <w:rPr>
          <w:color w:val="auto"/>
          <w:highlight w:val="none"/>
        </w:rPr>
        <w:t>77</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_Toc21691 </w:instrText>
      </w:r>
      <w:r>
        <w:rPr>
          <w:color w:val="auto"/>
          <w:highlight w:val="none"/>
        </w:rPr>
        <w:fldChar w:fldCharType="separate"/>
      </w:r>
      <w:r>
        <w:rPr>
          <w:color w:val="auto"/>
          <w:highlight w:val="none"/>
        </w:rPr>
        <w:t xml:space="preserve">7.1 </w:t>
      </w:r>
      <w:r>
        <w:rPr>
          <w:rFonts w:hint="eastAsia" w:cs="黑体"/>
          <w:color w:val="auto"/>
          <w:highlight w:val="none"/>
        </w:rPr>
        <w:t>施工组织设计</w:t>
      </w:r>
      <w:r>
        <w:rPr>
          <w:color w:val="auto"/>
          <w:highlight w:val="none"/>
        </w:rPr>
        <w:tab/>
      </w:r>
      <w:r>
        <w:rPr>
          <w:color w:val="auto"/>
          <w:highlight w:val="none"/>
        </w:rPr>
        <w:fldChar w:fldCharType="begin"/>
      </w:r>
      <w:r>
        <w:rPr>
          <w:color w:val="auto"/>
          <w:highlight w:val="none"/>
        </w:rPr>
        <w:instrText xml:space="preserve"> PAGEREF _Toc21691 \h </w:instrText>
      </w:r>
      <w:r>
        <w:rPr>
          <w:color w:val="auto"/>
          <w:highlight w:val="none"/>
        </w:rPr>
        <w:fldChar w:fldCharType="separate"/>
      </w:r>
      <w:r>
        <w:rPr>
          <w:color w:val="auto"/>
          <w:highlight w:val="none"/>
        </w:rPr>
        <w:t>77</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_Toc6846 </w:instrText>
      </w:r>
      <w:r>
        <w:rPr>
          <w:color w:val="auto"/>
          <w:highlight w:val="none"/>
        </w:rPr>
        <w:fldChar w:fldCharType="separate"/>
      </w:r>
      <w:r>
        <w:rPr>
          <w:color w:val="auto"/>
          <w:highlight w:val="none"/>
        </w:rPr>
        <w:t xml:space="preserve">7.2 </w:t>
      </w:r>
      <w:r>
        <w:rPr>
          <w:rFonts w:hint="eastAsia" w:cs="黑体"/>
          <w:color w:val="auto"/>
          <w:highlight w:val="none"/>
        </w:rPr>
        <w:t>施工进度计划</w:t>
      </w:r>
      <w:r>
        <w:rPr>
          <w:color w:val="auto"/>
          <w:highlight w:val="none"/>
        </w:rPr>
        <w:tab/>
      </w:r>
      <w:r>
        <w:rPr>
          <w:color w:val="auto"/>
          <w:highlight w:val="none"/>
        </w:rPr>
        <w:fldChar w:fldCharType="begin"/>
      </w:r>
      <w:r>
        <w:rPr>
          <w:color w:val="auto"/>
          <w:highlight w:val="none"/>
        </w:rPr>
        <w:instrText xml:space="preserve"> PAGEREF _Toc6846 \h </w:instrText>
      </w:r>
      <w:r>
        <w:rPr>
          <w:color w:val="auto"/>
          <w:highlight w:val="none"/>
        </w:rPr>
        <w:fldChar w:fldCharType="separate"/>
      </w:r>
      <w:r>
        <w:rPr>
          <w:color w:val="auto"/>
          <w:highlight w:val="none"/>
        </w:rPr>
        <w:t>77</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_Toc14596 </w:instrText>
      </w:r>
      <w:r>
        <w:rPr>
          <w:color w:val="auto"/>
          <w:highlight w:val="none"/>
        </w:rPr>
        <w:fldChar w:fldCharType="separate"/>
      </w:r>
      <w:r>
        <w:rPr>
          <w:color w:val="auto"/>
          <w:highlight w:val="none"/>
        </w:rPr>
        <w:t xml:space="preserve">7.3 </w:t>
      </w:r>
      <w:r>
        <w:rPr>
          <w:rFonts w:hint="eastAsia" w:cs="黑体"/>
          <w:color w:val="auto"/>
          <w:highlight w:val="none"/>
        </w:rPr>
        <w:t>开工</w:t>
      </w:r>
      <w:r>
        <w:rPr>
          <w:color w:val="auto"/>
          <w:highlight w:val="none"/>
        </w:rPr>
        <w:tab/>
      </w:r>
      <w:r>
        <w:rPr>
          <w:color w:val="auto"/>
          <w:highlight w:val="none"/>
        </w:rPr>
        <w:fldChar w:fldCharType="begin"/>
      </w:r>
      <w:r>
        <w:rPr>
          <w:color w:val="auto"/>
          <w:highlight w:val="none"/>
        </w:rPr>
        <w:instrText xml:space="preserve"> PAGEREF _Toc14596 \h </w:instrText>
      </w:r>
      <w:r>
        <w:rPr>
          <w:color w:val="auto"/>
          <w:highlight w:val="none"/>
        </w:rPr>
        <w:fldChar w:fldCharType="separate"/>
      </w:r>
      <w:r>
        <w:rPr>
          <w:color w:val="auto"/>
          <w:highlight w:val="none"/>
        </w:rPr>
        <w:t>77</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_Toc9075 </w:instrText>
      </w:r>
      <w:r>
        <w:rPr>
          <w:color w:val="auto"/>
          <w:highlight w:val="none"/>
        </w:rPr>
        <w:fldChar w:fldCharType="separate"/>
      </w:r>
      <w:r>
        <w:rPr>
          <w:color w:val="auto"/>
          <w:highlight w:val="none"/>
        </w:rPr>
        <w:t xml:space="preserve">7.4 </w:t>
      </w:r>
      <w:r>
        <w:rPr>
          <w:rFonts w:hint="eastAsia" w:hAnsi="宋体" w:cs="黑体"/>
          <w:color w:val="auto"/>
          <w:highlight w:val="none"/>
        </w:rPr>
        <w:t>测量放线</w:t>
      </w:r>
      <w:r>
        <w:rPr>
          <w:color w:val="auto"/>
          <w:highlight w:val="none"/>
        </w:rPr>
        <w:tab/>
      </w:r>
      <w:r>
        <w:rPr>
          <w:color w:val="auto"/>
          <w:highlight w:val="none"/>
        </w:rPr>
        <w:fldChar w:fldCharType="begin"/>
      </w:r>
      <w:r>
        <w:rPr>
          <w:color w:val="auto"/>
          <w:highlight w:val="none"/>
        </w:rPr>
        <w:instrText xml:space="preserve"> PAGEREF _Toc9075 \h </w:instrText>
      </w:r>
      <w:r>
        <w:rPr>
          <w:color w:val="auto"/>
          <w:highlight w:val="none"/>
        </w:rPr>
        <w:fldChar w:fldCharType="separate"/>
      </w:r>
      <w:r>
        <w:rPr>
          <w:color w:val="auto"/>
          <w:highlight w:val="none"/>
        </w:rPr>
        <w:t>78</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_Toc4563 </w:instrText>
      </w:r>
      <w:r>
        <w:rPr>
          <w:color w:val="auto"/>
          <w:highlight w:val="none"/>
        </w:rPr>
        <w:fldChar w:fldCharType="separate"/>
      </w:r>
      <w:r>
        <w:rPr>
          <w:color w:val="auto"/>
          <w:highlight w:val="none"/>
        </w:rPr>
        <w:t xml:space="preserve">7.5 </w:t>
      </w:r>
      <w:r>
        <w:rPr>
          <w:rFonts w:hint="eastAsia" w:hAnsi="宋体" w:cs="黑体"/>
          <w:color w:val="auto"/>
          <w:highlight w:val="none"/>
        </w:rPr>
        <w:t>工期延误</w:t>
      </w:r>
      <w:r>
        <w:rPr>
          <w:color w:val="auto"/>
          <w:highlight w:val="none"/>
        </w:rPr>
        <w:tab/>
      </w:r>
      <w:r>
        <w:rPr>
          <w:color w:val="auto"/>
          <w:highlight w:val="none"/>
        </w:rPr>
        <w:fldChar w:fldCharType="begin"/>
      </w:r>
      <w:r>
        <w:rPr>
          <w:color w:val="auto"/>
          <w:highlight w:val="none"/>
        </w:rPr>
        <w:instrText xml:space="preserve"> PAGEREF _Toc4563 \h </w:instrText>
      </w:r>
      <w:r>
        <w:rPr>
          <w:color w:val="auto"/>
          <w:highlight w:val="none"/>
        </w:rPr>
        <w:fldChar w:fldCharType="separate"/>
      </w:r>
      <w:r>
        <w:rPr>
          <w:color w:val="auto"/>
          <w:highlight w:val="none"/>
        </w:rPr>
        <w:t>78</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_Toc1368 </w:instrText>
      </w:r>
      <w:r>
        <w:rPr>
          <w:color w:val="auto"/>
          <w:highlight w:val="none"/>
        </w:rPr>
        <w:fldChar w:fldCharType="separate"/>
      </w:r>
      <w:r>
        <w:rPr>
          <w:color w:val="auto"/>
          <w:highlight w:val="none"/>
        </w:rPr>
        <w:t xml:space="preserve">7.6 </w:t>
      </w:r>
      <w:r>
        <w:rPr>
          <w:rFonts w:hint="eastAsia" w:cs="黑体"/>
          <w:color w:val="auto"/>
          <w:highlight w:val="none"/>
        </w:rPr>
        <w:t>不利物质条件</w:t>
      </w:r>
      <w:r>
        <w:rPr>
          <w:color w:val="auto"/>
          <w:highlight w:val="none"/>
        </w:rPr>
        <w:tab/>
      </w:r>
      <w:r>
        <w:rPr>
          <w:color w:val="auto"/>
          <w:highlight w:val="none"/>
        </w:rPr>
        <w:fldChar w:fldCharType="begin"/>
      </w:r>
      <w:r>
        <w:rPr>
          <w:color w:val="auto"/>
          <w:highlight w:val="none"/>
        </w:rPr>
        <w:instrText xml:space="preserve"> PAGEREF _Toc1368 \h </w:instrText>
      </w:r>
      <w:r>
        <w:rPr>
          <w:color w:val="auto"/>
          <w:highlight w:val="none"/>
        </w:rPr>
        <w:fldChar w:fldCharType="separate"/>
      </w:r>
      <w:r>
        <w:rPr>
          <w:color w:val="auto"/>
          <w:highlight w:val="none"/>
        </w:rPr>
        <w:t>78</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_Toc22472 </w:instrText>
      </w:r>
      <w:r>
        <w:rPr>
          <w:color w:val="auto"/>
          <w:highlight w:val="none"/>
        </w:rPr>
        <w:fldChar w:fldCharType="separate"/>
      </w:r>
      <w:r>
        <w:rPr>
          <w:color w:val="auto"/>
          <w:highlight w:val="none"/>
        </w:rPr>
        <w:t xml:space="preserve">7.7 </w:t>
      </w:r>
      <w:r>
        <w:rPr>
          <w:rFonts w:hint="eastAsia" w:cs="黑体"/>
          <w:color w:val="auto"/>
          <w:highlight w:val="none"/>
        </w:rPr>
        <w:t>异常恶劣的气候条件</w:t>
      </w:r>
      <w:r>
        <w:rPr>
          <w:color w:val="auto"/>
          <w:highlight w:val="none"/>
        </w:rPr>
        <w:tab/>
      </w:r>
      <w:r>
        <w:rPr>
          <w:color w:val="auto"/>
          <w:highlight w:val="none"/>
        </w:rPr>
        <w:fldChar w:fldCharType="begin"/>
      </w:r>
      <w:r>
        <w:rPr>
          <w:color w:val="auto"/>
          <w:highlight w:val="none"/>
        </w:rPr>
        <w:instrText xml:space="preserve"> PAGEREF _Toc22472 \h </w:instrText>
      </w:r>
      <w:r>
        <w:rPr>
          <w:color w:val="auto"/>
          <w:highlight w:val="none"/>
        </w:rPr>
        <w:fldChar w:fldCharType="separate"/>
      </w:r>
      <w:r>
        <w:rPr>
          <w:color w:val="auto"/>
          <w:highlight w:val="none"/>
        </w:rPr>
        <w:t>78</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_Toc24234 </w:instrText>
      </w:r>
      <w:r>
        <w:rPr>
          <w:color w:val="auto"/>
          <w:highlight w:val="none"/>
        </w:rPr>
        <w:fldChar w:fldCharType="separate"/>
      </w:r>
      <w:r>
        <w:rPr>
          <w:color w:val="auto"/>
          <w:highlight w:val="none"/>
          <w:lang w:val="en-US"/>
        </w:rPr>
        <w:t xml:space="preserve">7.9 </w:t>
      </w:r>
      <w:r>
        <w:rPr>
          <w:rFonts w:hint="eastAsia" w:hAnsi="宋体" w:cs="黑体"/>
          <w:color w:val="auto"/>
          <w:highlight w:val="none"/>
        </w:rPr>
        <w:t>提前竣工</w:t>
      </w:r>
      <w:r>
        <w:rPr>
          <w:color w:val="auto"/>
          <w:highlight w:val="none"/>
        </w:rPr>
        <w:tab/>
      </w:r>
      <w:r>
        <w:rPr>
          <w:color w:val="auto"/>
          <w:highlight w:val="none"/>
        </w:rPr>
        <w:fldChar w:fldCharType="begin"/>
      </w:r>
      <w:r>
        <w:rPr>
          <w:color w:val="auto"/>
          <w:highlight w:val="none"/>
        </w:rPr>
        <w:instrText xml:space="preserve"> PAGEREF _Toc24234 \h </w:instrText>
      </w:r>
      <w:r>
        <w:rPr>
          <w:color w:val="auto"/>
          <w:highlight w:val="none"/>
        </w:rPr>
        <w:fldChar w:fldCharType="separate"/>
      </w:r>
      <w:r>
        <w:rPr>
          <w:color w:val="auto"/>
          <w:highlight w:val="none"/>
        </w:rPr>
        <w:t>79</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_Toc32736 </w:instrText>
      </w:r>
      <w:r>
        <w:rPr>
          <w:color w:val="auto"/>
          <w:highlight w:val="none"/>
        </w:rPr>
        <w:fldChar w:fldCharType="separate"/>
      </w:r>
      <w:r>
        <w:rPr>
          <w:color w:val="auto"/>
          <w:highlight w:val="none"/>
        </w:rPr>
        <w:t xml:space="preserve">8. </w:t>
      </w:r>
      <w:r>
        <w:rPr>
          <w:rFonts w:hint="eastAsia" w:cs="黑体"/>
          <w:color w:val="auto"/>
          <w:highlight w:val="none"/>
        </w:rPr>
        <w:t>材料与设备</w:t>
      </w:r>
      <w:r>
        <w:rPr>
          <w:color w:val="auto"/>
          <w:highlight w:val="none"/>
        </w:rPr>
        <w:tab/>
      </w:r>
      <w:r>
        <w:rPr>
          <w:color w:val="auto"/>
          <w:highlight w:val="none"/>
        </w:rPr>
        <w:fldChar w:fldCharType="begin"/>
      </w:r>
      <w:r>
        <w:rPr>
          <w:color w:val="auto"/>
          <w:highlight w:val="none"/>
        </w:rPr>
        <w:instrText xml:space="preserve"> PAGEREF _Toc32736 \h </w:instrText>
      </w:r>
      <w:r>
        <w:rPr>
          <w:color w:val="auto"/>
          <w:highlight w:val="none"/>
        </w:rPr>
        <w:fldChar w:fldCharType="separate"/>
      </w:r>
      <w:r>
        <w:rPr>
          <w:color w:val="auto"/>
          <w:highlight w:val="none"/>
        </w:rPr>
        <w:t>79</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_Toc10587 </w:instrText>
      </w:r>
      <w:r>
        <w:rPr>
          <w:color w:val="auto"/>
          <w:highlight w:val="none"/>
        </w:rPr>
        <w:fldChar w:fldCharType="separate"/>
      </w:r>
      <w:r>
        <w:rPr>
          <w:color w:val="auto"/>
          <w:highlight w:val="none"/>
        </w:rPr>
        <w:t xml:space="preserve">8.2 </w:t>
      </w:r>
      <w:r>
        <w:rPr>
          <w:rFonts w:hint="eastAsia" w:cs="黑体"/>
          <w:color w:val="auto"/>
          <w:highlight w:val="none"/>
        </w:rPr>
        <w:t>承包人采购材料与工程设备</w:t>
      </w:r>
      <w:r>
        <w:rPr>
          <w:color w:val="auto"/>
          <w:highlight w:val="none"/>
        </w:rPr>
        <w:tab/>
      </w:r>
      <w:r>
        <w:rPr>
          <w:color w:val="auto"/>
          <w:highlight w:val="none"/>
        </w:rPr>
        <w:fldChar w:fldCharType="begin"/>
      </w:r>
      <w:r>
        <w:rPr>
          <w:color w:val="auto"/>
          <w:highlight w:val="none"/>
        </w:rPr>
        <w:instrText xml:space="preserve"> PAGEREF _Toc10587 \h </w:instrText>
      </w:r>
      <w:r>
        <w:rPr>
          <w:color w:val="auto"/>
          <w:highlight w:val="none"/>
        </w:rPr>
        <w:fldChar w:fldCharType="separate"/>
      </w:r>
      <w:r>
        <w:rPr>
          <w:color w:val="auto"/>
          <w:highlight w:val="none"/>
        </w:rPr>
        <w:t>79</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_Toc14725 </w:instrText>
      </w:r>
      <w:r>
        <w:rPr>
          <w:color w:val="auto"/>
          <w:highlight w:val="none"/>
        </w:rPr>
        <w:fldChar w:fldCharType="separate"/>
      </w:r>
      <w:r>
        <w:rPr>
          <w:color w:val="auto"/>
          <w:highlight w:val="none"/>
        </w:rPr>
        <w:t xml:space="preserve">8.4 </w:t>
      </w:r>
      <w:r>
        <w:rPr>
          <w:rFonts w:hint="eastAsia" w:cs="黑体"/>
          <w:color w:val="auto"/>
          <w:highlight w:val="none"/>
        </w:rPr>
        <w:t>材料与工程设备的保管与使用</w:t>
      </w:r>
      <w:r>
        <w:rPr>
          <w:color w:val="auto"/>
          <w:highlight w:val="none"/>
        </w:rPr>
        <w:tab/>
      </w:r>
      <w:r>
        <w:rPr>
          <w:color w:val="auto"/>
          <w:highlight w:val="none"/>
        </w:rPr>
        <w:fldChar w:fldCharType="begin"/>
      </w:r>
      <w:r>
        <w:rPr>
          <w:color w:val="auto"/>
          <w:highlight w:val="none"/>
        </w:rPr>
        <w:instrText xml:space="preserve"> PAGEREF _Toc14725 \h </w:instrText>
      </w:r>
      <w:r>
        <w:rPr>
          <w:color w:val="auto"/>
          <w:highlight w:val="none"/>
        </w:rPr>
        <w:fldChar w:fldCharType="separate"/>
      </w:r>
      <w:r>
        <w:rPr>
          <w:color w:val="auto"/>
          <w:highlight w:val="none"/>
        </w:rPr>
        <w:t>79</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_Toc1892 </w:instrText>
      </w:r>
      <w:r>
        <w:rPr>
          <w:color w:val="auto"/>
          <w:highlight w:val="none"/>
        </w:rPr>
        <w:fldChar w:fldCharType="separate"/>
      </w:r>
      <w:r>
        <w:rPr>
          <w:color w:val="auto"/>
          <w:highlight w:val="none"/>
        </w:rPr>
        <w:t xml:space="preserve">8.6 </w:t>
      </w:r>
      <w:r>
        <w:rPr>
          <w:rFonts w:hint="eastAsia" w:hAnsi="宋体" w:cs="黑体"/>
          <w:color w:val="auto"/>
          <w:highlight w:val="none"/>
        </w:rPr>
        <w:t>样品</w:t>
      </w:r>
      <w:r>
        <w:rPr>
          <w:color w:val="auto"/>
          <w:highlight w:val="none"/>
        </w:rPr>
        <w:tab/>
      </w:r>
      <w:r>
        <w:rPr>
          <w:color w:val="auto"/>
          <w:highlight w:val="none"/>
        </w:rPr>
        <w:fldChar w:fldCharType="begin"/>
      </w:r>
      <w:r>
        <w:rPr>
          <w:color w:val="auto"/>
          <w:highlight w:val="none"/>
        </w:rPr>
        <w:instrText xml:space="preserve"> PAGEREF _Toc1892 \h </w:instrText>
      </w:r>
      <w:r>
        <w:rPr>
          <w:color w:val="auto"/>
          <w:highlight w:val="none"/>
        </w:rPr>
        <w:fldChar w:fldCharType="separate"/>
      </w:r>
      <w:r>
        <w:rPr>
          <w:color w:val="auto"/>
          <w:highlight w:val="none"/>
        </w:rPr>
        <w:t>79</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_Toc30237 </w:instrText>
      </w:r>
      <w:r>
        <w:rPr>
          <w:color w:val="auto"/>
          <w:highlight w:val="none"/>
        </w:rPr>
        <w:fldChar w:fldCharType="separate"/>
      </w:r>
      <w:r>
        <w:rPr>
          <w:color w:val="auto"/>
          <w:highlight w:val="none"/>
        </w:rPr>
        <w:t xml:space="preserve">8.8 </w:t>
      </w:r>
      <w:r>
        <w:rPr>
          <w:rFonts w:hint="eastAsia" w:cs="黑体"/>
          <w:color w:val="auto"/>
          <w:highlight w:val="none"/>
        </w:rPr>
        <w:t>施工设备和临时设施</w:t>
      </w:r>
      <w:r>
        <w:rPr>
          <w:color w:val="auto"/>
          <w:highlight w:val="none"/>
        </w:rPr>
        <w:tab/>
      </w:r>
      <w:r>
        <w:rPr>
          <w:color w:val="auto"/>
          <w:highlight w:val="none"/>
        </w:rPr>
        <w:fldChar w:fldCharType="begin"/>
      </w:r>
      <w:r>
        <w:rPr>
          <w:color w:val="auto"/>
          <w:highlight w:val="none"/>
        </w:rPr>
        <w:instrText xml:space="preserve"> PAGEREF _Toc30237 \h </w:instrText>
      </w:r>
      <w:r>
        <w:rPr>
          <w:color w:val="auto"/>
          <w:highlight w:val="none"/>
        </w:rPr>
        <w:fldChar w:fldCharType="separate"/>
      </w:r>
      <w:r>
        <w:rPr>
          <w:color w:val="auto"/>
          <w:highlight w:val="none"/>
        </w:rPr>
        <w:t>79</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_Toc26273 </w:instrText>
      </w:r>
      <w:r>
        <w:rPr>
          <w:color w:val="auto"/>
          <w:highlight w:val="none"/>
        </w:rPr>
        <w:fldChar w:fldCharType="separate"/>
      </w:r>
      <w:r>
        <w:rPr>
          <w:color w:val="auto"/>
          <w:highlight w:val="none"/>
        </w:rPr>
        <w:t xml:space="preserve">9. </w:t>
      </w:r>
      <w:r>
        <w:rPr>
          <w:rFonts w:hint="eastAsia" w:cs="黑体"/>
          <w:color w:val="auto"/>
          <w:highlight w:val="none"/>
        </w:rPr>
        <w:t>试验与检验</w:t>
      </w:r>
      <w:r>
        <w:rPr>
          <w:color w:val="auto"/>
          <w:highlight w:val="none"/>
        </w:rPr>
        <w:tab/>
      </w:r>
      <w:r>
        <w:rPr>
          <w:color w:val="auto"/>
          <w:highlight w:val="none"/>
        </w:rPr>
        <w:fldChar w:fldCharType="begin"/>
      </w:r>
      <w:r>
        <w:rPr>
          <w:color w:val="auto"/>
          <w:highlight w:val="none"/>
        </w:rPr>
        <w:instrText xml:space="preserve"> PAGEREF _Toc26273 \h </w:instrText>
      </w:r>
      <w:r>
        <w:rPr>
          <w:color w:val="auto"/>
          <w:highlight w:val="none"/>
        </w:rPr>
        <w:fldChar w:fldCharType="separate"/>
      </w:r>
      <w:r>
        <w:rPr>
          <w:color w:val="auto"/>
          <w:highlight w:val="none"/>
        </w:rPr>
        <w:t>80</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_Toc19961 </w:instrText>
      </w:r>
      <w:r>
        <w:rPr>
          <w:color w:val="auto"/>
          <w:highlight w:val="none"/>
        </w:rPr>
        <w:fldChar w:fldCharType="separate"/>
      </w:r>
      <w:r>
        <w:rPr>
          <w:color w:val="auto"/>
          <w:highlight w:val="none"/>
        </w:rPr>
        <w:t xml:space="preserve">9.1 </w:t>
      </w:r>
      <w:r>
        <w:rPr>
          <w:rFonts w:hint="eastAsia" w:cs="黑体"/>
          <w:color w:val="auto"/>
          <w:highlight w:val="none"/>
        </w:rPr>
        <w:t>试验设备与试验人员</w:t>
      </w:r>
      <w:r>
        <w:rPr>
          <w:color w:val="auto"/>
          <w:highlight w:val="none"/>
        </w:rPr>
        <w:tab/>
      </w:r>
      <w:r>
        <w:rPr>
          <w:color w:val="auto"/>
          <w:highlight w:val="none"/>
        </w:rPr>
        <w:fldChar w:fldCharType="begin"/>
      </w:r>
      <w:r>
        <w:rPr>
          <w:color w:val="auto"/>
          <w:highlight w:val="none"/>
        </w:rPr>
        <w:instrText xml:space="preserve"> PAGEREF _Toc19961 \h </w:instrText>
      </w:r>
      <w:r>
        <w:rPr>
          <w:color w:val="auto"/>
          <w:highlight w:val="none"/>
        </w:rPr>
        <w:fldChar w:fldCharType="separate"/>
      </w:r>
      <w:r>
        <w:rPr>
          <w:color w:val="auto"/>
          <w:highlight w:val="none"/>
        </w:rPr>
        <w:t>80</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_Toc24697 </w:instrText>
      </w:r>
      <w:r>
        <w:rPr>
          <w:color w:val="auto"/>
          <w:highlight w:val="none"/>
        </w:rPr>
        <w:fldChar w:fldCharType="separate"/>
      </w:r>
      <w:r>
        <w:rPr>
          <w:color w:val="auto"/>
          <w:highlight w:val="none"/>
        </w:rPr>
        <w:t xml:space="preserve">9.4 </w:t>
      </w:r>
      <w:r>
        <w:rPr>
          <w:rFonts w:hint="eastAsia" w:hAnsi="宋体" w:cs="黑体"/>
          <w:color w:val="auto"/>
          <w:highlight w:val="none"/>
        </w:rPr>
        <w:t>现场工艺试验</w:t>
      </w:r>
      <w:r>
        <w:rPr>
          <w:color w:val="auto"/>
          <w:highlight w:val="none"/>
        </w:rPr>
        <w:tab/>
      </w:r>
      <w:r>
        <w:rPr>
          <w:color w:val="auto"/>
          <w:highlight w:val="none"/>
        </w:rPr>
        <w:fldChar w:fldCharType="begin"/>
      </w:r>
      <w:r>
        <w:rPr>
          <w:color w:val="auto"/>
          <w:highlight w:val="none"/>
        </w:rPr>
        <w:instrText xml:space="preserve"> PAGEREF _Toc24697 \h </w:instrText>
      </w:r>
      <w:r>
        <w:rPr>
          <w:color w:val="auto"/>
          <w:highlight w:val="none"/>
        </w:rPr>
        <w:fldChar w:fldCharType="separate"/>
      </w:r>
      <w:r>
        <w:rPr>
          <w:color w:val="auto"/>
          <w:highlight w:val="none"/>
        </w:rPr>
        <w:t>80</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_Toc13778 </w:instrText>
      </w:r>
      <w:r>
        <w:rPr>
          <w:color w:val="auto"/>
          <w:highlight w:val="none"/>
        </w:rPr>
        <w:fldChar w:fldCharType="separate"/>
      </w:r>
      <w:r>
        <w:rPr>
          <w:color w:val="auto"/>
          <w:highlight w:val="none"/>
        </w:rPr>
        <w:t xml:space="preserve">9.5 </w:t>
      </w:r>
      <w:r>
        <w:rPr>
          <w:rFonts w:hint="eastAsia" w:hAnsi="宋体" w:cs="黑体"/>
          <w:color w:val="auto"/>
          <w:highlight w:val="none"/>
        </w:rPr>
        <w:t>检验费用</w:t>
      </w:r>
      <w:r>
        <w:rPr>
          <w:color w:val="auto"/>
          <w:highlight w:val="none"/>
        </w:rPr>
        <w:tab/>
      </w:r>
      <w:r>
        <w:rPr>
          <w:color w:val="auto"/>
          <w:highlight w:val="none"/>
        </w:rPr>
        <w:fldChar w:fldCharType="begin"/>
      </w:r>
      <w:r>
        <w:rPr>
          <w:color w:val="auto"/>
          <w:highlight w:val="none"/>
        </w:rPr>
        <w:instrText xml:space="preserve"> PAGEREF _Toc13778 \h </w:instrText>
      </w:r>
      <w:r>
        <w:rPr>
          <w:color w:val="auto"/>
          <w:highlight w:val="none"/>
        </w:rPr>
        <w:fldChar w:fldCharType="separate"/>
      </w:r>
      <w:r>
        <w:rPr>
          <w:color w:val="auto"/>
          <w:highlight w:val="none"/>
        </w:rPr>
        <w:t>80</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_Toc7141 </w:instrText>
      </w:r>
      <w:r>
        <w:rPr>
          <w:color w:val="auto"/>
          <w:highlight w:val="none"/>
        </w:rPr>
        <w:fldChar w:fldCharType="separate"/>
      </w:r>
      <w:r>
        <w:rPr>
          <w:color w:val="auto"/>
          <w:highlight w:val="none"/>
        </w:rPr>
        <w:t xml:space="preserve">10. </w:t>
      </w:r>
      <w:r>
        <w:rPr>
          <w:rFonts w:hint="eastAsia" w:hAnsi="宋体" w:cs="黑体"/>
          <w:color w:val="auto"/>
          <w:highlight w:val="none"/>
        </w:rPr>
        <w:t>变更</w:t>
      </w:r>
      <w:r>
        <w:rPr>
          <w:color w:val="auto"/>
          <w:highlight w:val="none"/>
        </w:rPr>
        <w:tab/>
      </w:r>
      <w:r>
        <w:rPr>
          <w:color w:val="auto"/>
          <w:highlight w:val="none"/>
        </w:rPr>
        <w:fldChar w:fldCharType="begin"/>
      </w:r>
      <w:r>
        <w:rPr>
          <w:color w:val="auto"/>
          <w:highlight w:val="none"/>
        </w:rPr>
        <w:instrText xml:space="preserve"> PAGEREF _Toc7141 \h </w:instrText>
      </w:r>
      <w:r>
        <w:rPr>
          <w:color w:val="auto"/>
          <w:highlight w:val="none"/>
        </w:rPr>
        <w:fldChar w:fldCharType="separate"/>
      </w:r>
      <w:r>
        <w:rPr>
          <w:color w:val="auto"/>
          <w:highlight w:val="none"/>
        </w:rPr>
        <w:t>80</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_Toc20804 </w:instrText>
      </w:r>
      <w:r>
        <w:rPr>
          <w:color w:val="auto"/>
          <w:highlight w:val="none"/>
        </w:rPr>
        <w:fldChar w:fldCharType="separate"/>
      </w:r>
      <w:r>
        <w:rPr>
          <w:color w:val="auto"/>
          <w:highlight w:val="none"/>
        </w:rPr>
        <w:t xml:space="preserve">10.1 </w:t>
      </w:r>
      <w:r>
        <w:rPr>
          <w:rFonts w:hint="eastAsia" w:hAnsi="宋体" w:cs="黑体"/>
          <w:color w:val="auto"/>
          <w:highlight w:val="none"/>
        </w:rPr>
        <w:t>变更的范围</w:t>
      </w:r>
      <w:r>
        <w:rPr>
          <w:color w:val="auto"/>
          <w:highlight w:val="none"/>
        </w:rPr>
        <w:tab/>
      </w:r>
      <w:r>
        <w:rPr>
          <w:color w:val="auto"/>
          <w:highlight w:val="none"/>
        </w:rPr>
        <w:fldChar w:fldCharType="begin"/>
      </w:r>
      <w:r>
        <w:rPr>
          <w:color w:val="auto"/>
          <w:highlight w:val="none"/>
        </w:rPr>
        <w:instrText xml:space="preserve"> PAGEREF _Toc20804 \h </w:instrText>
      </w:r>
      <w:r>
        <w:rPr>
          <w:color w:val="auto"/>
          <w:highlight w:val="none"/>
        </w:rPr>
        <w:fldChar w:fldCharType="separate"/>
      </w:r>
      <w:r>
        <w:rPr>
          <w:color w:val="auto"/>
          <w:highlight w:val="none"/>
        </w:rPr>
        <w:t>80</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_Toc27794 </w:instrText>
      </w:r>
      <w:r>
        <w:rPr>
          <w:color w:val="auto"/>
          <w:highlight w:val="none"/>
        </w:rPr>
        <w:fldChar w:fldCharType="separate"/>
      </w:r>
      <w:r>
        <w:rPr>
          <w:color w:val="auto"/>
          <w:highlight w:val="none"/>
        </w:rPr>
        <w:t xml:space="preserve">10.3 </w:t>
      </w:r>
      <w:r>
        <w:rPr>
          <w:rFonts w:hint="eastAsia" w:hAnsi="宋体" w:cs="黑体"/>
          <w:color w:val="auto"/>
          <w:highlight w:val="none"/>
        </w:rPr>
        <w:t>变更程序</w:t>
      </w:r>
      <w:r>
        <w:rPr>
          <w:color w:val="auto"/>
          <w:highlight w:val="none"/>
        </w:rPr>
        <w:tab/>
      </w:r>
      <w:r>
        <w:rPr>
          <w:color w:val="auto"/>
          <w:highlight w:val="none"/>
        </w:rPr>
        <w:fldChar w:fldCharType="begin"/>
      </w:r>
      <w:r>
        <w:rPr>
          <w:color w:val="auto"/>
          <w:highlight w:val="none"/>
        </w:rPr>
        <w:instrText xml:space="preserve"> PAGEREF _Toc27794 \h </w:instrText>
      </w:r>
      <w:r>
        <w:rPr>
          <w:color w:val="auto"/>
          <w:highlight w:val="none"/>
        </w:rPr>
        <w:fldChar w:fldCharType="separate"/>
      </w:r>
      <w:r>
        <w:rPr>
          <w:color w:val="auto"/>
          <w:highlight w:val="none"/>
        </w:rPr>
        <w:t>80</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_Toc20950 </w:instrText>
      </w:r>
      <w:r>
        <w:rPr>
          <w:color w:val="auto"/>
          <w:highlight w:val="none"/>
        </w:rPr>
        <w:fldChar w:fldCharType="separate"/>
      </w:r>
      <w:r>
        <w:rPr>
          <w:color w:val="auto"/>
          <w:highlight w:val="none"/>
        </w:rPr>
        <w:t xml:space="preserve">10.4 </w:t>
      </w:r>
      <w:r>
        <w:rPr>
          <w:rFonts w:hint="eastAsia" w:hAnsi="宋体" w:cs="黑体"/>
          <w:color w:val="auto"/>
          <w:highlight w:val="none"/>
        </w:rPr>
        <w:t>变更估价</w:t>
      </w:r>
      <w:r>
        <w:rPr>
          <w:color w:val="auto"/>
          <w:highlight w:val="none"/>
        </w:rPr>
        <w:tab/>
      </w:r>
      <w:r>
        <w:rPr>
          <w:color w:val="auto"/>
          <w:highlight w:val="none"/>
        </w:rPr>
        <w:fldChar w:fldCharType="begin"/>
      </w:r>
      <w:r>
        <w:rPr>
          <w:color w:val="auto"/>
          <w:highlight w:val="none"/>
        </w:rPr>
        <w:instrText xml:space="preserve"> PAGEREF _Toc20950 \h </w:instrText>
      </w:r>
      <w:r>
        <w:rPr>
          <w:color w:val="auto"/>
          <w:highlight w:val="none"/>
        </w:rPr>
        <w:fldChar w:fldCharType="separate"/>
      </w:r>
      <w:r>
        <w:rPr>
          <w:color w:val="auto"/>
          <w:highlight w:val="none"/>
        </w:rPr>
        <w:t>80</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_Toc50 </w:instrText>
      </w:r>
      <w:r>
        <w:rPr>
          <w:color w:val="auto"/>
          <w:highlight w:val="none"/>
        </w:rPr>
        <w:fldChar w:fldCharType="separate"/>
      </w:r>
      <w:r>
        <w:rPr>
          <w:color w:val="auto"/>
          <w:highlight w:val="none"/>
        </w:rPr>
        <w:t xml:space="preserve">10.5 </w:t>
      </w:r>
      <w:r>
        <w:rPr>
          <w:rFonts w:hint="eastAsia" w:cs="黑体"/>
          <w:color w:val="auto"/>
          <w:highlight w:val="none"/>
        </w:rPr>
        <w:t>承包人的合理化建议</w:t>
      </w:r>
      <w:r>
        <w:rPr>
          <w:color w:val="auto"/>
          <w:highlight w:val="none"/>
        </w:rPr>
        <w:tab/>
      </w:r>
      <w:r>
        <w:rPr>
          <w:color w:val="auto"/>
          <w:highlight w:val="none"/>
        </w:rPr>
        <w:fldChar w:fldCharType="begin"/>
      </w:r>
      <w:r>
        <w:rPr>
          <w:color w:val="auto"/>
          <w:highlight w:val="none"/>
        </w:rPr>
        <w:instrText xml:space="preserve"> PAGEREF _Toc50 \h </w:instrText>
      </w:r>
      <w:r>
        <w:rPr>
          <w:color w:val="auto"/>
          <w:highlight w:val="none"/>
        </w:rPr>
        <w:fldChar w:fldCharType="separate"/>
      </w:r>
      <w:r>
        <w:rPr>
          <w:color w:val="auto"/>
          <w:highlight w:val="none"/>
        </w:rPr>
        <w:t>81</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_Toc3988 </w:instrText>
      </w:r>
      <w:r>
        <w:rPr>
          <w:color w:val="auto"/>
          <w:highlight w:val="none"/>
        </w:rPr>
        <w:fldChar w:fldCharType="separate"/>
      </w:r>
      <w:r>
        <w:rPr>
          <w:color w:val="auto"/>
          <w:highlight w:val="none"/>
        </w:rPr>
        <w:t xml:space="preserve">10.7 </w:t>
      </w:r>
      <w:r>
        <w:rPr>
          <w:rFonts w:hint="eastAsia" w:hAnsi="宋体" w:cs="黑体"/>
          <w:color w:val="auto"/>
          <w:highlight w:val="none"/>
        </w:rPr>
        <w:t>暂估价</w:t>
      </w:r>
      <w:r>
        <w:rPr>
          <w:color w:val="auto"/>
          <w:highlight w:val="none"/>
        </w:rPr>
        <w:tab/>
      </w:r>
      <w:r>
        <w:rPr>
          <w:color w:val="auto"/>
          <w:highlight w:val="none"/>
        </w:rPr>
        <w:fldChar w:fldCharType="begin"/>
      </w:r>
      <w:r>
        <w:rPr>
          <w:color w:val="auto"/>
          <w:highlight w:val="none"/>
        </w:rPr>
        <w:instrText xml:space="preserve"> PAGEREF _Toc3988 \h </w:instrText>
      </w:r>
      <w:r>
        <w:rPr>
          <w:color w:val="auto"/>
          <w:highlight w:val="none"/>
        </w:rPr>
        <w:fldChar w:fldCharType="separate"/>
      </w:r>
      <w:r>
        <w:rPr>
          <w:color w:val="auto"/>
          <w:highlight w:val="none"/>
        </w:rPr>
        <w:t>81</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_Toc13115 </w:instrText>
      </w:r>
      <w:r>
        <w:rPr>
          <w:color w:val="auto"/>
          <w:highlight w:val="none"/>
        </w:rPr>
        <w:fldChar w:fldCharType="separate"/>
      </w:r>
      <w:r>
        <w:rPr>
          <w:color w:val="auto"/>
          <w:highlight w:val="none"/>
        </w:rPr>
        <w:t xml:space="preserve">10.8 </w:t>
      </w:r>
      <w:r>
        <w:rPr>
          <w:rFonts w:hint="eastAsia" w:hAnsi="宋体" w:cs="黑体"/>
          <w:color w:val="auto"/>
          <w:highlight w:val="none"/>
        </w:rPr>
        <w:t>暂列金额</w:t>
      </w:r>
      <w:r>
        <w:rPr>
          <w:color w:val="auto"/>
          <w:highlight w:val="none"/>
        </w:rPr>
        <w:tab/>
      </w:r>
      <w:r>
        <w:rPr>
          <w:color w:val="auto"/>
          <w:highlight w:val="none"/>
        </w:rPr>
        <w:fldChar w:fldCharType="begin"/>
      </w:r>
      <w:r>
        <w:rPr>
          <w:color w:val="auto"/>
          <w:highlight w:val="none"/>
        </w:rPr>
        <w:instrText xml:space="preserve"> PAGEREF _Toc13115 \h </w:instrText>
      </w:r>
      <w:r>
        <w:rPr>
          <w:color w:val="auto"/>
          <w:highlight w:val="none"/>
        </w:rPr>
        <w:fldChar w:fldCharType="separate"/>
      </w:r>
      <w:r>
        <w:rPr>
          <w:color w:val="auto"/>
          <w:highlight w:val="none"/>
        </w:rPr>
        <w:t>81</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_Toc12114 </w:instrText>
      </w:r>
      <w:r>
        <w:rPr>
          <w:color w:val="auto"/>
          <w:highlight w:val="none"/>
        </w:rPr>
        <w:fldChar w:fldCharType="separate"/>
      </w:r>
      <w:r>
        <w:rPr>
          <w:color w:val="auto"/>
          <w:highlight w:val="none"/>
        </w:rPr>
        <w:t xml:space="preserve">11. </w:t>
      </w:r>
      <w:r>
        <w:rPr>
          <w:rFonts w:hint="eastAsia" w:hAnsi="宋体" w:cs="黑体"/>
          <w:color w:val="auto"/>
          <w:highlight w:val="none"/>
        </w:rPr>
        <w:t>价格调整</w:t>
      </w:r>
      <w:r>
        <w:rPr>
          <w:color w:val="auto"/>
          <w:highlight w:val="none"/>
        </w:rPr>
        <w:tab/>
      </w:r>
      <w:r>
        <w:rPr>
          <w:color w:val="auto"/>
          <w:highlight w:val="none"/>
        </w:rPr>
        <w:fldChar w:fldCharType="begin"/>
      </w:r>
      <w:r>
        <w:rPr>
          <w:color w:val="auto"/>
          <w:highlight w:val="none"/>
        </w:rPr>
        <w:instrText xml:space="preserve"> PAGEREF _Toc12114 \h </w:instrText>
      </w:r>
      <w:r>
        <w:rPr>
          <w:color w:val="auto"/>
          <w:highlight w:val="none"/>
        </w:rPr>
        <w:fldChar w:fldCharType="separate"/>
      </w:r>
      <w:r>
        <w:rPr>
          <w:color w:val="auto"/>
          <w:highlight w:val="none"/>
        </w:rPr>
        <w:t>82</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_Toc12443 </w:instrText>
      </w:r>
      <w:r>
        <w:rPr>
          <w:color w:val="auto"/>
          <w:highlight w:val="none"/>
        </w:rPr>
        <w:fldChar w:fldCharType="separate"/>
      </w:r>
      <w:r>
        <w:rPr>
          <w:color w:val="auto"/>
          <w:highlight w:val="none"/>
        </w:rPr>
        <w:t xml:space="preserve">11.1 </w:t>
      </w:r>
      <w:r>
        <w:rPr>
          <w:rFonts w:hint="eastAsia" w:cs="黑体"/>
          <w:color w:val="auto"/>
          <w:highlight w:val="none"/>
        </w:rPr>
        <w:t>市场价格波动引起的调整</w:t>
      </w:r>
      <w:r>
        <w:rPr>
          <w:color w:val="auto"/>
          <w:highlight w:val="none"/>
        </w:rPr>
        <w:tab/>
      </w:r>
      <w:r>
        <w:rPr>
          <w:color w:val="auto"/>
          <w:highlight w:val="none"/>
        </w:rPr>
        <w:fldChar w:fldCharType="begin"/>
      </w:r>
      <w:r>
        <w:rPr>
          <w:color w:val="auto"/>
          <w:highlight w:val="none"/>
        </w:rPr>
        <w:instrText xml:space="preserve"> PAGEREF _Toc12443 \h </w:instrText>
      </w:r>
      <w:r>
        <w:rPr>
          <w:color w:val="auto"/>
          <w:highlight w:val="none"/>
        </w:rPr>
        <w:fldChar w:fldCharType="separate"/>
      </w:r>
      <w:r>
        <w:rPr>
          <w:color w:val="auto"/>
          <w:highlight w:val="none"/>
        </w:rPr>
        <w:t>82</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_Toc3073 </w:instrText>
      </w:r>
      <w:r>
        <w:rPr>
          <w:color w:val="auto"/>
          <w:highlight w:val="none"/>
        </w:rPr>
        <w:fldChar w:fldCharType="separate"/>
      </w:r>
      <w:r>
        <w:rPr>
          <w:color w:val="auto"/>
          <w:highlight w:val="none"/>
        </w:rPr>
        <w:t xml:space="preserve">12. </w:t>
      </w:r>
      <w:r>
        <w:rPr>
          <w:rFonts w:hint="eastAsia" w:cs="黑体"/>
          <w:color w:val="auto"/>
          <w:highlight w:val="none"/>
        </w:rPr>
        <w:t>合同价格、计量与支付</w:t>
      </w:r>
      <w:r>
        <w:rPr>
          <w:color w:val="auto"/>
          <w:highlight w:val="none"/>
        </w:rPr>
        <w:tab/>
      </w:r>
      <w:r>
        <w:rPr>
          <w:color w:val="auto"/>
          <w:highlight w:val="none"/>
        </w:rPr>
        <w:fldChar w:fldCharType="begin"/>
      </w:r>
      <w:r>
        <w:rPr>
          <w:color w:val="auto"/>
          <w:highlight w:val="none"/>
        </w:rPr>
        <w:instrText xml:space="preserve"> PAGEREF _Toc3073 \h </w:instrText>
      </w:r>
      <w:r>
        <w:rPr>
          <w:color w:val="auto"/>
          <w:highlight w:val="none"/>
        </w:rPr>
        <w:fldChar w:fldCharType="separate"/>
      </w:r>
      <w:r>
        <w:rPr>
          <w:color w:val="auto"/>
          <w:highlight w:val="none"/>
        </w:rPr>
        <w:t>82</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_Toc23609 </w:instrText>
      </w:r>
      <w:r>
        <w:rPr>
          <w:color w:val="auto"/>
          <w:highlight w:val="none"/>
        </w:rPr>
        <w:fldChar w:fldCharType="separate"/>
      </w:r>
      <w:r>
        <w:rPr>
          <w:color w:val="auto"/>
          <w:highlight w:val="none"/>
        </w:rPr>
        <w:t xml:space="preserve">12.1 </w:t>
      </w:r>
      <w:r>
        <w:rPr>
          <w:rFonts w:hint="eastAsia" w:hAnsi="宋体" w:cs="黑体"/>
          <w:color w:val="auto"/>
          <w:highlight w:val="none"/>
        </w:rPr>
        <w:t>合同价格形式</w:t>
      </w:r>
      <w:r>
        <w:rPr>
          <w:color w:val="auto"/>
          <w:highlight w:val="none"/>
        </w:rPr>
        <w:tab/>
      </w:r>
      <w:r>
        <w:rPr>
          <w:color w:val="auto"/>
          <w:highlight w:val="none"/>
        </w:rPr>
        <w:fldChar w:fldCharType="begin"/>
      </w:r>
      <w:r>
        <w:rPr>
          <w:color w:val="auto"/>
          <w:highlight w:val="none"/>
        </w:rPr>
        <w:instrText xml:space="preserve"> PAGEREF _Toc23609 \h </w:instrText>
      </w:r>
      <w:r>
        <w:rPr>
          <w:color w:val="auto"/>
          <w:highlight w:val="none"/>
        </w:rPr>
        <w:fldChar w:fldCharType="separate"/>
      </w:r>
      <w:r>
        <w:rPr>
          <w:color w:val="auto"/>
          <w:highlight w:val="none"/>
        </w:rPr>
        <w:t>82</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_Toc967 </w:instrText>
      </w:r>
      <w:r>
        <w:rPr>
          <w:color w:val="auto"/>
          <w:highlight w:val="none"/>
        </w:rPr>
        <w:fldChar w:fldCharType="separate"/>
      </w:r>
      <w:r>
        <w:rPr>
          <w:color w:val="auto"/>
          <w:highlight w:val="none"/>
        </w:rPr>
        <w:t xml:space="preserve">12.2 </w:t>
      </w:r>
      <w:r>
        <w:rPr>
          <w:rFonts w:hint="eastAsia" w:hAnsi="宋体" w:cs="黑体"/>
          <w:color w:val="auto"/>
          <w:highlight w:val="none"/>
        </w:rPr>
        <w:t>预付款</w:t>
      </w:r>
      <w:r>
        <w:rPr>
          <w:color w:val="auto"/>
          <w:highlight w:val="none"/>
        </w:rPr>
        <w:tab/>
      </w:r>
      <w:r>
        <w:rPr>
          <w:color w:val="auto"/>
          <w:highlight w:val="none"/>
        </w:rPr>
        <w:fldChar w:fldCharType="begin"/>
      </w:r>
      <w:r>
        <w:rPr>
          <w:color w:val="auto"/>
          <w:highlight w:val="none"/>
        </w:rPr>
        <w:instrText xml:space="preserve"> PAGEREF _Toc967 \h </w:instrText>
      </w:r>
      <w:r>
        <w:rPr>
          <w:color w:val="auto"/>
          <w:highlight w:val="none"/>
        </w:rPr>
        <w:fldChar w:fldCharType="separate"/>
      </w:r>
      <w:r>
        <w:rPr>
          <w:color w:val="auto"/>
          <w:highlight w:val="none"/>
        </w:rPr>
        <w:t>83</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_Toc17965 </w:instrText>
      </w:r>
      <w:r>
        <w:rPr>
          <w:color w:val="auto"/>
          <w:highlight w:val="none"/>
        </w:rPr>
        <w:fldChar w:fldCharType="separate"/>
      </w:r>
      <w:r>
        <w:rPr>
          <w:color w:val="auto"/>
          <w:highlight w:val="none"/>
        </w:rPr>
        <w:t xml:space="preserve">12.3 </w:t>
      </w:r>
      <w:r>
        <w:rPr>
          <w:rFonts w:hint="eastAsia" w:hAnsi="宋体" w:cs="黑体"/>
          <w:color w:val="auto"/>
          <w:highlight w:val="none"/>
        </w:rPr>
        <w:t>计量</w:t>
      </w:r>
      <w:r>
        <w:rPr>
          <w:color w:val="auto"/>
          <w:highlight w:val="none"/>
        </w:rPr>
        <w:tab/>
      </w:r>
      <w:r>
        <w:rPr>
          <w:color w:val="auto"/>
          <w:highlight w:val="none"/>
        </w:rPr>
        <w:fldChar w:fldCharType="begin"/>
      </w:r>
      <w:r>
        <w:rPr>
          <w:color w:val="auto"/>
          <w:highlight w:val="none"/>
        </w:rPr>
        <w:instrText xml:space="preserve"> PAGEREF _Toc17965 \h </w:instrText>
      </w:r>
      <w:r>
        <w:rPr>
          <w:color w:val="auto"/>
          <w:highlight w:val="none"/>
        </w:rPr>
        <w:fldChar w:fldCharType="separate"/>
      </w:r>
      <w:r>
        <w:rPr>
          <w:color w:val="auto"/>
          <w:highlight w:val="none"/>
        </w:rPr>
        <w:t>83</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_Toc3766 </w:instrText>
      </w:r>
      <w:r>
        <w:rPr>
          <w:color w:val="auto"/>
          <w:highlight w:val="none"/>
        </w:rPr>
        <w:fldChar w:fldCharType="separate"/>
      </w:r>
      <w:r>
        <w:rPr>
          <w:color w:val="auto"/>
          <w:highlight w:val="none"/>
        </w:rPr>
        <w:t xml:space="preserve">12.4 </w:t>
      </w:r>
      <w:r>
        <w:rPr>
          <w:rFonts w:hint="eastAsia" w:cs="黑体"/>
          <w:color w:val="auto"/>
          <w:highlight w:val="none"/>
        </w:rPr>
        <w:t>工程进度款支付</w:t>
      </w:r>
      <w:r>
        <w:rPr>
          <w:color w:val="auto"/>
          <w:highlight w:val="none"/>
        </w:rPr>
        <w:tab/>
      </w:r>
      <w:r>
        <w:rPr>
          <w:color w:val="auto"/>
          <w:highlight w:val="none"/>
        </w:rPr>
        <w:fldChar w:fldCharType="begin"/>
      </w:r>
      <w:r>
        <w:rPr>
          <w:color w:val="auto"/>
          <w:highlight w:val="none"/>
        </w:rPr>
        <w:instrText xml:space="preserve"> PAGEREF _Toc3766 \h </w:instrText>
      </w:r>
      <w:r>
        <w:rPr>
          <w:color w:val="auto"/>
          <w:highlight w:val="none"/>
        </w:rPr>
        <w:fldChar w:fldCharType="separate"/>
      </w:r>
      <w:r>
        <w:rPr>
          <w:color w:val="auto"/>
          <w:highlight w:val="none"/>
        </w:rPr>
        <w:t>84</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_Toc5405 </w:instrText>
      </w:r>
      <w:r>
        <w:rPr>
          <w:color w:val="auto"/>
          <w:highlight w:val="none"/>
        </w:rPr>
        <w:fldChar w:fldCharType="separate"/>
      </w:r>
      <w:r>
        <w:rPr>
          <w:color w:val="auto"/>
          <w:highlight w:val="none"/>
        </w:rPr>
        <w:t xml:space="preserve">13. </w:t>
      </w:r>
      <w:r>
        <w:rPr>
          <w:rFonts w:hint="eastAsia" w:cs="黑体"/>
          <w:color w:val="auto"/>
          <w:highlight w:val="none"/>
        </w:rPr>
        <w:t>验收和工程试车</w:t>
      </w:r>
      <w:r>
        <w:rPr>
          <w:color w:val="auto"/>
          <w:highlight w:val="none"/>
        </w:rPr>
        <w:tab/>
      </w:r>
      <w:r>
        <w:rPr>
          <w:color w:val="auto"/>
          <w:highlight w:val="none"/>
        </w:rPr>
        <w:fldChar w:fldCharType="begin"/>
      </w:r>
      <w:r>
        <w:rPr>
          <w:color w:val="auto"/>
          <w:highlight w:val="none"/>
        </w:rPr>
        <w:instrText xml:space="preserve"> PAGEREF _Toc5405 \h </w:instrText>
      </w:r>
      <w:r>
        <w:rPr>
          <w:color w:val="auto"/>
          <w:highlight w:val="none"/>
        </w:rPr>
        <w:fldChar w:fldCharType="separate"/>
      </w:r>
      <w:r>
        <w:rPr>
          <w:color w:val="auto"/>
          <w:highlight w:val="none"/>
        </w:rPr>
        <w:t>85</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_Toc29779 </w:instrText>
      </w:r>
      <w:r>
        <w:rPr>
          <w:color w:val="auto"/>
          <w:highlight w:val="none"/>
        </w:rPr>
        <w:fldChar w:fldCharType="separate"/>
      </w:r>
      <w:r>
        <w:rPr>
          <w:color w:val="auto"/>
          <w:highlight w:val="none"/>
        </w:rPr>
        <w:t xml:space="preserve">13.1 </w:t>
      </w:r>
      <w:r>
        <w:rPr>
          <w:rFonts w:hint="eastAsia" w:cs="黑体"/>
          <w:color w:val="auto"/>
          <w:highlight w:val="none"/>
        </w:rPr>
        <w:t>分部分项工程验收</w:t>
      </w:r>
      <w:r>
        <w:rPr>
          <w:color w:val="auto"/>
          <w:highlight w:val="none"/>
        </w:rPr>
        <w:tab/>
      </w:r>
      <w:r>
        <w:rPr>
          <w:color w:val="auto"/>
          <w:highlight w:val="none"/>
        </w:rPr>
        <w:fldChar w:fldCharType="begin"/>
      </w:r>
      <w:r>
        <w:rPr>
          <w:color w:val="auto"/>
          <w:highlight w:val="none"/>
        </w:rPr>
        <w:instrText xml:space="preserve"> PAGEREF _Toc29779 \h </w:instrText>
      </w:r>
      <w:r>
        <w:rPr>
          <w:color w:val="auto"/>
          <w:highlight w:val="none"/>
        </w:rPr>
        <w:fldChar w:fldCharType="separate"/>
      </w:r>
      <w:r>
        <w:rPr>
          <w:color w:val="auto"/>
          <w:highlight w:val="none"/>
        </w:rPr>
        <w:t>85</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_Toc2082 </w:instrText>
      </w:r>
      <w:r>
        <w:rPr>
          <w:color w:val="auto"/>
          <w:highlight w:val="none"/>
        </w:rPr>
        <w:fldChar w:fldCharType="separate"/>
      </w:r>
      <w:r>
        <w:rPr>
          <w:color w:val="auto"/>
          <w:highlight w:val="none"/>
        </w:rPr>
        <w:t xml:space="preserve">13.2 </w:t>
      </w:r>
      <w:r>
        <w:rPr>
          <w:rFonts w:hint="eastAsia" w:hAnsi="宋体" w:cs="黑体"/>
          <w:color w:val="auto"/>
          <w:highlight w:val="none"/>
        </w:rPr>
        <w:t>竣工验收</w:t>
      </w:r>
      <w:r>
        <w:rPr>
          <w:color w:val="auto"/>
          <w:highlight w:val="none"/>
        </w:rPr>
        <w:tab/>
      </w:r>
      <w:r>
        <w:rPr>
          <w:color w:val="auto"/>
          <w:highlight w:val="none"/>
        </w:rPr>
        <w:fldChar w:fldCharType="begin"/>
      </w:r>
      <w:r>
        <w:rPr>
          <w:color w:val="auto"/>
          <w:highlight w:val="none"/>
        </w:rPr>
        <w:instrText xml:space="preserve"> PAGEREF _Toc2082 \h </w:instrText>
      </w:r>
      <w:r>
        <w:rPr>
          <w:color w:val="auto"/>
          <w:highlight w:val="none"/>
        </w:rPr>
        <w:fldChar w:fldCharType="separate"/>
      </w:r>
      <w:r>
        <w:rPr>
          <w:color w:val="auto"/>
          <w:highlight w:val="none"/>
        </w:rPr>
        <w:t>85</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_Toc24146 </w:instrText>
      </w:r>
      <w:r>
        <w:rPr>
          <w:color w:val="auto"/>
          <w:highlight w:val="none"/>
        </w:rPr>
        <w:fldChar w:fldCharType="separate"/>
      </w:r>
      <w:r>
        <w:rPr>
          <w:color w:val="auto"/>
          <w:highlight w:val="none"/>
        </w:rPr>
        <w:t xml:space="preserve">13.3 </w:t>
      </w:r>
      <w:r>
        <w:rPr>
          <w:rFonts w:hint="eastAsia" w:hAnsi="宋体" w:cs="黑体"/>
          <w:color w:val="auto"/>
          <w:highlight w:val="none"/>
        </w:rPr>
        <w:t>工程试车</w:t>
      </w:r>
      <w:r>
        <w:rPr>
          <w:color w:val="auto"/>
          <w:highlight w:val="none"/>
        </w:rPr>
        <w:tab/>
      </w:r>
      <w:r>
        <w:rPr>
          <w:color w:val="auto"/>
          <w:highlight w:val="none"/>
        </w:rPr>
        <w:fldChar w:fldCharType="begin"/>
      </w:r>
      <w:r>
        <w:rPr>
          <w:color w:val="auto"/>
          <w:highlight w:val="none"/>
        </w:rPr>
        <w:instrText xml:space="preserve"> PAGEREF _Toc24146 \h </w:instrText>
      </w:r>
      <w:r>
        <w:rPr>
          <w:color w:val="auto"/>
          <w:highlight w:val="none"/>
        </w:rPr>
        <w:fldChar w:fldCharType="separate"/>
      </w:r>
      <w:r>
        <w:rPr>
          <w:color w:val="auto"/>
          <w:highlight w:val="none"/>
        </w:rPr>
        <w:t>86</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_Toc29977 </w:instrText>
      </w:r>
      <w:r>
        <w:rPr>
          <w:color w:val="auto"/>
          <w:highlight w:val="none"/>
        </w:rPr>
        <w:fldChar w:fldCharType="separate"/>
      </w:r>
      <w:r>
        <w:rPr>
          <w:color w:val="auto"/>
          <w:highlight w:val="none"/>
        </w:rPr>
        <w:t xml:space="preserve">13.6 </w:t>
      </w:r>
      <w:r>
        <w:rPr>
          <w:rFonts w:hint="eastAsia" w:hAnsi="宋体" w:cs="黑体"/>
          <w:color w:val="auto"/>
          <w:highlight w:val="none"/>
        </w:rPr>
        <w:t>竣工退场</w:t>
      </w:r>
      <w:r>
        <w:rPr>
          <w:color w:val="auto"/>
          <w:highlight w:val="none"/>
        </w:rPr>
        <w:tab/>
      </w:r>
      <w:r>
        <w:rPr>
          <w:color w:val="auto"/>
          <w:highlight w:val="none"/>
        </w:rPr>
        <w:fldChar w:fldCharType="begin"/>
      </w:r>
      <w:r>
        <w:rPr>
          <w:color w:val="auto"/>
          <w:highlight w:val="none"/>
        </w:rPr>
        <w:instrText xml:space="preserve"> PAGEREF _Toc29977 \h </w:instrText>
      </w:r>
      <w:r>
        <w:rPr>
          <w:color w:val="auto"/>
          <w:highlight w:val="none"/>
        </w:rPr>
        <w:fldChar w:fldCharType="separate"/>
      </w:r>
      <w:r>
        <w:rPr>
          <w:color w:val="auto"/>
          <w:highlight w:val="none"/>
        </w:rPr>
        <w:t>86</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_Toc14896 </w:instrText>
      </w:r>
      <w:r>
        <w:rPr>
          <w:color w:val="auto"/>
          <w:highlight w:val="none"/>
        </w:rPr>
        <w:fldChar w:fldCharType="separate"/>
      </w:r>
      <w:r>
        <w:rPr>
          <w:color w:val="auto"/>
          <w:highlight w:val="none"/>
        </w:rPr>
        <w:t xml:space="preserve">14. </w:t>
      </w:r>
      <w:r>
        <w:rPr>
          <w:rFonts w:hint="eastAsia" w:hAnsi="宋体" w:cs="黑体"/>
          <w:color w:val="auto"/>
          <w:highlight w:val="none"/>
        </w:rPr>
        <w:t>竣工结算</w:t>
      </w:r>
      <w:r>
        <w:rPr>
          <w:color w:val="auto"/>
          <w:highlight w:val="none"/>
        </w:rPr>
        <w:tab/>
      </w:r>
      <w:r>
        <w:rPr>
          <w:color w:val="auto"/>
          <w:highlight w:val="none"/>
        </w:rPr>
        <w:fldChar w:fldCharType="begin"/>
      </w:r>
      <w:r>
        <w:rPr>
          <w:color w:val="auto"/>
          <w:highlight w:val="none"/>
        </w:rPr>
        <w:instrText xml:space="preserve"> PAGEREF _Toc14896 \h </w:instrText>
      </w:r>
      <w:r>
        <w:rPr>
          <w:color w:val="auto"/>
          <w:highlight w:val="none"/>
        </w:rPr>
        <w:fldChar w:fldCharType="separate"/>
      </w:r>
      <w:r>
        <w:rPr>
          <w:color w:val="auto"/>
          <w:highlight w:val="none"/>
        </w:rPr>
        <w:t>86</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_Toc3671 </w:instrText>
      </w:r>
      <w:r>
        <w:rPr>
          <w:color w:val="auto"/>
          <w:highlight w:val="none"/>
        </w:rPr>
        <w:fldChar w:fldCharType="separate"/>
      </w:r>
      <w:r>
        <w:rPr>
          <w:color w:val="auto"/>
          <w:highlight w:val="none"/>
        </w:rPr>
        <w:t xml:space="preserve">14.1 </w:t>
      </w:r>
      <w:r>
        <w:rPr>
          <w:rFonts w:hint="eastAsia" w:hAnsi="宋体" w:cs="黑体"/>
          <w:color w:val="auto"/>
          <w:highlight w:val="none"/>
        </w:rPr>
        <w:t>竣工付款申请</w:t>
      </w:r>
      <w:r>
        <w:rPr>
          <w:color w:val="auto"/>
          <w:highlight w:val="none"/>
        </w:rPr>
        <w:tab/>
      </w:r>
      <w:r>
        <w:rPr>
          <w:color w:val="auto"/>
          <w:highlight w:val="none"/>
        </w:rPr>
        <w:fldChar w:fldCharType="begin"/>
      </w:r>
      <w:r>
        <w:rPr>
          <w:color w:val="auto"/>
          <w:highlight w:val="none"/>
        </w:rPr>
        <w:instrText xml:space="preserve"> PAGEREF _Toc3671 \h </w:instrText>
      </w:r>
      <w:r>
        <w:rPr>
          <w:color w:val="auto"/>
          <w:highlight w:val="none"/>
        </w:rPr>
        <w:fldChar w:fldCharType="separate"/>
      </w:r>
      <w:r>
        <w:rPr>
          <w:color w:val="auto"/>
          <w:highlight w:val="none"/>
        </w:rPr>
        <w:t>86</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_Toc10382 </w:instrText>
      </w:r>
      <w:r>
        <w:rPr>
          <w:color w:val="auto"/>
          <w:highlight w:val="none"/>
        </w:rPr>
        <w:fldChar w:fldCharType="separate"/>
      </w:r>
      <w:r>
        <w:rPr>
          <w:color w:val="auto"/>
          <w:highlight w:val="none"/>
        </w:rPr>
        <w:t xml:space="preserve">14.2 </w:t>
      </w:r>
      <w:r>
        <w:rPr>
          <w:rFonts w:hint="eastAsia" w:hAnsi="宋体" w:cs="黑体"/>
          <w:color w:val="auto"/>
          <w:highlight w:val="none"/>
        </w:rPr>
        <w:t>竣工结算审核</w:t>
      </w:r>
      <w:r>
        <w:rPr>
          <w:color w:val="auto"/>
          <w:highlight w:val="none"/>
        </w:rPr>
        <w:tab/>
      </w:r>
      <w:r>
        <w:rPr>
          <w:color w:val="auto"/>
          <w:highlight w:val="none"/>
        </w:rPr>
        <w:fldChar w:fldCharType="begin"/>
      </w:r>
      <w:r>
        <w:rPr>
          <w:color w:val="auto"/>
          <w:highlight w:val="none"/>
        </w:rPr>
        <w:instrText xml:space="preserve"> PAGEREF _Toc10382 \h </w:instrText>
      </w:r>
      <w:r>
        <w:rPr>
          <w:color w:val="auto"/>
          <w:highlight w:val="none"/>
        </w:rPr>
        <w:fldChar w:fldCharType="separate"/>
      </w:r>
      <w:r>
        <w:rPr>
          <w:color w:val="auto"/>
          <w:highlight w:val="none"/>
        </w:rPr>
        <w:t>86</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_Toc21267 </w:instrText>
      </w:r>
      <w:r>
        <w:rPr>
          <w:color w:val="auto"/>
          <w:highlight w:val="none"/>
        </w:rPr>
        <w:fldChar w:fldCharType="separate"/>
      </w:r>
      <w:r>
        <w:rPr>
          <w:color w:val="auto"/>
          <w:highlight w:val="none"/>
        </w:rPr>
        <w:t xml:space="preserve">14.4 </w:t>
      </w:r>
      <w:r>
        <w:rPr>
          <w:rFonts w:hint="eastAsia" w:hAnsi="宋体" w:cs="黑体"/>
          <w:color w:val="auto"/>
          <w:highlight w:val="none"/>
        </w:rPr>
        <w:t>最终结清</w:t>
      </w:r>
      <w:r>
        <w:rPr>
          <w:color w:val="auto"/>
          <w:highlight w:val="none"/>
        </w:rPr>
        <w:tab/>
      </w:r>
      <w:r>
        <w:rPr>
          <w:color w:val="auto"/>
          <w:highlight w:val="none"/>
        </w:rPr>
        <w:fldChar w:fldCharType="begin"/>
      </w:r>
      <w:r>
        <w:rPr>
          <w:color w:val="auto"/>
          <w:highlight w:val="none"/>
        </w:rPr>
        <w:instrText xml:space="preserve"> PAGEREF _Toc21267 \h </w:instrText>
      </w:r>
      <w:r>
        <w:rPr>
          <w:color w:val="auto"/>
          <w:highlight w:val="none"/>
        </w:rPr>
        <w:fldChar w:fldCharType="separate"/>
      </w:r>
      <w:r>
        <w:rPr>
          <w:color w:val="auto"/>
          <w:highlight w:val="none"/>
        </w:rPr>
        <w:t>87</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_Toc28797 </w:instrText>
      </w:r>
      <w:r>
        <w:rPr>
          <w:color w:val="auto"/>
          <w:highlight w:val="none"/>
        </w:rPr>
        <w:fldChar w:fldCharType="separate"/>
      </w:r>
      <w:r>
        <w:rPr>
          <w:color w:val="auto"/>
          <w:highlight w:val="none"/>
        </w:rPr>
        <w:t xml:space="preserve">15. </w:t>
      </w:r>
      <w:r>
        <w:rPr>
          <w:rFonts w:hint="eastAsia" w:cs="黑体"/>
          <w:color w:val="auto"/>
          <w:highlight w:val="none"/>
        </w:rPr>
        <w:t>缺陷责任期与保修</w:t>
      </w:r>
      <w:r>
        <w:rPr>
          <w:color w:val="auto"/>
          <w:highlight w:val="none"/>
        </w:rPr>
        <w:tab/>
      </w:r>
      <w:r>
        <w:rPr>
          <w:color w:val="auto"/>
          <w:highlight w:val="none"/>
        </w:rPr>
        <w:fldChar w:fldCharType="begin"/>
      </w:r>
      <w:r>
        <w:rPr>
          <w:color w:val="auto"/>
          <w:highlight w:val="none"/>
        </w:rPr>
        <w:instrText xml:space="preserve"> PAGEREF _Toc28797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_Toc26625 </w:instrText>
      </w:r>
      <w:r>
        <w:rPr>
          <w:color w:val="auto"/>
          <w:highlight w:val="none"/>
        </w:rPr>
        <w:fldChar w:fldCharType="separate"/>
      </w:r>
      <w:r>
        <w:rPr>
          <w:color w:val="auto"/>
          <w:highlight w:val="none"/>
        </w:rPr>
        <w:t xml:space="preserve">15.2 </w:t>
      </w:r>
      <w:r>
        <w:rPr>
          <w:rFonts w:hint="eastAsia" w:hAnsi="宋体" w:cs="黑体"/>
          <w:color w:val="auto"/>
          <w:highlight w:val="none"/>
        </w:rPr>
        <w:t>缺陷责任期</w:t>
      </w:r>
      <w:r>
        <w:rPr>
          <w:color w:val="auto"/>
          <w:highlight w:val="none"/>
        </w:rPr>
        <w:tab/>
      </w:r>
      <w:r>
        <w:rPr>
          <w:color w:val="auto"/>
          <w:highlight w:val="none"/>
        </w:rPr>
        <w:fldChar w:fldCharType="begin"/>
      </w:r>
      <w:r>
        <w:rPr>
          <w:color w:val="auto"/>
          <w:highlight w:val="none"/>
        </w:rPr>
        <w:instrText xml:space="preserve"> PAGEREF _Toc26625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_Toc24095 </w:instrText>
      </w:r>
      <w:r>
        <w:rPr>
          <w:color w:val="auto"/>
          <w:highlight w:val="none"/>
        </w:rPr>
        <w:fldChar w:fldCharType="separate"/>
      </w:r>
      <w:r>
        <w:rPr>
          <w:color w:val="auto"/>
          <w:highlight w:val="none"/>
        </w:rPr>
        <w:t xml:space="preserve">15.3 </w:t>
      </w:r>
      <w:r>
        <w:rPr>
          <w:rFonts w:hint="eastAsia" w:hAnsi="宋体" w:cs="黑体"/>
          <w:color w:val="auto"/>
          <w:highlight w:val="none"/>
        </w:rPr>
        <w:t>质量保证金</w:t>
      </w:r>
      <w:r>
        <w:rPr>
          <w:color w:val="auto"/>
          <w:highlight w:val="none"/>
        </w:rPr>
        <w:tab/>
      </w:r>
      <w:r>
        <w:rPr>
          <w:color w:val="auto"/>
          <w:highlight w:val="none"/>
        </w:rPr>
        <w:fldChar w:fldCharType="begin"/>
      </w:r>
      <w:r>
        <w:rPr>
          <w:color w:val="auto"/>
          <w:highlight w:val="none"/>
        </w:rPr>
        <w:instrText xml:space="preserve"> PAGEREF _Toc24095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_Toc16888 </w:instrText>
      </w:r>
      <w:r>
        <w:rPr>
          <w:color w:val="auto"/>
          <w:highlight w:val="none"/>
        </w:rPr>
        <w:fldChar w:fldCharType="separate"/>
      </w:r>
      <w:r>
        <w:rPr>
          <w:color w:val="auto"/>
          <w:highlight w:val="none"/>
        </w:rPr>
        <w:t xml:space="preserve">15.4 </w:t>
      </w:r>
      <w:r>
        <w:rPr>
          <w:rFonts w:hint="eastAsia" w:hAnsi="宋体" w:cs="黑体"/>
          <w:color w:val="auto"/>
          <w:highlight w:val="none"/>
        </w:rPr>
        <w:t>保修</w:t>
      </w:r>
      <w:r>
        <w:rPr>
          <w:color w:val="auto"/>
          <w:highlight w:val="none"/>
        </w:rPr>
        <w:tab/>
      </w:r>
      <w:r>
        <w:rPr>
          <w:color w:val="auto"/>
          <w:highlight w:val="none"/>
        </w:rPr>
        <w:fldChar w:fldCharType="begin"/>
      </w:r>
      <w:r>
        <w:rPr>
          <w:color w:val="auto"/>
          <w:highlight w:val="none"/>
        </w:rPr>
        <w:instrText xml:space="preserve"> PAGEREF _Toc16888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_Toc28481 </w:instrText>
      </w:r>
      <w:r>
        <w:rPr>
          <w:color w:val="auto"/>
          <w:highlight w:val="none"/>
        </w:rPr>
        <w:fldChar w:fldCharType="separate"/>
      </w:r>
      <w:r>
        <w:rPr>
          <w:color w:val="auto"/>
          <w:highlight w:val="none"/>
        </w:rPr>
        <w:t xml:space="preserve">16. </w:t>
      </w:r>
      <w:r>
        <w:rPr>
          <w:rFonts w:hint="eastAsia" w:hAnsi="宋体" w:cs="黑体"/>
          <w:color w:val="auto"/>
          <w:highlight w:val="none"/>
        </w:rPr>
        <w:t>违约</w:t>
      </w:r>
      <w:r>
        <w:rPr>
          <w:color w:val="auto"/>
          <w:highlight w:val="none"/>
        </w:rPr>
        <w:tab/>
      </w:r>
      <w:r>
        <w:rPr>
          <w:color w:val="auto"/>
          <w:highlight w:val="none"/>
        </w:rPr>
        <w:fldChar w:fldCharType="begin"/>
      </w:r>
      <w:r>
        <w:rPr>
          <w:color w:val="auto"/>
          <w:highlight w:val="none"/>
        </w:rPr>
        <w:instrText xml:space="preserve"> PAGEREF _Toc28481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_Toc6811 </w:instrText>
      </w:r>
      <w:r>
        <w:rPr>
          <w:color w:val="auto"/>
          <w:highlight w:val="none"/>
        </w:rPr>
        <w:fldChar w:fldCharType="separate"/>
      </w:r>
      <w:r>
        <w:rPr>
          <w:color w:val="auto"/>
          <w:highlight w:val="none"/>
        </w:rPr>
        <w:t xml:space="preserve">16.1 </w:t>
      </w:r>
      <w:r>
        <w:rPr>
          <w:rFonts w:hint="eastAsia" w:hAnsi="宋体" w:cs="黑体"/>
          <w:color w:val="auto"/>
          <w:highlight w:val="none"/>
        </w:rPr>
        <w:t>发包人违约</w:t>
      </w:r>
      <w:r>
        <w:rPr>
          <w:color w:val="auto"/>
          <w:highlight w:val="none"/>
        </w:rPr>
        <w:tab/>
      </w:r>
      <w:r>
        <w:rPr>
          <w:color w:val="auto"/>
          <w:highlight w:val="none"/>
        </w:rPr>
        <w:fldChar w:fldCharType="begin"/>
      </w:r>
      <w:r>
        <w:rPr>
          <w:color w:val="auto"/>
          <w:highlight w:val="none"/>
        </w:rPr>
        <w:instrText xml:space="preserve"> PAGEREF _Toc6811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_Toc1502 </w:instrText>
      </w:r>
      <w:r>
        <w:rPr>
          <w:color w:val="auto"/>
          <w:highlight w:val="none"/>
        </w:rPr>
        <w:fldChar w:fldCharType="separate"/>
      </w:r>
      <w:r>
        <w:rPr>
          <w:color w:val="auto"/>
          <w:highlight w:val="none"/>
        </w:rPr>
        <w:t xml:space="preserve">16.2 </w:t>
      </w:r>
      <w:r>
        <w:rPr>
          <w:rFonts w:hint="eastAsia" w:hAnsi="宋体" w:cs="黑体"/>
          <w:color w:val="auto"/>
          <w:highlight w:val="none"/>
        </w:rPr>
        <w:t>承包人违约</w:t>
      </w:r>
      <w:r>
        <w:rPr>
          <w:color w:val="auto"/>
          <w:highlight w:val="none"/>
        </w:rPr>
        <w:tab/>
      </w:r>
      <w:r>
        <w:rPr>
          <w:color w:val="auto"/>
          <w:highlight w:val="none"/>
        </w:rPr>
        <w:fldChar w:fldCharType="begin"/>
      </w:r>
      <w:r>
        <w:rPr>
          <w:color w:val="auto"/>
          <w:highlight w:val="none"/>
        </w:rPr>
        <w:instrText xml:space="preserve"> PAGEREF _Toc1502 \h </w:instrText>
      </w:r>
      <w:r>
        <w:rPr>
          <w:color w:val="auto"/>
          <w:highlight w:val="none"/>
        </w:rPr>
        <w:fldChar w:fldCharType="separate"/>
      </w:r>
      <w:r>
        <w:rPr>
          <w:color w:val="auto"/>
          <w:highlight w:val="none"/>
        </w:rPr>
        <w:t>90</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_Toc10067 </w:instrText>
      </w:r>
      <w:r>
        <w:rPr>
          <w:color w:val="auto"/>
          <w:highlight w:val="none"/>
        </w:rPr>
        <w:fldChar w:fldCharType="separate"/>
      </w:r>
      <w:r>
        <w:rPr>
          <w:color w:val="auto"/>
          <w:highlight w:val="none"/>
        </w:rPr>
        <w:t xml:space="preserve">17. </w:t>
      </w:r>
      <w:r>
        <w:rPr>
          <w:rFonts w:hint="eastAsia" w:hAnsi="宋体" w:cs="黑体"/>
          <w:color w:val="auto"/>
          <w:highlight w:val="none"/>
        </w:rPr>
        <w:t>不可抗力</w:t>
      </w:r>
      <w:r>
        <w:rPr>
          <w:color w:val="auto"/>
          <w:highlight w:val="none"/>
        </w:rPr>
        <w:tab/>
      </w:r>
      <w:r>
        <w:rPr>
          <w:color w:val="auto"/>
          <w:highlight w:val="none"/>
        </w:rPr>
        <w:fldChar w:fldCharType="begin"/>
      </w:r>
      <w:r>
        <w:rPr>
          <w:color w:val="auto"/>
          <w:highlight w:val="none"/>
        </w:rPr>
        <w:instrText xml:space="preserve"> PAGEREF _Toc10067 \h </w:instrText>
      </w:r>
      <w:r>
        <w:rPr>
          <w:color w:val="auto"/>
          <w:highlight w:val="none"/>
        </w:rPr>
        <w:fldChar w:fldCharType="separate"/>
      </w:r>
      <w:r>
        <w:rPr>
          <w:color w:val="auto"/>
          <w:highlight w:val="none"/>
        </w:rPr>
        <w:t>91</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_Toc22445 </w:instrText>
      </w:r>
      <w:r>
        <w:rPr>
          <w:color w:val="auto"/>
          <w:highlight w:val="none"/>
        </w:rPr>
        <w:fldChar w:fldCharType="separate"/>
      </w:r>
      <w:r>
        <w:rPr>
          <w:color w:val="auto"/>
          <w:highlight w:val="none"/>
        </w:rPr>
        <w:t xml:space="preserve">17.1 </w:t>
      </w:r>
      <w:r>
        <w:rPr>
          <w:rFonts w:hint="eastAsia" w:cs="黑体"/>
          <w:color w:val="auto"/>
          <w:highlight w:val="none"/>
        </w:rPr>
        <w:t>不可抗力的确认</w:t>
      </w:r>
      <w:r>
        <w:rPr>
          <w:color w:val="auto"/>
          <w:highlight w:val="none"/>
        </w:rPr>
        <w:tab/>
      </w:r>
      <w:r>
        <w:rPr>
          <w:color w:val="auto"/>
          <w:highlight w:val="none"/>
        </w:rPr>
        <w:fldChar w:fldCharType="begin"/>
      </w:r>
      <w:r>
        <w:rPr>
          <w:color w:val="auto"/>
          <w:highlight w:val="none"/>
        </w:rPr>
        <w:instrText xml:space="preserve"> PAGEREF _Toc22445 \h </w:instrText>
      </w:r>
      <w:r>
        <w:rPr>
          <w:color w:val="auto"/>
          <w:highlight w:val="none"/>
        </w:rPr>
        <w:fldChar w:fldCharType="separate"/>
      </w:r>
      <w:r>
        <w:rPr>
          <w:color w:val="auto"/>
          <w:highlight w:val="none"/>
        </w:rPr>
        <w:t>91</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_Toc3363 </w:instrText>
      </w:r>
      <w:r>
        <w:rPr>
          <w:color w:val="auto"/>
          <w:highlight w:val="none"/>
        </w:rPr>
        <w:fldChar w:fldCharType="separate"/>
      </w:r>
      <w:r>
        <w:rPr>
          <w:color w:val="auto"/>
          <w:highlight w:val="none"/>
        </w:rPr>
        <w:t xml:space="preserve">17.4 </w:t>
      </w:r>
      <w:r>
        <w:rPr>
          <w:rFonts w:hint="eastAsia" w:cs="黑体"/>
          <w:color w:val="auto"/>
          <w:highlight w:val="none"/>
        </w:rPr>
        <w:t>因不可抗力解除合同</w:t>
      </w:r>
      <w:r>
        <w:rPr>
          <w:color w:val="auto"/>
          <w:highlight w:val="none"/>
        </w:rPr>
        <w:tab/>
      </w:r>
      <w:r>
        <w:rPr>
          <w:color w:val="auto"/>
          <w:highlight w:val="none"/>
        </w:rPr>
        <w:fldChar w:fldCharType="begin"/>
      </w:r>
      <w:r>
        <w:rPr>
          <w:color w:val="auto"/>
          <w:highlight w:val="none"/>
        </w:rPr>
        <w:instrText xml:space="preserve"> PAGEREF _Toc3363 \h </w:instrText>
      </w:r>
      <w:r>
        <w:rPr>
          <w:color w:val="auto"/>
          <w:highlight w:val="none"/>
        </w:rPr>
        <w:fldChar w:fldCharType="separate"/>
      </w:r>
      <w:r>
        <w:rPr>
          <w:color w:val="auto"/>
          <w:highlight w:val="none"/>
        </w:rPr>
        <w:t>91</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_Toc19238 </w:instrText>
      </w:r>
      <w:r>
        <w:rPr>
          <w:color w:val="auto"/>
          <w:highlight w:val="none"/>
        </w:rPr>
        <w:fldChar w:fldCharType="separate"/>
      </w:r>
      <w:r>
        <w:rPr>
          <w:color w:val="auto"/>
          <w:highlight w:val="none"/>
        </w:rPr>
        <w:t xml:space="preserve">18. </w:t>
      </w:r>
      <w:r>
        <w:rPr>
          <w:rFonts w:hint="eastAsia" w:hAnsi="宋体" w:cs="黑体"/>
          <w:color w:val="auto"/>
          <w:highlight w:val="none"/>
        </w:rPr>
        <w:t>保险</w:t>
      </w:r>
      <w:r>
        <w:rPr>
          <w:color w:val="auto"/>
          <w:highlight w:val="none"/>
        </w:rPr>
        <w:tab/>
      </w:r>
      <w:r>
        <w:rPr>
          <w:color w:val="auto"/>
          <w:highlight w:val="none"/>
        </w:rPr>
        <w:fldChar w:fldCharType="begin"/>
      </w:r>
      <w:r>
        <w:rPr>
          <w:color w:val="auto"/>
          <w:highlight w:val="none"/>
        </w:rPr>
        <w:instrText xml:space="preserve"> PAGEREF _Toc19238 \h </w:instrText>
      </w:r>
      <w:r>
        <w:rPr>
          <w:color w:val="auto"/>
          <w:highlight w:val="none"/>
        </w:rPr>
        <w:fldChar w:fldCharType="separate"/>
      </w:r>
      <w:r>
        <w:rPr>
          <w:color w:val="auto"/>
          <w:highlight w:val="none"/>
        </w:rPr>
        <w:t>91</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_Toc8222 </w:instrText>
      </w:r>
      <w:r>
        <w:rPr>
          <w:color w:val="auto"/>
          <w:highlight w:val="none"/>
        </w:rPr>
        <w:fldChar w:fldCharType="separate"/>
      </w:r>
      <w:r>
        <w:rPr>
          <w:color w:val="auto"/>
          <w:highlight w:val="none"/>
        </w:rPr>
        <w:t xml:space="preserve">18.1 </w:t>
      </w:r>
      <w:r>
        <w:rPr>
          <w:rFonts w:hint="eastAsia" w:hAnsi="宋体" w:cs="黑体"/>
          <w:color w:val="auto"/>
          <w:highlight w:val="none"/>
        </w:rPr>
        <w:t>工程保险</w:t>
      </w:r>
      <w:r>
        <w:rPr>
          <w:color w:val="auto"/>
          <w:highlight w:val="none"/>
        </w:rPr>
        <w:tab/>
      </w:r>
      <w:r>
        <w:rPr>
          <w:color w:val="auto"/>
          <w:highlight w:val="none"/>
        </w:rPr>
        <w:fldChar w:fldCharType="begin"/>
      </w:r>
      <w:r>
        <w:rPr>
          <w:color w:val="auto"/>
          <w:highlight w:val="none"/>
        </w:rPr>
        <w:instrText xml:space="preserve"> PAGEREF _Toc8222 \h </w:instrText>
      </w:r>
      <w:r>
        <w:rPr>
          <w:color w:val="auto"/>
          <w:highlight w:val="none"/>
        </w:rPr>
        <w:fldChar w:fldCharType="separate"/>
      </w:r>
      <w:r>
        <w:rPr>
          <w:color w:val="auto"/>
          <w:highlight w:val="none"/>
        </w:rPr>
        <w:t>91</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_Toc13729 </w:instrText>
      </w:r>
      <w:r>
        <w:rPr>
          <w:color w:val="auto"/>
          <w:highlight w:val="none"/>
        </w:rPr>
        <w:fldChar w:fldCharType="separate"/>
      </w:r>
      <w:r>
        <w:rPr>
          <w:color w:val="auto"/>
          <w:highlight w:val="none"/>
        </w:rPr>
        <w:t xml:space="preserve">18.3 </w:t>
      </w:r>
      <w:r>
        <w:rPr>
          <w:rFonts w:hint="eastAsia" w:hAnsi="宋体" w:cs="黑体"/>
          <w:color w:val="auto"/>
          <w:highlight w:val="none"/>
        </w:rPr>
        <w:t>其他保险</w:t>
      </w:r>
      <w:r>
        <w:rPr>
          <w:color w:val="auto"/>
          <w:highlight w:val="none"/>
        </w:rPr>
        <w:tab/>
      </w:r>
      <w:r>
        <w:rPr>
          <w:color w:val="auto"/>
          <w:highlight w:val="none"/>
        </w:rPr>
        <w:fldChar w:fldCharType="begin"/>
      </w:r>
      <w:r>
        <w:rPr>
          <w:color w:val="auto"/>
          <w:highlight w:val="none"/>
        </w:rPr>
        <w:instrText xml:space="preserve"> PAGEREF _Toc13729 \h </w:instrText>
      </w:r>
      <w:r>
        <w:rPr>
          <w:color w:val="auto"/>
          <w:highlight w:val="none"/>
        </w:rPr>
        <w:fldChar w:fldCharType="separate"/>
      </w:r>
      <w:r>
        <w:rPr>
          <w:color w:val="auto"/>
          <w:highlight w:val="none"/>
        </w:rPr>
        <w:t>91</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_Toc13189 </w:instrText>
      </w:r>
      <w:r>
        <w:rPr>
          <w:color w:val="auto"/>
          <w:highlight w:val="none"/>
        </w:rPr>
        <w:fldChar w:fldCharType="separate"/>
      </w:r>
      <w:r>
        <w:rPr>
          <w:color w:val="auto"/>
          <w:highlight w:val="none"/>
        </w:rPr>
        <w:t xml:space="preserve">18.7 </w:t>
      </w:r>
      <w:r>
        <w:rPr>
          <w:rFonts w:hint="eastAsia" w:hAnsi="宋体" w:cs="黑体"/>
          <w:color w:val="auto"/>
          <w:highlight w:val="none"/>
        </w:rPr>
        <w:t>通知义务</w:t>
      </w:r>
      <w:r>
        <w:rPr>
          <w:color w:val="auto"/>
          <w:highlight w:val="none"/>
        </w:rPr>
        <w:tab/>
      </w:r>
      <w:r>
        <w:rPr>
          <w:color w:val="auto"/>
          <w:highlight w:val="none"/>
        </w:rPr>
        <w:fldChar w:fldCharType="begin"/>
      </w:r>
      <w:r>
        <w:rPr>
          <w:color w:val="auto"/>
          <w:highlight w:val="none"/>
        </w:rPr>
        <w:instrText xml:space="preserve"> PAGEREF _Toc13189 \h </w:instrText>
      </w:r>
      <w:r>
        <w:rPr>
          <w:color w:val="auto"/>
          <w:highlight w:val="none"/>
        </w:rPr>
        <w:fldChar w:fldCharType="separate"/>
      </w:r>
      <w:r>
        <w:rPr>
          <w:color w:val="auto"/>
          <w:highlight w:val="none"/>
        </w:rPr>
        <w:t>91</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_Toc19325 </w:instrText>
      </w:r>
      <w:r>
        <w:rPr>
          <w:color w:val="auto"/>
          <w:highlight w:val="none"/>
        </w:rPr>
        <w:fldChar w:fldCharType="separate"/>
      </w:r>
      <w:r>
        <w:rPr>
          <w:color w:val="auto"/>
          <w:highlight w:val="none"/>
        </w:rPr>
        <w:t xml:space="preserve">20. </w:t>
      </w:r>
      <w:r>
        <w:rPr>
          <w:rFonts w:hint="eastAsia" w:hAnsi="宋体" w:cs="黑体"/>
          <w:color w:val="auto"/>
          <w:highlight w:val="none"/>
        </w:rPr>
        <w:t>争议解决</w:t>
      </w:r>
      <w:r>
        <w:rPr>
          <w:color w:val="auto"/>
          <w:highlight w:val="none"/>
        </w:rPr>
        <w:tab/>
      </w:r>
      <w:r>
        <w:rPr>
          <w:color w:val="auto"/>
          <w:highlight w:val="none"/>
        </w:rPr>
        <w:fldChar w:fldCharType="begin"/>
      </w:r>
      <w:r>
        <w:rPr>
          <w:color w:val="auto"/>
          <w:highlight w:val="none"/>
        </w:rPr>
        <w:instrText xml:space="preserve"> PAGEREF _Toc19325 \h </w:instrText>
      </w:r>
      <w:r>
        <w:rPr>
          <w:color w:val="auto"/>
          <w:highlight w:val="none"/>
        </w:rPr>
        <w:fldChar w:fldCharType="separate"/>
      </w:r>
      <w:r>
        <w:rPr>
          <w:color w:val="auto"/>
          <w:highlight w:val="none"/>
        </w:rPr>
        <w:t>91</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_Toc10199 </w:instrText>
      </w:r>
      <w:r>
        <w:rPr>
          <w:color w:val="auto"/>
          <w:highlight w:val="none"/>
        </w:rPr>
        <w:fldChar w:fldCharType="separate"/>
      </w:r>
      <w:r>
        <w:rPr>
          <w:color w:val="auto"/>
          <w:highlight w:val="none"/>
        </w:rPr>
        <w:t xml:space="preserve">20.3 </w:t>
      </w:r>
      <w:r>
        <w:rPr>
          <w:rFonts w:hint="eastAsia" w:hAnsi="宋体" w:cs="黑体"/>
          <w:color w:val="auto"/>
          <w:highlight w:val="none"/>
        </w:rPr>
        <w:t>争议评审</w:t>
      </w:r>
      <w:r>
        <w:rPr>
          <w:color w:val="auto"/>
          <w:highlight w:val="none"/>
        </w:rPr>
        <w:tab/>
      </w:r>
      <w:r>
        <w:rPr>
          <w:color w:val="auto"/>
          <w:highlight w:val="none"/>
        </w:rPr>
        <w:fldChar w:fldCharType="begin"/>
      </w:r>
      <w:r>
        <w:rPr>
          <w:color w:val="auto"/>
          <w:highlight w:val="none"/>
        </w:rPr>
        <w:instrText xml:space="preserve"> PAGEREF _Toc10199 \h </w:instrText>
      </w:r>
      <w:r>
        <w:rPr>
          <w:color w:val="auto"/>
          <w:highlight w:val="none"/>
        </w:rPr>
        <w:fldChar w:fldCharType="separate"/>
      </w:r>
      <w:r>
        <w:rPr>
          <w:color w:val="auto"/>
          <w:highlight w:val="none"/>
        </w:rPr>
        <w:t>91</w:t>
      </w:r>
      <w:r>
        <w:rPr>
          <w:color w:val="auto"/>
          <w:highlight w:val="none"/>
        </w:rPr>
        <w:fldChar w:fldCharType="end"/>
      </w:r>
      <w:r>
        <w:rPr>
          <w:color w:val="auto"/>
          <w:highlight w:val="none"/>
        </w:rPr>
        <w:fldChar w:fldCharType="end"/>
      </w:r>
    </w:p>
    <w:p>
      <w:pPr>
        <w:pStyle w:val="19"/>
        <w:tabs>
          <w:tab w:val="right" w:leader="dot" w:pos="8669"/>
        </w:tabs>
        <w:rPr>
          <w:color w:val="auto"/>
          <w:highlight w:val="none"/>
        </w:rPr>
      </w:pPr>
      <w:r>
        <w:rPr>
          <w:color w:val="auto"/>
          <w:highlight w:val="none"/>
        </w:rPr>
        <w:fldChar w:fldCharType="begin"/>
      </w:r>
      <w:r>
        <w:rPr>
          <w:color w:val="auto"/>
          <w:highlight w:val="none"/>
        </w:rPr>
        <w:instrText xml:space="preserve"> HYPERLINK \l _Toc23154 </w:instrText>
      </w:r>
      <w:r>
        <w:rPr>
          <w:color w:val="auto"/>
          <w:highlight w:val="none"/>
        </w:rPr>
        <w:fldChar w:fldCharType="separate"/>
      </w:r>
      <w:r>
        <w:rPr>
          <w:color w:val="auto"/>
          <w:highlight w:val="none"/>
        </w:rPr>
        <w:t xml:space="preserve">20.4 </w:t>
      </w:r>
      <w:r>
        <w:rPr>
          <w:rFonts w:hint="eastAsia" w:hAnsi="宋体" w:cs="黑体"/>
          <w:color w:val="auto"/>
          <w:highlight w:val="none"/>
        </w:rPr>
        <w:t>仲裁或诉讼</w:t>
      </w:r>
      <w:r>
        <w:rPr>
          <w:color w:val="auto"/>
          <w:highlight w:val="none"/>
        </w:rPr>
        <w:tab/>
      </w:r>
      <w:r>
        <w:rPr>
          <w:color w:val="auto"/>
          <w:highlight w:val="none"/>
        </w:rPr>
        <w:fldChar w:fldCharType="begin"/>
      </w:r>
      <w:r>
        <w:rPr>
          <w:color w:val="auto"/>
          <w:highlight w:val="none"/>
        </w:rPr>
        <w:instrText xml:space="preserve"> PAGEREF _Toc23154 \h </w:instrText>
      </w:r>
      <w:r>
        <w:rPr>
          <w:color w:val="auto"/>
          <w:highlight w:val="none"/>
        </w:rPr>
        <w:fldChar w:fldCharType="separate"/>
      </w:r>
      <w:r>
        <w:rPr>
          <w:color w:val="auto"/>
          <w:highlight w:val="none"/>
        </w:rPr>
        <w:t>92</w:t>
      </w:r>
      <w:r>
        <w:rPr>
          <w:color w:val="auto"/>
          <w:highlight w:val="none"/>
        </w:rPr>
        <w:fldChar w:fldCharType="end"/>
      </w:r>
      <w:r>
        <w:rPr>
          <w:color w:val="auto"/>
          <w:highlight w:val="none"/>
        </w:rPr>
        <w:fldChar w:fldCharType="end"/>
      </w:r>
    </w:p>
    <w:p>
      <w:pPr>
        <w:pStyle w:val="27"/>
        <w:tabs>
          <w:tab w:val="right" w:leader="dot" w:pos="8669"/>
        </w:tabs>
        <w:rPr>
          <w:color w:val="auto"/>
          <w:highlight w:val="none"/>
        </w:rPr>
      </w:pPr>
      <w:r>
        <w:rPr>
          <w:color w:val="auto"/>
          <w:highlight w:val="none"/>
        </w:rPr>
        <w:fldChar w:fldCharType="begin"/>
      </w:r>
      <w:r>
        <w:rPr>
          <w:color w:val="auto"/>
          <w:highlight w:val="none"/>
        </w:rPr>
        <w:instrText xml:space="preserve"> HYPERLINK \l _Toc3672 </w:instrText>
      </w:r>
      <w:r>
        <w:rPr>
          <w:color w:val="auto"/>
          <w:highlight w:val="none"/>
        </w:rPr>
        <w:fldChar w:fldCharType="separate"/>
      </w:r>
      <w:r>
        <w:rPr>
          <w:rFonts w:hint="eastAsia" w:cs="黑体"/>
          <w:color w:val="auto"/>
          <w:highlight w:val="none"/>
        </w:rPr>
        <w:t>第五章</w:t>
      </w:r>
      <w:r>
        <w:rPr>
          <w:color w:val="auto"/>
          <w:highlight w:val="none"/>
        </w:rPr>
        <w:t xml:space="preserve"> </w:t>
      </w:r>
      <w:r>
        <w:rPr>
          <w:rFonts w:hint="eastAsia" w:cs="黑体"/>
          <w:color w:val="auto"/>
          <w:highlight w:val="none"/>
        </w:rPr>
        <w:t>工程量清单</w:t>
      </w:r>
      <w:r>
        <w:rPr>
          <w:color w:val="auto"/>
          <w:highlight w:val="none"/>
        </w:rPr>
        <w:tab/>
      </w:r>
      <w:r>
        <w:rPr>
          <w:color w:val="auto"/>
          <w:highlight w:val="none"/>
        </w:rPr>
        <w:fldChar w:fldCharType="begin"/>
      </w:r>
      <w:r>
        <w:rPr>
          <w:color w:val="auto"/>
          <w:highlight w:val="none"/>
        </w:rPr>
        <w:instrText xml:space="preserve"> PAGEREF _Toc3672 \h </w:instrText>
      </w:r>
      <w:r>
        <w:rPr>
          <w:color w:val="auto"/>
          <w:highlight w:val="none"/>
        </w:rPr>
        <w:fldChar w:fldCharType="separate"/>
      </w:r>
      <w:r>
        <w:rPr>
          <w:color w:val="auto"/>
          <w:highlight w:val="none"/>
        </w:rPr>
        <w:t>122</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_Toc26487 </w:instrText>
      </w:r>
      <w:r>
        <w:rPr>
          <w:color w:val="auto"/>
          <w:highlight w:val="none"/>
        </w:rPr>
        <w:fldChar w:fldCharType="separate"/>
      </w:r>
      <w:r>
        <w:rPr>
          <w:color w:val="auto"/>
          <w:highlight w:val="none"/>
        </w:rPr>
        <w:t xml:space="preserve">1 </w:t>
      </w:r>
      <w:r>
        <w:rPr>
          <w:rFonts w:hint="eastAsia" w:cs="黑体"/>
          <w:color w:val="auto"/>
          <w:highlight w:val="none"/>
        </w:rPr>
        <w:t>工程量清单编制说明</w:t>
      </w:r>
      <w:r>
        <w:rPr>
          <w:color w:val="auto"/>
          <w:highlight w:val="none"/>
        </w:rPr>
        <w:tab/>
      </w:r>
      <w:r>
        <w:rPr>
          <w:color w:val="auto"/>
          <w:highlight w:val="none"/>
        </w:rPr>
        <w:fldChar w:fldCharType="begin"/>
      </w:r>
      <w:r>
        <w:rPr>
          <w:color w:val="auto"/>
          <w:highlight w:val="none"/>
        </w:rPr>
        <w:instrText xml:space="preserve"> PAGEREF _Toc26487 \h </w:instrText>
      </w:r>
      <w:r>
        <w:rPr>
          <w:color w:val="auto"/>
          <w:highlight w:val="none"/>
        </w:rPr>
        <w:fldChar w:fldCharType="separate"/>
      </w:r>
      <w:r>
        <w:rPr>
          <w:color w:val="auto"/>
          <w:highlight w:val="none"/>
        </w:rPr>
        <w:t>122</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_Toc13783 </w:instrText>
      </w:r>
      <w:r>
        <w:rPr>
          <w:color w:val="auto"/>
          <w:highlight w:val="none"/>
        </w:rPr>
        <w:fldChar w:fldCharType="separate"/>
      </w:r>
      <w:r>
        <w:rPr>
          <w:color w:val="auto"/>
          <w:highlight w:val="none"/>
        </w:rPr>
        <w:t xml:space="preserve">2 </w:t>
      </w:r>
      <w:r>
        <w:rPr>
          <w:rFonts w:hint="eastAsia" w:cs="黑体"/>
          <w:color w:val="auto"/>
          <w:highlight w:val="none"/>
        </w:rPr>
        <w:t>招标控制价编制说明</w:t>
      </w:r>
      <w:r>
        <w:rPr>
          <w:color w:val="auto"/>
          <w:highlight w:val="none"/>
        </w:rPr>
        <w:tab/>
      </w:r>
      <w:r>
        <w:rPr>
          <w:color w:val="auto"/>
          <w:highlight w:val="none"/>
        </w:rPr>
        <w:fldChar w:fldCharType="begin"/>
      </w:r>
      <w:r>
        <w:rPr>
          <w:color w:val="auto"/>
          <w:highlight w:val="none"/>
        </w:rPr>
        <w:instrText xml:space="preserve"> PAGEREF _Toc13783 \h </w:instrText>
      </w:r>
      <w:r>
        <w:rPr>
          <w:color w:val="auto"/>
          <w:highlight w:val="none"/>
        </w:rPr>
        <w:fldChar w:fldCharType="separate"/>
      </w:r>
      <w:r>
        <w:rPr>
          <w:color w:val="auto"/>
          <w:highlight w:val="none"/>
        </w:rPr>
        <w:t>123</w:t>
      </w:r>
      <w:r>
        <w:rPr>
          <w:color w:val="auto"/>
          <w:highlight w:val="none"/>
        </w:rPr>
        <w:fldChar w:fldCharType="end"/>
      </w:r>
      <w:r>
        <w:rPr>
          <w:color w:val="auto"/>
          <w:highlight w:val="none"/>
        </w:rPr>
        <w:fldChar w:fldCharType="end"/>
      </w:r>
    </w:p>
    <w:p>
      <w:pPr>
        <w:pStyle w:val="32"/>
        <w:tabs>
          <w:tab w:val="right" w:leader="dot" w:pos="8669"/>
        </w:tabs>
        <w:rPr>
          <w:color w:val="auto"/>
          <w:highlight w:val="none"/>
        </w:rPr>
      </w:pPr>
      <w:r>
        <w:rPr>
          <w:color w:val="auto"/>
          <w:highlight w:val="none"/>
        </w:rPr>
        <w:fldChar w:fldCharType="begin"/>
      </w:r>
      <w:r>
        <w:rPr>
          <w:color w:val="auto"/>
          <w:highlight w:val="none"/>
        </w:rPr>
        <w:instrText xml:space="preserve"> HYPERLINK \l _Toc21739 </w:instrText>
      </w:r>
      <w:r>
        <w:rPr>
          <w:color w:val="auto"/>
          <w:highlight w:val="none"/>
        </w:rPr>
        <w:fldChar w:fldCharType="separate"/>
      </w:r>
      <w:r>
        <w:rPr>
          <w:color w:val="auto"/>
          <w:highlight w:val="none"/>
        </w:rPr>
        <w:t xml:space="preserve">3 </w:t>
      </w:r>
      <w:r>
        <w:rPr>
          <w:rFonts w:hint="eastAsia" w:cs="黑体"/>
          <w:color w:val="auto"/>
          <w:highlight w:val="none"/>
        </w:rPr>
        <w:t>投标报价（已标价工程量清单）编制说明</w:t>
      </w:r>
      <w:r>
        <w:rPr>
          <w:color w:val="auto"/>
          <w:highlight w:val="none"/>
        </w:rPr>
        <w:tab/>
      </w:r>
      <w:r>
        <w:rPr>
          <w:color w:val="auto"/>
          <w:highlight w:val="none"/>
        </w:rPr>
        <w:fldChar w:fldCharType="begin"/>
      </w:r>
      <w:r>
        <w:rPr>
          <w:color w:val="auto"/>
          <w:highlight w:val="none"/>
        </w:rPr>
        <w:instrText xml:space="preserve"> PAGEREF _Toc21739 \h </w:instrText>
      </w:r>
      <w:r>
        <w:rPr>
          <w:color w:val="auto"/>
          <w:highlight w:val="none"/>
        </w:rPr>
        <w:fldChar w:fldCharType="separate"/>
      </w:r>
      <w:r>
        <w:rPr>
          <w:color w:val="auto"/>
          <w:highlight w:val="none"/>
        </w:rPr>
        <w:t>124</w:t>
      </w:r>
      <w:r>
        <w:rPr>
          <w:color w:val="auto"/>
          <w:highlight w:val="none"/>
        </w:rPr>
        <w:fldChar w:fldCharType="end"/>
      </w:r>
      <w:r>
        <w:rPr>
          <w:color w:val="auto"/>
          <w:highlight w:val="none"/>
        </w:rPr>
        <w:fldChar w:fldCharType="end"/>
      </w:r>
    </w:p>
    <w:p>
      <w:pPr>
        <w:pStyle w:val="27"/>
        <w:tabs>
          <w:tab w:val="right" w:leader="dot" w:pos="8669"/>
        </w:tabs>
        <w:rPr>
          <w:color w:val="auto"/>
          <w:highlight w:val="none"/>
        </w:rPr>
      </w:pPr>
      <w:r>
        <w:rPr>
          <w:color w:val="auto"/>
          <w:highlight w:val="none"/>
        </w:rPr>
        <w:fldChar w:fldCharType="begin"/>
      </w:r>
      <w:r>
        <w:rPr>
          <w:color w:val="auto"/>
          <w:highlight w:val="none"/>
        </w:rPr>
        <w:instrText xml:space="preserve"> HYPERLINK \l _Toc21192 </w:instrText>
      </w:r>
      <w:r>
        <w:rPr>
          <w:color w:val="auto"/>
          <w:highlight w:val="none"/>
        </w:rPr>
        <w:fldChar w:fldCharType="separate"/>
      </w:r>
      <w:r>
        <w:rPr>
          <w:rFonts w:hint="eastAsia" w:cs="黑体"/>
          <w:color w:val="auto"/>
          <w:highlight w:val="none"/>
        </w:rPr>
        <w:t>第六章</w:t>
      </w:r>
      <w:r>
        <w:rPr>
          <w:color w:val="auto"/>
          <w:highlight w:val="none"/>
        </w:rPr>
        <w:t xml:space="preserve"> </w:t>
      </w:r>
      <w:r>
        <w:rPr>
          <w:rFonts w:hint="eastAsia" w:cs="黑体"/>
          <w:color w:val="auto"/>
          <w:highlight w:val="none"/>
        </w:rPr>
        <w:t>图</w:t>
      </w:r>
      <w:r>
        <w:rPr>
          <w:color w:val="auto"/>
          <w:highlight w:val="none"/>
        </w:rPr>
        <w:t xml:space="preserve">  </w:t>
      </w:r>
      <w:r>
        <w:rPr>
          <w:rFonts w:hint="eastAsia" w:cs="黑体"/>
          <w:color w:val="auto"/>
          <w:highlight w:val="none"/>
        </w:rPr>
        <w:t>纸</w:t>
      </w:r>
      <w:r>
        <w:rPr>
          <w:color w:val="auto"/>
          <w:highlight w:val="none"/>
        </w:rPr>
        <w:tab/>
      </w:r>
      <w:r>
        <w:rPr>
          <w:color w:val="auto"/>
          <w:highlight w:val="none"/>
        </w:rPr>
        <w:fldChar w:fldCharType="begin"/>
      </w:r>
      <w:r>
        <w:rPr>
          <w:color w:val="auto"/>
          <w:highlight w:val="none"/>
        </w:rPr>
        <w:instrText xml:space="preserve"> PAGEREF _Toc21192 \h </w:instrText>
      </w:r>
      <w:r>
        <w:rPr>
          <w:color w:val="auto"/>
          <w:highlight w:val="none"/>
        </w:rPr>
        <w:fldChar w:fldCharType="separate"/>
      </w:r>
      <w:r>
        <w:rPr>
          <w:color w:val="auto"/>
          <w:highlight w:val="none"/>
        </w:rPr>
        <w:t>126</w:t>
      </w:r>
      <w:r>
        <w:rPr>
          <w:color w:val="auto"/>
          <w:highlight w:val="none"/>
        </w:rPr>
        <w:fldChar w:fldCharType="end"/>
      </w:r>
      <w:r>
        <w:rPr>
          <w:color w:val="auto"/>
          <w:highlight w:val="none"/>
        </w:rPr>
        <w:fldChar w:fldCharType="end"/>
      </w:r>
    </w:p>
    <w:p>
      <w:pPr>
        <w:pStyle w:val="27"/>
        <w:tabs>
          <w:tab w:val="right" w:leader="dot" w:pos="8669"/>
        </w:tabs>
        <w:rPr>
          <w:color w:val="auto"/>
          <w:highlight w:val="none"/>
        </w:rPr>
      </w:pPr>
      <w:r>
        <w:rPr>
          <w:color w:val="auto"/>
          <w:highlight w:val="none"/>
        </w:rPr>
        <w:fldChar w:fldCharType="begin"/>
      </w:r>
      <w:r>
        <w:rPr>
          <w:color w:val="auto"/>
          <w:highlight w:val="none"/>
        </w:rPr>
        <w:instrText xml:space="preserve"> HYPERLINK \l _Toc6872 </w:instrText>
      </w:r>
      <w:r>
        <w:rPr>
          <w:color w:val="auto"/>
          <w:highlight w:val="none"/>
        </w:rPr>
        <w:fldChar w:fldCharType="separate"/>
      </w:r>
      <w:r>
        <w:rPr>
          <w:rFonts w:hint="eastAsia" w:cs="黑体"/>
          <w:color w:val="auto"/>
          <w:highlight w:val="none"/>
        </w:rPr>
        <w:t>第七章</w:t>
      </w:r>
      <w:r>
        <w:rPr>
          <w:color w:val="auto"/>
          <w:highlight w:val="none"/>
        </w:rPr>
        <w:t xml:space="preserve"> </w:t>
      </w:r>
      <w:r>
        <w:rPr>
          <w:rFonts w:hint="eastAsia"/>
          <w:color w:val="auto"/>
          <w:highlight w:val="none"/>
        </w:rPr>
        <w:t>危险性较大的分部分项工程清单</w:t>
      </w:r>
      <w:r>
        <w:rPr>
          <w:color w:val="auto"/>
          <w:highlight w:val="none"/>
        </w:rPr>
        <w:tab/>
      </w:r>
      <w:r>
        <w:rPr>
          <w:color w:val="auto"/>
          <w:highlight w:val="none"/>
        </w:rPr>
        <w:fldChar w:fldCharType="begin"/>
      </w:r>
      <w:r>
        <w:rPr>
          <w:color w:val="auto"/>
          <w:highlight w:val="none"/>
        </w:rPr>
        <w:instrText xml:space="preserve"> PAGEREF _Toc6872 \h </w:instrText>
      </w:r>
      <w:r>
        <w:rPr>
          <w:color w:val="auto"/>
          <w:highlight w:val="none"/>
        </w:rPr>
        <w:fldChar w:fldCharType="separate"/>
      </w:r>
      <w:r>
        <w:rPr>
          <w:color w:val="auto"/>
          <w:highlight w:val="none"/>
        </w:rPr>
        <w:t>127</w:t>
      </w:r>
      <w:r>
        <w:rPr>
          <w:color w:val="auto"/>
          <w:highlight w:val="none"/>
        </w:rPr>
        <w:fldChar w:fldCharType="end"/>
      </w:r>
      <w:r>
        <w:rPr>
          <w:color w:val="auto"/>
          <w:highlight w:val="none"/>
        </w:rPr>
        <w:fldChar w:fldCharType="end"/>
      </w:r>
    </w:p>
    <w:p>
      <w:pPr>
        <w:pStyle w:val="27"/>
        <w:tabs>
          <w:tab w:val="right" w:leader="dot" w:pos="8669"/>
        </w:tabs>
        <w:rPr>
          <w:color w:val="auto"/>
          <w:highlight w:val="none"/>
        </w:rPr>
      </w:pPr>
      <w:r>
        <w:rPr>
          <w:color w:val="auto"/>
          <w:highlight w:val="none"/>
        </w:rPr>
        <w:fldChar w:fldCharType="begin"/>
      </w:r>
      <w:r>
        <w:rPr>
          <w:color w:val="auto"/>
          <w:highlight w:val="none"/>
        </w:rPr>
        <w:instrText xml:space="preserve"> HYPERLINK \l _Toc17632 </w:instrText>
      </w:r>
      <w:r>
        <w:rPr>
          <w:color w:val="auto"/>
          <w:highlight w:val="none"/>
        </w:rPr>
        <w:fldChar w:fldCharType="separate"/>
      </w:r>
      <w:r>
        <w:rPr>
          <w:rFonts w:hint="eastAsia"/>
          <w:color w:val="auto"/>
          <w:highlight w:val="none"/>
        </w:rPr>
        <w:t>（如有）</w:t>
      </w:r>
      <w:r>
        <w:rPr>
          <w:color w:val="auto"/>
          <w:highlight w:val="none"/>
        </w:rPr>
        <w:tab/>
      </w:r>
      <w:r>
        <w:rPr>
          <w:color w:val="auto"/>
          <w:highlight w:val="none"/>
        </w:rPr>
        <w:fldChar w:fldCharType="begin"/>
      </w:r>
      <w:r>
        <w:rPr>
          <w:color w:val="auto"/>
          <w:highlight w:val="none"/>
        </w:rPr>
        <w:instrText xml:space="preserve"> PAGEREF _Toc17632 \h </w:instrText>
      </w:r>
      <w:r>
        <w:rPr>
          <w:color w:val="auto"/>
          <w:highlight w:val="none"/>
        </w:rPr>
        <w:fldChar w:fldCharType="separate"/>
      </w:r>
      <w:r>
        <w:rPr>
          <w:color w:val="auto"/>
          <w:highlight w:val="none"/>
        </w:rPr>
        <w:t>127</w:t>
      </w:r>
      <w:r>
        <w:rPr>
          <w:color w:val="auto"/>
          <w:highlight w:val="none"/>
        </w:rPr>
        <w:fldChar w:fldCharType="end"/>
      </w:r>
      <w:r>
        <w:rPr>
          <w:color w:val="auto"/>
          <w:highlight w:val="none"/>
        </w:rPr>
        <w:fldChar w:fldCharType="end"/>
      </w:r>
    </w:p>
    <w:p>
      <w:pPr>
        <w:pStyle w:val="27"/>
        <w:tabs>
          <w:tab w:val="right" w:leader="dot" w:pos="8669"/>
        </w:tabs>
        <w:rPr>
          <w:color w:val="auto"/>
          <w:highlight w:val="none"/>
        </w:rPr>
      </w:pPr>
      <w:r>
        <w:rPr>
          <w:color w:val="auto"/>
          <w:highlight w:val="none"/>
        </w:rPr>
        <w:fldChar w:fldCharType="begin"/>
      </w:r>
      <w:r>
        <w:rPr>
          <w:color w:val="auto"/>
          <w:highlight w:val="none"/>
        </w:rPr>
        <w:instrText xml:space="preserve"> HYPERLINK \l _Toc10897 </w:instrText>
      </w:r>
      <w:r>
        <w:rPr>
          <w:color w:val="auto"/>
          <w:highlight w:val="none"/>
        </w:rPr>
        <w:fldChar w:fldCharType="separate"/>
      </w:r>
      <w:r>
        <w:rPr>
          <w:rFonts w:hint="eastAsia" w:cs="黑体"/>
          <w:color w:val="auto"/>
          <w:highlight w:val="none"/>
        </w:rPr>
        <w:t>第八章</w:t>
      </w:r>
      <w:r>
        <w:rPr>
          <w:rFonts w:cs="黑体"/>
          <w:color w:val="auto"/>
          <w:highlight w:val="none"/>
        </w:rPr>
        <w:t xml:space="preserve"> </w:t>
      </w:r>
      <w:r>
        <w:rPr>
          <w:rFonts w:hint="eastAsia" w:cs="黑体"/>
          <w:color w:val="auto"/>
          <w:highlight w:val="none"/>
        </w:rPr>
        <w:t>技术标准和要求</w:t>
      </w:r>
      <w:r>
        <w:rPr>
          <w:color w:val="auto"/>
          <w:highlight w:val="none"/>
        </w:rPr>
        <w:tab/>
      </w:r>
      <w:r>
        <w:rPr>
          <w:color w:val="auto"/>
          <w:highlight w:val="none"/>
        </w:rPr>
        <w:fldChar w:fldCharType="begin"/>
      </w:r>
      <w:r>
        <w:rPr>
          <w:color w:val="auto"/>
          <w:highlight w:val="none"/>
        </w:rPr>
        <w:instrText xml:space="preserve"> PAGEREF _Toc10897 \h </w:instrText>
      </w:r>
      <w:r>
        <w:rPr>
          <w:color w:val="auto"/>
          <w:highlight w:val="none"/>
        </w:rPr>
        <w:fldChar w:fldCharType="separate"/>
      </w:r>
      <w:r>
        <w:rPr>
          <w:color w:val="auto"/>
          <w:highlight w:val="none"/>
        </w:rPr>
        <w:t>128</w:t>
      </w:r>
      <w:r>
        <w:rPr>
          <w:color w:val="auto"/>
          <w:highlight w:val="none"/>
        </w:rPr>
        <w:fldChar w:fldCharType="end"/>
      </w:r>
      <w:r>
        <w:rPr>
          <w:color w:val="auto"/>
          <w:highlight w:val="none"/>
        </w:rPr>
        <w:fldChar w:fldCharType="end"/>
      </w:r>
    </w:p>
    <w:p>
      <w:pPr>
        <w:pStyle w:val="27"/>
        <w:tabs>
          <w:tab w:val="right" w:leader="dot" w:pos="8669"/>
        </w:tabs>
        <w:rPr>
          <w:color w:val="auto"/>
          <w:highlight w:val="none"/>
        </w:rPr>
      </w:pPr>
      <w:r>
        <w:rPr>
          <w:color w:val="auto"/>
          <w:highlight w:val="none"/>
        </w:rPr>
        <w:fldChar w:fldCharType="begin"/>
      </w:r>
      <w:r>
        <w:rPr>
          <w:color w:val="auto"/>
          <w:highlight w:val="none"/>
        </w:rPr>
        <w:instrText xml:space="preserve"> HYPERLINK \l _Toc20179 </w:instrText>
      </w:r>
      <w:r>
        <w:rPr>
          <w:color w:val="auto"/>
          <w:highlight w:val="none"/>
        </w:rPr>
        <w:fldChar w:fldCharType="separate"/>
      </w:r>
      <w:r>
        <w:rPr>
          <w:rFonts w:hint="eastAsia" w:cs="黑体"/>
          <w:color w:val="auto"/>
          <w:highlight w:val="none"/>
        </w:rPr>
        <w:t>第九章</w:t>
      </w:r>
      <w:r>
        <w:rPr>
          <w:color w:val="auto"/>
          <w:highlight w:val="none"/>
        </w:rPr>
        <w:t xml:space="preserve"> </w:t>
      </w:r>
      <w:r>
        <w:rPr>
          <w:rFonts w:hint="eastAsia" w:cs="黑体"/>
          <w:color w:val="auto"/>
          <w:highlight w:val="none"/>
        </w:rPr>
        <w:t>投标文件格式</w:t>
      </w:r>
      <w:r>
        <w:rPr>
          <w:color w:val="auto"/>
          <w:highlight w:val="none"/>
        </w:rPr>
        <w:tab/>
      </w:r>
      <w:r>
        <w:rPr>
          <w:color w:val="auto"/>
          <w:highlight w:val="none"/>
        </w:rPr>
        <w:fldChar w:fldCharType="begin"/>
      </w:r>
      <w:r>
        <w:rPr>
          <w:color w:val="auto"/>
          <w:highlight w:val="none"/>
        </w:rPr>
        <w:instrText xml:space="preserve"> PAGEREF _Toc20179 \h </w:instrText>
      </w:r>
      <w:r>
        <w:rPr>
          <w:color w:val="auto"/>
          <w:highlight w:val="none"/>
        </w:rPr>
        <w:fldChar w:fldCharType="separate"/>
      </w:r>
      <w:r>
        <w:rPr>
          <w:color w:val="auto"/>
          <w:highlight w:val="none"/>
        </w:rPr>
        <w:t>131</w:t>
      </w:r>
      <w:r>
        <w:rPr>
          <w:color w:val="auto"/>
          <w:highlight w:val="none"/>
        </w:rPr>
        <w:fldChar w:fldCharType="end"/>
      </w:r>
      <w:r>
        <w:rPr>
          <w:color w:val="auto"/>
          <w:highlight w:val="none"/>
        </w:rPr>
        <w:fldChar w:fldCharType="end"/>
      </w:r>
    </w:p>
    <w:p>
      <w:pPr>
        <w:rPr>
          <w:color w:val="auto"/>
          <w:highlight w:val="none"/>
        </w:rPr>
      </w:pPr>
      <w:r>
        <w:rPr>
          <w:color w:val="auto"/>
          <w:highlight w:val="none"/>
        </w:rPr>
        <w:fldChar w:fldCharType="end"/>
      </w:r>
    </w:p>
    <w:p>
      <w:pPr>
        <w:rPr>
          <w:color w:val="auto"/>
          <w:highlight w:val="none"/>
        </w:rPr>
      </w:pPr>
      <w:r>
        <w:rPr>
          <w:color w:val="auto"/>
          <w:highlight w:val="none"/>
        </w:rPr>
        <w:t xml:space="preserve">   </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tabs>
          <w:tab w:val="center" w:pos="4334"/>
        </w:tabs>
        <w:jc w:val="left"/>
        <w:rPr>
          <w:color w:val="auto"/>
          <w:highlight w:val="none"/>
        </w:rPr>
        <w:sectPr>
          <w:pgSz w:w="11906" w:h="16838"/>
          <w:pgMar w:top="1440" w:right="1440" w:bottom="1440" w:left="1797" w:header="851" w:footer="851" w:gutter="0"/>
          <w:pgNumType w:fmt="upperRoman"/>
          <w:cols w:space="720" w:num="1"/>
          <w:docGrid w:linePitch="312" w:charSpace="0"/>
        </w:sectPr>
      </w:pPr>
      <w:r>
        <w:rPr>
          <w:rFonts w:hint="eastAsia"/>
          <w:color w:val="auto"/>
          <w:highlight w:val="none"/>
        </w:rPr>
        <w:tab/>
      </w:r>
    </w:p>
    <w:p>
      <w:pPr>
        <w:pStyle w:val="3"/>
        <w:jc w:val="center"/>
        <w:rPr>
          <w:color w:val="auto"/>
          <w:highlight w:val="none"/>
        </w:rPr>
      </w:pPr>
      <w:bookmarkStart w:id="0" w:name="_Toc407135048"/>
      <w:bookmarkStart w:id="1" w:name="_Toc66186288"/>
      <w:bookmarkStart w:id="2" w:name="_Toc32238"/>
      <w:bookmarkStart w:id="3" w:name="_Toc389065120"/>
      <w:r>
        <w:rPr>
          <w:rFonts w:hint="eastAsia" w:cs="黑体"/>
          <w:color w:val="auto"/>
          <w:highlight w:val="none"/>
        </w:rPr>
        <w:t>第一章</w:t>
      </w:r>
      <w:r>
        <w:rPr>
          <w:color w:val="auto"/>
          <w:highlight w:val="none"/>
        </w:rPr>
        <w:t xml:space="preserve">  </w:t>
      </w:r>
      <w:r>
        <w:rPr>
          <w:rFonts w:hint="eastAsia" w:cs="黑体"/>
          <w:color w:val="auto"/>
          <w:highlight w:val="none"/>
        </w:rPr>
        <w:t>招标公告</w:t>
      </w:r>
      <w:bookmarkEnd w:id="0"/>
      <w:bookmarkEnd w:id="1"/>
      <w:bookmarkEnd w:id="2"/>
      <w:bookmarkEnd w:id="3"/>
    </w:p>
    <w:p>
      <w:pPr>
        <w:ind w:firstLine="435"/>
        <w:rPr>
          <w:color w:val="auto"/>
          <w:highlight w:val="none"/>
        </w:rPr>
      </w:pPr>
    </w:p>
    <w:p>
      <w:pPr>
        <w:jc w:val="center"/>
        <w:rPr>
          <w:b/>
          <w:color w:val="auto"/>
          <w:sz w:val="24"/>
          <w:szCs w:val="24"/>
          <w:highlight w:val="none"/>
          <w:u w:val="single"/>
        </w:rPr>
      </w:pPr>
      <w:bookmarkStart w:id="4" w:name="_Toc389065121"/>
      <w:r>
        <w:rPr>
          <w:rFonts w:hint="eastAsia"/>
          <w:b/>
          <w:color w:val="auto"/>
          <w:sz w:val="24"/>
          <w:szCs w:val="24"/>
          <w:highlight w:val="none"/>
          <w:u w:val="single"/>
        </w:rPr>
        <w:t>广西医科大学武鸣校区图书馆报告厅、演讲厅二次装饰工程项目</w:t>
      </w:r>
    </w:p>
    <w:p>
      <w:pPr>
        <w:jc w:val="center"/>
        <w:rPr>
          <w:b/>
          <w:color w:val="auto"/>
          <w:sz w:val="24"/>
          <w:szCs w:val="24"/>
          <w:highlight w:val="none"/>
        </w:rPr>
      </w:pPr>
      <w:r>
        <w:rPr>
          <w:rFonts w:hint="eastAsia" w:cs="宋体"/>
          <w:b/>
          <w:color w:val="auto"/>
          <w:sz w:val="24"/>
          <w:szCs w:val="24"/>
          <w:highlight w:val="none"/>
        </w:rPr>
        <w:t>招标公告</w:t>
      </w:r>
      <w:bookmarkEnd w:id="4"/>
    </w:p>
    <w:p>
      <w:pPr>
        <w:spacing w:line="360" w:lineRule="auto"/>
        <w:rPr>
          <w:color w:val="auto"/>
          <w:highlight w:val="none"/>
        </w:rPr>
      </w:pPr>
    </w:p>
    <w:p>
      <w:pPr>
        <w:pStyle w:val="4"/>
        <w:rPr>
          <w:color w:val="auto"/>
          <w:highlight w:val="none"/>
        </w:rPr>
      </w:pPr>
      <w:bookmarkStart w:id="5" w:name="_Toc407135049"/>
      <w:bookmarkStart w:id="6" w:name="_Toc12120"/>
      <w:bookmarkStart w:id="7" w:name="_Toc389065122"/>
      <w:bookmarkStart w:id="8" w:name="_Toc66186289"/>
      <w:r>
        <w:rPr>
          <w:color w:val="auto"/>
          <w:highlight w:val="none"/>
        </w:rPr>
        <w:t xml:space="preserve">1. </w:t>
      </w:r>
      <w:r>
        <w:rPr>
          <w:rFonts w:hint="eastAsia" w:cs="黑体"/>
          <w:color w:val="auto"/>
          <w:highlight w:val="none"/>
        </w:rPr>
        <w:t>招标条件</w:t>
      </w:r>
      <w:bookmarkEnd w:id="5"/>
      <w:bookmarkEnd w:id="6"/>
      <w:bookmarkEnd w:id="7"/>
      <w:bookmarkEnd w:id="8"/>
    </w:p>
    <w:p>
      <w:pPr>
        <w:spacing w:line="360" w:lineRule="auto"/>
        <w:ind w:firstLine="420" w:firstLineChars="200"/>
        <w:rPr>
          <w:color w:val="auto"/>
          <w:highlight w:val="none"/>
        </w:rPr>
      </w:pPr>
      <w:r>
        <w:rPr>
          <w:rFonts w:hint="eastAsia" w:cs="宋体"/>
          <w:color w:val="auto"/>
          <w:highlight w:val="none"/>
        </w:rPr>
        <w:t>本招标项目</w:t>
      </w:r>
      <w:r>
        <w:rPr>
          <w:rFonts w:hint="eastAsia"/>
          <w:color w:val="auto"/>
          <w:highlight w:val="none"/>
          <w:u w:val="single"/>
        </w:rPr>
        <w:t>广西医科大学武鸣校区图书馆报告厅、演讲厅二次装饰工程项目</w:t>
      </w:r>
      <w:r>
        <w:rPr>
          <w:rFonts w:hint="eastAsia" w:cs="宋体"/>
          <w:color w:val="auto"/>
          <w:highlight w:val="none"/>
        </w:rPr>
        <w:t>（项目名称），招标人（项目业主）为</w:t>
      </w:r>
      <w:r>
        <w:rPr>
          <w:rFonts w:hint="eastAsia"/>
          <w:color w:val="auto"/>
          <w:highlight w:val="none"/>
          <w:u w:val="single"/>
        </w:rPr>
        <w:t>广西医科大学</w:t>
      </w:r>
      <w:r>
        <w:rPr>
          <w:rFonts w:hint="eastAsia" w:cs="宋体"/>
          <w:color w:val="auto"/>
          <w:highlight w:val="none"/>
        </w:rPr>
        <w:t>，建设资金来自</w:t>
      </w:r>
      <w:r>
        <w:rPr>
          <w:rFonts w:hint="eastAsia"/>
          <w:color w:val="auto"/>
          <w:highlight w:val="none"/>
          <w:u w:val="single"/>
        </w:rPr>
        <w:t>财政</w:t>
      </w:r>
      <w:r>
        <w:rPr>
          <w:rFonts w:hint="eastAsia" w:cs="宋体"/>
          <w:color w:val="auto"/>
          <w:highlight w:val="none"/>
          <w:u w:val="single"/>
        </w:rPr>
        <w:t>资金</w:t>
      </w:r>
      <w:r>
        <w:rPr>
          <w:rFonts w:hint="eastAsia" w:cs="宋体"/>
          <w:color w:val="auto"/>
          <w:highlight w:val="none"/>
        </w:rPr>
        <w:t>（资金来源），项目出资比例为</w:t>
      </w:r>
      <w:r>
        <w:rPr>
          <w:color w:val="auto"/>
          <w:highlight w:val="none"/>
          <w:u w:val="single"/>
        </w:rPr>
        <w:t xml:space="preserve"> 100</w:t>
      </w:r>
      <w:r>
        <w:rPr>
          <w:rFonts w:hint="eastAsia"/>
          <w:color w:val="auto"/>
          <w:highlight w:val="none"/>
          <w:u w:val="single"/>
        </w:rPr>
        <w:t>%</w:t>
      </w:r>
      <w:r>
        <w:rPr>
          <w:color w:val="auto"/>
          <w:highlight w:val="none"/>
          <w:u w:val="single"/>
        </w:rPr>
        <w:t xml:space="preserve"> </w:t>
      </w:r>
      <w:r>
        <w:rPr>
          <w:rFonts w:hint="eastAsia" w:cs="宋体"/>
          <w:color w:val="auto"/>
          <w:highlight w:val="none"/>
        </w:rPr>
        <w:t>。项目已具备招标条件，现对该项目的施工进行公开招标。</w:t>
      </w:r>
    </w:p>
    <w:p>
      <w:pPr>
        <w:pStyle w:val="4"/>
        <w:rPr>
          <w:color w:val="auto"/>
          <w:highlight w:val="none"/>
        </w:rPr>
      </w:pPr>
      <w:bookmarkStart w:id="9" w:name="_Toc66186290"/>
      <w:bookmarkStart w:id="10" w:name="_Toc407135050"/>
      <w:bookmarkStart w:id="11" w:name="_Toc389065123"/>
      <w:bookmarkStart w:id="12" w:name="_Toc28902"/>
      <w:r>
        <w:rPr>
          <w:color w:val="auto"/>
          <w:highlight w:val="none"/>
        </w:rPr>
        <w:t xml:space="preserve">2. </w:t>
      </w:r>
      <w:r>
        <w:rPr>
          <w:rFonts w:hint="eastAsia" w:cs="黑体"/>
          <w:color w:val="auto"/>
          <w:highlight w:val="none"/>
        </w:rPr>
        <w:t>项目概况与招标范围</w:t>
      </w:r>
      <w:bookmarkEnd w:id="9"/>
      <w:bookmarkEnd w:id="10"/>
      <w:bookmarkEnd w:id="11"/>
      <w:bookmarkEnd w:id="12"/>
    </w:p>
    <w:p>
      <w:pPr>
        <w:spacing w:line="360" w:lineRule="auto"/>
        <w:ind w:firstLine="420" w:firstLineChars="200"/>
        <w:rPr>
          <w:color w:val="auto"/>
          <w:highlight w:val="none"/>
        </w:rPr>
      </w:pPr>
      <w:r>
        <w:rPr>
          <w:rFonts w:hint="eastAsia" w:cs="宋体"/>
          <w:color w:val="auto"/>
          <w:highlight w:val="none"/>
        </w:rPr>
        <w:t>项目招标编号：</w:t>
      </w:r>
      <w:r>
        <w:rPr>
          <w:rFonts w:hint="eastAsia"/>
          <w:color w:val="auto"/>
          <w:highlight w:val="none"/>
          <w:u w:val="single"/>
          <w:lang w:eastAsia="zh-CN"/>
        </w:rPr>
        <w:t>GXZC2021-G2-004272-JGJD</w:t>
      </w:r>
      <w:r>
        <w:rPr>
          <w:rFonts w:hint="eastAsia"/>
          <w:color w:val="auto"/>
          <w:highlight w:val="none"/>
          <w:u w:val="single"/>
        </w:rPr>
        <w:t>/GS(ZB1)2021462G</w:t>
      </w:r>
    </w:p>
    <w:p>
      <w:pPr>
        <w:spacing w:line="360" w:lineRule="auto"/>
        <w:ind w:firstLine="420" w:firstLineChars="200"/>
        <w:rPr>
          <w:color w:val="auto"/>
          <w:highlight w:val="none"/>
          <w:u w:val="single"/>
        </w:rPr>
      </w:pPr>
      <w:r>
        <w:rPr>
          <w:rFonts w:hint="eastAsia" w:cs="宋体"/>
          <w:color w:val="auto"/>
          <w:highlight w:val="none"/>
        </w:rPr>
        <w:t>建设地点：</w:t>
      </w:r>
      <w:r>
        <w:rPr>
          <w:rFonts w:hint="eastAsia"/>
          <w:color w:val="auto"/>
          <w:highlight w:val="none"/>
          <w:u w:val="single"/>
        </w:rPr>
        <w:t>广西医科大学武鸣校区</w:t>
      </w:r>
    </w:p>
    <w:p>
      <w:pPr>
        <w:spacing w:line="360" w:lineRule="auto"/>
        <w:ind w:firstLine="420" w:firstLineChars="200"/>
        <w:rPr>
          <w:color w:val="auto"/>
          <w:highlight w:val="none"/>
          <w:u w:val="single"/>
        </w:rPr>
      </w:pPr>
      <w:r>
        <w:rPr>
          <w:rFonts w:hint="eastAsia" w:cs="宋体"/>
          <w:color w:val="auto"/>
          <w:highlight w:val="none"/>
        </w:rPr>
        <w:t>建设规模：</w:t>
      </w:r>
      <w:r>
        <w:rPr>
          <w:rFonts w:hint="eastAsia" w:cs="宋体"/>
          <w:color w:val="auto"/>
          <w:highlight w:val="none"/>
          <w:u w:val="single"/>
        </w:rPr>
        <w:t>本工程为广西医科大学武鸣校区图书馆报告厅、演讲厅二次装饰工程项目，包括广西医科大学武鸣校区项目图书馆一层、二层报告厅、图书馆负一层视频会议室、公共区域及配套用房，装修面积共3672㎡</w:t>
      </w:r>
      <w:r>
        <w:rPr>
          <w:rFonts w:hint="eastAsia"/>
          <w:color w:val="auto"/>
          <w:highlight w:val="none"/>
          <w:u w:val="single"/>
        </w:rPr>
        <w:t>。</w:t>
      </w:r>
    </w:p>
    <w:p>
      <w:pPr>
        <w:spacing w:line="360" w:lineRule="auto"/>
        <w:ind w:firstLine="420" w:firstLineChars="200"/>
        <w:rPr>
          <w:color w:val="auto"/>
          <w:highlight w:val="none"/>
          <w:u w:val="single"/>
        </w:rPr>
      </w:pPr>
      <w:r>
        <w:rPr>
          <w:rFonts w:hint="eastAsia" w:cs="宋体"/>
          <w:color w:val="auto"/>
          <w:highlight w:val="none"/>
        </w:rPr>
        <w:t>合同估算价：</w:t>
      </w:r>
      <w:r>
        <w:rPr>
          <w:rFonts w:hint="eastAsia" w:cs="宋体"/>
          <w:color w:val="auto"/>
          <w:highlight w:val="none"/>
          <w:u w:val="single"/>
        </w:rPr>
        <w:t>780.675045万</w:t>
      </w:r>
      <w:r>
        <w:rPr>
          <w:rFonts w:hint="eastAsia"/>
          <w:color w:val="auto"/>
          <w:highlight w:val="none"/>
          <w:u w:val="single"/>
        </w:rPr>
        <w:t>元</w:t>
      </w:r>
    </w:p>
    <w:p>
      <w:pPr>
        <w:spacing w:line="360" w:lineRule="auto"/>
        <w:ind w:firstLine="420" w:firstLineChars="200"/>
        <w:rPr>
          <w:b/>
          <w:color w:val="auto"/>
          <w:highlight w:val="none"/>
        </w:rPr>
      </w:pPr>
      <w:r>
        <w:rPr>
          <w:rFonts w:hint="eastAsia" w:cs="宋体"/>
          <w:color w:val="auto"/>
          <w:highlight w:val="none"/>
        </w:rPr>
        <w:t>要求工期：</w:t>
      </w:r>
      <w:r>
        <w:rPr>
          <w:rFonts w:hint="eastAsia" w:cs="宋体"/>
          <w:color w:val="auto"/>
          <w:highlight w:val="none"/>
          <w:u w:val="single"/>
        </w:rPr>
        <w:t>180日历天</w:t>
      </w:r>
    </w:p>
    <w:p>
      <w:pPr>
        <w:spacing w:line="360" w:lineRule="auto"/>
        <w:ind w:firstLine="420" w:firstLineChars="200"/>
        <w:rPr>
          <w:color w:val="auto"/>
          <w:highlight w:val="none"/>
          <w:u w:val="single"/>
        </w:rPr>
      </w:pPr>
      <w:r>
        <w:rPr>
          <w:rFonts w:hint="eastAsia" w:cs="宋体"/>
          <w:color w:val="auto"/>
          <w:highlight w:val="none"/>
        </w:rPr>
        <w:t>招标范围：</w:t>
      </w:r>
      <w:r>
        <w:rPr>
          <w:rFonts w:hint="eastAsia"/>
          <w:color w:val="auto"/>
          <w:highlight w:val="none"/>
          <w:u w:val="single"/>
        </w:rPr>
        <w:t>广西医科大学武鸣校区图书馆报告厅、演讲厅二次装饰工程项目施工图范围内的工程（具体以施工图纸和工程量清单内容为准）。</w:t>
      </w:r>
    </w:p>
    <w:p>
      <w:pPr>
        <w:spacing w:line="360" w:lineRule="auto"/>
        <w:ind w:firstLine="420" w:firstLineChars="200"/>
        <w:rPr>
          <w:color w:val="auto"/>
          <w:highlight w:val="none"/>
          <w:u w:val="single"/>
        </w:rPr>
      </w:pPr>
      <w:r>
        <w:rPr>
          <w:rFonts w:hint="eastAsia" w:cs="宋体"/>
          <w:color w:val="auto"/>
          <w:highlight w:val="none"/>
        </w:rPr>
        <w:t>标段划分：</w:t>
      </w:r>
      <w:r>
        <w:rPr>
          <w:rFonts w:hint="eastAsia"/>
          <w:color w:val="auto"/>
          <w:highlight w:val="none"/>
          <w:u w:val="single"/>
        </w:rPr>
        <w:t>1个标段</w:t>
      </w:r>
    </w:p>
    <w:p>
      <w:pPr>
        <w:pStyle w:val="4"/>
        <w:rPr>
          <w:color w:val="auto"/>
          <w:highlight w:val="none"/>
        </w:rPr>
      </w:pPr>
      <w:bookmarkStart w:id="13" w:name="_Toc407135051"/>
      <w:bookmarkStart w:id="14" w:name="_Toc389065124"/>
      <w:bookmarkStart w:id="15" w:name="_Toc66186291"/>
      <w:bookmarkStart w:id="16" w:name="_Toc26573"/>
      <w:r>
        <w:rPr>
          <w:color w:val="auto"/>
          <w:highlight w:val="none"/>
        </w:rPr>
        <w:t xml:space="preserve">3. </w:t>
      </w:r>
      <w:r>
        <w:rPr>
          <w:rFonts w:hint="eastAsia" w:cs="黑体"/>
          <w:color w:val="auto"/>
          <w:highlight w:val="none"/>
        </w:rPr>
        <w:t>投标人资格要求</w:t>
      </w:r>
      <w:bookmarkEnd w:id="13"/>
      <w:bookmarkEnd w:id="14"/>
      <w:bookmarkEnd w:id="15"/>
      <w:bookmarkEnd w:id="16"/>
    </w:p>
    <w:p>
      <w:pPr>
        <w:tabs>
          <w:tab w:val="left" w:pos="4678"/>
        </w:tabs>
        <w:spacing w:line="360" w:lineRule="auto"/>
        <w:ind w:firstLine="420" w:firstLineChars="200"/>
        <w:rPr>
          <w:color w:val="auto"/>
          <w:highlight w:val="none"/>
        </w:rPr>
      </w:pPr>
      <w:r>
        <w:rPr>
          <w:color w:val="auto"/>
          <w:highlight w:val="none"/>
        </w:rPr>
        <w:t xml:space="preserve">3.1 </w:t>
      </w:r>
      <w:r>
        <w:rPr>
          <w:rFonts w:hint="eastAsia" w:cs="宋体"/>
          <w:color w:val="auto"/>
          <w:highlight w:val="none"/>
        </w:rPr>
        <w:t>本次招标要求投标人符合《中华人民共和国政府采购法》第二十二条规定条件，具备</w:t>
      </w:r>
      <w:r>
        <w:rPr>
          <w:rFonts w:hint="eastAsia"/>
          <w:color w:val="auto"/>
          <w:highlight w:val="none"/>
          <w:u w:val="single"/>
        </w:rPr>
        <w:t>建筑装修装饰工程专业承包二级（含）以</w:t>
      </w:r>
      <w:r>
        <w:rPr>
          <w:rFonts w:hint="eastAsia"/>
          <w:color w:val="auto"/>
          <w:highlight w:val="none"/>
        </w:rPr>
        <w:t>上</w:t>
      </w:r>
      <w:r>
        <w:rPr>
          <w:rFonts w:hint="eastAsia" w:cs="宋体"/>
          <w:color w:val="auto"/>
          <w:highlight w:val="none"/>
        </w:rPr>
        <w:t>资质同时具备建筑机电安装工程专业承包三级（含）以上资质</w:t>
      </w:r>
      <w:r>
        <w:rPr>
          <w:rFonts w:hint="eastAsia" w:cs="宋体"/>
          <w:color w:val="auto"/>
          <w:kern w:val="0"/>
          <w:sz w:val="24"/>
          <w:szCs w:val="24"/>
          <w:highlight w:val="none"/>
        </w:rPr>
        <w:t>，</w:t>
      </w:r>
      <w:r>
        <w:rPr>
          <w:rFonts w:hint="eastAsia" w:cs="宋体"/>
          <w:color w:val="auto"/>
          <w:highlight w:val="none"/>
        </w:rPr>
        <w:t>并在人员、设备、资金等方面具备相应的施工能力。其中，投标人拟派项目经理须具备</w:t>
      </w:r>
      <w:r>
        <w:rPr>
          <w:rFonts w:hint="eastAsia"/>
          <w:color w:val="auto"/>
          <w:highlight w:val="none"/>
          <w:u w:val="single"/>
        </w:rPr>
        <w:t>建筑工程</w:t>
      </w:r>
      <w:r>
        <w:rPr>
          <w:rFonts w:hint="eastAsia" w:cs="宋体"/>
          <w:color w:val="auto"/>
          <w:highlight w:val="none"/>
        </w:rPr>
        <w:t>专业</w:t>
      </w:r>
      <w:r>
        <w:rPr>
          <w:color w:val="auto"/>
          <w:highlight w:val="none"/>
          <w:u w:val="single"/>
        </w:rPr>
        <w:t xml:space="preserve"> </w:t>
      </w:r>
      <w:r>
        <w:rPr>
          <w:rFonts w:hint="eastAsia"/>
          <w:color w:val="auto"/>
          <w:highlight w:val="none"/>
          <w:u w:val="single"/>
        </w:rPr>
        <w:t>二</w:t>
      </w:r>
      <w:r>
        <w:rPr>
          <w:color w:val="auto"/>
          <w:highlight w:val="none"/>
          <w:u w:val="single"/>
        </w:rPr>
        <w:t xml:space="preserve"> </w:t>
      </w:r>
      <w:r>
        <w:rPr>
          <w:rFonts w:hint="eastAsia" w:ascii="仿宋_GB2312" w:hAnsi="宋体"/>
          <w:color w:val="auto"/>
          <w:highlight w:val="none"/>
        </w:rPr>
        <w:t>级以上（含本级）</w:t>
      </w:r>
      <w:r>
        <w:rPr>
          <w:rFonts w:hint="eastAsia" w:cs="宋体"/>
          <w:color w:val="auto"/>
          <w:highlight w:val="none"/>
        </w:rPr>
        <w:t>注册建造师执业资格，具备有效的安全生产考核合格证书（</w:t>
      </w:r>
      <w:r>
        <w:rPr>
          <w:color w:val="auto"/>
          <w:highlight w:val="none"/>
        </w:rPr>
        <w:t>B</w:t>
      </w:r>
      <w:r>
        <w:rPr>
          <w:rFonts w:hint="eastAsia" w:cs="宋体"/>
          <w:color w:val="auto"/>
          <w:highlight w:val="none"/>
        </w:rPr>
        <w:t>类）。本项目不接受有在建、已中标未开工或已列为其他项目中标候选人第一名的建造师作为项目经理</w:t>
      </w:r>
      <w:r>
        <w:rPr>
          <w:rFonts w:hint="eastAsia" w:cs="宋体"/>
          <w:color w:val="auto"/>
          <w:kern w:val="0"/>
          <w:highlight w:val="none"/>
        </w:rPr>
        <w:t>（</w:t>
      </w:r>
      <w:r>
        <w:rPr>
          <w:rFonts w:hint="eastAsia" w:cs="宋体"/>
          <w:color w:val="auto"/>
          <w:highlight w:val="none"/>
        </w:rPr>
        <w:t>符合《广西壮族自治区建筑市场诚信卡管理暂行办法》第十六条第一款除外）。</w:t>
      </w:r>
    </w:p>
    <w:p>
      <w:pPr>
        <w:spacing w:line="360" w:lineRule="auto"/>
        <w:ind w:firstLine="420" w:firstLineChars="200"/>
        <w:rPr>
          <w:color w:val="auto"/>
          <w:highlight w:val="none"/>
          <w:u w:val="single"/>
        </w:rPr>
      </w:pPr>
      <w:r>
        <w:rPr>
          <w:color w:val="auto"/>
          <w:highlight w:val="none"/>
        </w:rPr>
        <w:t>3.</w:t>
      </w:r>
      <w:r>
        <w:rPr>
          <w:rFonts w:hint="eastAsia"/>
          <w:color w:val="auto"/>
          <w:highlight w:val="none"/>
        </w:rPr>
        <w:t>2</w:t>
      </w:r>
      <w:r>
        <w:rPr>
          <w:color w:val="auto"/>
          <w:highlight w:val="none"/>
        </w:rPr>
        <w:t xml:space="preserve"> </w:t>
      </w:r>
      <w:r>
        <w:rPr>
          <w:rFonts w:hint="eastAsia" w:cs="宋体"/>
          <w:color w:val="auto"/>
          <w:highlight w:val="none"/>
        </w:rPr>
        <w:t>业绩要求：</w:t>
      </w:r>
      <w:r>
        <w:rPr>
          <w:rFonts w:hint="eastAsia" w:cs="宋体"/>
          <w:color w:val="auto"/>
          <w:highlight w:val="none"/>
        </w:rPr>
        <w:sym w:font="Wingdings 2" w:char="0052"/>
      </w:r>
      <w:r>
        <w:rPr>
          <w:rFonts w:hint="eastAsia" w:cs="宋体"/>
          <w:color w:val="auto"/>
          <w:highlight w:val="none"/>
        </w:rPr>
        <w:t>无要求</w:t>
      </w:r>
      <w:r>
        <w:rPr>
          <w:color w:val="auto"/>
          <w:highlight w:val="none"/>
        </w:rPr>
        <w:t xml:space="preserve"> </w:t>
      </w:r>
      <w:r>
        <w:rPr>
          <w:color w:val="auto"/>
          <w:highlight w:val="none"/>
        </w:rPr>
        <w:sym w:font="Wingdings 2" w:char="00A3"/>
      </w:r>
      <w:r>
        <w:rPr>
          <w:rFonts w:hint="eastAsia" w:cs="宋体"/>
          <w:color w:val="auto"/>
          <w:highlight w:val="none"/>
        </w:rPr>
        <w:t>有要求，要求</w:t>
      </w:r>
      <w:r>
        <w:rPr>
          <w:rFonts w:hint="eastAsia" w:ascii="仿宋_GB2312" w:hAnsi="宋体"/>
          <w:color w:val="auto"/>
          <w:highlight w:val="none"/>
          <w:u w:val="single"/>
        </w:rPr>
        <w:t xml:space="preserve"> /</w:t>
      </w:r>
      <w:r>
        <w:rPr>
          <w:rFonts w:ascii="仿宋_GB2312" w:hAnsi="宋体"/>
          <w:color w:val="auto"/>
          <w:highlight w:val="none"/>
        </w:rPr>
        <w:t>年</w:t>
      </w:r>
      <w:r>
        <w:rPr>
          <w:rFonts w:hint="eastAsia" w:ascii="仿宋_GB2312" w:hAnsi="宋体"/>
          <w:color w:val="auto"/>
          <w:highlight w:val="none"/>
        </w:rPr>
        <w:t>（应填写年份）以来</w:t>
      </w:r>
      <w:r>
        <w:rPr>
          <w:color w:val="auto"/>
          <w:highlight w:val="none"/>
        </w:rPr>
        <w:sym w:font="Wingdings 2" w:char="00A3"/>
      </w:r>
      <w:r>
        <w:rPr>
          <w:rFonts w:hint="eastAsia" w:cs="宋体"/>
          <w:color w:val="auto"/>
          <w:highlight w:val="none"/>
        </w:rPr>
        <w:t xml:space="preserve">完成过质量合格的类似工程业绩 </w:t>
      </w:r>
      <w:r>
        <w:rPr>
          <w:color w:val="auto"/>
          <w:highlight w:val="none"/>
        </w:rPr>
        <w:sym w:font="Wingdings 2" w:char="00A3"/>
      </w:r>
      <w:r>
        <w:rPr>
          <w:rFonts w:hint="eastAsia" w:cs="宋体"/>
          <w:color w:val="auto"/>
          <w:highlight w:val="none"/>
        </w:rPr>
        <w:t>承接过类似工程业绩</w:t>
      </w:r>
      <w:r>
        <w:rPr>
          <w:rFonts w:hint="eastAsia" w:cs="宋体"/>
          <w:b/>
          <w:color w:val="auto"/>
          <w:highlight w:val="none"/>
        </w:rPr>
        <w:t>，</w:t>
      </w:r>
      <w:r>
        <w:rPr>
          <w:rFonts w:hint="eastAsia" w:cs="宋体"/>
          <w:color w:val="auto"/>
          <w:highlight w:val="none"/>
        </w:rPr>
        <w:t>类似工程指：</w:t>
      </w:r>
      <w:r>
        <w:rPr>
          <w:rFonts w:hint="eastAsia"/>
          <w:color w:val="auto"/>
          <w:highlight w:val="none"/>
          <w:u w:val="single"/>
        </w:rPr>
        <w:t>/</w:t>
      </w:r>
      <w:r>
        <w:rPr>
          <w:color w:val="auto"/>
          <w:highlight w:val="none"/>
          <w:u w:val="single"/>
        </w:rPr>
        <w:t xml:space="preserve"> 。</w:t>
      </w:r>
    </w:p>
    <w:p>
      <w:pPr>
        <w:spacing w:line="360" w:lineRule="auto"/>
        <w:ind w:firstLine="420" w:firstLineChars="200"/>
        <w:rPr>
          <w:color w:val="auto"/>
          <w:highlight w:val="none"/>
        </w:rPr>
      </w:pPr>
      <w:r>
        <w:rPr>
          <w:color w:val="auto"/>
          <w:highlight w:val="none"/>
        </w:rPr>
        <w:t>3</w:t>
      </w:r>
      <w:r>
        <w:rPr>
          <w:rFonts w:hint="eastAsia"/>
          <w:color w:val="auto"/>
          <w:highlight w:val="none"/>
        </w:rPr>
        <w:t>.3</w:t>
      </w:r>
      <w:r>
        <w:rPr>
          <w:color w:val="auto"/>
          <w:highlight w:val="none"/>
        </w:rPr>
        <w:t xml:space="preserve"> </w:t>
      </w:r>
      <w:r>
        <w:rPr>
          <w:rFonts w:hint="eastAsia" w:cs="宋体"/>
          <w:color w:val="auto"/>
          <w:highlight w:val="none"/>
        </w:rPr>
        <w:t>本次招标</w:t>
      </w:r>
      <w:r>
        <w:rPr>
          <w:rFonts w:hint="eastAsia" w:cs="宋体"/>
          <w:color w:val="auto"/>
          <w:highlight w:val="none"/>
          <w:u w:val="single"/>
        </w:rPr>
        <w:t>不接受</w:t>
      </w:r>
      <w:r>
        <w:rPr>
          <w:rFonts w:hint="eastAsia" w:cs="宋体"/>
          <w:color w:val="auto"/>
          <w:highlight w:val="none"/>
        </w:rPr>
        <w:t>联合体投标。</w:t>
      </w:r>
    </w:p>
    <w:p>
      <w:pPr>
        <w:spacing w:line="360" w:lineRule="auto"/>
        <w:ind w:firstLine="420" w:firstLineChars="200"/>
        <w:rPr>
          <w:color w:val="auto"/>
          <w:highlight w:val="none"/>
        </w:rPr>
      </w:pPr>
      <w:r>
        <w:rPr>
          <w:rFonts w:hint="eastAsia"/>
          <w:color w:val="auto"/>
          <w:highlight w:val="none"/>
        </w:rPr>
        <w:t>3.4 根据最高人民法院等9部门《关于在招标投标活动中对失信被执行人实施联合惩戒的通知》（法〔2016〕285号）规定，投标人不得为失信被执行人、重大税收违法案件当事人名单、政府采购严重违法失信行为记录名单（以评标阶段通过“信用中国”网站（www.creditchina.gov.cn）、中国政府采购网（</w:t>
      </w:r>
      <w:r>
        <w:rPr>
          <w:color w:val="auto"/>
          <w:highlight w:val="none"/>
        </w:rPr>
        <w:t>http://www.ccgp.gov.cn</w:t>
      </w:r>
      <w:r>
        <w:rPr>
          <w:rFonts w:hint="eastAsia"/>
          <w:color w:val="auto"/>
          <w:highlight w:val="none"/>
        </w:rPr>
        <w:t>）查询的结果为准）。</w:t>
      </w:r>
    </w:p>
    <w:p>
      <w:pPr>
        <w:spacing w:line="360" w:lineRule="auto"/>
        <w:ind w:firstLine="420" w:firstLineChars="200"/>
        <w:rPr>
          <w:color w:val="auto"/>
          <w:highlight w:val="none"/>
        </w:rPr>
      </w:pPr>
      <w:r>
        <w:rPr>
          <w:rFonts w:hint="eastAsia"/>
          <w:color w:val="auto"/>
          <w:highlight w:val="none"/>
        </w:rPr>
        <w:t>3</w:t>
      </w:r>
      <w:r>
        <w:rPr>
          <w:color w:val="auto"/>
          <w:highlight w:val="none"/>
        </w:rPr>
        <w:t>.5</w:t>
      </w:r>
      <w:r>
        <w:rPr>
          <w:rFonts w:hint="eastAsia"/>
          <w:color w:val="auto"/>
          <w:highlight w:val="none"/>
        </w:rPr>
        <w:t>需要落实的政府采购政策：本项目适用政府采购促进中小企业、监狱企业发展、促进残疾人就业等有关政策。</w:t>
      </w:r>
    </w:p>
    <w:p>
      <w:pPr>
        <w:spacing w:line="360" w:lineRule="auto"/>
        <w:ind w:firstLine="420" w:firstLineChars="200"/>
        <w:rPr>
          <w:color w:val="auto"/>
          <w:highlight w:val="none"/>
        </w:rPr>
      </w:pPr>
      <w:r>
        <w:rPr>
          <w:color w:val="auto"/>
          <w:highlight w:val="none"/>
        </w:rPr>
        <w:t>3.6</w:t>
      </w:r>
      <w:r>
        <w:rPr>
          <w:rFonts w:hint="eastAsia"/>
          <w:color w:val="auto"/>
          <w:highlight w:val="none"/>
        </w:rPr>
        <w:t>本项目非专门面向中小企业（或小型、微型企业）采购项目。</w:t>
      </w:r>
    </w:p>
    <w:p>
      <w:pPr>
        <w:pStyle w:val="4"/>
        <w:rPr>
          <w:color w:val="auto"/>
          <w:highlight w:val="none"/>
        </w:rPr>
      </w:pPr>
      <w:bookmarkStart w:id="17" w:name="_Toc66186292"/>
      <w:bookmarkStart w:id="18" w:name="_Toc407135053"/>
      <w:bookmarkStart w:id="19" w:name="_Toc22933"/>
      <w:bookmarkStart w:id="20" w:name="_Toc389065126"/>
      <w:r>
        <w:rPr>
          <w:color w:val="auto"/>
          <w:highlight w:val="none"/>
        </w:rPr>
        <w:t xml:space="preserve">4. </w:t>
      </w:r>
      <w:r>
        <w:rPr>
          <w:rFonts w:hint="eastAsia" w:cs="黑体"/>
          <w:color w:val="auto"/>
          <w:highlight w:val="none"/>
        </w:rPr>
        <w:t>招标文件的获取</w:t>
      </w:r>
      <w:bookmarkEnd w:id="17"/>
      <w:bookmarkEnd w:id="18"/>
      <w:bookmarkEnd w:id="19"/>
      <w:bookmarkEnd w:id="20"/>
    </w:p>
    <w:p>
      <w:pPr>
        <w:spacing w:line="360" w:lineRule="auto"/>
        <w:ind w:firstLine="420" w:firstLineChars="200"/>
        <w:rPr>
          <w:rFonts w:ascii="Calibri" w:hAnsi="Calibri"/>
          <w:color w:val="auto"/>
          <w:highlight w:val="none"/>
        </w:rPr>
      </w:pPr>
      <w:bookmarkStart w:id="21" w:name="_Toc389065127"/>
      <w:bookmarkStart w:id="22" w:name="_Toc407135054"/>
      <w:r>
        <w:rPr>
          <w:rFonts w:hint="eastAsia" w:ascii="Calibri" w:hAnsi="Calibri"/>
          <w:color w:val="auto"/>
          <w:highlight w:val="none"/>
        </w:rPr>
        <w:t>4.1本项目招标文件为网上免费下载。202</w:t>
      </w:r>
      <w:r>
        <w:rPr>
          <w:rFonts w:ascii="Calibri" w:hAnsi="Calibri"/>
          <w:color w:val="auto"/>
          <w:highlight w:val="none"/>
        </w:rPr>
        <w:t>1</w:t>
      </w:r>
      <w:r>
        <w:rPr>
          <w:rFonts w:hint="eastAsia" w:ascii="Calibri" w:hAnsi="Calibri"/>
          <w:color w:val="auto"/>
          <w:highlight w:val="none"/>
        </w:rPr>
        <w:t>年</w:t>
      </w:r>
      <w:r>
        <w:rPr>
          <w:rFonts w:hint="eastAsia" w:ascii="Calibri" w:hAnsi="Calibri"/>
          <w:color w:val="auto"/>
          <w:highlight w:val="none"/>
          <w:u w:val="single"/>
          <w:lang w:val="en-US" w:eastAsia="zh-CN"/>
        </w:rPr>
        <w:t>11</w:t>
      </w:r>
      <w:r>
        <w:rPr>
          <w:rFonts w:hint="eastAsia" w:ascii="Calibri" w:hAnsi="Calibri"/>
          <w:color w:val="auto"/>
          <w:highlight w:val="none"/>
        </w:rPr>
        <w:t>月</w:t>
      </w:r>
      <w:r>
        <w:rPr>
          <w:rFonts w:hint="eastAsia" w:ascii="Calibri" w:hAnsi="Calibri"/>
          <w:color w:val="auto"/>
          <w:highlight w:val="none"/>
          <w:u w:val="single"/>
          <w:lang w:val="en-US" w:eastAsia="zh-CN"/>
        </w:rPr>
        <w:t>2</w:t>
      </w:r>
      <w:r>
        <w:rPr>
          <w:rFonts w:hint="eastAsia" w:ascii="Calibri" w:hAnsi="Calibri"/>
          <w:color w:val="auto"/>
          <w:highlight w:val="none"/>
        </w:rPr>
        <w:t>日至202</w:t>
      </w:r>
      <w:r>
        <w:rPr>
          <w:rFonts w:ascii="Calibri" w:hAnsi="Calibri"/>
          <w:color w:val="auto"/>
          <w:highlight w:val="none"/>
        </w:rPr>
        <w:t>1</w:t>
      </w:r>
      <w:r>
        <w:rPr>
          <w:rFonts w:hint="eastAsia" w:ascii="Calibri" w:hAnsi="Calibri"/>
          <w:color w:val="auto"/>
          <w:highlight w:val="none"/>
        </w:rPr>
        <w:t>年</w:t>
      </w:r>
      <w:r>
        <w:rPr>
          <w:rFonts w:hint="eastAsia" w:ascii="Calibri" w:hAnsi="Calibri"/>
          <w:color w:val="auto"/>
          <w:highlight w:val="none"/>
          <w:u w:val="single"/>
          <w:lang w:val="en-US" w:eastAsia="zh-CN"/>
        </w:rPr>
        <w:t>11</w:t>
      </w:r>
      <w:r>
        <w:rPr>
          <w:rFonts w:hint="eastAsia" w:ascii="Calibri" w:hAnsi="Calibri"/>
          <w:color w:val="auto"/>
          <w:highlight w:val="none"/>
        </w:rPr>
        <w:t>月</w:t>
      </w:r>
      <w:r>
        <w:rPr>
          <w:rFonts w:hint="eastAsia" w:ascii="Calibri" w:hAnsi="Calibri"/>
          <w:color w:val="auto"/>
          <w:highlight w:val="none"/>
          <w:u w:val="single"/>
          <w:lang w:val="en-US" w:eastAsia="zh-CN"/>
        </w:rPr>
        <w:t>9</w:t>
      </w:r>
      <w:bookmarkStart w:id="1603" w:name="_GoBack"/>
      <w:bookmarkEnd w:id="1603"/>
      <w:r>
        <w:rPr>
          <w:rFonts w:hint="eastAsia" w:ascii="Calibri" w:hAnsi="Calibri"/>
          <w:color w:val="auto"/>
          <w:highlight w:val="none"/>
        </w:rPr>
        <w:t>日，潜在投标人可以登陆广西壮族自治区公共资源交易中心网站（网址：http://gxggzy.gxzf.gov.cn），按网站规定的流程下载招标文件。</w:t>
      </w:r>
    </w:p>
    <w:p>
      <w:pPr>
        <w:spacing w:line="360" w:lineRule="auto"/>
        <w:ind w:firstLine="420" w:firstLineChars="200"/>
        <w:rPr>
          <w:color w:val="auto"/>
          <w:highlight w:val="none"/>
        </w:rPr>
      </w:pPr>
      <w:r>
        <w:rPr>
          <w:rFonts w:hint="eastAsia" w:ascii="Calibri" w:hAnsi="Calibri"/>
          <w:color w:val="auto"/>
          <w:highlight w:val="none"/>
        </w:rPr>
        <w:t>4.2 本项目有图纸或其他技术资料。由各投标人登陆广西壮族自治区公共资源交易中心网站免费下载（网址：http://gxggzy.gxzf.gov.cn），操作流程与下载招标文件相同。</w:t>
      </w:r>
    </w:p>
    <w:p>
      <w:pPr>
        <w:pStyle w:val="4"/>
        <w:rPr>
          <w:color w:val="auto"/>
          <w:highlight w:val="none"/>
        </w:rPr>
      </w:pPr>
      <w:bookmarkStart w:id="23" w:name="_Toc9522"/>
      <w:bookmarkStart w:id="24" w:name="_Toc66186293"/>
      <w:r>
        <w:rPr>
          <w:color w:val="auto"/>
          <w:highlight w:val="none"/>
        </w:rPr>
        <w:t xml:space="preserve">5. </w:t>
      </w:r>
      <w:r>
        <w:rPr>
          <w:rFonts w:hint="eastAsia" w:cs="黑体"/>
          <w:color w:val="auto"/>
          <w:highlight w:val="none"/>
        </w:rPr>
        <w:t>投标文件的递交</w:t>
      </w:r>
      <w:bookmarkEnd w:id="21"/>
      <w:bookmarkEnd w:id="22"/>
      <w:bookmarkEnd w:id="23"/>
      <w:bookmarkEnd w:id="24"/>
    </w:p>
    <w:p>
      <w:pPr>
        <w:spacing w:line="360" w:lineRule="auto"/>
        <w:ind w:firstLine="420" w:firstLineChars="200"/>
        <w:rPr>
          <w:rFonts w:hint="eastAsia" w:ascii="Calibri" w:hAnsi="Calibri"/>
          <w:color w:val="auto"/>
          <w:highlight w:val="none"/>
        </w:rPr>
      </w:pPr>
      <w:bookmarkStart w:id="25" w:name="_Toc389065128"/>
      <w:bookmarkStart w:id="26" w:name="_Toc407135055"/>
      <w:bookmarkStart w:id="27" w:name="_Toc66186294"/>
      <w:bookmarkStart w:id="28" w:name="_Toc12845"/>
      <w:r>
        <w:rPr>
          <w:rFonts w:hint="eastAsia" w:ascii="Calibri" w:hAnsi="Calibri"/>
          <w:color w:val="auto"/>
          <w:highlight w:val="none"/>
        </w:rPr>
        <w:t>5.1投标文件递交的截止时间（投标截止时间，下同）为</w:t>
      </w:r>
    </w:p>
    <w:p>
      <w:pPr>
        <w:spacing w:line="360" w:lineRule="auto"/>
        <w:ind w:firstLine="420" w:firstLineChars="200"/>
        <w:rPr>
          <w:rFonts w:hint="eastAsia" w:ascii="Calibri" w:hAnsi="Calibri"/>
          <w:color w:val="auto"/>
          <w:highlight w:val="none"/>
        </w:rPr>
      </w:pPr>
    </w:p>
    <w:p>
      <w:pPr>
        <w:spacing w:line="360" w:lineRule="auto"/>
        <w:ind w:firstLine="420" w:firstLineChars="200"/>
        <w:rPr>
          <w:rFonts w:hint="eastAsia" w:ascii="Calibri" w:hAnsi="Calibri"/>
          <w:color w:val="auto"/>
          <w:highlight w:val="none"/>
        </w:rPr>
      </w:pPr>
      <w:r>
        <w:rPr>
          <w:rFonts w:hint="eastAsia" w:ascii="Calibri" w:hAnsi="Calibri"/>
          <w:color w:val="auto"/>
          <w:highlight w:val="none"/>
        </w:rPr>
        <w:t>2021-11-</w:t>
      </w:r>
      <w:r>
        <w:rPr>
          <w:rFonts w:hint="eastAsia" w:ascii="Calibri" w:hAnsi="Calibri"/>
          <w:color w:val="auto"/>
          <w:highlight w:val="none"/>
          <w:lang w:val="en-US" w:eastAsia="zh-CN"/>
        </w:rPr>
        <w:t>24</w:t>
      </w:r>
      <w:r>
        <w:rPr>
          <w:rFonts w:hint="eastAsia" w:ascii="Calibri" w:hAnsi="Calibri"/>
          <w:color w:val="auto"/>
          <w:highlight w:val="none"/>
        </w:rPr>
        <w:t xml:space="preserve"> 1</w:t>
      </w:r>
      <w:r>
        <w:rPr>
          <w:rFonts w:hint="eastAsia" w:ascii="Calibri" w:hAnsi="Calibri"/>
          <w:color w:val="auto"/>
          <w:highlight w:val="none"/>
          <w:lang w:val="en-US" w:eastAsia="zh-CN"/>
        </w:rPr>
        <w:t>1</w:t>
      </w:r>
      <w:r>
        <w:rPr>
          <w:rFonts w:hint="eastAsia" w:ascii="Calibri" w:hAnsi="Calibri"/>
          <w:color w:val="auto"/>
          <w:highlight w:val="none"/>
        </w:rPr>
        <w:t>:00:00</w:t>
      </w:r>
    </w:p>
    <w:p>
      <w:pPr>
        <w:spacing w:line="360" w:lineRule="auto"/>
        <w:ind w:firstLine="420" w:firstLineChars="200"/>
        <w:rPr>
          <w:rFonts w:hint="eastAsia" w:ascii="Calibri" w:hAnsi="Calibri"/>
          <w:color w:val="auto"/>
          <w:highlight w:val="none"/>
        </w:rPr>
      </w:pPr>
      <w:r>
        <w:rPr>
          <w:rFonts w:hint="eastAsia" w:ascii="Calibri" w:hAnsi="Calibri"/>
          <w:color w:val="auto"/>
          <w:highlight w:val="none"/>
        </w:rPr>
        <w:t>地点为广西壮族自治区公共资源交易中心（广西南宁市青秀区怡宾路6号自治区政务服务中心4楼）。</w:t>
      </w:r>
    </w:p>
    <w:p>
      <w:pPr>
        <w:spacing w:line="360" w:lineRule="auto"/>
        <w:ind w:firstLine="420" w:firstLineChars="200"/>
        <w:rPr>
          <w:rFonts w:hint="eastAsia" w:ascii="Calibri" w:hAnsi="Calibri"/>
          <w:color w:val="auto"/>
          <w:highlight w:val="none"/>
        </w:rPr>
      </w:pPr>
      <w:r>
        <w:rPr>
          <w:rFonts w:hint="eastAsia" w:ascii="Calibri" w:hAnsi="Calibri"/>
          <w:color w:val="auto"/>
          <w:highlight w:val="none"/>
        </w:rPr>
        <w:t>5.2 逾期送达的或者未送达指定地点的投标文件，招标人不予受理。</w:t>
      </w:r>
    </w:p>
    <w:p>
      <w:pPr>
        <w:spacing w:line="360" w:lineRule="auto"/>
        <w:ind w:firstLine="420" w:firstLineChars="200"/>
        <w:rPr>
          <w:rFonts w:hint="eastAsia" w:ascii="Calibri" w:hAnsi="Calibri"/>
          <w:color w:val="auto"/>
          <w:highlight w:val="none"/>
        </w:rPr>
      </w:pPr>
      <w:r>
        <w:rPr>
          <w:rFonts w:hint="eastAsia" w:ascii="Calibri" w:hAnsi="Calibri"/>
          <w:color w:val="auto"/>
          <w:highlight w:val="none"/>
        </w:rPr>
        <w:t>5.3投标文件必须由企业法定代表人或其授权的专职投标员本人递交。</w:t>
      </w:r>
    </w:p>
    <w:p>
      <w:pPr>
        <w:pStyle w:val="4"/>
        <w:rPr>
          <w:color w:val="auto"/>
          <w:highlight w:val="none"/>
        </w:rPr>
      </w:pPr>
      <w:r>
        <w:rPr>
          <w:color w:val="auto"/>
          <w:highlight w:val="none"/>
        </w:rPr>
        <w:t xml:space="preserve">6. </w:t>
      </w:r>
      <w:r>
        <w:rPr>
          <w:rFonts w:hint="eastAsia" w:cs="黑体"/>
          <w:color w:val="auto"/>
          <w:highlight w:val="none"/>
        </w:rPr>
        <w:t>评标方式</w:t>
      </w:r>
      <w:bookmarkEnd w:id="25"/>
      <w:bookmarkEnd w:id="26"/>
      <w:bookmarkEnd w:id="27"/>
      <w:bookmarkEnd w:id="28"/>
    </w:p>
    <w:p>
      <w:pPr>
        <w:spacing w:line="360" w:lineRule="auto"/>
        <w:ind w:firstLine="420" w:firstLineChars="200"/>
        <w:rPr>
          <w:color w:val="auto"/>
          <w:highlight w:val="none"/>
        </w:rPr>
      </w:pPr>
      <w:r>
        <w:rPr>
          <w:rFonts w:hint="eastAsia" w:cs="宋体"/>
          <w:color w:val="auto"/>
          <w:highlight w:val="none"/>
        </w:rPr>
        <w:t>□经评审的合理低价法</w:t>
      </w:r>
      <w:r>
        <w:rPr>
          <w:color w:val="auto"/>
          <w:highlight w:val="none"/>
        </w:rPr>
        <w:t xml:space="preserve">  </w:t>
      </w:r>
      <w:r>
        <w:rPr>
          <w:color w:val="auto"/>
          <w:highlight w:val="none"/>
        </w:rPr>
        <w:sym w:font="Wingdings 2" w:char="F052"/>
      </w:r>
      <w:r>
        <w:rPr>
          <w:rFonts w:hint="eastAsia" w:cs="宋体"/>
          <w:color w:val="auto"/>
          <w:highlight w:val="none"/>
        </w:rPr>
        <w:t>综合评估法</w:t>
      </w:r>
    </w:p>
    <w:p>
      <w:pPr>
        <w:pStyle w:val="4"/>
        <w:rPr>
          <w:color w:val="auto"/>
          <w:highlight w:val="none"/>
        </w:rPr>
      </w:pPr>
      <w:bookmarkStart w:id="29" w:name="_Toc953"/>
      <w:bookmarkStart w:id="30" w:name="_Toc407135056"/>
      <w:bookmarkStart w:id="31" w:name="_Toc66186295"/>
      <w:bookmarkStart w:id="32" w:name="_Toc389065129"/>
      <w:r>
        <w:rPr>
          <w:color w:val="auto"/>
          <w:highlight w:val="none"/>
        </w:rPr>
        <w:t xml:space="preserve">7. </w:t>
      </w:r>
      <w:r>
        <w:rPr>
          <w:rFonts w:hint="eastAsia" w:cs="黑体"/>
          <w:color w:val="auto"/>
          <w:highlight w:val="none"/>
        </w:rPr>
        <w:t>预付款和进度款支付方式【备注：该项为可选项】</w:t>
      </w:r>
      <w:bookmarkEnd w:id="29"/>
    </w:p>
    <w:p>
      <w:pPr>
        <w:spacing w:line="360" w:lineRule="auto"/>
        <w:ind w:firstLine="420" w:firstLineChars="200"/>
        <w:rPr>
          <w:color w:val="auto"/>
          <w:highlight w:val="none"/>
          <w:u w:val="single"/>
        </w:rPr>
      </w:pPr>
      <w:r>
        <w:rPr>
          <w:rFonts w:hint="eastAsia" w:cs="宋体"/>
          <w:color w:val="auto"/>
          <w:highlight w:val="none"/>
        </w:rPr>
        <w:t>预付款支付比例或金额：</w:t>
      </w:r>
      <w:r>
        <w:rPr>
          <w:rFonts w:hint="eastAsia" w:cs="宋体"/>
          <w:color w:val="auto"/>
          <w:highlight w:val="none"/>
          <w:u w:val="single"/>
        </w:rPr>
        <w:t>合同签订后10个工作日内，发包人支付合同总价的 30 % 。</w:t>
      </w:r>
    </w:p>
    <w:p>
      <w:pPr>
        <w:spacing w:line="360" w:lineRule="auto"/>
        <w:ind w:firstLine="420" w:firstLineChars="200"/>
        <w:rPr>
          <w:color w:val="auto"/>
          <w:highlight w:val="none"/>
        </w:rPr>
      </w:pPr>
      <w:r>
        <w:rPr>
          <w:rFonts w:hint="eastAsia" w:cs="宋体"/>
          <w:color w:val="auto"/>
          <w:highlight w:val="none"/>
        </w:rPr>
        <w:t>进度款支付方式：工程款（进度款）支付按工程进度支付，合同内工程进度款按审核后已完成工程量的80%支付工程款，工程变更增加部分按审核后工程量的60%支付，预付款在累计完成金额达到合同总价80%后，一次性抵扣。</w:t>
      </w:r>
    </w:p>
    <w:p>
      <w:pPr>
        <w:pStyle w:val="4"/>
        <w:rPr>
          <w:color w:val="auto"/>
          <w:highlight w:val="none"/>
          <w:lang w:val="en-US"/>
        </w:rPr>
      </w:pPr>
      <w:bookmarkStart w:id="33" w:name="_Toc3534"/>
      <w:r>
        <w:rPr>
          <w:rFonts w:hint="eastAsia"/>
          <w:color w:val="auto"/>
          <w:highlight w:val="none"/>
        </w:rPr>
        <w:t>8</w:t>
      </w:r>
      <w:r>
        <w:rPr>
          <w:color w:val="auto"/>
          <w:highlight w:val="none"/>
        </w:rPr>
        <w:t xml:space="preserve">. </w:t>
      </w:r>
      <w:bookmarkEnd w:id="30"/>
      <w:bookmarkEnd w:id="31"/>
      <w:bookmarkEnd w:id="32"/>
      <w:bookmarkStart w:id="34" w:name="_Toc66186296"/>
      <w:bookmarkStart w:id="35" w:name="_Toc389065130"/>
      <w:bookmarkStart w:id="36" w:name="_Toc407135057"/>
      <w:r>
        <w:rPr>
          <w:rFonts w:hint="eastAsia" w:cs="黑体"/>
          <w:color w:val="auto"/>
          <w:highlight w:val="none"/>
        </w:rPr>
        <w:t>发布媒介</w:t>
      </w:r>
      <w:bookmarkEnd w:id="33"/>
      <w:bookmarkEnd w:id="34"/>
      <w:bookmarkEnd w:id="35"/>
      <w:bookmarkEnd w:id="36"/>
    </w:p>
    <w:p>
      <w:pPr>
        <w:spacing w:line="360" w:lineRule="auto"/>
        <w:ind w:firstLine="420" w:firstLineChars="200"/>
        <w:rPr>
          <w:color w:val="auto"/>
          <w:highlight w:val="none"/>
        </w:rPr>
      </w:pPr>
      <w:r>
        <w:rPr>
          <w:rFonts w:hint="eastAsia" w:cs="宋体"/>
          <w:color w:val="auto"/>
          <w:highlight w:val="none"/>
        </w:rPr>
        <w:t>本次招标公告同时在</w:t>
      </w:r>
      <w:r>
        <w:rPr>
          <w:rFonts w:hint="eastAsia" w:cs="宋体"/>
          <w:color w:val="auto"/>
          <w:highlight w:val="none"/>
          <w:u w:val="single"/>
        </w:rPr>
        <w:t>广西壮族自治区招标投标公共服务平台、</w:t>
      </w:r>
      <w:r>
        <w:rPr>
          <w:rFonts w:hint="eastAsia"/>
          <w:color w:val="auto"/>
          <w:highlight w:val="none"/>
          <w:u w:val="single"/>
        </w:rPr>
        <w:t>广西壮族自治区公共资源交易中心</w:t>
      </w:r>
      <w:r>
        <w:rPr>
          <w:rFonts w:hint="eastAsia" w:cs="宋体"/>
          <w:color w:val="auto"/>
          <w:highlight w:val="none"/>
          <w:u w:val="single"/>
        </w:rPr>
        <w:t>网、广西政府采购网、中国政府采购网、广西招标网</w:t>
      </w:r>
      <w:r>
        <w:rPr>
          <w:rFonts w:hint="eastAsia" w:cs="宋体"/>
          <w:color w:val="auto"/>
          <w:highlight w:val="none"/>
        </w:rPr>
        <w:t>上发布。</w:t>
      </w:r>
    </w:p>
    <w:p>
      <w:pPr>
        <w:pStyle w:val="4"/>
        <w:rPr>
          <w:color w:val="auto"/>
          <w:highlight w:val="none"/>
        </w:rPr>
      </w:pPr>
      <w:bookmarkStart w:id="37" w:name="_Toc31439"/>
      <w:bookmarkStart w:id="38" w:name="_Toc407135058"/>
      <w:bookmarkStart w:id="39" w:name="_Toc66186297"/>
      <w:r>
        <w:rPr>
          <w:color w:val="auto"/>
          <w:highlight w:val="none"/>
        </w:rPr>
        <w:t xml:space="preserve">9. </w:t>
      </w:r>
      <w:r>
        <w:rPr>
          <w:rFonts w:hint="eastAsia" w:cs="黑体"/>
          <w:color w:val="auto"/>
          <w:highlight w:val="none"/>
        </w:rPr>
        <w:t>交易服务单位</w:t>
      </w:r>
      <w:bookmarkEnd w:id="37"/>
      <w:bookmarkEnd w:id="38"/>
      <w:bookmarkEnd w:id="39"/>
    </w:p>
    <w:p>
      <w:pPr>
        <w:spacing w:line="360" w:lineRule="auto"/>
        <w:ind w:firstLine="420" w:firstLineChars="200"/>
        <w:rPr>
          <w:color w:val="auto"/>
          <w:highlight w:val="none"/>
        </w:rPr>
      </w:pPr>
      <w:bookmarkStart w:id="40" w:name="_Toc407135059"/>
      <w:r>
        <w:rPr>
          <w:rFonts w:hint="eastAsia"/>
          <w:color w:val="auto"/>
          <w:highlight w:val="none"/>
          <w:u w:val="single"/>
        </w:rPr>
        <w:t>广西壮族自治区公共资源交易中心</w:t>
      </w:r>
    </w:p>
    <w:p>
      <w:pPr>
        <w:pStyle w:val="4"/>
        <w:rPr>
          <w:color w:val="auto"/>
          <w:highlight w:val="none"/>
        </w:rPr>
      </w:pPr>
      <w:bookmarkStart w:id="41" w:name="_Toc66186298"/>
      <w:bookmarkStart w:id="42" w:name="_Toc15296"/>
      <w:r>
        <w:rPr>
          <w:color w:val="auto"/>
          <w:highlight w:val="none"/>
        </w:rPr>
        <w:t xml:space="preserve">10. </w:t>
      </w:r>
      <w:r>
        <w:rPr>
          <w:rFonts w:hint="eastAsia" w:cs="黑体"/>
          <w:color w:val="auto"/>
          <w:highlight w:val="none"/>
        </w:rPr>
        <w:t>监督部门及电话</w:t>
      </w:r>
      <w:bookmarkEnd w:id="40"/>
      <w:bookmarkEnd w:id="41"/>
      <w:bookmarkEnd w:id="42"/>
    </w:p>
    <w:p>
      <w:pPr>
        <w:spacing w:line="360" w:lineRule="auto"/>
        <w:ind w:firstLine="420" w:firstLineChars="200"/>
        <w:rPr>
          <w:color w:val="auto"/>
          <w:highlight w:val="none"/>
          <w:u w:val="single"/>
        </w:rPr>
      </w:pPr>
      <w:r>
        <w:rPr>
          <w:rFonts w:hint="eastAsia"/>
          <w:color w:val="auto"/>
          <w:highlight w:val="none"/>
          <w:u w:val="single"/>
        </w:rPr>
        <w:t>监督部门：广西壮族自治区财政厅政府采购监督管理处</w:t>
      </w:r>
    </w:p>
    <w:p>
      <w:pPr>
        <w:spacing w:line="360" w:lineRule="auto"/>
        <w:ind w:firstLine="420" w:firstLineChars="200"/>
        <w:rPr>
          <w:color w:val="auto"/>
          <w:highlight w:val="none"/>
        </w:rPr>
      </w:pPr>
      <w:r>
        <w:rPr>
          <w:rFonts w:hint="eastAsia"/>
          <w:color w:val="auto"/>
          <w:highlight w:val="none"/>
          <w:u w:val="single"/>
        </w:rPr>
        <w:t>联系电话： 0771-5331544</w:t>
      </w:r>
    </w:p>
    <w:p>
      <w:pPr>
        <w:pStyle w:val="4"/>
        <w:rPr>
          <w:color w:val="auto"/>
          <w:highlight w:val="none"/>
        </w:rPr>
      </w:pPr>
      <w:bookmarkStart w:id="43" w:name="_Toc66186299"/>
      <w:bookmarkStart w:id="44" w:name="_Toc9218"/>
      <w:r>
        <w:rPr>
          <w:color w:val="auto"/>
          <w:highlight w:val="none"/>
        </w:rPr>
        <w:t xml:space="preserve">11. </w:t>
      </w:r>
      <w:r>
        <w:rPr>
          <w:rFonts w:hint="eastAsia" w:cs="黑体"/>
          <w:color w:val="auto"/>
          <w:highlight w:val="none"/>
        </w:rPr>
        <w:t>联系方式</w:t>
      </w:r>
      <w:bookmarkEnd w:id="43"/>
      <w:bookmarkEnd w:id="44"/>
    </w:p>
    <w:p>
      <w:pPr>
        <w:spacing w:line="360" w:lineRule="auto"/>
        <w:ind w:firstLine="420" w:firstLineChars="200"/>
        <w:rPr>
          <w:color w:val="auto"/>
          <w:highlight w:val="none"/>
          <w:u w:val="single"/>
        </w:rPr>
      </w:pPr>
      <w:r>
        <w:rPr>
          <w:rFonts w:hint="eastAsia" w:cs="宋体"/>
          <w:color w:val="auto"/>
          <w:highlight w:val="none"/>
        </w:rPr>
        <w:t>招</w:t>
      </w:r>
      <w:r>
        <w:rPr>
          <w:color w:val="auto"/>
          <w:highlight w:val="none"/>
        </w:rPr>
        <w:t xml:space="preserve"> </w:t>
      </w:r>
      <w:r>
        <w:rPr>
          <w:rFonts w:hint="eastAsia" w:cs="宋体"/>
          <w:color w:val="auto"/>
          <w:highlight w:val="none"/>
        </w:rPr>
        <w:t>标</w:t>
      </w:r>
      <w:r>
        <w:rPr>
          <w:color w:val="auto"/>
          <w:highlight w:val="none"/>
        </w:rPr>
        <w:t xml:space="preserve"> </w:t>
      </w:r>
      <w:r>
        <w:rPr>
          <w:rFonts w:hint="eastAsia" w:cs="宋体"/>
          <w:color w:val="auto"/>
          <w:highlight w:val="none"/>
        </w:rPr>
        <w:t>人：</w:t>
      </w:r>
      <w:r>
        <w:rPr>
          <w:rFonts w:hint="eastAsia"/>
          <w:color w:val="auto"/>
          <w:highlight w:val="none"/>
          <w:u w:val="single"/>
        </w:rPr>
        <w:t>广西医科大学</w:t>
      </w:r>
      <w:r>
        <w:rPr>
          <w:color w:val="auto"/>
          <w:highlight w:val="none"/>
          <w:u w:val="single"/>
        </w:rPr>
        <w:t xml:space="preserve"> </w:t>
      </w:r>
      <w:r>
        <w:rPr>
          <w:color w:val="auto"/>
          <w:highlight w:val="none"/>
        </w:rPr>
        <w:t xml:space="preserve">     </w:t>
      </w:r>
      <w:r>
        <w:rPr>
          <w:rFonts w:hint="eastAsia" w:cs="宋体"/>
          <w:color w:val="auto"/>
          <w:highlight w:val="none"/>
        </w:rPr>
        <w:t>招标代理机构：</w:t>
      </w:r>
      <w:r>
        <w:rPr>
          <w:rFonts w:hint="eastAsia"/>
          <w:color w:val="auto"/>
          <w:highlight w:val="none"/>
          <w:u w:val="single"/>
        </w:rPr>
        <w:t>广西建设工程机电设备招标中心有限公司</w:t>
      </w:r>
    </w:p>
    <w:p>
      <w:pPr>
        <w:spacing w:line="360" w:lineRule="auto"/>
        <w:ind w:left="5460" w:leftChars="200" w:hanging="5040" w:hangingChars="2400"/>
        <w:rPr>
          <w:color w:val="auto"/>
          <w:highlight w:val="none"/>
          <w:u w:val="single"/>
        </w:rPr>
      </w:pPr>
      <w:r>
        <w:rPr>
          <w:rFonts w:hint="eastAsia" w:cs="宋体"/>
          <w:color w:val="auto"/>
          <w:highlight w:val="none"/>
        </w:rPr>
        <w:t>地</w:t>
      </w:r>
      <w:r>
        <w:rPr>
          <w:color w:val="auto"/>
          <w:highlight w:val="none"/>
        </w:rPr>
        <w:t xml:space="preserve">    </w:t>
      </w:r>
      <w:r>
        <w:rPr>
          <w:rFonts w:hint="eastAsia" w:cs="宋体"/>
          <w:color w:val="auto"/>
          <w:highlight w:val="none"/>
        </w:rPr>
        <w:t>址：</w:t>
      </w:r>
      <w:r>
        <w:rPr>
          <w:rFonts w:hint="eastAsia"/>
          <w:color w:val="auto"/>
          <w:highlight w:val="none"/>
          <w:u w:val="single"/>
        </w:rPr>
        <w:t xml:space="preserve">南宁市青秀区双拥路 22号    </w:t>
      </w:r>
      <w:r>
        <w:rPr>
          <w:color w:val="auto"/>
          <w:highlight w:val="none"/>
        </w:rPr>
        <w:t xml:space="preserve">  </w:t>
      </w:r>
      <w:r>
        <w:rPr>
          <w:rFonts w:hint="eastAsia" w:cs="宋体"/>
          <w:color w:val="auto"/>
          <w:highlight w:val="none"/>
        </w:rPr>
        <w:t>地</w:t>
      </w:r>
      <w:r>
        <w:rPr>
          <w:color w:val="auto"/>
          <w:highlight w:val="none"/>
        </w:rPr>
        <w:t xml:space="preserve">    </w:t>
      </w:r>
      <w:r>
        <w:rPr>
          <w:rFonts w:hint="eastAsia" w:cs="宋体"/>
          <w:color w:val="auto"/>
          <w:highlight w:val="none"/>
        </w:rPr>
        <w:t>址：</w:t>
      </w:r>
      <w:r>
        <w:rPr>
          <w:rFonts w:hint="eastAsia"/>
          <w:color w:val="auto"/>
          <w:spacing w:val="4"/>
          <w:highlight w:val="none"/>
          <w:u w:val="single"/>
        </w:rPr>
        <w:t>南宁市纬武路165号</w:t>
      </w:r>
    </w:p>
    <w:p>
      <w:pPr>
        <w:spacing w:line="360" w:lineRule="auto"/>
        <w:ind w:firstLine="420" w:firstLineChars="200"/>
        <w:rPr>
          <w:color w:val="auto"/>
          <w:highlight w:val="none"/>
        </w:rPr>
      </w:pPr>
      <w:r>
        <w:rPr>
          <w:rFonts w:hint="eastAsia" w:cs="宋体"/>
          <w:color w:val="auto"/>
          <w:highlight w:val="none"/>
        </w:rPr>
        <w:t>邮</w:t>
      </w:r>
      <w:r>
        <w:rPr>
          <w:color w:val="auto"/>
          <w:highlight w:val="none"/>
        </w:rPr>
        <w:t xml:space="preserve">    </w:t>
      </w:r>
      <w:r>
        <w:rPr>
          <w:rFonts w:hint="eastAsia" w:cs="宋体"/>
          <w:color w:val="auto"/>
          <w:highlight w:val="none"/>
        </w:rPr>
        <w:t>编：</w:t>
      </w:r>
      <w:r>
        <w:rPr>
          <w:color w:val="auto"/>
          <w:highlight w:val="none"/>
          <w:u w:val="single"/>
        </w:rPr>
        <w:t xml:space="preserve">530000                   </w:t>
      </w:r>
      <w:r>
        <w:rPr>
          <w:color w:val="auto"/>
          <w:highlight w:val="none"/>
        </w:rPr>
        <w:t xml:space="preserve">   </w:t>
      </w:r>
      <w:r>
        <w:rPr>
          <w:rFonts w:hint="eastAsia"/>
          <w:color w:val="auto"/>
          <w:highlight w:val="none"/>
        </w:rPr>
        <w:t xml:space="preserve"> </w:t>
      </w:r>
      <w:r>
        <w:rPr>
          <w:rFonts w:hint="eastAsia" w:cs="宋体"/>
          <w:color w:val="auto"/>
          <w:highlight w:val="none"/>
        </w:rPr>
        <w:t>邮</w:t>
      </w:r>
      <w:r>
        <w:rPr>
          <w:color w:val="auto"/>
          <w:highlight w:val="none"/>
        </w:rPr>
        <w:t xml:space="preserve">    </w:t>
      </w:r>
      <w:r>
        <w:rPr>
          <w:rFonts w:hint="eastAsia" w:cs="宋体"/>
          <w:color w:val="auto"/>
          <w:highlight w:val="none"/>
        </w:rPr>
        <w:t>编：</w:t>
      </w:r>
      <w:r>
        <w:rPr>
          <w:color w:val="auto"/>
          <w:highlight w:val="none"/>
          <w:u w:val="single"/>
        </w:rPr>
        <w:t>5300</w:t>
      </w:r>
      <w:r>
        <w:rPr>
          <w:rFonts w:hint="eastAsia"/>
          <w:color w:val="auto"/>
          <w:highlight w:val="none"/>
          <w:u w:val="single"/>
        </w:rPr>
        <w:t>00</w:t>
      </w:r>
      <w:r>
        <w:rPr>
          <w:color w:val="auto"/>
          <w:highlight w:val="none"/>
          <w:u w:val="single"/>
        </w:rPr>
        <w:t xml:space="preserve">                   </w:t>
      </w:r>
    </w:p>
    <w:p>
      <w:pPr>
        <w:spacing w:line="360" w:lineRule="auto"/>
        <w:ind w:firstLine="420" w:firstLineChars="200"/>
        <w:rPr>
          <w:color w:val="auto"/>
          <w:highlight w:val="none"/>
        </w:rPr>
      </w:pPr>
      <w:r>
        <w:rPr>
          <w:rFonts w:hint="eastAsia" w:cs="宋体"/>
          <w:color w:val="auto"/>
          <w:highlight w:val="none"/>
        </w:rPr>
        <w:t>联</w:t>
      </w:r>
      <w:r>
        <w:rPr>
          <w:color w:val="auto"/>
          <w:highlight w:val="none"/>
        </w:rPr>
        <w:t xml:space="preserve"> </w:t>
      </w:r>
      <w:r>
        <w:rPr>
          <w:rFonts w:hint="eastAsia" w:cs="宋体"/>
          <w:color w:val="auto"/>
          <w:highlight w:val="none"/>
        </w:rPr>
        <w:t>系</w:t>
      </w:r>
      <w:r>
        <w:rPr>
          <w:color w:val="auto"/>
          <w:highlight w:val="none"/>
        </w:rPr>
        <w:t xml:space="preserve"> </w:t>
      </w:r>
      <w:r>
        <w:rPr>
          <w:rFonts w:hint="eastAsia" w:cs="宋体"/>
          <w:color w:val="auto"/>
          <w:highlight w:val="none"/>
        </w:rPr>
        <w:t>人：</w:t>
      </w:r>
      <w:r>
        <w:rPr>
          <w:rFonts w:hint="eastAsia" w:cs="宋体"/>
          <w:color w:val="auto"/>
          <w:highlight w:val="none"/>
          <w:u w:val="single"/>
        </w:rPr>
        <w:t>吴智辉</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color w:val="auto"/>
          <w:highlight w:val="none"/>
        </w:rPr>
        <w:t xml:space="preserve">      </w:t>
      </w:r>
      <w:r>
        <w:rPr>
          <w:rFonts w:hint="eastAsia" w:cs="宋体"/>
          <w:color w:val="auto"/>
          <w:highlight w:val="none"/>
        </w:rPr>
        <w:t>联</w:t>
      </w:r>
      <w:r>
        <w:rPr>
          <w:color w:val="auto"/>
          <w:highlight w:val="none"/>
        </w:rPr>
        <w:t xml:space="preserve"> </w:t>
      </w:r>
      <w:r>
        <w:rPr>
          <w:rFonts w:hint="eastAsia" w:cs="宋体"/>
          <w:color w:val="auto"/>
          <w:highlight w:val="none"/>
        </w:rPr>
        <w:t>系</w:t>
      </w:r>
      <w:r>
        <w:rPr>
          <w:color w:val="auto"/>
          <w:highlight w:val="none"/>
        </w:rPr>
        <w:t xml:space="preserve"> </w:t>
      </w:r>
      <w:r>
        <w:rPr>
          <w:rFonts w:hint="eastAsia" w:cs="宋体"/>
          <w:color w:val="auto"/>
          <w:highlight w:val="none"/>
        </w:rPr>
        <w:t>人：</w:t>
      </w:r>
      <w:r>
        <w:rPr>
          <w:color w:val="auto"/>
          <w:highlight w:val="none"/>
          <w:u w:val="single"/>
        </w:rPr>
        <w:t>吴兴红、</w:t>
      </w:r>
      <w:r>
        <w:rPr>
          <w:rFonts w:hint="eastAsia"/>
          <w:color w:val="auto"/>
          <w:highlight w:val="none"/>
          <w:u w:val="single"/>
        </w:rPr>
        <w:t>周剑</w:t>
      </w:r>
      <w:r>
        <w:rPr>
          <w:color w:val="auto"/>
          <w:highlight w:val="none"/>
          <w:u w:val="single"/>
        </w:rPr>
        <w:t xml:space="preserve">             </w:t>
      </w:r>
    </w:p>
    <w:p>
      <w:pPr>
        <w:spacing w:line="360" w:lineRule="auto"/>
        <w:ind w:firstLine="420" w:firstLineChars="200"/>
        <w:rPr>
          <w:color w:val="auto"/>
          <w:highlight w:val="none"/>
        </w:rPr>
      </w:pPr>
      <w:r>
        <w:rPr>
          <w:rFonts w:hint="eastAsia" w:cs="宋体"/>
          <w:color w:val="auto"/>
          <w:highlight w:val="none"/>
        </w:rPr>
        <w:t>电</w:t>
      </w:r>
      <w:r>
        <w:rPr>
          <w:color w:val="auto"/>
          <w:highlight w:val="none"/>
        </w:rPr>
        <w:t xml:space="preserve">    </w:t>
      </w:r>
      <w:r>
        <w:rPr>
          <w:rFonts w:hint="eastAsia" w:cs="宋体"/>
          <w:color w:val="auto"/>
          <w:highlight w:val="none"/>
        </w:rPr>
        <w:t>话：</w:t>
      </w:r>
      <w:r>
        <w:rPr>
          <w:color w:val="auto"/>
          <w:highlight w:val="none"/>
          <w:u w:val="single"/>
        </w:rPr>
        <w:t xml:space="preserve"> 0771-5330800</w:t>
      </w:r>
      <w:r>
        <w:rPr>
          <w:rFonts w:hint="eastAsia"/>
          <w:color w:val="auto"/>
          <w:highlight w:val="none"/>
          <w:u w:val="single"/>
        </w:rPr>
        <w:t xml:space="preserve">        </w:t>
      </w:r>
      <w:r>
        <w:rPr>
          <w:color w:val="auto"/>
          <w:highlight w:val="none"/>
        </w:rPr>
        <w:t xml:space="preserve">  </w:t>
      </w:r>
      <w:r>
        <w:rPr>
          <w:rFonts w:hint="eastAsia"/>
          <w:color w:val="auto"/>
          <w:highlight w:val="none"/>
        </w:rPr>
        <w:t xml:space="preserve">      </w:t>
      </w:r>
      <w:r>
        <w:rPr>
          <w:rFonts w:hint="eastAsia" w:cs="宋体"/>
          <w:color w:val="auto"/>
          <w:highlight w:val="none"/>
        </w:rPr>
        <w:t>电</w:t>
      </w:r>
      <w:r>
        <w:rPr>
          <w:color w:val="auto"/>
          <w:highlight w:val="none"/>
        </w:rPr>
        <w:t xml:space="preserve">    </w:t>
      </w:r>
      <w:r>
        <w:rPr>
          <w:rFonts w:hint="eastAsia" w:cs="宋体"/>
          <w:color w:val="auto"/>
          <w:highlight w:val="none"/>
        </w:rPr>
        <w:t>话：</w:t>
      </w:r>
      <w:r>
        <w:rPr>
          <w:color w:val="auto"/>
          <w:highlight w:val="none"/>
          <w:u w:val="single"/>
        </w:rPr>
        <w:t>0771-280</w:t>
      </w:r>
      <w:r>
        <w:rPr>
          <w:rFonts w:hint="eastAsia"/>
          <w:color w:val="auto"/>
          <w:highlight w:val="none"/>
          <w:u w:val="single"/>
        </w:rPr>
        <w:t>7659</w:t>
      </w:r>
      <w:r>
        <w:rPr>
          <w:color w:val="auto"/>
          <w:highlight w:val="none"/>
          <w:u w:val="single"/>
        </w:rPr>
        <w:t xml:space="preserve">              </w:t>
      </w:r>
    </w:p>
    <w:p>
      <w:pPr>
        <w:spacing w:line="360" w:lineRule="auto"/>
        <w:ind w:firstLine="420" w:firstLineChars="200"/>
        <w:rPr>
          <w:color w:val="auto"/>
          <w:highlight w:val="none"/>
        </w:rPr>
      </w:pPr>
      <w:r>
        <w:rPr>
          <w:rFonts w:hint="eastAsia" w:cs="宋体"/>
          <w:color w:val="auto"/>
          <w:highlight w:val="none"/>
        </w:rPr>
        <w:t>传</w:t>
      </w:r>
      <w:r>
        <w:rPr>
          <w:color w:val="auto"/>
          <w:highlight w:val="none"/>
        </w:rPr>
        <w:t xml:space="preserve">    </w:t>
      </w:r>
      <w:r>
        <w:rPr>
          <w:rFonts w:hint="eastAsia" w:cs="宋体"/>
          <w:color w:val="auto"/>
          <w:highlight w:val="none"/>
        </w:rPr>
        <w:t>真：</w:t>
      </w:r>
      <w:r>
        <w:rPr>
          <w:color w:val="auto"/>
          <w:highlight w:val="none"/>
          <w:u w:val="single"/>
        </w:rPr>
        <w:t xml:space="preserve">                         </w:t>
      </w:r>
      <w:r>
        <w:rPr>
          <w:color w:val="auto"/>
          <w:highlight w:val="none"/>
        </w:rPr>
        <w:t xml:space="preserve">   </w:t>
      </w:r>
      <w:r>
        <w:rPr>
          <w:rFonts w:hint="eastAsia" w:cs="宋体"/>
          <w:color w:val="auto"/>
          <w:highlight w:val="none"/>
        </w:rPr>
        <w:t>传</w:t>
      </w:r>
      <w:r>
        <w:rPr>
          <w:color w:val="auto"/>
          <w:highlight w:val="none"/>
        </w:rPr>
        <w:t xml:space="preserve">    </w:t>
      </w:r>
      <w:r>
        <w:rPr>
          <w:rFonts w:hint="eastAsia" w:cs="宋体"/>
          <w:color w:val="auto"/>
          <w:highlight w:val="none"/>
        </w:rPr>
        <w:t>真：</w:t>
      </w:r>
      <w:r>
        <w:rPr>
          <w:color w:val="auto"/>
          <w:highlight w:val="none"/>
          <w:u w:val="single"/>
        </w:rPr>
        <w:t xml:space="preserve">                           </w:t>
      </w:r>
    </w:p>
    <w:p>
      <w:pPr>
        <w:spacing w:line="360" w:lineRule="auto"/>
        <w:ind w:firstLine="420" w:firstLineChars="200"/>
        <w:rPr>
          <w:color w:val="auto"/>
          <w:highlight w:val="none"/>
          <w:u w:val="single"/>
        </w:rPr>
      </w:pPr>
      <w:r>
        <w:rPr>
          <w:rFonts w:hint="eastAsia" w:cs="宋体"/>
          <w:color w:val="auto"/>
          <w:highlight w:val="none"/>
        </w:rPr>
        <w:t>电子邮箱：</w:t>
      </w:r>
      <w:r>
        <w:rPr>
          <w:color w:val="auto"/>
          <w:highlight w:val="none"/>
          <w:u w:val="single"/>
        </w:rPr>
        <w:t xml:space="preserve">                         </w:t>
      </w:r>
      <w:r>
        <w:rPr>
          <w:color w:val="auto"/>
          <w:highlight w:val="none"/>
        </w:rPr>
        <w:t xml:space="preserve">   </w:t>
      </w:r>
      <w:r>
        <w:rPr>
          <w:rFonts w:hint="eastAsia" w:cs="宋体"/>
          <w:color w:val="auto"/>
          <w:highlight w:val="none"/>
        </w:rPr>
        <w:t>电子邮箱：</w:t>
      </w:r>
      <w:r>
        <w:rPr>
          <w:rFonts w:hint="eastAsia" w:cs="宋体"/>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p>
    <w:p>
      <w:pPr>
        <w:spacing w:line="360" w:lineRule="auto"/>
        <w:ind w:right="420"/>
        <w:jc w:val="right"/>
        <w:rPr>
          <w:color w:val="auto"/>
          <w:highlight w:val="none"/>
          <w:u w:val="single"/>
        </w:rPr>
      </w:pPr>
    </w:p>
    <w:p>
      <w:pPr>
        <w:spacing w:line="360" w:lineRule="auto"/>
        <w:ind w:right="420"/>
        <w:jc w:val="right"/>
        <w:rPr>
          <w:color w:val="auto"/>
          <w:highlight w:val="none"/>
        </w:rPr>
      </w:pPr>
      <w:r>
        <w:rPr>
          <w:color w:val="auto"/>
          <w:highlight w:val="none"/>
          <w:u w:val="single"/>
        </w:rPr>
        <w:t>2021</w:t>
      </w:r>
      <w:r>
        <w:rPr>
          <w:rFonts w:hint="eastAsia" w:cs="宋体"/>
          <w:color w:val="auto"/>
          <w:highlight w:val="none"/>
        </w:rPr>
        <w:t>年</w:t>
      </w:r>
      <w:r>
        <w:rPr>
          <w:rFonts w:hint="eastAsia"/>
          <w:color w:val="auto"/>
          <w:highlight w:val="none"/>
          <w:u w:val="single"/>
          <w:lang w:val="en-US" w:eastAsia="zh-CN"/>
        </w:rPr>
        <w:t>11</w:t>
      </w:r>
      <w:r>
        <w:rPr>
          <w:rFonts w:hint="eastAsia" w:cs="宋体"/>
          <w:color w:val="auto"/>
          <w:highlight w:val="none"/>
        </w:rPr>
        <w:t>月</w:t>
      </w:r>
      <w:r>
        <w:rPr>
          <w:rFonts w:hint="eastAsia"/>
          <w:color w:val="auto"/>
          <w:highlight w:val="none"/>
          <w:u w:val="single"/>
          <w:lang w:val="en-US" w:eastAsia="zh-CN"/>
        </w:rPr>
        <w:t>2</w:t>
      </w:r>
      <w:r>
        <w:rPr>
          <w:rFonts w:hint="eastAsia" w:cs="宋体"/>
          <w:color w:val="auto"/>
          <w:highlight w:val="none"/>
        </w:rPr>
        <w:t>日</w:t>
      </w:r>
    </w:p>
    <w:p>
      <w:pPr>
        <w:spacing w:line="360" w:lineRule="auto"/>
        <w:ind w:right="840"/>
        <w:rPr>
          <w:color w:val="auto"/>
          <w:highlight w:val="none"/>
        </w:rPr>
      </w:pPr>
    </w:p>
    <w:p>
      <w:pPr>
        <w:spacing w:line="360" w:lineRule="auto"/>
        <w:rPr>
          <w:color w:val="auto"/>
          <w:highlight w:val="none"/>
        </w:rPr>
        <w:sectPr>
          <w:footerReference r:id="rId4" w:type="default"/>
          <w:pgSz w:w="11906" w:h="16838"/>
          <w:pgMar w:top="1440" w:right="1440" w:bottom="1440" w:left="1797" w:header="851" w:footer="851" w:gutter="0"/>
          <w:pgNumType w:start="1"/>
          <w:cols w:space="720" w:num="1"/>
          <w:docGrid w:linePitch="312" w:charSpace="0"/>
        </w:sectPr>
      </w:pPr>
    </w:p>
    <w:p>
      <w:pPr>
        <w:pStyle w:val="3"/>
        <w:jc w:val="center"/>
        <w:rPr>
          <w:color w:val="auto"/>
          <w:highlight w:val="none"/>
        </w:rPr>
      </w:pPr>
      <w:bookmarkStart w:id="45" w:name="_Toc24880"/>
      <w:bookmarkStart w:id="46" w:name="_Toc66186300"/>
      <w:bookmarkStart w:id="47" w:name="_Toc389065143"/>
      <w:bookmarkStart w:id="48" w:name="_Toc407135075"/>
      <w:r>
        <w:rPr>
          <w:rFonts w:hint="eastAsia" w:cs="黑体"/>
          <w:color w:val="auto"/>
          <w:highlight w:val="none"/>
        </w:rPr>
        <w:t>第二章</w:t>
      </w:r>
      <w:r>
        <w:rPr>
          <w:color w:val="auto"/>
          <w:highlight w:val="none"/>
        </w:rPr>
        <w:t xml:space="preserve">  </w:t>
      </w:r>
      <w:r>
        <w:rPr>
          <w:rFonts w:hint="eastAsia" w:cs="黑体"/>
          <w:color w:val="auto"/>
          <w:highlight w:val="none"/>
        </w:rPr>
        <w:t>投标人须知</w:t>
      </w:r>
      <w:bookmarkEnd w:id="45"/>
      <w:bookmarkEnd w:id="46"/>
    </w:p>
    <w:p>
      <w:pPr>
        <w:pStyle w:val="3"/>
        <w:jc w:val="center"/>
        <w:rPr>
          <w:color w:val="auto"/>
          <w:sz w:val="32"/>
          <w:szCs w:val="32"/>
          <w:highlight w:val="none"/>
        </w:rPr>
      </w:pPr>
      <w:bookmarkStart w:id="49" w:name="_Toc66186301"/>
      <w:bookmarkStart w:id="50" w:name="_Toc8761"/>
      <w:r>
        <w:rPr>
          <w:rFonts w:hint="eastAsia" w:cs="黑体"/>
          <w:color w:val="auto"/>
          <w:sz w:val="32"/>
          <w:szCs w:val="32"/>
          <w:highlight w:val="none"/>
        </w:rPr>
        <w:t>投标人须知前附表</w:t>
      </w:r>
      <w:bookmarkEnd w:id="47"/>
      <w:bookmarkEnd w:id="48"/>
      <w:bookmarkEnd w:id="49"/>
      <w:bookmarkEnd w:id="50"/>
    </w:p>
    <w:tbl>
      <w:tblPr>
        <w:tblStyle w:val="42"/>
        <w:tblW w:w="89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11"/>
        <w:gridCol w:w="2933"/>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blHeader/>
          <w:jc w:val="center"/>
        </w:trPr>
        <w:tc>
          <w:tcPr>
            <w:tcW w:w="1207" w:type="dxa"/>
            <w:gridSpan w:val="2"/>
            <w:shd w:val="clear" w:color="auto" w:fill="E6E6E6"/>
            <w:vAlign w:val="center"/>
          </w:tcPr>
          <w:p>
            <w:pPr>
              <w:spacing w:line="360" w:lineRule="auto"/>
              <w:jc w:val="center"/>
              <w:rPr>
                <w:b/>
                <w:color w:val="auto"/>
                <w:highlight w:val="none"/>
              </w:rPr>
            </w:pPr>
            <w:r>
              <w:rPr>
                <w:rFonts w:hint="eastAsia" w:cs="宋体"/>
                <w:b/>
                <w:color w:val="auto"/>
                <w:highlight w:val="none"/>
              </w:rPr>
              <w:t>条款号</w:t>
            </w:r>
          </w:p>
        </w:tc>
        <w:tc>
          <w:tcPr>
            <w:tcW w:w="2933" w:type="dxa"/>
            <w:shd w:val="clear" w:color="auto" w:fill="E6E6E6"/>
            <w:vAlign w:val="center"/>
          </w:tcPr>
          <w:p>
            <w:pPr>
              <w:spacing w:line="360" w:lineRule="auto"/>
              <w:jc w:val="center"/>
              <w:rPr>
                <w:b/>
                <w:color w:val="auto"/>
                <w:highlight w:val="none"/>
              </w:rPr>
            </w:pPr>
            <w:r>
              <w:rPr>
                <w:rFonts w:hint="eastAsia" w:cs="宋体"/>
                <w:b/>
                <w:color w:val="auto"/>
                <w:highlight w:val="none"/>
              </w:rPr>
              <w:t>条</w:t>
            </w:r>
            <w:r>
              <w:rPr>
                <w:b/>
                <w:color w:val="auto"/>
                <w:highlight w:val="none"/>
              </w:rPr>
              <w:t xml:space="preserve">  </w:t>
            </w:r>
            <w:r>
              <w:rPr>
                <w:rFonts w:hint="eastAsia" w:cs="宋体"/>
                <w:b/>
                <w:color w:val="auto"/>
                <w:highlight w:val="none"/>
              </w:rPr>
              <w:t>款</w:t>
            </w:r>
            <w:r>
              <w:rPr>
                <w:b/>
                <w:color w:val="auto"/>
                <w:highlight w:val="none"/>
              </w:rPr>
              <w:t xml:space="preserve">  </w:t>
            </w:r>
            <w:r>
              <w:rPr>
                <w:rFonts w:hint="eastAsia" w:cs="宋体"/>
                <w:b/>
                <w:color w:val="auto"/>
                <w:highlight w:val="none"/>
              </w:rPr>
              <w:t>名</w:t>
            </w:r>
            <w:r>
              <w:rPr>
                <w:b/>
                <w:color w:val="auto"/>
                <w:highlight w:val="none"/>
              </w:rPr>
              <w:t xml:space="preserve">  </w:t>
            </w:r>
            <w:r>
              <w:rPr>
                <w:rFonts w:hint="eastAsia" w:cs="宋体"/>
                <w:b/>
                <w:color w:val="auto"/>
                <w:highlight w:val="none"/>
              </w:rPr>
              <w:t>称</w:t>
            </w:r>
          </w:p>
        </w:tc>
        <w:tc>
          <w:tcPr>
            <w:tcW w:w="4820" w:type="dxa"/>
            <w:shd w:val="clear" w:color="auto" w:fill="E6E6E6"/>
            <w:vAlign w:val="center"/>
          </w:tcPr>
          <w:p>
            <w:pPr>
              <w:spacing w:line="360" w:lineRule="auto"/>
              <w:jc w:val="center"/>
              <w:rPr>
                <w:b/>
                <w:color w:val="auto"/>
                <w:highlight w:val="none"/>
              </w:rPr>
            </w:pPr>
            <w:r>
              <w:rPr>
                <w:rFonts w:hint="eastAsia" w:cs="宋体"/>
                <w:b/>
                <w:color w:val="auto"/>
                <w:highlight w:val="none"/>
              </w:rPr>
              <w:t>编</w:t>
            </w:r>
            <w:r>
              <w:rPr>
                <w:b/>
                <w:color w:val="auto"/>
                <w:highlight w:val="none"/>
              </w:rPr>
              <w:t xml:space="preserve">  </w:t>
            </w:r>
            <w:r>
              <w:rPr>
                <w:rFonts w:hint="eastAsia" w:cs="宋体"/>
                <w:b/>
                <w:color w:val="auto"/>
                <w:highlight w:val="none"/>
              </w:rPr>
              <w:t>列</w:t>
            </w:r>
            <w:r>
              <w:rPr>
                <w:b/>
                <w:color w:val="auto"/>
                <w:highlight w:val="none"/>
              </w:rPr>
              <w:t xml:space="preserve">  </w:t>
            </w:r>
            <w:r>
              <w:rPr>
                <w:rFonts w:hint="eastAsia" w:cs="宋体"/>
                <w:b/>
                <w:color w:val="auto"/>
                <w:highlight w:val="none"/>
              </w:rPr>
              <w:t>内</w:t>
            </w:r>
            <w:r>
              <w:rPr>
                <w:b/>
                <w:color w:val="auto"/>
                <w:highlight w:val="none"/>
              </w:rPr>
              <w:t xml:space="preserve">  </w:t>
            </w:r>
            <w:r>
              <w:rPr>
                <w:rFonts w:hint="eastAsia" w:cs="宋体"/>
                <w:b/>
                <w:color w:val="auto"/>
                <w:highlight w:val="none"/>
              </w:rPr>
              <w:t>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91" w:hRule="atLeast"/>
          <w:jc w:val="center"/>
        </w:trPr>
        <w:tc>
          <w:tcPr>
            <w:tcW w:w="1207" w:type="dxa"/>
            <w:gridSpan w:val="2"/>
            <w:shd w:val="clear" w:color="auto" w:fill="auto"/>
            <w:vAlign w:val="center"/>
          </w:tcPr>
          <w:p>
            <w:pPr>
              <w:spacing w:line="360" w:lineRule="auto"/>
              <w:jc w:val="center"/>
              <w:rPr>
                <w:color w:val="auto"/>
                <w:highlight w:val="none"/>
              </w:rPr>
            </w:pPr>
            <w:r>
              <w:rPr>
                <w:color w:val="auto"/>
                <w:highlight w:val="none"/>
              </w:rPr>
              <w:t>1.1.2</w:t>
            </w:r>
          </w:p>
        </w:tc>
        <w:tc>
          <w:tcPr>
            <w:tcW w:w="2933" w:type="dxa"/>
            <w:shd w:val="clear" w:color="auto" w:fill="auto"/>
            <w:vAlign w:val="center"/>
          </w:tcPr>
          <w:p>
            <w:pPr>
              <w:spacing w:line="360" w:lineRule="auto"/>
              <w:rPr>
                <w:color w:val="auto"/>
                <w:highlight w:val="none"/>
              </w:rPr>
            </w:pPr>
            <w:r>
              <w:rPr>
                <w:rFonts w:hint="eastAsia" w:cs="宋体"/>
                <w:color w:val="auto"/>
                <w:highlight w:val="none"/>
              </w:rPr>
              <w:t>招标人</w:t>
            </w:r>
          </w:p>
        </w:tc>
        <w:tc>
          <w:tcPr>
            <w:tcW w:w="4820" w:type="dxa"/>
            <w:shd w:val="clear" w:color="auto" w:fill="auto"/>
            <w:vAlign w:val="center"/>
          </w:tcPr>
          <w:p>
            <w:pPr>
              <w:spacing w:line="360" w:lineRule="auto"/>
              <w:rPr>
                <w:rFonts w:cs="宋体"/>
                <w:color w:val="auto"/>
                <w:highlight w:val="none"/>
              </w:rPr>
            </w:pPr>
            <w:r>
              <w:rPr>
                <w:rFonts w:hint="eastAsia" w:cs="宋体"/>
                <w:color w:val="auto"/>
                <w:highlight w:val="none"/>
              </w:rPr>
              <w:t>名称：广西医科大学</w:t>
            </w:r>
          </w:p>
          <w:p>
            <w:pPr>
              <w:spacing w:line="360" w:lineRule="auto"/>
              <w:rPr>
                <w:rFonts w:cs="宋体"/>
                <w:color w:val="auto"/>
                <w:highlight w:val="none"/>
              </w:rPr>
            </w:pPr>
            <w:r>
              <w:rPr>
                <w:rFonts w:hint="eastAsia" w:cs="宋体"/>
                <w:color w:val="auto"/>
                <w:highlight w:val="none"/>
              </w:rPr>
              <w:t>地址：南宁市青秀区双拥路 22号</w:t>
            </w:r>
          </w:p>
          <w:p>
            <w:pPr>
              <w:spacing w:line="360" w:lineRule="auto"/>
              <w:rPr>
                <w:rFonts w:cs="宋体"/>
                <w:color w:val="auto"/>
                <w:highlight w:val="none"/>
              </w:rPr>
            </w:pPr>
            <w:r>
              <w:rPr>
                <w:rFonts w:hint="eastAsia" w:cs="宋体"/>
                <w:color w:val="auto"/>
                <w:highlight w:val="none"/>
              </w:rPr>
              <w:t>联系人：吴智辉</w:t>
            </w:r>
          </w:p>
          <w:p>
            <w:pPr>
              <w:spacing w:line="360" w:lineRule="auto"/>
              <w:rPr>
                <w:color w:val="auto"/>
                <w:highlight w:val="none"/>
              </w:rPr>
            </w:pPr>
            <w:r>
              <w:rPr>
                <w:rFonts w:hint="eastAsia" w:cs="宋体"/>
                <w:color w:val="auto"/>
                <w:highlight w:val="none"/>
              </w:rPr>
              <w:t xml:space="preserve">电话： </w:t>
            </w:r>
            <w:r>
              <w:rPr>
                <w:rFonts w:cs="宋体"/>
                <w:color w:val="auto"/>
                <w:highlight w:val="none"/>
              </w:rPr>
              <w:t>0771</w:t>
            </w:r>
            <w:r>
              <w:rPr>
                <w:rFonts w:hint="eastAsia" w:cs="宋体"/>
                <w:color w:val="auto"/>
                <w:highlight w:val="none"/>
              </w:rPr>
              <w:t>-</w:t>
            </w:r>
            <w:r>
              <w:rPr>
                <w:rFonts w:cs="宋体"/>
                <w:color w:val="auto"/>
                <w:highlight w:val="none"/>
              </w:rPr>
              <w:t>5330800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0" w:hRule="atLeast"/>
          <w:jc w:val="center"/>
        </w:trPr>
        <w:tc>
          <w:tcPr>
            <w:tcW w:w="1207" w:type="dxa"/>
            <w:gridSpan w:val="2"/>
            <w:shd w:val="clear" w:color="auto" w:fill="auto"/>
            <w:vAlign w:val="center"/>
          </w:tcPr>
          <w:p>
            <w:pPr>
              <w:spacing w:line="360" w:lineRule="auto"/>
              <w:jc w:val="center"/>
              <w:rPr>
                <w:color w:val="auto"/>
                <w:highlight w:val="none"/>
              </w:rPr>
            </w:pPr>
            <w:r>
              <w:rPr>
                <w:color w:val="auto"/>
                <w:highlight w:val="none"/>
              </w:rPr>
              <w:t>1.1.3</w:t>
            </w:r>
          </w:p>
        </w:tc>
        <w:tc>
          <w:tcPr>
            <w:tcW w:w="2933" w:type="dxa"/>
            <w:shd w:val="clear" w:color="auto" w:fill="auto"/>
            <w:vAlign w:val="center"/>
          </w:tcPr>
          <w:p>
            <w:pPr>
              <w:spacing w:line="360" w:lineRule="auto"/>
              <w:rPr>
                <w:color w:val="auto"/>
                <w:highlight w:val="none"/>
              </w:rPr>
            </w:pPr>
            <w:r>
              <w:rPr>
                <w:rFonts w:hint="eastAsia" w:cs="宋体"/>
                <w:color w:val="auto"/>
                <w:highlight w:val="none"/>
              </w:rPr>
              <w:t>招标代理机构</w:t>
            </w:r>
          </w:p>
        </w:tc>
        <w:tc>
          <w:tcPr>
            <w:tcW w:w="4820" w:type="dxa"/>
            <w:shd w:val="clear" w:color="auto" w:fill="auto"/>
            <w:vAlign w:val="center"/>
          </w:tcPr>
          <w:p>
            <w:pPr>
              <w:spacing w:line="360" w:lineRule="auto"/>
              <w:rPr>
                <w:color w:val="auto"/>
                <w:highlight w:val="none"/>
              </w:rPr>
            </w:pPr>
            <w:r>
              <w:rPr>
                <w:rFonts w:hint="eastAsia" w:cs="宋体"/>
                <w:color w:val="auto"/>
                <w:highlight w:val="none"/>
              </w:rPr>
              <w:t>名称：广西建设工程机电设备招标中心有限公司</w:t>
            </w:r>
          </w:p>
          <w:p>
            <w:pPr>
              <w:spacing w:line="360" w:lineRule="auto"/>
              <w:rPr>
                <w:color w:val="auto"/>
                <w:highlight w:val="none"/>
              </w:rPr>
            </w:pPr>
            <w:r>
              <w:rPr>
                <w:rFonts w:hint="eastAsia" w:cs="宋体"/>
                <w:color w:val="auto"/>
                <w:highlight w:val="none"/>
              </w:rPr>
              <w:t>地址：南宁市纬武路165号</w:t>
            </w:r>
          </w:p>
          <w:p>
            <w:pPr>
              <w:spacing w:line="360" w:lineRule="auto"/>
              <w:rPr>
                <w:color w:val="auto"/>
                <w:highlight w:val="none"/>
              </w:rPr>
            </w:pPr>
            <w:r>
              <w:rPr>
                <w:rFonts w:hint="eastAsia" w:cs="宋体"/>
                <w:color w:val="auto"/>
                <w:highlight w:val="none"/>
              </w:rPr>
              <w:t>联系人：吴兴红、周剑</w:t>
            </w:r>
          </w:p>
          <w:p>
            <w:pPr>
              <w:spacing w:line="360" w:lineRule="auto"/>
              <w:rPr>
                <w:color w:val="auto"/>
                <w:highlight w:val="none"/>
              </w:rPr>
            </w:pPr>
            <w:r>
              <w:rPr>
                <w:rFonts w:hint="eastAsia" w:cs="宋体"/>
                <w:color w:val="auto"/>
                <w:highlight w:val="none"/>
              </w:rPr>
              <w:t>电话：0</w:t>
            </w:r>
            <w:r>
              <w:rPr>
                <w:rFonts w:cs="宋体"/>
                <w:color w:val="auto"/>
                <w:highlight w:val="none"/>
              </w:rPr>
              <w:t>771-280</w:t>
            </w:r>
            <w:r>
              <w:rPr>
                <w:rFonts w:hint="eastAsia" w:cs="宋体"/>
                <w:color w:val="auto"/>
                <w:highlight w:val="none"/>
              </w:rPr>
              <w:t>7659</w:t>
            </w:r>
          </w:p>
          <w:p>
            <w:pPr>
              <w:spacing w:line="360" w:lineRule="auto"/>
              <w:rPr>
                <w:color w:val="auto"/>
                <w:highlight w:val="none"/>
              </w:rPr>
            </w:pPr>
            <w:r>
              <w:rPr>
                <w:rFonts w:hint="eastAsia" w:cs="宋体"/>
                <w:color w:val="auto"/>
                <w:highlight w:val="none"/>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4" w:hRule="exact"/>
          <w:jc w:val="center"/>
        </w:trPr>
        <w:tc>
          <w:tcPr>
            <w:tcW w:w="1207" w:type="dxa"/>
            <w:gridSpan w:val="2"/>
            <w:shd w:val="clear" w:color="auto" w:fill="auto"/>
            <w:vAlign w:val="center"/>
          </w:tcPr>
          <w:p>
            <w:pPr>
              <w:spacing w:line="360" w:lineRule="auto"/>
              <w:jc w:val="center"/>
              <w:rPr>
                <w:color w:val="auto"/>
                <w:highlight w:val="none"/>
              </w:rPr>
            </w:pPr>
            <w:r>
              <w:rPr>
                <w:color w:val="auto"/>
                <w:highlight w:val="none"/>
              </w:rPr>
              <w:t>1.1.4</w:t>
            </w:r>
          </w:p>
        </w:tc>
        <w:tc>
          <w:tcPr>
            <w:tcW w:w="2933" w:type="dxa"/>
            <w:shd w:val="clear" w:color="auto" w:fill="auto"/>
            <w:vAlign w:val="center"/>
          </w:tcPr>
          <w:p>
            <w:pPr>
              <w:spacing w:line="360" w:lineRule="auto"/>
              <w:rPr>
                <w:color w:val="auto"/>
                <w:highlight w:val="none"/>
              </w:rPr>
            </w:pPr>
            <w:r>
              <w:rPr>
                <w:rFonts w:hint="eastAsia" w:cs="宋体"/>
                <w:color w:val="auto"/>
                <w:highlight w:val="none"/>
              </w:rPr>
              <w:t>项目名称及项目招标编号</w:t>
            </w:r>
          </w:p>
        </w:tc>
        <w:tc>
          <w:tcPr>
            <w:tcW w:w="4820" w:type="dxa"/>
            <w:shd w:val="clear" w:color="auto" w:fill="auto"/>
            <w:vAlign w:val="center"/>
          </w:tcPr>
          <w:p>
            <w:pPr>
              <w:spacing w:line="360" w:lineRule="auto"/>
              <w:rPr>
                <w:color w:val="auto"/>
                <w:highlight w:val="none"/>
              </w:rPr>
            </w:pPr>
            <w:r>
              <w:rPr>
                <w:rFonts w:hint="eastAsia"/>
                <w:color w:val="auto"/>
                <w:highlight w:val="none"/>
              </w:rPr>
              <w:t>广西医科大学武鸣校区图书馆报告厅、演讲厅二次装饰工程项目</w:t>
            </w:r>
          </w:p>
          <w:p>
            <w:pPr>
              <w:spacing w:line="360" w:lineRule="auto"/>
              <w:rPr>
                <w:color w:val="auto"/>
                <w:highlight w:val="none"/>
              </w:rPr>
            </w:pPr>
            <w:r>
              <w:rPr>
                <w:rFonts w:hint="eastAsia"/>
                <w:color w:val="auto"/>
                <w:highlight w:val="none"/>
                <w:lang w:eastAsia="zh-CN"/>
              </w:rPr>
              <w:t>GXZC2021-G2-004272-JGJD</w:t>
            </w:r>
            <w:r>
              <w:rPr>
                <w:rFonts w:hint="eastAsia"/>
                <w:color w:val="auto"/>
                <w:highlight w:val="none"/>
              </w:rPr>
              <w:t>/GS(ZB1)2021462G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207" w:type="dxa"/>
            <w:gridSpan w:val="2"/>
            <w:shd w:val="clear" w:color="auto" w:fill="auto"/>
            <w:vAlign w:val="center"/>
          </w:tcPr>
          <w:p>
            <w:pPr>
              <w:spacing w:line="360" w:lineRule="auto"/>
              <w:jc w:val="center"/>
              <w:rPr>
                <w:color w:val="auto"/>
                <w:highlight w:val="none"/>
              </w:rPr>
            </w:pPr>
            <w:r>
              <w:rPr>
                <w:color w:val="auto"/>
                <w:highlight w:val="none"/>
              </w:rPr>
              <w:t>1.1.5</w:t>
            </w:r>
          </w:p>
        </w:tc>
        <w:tc>
          <w:tcPr>
            <w:tcW w:w="2933" w:type="dxa"/>
            <w:shd w:val="clear" w:color="auto" w:fill="auto"/>
            <w:vAlign w:val="center"/>
          </w:tcPr>
          <w:p>
            <w:pPr>
              <w:spacing w:line="360" w:lineRule="auto"/>
              <w:rPr>
                <w:color w:val="auto"/>
                <w:highlight w:val="none"/>
              </w:rPr>
            </w:pPr>
            <w:r>
              <w:rPr>
                <w:rFonts w:hint="eastAsia" w:cs="宋体"/>
                <w:color w:val="auto"/>
                <w:highlight w:val="none"/>
              </w:rPr>
              <w:t>建设地点</w:t>
            </w:r>
          </w:p>
        </w:tc>
        <w:tc>
          <w:tcPr>
            <w:tcW w:w="4820" w:type="dxa"/>
            <w:shd w:val="clear" w:color="auto" w:fill="auto"/>
            <w:vAlign w:val="center"/>
          </w:tcPr>
          <w:p>
            <w:pPr>
              <w:spacing w:line="360" w:lineRule="auto"/>
              <w:rPr>
                <w:color w:val="auto"/>
                <w:highlight w:val="none"/>
              </w:rPr>
            </w:pPr>
            <w:r>
              <w:rPr>
                <w:rFonts w:hint="eastAsia"/>
                <w:color w:val="auto"/>
                <w:highlight w:val="none"/>
              </w:rPr>
              <w:t>见第一章“2. 项目概况与招标范围”</w:t>
            </w:r>
            <w:r>
              <w:rPr>
                <w:color w:val="auto"/>
                <w:highlight w:val="non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207" w:type="dxa"/>
            <w:gridSpan w:val="2"/>
            <w:shd w:val="clear" w:color="auto" w:fill="auto"/>
            <w:vAlign w:val="center"/>
          </w:tcPr>
          <w:p>
            <w:pPr>
              <w:spacing w:line="360" w:lineRule="auto"/>
              <w:jc w:val="center"/>
              <w:rPr>
                <w:color w:val="auto"/>
                <w:highlight w:val="none"/>
              </w:rPr>
            </w:pPr>
            <w:r>
              <w:rPr>
                <w:color w:val="auto"/>
                <w:highlight w:val="none"/>
              </w:rPr>
              <w:t>1.2.1</w:t>
            </w:r>
          </w:p>
        </w:tc>
        <w:tc>
          <w:tcPr>
            <w:tcW w:w="2933" w:type="dxa"/>
            <w:shd w:val="clear" w:color="auto" w:fill="auto"/>
            <w:vAlign w:val="center"/>
          </w:tcPr>
          <w:p>
            <w:pPr>
              <w:spacing w:line="360" w:lineRule="auto"/>
              <w:rPr>
                <w:color w:val="auto"/>
                <w:highlight w:val="none"/>
              </w:rPr>
            </w:pPr>
            <w:r>
              <w:rPr>
                <w:rFonts w:hint="eastAsia" w:cs="宋体"/>
                <w:color w:val="auto"/>
                <w:highlight w:val="none"/>
              </w:rPr>
              <w:t>资金来源</w:t>
            </w:r>
          </w:p>
        </w:tc>
        <w:tc>
          <w:tcPr>
            <w:tcW w:w="4820" w:type="dxa"/>
            <w:shd w:val="clear" w:color="auto" w:fill="auto"/>
            <w:vAlign w:val="center"/>
          </w:tcPr>
          <w:p>
            <w:pPr>
              <w:spacing w:line="360" w:lineRule="auto"/>
              <w:rPr>
                <w:color w:val="auto"/>
                <w:highlight w:val="none"/>
              </w:rPr>
            </w:pPr>
            <w:r>
              <w:rPr>
                <w:rFonts w:hint="eastAsia"/>
                <w:color w:val="auto"/>
                <w:highlight w:val="none"/>
              </w:rPr>
              <w:t>见第一章“2. 项目概况与招标范围”</w:t>
            </w:r>
            <w:r>
              <w:rPr>
                <w:color w:val="auto"/>
                <w:highlight w:val="non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207" w:type="dxa"/>
            <w:gridSpan w:val="2"/>
            <w:shd w:val="clear" w:color="auto" w:fill="auto"/>
            <w:vAlign w:val="center"/>
          </w:tcPr>
          <w:p>
            <w:pPr>
              <w:spacing w:line="360" w:lineRule="auto"/>
              <w:jc w:val="center"/>
              <w:rPr>
                <w:color w:val="auto"/>
                <w:highlight w:val="none"/>
              </w:rPr>
            </w:pPr>
            <w:r>
              <w:rPr>
                <w:color w:val="auto"/>
                <w:highlight w:val="none"/>
              </w:rPr>
              <w:t>1.2.2</w:t>
            </w:r>
          </w:p>
        </w:tc>
        <w:tc>
          <w:tcPr>
            <w:tcW w:w="2933" w:type="dxa"/>
            <w:shd w:val="clear" w:color="auto" w:fill="auto"/>
            <w:vAlign w:val="center"/>
          </w:tcPr>
          <w:p>
            <w:pPr>
              <w:spacing w:line="360" w:lineRule="auto"/>
              <w:rPr>
                <w:color w:val="auto"/>
                <w:highlight w:val="none"/>
              </w:rPr>
            </w:pPr>
            <w:r>
              <w:rPr>
                <w:rFonts w:hint="eastAsia" w:cs="宋体"/>
                <w:color w:val="auto"/>
                <w:highlight w:val="none"/>
              </w:rPr>
              <w:t>出资比例</w:t>
            </w:r>
          </w:p>
        </w:tc>
        <w:tc>
          <w:tcPr>
            <w:tcW w:w="4820" w:type="dxa"/>
            <w:shd w:val="clear" w:color="auto" w:fill="auto"/>
            <w:vAlign w:val="center"/>
          </w:tcPr>
          <w:p>
            <w:pPr>
              <w:spacing w:line="360" w:lineRule="auto"/>
              <w:rPr>
                <w:color w:val="auto"/>
                <w:highlight w:val="none"/>
              </w:rPr>
            </w:pPr>
            <w:r>
              <w:rPr>
                <w:rFonts w:hint="eastAsia"/>
                <w:color w:val="auto"/>
                <w:highlight w:val="none"/>
              </w:rPr>
              <w:t>见第一章“</w:t>
            </w:r>
            <w:r>
              <w:rPr>
                <w:color w:val="auto"/>
                <w:highlight w:val="none"/>
              </w:rPr>
              <w:t>1</w:t>
            </w:r>
            <w:r>
              <w:rPr>
                <w:rFonts w:hint="eastAsia"/>
                <w:color w:val="auto"/>
                <w:highlight w:val="none"/>
              </w:rPr>
              <w:t>. 招标条件”</w:t>
            </w:r>
            <w:r>
              <w:rPr>
                <w:color w:val="auto"/>
                <w:highlight w:val="non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207" w:type="dxa"/>
            <w:gridSpan w:val="2"/>
            <w:shd w:val="clear" w:color="auto" w:fill="auto"/>
            <w:vAlign w:val="center"/>
          </w:tcPr>
          <w:p>
            <w:pPr>
              <w:spacing w:line="360" w:lineRule="auto"/>
              <w:jc w:val="center"/>
              <w:rPr>
                <w:color w:val="auto"/>
                <w:highlight w:val="none"/>
              </w:rPr>
            </w:pPr>
            <w:r>
              <w:rPr>
                <w:color w:val="auto"/>
                <w:highlight w:val="none"/>
              </w:rPr>
              <w:t>1.2.3</w:t>
            </w:r>
          </w:p>
        </w:tc>
        <w:tc>
          <w:tcPr>
            <w:tcW w:w="2933" w:type="dxa"/>
            <w:shd w:val="clear" w:color="auto" w:fill="auto"/>
            <w:vAlign w:val="center"/>
          </w:tcPr>
          <w:p>
            <w:pPr>
              <w:spacing w:line="360" w:lineRule="auto"/>
              <w:rPr>
                <w:color w:val="auto"/>
                <w:highlight w:val="none"/>
              </w:rPr>
            </w:pPr>
            <w:r>
              <w:rPr>
                <w:rFonts w:hint="eastAsia" w:cs="宋体"/>
                <w:color w:val="auto"/>
                <w:highlight w:val="none"/>
              </w:rPr>
              <w:t>资金落实情况</w:t>
            </w:r>
          </w:p>
        </w:tc>
        <w:tc>
          <w:tcPr>
            <w:tcW w:w="4820" w:type="dxa"/>
            <w:shd w:val="clear" w:color="auto" w:fill="auto"/>
            <w:vAlign w:val="center"/>
          </w:tcPr>
          <w:p>
            <w:pPr>
              <w:spacing w:line="360" w:lineRule="auto"/>
              <w:rPr>
                <w:color w:val="auto"/>
                <w:highlight w:val="none"/>
              </w:rPr>
            </w:pPr>
            <w:r>
              <w:rPr>
                <w:color w:val="auto"/>
                <w:highlight w:val="none"/>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exact"/>
          <w:jc w:val="center"/>
        </w:trPr>
        <w:tc>
          <w:tcPr>
            <w:tcW w:w="1207" w:type="dxa"/>
            <w:gridSpan w:val="2"/>
            <w:shd w:val="clear" w:color="auto" w:fill="auto"/>
            <w:vAlign w:val="center"/>
          </w:tcPr>
          <w:p>
            <w:pPr>
              <w:spacing w:line="360" w:lineRule="auto"/>
              <w:jc w:val="center"/>
              <w:rPr>
                <w:color w:val="auto"/>
                <w:highlight w:val="none"/>
              </w:rPr>
            </w:pPr>
            <w:r>
              <w:rPr>
                <w:color w:val="auto"/>
                <w:highlight w:val="none"/>
              </w:rPr>
              <w:t>1.2.4</w:t>
            </w:r>
          </w:p>
        </w:tc>
        <w:tc>
          <w:tcPr>
            <w:tcW w:w="2933" w:type="dxa"/>
            <w:shd w:val="clear" w:color="auto" w:fill="auto"/>
            <w:vAlign w:val="center"/>
          </w:tcPr>
          <w:p>
            <w:pPr>
              <w:spacing w:line="360" w:lineRule="auto"/>
              <w:rPr>
                <w:color w:val="auto"/>
                <w:highlight w:val="none"/>
              </w:rPr>
            </w:pPr>
            <w:r>
              <w:rPr>
                <w:rFonts w:hint="eastAsia" w:cs="宋体"/>
                <w:color w:val="auto"/>
                <w:highlight w:val="none"/>
              </w:rPr>
              <w:t>本工程增值税计税方法</w:t>
            </w:r>
          </w:p>
        </w:tc>
        <w:tc>
          <w:tcPr>
            <w:tcW w:w="4820" w:type="dxa"/>
            <w:shd w:val="clear" w:color="auto" w:fill="auto"/>
            <w:vAlign w:val="center"/>
          </w:tcPr>
          <w:p>
            <w:pPr>
              <w:spacing w:line="360" w:lineRule="auto"/>
              <w:rPr>
                <w:color w:val="auto"/>
                <w:highlight w:val="none"/>
              </w:rPr>
            </w:pPr>
            <w:bookmarkStart w:id="51" w:name="_Hlk68252920"/>
            <w:r>
              <w:rPr>
                <w:color w:val="auto"/>
                <w:highlight w:val="none"/>
              </w:rPr>
              <w:sym w:font="Wingdings 2" w:char="F052"/>
            </w:r>
            <w:bookmarkEnd w:id="51"/>
            <w:r>
              <w:rPr>
                <w:rFonts w:hint="eastAsia" w:cs="宋体"/>
                <w:color w:val="auto"/>
                <w:highlight w:val="none"/>
              </w:rPr>
              <w:t>一般计税法</w:t>
            </w:r>
            <w:r>
              <w:rPr>
                <w:color w:val="auto"/>
                <w:highlight w:val="none"/>
              </w:rPr>
              <w:t xml:space="preserve">         </w:t>
            </w:r>
            <w:r>
              <w:rPr>
                <w:rFonts w:hint="eastAsia" w:cs="宋体"/>
                <w:color w:val="auto"/>
                <w:highlight w:val="none"/>
              </w:rPr>
              <w:t>□简易计税法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1207" w:type="dxa"/>
            <w:gridSpan w:val="2"/>
            <w:shd w:val="clear" w:color="auto" w:fill="auto"/>
          </w:tcPr>
          <w:p>
            <w:pPr>
              <w:spacing w:line="360" w:lineRule="auto"/>
              <w:jc w:val="center"/>
              <w:rPr>
                <w:color w:val="auto"/>
                <w:highlight w:val="none"/>
              </w:rPr>
            </w:pPr>
            <w:r>
              <w:rPr>
                <w:color w:val="auto"/>
                <w:highlight w:val="none"/>
              </w:rPr>
              <w:t>1.3.1</w:t>
            </w:r>
          </w:p>
        </w:tc>
        <w:tc>
          <w:tcPr>
            <w:tcW w:w="2933" w:type="dxa"/>
            <w:shd w:val="clear" w:color="auto" w:fill="auto"/>
          </w:tcPr>
          <w:p>
            <w:pPr>
              <w:spacing w:line="360" w:lineRule="auto"/>
              <w:rPr>
                <w:color w:val="auto"/>
                <w:highlight w:val="none"/>
              </w:rPr>
            </w:pPr>
            <w:r>
              <w:rPr>
                <w:rFonts w:hint="eastAsia" w:cs="宋体"/>
                <w:color w:val="auto"/>
                <w:highlight w:val="none"/>
              </w:rPr>
              <w:t>招标范围</w:t>
            </w:r>
          </w:p>
        </w:tc>
        <w:tc>
          <w:tcPr>
            <w:tcW w:w="4820" w:type="dxa"/>
            <w:shd w:val="clear" w:color="auto" w:fill="auto"/>
          </w:tcPr>
          <w:p>
            <w:pPr>
              <w:spacing w:line="360" w:lineRule="auto"/>
              <w:rPr>
                <w:color w:val="auto"/>
                <w:highlight w:val="none"/>
              </w:rPr>
            </w:pPr>
            <w:r>
              <w:rPr>
                <w:rFonts w:hint="eastAsia"/>
                <w:color w:val="auto"/>
                <w:highlight w:val="none"/>
              </w:rPr>
              <w:t>见第一章“2. 项目概况与招标范围”</w:t>
            </w:r>
            <w:r>
              <w:rPr>
                <w:color w:val="auto"/>
                <w:highlight w:val="non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1207" w:type="dxa"/>
            <w:gridSpan w:val="2"/>
            <w:shd w:val="clear" w:color="auto" w:fill="auto"/>
            <w:vAlign w:val="center"/>
          </w:tcPr>
          <w:p>
            <w:pPr>
              <w:spacing w:line="360" w:lineRule="auto"/>
              <w:jc w:val="center"/>
              <w:rPr>
                <w:color w:val="auto"/>
                <w:highlight w:val="none"/>
              </w:rPr>
            </w:pPr>
            <w:r>
              <w:rPr>
                <w:color w:val="auto"/>
                <w:highlight w:val="none"/>
              </w:rPr>
              <w:t>1.3.2</w:t>
            </w:r>
          </w:p>
        </w:tc>
        <w:tc>
          <w:tcPr>
            <w:tcW w:w="2933" w:type="dxa"/>
            <w:shd w:val="clear" w:color="auto" w:fill="auto"/>
            <w:vAlign w:val="center"/>
          </w:tcPr>
          <w:p>
            <w:pPr>
              <w:spacing w:line="360" w:lineRule="auto"/>
              <w:rPr>
                <w:color w:val="auto"/>
                <w:highlight w:val="none"/>
              </w:rPr>
            </w:pPr>
            <w:r>
              <w:rPr>
                <w:rFonts w:hint="eastAsia" w:cs="宋体"/>
                <w:color w:val="auto"/>
                <w:highlight w:val="none"/>
              </w:rPr>
              <w:t>要求工期</w:t>
            </w:r>
          </w:p>
        </w:tc>
        <w:tc>
          <w:tcPr>
            <w:tcW w:w="4820" w:type="dxa"/>
            <w:shd w:val="clear" w:color="auto" w:fill="auto"/>
          </w:tcPr>
          <w:p>
            <w:pPr>
              <w:spacing w:line="360" w:lineRule="auto"/>
              <w:rPr>
                <w:color w:val="auto"/>
                <w:highlight w:val="none"/>
              </w:rPr>
            </w:pPr>
            <w:r>
              <w:rPr>
                <w:rFonts w:hint="eastAsia" w:cs="宋体"/>
                <w:color w:val="auto"/>
                <w:highlight w:val="none"/>
              </w:rPr>
              <w:t>要求工期：180历天</w:t>
            </w:r>
          </w:p>
          <w:p>
            <w:pPr>
              <w:spacing w:line="360" w:lineRule="auto"/>
              <w:rPr>
                <w:color w:val="auto"/>
                <w:highlight w:val="none"/>
              </w:rPr>
            </w:pPr>
            <w:r>
              <w:rPr>
                <w:rFonts w:hint="eastAsia" w:cs="宋体"/>
                <w:color w:val="auto"/>
                <w:highlight w:val="none"/>
              </w:rPr>
              <w:t>计划开工日期：</w:t>
            </w:r>
            <w:r>
              <w:rPr>
                <w:color w:val="auto"/>
                <w:highlight w:val="none"/>
                <w:u w:val="single"/>
              </w:rPr>
              <w:t xml:space="preserve"> </w:t>
            </w:r>
            <w:r>
              <w:rPr>
                <w:rFonts w:hint="eastAsia"/>
                <w:color w:val="auto"/>
                <w:highlight w:val="none"/>
                <w:u w:val="single"/>
              </w:rPr>
              <w:t>2021</w:t>
            </w:r>
            <w:r>
              <w:rPr>
                <w:rFonts w:hint="eastAsia" w:cs="宋体"/>
                <w:color w:val="auto"/>
                <w:highlight w:val="none"/>
              </w:rPr>
              <w:t>年</w:t>
            </w:r>
            <w:r>
              <w:rPr>
                <w:rFonts w:hint="eastAsia"/>
                <w:color w:val="auto"/>
                <w:highlight w:val="none"/>
                <w:u w:val="single"/>
                <w:lang w:val="en-US" w:eastAsia="zh-CN"/>
              </w:rPr>
              <w:t>12</w:t>
            </w:r>
            <w:r>
              <w:rPr>
                <w:rFonts w:hint="eastAsia" w:cs="宋体"/>
                <w:color w:val="auto"/>
                <w:highlight w:val="none"/>
              </w:rPr>
              <w:t>月</w:t>
            </w:r>
            <w:r>
              <w:rPr>
                <w:rFonts w:hint="eastAsia" w:cs="宋体"/>
                <w:color w:val="auto"/>
                <w:highlight w:val="none"/>
                <w:u w:val="single"/>
                <w:lang w:val="en-US" w:eastAsia="zh-CN"/>
              </w:rPr>
              <w:t>1</w:t>
            </w:r>
            <w:r>
              <w:rPr>
                <w:rFonts w:hint="eastAsia" w:cs="宋体"/>
                <w:color w:val="auto"/>
                <w:highlight w:val="none"/>
              </w:rPr>
              <w:t>日(实际开工时间以发包人或监理单位的开工令为准)</w:t>
            </w:r>
            <w:r>
              <w:rPr>
                <w:color w:val="auto"/>
                <w:highlight w:val="none"/>
              </w:rPr>
              <w:t xml:space="preserve"> </w:t>
            </w:r>
          </w:p>
          <w:p>
            <w:pPr>
              <w:spacing w:line="360" w:lineRule="auto"/>
              <w:rPr>
                <w:color w:val="auto"/>
                <w:highlight w:val="none"/>
              </w:rPr>
            </w:pPr>
            <w:r>
              <w:rPr>
                <w:rFonts w:hint="eastAsia" w:cs="宋体"/>
                <w:color w:val="auto"/>
                <w:highlight w:val="none"/>
              </w:rPr>
              <w:t>计划竣工日期：</w:t>
            </w:r>
            <w:r>
              <w:rPr>
                <w:color w:val="auto"/>
                <w:highlight w:val="none"/>
                <w:u w:val="single"/>
              </w:rPr>
              <w:t xml:space="preserve"> </w:t>
            </w:r>
            <w:r>
              <w:rPr>
                <w:rFonts w:hint="eastAsia"/>
                <w:color w:val="auto"/>
                <w:highlight w:val="none"/>
                <w:u w:val="single"/>
              </w:rPr>
              <w:t>202</w:t>
            </w:r>
            <w:r>
              <w:rPr>
                <w:rFonts w:hint="eastAsia"/>
                <w:color w:val="auto"/>
                <w:highlight w:val="none"/>
                <w:u w:val="single"/>
                <w:lang w:val="en-US" w:eastAsia="zh-CN"/>
              </w:rPr>
              <w:t>2</w:t>
            </w:r>
            <w:r>
              <w:rPr>
                <w:color w:val="auto"/>
                <w:highlight w:val="none"/>
                <w:u w:val="single"/>
              </w:rPr>
              <w:t xml:space="preserve"> </w:t>
            </w:r>
            <w:r>
              <w:rPr>
                <w:rFonts w:hint="eastAsia" w:cs="宋体"/>
                <w:color w:val="auto"/>
                <w:highlight w:val="none"/>
              </w:rPr>
              <w:t>年</w:t>
            </w:r>
            <w:r>
              <w:rPr>
                <w:rFonts w:hint="eastAsia" w:cs="宋体"/>
                <w:color w:val="auto"/>
                <w:highlight w:val="none"/>
                <w:u w:val="single"/>
                <w:lang w:val="en-US" w:eastAsia="zh-CN"/>
              </w:rPr>
              <w:t>5</w:t>
            </w:r>
            <w:r>
              <w:rPr>
                <w:rFonts w:hint="eastAsia" w:cs="宋体"/>
                <w:color w:val="auto"/>
                <w:highlight w:val="none"/>
              </w:rPr>
              <w:t>月</w:t>
            </w:r>
            <w:r>
              <w:rPr>
                <w:rFonts w:hint="eastAsia" w:cs="宋体"/>
                <w:color w:val="auto"/>
                <w:highlight w:val="none"/>
                <w:u w:val="single"/>
                <w:lang w:val="en-US" w:eastAsia="zh-CN"/>
              </w:rPr>
              <w:t>30</w:t>
            </w:r>
            <w:r>
              <w:rPr>
                <w:rFonts w:hint="eastAsia" w:cs="宋体"/>
                <w:color w:val="auto"/>
                <w:highlight w:val="none"/>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1207" w:type="dxa"/>
            <w:gridSpan w:val="2"/>
            <w:shd w:val="clear" w:color="auto" w:fill="auto"/>
          </w:tcPr>
          <w:p>
            <w:pPr>
              <w:spacing w:line="360" w:lineRule="auto"/>
              <w:jc w:val="center"/>
              <w:rPr>
                <w:color w:val="auto"/>
                <w:highlight w:val="none"/>
              </w:rPr>
            </w:pPr>
            <w:r>
              <w:rPr>
                <w:color w:val="auto"/>
                <w:highlight w:val="none"/>
              </w:rPr>
              <w:t>1.3.3</w:t>
            </w:r>
          </w:p>
        </w:tc>
        <w:tc>
          <w:tcPr>
            <w:tcW w:w="2933" w:type="dxa"/>
            <w:shd w:val="clear" w:color="auto" w:fill="auto"/>
          </w:tcPr>
          <w:p>
            <w:pPr>
              <w:spacing w:line="360" w:lineRule="auto"/>
              <w:rPr>
                <w:color w:val="auto"/>
                <w:highlight w:val="none"/>
              </w:rPr>
            </w:pPr>
            <w:r>
              <w:rPr>
                <w:rFonts w:hint="eastAsia" w:cs="宋体"/>
                <w:color w:val="auto"/>
                <w:highlight w:val="none"/>
              </w:rPr>
              <w:t>质量要求</w:t>
            </w:r>
          </w:p>
        </w:tc>
        <w:tc>
          <w:tcPr>
            <w:tcW w:w="4820" w:type="dxa"/>
            <w:shd w:val="clear" w:color="auto" w:fill="auto"/>
          </w:tcPr>
          <w:p>
            <w:pPr>
              <w:spacing w:line="360" w:lineRule="auto"/>
              <w:rPr>
                <w:color w:val="auto"/>
                <w:highlight w:val="none"/>
              </w:rPr>
            </w:pPr>
            <w:r>
              <w:rPr>
                <w:rFonts w:hint="eastAsia" w:cs="宋体"/>
                <w:color w:val="auto"/>
                <w:highlight w:val="none"/>
              </w:rPr>
              <w:t>质量标准：合格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1207" w:type="dxa"/>
            <w:gridSpan w:val="2"/>
            <w:shd w:val="clear" w:color="auto" w:fill="auto"/>
            <w:vAlign w:val="center"/>
          </w:tcPr>
          <w:p>
            <w:pPr>
              <w:spacing w:line="360" w:lineRule="auto"/>
              <w:jc w:val="center"/>
              <w:rPr>
                <w:color w:val="auto"/>
                <w:highlight w:val="none"/>
              </w:rPr>
            </w:pPr>
            <w:r>
              <w:rPr>
                <w:color w:val="auto"/>
                <w:highlight w:val="none"/>
              </w:rPr>
              <w:t>1.4.1</w:t>
            </w:r>
          </w:p>
        </w:tc>
        <w:tc>
          <w:tcPr>
            <w:tcW w:w="2933" w:type="dxa"/>
            <w:shd w:val="clear" w:color="auto" w:fill="auto"/>
            <w:vAlign w:val="center"/>
          </w:tcPr>
          <w:p>
            <w:pPr>
              <w:spacing w:line="360" w:lineRule="auto"/>
              <w:rPr>
                <w:color w:val="auto"/>
                <w:highlight w:val="none"/>
              </w:rPr>
            </w:pPr>
            <w:r>
              <w:rPr>
                <w:rFonts w:hint="eastAsia" w:cs="宋体"/>
                <w:color w:val="auto"/>
                <w:highlight w:val="none"/>
              </w:rPr>
              <w:t>投标人资质条件、能力、诚信要求</w:t>
            </w:r>
          </w:p>
        </w:tc>
        <w:tc>
          <w:tcPr>
            <w:tcW w:w="4820" w:type="dxa"/>
            <w:shd w:val="clear" w:color="auto" w:fill="auto"/>
          </w:tcPr>
          <w:p>
            <w:pPr>
              <w:spacing w:line="360" w:lineRule="auto"/>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）资质条件：合《中华人民共和国政府采购法》第二十二条规定条件，具备</w:t>
            </w:r>
            <w:r>
              <w:rPr>
                <w:rFonts w:hint="eastAsia" w:cs="宋体"/>
                <w:color w:val="auto"/>
                <w:highlight w:val="none"/>
                <w:u w:val="single"/>
              </w:rPr>
              <w:t>建筑装修装饰工程专业承包二级（含）以上资质</w:t>
            </w:r>
            <w:r>
              <w:rPr>
                <w:rFonts w:hint="eastAsia" w:cs="宋体"/>
                <w:color w:val="auto"/>
                <w:highlight w:val="none"/>
              </w:rPr>
              <w:t>同时具备建筑机电安装工程专业承包</w:t>
            </w:r>
            <w:r>
              <w:rPr>
                <w:rFonts w:hint="eastAsia" w:cs="宋体"/>
                <w:color w:val="auto"/>
                <w:highlight w:val="none"/>
                <w:u w:val="single"/>
              </w:rPr>
              <w:t>三级（含）以上资质</w:t>
            </w:r>
            <w:r>
              <w:rPr>
                <w:rFonts w:hint="eastAsia" w:cs="宋体"/>
                <w:color w:val="auto"/>
                <w:highlight w:val="none"/>
              </w:rPr>
              <w:t>，并在人员、设备、资金等方面具备相应的施工能力。</w:t>
            </w:r>
          </w:p>
          <w:p>
            <w:pPr>
              <w:spacing w:line="360" w:lineRule="auto"/>
              <w:rPr>
                <w:color w:val="auto"/>
                <w:highlight w:val="none"/>
              </w:rPr>
            </w:pPr>
            <w:r>
              <w:rPr>
                <w:rFonts w:hint="eastAsia" w:cs="宋体"/>
                <w:color w:val="auto"/>
                <w:highlight w:val="none"/>
              </w:rPr>
              <w:t>（</w:t>
            </w:r>
            <w:r>
              <w:rPr>
                <w:rFonts w:hint="eastAsia"/>
                <w:color w:val="auto"/>
                <w:highlight w:val="none"/>
              </w:rPr>
              <w:t>2</w:t>
            </w:r>
            <w:r>
              <w:rPr>
                <w:rFonts w:hint="eastAsia" w:cs="宋体"/>
                <w:color w:val="auto"/>
                <w:highlight w:val="none"/>
              </w:rPr>
              <w:t>）财务要求：经审计的财务报表【备注：对于从取得营业执照时间起到投标截止时间为止不足要求年数的企业，只需提交企业取得营业执照年份至所要求最近年份经审计的财务报表】。</w:t>
            </w:r>
            <w:r>
              <w:rPr>
                <w:rFonts w:hint="eastAsia"/>
                <w:color w:val="auto"/>
                <w:highlight w:val="none"/>
              </w:rPr>
              <w:t>（</w:t>
            </w:r>
            <w:r>
              <w:rPr>
                <w:color w:val="auto"/>
                <w:highlight w:val="none"/>
              </w:rPr>
              <w:t>年份要求</w:t>
            </w:r>
            <w:r>
              <w:rPr>
                <w:rFonts w:hint="eastAsia"/>
                <w:color w:val="auto"/>
                <w:highlight w:val="none"/>
              </w:rPr>
              <w:t>见“</w:t>
            </w:r>
            <w:r>
              <w:rPr>
                <w:color w:val="auto"/>
                <w:highlight w:val="none"/>
              </w:rPr>
              <w:t>投标人须知前附表</w:t>
            </w:r>
            <w:r>
              <w:rPr>
                <w:rFonts w:hint="eastAsia"/>
                <w:color w:val="auto"/>
                <w:highlight w:val="none"/>
              </w:rPr>
              <w:t>”10.1.4）</w:t>
            </w:r>
          </w:p>
          <w:p>
            <w:pPr>
              <w:spacing w:line="360" w:lineRule="auto"/>
              <w:rPr>
                <w:rFonts w:cs="宋体"/>
                <w:color w:val="auto"/>
                <w:highlight w:val="none"/>
              </w:rPr>
            </w:pPr>
            <w:r>
              <w:rPr>
                <w:rFonts w:hint="eastAsia" w:cs="宋体"/>
                <w:color w:val="auto"/>
                <w:highlight w:val="none"/>
              </w:rPr>
              <w:t>（</w:t>
            </w:r>
            <w:r>
              <w:rPr>
                <w:rFonts w:hint="eastAsia"/>
                <w:color w:val="auto"/>
                <w:highlight w:val="none"/>
              </w:rPr>
              <w:t>3</w:t>
            </w:r>
            <w:r>
              <w:rPr>
                <w:rFonts w:hint="eastAsia" w:cs="宋体"/>
                <w:color w:val="auto"/>
                <w:highlight w:val="none"/>
              </w:rPr>
              <w:t>）业绩要求：无。</w:t>
            </w:r>
          </w:p>
          <w:p>
            <w:pPr>
              <w:spacing w:line="360" w:lineRule="auto"/>
              <w:rPr>
                <w:color w:val="auto"/>
                <w:highlight w:val="none"/>
              </w:rPr>
            </w:pPr>
            <w:r>
              <w:rPr>
                <w:rFonts w:hint="eastAsia" w:cs="宋体"/>
                <w:color w:val="auto"/>
                <w:highlight w:val="none"/>
              </w:rPr>
              <w:t>（</w:t>
            </w:r>
            <w:r>
              <w:rPr>
                <w:rFonts w:hint="eastAsia"/>
                <w:color w:val="auto"/>
                <w:highlight w:val="none"/>
              </w:rPr>
              <w:t>4</w:t>
            </w:r>
            <w:r>
              <w:rPr>
                <w:rFonts w:hint="eastAsia" w:cs="宋体"/>
                <w:color w:val="auto"/>
                <w:highlight w:val="none"/>
              </w:rPr>
              <w:t>）诚信要求：</w:t>
            </w:r>
            <w:r>
              <w:rPr>
                <w:rFonts w:hint="eastAsia"/>
                <w:color w:val="auto"/>
                <w:highlight w:val="none"/>
              </w:rPr>
              <w:t>根据最高人民法院等9部门《关于在招标投标活动中对失信被执行人实施联合惩戒的通知》（法〔2016〕285号）规定，投标人不得为失信被执行人、重大税收违法案件当事人名单、政府采购严重违法失信行为记录名单（以评标阶段通过“信用中国”网站（www.creditchina.gov.cn）、中国政府采购网（http://www.ccgp.gov.cn）查询的结果为准）。</w:t>
            </w:r>
          </w:p>
          <w:p>
            <w:pPr>
              <w:spacing w:line="360" w:lineRule="auto"/>
              <w:rPr>
                <w:color w:val="auto"/>
                <w:highlight w:val="none"/>
              </w:rPr>
            </w:pPr>
            <w:r>
              <w:rPr>
                <w:rFonts w:hint="eastAsia" w:cs="宋体"/>
                <w:color w:val="auto"/>
                <w:highlight w:val="none"/>
              </w:rPr>
              <w:t>（</w:t>
            </w:r>
            <w:r>
              <w:rPr>
                <w:rFonts w:hint="eastAsia"/>
                <w:color w:val="auto"/>
                <w:highlight w:val="none"/>
              </w:rPr>
              <w:t>5</w:t>
            </w:r>
            <w:r>
              <w:rPr>
                <w:rFonts w:hint="eastAsia" w:cs="宋体"/>
                <w:color w:val="auto"/>
                <w:highlight w:val="none"/>
              </w:rPr>
              <w:t>）项目经理资格：</w:t>
            </w:r>
            <w:r>
              <w:rPr>
                <w:rFonts w:hint="eastAsia"/>
                <w:color w:val="auto"/>
                <w:highlight w:val="none"/>
                <w:u w:val="single"/>
              </w:rPr>
              <w:t>建筑工程</w:t>
            </w:r>
            <w:r>
              <w:rPr>
                <w:rFonts w:hint="eastAsia" w:cs="宋体"/>
                <w:color w:val="auto"/>
                <w:highlight w:val="none"/>
              </w:rPr>
              <w:t>专业</w:t>
            </w:r>
            <w:r>
              <w:rPr>
                <w:color w:val="auto"/>
                <w:highlight w:val="none"/>
                <w:u w:val="single"/>
              </w:rPr>
              <w:t xml:space="preserve"> </w:t>
            </w:r>
            <w:r>
              <w:rPr>
                <w:rFonts w:hint="eastAsia"/>
                <w:color w:val="auto"/>
                <w:highlight w:val="none"/>
                <w:u w:val="single"/>
              </w:rPr>
              <w:t>二</w:t>
            </w:r>
            <w:r>
              <w:rPr>
                <w:color w:val="auto"/>
                <w:highlight w:val="none"/>
                <w:u w:val="single"/>
              </w:rPr>
              <w:t xml:space="preserve"> </w:t>
            </w:r>
            <w:r>
              <w:rPr>
                <w:rFonts w:hint="eastAsia" w:ascii="仿宋_GB2312" w:hAnsi="宋体"/>
                <w:color w:val="auto"/>
                <w:highlight w:val="none"/>
              </w:rPr>
              <w:t>级以上（含本级）</w:t>
            </w:r>
            <w:r>
              <w:rPr>
                <w:rFonts w:hint="eastAsia" w:cs="宋体"/>
                <w:color w:val="auto"/>
                <w:highlight w:val="none"/>
              </w:rPr>
              <w:t>注册建造师执业资格，具备有效的安全生产考核合格证书（</w:t>
            </w:r>
            <w:r>
              <w:rPr>
                <w:color w:val="auto"/>
                <w:highlight w:val="none"/>
              </w:rPr>
              <w:t>B</w:t>
            </w:r>
            <w:r>
              <w:rPr>
                <w:rFonts w:hint="eastAsia" w:cs="宋体"/>
                <w:color w:val="auto"/>
                <w:highlight w:val="none"/>
              </w:rPr>
              <w:t>类）。本项目不接受有在建、已中标未开工或已列为其他项目中标候选人第一名的建造师作为项目经理。</w:t>
            </w:r>
          </w:p>
          <w:p>
            <w:pPr>
              <w:spacing w:line="360" w:lineRule="auto"/>
              <w:rPr>
                <w:color w:val="auto"/>
                <w:highlight w:val="none"/>
              </w:rPr>
            </w:pPr>
            <w:r>
              <w:rPr>
                <w:rFonts w:hint="eastAsia" w:cs="宋体"/>
                <w:color w:val="auto"/>
                <w:highlight w:val="none"/>
              </w:rPr>
              <w:t>（</w:t>
            </w:r>
            <w:r>
              <w:rPr>
                <w:rFonts w:hint="eastAsia"/>
                <w:color w:val="auto"/>
                <w:highlight w:val="none"/>
              </w:rPr>
              <w:t>6</w:t>
            </w:r>
            <w:r>
              <w:rPr>
                <w:rFonts w:hint="eastAsia" w:cs="宋体"/>
                <w:color w:val="auto"/>
                <w:highlight w:val="none"/>
              </w:rPr>
              <w:t>）专职安全员要求：专职安全员须具备有效的安全生产考核合格证书（</w:t>
            </w:r>
            <w:r>
              <w:rPr>
                <w:color w:val="auto"/>
                <w:highlight w:val="none"/>
              </w:rPr>
              <w:t>C</w:t>
            </w:r>
            <w:r>
              <w:rPr>
                <w:rFonts w:hint="eastAsia" w:cs="宋体"/>
                <w:color w:val="auto"/>
                <w:highlight w:val="none"/>
              </w:rPr>
              <w:t>类），人数符合住房和城乡建设部《建筑施工企业安全生产管理机构设置及专职安全生产管理人员配备办法》（建质〔</w:t>
            </w:r>
            <w:r>
              <w:rPr>
                <w:color w:val="auto"/>
                <w:highlight w:val="none"/>
              </w:rPr>
              <w:t>2008</w:t>
            </w:r>
            <w:r>
              <w:rPr>
                <w:rFonts w:hint="eastAsia" w:cs="宋体"/>
                <w:color w:val="auto"/>
                <w:highlight w:val="none"/>
              </w:rPr>
              <w:t>〕</w:t>
            </w:r>
            <w:r>
              <w:rPr>
                <w:color w:val="auto"/>
                <w:highlight w:val="none"/>
              </w:rPr>
              <w:t>91</w:t>
            </w:r>
            <w:r>
              <w:rPr>
                <w:rFonts w:hint="eastAsia" w:cs="宋体"/>
                <w:color w:val="auto"/>
                <w:highlight w:val="none"/>
              </w:rPr>
              <w:t>号）的规定不少于</w:t>
            </w:r>
            <w:r>
              <w:rPr>
                <w:color w:val="auto"/>
                <w:highlight w:val="none"/>
                <w:u w:val="single"/>
              </w:rPr>
              <w:t xml:space="preserve"> </w:t>
            </w:r>
            <w:r>
              <w:rPr>
                <w:rFonts w:hint="eastAsia"/>
                <w:color w:val="auto"/>
                <w:highlight w:val="none"/>
                <w:u w:val="single"/>
              </w:rPr>
              <w:t>1</w:t>
            </w:r>
            <w:r>
              <w:rPr>
                <w:rFonts w:hint="eastAsia" w:cs="宋体"/>
                <w:color w:val="auto"/>
                <w:highlight w:val="none"/>
              </w:rPr>
              <w:t>人。</w:t>
            </w:r>
          </w:p>
          <w:p>
            <w:pPr>
              <w:spacing w:line="360" w:lineRule="auto"/>
              <w:rPr>
                <w:color w:val="auto"/>
                <w:highlight w:val="none"/>
              </w:rPr>
            </w:pPr>
            <w:r>
              <w:rPr>
                <w:rFonts w:hint="eastAsia" w:cs="宋体"/>
                <w:color w:val="auto"/>
                <w:highlight w:val="none"/>
              </w:rPr>
              <w:t>（</w:t>
            </w:r>
            <w:r>
              <w:rPr>
                <w:rFonts w:hint="eastAsia"/>
                <w:color w:val="auto"/>
                <w:highlight w:val="none"/>
              </w:rPr>
              <w:t>7</w:t>
            </w:r>
            <w:r>
              <w:rPr>
                <w:rFonts w:hint="eastAsia" w:cs="宋体"/>
                <w:color w:val="auto"/>
                <w:highlight w:val="none"/>
              </w:rPr>
              <w:t>）其他要求：</w:t>
            </w:r>
            <w:r>
              <w:rPr>
                <w:rFonts w:hint="eastAsia"/>
                <w:color w:val="auto"/>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207" w:type="dxa"/>
            <w:gridSpan w:val="2"/>
            <w:shd w:val="clear" w:color="auto" w:fill="auto"/>
            <w:vAlign w:val="center"/>
          </w:tcPr>
          <w:p>
            <w:pPr>
              <w:spacing w:line="360" w:lineRule="auto"/>
              <w:jc w:val="center"/>
              <w:rPr>
                <w:color w:val="auto"/>
                <w:highlight w:val="none"/>
              </w:rPr>
            </w:pPr>
            <w:r>
              <w:rPr>
                <w:color w:val="auto"/>
                <w:highlight w:val="none"/>
              </w:rPr>
              <w:t>1.4.2</w:t>
            </w:r>
          </w:p>
        </w:tc>
        <w:tc>
          <w:tcPr>
            <w:tcW w:w="2933" w:type="dxa"/>
            <w:shd w:val="clear" w:color="auto" w:fill="auto"/>
            <w:vAlign w:val="center"/>
          </w:tcPr>
          <w:p>
            <w:pPr>
              <w:spacing w:line="360" w:lineRule="auto"/>
              <w:rPr>
                <w:color w:val="auto"/>
                <w:highlight w:val="none"/>
              </w:rPr>
            </w:pPr>
            <w:r>
              <w:rPr>
                <w:rFonts w:hint="eastAsia" w:cs="宋体"/>
                <w:color w:val="auto"/>
                <w:highlight w:val="none"/>
              </w:rPr>
              <w:t>是否接受联合体投标</w:t>
            </w:r>
          </w:p>
        </w:tc>
        <w:tc>
          <w:tcPr>
            <w:tcW w:w="4820" w:type="dxa"/>
            <w:shd w:val="clear" w:color="auto" w:fill="auto"/>
            <w:vAlign w:val="center"/>
          </w:tcPr>
          <w:p>
            <w:pPr>
              <w:spacing w:line="360" w:lineRule="auto"/>
              <w:rPr>
                <w:color w:val="auto"/>
                <w:highlight w:val="none"/>
              </w:rPr>
            </w:pPr>
            <w:r>
              <w:rPr>
                <w:color w:val="auto"/>
                <w:highlight w:val="none"/>
              </w:rPr>
              <w:sym w:font="Wingdings 2" w:char="F052"/>
            </w:r>
            <w:r>
              <w:rPr>
                <w:rFonts w:hint="eastAsia" w:cs="宋体"/>
                <w:color w:val="auto"/>
                <w:highlight w:val="none"/>
              </w:rPr>
              <w:t>不接受</w:t>
            </w:r>
            <w:r>
              <w:rPr>
                <w:color w:val="auto"/>
                <w:highlight w:val="none"/>
              </w:rPr>
              <w:t xml:space="preserve">    </w:t>
            </w:r>
            <w:r>
              <w:rPr>
                <w:rFonts w:hint="eastAsia" w:cs="宋体"/>
                <w:color w:val="auto"/>
                <w:highlight w:val="none"/>
              </w:rPr>
              <w:t>□接受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207" w:type="dxa"/>
            <w:gridSpan w:val="2"/>
            <w:shd w:val="clear" w:color="auto" w:fill="auto"/>
            <w:vAlign w:val="center"/>
          </w:tcPr>
          <w:p>
            <w:pPr>
              <w:spacing w:line="360" w:lineRule="auto"/>
              <w:jc w:val="center"/>
              <w:rPr>
                <w:color w:val="auto"/>
                <w:highlight w:val="none"/>
              </w:rPr>
            </w:pPr>
            <w:r>
              <w:rPr>
                <w:color w:val="auto"/>
                <w:highlight w:val="none"/>
              </w:rPr>
              <w:t>1.9.1</w:t>
            </w:r>
          </w:p>
        </w:tc>
        <w:tc>
          <w:tcPr>
            <w:tcW w:w="2933" w:type="dxa"/>
            <w:shd w:val="clear" w:color="auto" w:fill="auto"/>
            <w:vAlign w:val="center"/>
          </w:tcPr>
          <w:p>
            <w:pPr>
              <w:spacing w:line="360" w:lineRule="auto"/>
              <w:rPr>
                <w:color w:val="auto"/>
                <w:highlight w:val="none"/>
              </w:rPr>
            </w:pPr>
            <w:r>
              <w:rPr>
                <w:rFonts w:hint="eastAsia" w:cs="宋体"/>
                <w:color w:val="auto"/>
                <w:highlight w:val="none"/>
              </w:rPr>
              <w:t>踏勘现场</w:t>
            </w:r>
          </w:p>
        </w:tc>
        <w:tc>
          <w:tcPr>
            <w:tcW w:w="4820" w:type="dxa"/>
            <w:shd w:val="clear" w:color="auto" w:fill="auto"/>
            <w:vAlign w:val="center"/>
          </w:tcPr>
          <w:p>
            <w:pPr>
              <w:spacing w:line="360" w:lineRule="auto"/>
              <w:rPr>
                <w:color w:val="auto"/>
                <w:highlight w:val="none"/>
              </w:rPr>
            </w:pPr>
            <w:r>
              <w:rPr>
                <w:rFonts w:hint="eastAsia" w:cs="宋体"/>
                <w:color w:val="auto"/>
                <w:highlight w:val="none"/>
              </w:rPr>
              <w:t>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207" w:type="dxa"/>
            <w:gridSpan w:val="2"/>
            <w:shd w:val="clear" w:color="auto" w:fill="auto"/>
            <w:vAlign w:val="center"/>
          </w:tcPr>
          <w:p>
            <w:pPr>
              <w:spacing w:line="360" w:lineRule="auto"/>
              <w:jc w:val="center"/>
              <w:rPr>
                <w:color w:val="auto"/>
                <w:highlight w:val="none"/>
              </w:rPr>
            </w:pPr>
            <w:r>
              <w:rPr>
                <w:color w:val="auto"/>
                <w:highlight w:val="none"/>
              </w:rPr>
              <w:t>1.10</w:t>
            </w:r>
          </w:p>
        </w:tc>
        <w:tc>
          <w:tcPr>
            <w:tcW w:w="2933" w:type="dxa"/>
            <w:shd w:val="clear" w:color="auto" w:fill="auto"/>
            <w:vAlign w:val="center"/>
          </w:tcPr>
          <w:p>
            <w:pPr>
              <w:spacing w:line="360" w:lineRule="auto"/>
              <w:rPr>
                <w:color w:val="auto"/>
                <w:highlight w:val="none"/>
              </w:rPr>
            </w:pPr>
            <w:r>
              <w:rPr>
                <w:rFonts w:hint="eastAsia" w:cs="宋体"/>
                <w:color w:val="auto"/>
                <w:highlight w:val="none"/>
              </w:rPr>
              <w:t>投标预备会</w:t>
            </w:r>
          </w:p>
        </w:tc>
        <w:tc>
          <w:tcPr>
            <w:tcW w:w="4820" w:type="dxa"/>
            <w:shd w:val="clear" w:color="auto" w:fill="auto"/>
            <w:vAlign w:val="center"/>
          </w:tcPr>
          <w:p>
            <w:pPr>
              <w:spacing w:line="360" w:lineRule="auto"/>
              <w:rPr>
                <w:color w:val="auto"/>
                <w:highlight w:val="none"/>
              </w:rPr>
            </w:pPr>
            <w:r>
              <w:rPr>
                <w:rFonts w:hint="eastAsia" w:cs="宋体"/>
                <w:color w:val="auto"/>
                <w:highlight w:val="none"/>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1207" w:type="dxa"/>
            <w:gridSpan w:val="2"/>
            <w:shd w:val="clear" w:color="auto" w:fill="auto"/>
            <w:vAlign w:val="center"/>
          </w:tcPr>
          <w:p>
            <w:pPr>
              <w:spacing w:line="360" w:lineRule="auto"/>
              <w:jc w:val="center"/>
              <w:rPr>
                <w:color w:val="auto"/>
                <w:highlight w:val="none"/>
              </w:rPr>
            </w:pPr>
            <w:r>
              <w:rPr>
                <w:color w:val="auto"/>
                <w:highlight w:val="none"/>
              </w:rPr>
              <w:t>1.11</w:t>
            </w:r>
          </w:p>
        </w:tc>
        <w:tc>
          <w:tcPr>
            <w:tcW w:w="2933" w:type="dxa"/>
            <w:shd w:val="clear" w:color="auto" w:fill="auto"/>
            <w:vAlign w:val="center"/>
          </w:tcPr>
          <w:p>
            <w:pPr>
              <w:spacing w:line="360" w:lineRule="auto"/>
              <w:rPr>
                <w:color w:val="auto"/>
                <w:highlight w:val="none"/>
              </w:rPr>
            </w:pPr>
            <w:r>
              <w:rPr>
                <w:rFonts w:hint="eastAsia" w:cs="宋体"/>
                <w:color w:val="auto"/>
                <w:highlight w:val="none"/>
              </w:rPr>
              <w:t>分</w:t>
            </w:r>
            <w:r>
              <w:rPr>
                <w:color w:val="auto"/>
                <w:highlight w:val="none"/>
              </w:rPr>
              <w:t xml:space="preserve">  </w:t>
            </w:r>
            <w:r>
              <w:rPr>
                <w:rFonts w:hint="eastAsia" w:cs="宋体"/>
                <w:color w:val="auto"/>
                <w:highlight w:val="none"/>
              </w:rPr>
              <w:t>包</w:t>
            </w:r>
          </w:p>
        </w:tc>
        <w:tc>
          <w:tcPr>
            <w:tcW w:w="4820" w:type="dxa"/>
            <w:shd w:val="clear" w:color="auto" w:fill="auto"/>
            <w:vAlign w:val="center"/>
          </w:tcPr>
          <w:p>
            <w:pPr>
              <w:spacing w:line="360" w:lineRule="auto"/>
              <w:rPr>
                <w:color w:val="auto"/>
                <w:highlight w:val="none"/>
              </w:rPr>
            </w:pPr>
            <w:r>
              <w:rPr>
                <w:color w:val="auto"/>
                <w:highlight w:val="none"/>
              </w:rPr>
              <w:sym w:font="Wingdings 2" w:char="F052"/>
            </w:r>
            <w:r>
              <w:rPr>
                <w:rFonts w:hint="eastAsia" w:cs="宋体"/>
                <w:color w:val="auto"/>
                <w:highlight w:val="none"/>
              </w:rPr>
              <w:t>不允许</w:t>
            </w:r>
          </w:p>
          <w:p>
            <w:pPr>
              <w:spacing w:line="360" w:lineRule="auto"/>
              <w:rPr>
                <w:color w:val="auto"/>
                <w:highlight w:val="none"/>
              </w:rPr>
            </w:pPr>
            <w:r>
              <w:rPr>
                <w:rFonts w:hint="eastAsia" w:cs="宋体"/>
                <w:color w:val="auto"/>
                <w:highlight w:val="none"/>
              </w:rPr>
              <w:t>□允许，分包内容要求：</w:t>
            </w:r>
          </w:p>
          <w:p>
            <w:pPr>
              <w:spacing w:line="360" w:lineRule="auto"/>
              <w:rPr>
                <w:color w:val="auto"/>
                <w:highlight w:val="none"/>
              </w:rPr>
            </w:pPr>
            <w:r>
              <w:rPr>
                <w:color w:val="auto"/>
                <w:highlight w:val="none"/>
              </w:rPr>
              <w:t xml:space="preserve">        </w:t>
            </w:r>
            <w:r>
              <w:rPr>
                <w:rFonts w:hint="eastAsia" w:cs="宋体"/>
                <w:color w:val="auto"/>
                <w:highlight w:val="none"/>
              </w:rPr>
              <w:t>分包金额要求：</w:t>
            </w:r>
          </w:p>
          <w:p>
            <w:pPr>
              <w:spacing w:line="360" w:lineRule="auto"/>
              <w:rPr>
                <w:color w:val="auto"/>
                <w:highlight w:val="none"/>
              </w:rPr>
            </w:pPr>
            <w:r>
              <w:rPr>
                <w:color w:val="auto"/>
                <w:highlight w:val="none"/>
              </w:rPr>
              <w:t xml:space="preserve">        </w:t>
            </w:r>
            <w:r>
              <w:rPr>
                <w:rFonts w:hint="eastAsia" w:cs="宋体"/>
                <w:color w:val="auto"/>
                <w:highlight w:val="none"/>
              </w:rPr>
              <w:t>接受分包的第三人资质要求：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jc w:val="center"/>
        </w:trPr>
        <w:tc>
          <w:tcPr>
            <w:tcW w:w="1207" w:type="dxa"/>
            <w:gridSpan w:val="2"/>
            <w:shd w:val="clear" w:color="auto" w:fill="auto"/>
            <w:vAlign w:val="center"/>
          </w:tcPr>
          <w:p>
            <w:pPr>
              <w:spacing w:line="360" w:lineRule="auto"/>
              <w:jc w:val="center"/>
              <w:rPr>
                <w:color w:val="auto"/>
                <w:highlight w:val="none"/>
              </w:rPr>
            </w:pPr>
            <w:r>
              <w:rPr>
                <w:color w:val="auto"/>
                <w:highlight w:val="none"/>
              </w:rPr>
              <w:t>1.12</w:t>
            </w:r>
          </w:p>
        </w:tc>
        <w:tc>
          <w:tcPr>
            <w:tcW w:w="2933" w:type="dxa"/>
            <w:shd w:val="clear" w:color="auto" w:fill="auto"/>
            <w:vAlign w:val="center"/>
          </w:tcPr>
          <w:p>
            <w:pPr>
              <w:spacing w:line="360" w:lineRule="auto"/>
              <w:rPr>
                <w:color w:val="auto"/>
                <w:highlight w:val="none"/>
              </w:rPr>
            </w:pPr>
            <w:r>
              <w:rPr>
                <w:rFonts w:hint="eastAsia" w:cs="宋体"/>
                <w:color w:val="auto"/>
                <w:highlight w:val="none"/>
              </w:rPr>
              <w:t>偏</w:t>
            </w:r>
            <w:r>
              <w:rPr>
                <w:color w:val="auto"/>
                <w:highlight w:val="none"/>
              </w:rPr>
              <w:t xml:space="preserve">  </w:t>
            </w:r>
            <w:r>
              <w:rPr>
                <w:rFonts w:hint="eastAsia" w:cs="宋体"/>
                <w:color w:val="auto"/>
                <w:highlight w:val="none"/>
              </w:rPr>
              <w:t>离</w:t>
            </w:r>
          </w:p>
        </w:tc>
        <w:tc>
          <w:tcPr>
            <w:tcW w:w="4820" w:type="dxa"/>
            <w:shd w:val="clear" w:color="auto" w:fill="auto"/>
            <w:vAlign w:val="center"/>
          </w:tcPr>
          <w:p>
            <w:pPr>
              <w:spacing w:line="360" w:lineRule="auto"/>
              <w:rPr>
                <w:color w:val="auto"/>
                <w:highlight w:val="none"/>
              </w:rPr>
            </w:pPr>
            <w:r>
              <w:rPr>
                <w:rFonts w:hint="eastAsia" w:cs="宋体"/>
                <w:color w:val="auto"/>
                <w:highlight w:val="none"/>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jc w:val="center"/>
        </w:trPr>
        <w:tc>
          <w:tcPr>
            <w:tcW w:w="1207" w:type="dxa"/>
            <w:gridSpan w:val="2"/>
            <w:shd w:val="clear" w:color="auto" w:fill="auto"/>
            <w:vAlign w:val="center"/>
          </w:tcPr>
          <w:p>
            <w:pPr>
              <w:spacing w:line="360" w:lineRule="auto"/>
              <w:jc w:val="center"/>
              <w:rPr>
                <w:color w:val="auto"/>
                <w:highlight w:val="none"/>
              </w:rPr>
            </w:pPr>
            <w:r>
              <w:rPr>
                <w:color w:val="auto"/>
                <w:highlight w:val="none"/>
              </w:rPr>
              <w:t>2.1.1</w:t>
            </w:r>
            <w:r>
              <w:rPr>
                <w:rFonts w:hint="eastAsia" w:cs="宋体"/>
                <w:color w:val="auto"/>
                <w:highlight w:val="none"/>
              </w:rPr>
              <w:t>（</w:t>
            </w:r>
            <w:r>
              <w:rPr>
                <w:color w:val="auto"/>
                <w:highlight w:val="none"/>
              </w:rPr>
              <w:t>10</w:t>
            </w:r>
            <w:r>
              <w:rPr>
                <w:rFonts w:hint="eastAsia" w:cs="宋体"/>
                <w:color w:val="auto"/>
                <w:highlight w:val="none"/>
              </w:rPr>
              <w:t>）</w:t>
            </w:r>
          </w:p>
        </w:tc>
        <w:tc>
          <w:tcPr>
            <w:tcW w:w="2933" w:type="dxa"/>
            <w:shd w:val="clear" w:color="auto" w:fill="auto"/>
            <w:vAlign w:val="center"/>
          </w:tcPr>
          <w:p>
            <w:pPr>
              <w:rPr>
                <w:color w:val="auto"/>
                <w:highlight w:val="none"/>
              </w:rPr>
            </w:pPr>
            <w:r>
              <w:rPr>
                <w:rFonts w:hint="eastAsia" w:cs="宋体"/>
                <w:color w:val="auto"/>
                <w:highlight w:val="none"/>
              </w:rPr>
              <w:t>构成招标文件的其他材料</w:t>
            </w:r>
          </w:p>
        </w:tc>
        <w:tc>
          <w:tcPr>
            <w:tcW w:w="4820" w:type="dxa"/>
            <w:shd w:val="clear" w:color="auto" w:fill="auto"/>
            <w:vAlign w:val="center"/>
          </w:tcPr>
          <w:p>
            <w:pPr>
              <w:tabs>
                <w:tab w:val="left" w:pos="826"/>
              </w:tabs>
              <w:spacing w:line="360" w:lineRule="auto"/>
              <w:rPr>
                <w:color w:val="auto"/>
                <w:highlight w:val="none"/>
              </w:rPr>
            </w:pPr>
            <w:r>
              <w:rPr>
                <w:rFonts w:hint="eastAsia" w:cs="宋体"/>
                <w:color w:val="auto"/>
                <w:highlight w:val="none"/>
              </w:rPr>
              <w:t>招标文件的澄清、修改、补充通知等内容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07" w:type="dxa"/>
            <w:gridSpan w:val="2"/>
            <w:shd w:val="clear" w:color="auto" w:fill="auto"/>
            <w:vAlign w:val="center"/>
          </w:tcPr>
          <w:p>
            <w:pPr>
              <w:spacing w:line="360" w:lineRule="auto"/>
              <w:jc w:val="center"/>
              <w:rPr>
                <w:color w:val="auto"/>
                <w:highlight w:val="none"/>
              </w:rPr>
            </w:pPr>
            <w:r>
              <w:rPr>
                <w:color w:val="auto"/>
                <w:highlight w:val="none"/>
              </w:rPr>
              <w:t>2.2.1</w:t>
            </w:r>
          </w:p>
        </w:tc>
        <w:tc>
          <w:tcPr>
            <w:tcW w:w="2933" w:type="dxa"/>
            <w:shd w:val="clear" w:color="auto" w:fill="auto"/>
            <w:vAlign w:val="center"/>
          </w:tcPr>
          <w:p>
            <w:pPr>
              <w:spacing w:line="360" w:lineRule="auto"/>
              <w:rPr>
                <w:color w:val="auto"/>
                <w:highlight w:val="none"/>
              </w:rPr>
            </w:pPr>
            <w:r>
              <w:rPr>
                <w:rFonts w:hint="eastAsia" w:cs="宋体"/>
                <w:color w:val="auto"/>
                <w:highlight w:val="none"/>
              </w:rPr>
              <w:t>投标人对招标文件提出异议的截止时间</w:t>
            </w:r>
          </w:p>
        </w:tc>
        <w:tc>
          <w:tcPr>
            <w:tcW w:w="4820" w:type="dxa"/>
            <w:shd w:val="clear" w:color="auto" w:fill="auto"/>
            <w:vAlign w:val="center"/>
          </w:tcPr>
          <w:p>
            <w:pPr>
              <w:spacing w:line="360" w:lineRule="auto"/>
              <w:rPr>
                <w:color w:val="auto"/>
                <w:highlight w:val="none"/>
              </w:rPr>
            </w:pPr>
            <w:r>
              <w:rPr>
                <w:rFonts w:hint="eastAsia" w:cs="宋体"/>
                <w:color w:val="auto"/>
                <w:highlight w:val="none"/>
              </w:rPr>
              <w:t>投标截止时间</w:t>
            </w:r>
            <w:r>
              <w:rPr>
                <w:color w:val="auto"/>
                <w:highlight w:val="none"/>
              </w:rPr>
              <w:t>10</w:t>
            </w:r>
            <w:r>
              <w:rPr>
                <w:rFonts w:hint="eastAsia" w:cs="宋体"/>
                <w:color w:val="auto"/>
                <w:highlight w:val="none"/>
              </w:rPr>
              <w:t>日前。投标人不在规定期限内提出，招标人有权不予答复，或答复后投标截止时间由招标人确定是否顺延。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07" w:type="dxa"/>
            <w:gridSpan w:val="2"/>
            <w:vMerge w:val="restart"/>
            <w:shd w:val="clear" w:color="auto" w:fill="auto"/>
            <w:vAlign w:val="center"/>
          </w:tcPr>
          <w:p>
            <w:pPr>
              <w:spacing w:line="360" w:lineRule="auto"/>
              <w:jc w:val="center"/>
              <w:rPr>
                <w:color w:val="auto"/>
                <w:highlight w:val="none"/>
              </w:rPr>
            </w:pPr>
            <w:r>
              <w:rPr>
                <w:color w:val="auto"/>
                <w:highlight w:val="none"/>
              </w:rPr>
              <w:t>2.2.2</w:t>
            </w:r>
          </w:p>
        </w:tc>
        <w:tc>
          <w:tcPr>
            <w:tcW w:w="2933" w:type="dxa"/>
            <w:shd w:val="clear" w:color="auto" w:fill="auto"/>
            <w:vAlign w:val="center"/>
          </w:tcPr>
          <w:p>
            <w:pPr>
              <w:spacing w:line="360" w:lineRule="auto"/>
              <w:rPr>
                <w:color w:val="auto"/>
                <w:highlight w:val="none"/>
              </w:rPr>
            </w:pPr>
            <w:r>
              <w:rPr>
                <w:rFonts w:hint="eastAsia" w:cs="宋体"/>
                <w:color w:val="auto"/>
                <w:highlight w:val="none"/>
              </w:rPr>
              <w:t>投标截止时间</w:t>
            </w:r>
          </w:p>
        </w:tc>
        <w:tc>
          <w:tcPr>
            <w:tcW w:w="4820" w:type="dxa"/>
            <w:shd w:val="clear" w:color="auto" w:fill="auto"/>
            <w:vAlign w:val="center"/>
          </w:tcPr>
          <w:p>
            <w:pPr>
              <w:spacing w:line="360" w:lineRule="auto"/>
              <w:rPr>
                <w:color w:val="auto"/>
                <w:highlight w:val="none"/>
              </w:rPr>
            </w:pPr>
            <w:r>
              <w:rPr>
                <w:color w:val="auto"/>
                <w:highlight w:val="none"/>
                <w:u w:val="single"/>
              </w:rPr>
              <w:t>2021</w:t>
            </w:r>
            <w:r>
              <w:rPr>
                <w:rFonts w:hint="eastAsia" w:cs="宋体"/>
                <w:color w:val="auto"/>
                <w:highlight w:val="none"/>
              </w:rPr>
              <w:t>年</w:t>
            </w:r>
            <w:r>
              <w:rPr>
                <w:color w:val="auto"/>
                <w:highlight w:val="none"/>
                <w:u w:val="single"/>
              </w:rPr>
              <w:t xml:space="preserve"> </w:t>
            </w:r>
            <w:r>
              <w:rPr>
                <w:rFonts w:hint="eastAsia"/>
                <w:color w:val="auto"/>
                <w:highlight w:val="none"/>
                <w:u w:val="single"/>
                <w:lang w:val="en-US" w:eastAsia="zh-CN"/>
              </w:rPr>
              <w:t>11</w:t>
            </w:r>
            <w:r>
              <w:rPr>
                <w:rFonts w:hint="eastAsia" w:cs="宋体"/>
                <w:color w:val="auto"/>
                <w:highlight w:val="none"/>
              </w:rPr>
              <w:t>月</w:t>
            </w:r>
            <w:r>
              <w:rPr>
                <w:color w:val="auto"/>
                <w:highlight w:val="none"/>
                <w:u w:val="single"/>
              </w:rPr>
              <w:t xml:space="preserve"> </w:t>
            </w:r>
            <w:r>
              <w:rPr>
                <w:rFonts w:hint="eastAsia"/>
                <w:color w:val="auto"/>
                <w:highlight w:val="none"/>
                <w:u w:val="single"/>
                <w:lang w:val="en-US" w:eastAsia="zh-CN"/>
              </w:rPr>
              <w:t>24</w:t>
            </w:r>
            <w:r>
              <w:rPr>
                <w:rFonts w:hint="eastAsia" w:cs="宋体"/>
                <w:color w:val="auto"/>
                <w:highlight w:val="none"/>
              </w:rPr>
              <w:t>日</w:t>
            </w:r>
            <w:r>
              <w:rPr>
                <w:rFonts w:hint="eastAsia"/>
                <w:color w:val="auto"/>
                <w:highlight w:val="none"/>
                <w:u w:val="single"/>
                <w:lang w:val="en-US" w:eastAsia="zh-CN"/>
              </w:rPr>
              <w:t>11</w:t>
            </w:r>
            <w:r>
              <w:rPr>
                <w:rFonts w:hint="eastAsia" w:cs="宋体"/>
                <w:color w:val="auto"/>
                <w:highlight w:val="none"/>
              </w:rPr>
              <w:t>时</w:t>
            </w:r>
            <w:r>
              <w:rPr>
                <w:rFonts w:hint="eastAsia"/>
                <w:color w:val="auto"/>
                <w:highlight w:val="none"/>
                <w:u w:val="single"/>
                <w:lang w:val="en-US" w:eastAsia="zh-CN"/>
              </w:rPr>
              <w:t>00</w:t>
            </w:r>
            <w:r>
              <w:rPr>
                <w:rFonts w:hint="eastAsia" w:cs="宋体"/>
                <w:color w:val="auto"/>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 w:hRule="atLeast"/>
          <w:jc w:val="center"/>
        </w:trPr>
        <w:tc>
          <w:tcPr>
            <w:tcW w:w="1207" w:type="dxa"/>
            <w:gridSpan w:val="2"/>
            <w:vMerge w:val="continue"/>
            <w:shd w:val="clear" w:color="auto" w:fill="auto"/>
            <w:vAlign w:val="center"/>
          </w:tcPr>
          <w:p>
            <w:pPr>
              <w:spacing w:line="360" w:lineRule="auto"/>
              <w:jc w:val="center"/>
              <w:rPr>
                <w:color w:val="auto"/>
                <w:highlight w:val="none"/>
              </w:rPr>
            </w:pPr>
          </w:p>
        </w:tc>
        <w:tc>
          <w:tcPr>
            <w:tcW w:w="2933" w:type="dxa"/>
            <w:shd w:val="clear" w:color="auto" w:fill="auto"/>
            <w:vAlign w:val="center"/>
          </w:tcPr>
          <w:p>
            <w:pPr>
              <w:spacing w:line="360" w:lineRule="auto"/>
              <w:rPr>
                <w:color w:val="auto"/>
                <w:highlight w:val="none"/>
              </w:rPr>
            </w:pPr>
            <w:r>
              <w:rPr>
                <w:rFonts w:hint="eastAsia" w:cs="宋体"/>
                <w:color w:val="auto"/>
                <w:highlight w:val="none"/>
              </w:rPr>
              <w:t>招标文件澄清发布方式</w:t>
            </w:r>
          </w:p>
        </w:tc>
        <w:tc>
          <w:tcPr>
            <w:tcW w:w="4820" w:type="dxa"/>
            <w:shd w:val="clear" w:color="auto" w:fill="auto"/>
          </w:tcPr>
          <w:p>
            <w:pPr>
              <w:spacing w:line="360" w:lineRule="auto"/>
              <w:rPr>
                <w:color w:val="auto"/>
                <w:highlight w:val="none"/>
                <w:u w:val="single"/>
              </w:rPr>
            </w:pPr>
            <w:r>
              <w:rPr>
                <w:rFonts w:hint="eastAsia" w:ascii="仿宋_GB2312" w:hAnsi="宋体" w:cs="宋体"/>
                <w:color w:val="auto"/>
                <w:highlight w:val="none"/>
              </w:rPr>
              <w:t>在发布媒介上发布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07" w:type="dxa"/>
            <w:gridSpan w:val="2"/>
            <w:shd w:val="clear" w:color="auto" w:fill="auto"/>
            <w:vAlign w:val="center"/>
          </w:tcPr>
          <w:p>
            <w:pPr>
              <w:spacing w:line="360" w:lineRule="auto"/>
              <w:jc w:val="center"/>
              <w:rPr>
                <w:color w:val="auto"/>
                <w:highlight w:val="none"/>
              </w:rPr>
            </w:pPr>
            <w:r>
              <w:rPr>
                <w:color w:val="auto"/>
                <w:highlight w:val="none"/>
              </w:rPr>
              <w:t>2.2.3</w:t>
            </w:r>
          </w:p>
        </w:tc>
        <w:tc>
          <w:tcPr>
            <w:tcW w:w="2933" w:type="dxa"/>
            <w:shd w:val="clear" w:color="auto" w:fill="auto"/>
            <w:vAlign w:val="center"/>
          </w:tcPr>
          <w:p>
            <w:pPr>
              <w:spacing w:line="360" w:lineRule="auto"/>
              <w:rPr>
                <w:color w:val="auto"/>
                <w:highlight w:val="none"/>
              </w:rPr>
            </w:pPr>
            <w:r>
              <w:rPr>
                <w:rFonts w:hint="eastAsia" w:cs="宋体"/>
                <w:color w:val="auto"/>
                <w:highlight w:val="none"/>
              </w:rPr>
              <w:t>投标人确认收到澄清的方式</w:t>
            </w:r>
          </w:p>
        </w:tc>
        <w:tc>
          <w:tcPr>
            <w:tcW w:w="4820" w:type="dxa"/>
            <w:shd w:val="clear" w:color="auto" w:fill="auto"/>
            <w:vAlign w:val="center"/>
          </w:tcPr>
          <w:p>
            <w:pPr>
              <w:spacing w:line="360" w:lineRule="auto"/>
              <w:rPr>
                <w:color w:val="auto"/>
                <w:highlight w:val="none"/>
              </w:rPr>
            </w:pPr>
            <w:r>
              <w:rPr>
                <w:rFonts w:hint="eastAsia" w:cs="宋体"/>
                <w:color w:val="auto"/>
                <w:highlight w:val="none"/>
              </w:rPr>
              <w:t>澄清文件在本章第</w:t>
            </w:r>
            <w:r>
              <w:rPr>
                <w:color w:val="auto"/>
                <w:highlight w:val="none"/>
              </w:rPr>
              <w:t>2.2.2</w:t>
            </w:r>
            <w:r>
              <w:rPr>
                <w:rFonts w:hint="eastAsia" w:cs="宋体"/>
                <w:color w:val="auto"/>
                <w:highlight w:val="none"/>
              </w:rPr>
              <w:t>款规定的网站上发布之日起，视为投标人已收到该澄清。投标人未及时关注招标人在网站上发布的澄清文件造成的损失，由投标人自行负责。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8" w:hRule="atLeast"/>
          <w:jc w:val="center"/>
        </w:trPr>
        <w:tc>
          <w:tcPr>
            <w:tcW w:w="1207" w:type="dxa"/>
            <w:gridSpan w:val="2"/>
            <w:shd w:val="clear" w:color="auto" w:fill="auto"/>
            <w:vAlign w:val="center"/>
          </w:tcPr>
          <w:p>
            <w:pPr>
              <w:spacing w:line="360" w:lineRule="auto"/>
              <w:jc w:val="center"/>
              <w:rPr>
                <w:color w:val="auto"/>
                <w:highlight w:val="none"/>
              </w:rPr>
            </w:pPr>
            <w:r>
              <w:rPr>
                <w:color w:val="auto"/>
                <w:highlight w:val="none"/>
              </w:rPr>
              <w:t>3.1.1</w:t>
            </w:r>
          </w:p>
        </w:tc>
        <w:tc>
          <w:tcPr>
            <w:tcW w:w="2933" w:type="dxa"/>
            <w:shd w:val="clear" w:color="auto" w:fill="auto"/>
            <w:vAlign w:val="center"/>
          </w:tcPr>
          <w:p>
            <w:pPr>
              <w:rPr>
                <w:color w:val="auto"/>
                <w:highlight w:val="none"/>
              </w:rPr>
            </w:pPr>
            <w:r>
              <w:rPr>
                <w:rFonts w:hint="eastAsia" w:cs="宋体"/>
                <w:color w:val="auto"/>
                <w:highlight w:val="none"/>
              </w:rPr>
              <w:t>构成投标文件的材料</w:t>
            </w:r>
          </w:p>
        </w:tc>
        <w:tc>
          <w:tcPr>
            <w:tcW w:w="4820" w:type="dxa"/>
            <w:shd w:val="clear" w:color="auto" w:fill="auto"/>
            <w:vAlign w:val="center"/>
          </w:tcPr>
          <w:p>
            <w:pPr>
              <w:spacing w:line="360" w:lineRule="auto"/>
              <w:rPr>
                <w:color w:val="auto"/>
                <w:highlight w:val="none"/>
              </w:rPr>
            </w:pPr>
            <w:r>
              <w:rPr>
                <w:rFonts w:hint="eastAsia"/>
                <w:color w:val="auto"/>
                <w:highlight w:val="none"/>
              </w:rPr>
              <w:t>投标文件的组成部分：资格审查部分、商务标部分、技术标部分、</w:t>
            </w:r>
            <w:r>
              <w:rPr>
                <w:rFonts w:hint="eastAsia" w:ascii="Calibri" w:hAnsi="Calibri"/>
                <w:color w:val="auto"/>
                <w:highlight w:val="none"/>
              </w:rPr>
              <w:t>企业信誉实力部分（如有）</w:t>
            </w:r>
            <w:r>
              <w:rPr>
                <w:rFonts w:hint="eastAsia"/>
                <w:color w:val="auto"/>
                <w:highlight w:val="none"/>
              </w:rPr>
              <w:t>组成</w:t>
            </w:r>
          </w:p>
          <w:p>
            <w:pPr>
              <w:spacing w:line="360" w:lineRule="auto"/>
              <w:rPr>
                <w:b/>
                <w:color w:val="auto"/>
                <w:highlight w:val="none"/>
              </w:rPr>
            </w:pPr>
            <w:r>
              <w:rPr>
                <w:rFonts w:hint="eastAsia"/>
                <w:b/>
                <w:color w:val="auto"/>
                <w:highlight w:val="none"/>
              </w:rPr>
              <w:t>资格审查部分【备注：以下复印件均须加盖投标人单位公章】：</w:t>
            </w:r>
          </w:p>
          <w:p>
            <w:pPr>
              <w:spacing w:line="360" w:lineRule="auto"/>
              <w:rPr>
                <w:color w:val="auto"/>
                <w:highlight w:val="none"/>
              </w:rPr>
            </w:pPr>
            <w:r>
              <w:rPr>
                <w:rFonts w:hint="eastAsia"/>
                <w:color w:val="auto"/>
                <w:highlight w:val="none"/>
              </w:rPr>
              <w:t>（1）法定代表人身份证明原件及身份证复印件（法定代表人签署投标文件时提供）或者投标文件签署授权委托书（原件），附：法定代表人身份证明及身份证、委托代理人身份证等材料的复印件（委托代理人签署投标文件时提供）；</w:t>
            </w:r>
          </w:p>
          <w:p>
            <w:pPr>
              <w:spacing w:line="360" w:lineRule="auto"/>
              <w:rPr>
                <w:color w:val="auto"/>
                <w:highlight w:val="none"/>
              </w:rPr>
            </w:pPr>
            <w:r>
              <w:rPr>
                <w:rFonts w:hint="eastAsia"/>
                <w:color w:val="auto"/>
                <w:highlight w:val="none"/>
              </w:rPr>
              <w:t>（2）投标人基本情况表（附有效的企业营业执照副本、企业资质证书副本和安全生产许可证副本等的复印件）；</w:t>
            </w:r>
          </w:p>
          <w:p>
            <w:pPr>
              <w:spacing w:line="360" w:lineRule="auto"/>
              <w:rPr>
                <w:color w:val="auto"/>
                <w:highlight w:val="none"/>
              </w:rPr>
            </w:pPr>
            <w:r>
              <w:rPr>
                <w:rFonts w:hint="eastAsia"/>
                <w:color w:val="auto"/>
                <w:highlight w:val="none"/>
              </w:rPr>
              <w:t>（3）建设工程项目管理承诺书；</w:t>
            </w:r>
          </w:p>
          <w:p>
            <w:pPr>
              <w:spacing w:line="360" w:lineRule="auto"/>
              <w:rPr>
                <w:color w:val="auto"/>
                <w:highlight w:val="none"/>
              </w:rPr>
            </w:pPr>
            <w:r>
              <w:rPr>
                <w:rFonts w:hint="eastAsia"/>
                <w:color w:val="auto"/>
                <w:highlight w:val="none"/>
              </w:rPr>
              <w:t>（</w:t>
            </w:r>
            <w:r>
              <w:rPr>
                <w:color w:val="auto"/>
                <w:highlight w:val="none"/>
              </w:rPr>
              <w:t>4</w:t>
            </w:r>
            <w:r>
              <w:rPr>
                <w:rFonts w:hint="eastAsia"/>
                <w:color w:val="auto"/>
                <w:highlight w:val="none"/>
              </w:rPr>
              <w:t>）项目经理简历表（附项目经理注册建造师执业资格证书和安全生产考核合格证书（</w:t>
            </w:r>
            <w:r>
              <w:rPr>
                <w:color w:val="auto"/>
                <w:highlight w:val="none"/>
              </w:rPr>
              <w:t>B</w:t>
            </w:r>
            <w:r>
              <w:rPr>
                <w:rFonts w:hint="eastAsia"/>
                <w:color w:val="auto"/>
                <w:highlight w:val="none"/>
              </w:rPr>
              <w:t>类）的复印件）；</w:t>
            </w:r>
          </w:p>
          <w:p>
            <w:pPr>
              <w:spacing w:line="360" w:lineRule="auto"/>
              <w:rPr>
                <w:color w:val="auto"/>
                <w:highlight w:val="none"/>
              </w:rPr>
            </w:pPr>
            <w:r>
              <w:rPr>
                <w:rFonts w:hint="eastAsia"/>
                <w:color w:val="auto"/>
                <w:highlight w:val="none"/>
              </w:rPr>
              <w:t>（</w:t>
            </w:r>
            <w:r>
              <w:rPr>
                <w:color w:val="auto"/>
                <w:highlight w:val="none"/>
              </w:rPr>
              <w:t>5</w:t>
            </w:r>
            <w:r>
              <w:rPr>
                <w:rFonts w:hint="eastAsia"/>
                <w:color w:val="auto"/>
                <w:highlight w:val="none"/>
              </w:rPr>
              <w:t>）项目技术负责人简历表（附</w:t>
            </w:r>
            <w:r>
              <w:rPr>
                <w:color w:val="auto"/>
                <w:highlight w:val="none"/>
              </w:rPr>
              <w:t>职称证书的</w:t>
            </w:r>
            <w:r>
              <w:rPr>
                <w:rFonts w:hint="eastAsia"/>
                <w:color w:val="auto"/>
                <w:highlight w:val="none"/>
              </w:rPr>
              <w:t>复印</w:t>
            </w:r>
            <w:r>
              <w:rPr>
                <w:color w:val="auto"/>
                <w:highlight w:val="none"/>
              </w:rPr>
              <w:t>件</w:t>
            </w:r>
            <w:r>
              <w:rPr>
                <w:rFonts w:hint="eastAsia"/>
                <w:color w:val="auto"/>
                <w:highlight w:val="none"/>
              </w:rPr>
              <w:t>）；</w:t>
            </w:r>
          </w:p>
          <w:p>
            <w:pPr>
              <w:spacing w:line="360" w:lineRule="auto"/>
              <w:rPr>
                <w:color w:val="auto"/>
                <w:highlight w:val="none"/>
              </w:rPr>
            </w:pPr>
            <w:r>
              <w:rPr>
                <w:rFonts w:hint="eastAsia"/>
                <w:color w:val="auto"/>
                <w:highlight w:val="none"/>
              </w:rPr>
              <w:t>（</w:t>
            </w:r>
            <w:r>
              <w:rPr>
                <w:color w:val="auto"/>
                <w:highlight w:val="none"/>
              </w:rPr>
              <w:t>6</w:t>
            </w:r>
            <w:r>
              <w:rPr>
                <w:rFonts w:hint="eastAsia"/>
                <w:color w:val="auto"/>
                <w:highlight w:val="none"/>
              </w:rPr>
              <w:t>）安全</w:t>
            </w:r>
            <w:r>
              <w:rPr>
                <w:color w:val="auto"/>
                <w:highlight w:val="none"/>
              </w:rPr>
              <w:t>员</w:t>
            </w:r>
            <w:r>
              <w:rPr>
                <w:rFonts w:hint="eastAsia"/>
                <w:color w:val="auto"/>
                <w:highlight w:val="none"/>
              </w:rPr>
              <w:t>的安全生产考核合格证书（</w:t>
            </w:r>
            <w:r>
              <w:rPr>
                <w:color w:val="auto"/>
                <w:highlight w:val="none"/>
              </w:rPr>
              <w:t>C</w:t>
            </w:r>
            <w:r>
              <w:rPr>
                <w:rFonts w:hint="eastAsia"/>
                <w:color w:val="auto"/>
                <w:highlight w:val="none"/>
              </w:rPr>
              <w:t>类）的复印件；</w:t>
            </w:r>
          </w:p>
          <w:p>
            <w:pPr>
              <w:spacing w:line="360" w:lineRule="auto"/>
              <w:rPr>
                <w:color w:val="auto"/>
                <w:highlight w:val="none"/>
              </w:rPr>
            </w:pPr>
            <w:r>
              <w:rPr>
                <w:rFonts w:hint="eastAsia"/>
                <w:color w:val="auto"/>
                <w:highlight w:val="none"/>
              </w:rPr>
              <w:t>（</w:t>
            </w:r>
            <w:r>
              <w:rPr>
                <w:color w:val="auto"/>
                <w:highlight w:val="none"/>
              </w:rPr>
              <w:t>7</w:t>
            </w:r>
            <w:r>
              <w:rPr>
                <w:rFonts w:hint="eastAsia"/>
                <w:color w:val="auto"/>
                <w:highlight w:val="none"/>
              </w:rPr>
              <w:t>）委托代理人、项目经理、技术负责人和主要管理人员近</w:t>
            </w:r>
            <w:r>
              <w:rPr>
                <w:color w:val="auto"/>
                <w:highlight w:val="none"/>
              </w:rPr>
              <w:t>3</w:t>
            </w:r>
            <w:r>
              <w:rPr>
                <w:rFonts w:hint="eastAsia"/>
                <w:color w:val="auto"/>
                <w:highlight w:val="none"/>
              </w:rPr>
              <w:t>个月（时间</w:t>
            </w:r>
            <w:r>
              <w:rPr>
                <w:color w:val="auto"/>
                <w:highlight w:val="none"/>
              </w:rPr>
              <w:t>要求</w:t>
            </w:r>
            <w:r>
              <w:rPr>
                <w:rFonts w:hint="eastAsia"/>
                <w:color w:val="auto"/>
                <w:highlight w:val="none"/>
              </w:rPr>
              <w:t>见“</w:t>
            </w:r>
            <w:r>
              <w:rPr>
                <w:color w:val="auto"/>
                <w:highlight w:val="none"/>
              </w:rPr>
              <w:t>投标人须知前附表</w:t>
            </w:r>
            <w:r>
              <w:rPr>
                <w:rFonts w:hint="eastAsia"/>
                <w:color w:val="auto"/>
                <w:highlight w:val="none"/>
              </w:rPr>
              <w:t>”10.1.4）（从取得营业执照时间起到投标截止时间为止不足要求月数</w:t>
            </w:r>
            <w:r>
              <w:rPr>
                <w:color w:val="auto"/>
                <w:highlight w:val="none"/>
              </w:rPr>
              <w:t>的</w:t>
            </w:r>
            <w:r>
              <w:rPr>
                <w:rFonts w:hint="eastAsia"/>
                <w:color w:val="auto"/>
                <w:highlight w:val="none"/>
              </w:rPr>
              <w:t>只</w:t>
            </w:r>
            <w:r>
              <w:rPr>
                <w:color w:val="auto"/>
                <w:highlight w:val="none"/>
              </w:rPr>
              <w:t>需</w:t>
            </w:r>
            <w:r>
              <w:rPr>
                <w:rFonts w:hint="eastAsia"/>
                <w:color w:val="auto"/>
                <w:highlight w:val="none"/>
              </w:rPr>
              <w:t>提供从</w:t>
            </w:r>
            <w:r>
              <w:rPr>
                <w:color w:val="auto"/>
                <w:highlight w:val="none"/>
              </w:rPr>
              <w:t>取得营业执照</w:t>
            </w:r>
            <w:r>
              <w:rPr>
                <w:rFonts w:hint="eastAsia"/>
                <w:color w:val="auto"/>
                <w:highlight w:val="none"/>
              </w:rPr>
              <w:t>起</w:t>
            </w:r>
            <w:r>
              <w:rPr>
                <w:color w:val="auto"/>
                <w:highlight w:val="none"/>
              </w:rPr>
              <w:t>的证明材料</w:t>
            </w:r>
            <w:r>
              <w:rPr>
                <w:rFonts w:hint="eastAsia"/>
                <w:color w:val="auto"/>
                <w:highlight w:val="none"/>
              </w:rPr>
              <w:t>）在现任职单位依法缴纳社会保险证明材料的复印件；</w:t>
            </w:r>
          </w:p>
          <w:p>
            <w:pPr>
              <w:spacing w:line="360" w:lineRule="auto"/>
              <w:rPr>
                <w:color w:val="auto"/>
                <w:highlight w:val="none"/>
              </w:rPr>
            </w:pPr>
            <w:r>
              <w:rPr>
                <w:rFonts w:hint="eastAsia"/>
                <w:color w:val="auto"/>
                <w:highlight w:val="none"/>
              </w:rPr>
              <w:t>（</w:t>
            </w:r>
            <w:r>
              <w:rPr>
                <w:color w:val="auto"/>
                <w:highlight w:val="none"/>
              </w:rPr>
              <w:t>8</w:t>
            </w:r>
            <w:r>
              <w:rPr>
                <w:rFonts w:hint="eastAsia"/>
                <w:color w:val="auto"/>
                <w:highlight w:val="none"/>
              </w:rPr>
              <w:t>）资格审查需要的其他材料：</w:t>
            </w:r>
            <w:bookmarkStart w:id="52" w:name="_Hlk66177536"/>
          </w:p>
          <w:p>
            <w:pPr>
              <w:numPr>
                <w:ilvl w:val="0"/>
                <w:numId w:val="1"/>
              </w:numPr>
              <w:spacing w:line="360" w:lineRule="auto"/>
              <w:rPr>
                <w:color w:val="auto"/>
                <w:highlight w:val="none"/>
              </w:rPr>
            </w:pPr>
            <w:r>
              <w:rPr>
                <w:rFonts w:hint="eastAsia"/>
                <w:color w:val="auto"/>
                <w:highlight w:val="none"/>
              </w:rPr>
              <w:t>商业信誉声明（见“投标函”）；</w:t>
            </w:r>
          </w:p>
          <w:p>
            <w:pPr>
              <w:numPr>
                <w:ilvl w:val="0"/>
                <w:numId w:val="1"/>
              </w:numPr>
              <w:spacing w:line="360" w:lineRule="auto"/>
              <w:rPr>
                <w:color w:val="auto"/>
                <w:highlight w:val="none"/>
              </w:rPr>
            </w:pPr>
            <w:r>
              <w:rPr>
                <w:rFonts w:hint="eastAsia"/>
                <w:color w:val="auto"/>
                <w:highlight w:val="none"/>
              </w:rPr>
              <w:t>企业财务状况表（附经审计的财务报表）【备注：对于从取得营业执照时间起到投标截止时间为止不足要求年数的企业，只需提交企业取得营业执照年份至所要求最近年份经审计的财务报表】（年份要求见“投标人须知前附表”10.1.4）；</w:t>
            </w:r>
          </w:p>
          <w:p>
            <w:pPr>
              <w:numPr>
                <w:ilvl w:val="0"/>
                <w:numId w:val="1"/>
              </w:numPr>
              <w:spacing w:line="360" w:lineRule="auto"/>
              <w:rPr>
                <w:color w:val="auto"/>
                <w:highlight w:val="none"/>
              </w:rPr>
            </w:pPr>
            <w:r>
              <w:rPr>
                <w:rFonts w:hint="eastAsia"/>
                <w:color w:val="auto"/>
                <w:highlight w:val="none"/>
              </w:rPr>
              <w:t>依法缴纳税收记录（附近3个月（2021年7月至2021年9月）依法缴纳税费证明和社保缴费证明记录的复印件）。【备注：投标人成立不足1个月的，无须提供缴纳税费证明及社保缴费证明加盖供应商公章。依法免税的投标企业，须提供相应文件证明其依法免税】；</w:t>
            </w:r>
          </w:p>
          <w:p>
            <w:pPr>
              <w:numPr>
                <w:ilvl w:val="0"/>
                <w:numId w:val="1"/>
              </w:numPr>
              <w:spacing w:line="360" w:lineRule="auto"/>
              <w:rPr>
                <w:color w:val="auto"/>
                <w:highlight w:val="none"/>
              </w:rPr>
            </w:pPr>
            <w:r>
              <w:rPr>
                <w:rFonts w:hint="eastAsia"/>
                <w:color w:val="auto"/>
                <w:highlight w:val="none"/>
              </w:rPr>
              <w:t>参加政府采购活动前三年内，在经营活动中没有重大违法记录及不良信用记录（见“投标函”）；</w:t>
            </w:r>
          </w:p>
          <w:p>
            <w:pPr>
              <w:numPr>
                <w:ilvl w:val="0"/>
                <w:numId w:val="1"/>
              </w:numPr>
              <w:spacing w:line="360" w:lineRule="auto"/>
              <w:rPr>
                <w:color w:val="auto"/>
                <w:highlight w:val="none"/>
              </w:rPr>
            </w:pPr>
            <w:r>
              <w:rPr>
                <w:rFonts w:hint="eastAsia"/>
                <w:color w:val="auto"/>
                <w:highlight w:val="none"/>
              </w:rPr>
              <w:t>诚信情况（附中国政府采购网 “政府采购严重违法失信行为记录名单”，信用中国网：“失信被执行人”、“重大税收违法案件当事人名单”的信息查询记录（以评标阶段通过网上查询的结果为准）；</w:t>
            </w:r>
          </w:p>
          <w:p>
            <w:pPr>
              <w:numPr>
                <w:ilvl w:val="0"/>
                <w:numId w:val="1"/>
              </w:numPr>
              <w:spacing w:line="360" w:lineRule="auto"/>
              <w:rPr>
                <w:color w:val="auto"/>
                <w:highlight w:val="none"/>
              </w:rPr>
            </w:pPr>
            <w:r>
              <w:rPr>
                <w:rFonts w:hint="eastAsia"/>
                <w:color w:val="auto"/>
                <w:highlight w:val="none"/>
              </w:rPr>
              <w:t>项目管理机构配备情况表、拟投入施工机械设备情况表、企业类似项目一览表（如有）、企业诚信情况一览表（如有）等。</w:t>
            </w:r>
            <w:bookmarkEnd w:id="52"/>
          </w:p>
          <w:p>
            <w:pPr>
              <w:spacing w:line="360" w:lineRule="auto"/>
              <w:rPr>
                <w:b/>
                <w:color w:val="auto"/>
                <w:highlight w:val="none"/>
              </w:rPr>
            </w:pPr>
            <w:r>
              <w:rPr>
                <w:rFonts w:hint="eastAsia"/>
                <w:b/>
                <w:color w:val="auto"/>
                <w:highlight w:val="none"/>
              </w:rPr>
              <w:t>商务标部分：</w:t>
            </w:r>
          </w:p>
          <w:p>
            <w:pPr>
              <w:spacing w:line="360" w:lineRule="auto"/>
              <w:rPr>
                <w:color w:val="auto"/>
                <w:highlight w:val="none"/>
              </w:rPr>
            </w:pPr>
            <w:r>
              <w:rPr>
                <w:rFonts w:hint="eastAsia"/>
                <w:color w:val="auto"/>
                <w:highlight w:val="none"/>
              </w:rPr>
              <w:t>（</w:t>
            </w:r>
            <w:r>
              <w:rPr>
                <w:color w:val="auto"/>
                <w:highlight w:val="none"/>
              </w:rPr>
              <w:t>1</w:t>
            </w:r>
            <w:r>
              <w:rPr>
                <w:rFonts w:hint="eastAsia"/>
                <w:color w:val="auto"/>
                <w:highlight w:val="none"/>
              </w:rPr>
              <w:t>）投标函；</w:t>
            </w:r>
          </w:p>
          <w:p>
            <w:pPr>
              <w:spacing w:line="360" w:lineRule="auto"/>
              <w:rPr>
                <w:color w:val="auto"/>
                <w:highlight w:val="none"/>
              </w:rPr>
            </w:pPr>
            <w:r>
              <w:rPr>
                <w:rFonts w:hint="eastAsia"/>
                <w:color w:val="auto"/>
                <w:highlight w:val="none"/>
              </w:rPr>
              <w:t>（</w:t>
            </w:r>
            <w:r>
              <w:rPr>
                <w:color w:val="auto"/>
                <w:highlight w:val="none"/>
              </w:rPr>
              <w:t>2</w:t>
            </w:r>
            <w:r>
              <w:rPr>
                <w:rFonts w:hint="eastAsia"/>
                <w:color w:val="auto"/>
                <w:highlight w:val="none"/>
              </w:rPr>
              <w:t>）投标函附录；</w:t>
            </w:r>
          </w:p>
          <w:p>
            <w:pPr>
              <w:spacing w:line="360" w:lineRule="auto"/>
              <w:rPr>
                <w:color w:val="auto"/>
                <w:highlight w:val="none"/>
              </w:rPr>
            </w:pPr>
            <w:r>
              <w:rPr>
                <w:rFonts w:hint="eastAsia"/>
                <w:color w:val="auto"/>
                <w:highlight w:val="none"/>
              </w:rPr>
              <w:t>（</w:t>
            </w:r>
            <w:r>
              <w:rPr>
                <w:color w:val="auto"/>
                <w:highlight w:val="none"/>
              </w:rPr>
              <w:t>3</w:t>
            </w:r>
            <w:r>
              <w:rPr>
                <w:rFonts w:hint="eastAsia"/>
                <w:color w:val="auto"/>
                <w:highlight w:val="none"/>
              </w:rPr>
              <w:t>）投标报价表；</w:t>
            </w:r>
          </w:p>
          <w:p>
            <w:pPr>
              <w:spacing w:line="360" w:lineRule="auto"/>
              <w:rPr>
                <w:color w:val="auto"/>
                <w:highlight w:val="none"/>
              </w:rPr>
            </w:pPr>
            <w:r>
              <w:rPr>
                <w:rFonts w:hint="eastAsia"/>
                <w:color w:val="auto"/>
                <w:highlight w:val="none"/>
              </w:rPr>
              <w:t>（</w:t>
            </w:r>
            <w:r>
              <w:rPr>
                <w:color w:val="auto"/>
                <w:highlight w:val="none"/>
              </w:rPr>
              <w:t>4</w:t>
            </w:r>
            <w:r>
              <w:rPr>
                <w:rFonts w:hint="eastAsia"/>
                <w:color w:val="auto"/>
                <w:highlight w:val="none"/>
              </w:rPr>
              <w:t>）清单已标价工程量；</w:t>
            </w:r>
          </w:p>
          <w:p>
            <w:pPr>
              <w:spacing w:line="360" w:lineRule="auto"/>
              <w:rPr>
                <w:color w:val="auto"/>
                <w:highlight w:val="none"/>
              </w:rPr>
            </w:pPr>
            <w:r>
              <w:rPr>
                <w:rFonts w:hint="eastAsia"/>
                <w:color w:val="auto"/>
                <w:highlight w:val="none"/>
              </w:rPr>
              <w:t>（5）</w:t>
            </w:r>
            <w:r>
              <w:rPr>
                <w:color w:val="auto"/>
                <w:highlight w:val="none"/>
              </w:rPr>
              <w:t>企业信誉实力一览表</w:t>
            </w:r>
            <w:r>
              <w:rPr>
                <w:rFonts w:hint="eastAsia"/>
                <w:color w:val="auto"/>
                <w:highlight w:val="none"/>
              </w:rPr>
              <w:t>。</w:t>
            </w:r>
          </w:p>
          <w:p>
            <w:pPr>
              <w:spacing w:line="360" w:lineRule="auto"/>
              <w:rPr>
                <w:b/>
                <w:color w:val="auto"/>
                <w:highlight w:val="none"/>
              </w:rPr>
            </w:pPr>
            <w:r>
              <w:rPr>
                <w:rFonts w:hint="eastAsia"/>
                <w:b/>
                <w:color w:val="auto"/>
                <w:highlight w:val="none"/>
              </w:rPr>
              <w:t>技术标部分：</w:t>
            </w:r>
          </w:p>
          <w:p>
            <w:pPr>
              <w:spacing w:line="360" w:lineRule="auto"/>
              <w:rPr>
                <w:color w:val="auto"/>
                <w:highlight w:val="none"/>
              </w:rPr>
            </w:pPr>
            <w:r>
              <w:rPr>
                <w:rFonts w:hint="eastAsia"/>
                <w:color w:val="auto"/>
                <w:highlight w:val="none"/>
              </w:rPr>
              <w:t>（</w:t>
            </w:r>
            <w:r>
              <w:rPr>
                <w:color w:val="auto"/>
                <w:highlight w:val="none"/>
              </w:rPr>
              <w:t>1</w:t>
            </w:r>
            <w:r>
              <w:rPr>
                <w:rFonts w:hint="eastAsia"/>
                <w:color w:val="auto"/>
                <w:highlight w:val="none"/>
              </w:rPr>
              <w:t>）施工组织设计；</w:t>
            </w:r>
          </w:p>
          <w:p>
            <w:pPr>
              <w:spacing w:line="360" w:lineRule="auto"/>
              <w:rPr>
                <w:color w:val="auto"/>
                <w:highlight w:val="none"/>
              </w:rPr>
            </w:pPr>
            <w:r>
              <w:rPr>
                <w:rFonts w:hint="eastAsia"/>
                <w:color w:val="auto"/>
                <w:highlight w:val="none"/>
              </w:rPr>
              <w:t>（</w:t>
            </w:r>
            <w:r>
              <w:rPr>
                <w:color w:val="auto"/>
                <w:highlight w:val="none"/>
              </w:rPr>
              <w:t>2</w:t>
            </w:r>
            <w:r>
              <w:rPr>
                <w:rFonts w:hint="eastAsia"/>
                <w:color w:val="auto"/>
                <w:highlight w:val="none"/>
              </w:rPr>
              <w:t>）项目管理机构。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jc w:val="center"/>
        </w:trPr>
        <w:tc>
          <w:tcPr>
            <w:tcW w:w="1207" w:type="dxa"/>
            <w:gridSpan w:val="2"/>
            <w:vMerge w:val="restart"/>
            <w:shd w:val="clear" w:color="auto" w:fill="auto"/>
            <w:vAlign w:val="center"/>
          </w:tcPr>
          <w:p>
            <w:pPr>
              <w:spacing w:line="360" w:lineRule="auto"/>
              <w:jc w:val="center"/>
              <w:rPr>
                <w:color w:val="auto"/>
                <w:highlight w:val="none"/>
              </w:rPr>
            </w:pPr>
            <w:r>
              <w:rPr>
                <w:rFonts w:cs="宋体"/>
                <w:color w:val="auto"/>
                <w:highlight w:val="none"/>
              </w:rPr>
              <w:t>3.</w:t>
            </w:r>
            <w:r>
              <w:rPr>
                <w:rFonts w:hint="eastAsia" w:cs="宋体"/>
                <w:color w:val="auto"/>
                <w:highlight w:val="none"/>
              </w:rPr>
              <w:t>1</w:t>
            </w:r>
            <w:r>
              <w:rPr>
                <w:rFonts w:cs="宋体"/>
                <w:color w:val="auto"/>
                <w:highlight w:val="none"/>
              </w:rPr>
              <w:t>.</w:t>
            </w:r>
            <w:r>
              <w:rPr>
                <w:rFonts w:hint="eastAsia" w:cs="宋体"/>
                <w:color w:val="auto"/>
                <w:highlight w:val="none"/>
              </w:rPr>
              <w:t>4</w:t>
            </w:r>
          </w:p>
        </w:tc>
        <w:tc>
          <w:tcPr>
            <w:tcW w:w="2933" w:type="dxa"/>
            <w:shd w:val="clear" w:color="auto" w:fill="auto"/>
            <w:vAlign w:val="center"/>
          </w:tcPr>
          <w:p>
            <w:pPr>
              <w:spacing w:line="360" w:lineRule="auto"/>
              <w:rPr>
                <w:color w:val="auto"/>
                <w:highlight w:val="none"/>
              </w:rPr>
            </w:pPr>
            <w:r>
              <w:rPr>
                <w:rFonts w:hint="eastAsia" w:cs="宋体"/>
                <w:color w:val="auto"/>
                <w:highlight w:val="none"/>
              </w:rPr>
              <w:t>近年财务状况的年份要求</w:t>
            </w:r>
          </w:p>
        </w:tc>
        <w:tc>
          <w:tcPr>
            <w:tcW w:w="4820" w:type="dxa"/>
            <w:shd w:val="clear" w:color="auto" w:fill="auto"/>
            <w:vAlign w:val="center"/>
          </w:tcPr>
          <w:p>
            <w:pPr>
              <w:spacing w:line="360" w:lineRule="auto"/>
              <w:rPr>
                <w:color w:val="auto"/>
                <w:highlight w:val="none"/>
              </w:rPr>
            </w:pPr>
            <w:r>
              <w:rPr>
                <w:rFonts w:hint="eastAsia"/>
                <w:color w:val="auto"/>
                <w:highlight w:val="none"/>
              </w:rPr>
              <w:t>见“</w:t>
            </w:r>
            <w:r>
              <w:rPr>
                <w:color w:val="auto"/>
                <w:highlight w:val="none"/>
              </w:rPr>
              <w:t>投标人须知前附表</w:t>
            </w:r>
            <w:r>
              <w:rPr>
                <w:rFonts w:hint="eastAsia"/>
                <w:color w:val="auto"/>
                <w:highlight w:val="none"/>
              </w:rPr>
              <w:t>”10.1.4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207" w:type="dxa"/>
            <w:gridSpan w:val="2"/>
            <w:vMerge w:val="continue"/>
            <w:shd w:val="clear" w:color="auto" w:fill="auto"/>
          </w:tcPr>
          <w:p>
            <w:pPr>
              <w:spacing w:line="360" w:lineRule="auto"/>
              <w:jc w:val="center"/>
              <w:rPr>
                <w:color w:val="auto"/>
                <w:highlight w:val="none"/>
              </w:rPr>
            </w:pPr>
          </w:p>
        </w:tc>
        <w:tc>
          <w:tcPr>
            <w:tcW w:w="2933" w:type="dxa"/>
            <w:shd w:val="clear" w:color="auto" w:fill="auto"/>
            <w:vAlign w:val="center"/>
          </w:tcPr>
          <w:p>
            <w:pPr>
              <w:spacing w:line="360" w:lineRule="auto"/>
              <w:rPr>
                <w:color w:val="auto"/>
                <w:highlight w:val="none"/>
              </w:rPr>
            </w:pPr>
            <w:r>
              <w:rPr>
                <w:rFonts w:hint="eastAsia" w:cs="宋体"/>
                <w:color w:val="auto"/>
                <w:highlight w:val="none"/>
              </w:rPr>
              <w:t>近年完成的类似项目的年份要求</w:t>
            </w:r>
          </w:p>
        </w:tc>
        <w:tc>
          <w:tcPr>
            <w:tcW w:w="4820" w:type="dxa"/>
            <w:shd w:val="clear" w:color="auto" w:fill="auto"/>
            <w:vAlign w:val="center"/>
          </w:tcPr>
          <w:p>
            <w:pPr>
              <w:spacing w:line="360" w:lineRule="auto"/>
              <w:rPr>
                <w:color w:val="auto"/>
                <w:highlight w:val="none"/>
              </w:rPr>
            </w:pPr>
            <w:r>
              <w:rPr>
                <w:rFonts w:hint="eastAsia"/>
                <w:color w:val="auto"/>
                <w:highlight w:val="none"/>
              </w:rPr>
              <w:t>见“</w:t>
            </w:r>
            <w:r>
              <w:rPr>
                <w:color w:val="auto"/>
                <w:highlight w:val="none"/>
              </w:rPr>
              <w:t>投标人须知前附表</w:t>
            </w:r>
            <w:r>
              <w:rPr>
                <w:rFonts w:hint="eastAsia"/>
                <w:color w:val="auto"/>
                <w:highlight w:val="none"/>
              </w:rPr>
              <w:t>”10.1.4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1207" w:type="dxa"/>
            <w:gridSpan w:val="2"/>
            <w:shd w:val="clear" w:color="auto" w:fill="auto"/>
            <w:vAlign w:val="center"/>
          </w:tcPr>
          <w:p>
            <w:pPr>
              <w:spacing w:line="360" w:lineRule="auto"/>
              <w:jc w:val="center"/>
              <w:rPr>
                <w:color w:val="auto"/>
                <w:highlight w:val="none"/>
              </w:rPr>
            </w:pPr>
            <w:r>
              <w:rPr>
                <w:color w:val="auto"/>
                <w:highlight w:val="none"/>
              </w:rPr>
              <w:t>3.3.1</w:t>
            </w:r>
          </w:p>
        </w:tc>
        <w:tc>
          <w:tcPr>
            <w:tcW w:w="2933" w:type="dxa"/>
            <w:shd w:val="clear" w:color="auto" w:fill="auto"/>
            <w:vAlign w:val="center"/>
          </w:tcPr>
          <w:p>
            <w:pPr>
              <w:spacing w:line="360" w:lineRule="auto"/>
              <w:rPr>
                <w:color w:val="auto"/>
                <w:highlight w:val="none"/>
              </w:rPr>
            </w:pPr>
            <w:r>
              <w:rPr>
                <w:rFonts w:hint="eastAsia" w:cs="宋体"/>
                <w:color w:val="auto"/>
                <w:highlight w:val="none"/>
              </w:rPr>
              <w:t>投标有效期</w:t>
            </w:r>
          </w:p>
        </w:tc>
        <w:tc>
          <w:tcPr>
            <w:tcW w:w="4820" w:type="dxa"/>
            <w:shd w:val="clear" w:color="auto" w:fill="auto"/>
            <w:vAlign w:val="center"/>
          </w:tcPr>
          <w:p>
            <w:pPr>
              <w:spacing w:line="360" w:lineRule="auto"/>
              <w:rPr>
                <w:color w:val="auto"/>
                <w:highlight w:val="none"/>
              </w:rPr>
            </w:pPr>
            <w:r>
              <w:rPr>
                <w:rFonts w:hint="eastAsia" w:cs="宋体"/>
                <w:color w:val="auto"/>
                <w:highlight w:val="none"/>
              </w:rPr>
              <w:t>□</w:t>
            </w:r>
            <w:r>
              <w:rPr>
                <w:color w:val="auto"/>
                <w:highlight w:val="none"/>
              </w:rPr>
              <w:t>45</w:t>
            </w:r>
            <w:r>
              <w:rPr>
                <w:rFonts w:hint="eastAsia" w:cs="宋体"/>
                <w:color w:val="auto"/>
                <w:highlight w:val="none"/>
              </w:rPr>
              <w:t>天</w:t>
            </w:r>
            <w:r>
              <w:rPr>
                <w:color w:val="auto"/>
                <w:highlight w:val="none"/>
              </w:rPr>
              <w:t xml:space="preserve">    </w:t>
            </w:r>
            <w:r>
              <w:rPr>
                <w:rFonts w:hint="eastAsia" w:cs="宋体"/>
                <w:color w:val="auto"/>
                <w:highlight w:val="none"/>
              </w:rPr>
              <w:t>□</w:t>
            </w:r>
            <w:r>
              <w:rPr>
                <w:color w:val="auto"/>
                <w:highlight w:val="none"/>
              </w:rPr>
              <w:t>60</w:t>
            </w:r>
            <w:r>
              <w:rPr>
                <w:rFonts w:hint="eastAsia" w:cs="宋体"/>
                <w:color w:val="auto"/>
                <w:highlight w:val="none"/>
              </w:rPr>
              <w:t>天</w:t>
            </w:r>
            <w:r>
              <w:rPr>
                <w:color w:val="auto"/>
                <w:highlight w:val="none"/>
              </w:rPr>
              <w:t xml:space="preserve">    </w:t>
            </w:r>
            <w:r>
              <w:rPr>
                <w:color w:val="auto"/>
                <w:highlight w:val="none"/>
              </w:rPr>
              <w:sym w:font="Wingdings 2" w:char="F052"/>
            </w:r>
            <w:r>
              <w:rPr>
                <w:color w:val="auto"/>
                <w:highlight w:val="none"/>
              </w:rPr>
              <w:t>90</w:t>
            </w:r>
            <w:r>
              <w:rPr>
                <w:rFonts w:hint="eastAsia" w:cs="宋体"/>
                <w:color w:val="auto"/>
                <w:highlight w:val="none"/>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jc w:val="center"/>
        </w:trPr>
        <w:tc>
          <w:tcPr>
            <w:tcW w:w="1207" w:type="dxa"/>
            <w:gridSpan w:val="2"/>
            <w:shd w:val="clear" w:color="auto" w:fill="auto"/>
            <w:vAlign w:val="center"/>
          </w:tcPr>
          <w:p>
            <w:pPr>
              <w:spacing w:line="360" w:lineRule="auto"/>
              <w:jc w:val="center"/>
              <w:rPr>
                <w:color w:val="auto"/>
                <w:highlight w:val="none"/>
              </w:rPr>
            </w:pPr>
            <w:r>
              <w:rPr>
                <w:color w:val="auto"/>
                <w:highlight w:val="none"/>
              </w:rPr>
              <w:t>3.4.1</w:t>
            </w:r>
          </w:p>
        </w:tc>
        <w:tc>
          <w:tcPr>
            <w:tcW w:w="2933" w:type="dxa"/>
            <w:shd w:val="clear" w:color="auto" w:fill="auto"/>
            <w:vAlign w:val="center"/>
          </w:tcPr>
          <w:p>
            <w:pPr>
              <w:spacing w:line="360" w:lineRule="auto"/>
              <w:rPr>
                <w:color w:val="auto"/>
                <w:highlight w:val="none"/>
              </w:rPr>
            </w:pPr>
            <w:r>
              <w:rPr>
                <w:rFonts w:hint="eastAsia" w:cs="宋体"/>
                <w:color w:val="auto"/>
                <w:highlight w:val="none"/>
              </w:rPr>
              <w:t>投标保证金</w:t>
            </w:r>
          </w:p>
        </w:tc>
        <w:tc>
          <w:tcPr>
            <w:tcW w:w="4820" w:type="dxa"/>
            <w:shd w:val="clear" w:color="auto" w:fill="auto"/>
            <w:vAlign w:val="center"/>
          </w:tcPr>
          <w:p>
            <w:pPr>
              <w:spacing w:line="360" w:lineRule="auto"/>
              <w:rPr>
                <w:color w:val="auto"/>
                <w:highlight w:val="none"/>
              </w:rPr>
            </w:pPr>
            <w:r>
              <w:rPr>
                <w:rFonts w:hint="eastAsia"/>
                <w:color w:val="auto"/>
                <w:highlight w:val="none"/>
              </w:rPr>
              <w:t>本项目不收取投标保证金。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jc w:val="center"/>
        </w:trPr>
        <w:tc>
          <w:tcPr>
            <w:tcW w:w="1207" w:type="dxa"/>
            <w:gridSpan w:val="2"/>
            <w:shd w:val="clear" w:color="auto" w:fill="auto"/>
            <w:vAlign w:val="center"/>
          </w:tcPr>
          <w:p>
            <w:pPr>
              <w:spacing w:line="360" w:lineRule="auto"/>
              <w:jc w:val="center"/>
              <w:rPr>
                <w:color w:val="auto"/>
                <w:highlight w:val="none"/>
              </w:rPr>
            </w:pPr>
            <w:r>
              <w:rPr>
                <w:color w:val="auto"/>
                <w:highlight w:val="none"/>
              </w:rPr>
              <w:t>3.5</w:t>
            </w:r>
          </w:p>
        </w:tc>
        <w:tc>
          <w:tcPr>
            <w:tcW w:w="2933" w:type="dxa"/>
            <w:shd w:val="clear" w:color="auto" w:fill="auto"/>
            <w:vAlign w:val="center"/>
          </w:tcPr>
          <w:p>
            <w:pPr>
              <w:spacing w:line="360" w:lineRule="auto"/>
              <w:rPr>
                <w:color w:val="auto"/>
                <w:highlight w:val="none"/>
              </w:rPr>
            </w:pPr>
            <w:r>
              <w:rPr>
                <w:rFonts w:hint="eastAsia" w:cs="宋体"/>
                <w:color w:val="auto"/>
                <w:highlight w:val="none"/>
              </w:rPr>
              <w:t>是否允许提交备选投标方案</w:t>
            </w:r>
          </w:p>
        </w:tc>
        <w:tc>
          <w:tcPr>
            <w:tcW w:w="4820" w:type="dxa"/>
            <w:shd w:val="clear" w:color="auto" w:fill="auto"/>
            <w:vAlign w:val="center"/>
          </w:tcPr>
          <w:p>
            <w:pPr>
              <w:spacing w:line="360" w:lineRule="auto"/>
              <w:rPr>
                <w:color w:val="auto"/>
                <w:highlight w:val="none"/>
                <w:u w:val="single"/>
              </w:rPr>
            </w:pPr>
            <w:r>
              <w:rPr>
                <w:rFonts w:hint="eastAsia" w:cs="宋体"/>
                <w:color w:val="auto"/>
                <w:highlight w:val="none"/>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07" w:type="dxa"/>
            <w:gridSpan w:val="2"/>
            <w:shd w:val="clear" w:color="auto" w:fill="auto"/>
            <w:vAlign w:val="center"/>
          </w:tcPr>
          <w:p>
            <w:pPr>
              <w:spacing w:line="360" w:lineRule="auto"/>
              <w:jc w:val="center"/>
              <w:rPr>
                <w:color w:val="auto"/>
                <w:highlight w:val="none"/>
              </w:rPr>
            </w:pPr>
            <w:r>
              <w:rPr>
                <w:color w:val="auto"/>
                <w:highlight w:val="none"/>
              </w:rPr>
              <w:t>3.6.3</w:t>
            </w:r>
          </w:p>
        </w:tc>
        <w:tc>
          <w:tcPr>
            <w:tcW w:w="2933" w:type="dxa"/>
            <w:shd w:val="clear" w:color="auto" w:fill="auto"/>
            <w:vAlign w:val="center"/>
          </w:tcPr>
          <w:p>
            <w:pPr>
              <w:spacing w:line="360" w:lineRule="auto"/>
              <w:rPr>
                <w:color w:val="auto"/>
                <w:highlight w:val="none"/>
              </w:rPr>
            </w:pPr>
            <w:r>
              <w:rPr>
                <w:rFonts w:hint="eastAsia" w:cs="宋体"/>
                <w:color w:val="auto"/>
                <w:highlight w:val="none"/>
              </w:rPr>
              <w:t>签字和（或）盖章要求</w:t>
            </w:r>
          </w:p>
        </w:tc>
        <w:tc>
          <w:tcPr>
            <w:tcW w:w="4820" w:type="dxa"/>
            <w:shd w:val="clear" w:color="auto" w:fill="auto"/>
            <w:vAlign w:val="center"/>
          </w:tcPr>
          <w:p>
            <w:pPr>
              <w:spacing w:line="360" w:lineRule="auto"/>
              <w:rPr>
                <w:color w:val="auto"/>
                <w:highlight w:val="none"/>
              </w:rPr>
            </w:pPr>
            <w:r>
              <w:rPr>
                <w:rFonts w:hint="eastAsia" w:cs="宋体"/>
                <w:color w:val="auto"/>
                <w:highlight w:val="none"/>
              </w:rPr>
              <w:t>投标文件正本与副本均应由投标人在招标文件规定的相关位置加盖投标人法人单位公章，且经法定代表人签字（或盖章）或其委托代理人本人签字，否则作否决投标处理。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07" w:type="dxa"/>
            <w:gridSpan w:val="2"/>
            <w:shd w:val="clear" w:color="auto" w:fill="auto"/>
            <w:vAlign w:val="center"/>
          </w:tcPr>
          <w:p>
            <w:pPr>
              <w:spacing w:line="360" w:lineRule="auto"/>
              <w:jc w:val="center"/>
              <w:rPr>
                <w:color w:val="auto"/>
                <w:highlight w:val="none"/>
              </w:rPr>
            </w:pPr>
            <w:r>
              <w:rPr>
                <w:color w:val="auto"/>
                <w:highlight w:val="none"/>
              </w:rPr>
              <w:t>3.6.4</w:t>
            </w:r>
          </w:p>
        </w:tc>
        <w:tc>
          <w:tcPr>
            <w:tcW w:w="2933" w:type="dxa"/>
            <w:shd w:val="clear" w:color="auto" w:fill="auto"/>
            <w:vAlign w:val="center"/>
          </w:tcPr>
          <w:p>
            <w:pPr>
              <w:spacing w:line="360" w:lineRule="auto"/>
              <w:rPr>
                <w:color w:val="auto"/>
                <w:highlight w:val="none"/>
              </w:rPr>
            </w:pPr>
            <w:r>
              <w:rPr>
                <w:rFonts w:hint="eastAsia" w:cs="宋体"/>
                <w:color w:val="auto"/>
                <w:highlight w:val="none"/>
              </w:rPr>
              <w:t>投标文件副本份数</w:t>
            </w:r>
          </w:p>
        </w:tc>
        <w:tc>
          <w:tcPr>
            <w:tcW w:w="4820" w:type="dxa"/>
            <w:shd w:val="clear" w:color="auto" w:fill="auto"/>
            <w:vAlign w:val="center"/>
          </w:tcPr>
          <w:p>
            <w:pPr>
              <w:spacing w:line="360" w:lineRule="auto"/>
              <w:rPr>
                <w:color w:val="auto"/>
                <w:highlight w:val="none"/>
              </w:rPr>
            </w:pPr>
            <w:r>
              <w:rPr>
                <w:rFonts w:hint="eastAsia" w:cs="宋体"/>
                <w:color w:val="auto"/>
                <w:highlight w:val="none"/>
              </w:rPr>
              <w:t>4份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8" w:hRule="atLeast"/>
          <w:jc w:val="center"/>
        </w:trPr>
        <w:tc>
          <w:tcPr>
            <w:tcW w:w="1207" w:type="dxa"/>
            <w:gridSpan w:val="2"/>
            <w:shd w:val="clear" w:color="auto" w:fill="auto"/>
            <w:vAlign w:val="center"/>
          </w:tcPr>
          <w:p>
            <w:pPr>
              <w:spacing w:line="360" w:lineRule="auto"/>
              <w:jc w:val="center"/>
              <w:rPr>
                <w:color w:val="auto"/>
                <w:highlight w:val="none"/>
              </w:rPr>
            </w:pPr>
            <w:r>
              <w:rPr>
                <w:color w:val="auto"/>
                <w:highlight w:val="none"/>
              </w:rPr>
              <w:t>3.6.5</w:t>
            </w:r>
          </w:p>
        </w:tc>
        <w:tc>
          <w:tcPr>
            <w:tcW w:w="2933" w:type="dxa"/>
            <w:shd w:val="clear" w:color="auto" w:fill="auto"/>
            <w:vAlign w:val="center"/>
          </w:tcPr>
          <w:p>
            <w:pPr>
              <w:spacing w:line="360" w:lineRule="auto"/>
              <w:rPr>
                <w:color w:val="auto"/>
                <w:highlight w:val="none"/>
              </w:rPr>
            </w:pPr>
            <w:r>
              <w:rPr>
                <w:rFonts w:hint="eastAsia" w:cs="宋体"/>
                <w:color w:val="auto"/>
                <w:highlight w:val="none"/>
              </w:rPr>
              <w:t>投标文件装订要求</w:t>
            </w:r>
          </w:p>
        </w:tc>
        <w:tc>
          <w:tcPr>
            <w:tcW w:w="4820" w:type="dxa"/>
            <w:shd w:val="clear" w:color="auto" w:fill="auto"/>
            <w:vAlign w:val="center"/>
          </w:tcPr>
          <w:p>
            <w:pPr>
              <w:snapToGrid w:val="0"/>
              <w:spacing w:line="360" w:lineRule="auto"/>
              <w:rPr>
                <w:rFonts w:ascii="Calibri" w:hAnsi="Calibri"/>
                <w:color w:val="auto"/>
                <w:highlight w:val="none"/>
                <w:u w:val="single"/>
              </w:rPr>
            </w:pPr>
            <w:r>
              <w:rPr>
                <w:rFonts w:ascii="Calibri" w:hAnsi="Calibri"/>
                <w:color w:val="auto"/>
                <w:highlight w:val="none"/>
              </w:rPr>
              <w:t>按照投标人须知第3.1.1项规定的投标文件组成内容，投标文件应按以下要求装订：</w:t>
            </w:r>
          </w:p>
          <w:p>
            <w:pPr>
              <w:snapToGrid w:val="0"/>
              <w:spacing w:line="360" w:lineRule="auto"/>
              <w:rPr>
                <w:rFonts w:ascii="Calibri" w:hAnsi="Calibri"/>
                <w:color w:val="auto"/>
                <w:highlight w:val="none"/>
              </w:rPr>
            </w:pPr>
            <w:r>
              <w:rPr>
                <w:rFonts w:hint="eastAsia" w:ascii="Calibri" w:hAnsi="Calibri"/>
                <w:color w:val="auto"/>
                <w:highlight w:val="none"/>
              </w:rPr>
              <w:t>□</w:t>
            </w:r>
            <w:r>
              <w:rPr>
                <w:rFonts w:ascii="Calibri" w:hAnsi="Calibri"/>
                <w:color w:val="auto"/>
                <w:highlight w:val="none"/>
              </w:rPr>
              <w:t>不分册装订</w:t>
            </w:r>
          </w:p>
          <w:p>
            <w:pPr>
              <w:snapToGrid w:val="0"/>
              <w:spacing w:line="360" w:lineRule="auto"/>
              <w:rPr>
                <w:rFonts w:ascii="Calibri" w:hAnsi="Calibri"/>
                <w:color w:val="auto"/>
                <w:highlight w:val="none"/>
              </w:rPr>
            </w:pPr>
            <w:r>
              <w:rPr>
                <w:rFonts w:ascii="Wingdings 2" w:hAnsi="Wingdings 2" w:eastAsia="Wingdings 2"/>
                <w:color w:val="auto"/>
                <w:highlight w:val="none"/>
              </w:rPr>
              <w:t></w:t>
            </w:r>
            <w:r>
              <w:rPr>
                <w:rFonts w:ascii="Calibri" w:hAnsi="Calibri"/>
                <w:color w:val="auto"/>
                <w:highlight w:val="none"/>
              </w:rPr>
              <w:t>分册装订，共分</w:t>
            </w:r>
            <w:r>
              <w:rPr>
                <w:rFonts w:hint="eastAsia" w:ascii="Calibri" w:hAnsi="Calibri"/>
                <w:color w:val="auto"/>
                <w:highlight w:val="none"/>
                <w:u w:val="single"/>
              </w:rPr>
              <w:t>四</w:t>
            </w:r>
            <w:r>
              <w:rPr>
                <w:rFonts w:ascii="Calibri" w:hAnsi="Calibri"/>
                <w:color w:val="auto"/>
                <w:highlight w:val="none"/>
              </w:rPr>
              <w:t>册，分别为：</w:t>
            </w:r>
            <w:r>
              <w:rPr>
                <w:rFonts w:hint="eastAsia" w:ascii="Calibri" w:hAnsi="Calibri"/>
                <w:color w:val="auto"/>
                <w:highlight w:val="none"/>
              </w:rPr>
              <w:t>资格审查部分、商务标部分、技术标部分、企业信誉实力部分。</w:t>
            </w:r>
          </w:p>
          <w:p>
            <w:pPr>
              <w:spacing w:line="360" w:lineRule="auto"/>
              <w:rPr>
                <w:color w:val="auto"/>
                <w:highlight w:val="none"/>
                <w:u w:val="single"/>
              </w:rPr>
            </w:pPr>
            <w:r>
              <w:rPr>
                <w:rFonts w:ascii="Calibri" w:hAnsi="Calibri"/>
                <w:color w:val="auto"/>
                <w:highlight w:val="none"/>
              </w:rPr>
              <w:t>投标文件每册装订应牢固、不易拆散和换页，不得采用活页装订。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1207" w:type="dxa"/>
            <w:gridSpan w:val="2"/>
            <w:shd w:val="clear" w:color="auto" w:fill="auto"/>
            <w:vAlign w:val="center"/>
          </w:tcPr>
          <w:p>
            <w:pPr>
              <w:spacing w:line="360" w:lineRule="auto"/>
              <w:jc w:val="center"/>
              <w:rPr>
                <w:color w:val="auto"/>
                <w:highlight w:val="none"/>
              </w:rPr>
            </w:pPr>
            <w:r>
              <w:rPr>
                <w:color w:val="auto"/>
                <w:highlight w:val="none"/>
              </w:rPr>
              <w:t>4.1.1</w:t>
            </w:r>
          </w:p>
        </w:tc>
        <w:tc>
          <w:tcPr>
            <w:tcW w:w="2933" w:type="dxa"/>
            <w:shd w:val="clear" w:color="auto" w:fill="auto"/>
            <w:vAlign w:val="center"/>
          </w:tcPr>
          <w:p>
            <w:pPr>
              <w:spacing w:line="360" w:lineRule="auto"/>
              <w:rPr>
                <w:color w:val="auto"/>
                <w:highlight w:val="none"/>
              </w:rPr>
            </w:pPr>
            <w:r>
              <w:rPr>
                <w:color w:val="auto"/>
                <w:highlight w:val="none"/>
              </w:rPr>
              <w:t>包装、密封</w:t>
            </w:r>
          </w:p>
        </w:tc>
        <w:tc>
          <w:tcPr>
            <w:tcW w:w="4820" w:type="dxa"/>
            <w:shd w:val="clear" w:color="auto" w:fill="auto"/>
          </w:tcPr>
          <w:p>
            <w:pPr>
              <w:snapToGrid w:val="0"/>
              <w:spacing w:line="360" w:lineRule="auto"/>
              <w:rPr>
                <w:color w:val="auto"/>
                <w:highlight w:val="none"/>
              </w:rPr>
            </w:pPr>
            <w:r>
              <w:rPr>
                <w:color w:val="auto"/>
                <w:highlight w:val="none"/>
              </w:rPr>
              <w:t>投标人应将所有投标文件的资格审查部分、商务标部分、技术标部分</w:t>
            </w:r>
            <w:r>
              <w:rPr>
                <w:rFonts w:hint="eastAsia"/>
                <w:color w:val="auto"/>
                <w:highlight w:val="none"/>
              </w:rPr>
              <w:t>、</w:t>
            </w:r>
            <w:r>
              <w:rPr>
                <w:rFonts w:hint="eastAsia" w:ascii="Calibri" w:hAnsi="Calibri"/>
                <w:color w:val="auto"/>
                <w:highlight w:val="none"/>
              </w:rPr>
              <w:t>企业信誉实力部分、</w:t>
            </w:r>
            <w:r>
              <w:rPr>
                <w:rFonts w:hint="eastAsia"/>
                <w:color w:val="auto"/>
                <w:highlight w:val="none"/>
              </w:rPr>
              <w:t>投标文件电子版</w:t>
            </w:r>
            <w:r>
              <w:rPr>
                <w:color w:val="auto"/>
                <w:highlight w:val="none"/>
              </w:rPr>
              <w:t>分别密封在</w:t>
            </w:r>
            <w:r>
              <w:rPr>
                <w:rFonts w:hint="eastAsia"/>
                <w:color w:val="auto"/>
                <w:highlight w:val="none"/>
                <w:u w:val="single"/>
              </w:rPr>
              <w:t>5</w:t>
            </w:r>
            <w:r>
              <w:rPr>
                <w:color w:val="auto"/>
                <w:highlight w:val="none"/>
              </w:rPr>
              <w:t>个密封袋内，密封袋上清楚地标明“资格审查部分”或“商务标部分”或“技术标部分”或</w:t>
            </w:r>
            <w:r>
              <w:rPr>
                <w:rFonts w:hint="eastAsia"/>
                <w:color w:val="auto"/>
                <w:highlight w:val="none"/>
              </w:rPr>
              <w:t>“</w:t>
            </w:r>
            <w:r>
              <w:rPr>
                <w:rFonts w:hint="eastAsia" w:ascii="Calibri" w:hAnsi="Calibri"/>
                <w:color w:val="auto"/>
                <w:highlight w:val="none"/>
              </w:rPr>
              <w:t>企业信誉实力部分</w:t>
            </w:r>
            <w:r>
              <w:rPr>
                <w:rFonts w:hint="eastAsia"/>
                <w:color w:val="auto"/>
                <w:highlight w:val="none"/>
              </w:rPr>
              <w:t>”或投标文件电子版</w:t>
            </w:r>
            <w:r>
              <w:rPr>
                <w:color w:val="auto"/>
                <w:highlight w:val="none"/>
              </w:rPr>
              <w:t>。</w:t>
            </w:r>
          </w:p>
          <w:p>
            <w:pPr>
              <w:snapToGrid w:val="0"/>
              <w:spacing w:line="360" w:lineRule="auto"/>
              <w:rPr>
                <w:color w:val="auto"/>
                <w:highlight w:val="none"/>
              </w:rPr>
            </w:pPr>
            <w:r>
              <w:rPr>
                <w:rFonts w:hint="eastAsia"/>
                <w:color w:val="auto"/>
                <w:highlight w:val="none"/>
              </w:rPr>
              <w:t>提交投标文件时应为</w:t>
            </w:r>
            <w:r>
              <w:rPr>
                <w:rFonts w:hint="eastAsia"/>
                <w:color w:val="auto"/>
                <w:highlight w:val="none"/>
                <w:u w:val="single"/>
              </w:rPr>
              <w:t>1</w:t>
            </w:r>
            <w:r>
              <w:rPr>
                <w:rFonts w:hint="eastAsia"/>
                <w:color w:val="auto"/>
                <w:highlight w:val="none"/>
              </w:rPr>
              <w:t>个密封袋。</w:t>
            </w:r>
          </w:p>
          <w:p>
            <w:pPr>
              <w:spacing w:line="360" w:lineRule="auto"/>
              <w:rPr>
                <w:color w:val="auto"/>
                <w:highlight w:val="none"/>
              </w:rPr>
            </w:pPr>
            <w:r>
              <w:rPr>
                <w:color w:val="auto"/>
                <w:highlight w:val="none"/>
              </w:rPr>
              <w:t>投标文件密封袋的封口处应加贴封条并加盖投标人法人单位公章以示密封</w:t>
            </w:r>
            <w:r>
              <w:rPr>
                <w:rFonts w:hint="eastAsia"/>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46" w:hRule="atLeast"/>
          <w:jc w:val="center"/>
        </w:trPr>
        <w:tc>
          <w:tcPr>
            <w:tcW w:w="1207" w:type="dxa"/>
            <w:gridSpan w:val="2"/>
            <w:shd w:val="clear" w:color="auto" w:fill="auto"/>
            <w:vAlign w:val="center"/>
          </w:tcPr>
          <w:p>
            <w:pPr>
              <w:spacing w:line="360" w:lineRule="auto"/>
              <w:jc w:val="center"/>
              <w:rPr>
                <w:color w:val="auto"/>
                <w:highlight w:val="none"/>
              </w:rPr>
            </w:pPr>
            <w:r>
              <w:rPr>
                <w:color w:val="auto"/>
                <w:highlight w:val="none"/>
              </w:rPr>
              <w:t>4.1.2</w:t>
            </w:r>
          </w:p>
        </w:tc>
        <w:tc>
          <w:tcPr>
            <w:tcW w:w="2933" w:type="dxa"/>
            <w:shd w:val="clear" w:color="auto" w:fill="auto"/>
            <w:vAlign w:val="center"/>
          </w:tcPr>
          <w:p>
            <w:pPr>
              <w:spacing w:line="360" w:lineRule="auto"/>
              <w:rPr>
                <w:color w:val="auto"/>
                <w:highlight w:val="none"/>
              </w:rPr>
            </w:pPr>
            <w:r>
              <w:rPr>
                <w:rFonts w:hint="eastAsia" w:cs="宋体"/>
                <w:color w:val="auto"/>
                <w:highlight w:val="none"/>
              </w:rPr>
              <w:t>封套上写明</w:t>
            </w:r>
          </w:p>
        </w:tc>
        <w:tc>
          <w:tcPr>
            <w:tcW w:w="4820" w:type="dxa"/>
            <w:shd w:val="clear" w:color="auto" w:fill="auto"/>
            <w:vAlign w:val="center"/>
          </w:tcPr>
          <w:p>
            <w:pPr>
              <w:tabs>
                <w:tab w:val="left" w:pos="1012"/>
              </w:tabs>
              <w:spacing w:line="360" w:lineRule="auto"/>
              <w:ind w:left="479" w:hanging="478" w:hangingChars="228"/>
              <w:jc w:val="left"/>
              <w:rPr>
                <w:color w:val="auto"/>
                <w:highlight w:val="none"/>
              </w:rPr>
            </w:pPr>
            <w:bookmarkStart w:id="53" w:name="_Toc251051521"/>
            <w:r>
              <w:rPr>
                <w:rFonts w:hint="eastAsia" w:cs="宋体"/>
                <w:color w:val="auto"/>
                <w:highlight w:val="none"/>
              </w:rPr>
              <w:t>项目招标编号：</w:t>
            </w:r>
          </w:p>
          <w:p>
            <w:pPr>
              <w:tabs>
                <w:tab w:val="left" w:pos="1012"/>
              </w:tabs>
              <w:spacing w:line="360" w:lineRule="auto"/>
              <w:ind w:left="479" w:hanging="478" w:hangingChars="228"/>
              <w:jc w:val="left"/>
              <w:rPr>
                <w:color w:val="auto"/>
                <w:highlight w:val="none"/>
              </w:rPr>
            </w:pPr>
            <w:r>
              <w:rPr>
                <w:rFonts w:hint="eastAsia" w:cs="宋体"/>
                <w:color w:val="auto"/>
                <w:highlight w:val="none"/>
              </w:rPr>
              <w:t>招标人的地址：</w:t>
            </w:r>
          </w:p>
          <w:p>
            <w:pPr>
              <w:tabs>
                <w:tab w:val="left" w:pos="1012"/>
              </w:tabs>
              <w:spacing w:line="360" w:lineRule="auto"/>
              <w:ind w:left="479" w:hanging="478" w:hangingChars="228"/>
              <w:jc w:val="left"/>
              <w:rPr>
                <w:color w:val="auto"/>
                <w:highlight w:val="none"/>
              </w:rPr>
            </w:pPr>
            <w:r>
              <w:rPr>
                <w:rFonts w:hint="eastAsia" w:cs="宋体"/>
                <w:color w:val="auto"/>
                <w:highlight w:val="none"/>
              </w:rPr>
              <w:t>招标人名称</w:t>
            </w:r>
            <w:bookmarkEnd w:id="53"/>
            <w:r>
              <w:rPr>
                <w:rFonts w:hint="eastAsia" w:cs="宋体"/>
                <w:color w:val="auto"/>
                <w:highlight w:val="none"/>
              </w:rPr>
              <w:t>：</w:t>
            </w:r>
          </w:p>
          <w:p>
            <w:pPr>
              <w:spacing w:line="360" w:lineRule="auto"/>
              <w:rPr>
                <w:color w:val="auto"/>
                <w:highlight w:val="none"/>
              </w:rPr>
            </w:pPr>
            <w:r>
              <w:rPr>
                <w:color w:val="auto"/>
                <w:highlight w:val="none"/>
                <w:u w:val="single"/>
              </w:rPr>
              <w:t xml:space="preserve">                     </w:t>
            </w:r>
            <w:r>
              <w:rPr>
                <w:rFonts w:hint="eastAsia" w:cs="宋体"/>
                <w:color w:val="auto"/>
                <w:highlight w:val="none"/>
              </w:rPr>
              <w:t>（项目名称）投标文件</w:t>
            </w:r>
          </w:p>
          <w:p>
            <w:pPr>
              <w:spacing w:line="360" w:lineRule="auto"/>
              <w:rPr>
                <w:color w:val="auto"/>
                <w:highlight w:val="none"/>
              </w:rPr>
            </w:pPr>
            <w:r>
              <w:rPr>
                <w:rFonts w:hint="eastAsia" w:cs="宋体"/>
                <w:color w:val="auto"/>
                <w:highlight w:val="none"/>
              </w:rPr>
              <w:t>投标人地址：</w:t>
            </w:r>
          </w:p>
          <w:p>
            <w:pPr>
              <w:spacing w:line="360" w:lineRule="auto"/>
              <w:rPr>
                <w:color w:val="auto"/>
                <w:highlight w:val="none"/>
              </w:rPr>
            </w:pPr>
            <w:r>
              <w:rPr>
                <w:rFonts w:hint="eastAsia" w:cs="宋体"/>
                <w:color w:val="auto"/>
                <w:highlight w:val="none"/>
              </w:rPr>
              <w:t>投标人名称：</w:t>
            </w:r>
          </w:p>
          <w:p>
            <w:pPr>
              <w:spacing w:line="360" w:lineRule="auto"/>
              <w:rPr>
                <w:color w:val="auto"/>
                <w:highlight w:val="none"/>
              </w:rPr>
            </w:pPr>
            <w:r>
              <w:rPr>
                <w:rFonts w:hint="eastAsia" w:cs="宋体"/>
                <w:color w:val="auto"/>
                <w:highlight w:val="none"/>
              </w:rPr>
              <w:t>在</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r>
              <w:rPr>
                <w:color w:val="auto"/>
                <w:highlight w:val="none"/>
                <w:u w:val="single"/>
              </w:rPr>
              <w:t xml:space="preserve">   </w:t>
            </w:r>
            <w:r>
              <w:rPr>
                <w:rFonts w:hint="eastAsia" w:cs="宋体"/>
                <w:color w:val="auto"/>
                <w:highlight w:val="none"/>
              </w:rPr>
              <w:t>时</w:t>
            </w:r>
            <w:r>
              <w:rPr>
                <w:color w:val="auto"/>
                <w:highlight w:val="none"/>
                <w:u w:val="single"/>
              </w:rPr>
              <w:t xml:space="preserve">   </w:t>
            </w:r>
            <w:r>
              <w:rPr>
                <w:rFonts w:hint="eastAsia" w:cs="宋体"/>
                <w:color w:val="auto"/>
                <w:highlight w:val="none"/>
              </w:rPr>
              <w:t>分前不得开启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1207" w:type="dxa"/>
            <w:gridSpan w:val="2"/>
            <w:shd w:val="clear" w:color="auto" w:fill="auto"/>
            <w:vAlign w:val="center"/>
          </w:tcPr>
          <w:p>
            <w:pPr>
              <w:spacing w:line="360" w:lineRule="auto"/>
              <w:jc w:val="center"/>
              <w:rPr>
                <w:color w:val="auto"/>
                <w:highlight w:val="none"/>
              </w:rPr>
            </w:pPr>
            <w:r>
              <w:rPr>
                <w:color w:val="auto"/>
                <w:highlight w:val="none"/>
              </w:rPr>
              <w:t>4.2.2</w:t>
            </w:r>
          </w:p>
        </w:tc>
        <w:tc>
          <w:tcPr>
            <w:tcW w:w="2933" w:type="dxa"/>
            <w:shd w:val="clear" w:color="auto" w:fill="auto"/>
            <w:vAlign w:val="center"/>
          </w:tcPr>
          <w:p>
            <w:pPr>
              <w:spacing w:line="360" w:lineRule="auto"/>
              <w:rPr>
                <w:color w:val="auto"/>
                <w:highlight w:val="none"/>
              </w:rPr>
            </w:pPr>
            <w:r>
              <w:rPr>
                <w:rFonts w:hint="eastAsia" w:cs="宋体"/>
                <w:color w:val="auto"/>
                <w:highlight w:val="none"/>
              </w:rPr>
              <w:t>递交投标文件地点</w:t>
            </w:r>
          </w:p>
        </w:tc>
        <w:tc>
          <w:tcPr>
            <w:tcW w:w="4820" w:type="dxa"/>
            <w:shd w:val="clear" w:color="auto" w:fill="auto"/>
            <w:vAlign w:val="center"/>
          </w:tcPr>
          <w:p>
            <w:pPr>
              <w:spacing w:line="360" w:lineRule="auto"/>
              <w:rPr>
                <w:color w:val="auto"/>
                <w:highlight w:val="none"/>
                <w:u w:val="single"/>
              </w:rPr>
            </w:pPr>
            <w:r>
              <w:rPr>
                <w:rFonts w:hint="eastAsia" w:cs="宋体"/>
                <w:color w:val="auto"/>
                <w:highlight w:val="none"/>
              </w:rPr>
              <w:t>广西壮族自治区公共资源交易中心（广西南宁市青秀区怡宾路6号广西政务服务中心四楼，具体详见四楼电子显示屏场地安排）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1207" w:type="dxa"/>
            <w:gridSpan w:val="2"/>
            <w:shd w:val="clear" w:color="auto" w:fill="auto"/>
            <w:vAlign w:val="center"/>
          </w:tcPr>
          <w:p>
            <w:pPr>
              <w:spacing w:line="360" w:lineRule="auto"/>
              <w:jc w:val="center"/>
              <w:rPr>
                <w:color w:val="auto"/>
                <w:highlight w:val="none"/>
              </w:rPr>
            </w:pPr>
            <w:r>
              <w:rPr>
                <w:color w:val="auto"/>
                <w:highlight w:val="none"/>
              </w:rPr>
              <w:t>4.2.3</w:t>
            </w:r>
          </w:p>
        </w:tc>
        <w:tc>
          <w:tcPr>
            <w:tcW w:w="2933" w:type="dxa"/>
            <w:shd w:val="clear" w:color="auto" w:fill="auto"/>
            <w:vAlign w:val="center"/>
          </w:tcPr>
          <w:p>
            <w:pPr>
              <w:spacing w:line="360" w:lineRule="auto"/>
              <w:rPr>
                <w:color w:val="auto"/>
                <w:highlight w:val="none"/>
              </w:rPr>
            </w:pPr>
            <w:r>
              <w:rPr>
                <w:rFonts w:hint="eastAsia" w:cs="宋体"/>
                <w:color w:val="auto"/>
                <w:highlight w:val="none"/>
              </w:rPr>
              <w:t>是否退还投标文件</w:t>
            </w:r>
          </w:p>
        </w:tc>
        <w:tc>
          <w:tcPr>
            <w:tcW w:w="4820" w:type="dxa"/>
            <w:shd w:val="clear" w:color="auto" w:fill="auto"/>
            <w:vAlign w:val="center"/>
          </w:tcPr>
          <w:p>
            <w:pPr>
              <w:spacing w:line="360" w:lineRule="auto"/>
              <w:rPr>
                <w:color w:val="auto"/>
                <w:highlight w:val="none"/>
                <w:u w:val="single"/>
              </w:rPr>
            </w:pPr>
            <w:r>
              <w:rPr>
                <w:rFonts w:hint="eastAsia" w:cs="宋体"/>
                <w:color w:val="auto"/>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 w:hRule="atLeast"/>
          <w:jc w:val="center"/>
        </w:trPr>
        <w:tc>
          <w:tcPr>
            <w:tcW w:w="1207" w:type="dxa"/>
            <w:gridSpan w:val="2"/>
            <w:shd w:val="clear" w:color="auto" w:fill="auto"/>
            <w:vAlign w:val="center"/>
          </w:tcPr>
          <w:p>
            <w:pPr>
              <w:spacing w:line="360" w:lineRule="auto"/>
              <w:jc w:val="center"/>
              <w:rPr>
                <w:color w:val="auto"/>
                <w:highlight w:val="none"/>
              </w:rPr>
            </w:pPr>
            <w:r>
              <w:rPr>
                <w:color w:val="auto"/>
                <w:highlight w:val="none"/>
              </w:rPr>
              <w:t>5.1</w:t>
            </w:r>
          </w:p>
        </w:tc>
        <w:tc>
          <w:tcPr>
            <w:tcW w:w="2933" w:type="dxa"/>
            <w:shd w:val="clear" w:color="auto" w:fill="auto"/>
            <w:vAlign w:val="center"/>
          </w:tcPr>
          <w:p>
            <w:pPr>
              <w:spacing w:line="360" w:lineRule="auto"/>
              <w:rPr>
                <w:color w:val="auto"/>
                <w:highlight w:val="none"/>
              </w:rPr>
            </w:pPr>
            <w:r>
              <w:rPr>
                <w:rFonts w:hint="eastAsia" w:cs="宋体"/>
                <w:color w:val="auto"/>
                <w:highlight w:val="none"/>
              </w:rPr>
              <w:t>开标时间和地点</w:t>
            </w:r>
          </w:p>
        </w:tc>
        <w:tc>
          <w:tcPr>
            <w:tcW w:w="4820" w:type="dxa"/>
            <w:shd w:val="clear" w:color="auto" w:fill="auto"/>
            <w:vAlign w:val="center"/>
          </w:tcPr>
          <w:p>
            <w:pPr>
              <w:spacing w:line="360" w:lineRule="auto"/>
              <w:rPr>
                <w:color w:val="auto"/>
                <w:highlight w:val="none"/>
              </w:rPr>
            </w:pPr>
            <w:r>
              <w:rPr>
                <w:rFonts w:hint="eastAsia" w:cs="宋体"/>
                <w:color w:val="auto"/>
                <w:highlight w:val="none"/>
              </w:rPr>
              <w:t>开标时间：同投标截止时间</w:t>
            </w:r>
          </w:p>
          <w:p>
            <w:pPr>
              <w:spacing w:line="360" w:lineRule="auto"/>
              <w:rPr>
                <w:color w:val="auto"/>
                <w:highlight w:val="none"/>
              </w:rPr>
            </w:pPr>
            <w:r>
              <w:rPr>
                <w:rFonts w:hint="eastAsia" w:cs="宋体"/>
                <w:color w:val="auto"/>
                <w:highlight w:val="none"/>
              </w:rPr>
              <w:t>开标地点：</w:t>
            </w:r>
            <w:r>
              <w:rPr>
                <w:rFonts w:hint="eastAsia" w:cs="宋体"/>
                <w:color w:val="auto"/>
                <w:highlight w:val="none"/>
                <w:u w:val="single"/>
              </w:rPr>
              <w:t>同递交投标文件地点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1207" w:type="dxa"/>
            <w:gridSpan w:val="2"/>
            <w:shd w:val="clear" w:color="auto" w:fill="auto"/>
            <w:vAlign w:val="center"/>
          </w:tcPr>
          <w:p>
            <w:pPr>
              <w:spacing w:line="360" w:lineRule="auto"/>
              <w:jc w:val="center"/>
              <w:rPr>
                <w:color w:val="auto"/>
                <w:highlight w:val="none"/>
              </w:rPr>
            </w:pPr>
            <w:r>
              <w:rPr>
                <w:color w:val="auto"/>
                <w:highlight w:val="none"/>
              </w:rPr>
              <w:t>5.2</w:t>
            </w:r>
          </w:p>
        </w:tc>
        <w:tc>
          <w:tcPr>
            <w:tcW w:w="2933" w:type="dxa"/>
            <w:shd w:val="clear" w:color="auto" w:fill="auto"/>
            <w:vAlign w:val="center"/>
          </w:tcPr>
          <w:p>
            <w:pPr>
              <w:spacing w:line="360" w:lineRule="auto"/>
              <w:rPr>
                <w:color w:val="auto"/>
                <w:highlight w:val="none"/>
              </w:rPr>
            </w:pPr>
            <w:r>
              <w:rPr>
                <w:rFonts w:hint="eastAsia" w:cs="宋体"/>
                <w:color w:val="auto"/>
                <w:highlight w:val="none"/>
              </w:rPr>
              <w:t>开标程序</w:t>
            </w:r>
          </w:p>
        </w:tc>
        <w:tc>
          <w:tcPr>
            <w:tcW w:w="4820" w:type="dxa"/>
            <w:shd w:val="clear" w:color="auto" w:fill="auto"/>
            <w:vAlign w:val="center"/>
          </w:tcPr>
          <w:p>
            <w:pPr>
              <w:snapToGrid w:val="0"/>
              <w:spacing w:line="360" w:lineRule="auto"/>
              <w:rPr>
                <w:rFonts w:ascii="Calibri" w:hAnsi="Calibri"/>
                <w:color w:val="auto"/>
                <w:highlight w:val="none"/>
              </w:rPr>
            </w:pPr>
            <w:r>
              <w:rPr>
                <w:rFonts w:ascii="Wingdings 2" w:hAnsi="Wingdings 2" w:eastAsia="Wingdings 2"/>
                <w:color w:val="auto"/>
                <w:highlight w:val="none"/>
              </w:rPr>
              <w:t></w:t>
            </w:r>
            <w:r>
              <w:rPr>
                <w:rFonts w:ascii="Calibri" w:hAnsi="Calibri"/>
                <w:color w:val="auto"/>
                <w:highlight w:val="none"/>
              </w:rPr>
              <w:t>技术标明标开标程</w:t>
            </w:r>
            <w:r>
              <w:rPr>
                <w:rFonts w:hint="eastAsia" w:ascii="Calibri" w:hAnsi="Calibri"/>
                <w:color w:val="auto"/>
                <w:highlight w:val="none"/>
              </w:rPr>
              <w:t>序</w:t>
            </w:r>
          </w:p>
          <w:p>
            <w:pPr>
              <w:snapToGrid w:val="0"/>
              <w:spacing w:line="360" w:lineRule="auto"/>
              <w:rPr>
                <w:rFonts w:ascii="Calibri" w:hAnsi="Calibri"/>
                <w:color w:val="auto"/>
                <w:highlight w:val="none"/>
              </w:rPr>
            </w:pPr>
            <w:r>
              <w:rPr>
                <w:rFonts w:ascii="Calibri" w:hAnsi="Calibri"/>
                <w:color w:val="auto"/>
                <w:highlight w:val="none"/>
              </w:rPr>
              <w:t>开标顺序：随机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207" w:type="dxa"/>
            <w:gridSpan w:val="2"/>
            <w:shd w:val="clear" w:color="auto" w:fill="auto"/>
            <w:vAlign w:val="center"/>
          </w:tcPr>
          <w:p>
            <w:pPr>
              <w:spacing w:line="360" w:lineRule="auto"/>
              <w:jc w:val="center"/>
              <w:rPr>
                <w:color w:val="auto"/>
                <w:highlight w:val="none"/>
              </w:rPr>
            </w:pPr>
            <w:r>
              <w:rPr>
                <w:color w:val="auto"/>
                <w:highlight w:val="none"/>
              </w:rPr>
              <w:t>6.1.1</w:t>
            </w:r>
          </w:p>
        </w:tc>
        <w:tc>
          <w:tcPr>
            <w:tcW w:w="2933" w:type="dxa"/>
            <w:shd w:val="clear" w:color="auto" w:fill="auto"/>
            <w:vAlign w:val="center"/>
          </w:tcPr>
          <w:p>
            <w:pPr>
              <w:spacing w:line="360" w:lineRule="auto"/>
              <w:rPr>
                <w:color w:val="auto"/>
                <w:highlight w:val="none"/>
              </w:rPr>
            </w:pPr>
            <w:r>
              <w:rPr>
                <w:rFonts w:hint="eastAsia" w:cs="宋体"/>
                <w:color w:val="auto"/>
                <w:highlight w:val="none"/>
              </w:rPr>
              <w:t>评标委员会的组建</w:t>
            </w:r>
          </w:p>
        </w:tc>
        <w:tc>
          <w:tcPr>
            <w:tcW w:w="4820" w:type="dxa"/>
            <w:shd w:val="clear" w:color="auto" w:fill="auto"/>
            <w:vAlign w:val="center"/>
          </w:tcPr>
          <w:p>
            <w:pPr>
              <w:spacing w:line="360" w:lineRule="auto"/>
              <w:jc w:val="left"/>
              <w:rPr>
                <w:color w:val="auto"/>
                <w:highlight w:val="none"/>
              </w:rPr>
            </w:pPr>
            <w:r>
              <w:rPr>
                <w:rFonts w:hint="eastAsia" w:cs="宋体"/>
                <w:color w:val="auto"/>
                <w:highlight w:val="none"/>
              </w:rPr>
              <w:t>评标委员会构成：</w:t>
            </w:r>
            <w:r>
              <w:rPr>
                <w:color w:val="auto"/>
                <w:highlight w:val="none"/>
                <w:u w:val="single"/>
              </w:rPr>
              <w:t>5</w:t>
            </w:r>
            <w:r>
              <w:rPr>
                <w:rFonts w:hint="eastAsia" w:cs="宋体"/>
                <w:color w:val="auto"/>
                <w:highlight w:val="none"/>
              </w:rPr>
              <w:t>人，其中招标人代表</w:t>
            </w:r>
            <w:r>
              <w:rPr>
                <w:rFonts w:hint="eastAsia" w:cs="宋体"/>
                <w:color w:val="auto"/>
                <w:highlight w:val="none"/>
                <w:u w:val="single"/>
              </w:rPr>
              <w:t>1</w:t>
            </w:r>
            <w:r>
              <w:rPr>
                <w:rFonts w:hint="eastAsia" w:cs="宋体"/>
                <w:color w:val="auto"/>
                <w:highlight w:val="none"/>
              </w:rPr>
              <w:t>人，专家</w:t>
            </w:r>
            <w:r>
              <w:rPr>
                <w:color w:val="auto"/>
                <w:highlight w:val="none"/>
                <w:u w:val="single"/>
              </w:rPr>
              <w:t>4</w:t>
            </w:r>
            <w:r>
              <w:rPr>
                <w:rFonts w:hint="eastAsia" w:cs="宋体"/>
                <w:color w:val="auto"/>
                <w:highlight w:val="none"/>
              </w:rPr>
              <w:t>人。</w:t>
            </w:r>
          </w:p>
          <w:p>
            <w:pPr>
              <w:spacing w:line="360" w:lineRule="auto"/>
              <w:rPr>
                <w:rFonts w:eastAsia="楷体_GB2312" w:cs="楷体_GB2312"/>
                <w:color w:val="auto"/>
                <w:highlight w:val="none"/>
              </w:rPr>
            </w:pPr>
            <w:r>
              <w:rPr>
                <w:rFonts w:hint="eastAsia" w:cs="宋体"/>
                <w:color w:val="auto"/>
                <w:highlight w:val="none"/>
              </w:rPr>
              <w:t>评标专家分工：</w:t>
            </w:r>
            <w:r>
              <w:rPr>
                <w:rFonts w:hint="eastAsia"/>
                <w:color w:val="auto"/>
                <w:highlight w:val="none"/>
              </w:rPr>
              <w:t>分技术、经济类，其中，招标人代表参加技术类</w:t>
            </w:r>
            <w:r>
              <w:rPr>
                <w:color w:val="auto"/>
                <w:highlight w:val="none"/>
                <w:u w:val="single"/>
              </w:rPr>
              <w:t xml:space="preserve"> 1 </w:t>
            </w:r>
            <w:r>
              <w:rPr>
                <w:rFonts w:hint="eastAsia"/>
                <w:color w:val="auto"/>
                <w:highlight w:val="none"/>
              </w:rPr>
              <w:t>人、经济类</w:t>
            </w:r>
            <w:r>
              <w:rPr>
                <w:color w:val="auto"/>
                <w:highlight w:val="none"/>
                <w:u w:val="single"/>
              </w:rPr>
              <w:t xml:space="preserve"> 0</w:t>
            </w:r>
            <w:r>
              <w:rPr>
                <w:rFonts w:hint="eastAsia"/>
                <w:color w:val="auto"/>
                <w:highlight w:val="none"/>
              </w:rPr>
              <w:t>人；技术类专家</w:t>
            </w:r>
            <w:r>
              <w:rPr>
                <w:color w:val="auto"/>
                <w:highlight w:val="none"/>
                <w:u w:val="single"/>
              </w:rPr>
              <w:t xml:space="preserve"> 2 </w:t>
            </w:r>
            <w:r>
              <w:rPr>
                <w:rFonts w:hint="eastAsia"/>
                <w:color w:val="auto"/>
                <w:highlight w:val="none"/>
              </w:rPr>
              <w:t>人、经济类专家</w:t>
            </w:r>
            <w:r>
              <w:rPr>
                <w:color w:val="auto"/>
                <w:highlight w:val="none"/>
                <w:u w:val="single"/>
              </w:rPr>
              <w:t xml:space="preserve"> 2 </w:t>
            </w:r>
            <w:r>
              <w:rPr>
                <w:rFonts w:hint="eastAsia"/>
                <w:color w:val="auto"/>
                <w:highlight w:val="none"/>
              </w:rPr>
              <w:t>人。</w:t>
            </w:r>
          </w:p>
          <w:p>
            <w:pPr>
              <w:spacing w:line="360" w:lineRule="auto"/>
              <w:rPr>
                <w:color w:val="auto"/>
                <w:highlight w:val="none"/>
              </w:rPr>
            </w:pPr>
            <w:r>
              <w:rPr>
                <w:rFonts w:hint="eastAsia" w:cs="宋体"/>
                <w:color w:val="auto"/>
                <w:highlight w:val="none"/>
              </w:rPr>
              <w:t>评标专家确定方式：</w:t>
            </w:r>
            <w:r>
              <w:rPr>
                <w:rFonts w:hint="eastAsia" w:cs="宋体"/>
                <w:color w:val="auto"/>
                <w:highlight w:val="none"/>
                <w:u w:val="single"/>
              </w:rPr>
              <w:t>随机抽取</w:t>
            </w:r>
            <w:r>
              <w:rPr>
                <w:rFonts w:hint="eastAsia" w:cs="宋体"/>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1207" w:type="dxa"/>
            <w:gridSpan w:val="2"/>
            <w:shd w:val="clear" w:color="auto" w:fill="auto"/>
            <w:vAlign w:val="center"/>
          </w:tcPr>
          <w:p>
            <w:pPr>
              <w:spacing w:line="360" w:lineRule="auto"/>
              <w:jc w:val="center"/>
              <w:rPr>
                <w:color w:val="auto"/>
                <w:highlight w:val="none"/>
              </w:rPr>
            </w:pPr>
            <w:r>
              <w:rPr>
                <w:color w:val="auto"/>
                <w:highlight w:val="none"/>
              </w:rPr>
              <w:t>6.3</w:t>
            </w:r>
          </w:p>
        </w:tc>
        <w:tc>
          <w:tcPr>
            <w:tcW w:w="2933" w:type="dxa"/>
            <w:shd w:val="clear" w:color="auto" w:fill="auto"/>
            <w:vAlign w:val="center"/>
          </w:tcPr>
          <w:p>
            <w:pPr>
              <w:spacing w:line="360" w:lineRule="auto"/>
              <w:rPr>
                <w:color w:val="auto"/>
                <w:highlight w:val="none"/>
              </w:rPr>
            </w:pPr>
            <w:r>
              <w:rPr>
                <w:rFonts w:hint="eastAsia" w:cs="宋体"/>
                <w:color w:val="auto"/>
                <w:highlight w:val="none"/>
              </w:rPr>
              <w:t>评标方式</w:t>
            </w:r>
          </w:p>
        </w:tc>
        <w:tc>
          <w:tcPr>
            <w:tcW w:w="4820" w:type="dxa"/>
            <w:shd w:val="clear" w:color="auto" w:fill="auto"/>
            <w:vAlign w:val="center"/>
          </w:tcPr>
          <w:p>
            <w:pPr>
              <w:spacing w:line="360" w:lineRule="auto"/>
              <w:rPr>
                <w:color w:val="auto"/>
                <w:highlight w:val="none"/>
              </w:rPr>
            </w:pPr>
            <w:r>
              <w:rPr>
                <w:rFonts w:hint="eastAsia" w:cs="宋体"/>
                <w:color w:val="auto"/>
                <w:highlight w:val="none"/>
              </w:rPr>
              <w:t>□经评审的合理低价法</w:t>
            </w:r>
          </w:p>
          <w:p>
            <w:pPr>
              <w:spacing w:line="360" w:lineRule="auto"/>
              <w:rPr>
                <w:color w:val="auto"/>
                <w:highlight w:val="none"/>
              </w:rPr>
            </w:pPr>
            <w:r>
              <w:rPr>
                <w:color w:val="auto"/>
                <w:highlight w:val="none"/>
              </w:rPr>
              <w:sym w:font="Wingdings 2" w:char="F052"/>
            </w:r>
            <w:r>
              <w:rPr>
                <w:rFonts w:hint="eastAsia" w:cs="宋体"/>
                <w:color w:val="auto"/>
                <w:highlight w:val="none"/>
              </w:rPr>
              <w:t>综合评估法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1207" w:type="dxa"/>
            <w:gridSpan w:val="2"/>
            <w:shd w:val="clear" w:color="auto" w:fill="auto"/>
            <w:vAlign w:val="center"/>
          </w:tcPr>
          <w:p>
            <w:pPr>
              <w:spacing w:line="360" w:lineRule="auto"/>
              <w:jc w:val="center"/>
              <w:rPr>
                <w:color w:val="auto"/>
                <w:highlight w:val="none"/>
              </w:rPr>
            </w:pPr>
            <w:r>
              <w:rPr>
                <w:color w:val="auto"/>
                <w:highlight w:val="none"/>
              </w:rPr>
              <w:t>6.5</w:t>
            </w:r>
          </w:p>
        </w:tc>
        <w:tc>
          <w:tcPr>
            <w:tcW w:w="2933" w:type="dxa"/>
            <w:shd w:val="clear" w:color="auto" w:fill="auto"/>
            <w:vAlign w:val="center"/>
          </w:tcPr>
          <w:p>
            <w:pPr>
              <w:spacing w:line="360" w:lineRule="auto"/>
              <w:rPr>
                <w:color w:val="auto"/>
                <w:highlight w:val="none"/>
              </w:rPr>
            </w:pPr>
            <w:r>
              <w:rPr>
                <w:rFonts w:hint="eastAsia" w:cs="宋体"/>
                <w:color w:val="auto"/>
                <w:highlight w:val="none"/>
              </w:rPr>
              <w:t>评标资料封存方式</w:t>
            </w:r>
          </w:p>
        </w:tc>
        <w:tc>
          <w:tcPr>
            <w:tcW w:w="4820" w:type="dxa"/>
            <w:shd w:val="clear" w:color="auto" w:fill="auto"/>
            <w:vAlign w:val="center"/>
          </w:tcPr>
          <w:p>
            <w:pPr>
              <w:spacing w:line="360" w:lineRule="auto"/>
              <w:rPr>
                <w:color w:val="auto"/>
                <w:highlight w:val="none"/>
              </w:rPr>
            </w:pPr>
            <w:r>
              <w:rPr>
                <w:rFonts w:hint="eastAsia" w:cs="宋体"/>
                <w:color w:val="auto"/>
                <w:highlight w:val="none"/>
              </w:rPr>
              <w:t>□在交易中心封存</w:t>
            </w:r>
          </w:p>
          <w:p>
            <w:pPr>
              <w:spacing w:line="360" w:lineRule="auto"/>
              <w:rPr>
                <w:rFonts w:cs="宋体"/>
                <w:color w:val="auto"/>
                <w:highlight w:val="none"/>
              </w:rPr>
            </w:pPr>
            <w:r>
              <w:rPr>
                <w:rFonts w:hint="eastAsia" w:cs="宋体"/>
                <w:color w:val="auto"/>
                <w:highlight w:val="none"/>
              </w:rPr>
              <w:t>□当地招投标监督管理部门封存</w:t>
            </w:r>
          </w:p>
          <w:p>
            <w:pPr>
              <w:spacing w:line="360" w:lineRule="auto"/>
              <w:rPr>
                <w:color w:val="auto"/>
                <w:highlight w:val="none"/>
              </w:rPr>
            </w:pPr>
            <w:r>
              <w:rPr>
                <w:color w:val="auto"/>
                <w:highlight w:val="none"/>
              </w:rPr>
              <w:sym w:font="Wingdings 2" w:char="F052"/>
            </w:r>
            <w:r>
              <w:rPr>
                <w:rFonts w:hint="eastAsia"/>
                <w:color w:val="auto"/>
                <w:highlight w:val="none"/>
              </w:rPr>
              <w:t>在招标代理机构封存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1207" w:type="dxa"/>
            <w:gridSpan w:val="2"/>
            <w:shd w:val="clear" w:color="auto" w:fill="auto"/>
            <w:vAlign w:val="center"/>
          </w:tcPr>
          <w:p>
            <w:pPr>
              <w:spacing w:line="360" w:lineRule="auto"/>
              <w:jc w:val="center"/>
              <w:rPr>
                <w:color w:val="auto"/>
                <w:highlight w:val="none"/>
              </w:rPr>
            </w:pPr>
            <w:r>
              <w:rPr>
                <w:color w:val="auto"/>
                <w:highlight w:val="none"/>
              </w:rPr>
              <w:t>6.5.1</w:t>
            </w:r>
            <w:r>
              <w:rPr>
                <w:rFonts w:hint="eastAsia" w:cs="宋体"/>
                <w:color w:val="auto"/>
                <w:highlight w:val="none"/>
              </w:rPr>
              <w:t>（</w:t>
            </w:r>
            <w:r>
              <w:rPr>
                <w:color w:val="auto"/>
                <w:highlight w:val="none"/>
              </w:rPr>
              <w:t>3</w:t>
            </w:r>
            <w:r>
              <w:rPr>
                <w:rFonts w:hint="eastAsia" w:cs="宋体"/>
                <w:color w:val="auto"/>
                <w:highlight w:val="none"/>
              </w:rPr>
              <w:t>）</w:t>
            </w:r>
          </w:p>
        </w:tc>
        <w:tc>
          <w:tcPr>
            <w:tcW w:w="2933" w:type="dxa"/>
            <w:shd w:val="clear" w:color="auto" w:fill="auto"/>
            <w:vAlign w:val="center"/>
          </w:tcPr>
          <w:p>
            <w:pPr>
              <w:spacing w:line="360" w:lineRule="auto"/>
              <w:rPr>
                <w:color w:val="auto"/>
                <w:highlight w:val="none"/>
              </w:rPr>
            </w:pPr>
            <w:r>
              <w:rPr>
                <w:rFonts w:hint="eastAsia" w:cs="宋体"/>
                <w:color w:val="auto"/>
                <w:highlight w:val="none"/>
              </w:rPr>
              <w:t>封存的</w:t>
            </w:r>
            <w:r>
              <w:rPr>
                <w:rFonts w:hint="eastAsia" w:cs="宋体"/>
                <w:color w:val="auto"/>
                <w:highlight w:val="none"/>
                <w:lang w:eastAsia="zh-CN"/>
              </w:rPr>
              <w:t>其他</w:t>
            </w:r>
            <w:r>
              <w:rPr>
                <w:rFonts w:hint="eastAsia" w:cs="宋体"/>
                <w:color w:val="auto"/>
                <w:highlight w:val="none"/>
              </w:rPr>
              <w:t>材料</w:t>
            </w:r>
          </w:p>
        </w:tc>
        <w:tc>
          <w:tcPr>
            <w:tcW w:w="4820" w:type="dxa"/>
            <w:shd w:val="clear" w:color="auto" w:fill="auto"/>
            <w:vAlign w:val="center"/>
          </w:tcPr>
          <w:p>
            <w:pPr>
              <w:spacing w:line="360" w:lineRule="auto"/>
              <w:rPr>
                <w:color w:val="auto"/>
                <w:highlight w:val="none"/>
              </w:rPr>
            </w:pPr>
            <w:r>
              <w:rPr>
                <w:rFonts w:hint="eastAsia"/>
                <w:color w:val="auto"/>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1207" w:type="dxa"/>
            <w:gridSpan w:val="2"/>
            <w:shd w:val="clear" w:color="auto" w:fill="auto"/>
            <w:vAlign w:val="center"/>
          </w:tcPr>
          <w:p>
            <w:pPr>
              <w:spacing w:line="360" w:lineRule="auto"/>
              <w:jc w:val="center"/>
              <w:rPr>
                <w:color w:val="auto"/>
                <w:highlight w:val="none"/>
              </w:rPr>
            </w:pPr>
            <w:r>
              <w:rPr>
                <w:color w:val="auto"/>
                <w:highlight w:val="none"/>
              </w:rPr>
              <w:t>6.6.1</w:t>
            </w:r>
          </w:p>
        </w:tc>
        <w:tc>
          <w:tcPr>
            <w:tcW w:w="2933" w:type="dxa"/>
            <w:shd w:val="clear" w:color="auto" w:fill="auto"/>
            <w:vAlign w:val="center"/>
          </w:tcPr>
          <w:p>
            <w:pPr>
              <w:spacing w:line="360" w:lineRule="auto"/>
              <w:rPr>
                <w:color w:val="auto"/>
                <w:highlight w:val="none"/>
              </w:rPr>
            </w:pPr>
            <w:r>
              <w:rPr>
                <w:rFonts w:hint="eastAsia" w:cs="宋体"/>
                <w:color w:val="auto"/>
                <w:highlight w:val="none"/>
              </w:rPr>
              <w:t>中标候选人公示的媒介</w:t>
            </w:r>
          </w:p>
        </w:tc>
        <w:tc>
          <w:tcPr>
            <w:tcW w:w="4820" w:type="dxa"/>
            <w:shd w:val="clear" w:color="auto" w:fill="auto"/>
            <w:vAlign w:val="center"/>
          </w:tcPr>
          <w:p>
            <w:pPr>
              <w:spacing w:line="360" w:lineRule="auto"/>
              <w:rPr>
                <w:color w:val="auto"/>
                <w:highlight w:val="none"/>
              </w:rPr>
            </w:pPr>
            <w:r>
              <w:rPr>
                <w:rFonts w:hint="eastAsia" w:cs="宋体"/>
                <w:color w:val="auto"/>
                <w:highlight w:val="none"/>
              </w:rPr>
              <w:t>在发布媒介上公示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1207" w:type="dxa"/>
            <w:gridSpan w:val="2"/>
            <w:shd w:val="clear" w:color="auto" w:fill="auto"/>
            <w:vAlign w:val="center"/>
          </w:tcPr>
          <w:p>
            <w:pPr>
              <w:spacing w:line="360" w:lineRule="auto"/>
              <w:jc w:val="center"/>
              <w:rPr>
                <w:color w:val="auto"/>
                <w:highlight w:val="none"/>
              </w:rPr>
            </w:pPr>
            <w:r>
              <w:rPr>
                <w:rFonts w:hint="eastAsia"/>
                <w:color w:val="auto"/>
                <w:highlight w:val="none"/>
              </w:rPr>
              <w:t>6.7</w:t>
            </w:r>
          </w:p>
        </w:tc>
        <w:tc>
          <w:tcPr>
            <w:tcW w:w="2933" w:type="dxa"/>
            <w:shd w:val="clear" w:color="auto" w:fill="auto"/>
            <w:vAlign w:val="center"/>
          </w:tcPr>
          <w:p>
            <w:pPr>
              <w:spacing w:line="360" w:lineRule="auto"/>
              <w:rPr>
                <w:rFonts w:cs="宋体"/>
                <w:color w:val="auto"/>
                <w:highlight w:val="none"/>
              </w:rPr>
            </w:pPr>
            <w:r>
              <w:rPr>
                <w:rFonts w:hint="eastAsia" w:cs="宋体"/>
                <w:color w:val="auto"/>
                <w:highlight w:val="none"/>
              </w:rPr>
              <w:t>履约能力审查的标准和方法</w:t>
            </w:r>
          </w:p>
        </w:tc>
        <w:tc>
          <w:tcPr>
            <w:tcW w:w="4820" w:type="dxa"/>
            <w:shd w:val="clear" w:color="auto" w:fill="auto"/>
            <w:vAlign w:val="center"/>
          </w:tcPr>
          <w:p>
            <w:pPr>
              <w:spacing w:line="360" w:lineRule="auto"/>
              <w:rPr>
                <w:color w:val="auto"/>
                <w:highlight w:val="none"/>
              </w:rPr>
            </w:pPr>
            <w:r>
              <w:rPr>
                <w:rFonts w:hint="eastAsia"/>
                <w:color w:val="auto"/>
                <w:highlight w:val="none"/>
              </w:rPr>
              <w:t>在中标通知书发出前，中标候选人不得有以下情形：1、</w:t>
            </w:r>
            <w:r>
              <w:rPr>
                <w:color w:val="auto"/>
                <w:highlight w:val="none"/>
              </w:rPr>
              <w:t>被</w:t>
            </w:r>
            <w:r>
              <w:rPr>
                <w:rFonts w:hint="eastAsia"/>
                <w:color w:val="auto"/>
                <w:highlight w:val="none"/>
              </w:rPr>
              <w:t>吊销或暂扣</w:t>
            </w:r>
            <w:r>
              <w:rPr>
                <w:color w:val="auto"/>
                <w:highlight w:val="none"/>
              </w:rPr>
              <w:t>营业执照</w:t>
            </w:r>
          </w:p>
          <w:p>
            <w:pPr>
              <w:spacing w:line="360" w:lineRule="auto"/>
              <w:ind w:firstLine="6" w:firstLineChars="3"/>
              <w:rPr>
                <w:color w:val="auto"/>
                <w:highlight w:val="none"/>
              </w:rPr>
            </w:pPr>
            <w:r>
              <w:rPr>
                <w:rFonts w:hint="eastAsia"/>
                <w:color w:val="auto"/>
                <w:highlight w:val="none"/>
              </w:rPr>
              <w:t>2、</w:t>
            </w:r>
            <w:r>
              <w:rPr>
                <w:color w:val="auto"/>
                <w:highlight w:val="none"/>
              </w:rPr>
              <w:t>进入破产程序</w:t>
            </w:r>
          </w:p>
          <w:p>
            <w:pPr>
              <w:spacing w:line="360" w:lineRule="auto"/>
              <w:ind w:firstLine="6" w:firstLineChars="3"/>
              <w:rPr>
                <w:color w:val="auto"/>
                <w:highlight w:val="none"/>
              </w:rPr>
            </w:pPr>
            <w:r>
              <w:rPr>
                <w:rFonts w:hint="eastAsia"/>
                <w:color w:val="auto"/>
                <w:highlight w:val="none"/>
              </w:rPr>
              <w:t xml:space="preserve">3、其他: </w:t>
            </w:r>
          </w:p>
          <w:p>
            <w:pPr>
              <w:spacing w:line="360" w:lineRule="auto"/>
              <w:ind w:firstLine="6" w:firstLineChars="3"/>
              <w:rPr>
                <w:color w:val="auto"/>
                <w:highlight w:val="none"/>
              </w:rPr>
            </w:pPr>
            <w:r>
              <w:rPr>
                <w:rFonts w:hint="eastAsia"/>
                <w:color w:val="auto"/>
                <w:highlight w:val="none"/>
              </w:rPr>
              <w:t>（</w:t>
            </w:r>
            <w:r>
              <w:rPr>
                <w:color w:val="auto"/>
                <w:highlight w:val="none"/>
              </w:rPr>
              <w:t>1</w:t>
            </w:r>
            <w:r>
              <w:rPr>
                <w:rFonts w:hint="eastAsia"/>
                <w:color w:val="auto"/>
                <w:highlight w:val="none"/>
              </w:rPr>
              <w:t>）被责令停业的；</w:t>
            </w:r>
          </w:p>
          <w:p>
            <w:pPr>
              <w:spacing w:line="360" w:lineRule="auto"/>
              <w:ind w:firstLine="6" w:firstLineChars="3"/>
              <w:rPr>
                <w:color w:val="auto"/>
                <w:highlight w:val="none"/>
              </w:rPr>
            </w:pPr>
            <w:r>
              <w:rPr>
                <w:rFonts w:hint="eastAsia"/>
                <w:color w:val="auto"/>
                <w:highlight w:val="none"/>
              </w:rPr>
              <w:t>（</w:t>
            </w:r>
            <w:r>
              <w:rPr>
                <w:color w:val="auto"/>
                <w:highlight w:val="none"/>
              </w:rPr>
              <w:t>2</w:t>
            </w:r>
            <w:r>
              <w:rPr>
                <w:rFonts w:hint="eastAsia"/>
                <w:color w:val="auto"/>
                <w:highlight w:val="none"/>
              </w:rPr>
              <w:t xml:space="preserve">）被吊销或暂扣安全生产许可证； </w:t>
            </w:r>
          </w:p>
          <w:p>
            <w:pPr>
              <w:spacing w:line="360" w:lineRule="auto"/>
              <w:ind w:firstLine="6" w:firstLineChars="3"/>
              <w:rPr>
                <w:color w:val="auto"/>
                <w:highlight w:val="none"/>
              </w:rPr>
            </w:pPr>
            <w:r>
              <w:rPr>
                <w:rFonts w:hint="eastAsia"/>
                <w:color w:val="auto"/>
                <w:highlight w:val="none"/>
              </w:rPr>
              <w:t>（</w:t>
            </w:r>
            <w:r>
              <w:rPr>
                <w:color w:val="auto"/>
                <w:highlight w:val="none"/>
              </w:rPr>
              <w:t>3</w:t>
            </w:r>
            <w:r>
              <w:rPr>
                <w:rFonts w:hint="eastAsia"/>
                <w:color w:val="auto"/>
                <w:highlight w:val="none"/>
              </w:rPr>
              <w:t>）在本行政区域被暂停或取消投标资格的；</w:t>
            </w:r>
          </w:p>
          <w:p>
            <w:pPr>
              <w:spacing w:line="360" w:lineRule="auto"/>
              <w:ind w:firstLine="6" w:firstLineChars="3"/>
              <w:rPr>
                <w:color w:val="auto"/>
                <w:highlight w:val="none"/>
              </w:rPr>
            </w:pPr>
            <w:r>
              <w:rPr>
                <w:rFonts w:hint="eastAsia"/>
                <w:color w:val="auto"/>
                <w:highlight w:val="none"/>
              </w:rPr>
              <w:t>（</w:t>
            </w:r>
            <w:r>
              <w:rPr>
                <w:color w:val="auto"/>
                <w:highlight w:val="none"/>
              </w:rPr>
              <w:t>4</w:t>
            </w:r>
            <w:r>
              <w:rPr>
                <w:rFonts w:hint="eastAsia"/>
                <w:color w:val="auto"/>
                <w:highlight w:val="none"/>
              </w:rPr>
              <w:t>）财产被接管或基本账户被冻结的；</w:t>
            </w:r>
          </w:p>
          <w:p>
            <w:pPr>
              <w:spacing w:line="360" w:lineRule="auto"/>
              <w:ind w:firstLine="6" w:firstLineChars="3"/>
              <w:rPr>
                <w:color w:val="auto"/>
                <w:highlight w:val="none"/>
              </w:rPr>
            </w:pPr>
            <w:r>
              <w:rPr>
                <w:rFonts w:hint="eastAsia"/>
                <w:color w:val="auto"/>
                <w:highlight w:val="none"/>
              </w:rPr>
              <w:t>（</w:t>
            </w:r>
            <w:r>
              <w:rPr>
                <w:color w:val="auto"/>
                <w:highlight w:val="none"/>
              </w:rPr>
              <w:t>5</w:t>
            </w:r>
            <w:r>
              <w:rPr>
                <w:rFonts w:hint="eastAsia"/>
                <w:color w:val="auto"/>
                <w:highlight w:val="none"/>
              </w:rPr>
              <w:t xml:space="preserve">）有骗取中标或严重违约或工程质量安全问题，在本行政区域被停业整顿或暂停投标 。    </w:t>
            </w:r>
            <w:r>
              <w:rPr>
                <w:color w:val="auto"/>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1207" w:type="dxa"/>
            <w:gridSpan w:val="2"/>
            <w:shd w:val="clear" w:color="auto" w:fill="auto"/>
            <w:vAlign w:val="center"/>
          </w:tcPr>
          <w:p>
            <w:pPr>
              <w:spacing w:line="360" w:lineRule="auto"/>
              <w:jc w:val="center"/>
              <w:rPr>
                <w:color w:val="auto"/>
                <w:highlight w:val="none"/>
              </w:rPr>
            </w:pPr>
            <w:r>
              <w:rPr>
                <w:color w:val="auto"/>
                <w:highlight w:val="none"/>
              </w:rPr>
              <w:t>7.1</w:t>
            </w:r>
          </w:p>
        </w:tc>
        <w:tc>
          <w:tcPr>
            <w:tcW w:w="2933" w:type="dxa"/>
            <w:shd w:val="clear" w:color="auto" w:fill="auto"/>
            <w:vAlign w:val="center"/>
          </w:tcPr>
          <w:p>
            <w:pPr>
              <w:spacing w:line="360" w:lineRule="auto"/>
              <w:rPr>
                <w:color w:val="auto"/>
                <w:highlight w:val="none"/>
              </w:rPr>
            </w:pPr>
            <w:r>
              <w:rPr>
                <w:rFonts w:hint="eastAsia" w:cs="宋体"/>
                <w:color w:val="auto"/>
                <w:highlight w:val="none"/>
              </w:rPr>
              <w:t>是否授权评标委员会确定中标人</w:t>
            </w:r>
          </w:p>
        </w:tc>
        <w:tc>
          <w:tcPr>
            <w:tcW w:w="4820" w:type="dxa"/>
            <w:shd w:val="clear" w:color="auto" w:fill="auto"/>
            <w:vAlign w:val="center"/>
          </w:tcPr>
          <w:p>
            <w:pPr>
              <w:spacing w:line="360" w:lineRule="auto"/>
              <w:rPr>
                <w:color w:val="auto"/>
                <w:highlight w:val="none"/>
              </w:rPr>
            </w:pPr>
            <w:r>
              <w:rPr>
                <w:rFonts w:hint="eastAsia" w:cs="宋体"/>
                <w:color w:val="auto"/>
                <w:highlight w:val="none"/>
              </w:rPr>
              <w:t>□是</w:t>
            </w:r>
          </w:p>
          <w:p>
            <w:pPr>
              <w:spacing w:line="360" w:lineRule="auto"/>
              <w:rPr>
                <w:color w:val="auto"/>
                <w:highlight w:val="none"/>
              </w:rPr>
            </w:pPr>
            <w:r>
              <w:rPr>
                <w:color w:val="auto"/>
                <w:highlight w:val="none"/>
              </w:rPr>
              <w:sym w:font="Wingdings 2" w:char="F052"/>
            </w:r>
            <w:r>
              <w:rPr>
                <w:rFonts w:hint="eastAsia" w:cs="宋体"/>
                <w:color w:val="auto"/>
                <w:highlight w:val="none"/>
              </w:rPr>
              <w:t>否，推荐的中标候选人数：</w:t>
            </w:r>
            <w:r>
              <w:rPr>
                <w:color w:val="auto"/>
                <w:highlight w:val="none"/>
                <w:u w:val="single"/>
              </w:rPr>
              <w:t>3</w:t>
            </w:r>
            <w:r>
              <w:rPr>
                <w:rFonts w:hint="eastAsia"/>
                <w:color w:val="auto"/>
                <w:highlight w:val="none"/>
                <w:u w:val="single"/>
              </w:rPr>
              <w:t>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1207" w:type="dxa"/>
            <w:gridSpan w:val="2"/>
            <w:shd w:val="clear" w:color="auto" w:fill="auto"/>
            <w:vAlign w:val="center"/>
          </w:tcPr>
          <w:p>
            <w:pPr>
              <w:spacing w:line="360" w:lineRule="auto"/>
              <w:jc w:val="center"/>
              <w:rPr>
                <w:color w:val="auto"/>
                <w:highlight w:val="none"/>
              </w:rPr>
            </w:pPr>
            <w:r>
              <w:rPr>
                <w:color w:val="auto"/>
                <w:highlight w:val="none"/>
              </w:rPr>
              <w:t>7.3.1</w:t>
            </w:r>
          </w:p>
        </w:tc>
        <w:tc>
          <w:tcPr>
            <w:tcW w:w="2933" w:type="dxa"/>
            <w:shd w:val="clear" w:color="auto" w:fill="auto"/>
            <w:vAlign w:val="center"/>
          </w:tcPr>
          <w:p>
            <w:pPr>
              <w:spacing w:line="360" w:lineRule="auto"/>
              <w:rPr>
                <w:color w:val="auto"/>
                <w:highlight w:val="none"/>
              </w:rPr>
            </w:pPr>
            <w:r>
              <w:rPr>
                <w:rFonts w:hint="eastAsia" w:cs="宋体"/>
                <w:color w:val="auto"/>
                <w:highlight w:val="none"/>
              </w:rPr>
              <w:t>履约保证金</w:t>
            </w:r>
          </w:p>
        </w:tc>
        <w:tc>
          <w:tcPr>
            <w:tcW w:w="4820" w:type="dxa"/>
            <w:shd w:val="clear" w:color="auto" w:fill="auto"/>
            <w:vAlign w:val="center"/>
          </w:tcPr>
          <w:p>
            <w:pPr>
              <w:spacing w:line="360" w:lineRule="auto"/>
              <w:rPr>
                <w:rFonts w:eastAsia="楷体_GB2312"/>
                <w:b/>
                <w:color w:val="auto"/>
                <w:highlight w:val="none"/>
              </w:rPr>
            </w:pPr>
            <w:r>
              <w:rPr>
                <w:color w:val="auto"/>
                <w:highlight w:val="none"/>
              </w:rPr>
              <w:sym w:font="Wingdings 2" w:char="00A3"/>
            </w:r>
            <w:r>
              <w:rPr>
                <w:rFonts w:hint="eastAsia" w:cs="宋体"/>
                <w:color w:val="auto"/>
                <w:highlight w:val="none"/>
              </w:rPr>
              <w:t>是</w:t>
            </w:r>
            <w:r>
              <w:rPr>
                <w:color w:val="auto"/>
                <w:highlight w:val="none"/>
              </w:rPr>
              <w:t xml:space="preserve">  </w:t>
            </w:r>
            <w:r>
              <w:rPr>
                <w:rFonts w:hint="eastAsia" w:cs="宋体"/>
                <w:color w:val="auto"/>
                <w:highlight w:val="none"/>
              </w:rPr>
              <w:t>履约保证金的形式：可以采用现金、银行保函、工程担保或保证保险等形式</w:t>
            </w:r>
            <w:r>
              <w:rPr>
                <w:rFonts w:hint="eastAsia" w:eastAsia="楷体_GB2312" w:cs="楷体_GB2312"/>
                <w:color w:val="auto"/>
                <w:highlight w:val="none"/>
              </w:rPr>
              <w:t>。</w:t>
            </w:r>
          </w:p>
          <w:p>
            <w:pPr>
              <w:spacing w:line="360" w:lineRule="auto"/>
              <w:rPr>
                <w:rFonts w:eastAsia="楷体_GB2312"/>
                <w:b/>
                <w:color w:val="auto"/>
                <w:highlight w:val="none"/>
              </w:rPr>
            </w:pPr>
            <w:r>
              <w:rPr>
                <w:rFonts w:hint="eastAsia" w:cs="宋体"/>
                <w:color w:val="auto"/>
                <w:highlight w:val="none"/>
              </w:rPr>
              <w:t>履约保证金的金额：</w:t>
            </w:r>
            <w:r>
              <w:rPr>
                <w:rFonts w:hint="eastAsia" w:cs="宋体"/>
                <w:color w:val="auto"/>
                <w:highlight w:val="none"/>
                <w:u w:val="single"/>
              </w:rPr>
              <w:t>/</w:t>
            </w:r>
            <w:r>
              <w:rPr>
                <w:rFonts w:hint="eastAsia" w:eastAsia="楷体_GB2312" w:cs="楷体_GB2312"/>
                <w:color w:val="auto"/>
                <w:highlight w:val="none"/>
              </w:rPr>
              <w:t>【备注：上限为合同价款扣除发包人材料价款、暂估专业工程、暂列金额后的</w:t>
            </w:r>
            <w:r>
              <w:rPr>
                <w:rFonts w:eastAsia="楷体_GB2312"/>
                <w:color w:val="auto"/>
                <w:highlight w:val="none"/>
              </w:rPr>
              <w:t>10%</w:t>
            </w:r>
            <w:r>
              <w:rPr>
                <w:rFonts w:hint="eastAsia" w:eastAsia="楷体_GB2312" w:cs="楷体_GB2312"/>
                <w:color w:val="auto"/>
                <w:highlight w:val="none"/>
              </w:rPr>
              <w:t>】</w:t>
            </w:r>
          </w:p>
          <w:p>
            <w:pPr>
              <w:spacing w:line="360" w:lineRule="auto"/>
              <w:rPr>
                <w:rFonts w:cs="宋体"/>
                <w:color w:val="auto"/>
                <w:highlight w:val="none"/>
              </w:rPr>
            </w:pPr>
            <w:r>
              <w:rPr>
                <w:rFonts w:hint="eastAsia" w:cs="宋体"/>
                <w:color w:val="auto"/>
                <w:highlight w:val="none"/>
              </w:rPr>
              <w:t>投标人在收到中标通知书后，须在</w:t>
            </w:r>
            <w:r>
              <w:rPr>
                <w:color w:val="auto"/>
                <w:highlight w:val="none"/>
                <w:u w:val="single"/>
              </w:rPr>
              <w:t xml:space="preserve"> 15 </w:t>
            </w:r>
            <w:r>
              <w:rPr>
                <w:rFonts w:hint="eastAsia" w:cs="宋体"/>
                <w:color w:val="auto"/>
                <w:highlight w:val="none"/>
              </w:rPr>
              <w:t>日内向招标人足额提交履约保证金，否则招标人可以取消其中标资格。</w:t>
            </w:r>
          </w:p>
          <w:p>
            <w:pPr>
              <w:spacing w:line="360" w:lineRule="auto"/>
              <w:rPr>
                <w:rFonts w:cs="宋体"/>
                <w:color w:val="auto"/>
                <w:highlight w:val="none"/>
              </w:rPr>
            </w:pPr>
            <w:r>
              <w:rPr>
                <w:rFonts w:hint="eastAsia" w:cs="宋体"/>
                <w:color w:val="auto"/>
                <w:highlight w:val="none"/>
              </w:rPr>
              <w:t>履约保证金自中标人按合同约定交货验收合格后，中标人持质量保证金退付意见书、施工合同及竣工验收证明到采购人办理退付手续，采购人将在收到完整且合格的退付申请资料后五个工作日内以转账或电汇方式无息退还中标人。</w:t>
            </w:r>
          </w:p>
          <w:p>
            <w:pPr>
              <w:spacing w:line="360" w:lineRule="auto"/>
              <w:rPr>
                <w:color w:val="auto"/>
                <w:highlight w:val="none"/>
              </w:rPr>
            </w:pPr>
            <w:r>
              <w:rPr>
                <w:rFonts w:hint="eastAsia" w:cs="宋体"/>
                <w:color w:val="auto"/>
                <w:highlight w:val="none"/>
              </w:rPr>
              <w:sym w:font="Wingdings 2" w:char="0052"/>
            </w:r>
            <w:r>
              <w:rPr>
                <w:rFonts w:hint="eastAsia" w:cs="宋体"/>
                <w:color w:val="auto"/>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8960" w:type="dxa"/>
            <w:gridSpan w:val="4"/>
            <w:shd w:val="clear" w:color="auto" w:fill="auto"/>
          </w:tcPr>
          <w:p>
            <w:pPr>
              <w:spacing w:line="360" w:lineRule="auto"/>
              <w:rPr>
                <w:color w:val="auto"/>
                <w:highlight w:val="none"/>
              </w:rPr>
            </w:pPr>
            <w:r>
              <w:rPr>
                <w:color w:val="auto"/>
                <w:highlight w:val="none"/>
              </w:rPr>
              <w:t xml:space="preserve">10. </w:t>
            </w:r>
            <w:r>
              <w:rPr>
                <w:rFonts w:hint="eastAsia" w:cs="宋体"/>
                <w:color w:val="auto"/>
                <w:highlight w:val="none"/>
              </w:rPr>
              <w:t>需要补充的其他内容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8960" w:type="dxa"/>
            <w:gridSpan w:val="4"/>
            <w:shd w:val="clear" w:color="auto" w:fill="auto"/>
          </w:tcPr>
          <w:p>
            <w:pPr>
              <w:spacing w:line="360" w:lineRule="auto"/>
              <w:rPr>
                <w:color w:val="auto"/>
                <w:highlight w:val="none"/>
              </w:rPr>
            </w:pPr>
            <w:r>
              <w:rPr>
                <w:color w:val="auto"/>
                <w:highlight w:val="none"/>
              </w:rPr>
              <w:t xml:space="preserve">10.1 </w:t>
            </w:r>
            <w:r>
              <w:rPr>
                <w:rFonts w:hint="eastAsia" w:cs="宋体"/>
                <w:color w:val="auto"/>
                <w:highlight w:val="none"/>
              </w:rPr>
              <w:t>词语定义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1207" w:type="dxa"/>
            <w:gridSpan w:val="2"/>
            <w:shd w:val="clear" w:color="auto" w:fill="auto"/>
            <w:vAlign w:val="center"/>
          </w:tcPr>
          <w:p>
            <w:pPr>
              <w:spacing w:line="360" w:lineRule="auto"/>
              <w:rPr>
                <w:color w:val="auto"/>
                <w:highlight w:val="none"/>
              </w:rPr>
            </w:pPr>
            <w:r>
              <w:rPr>
                <w:color w:val="auto"/>
                <w:highlight w:val="none"/>
              </w:rPr>
              <w:t>10.1.1</w:t>
            </w:r>
          </w:p>
        </w:tc>
        <w:tc>
          <w:tcPr>
            <w:tcW w:w="2933" w:type="dxa"/>
            <w:shd w:val="clear" w:color="auto" w:fill="auto"/>
            <w:vAlign w:val="center"/>
          </w:tcPr>
          <w:p>
            <w:pPr>
              <w:spacing w:line="360" w:lineRule="auto"/>
              <w:rPr>
                <w:color w:val="auto"/>
                <w:highlight w:val="none"/>
              </w:rPr>
            </w:pPr>
            <w:r>
              <w:rPr>
                <w:rFonts w:hint="eastAsia" w:cs="宋体"/>
                <w:color w:val="auto"/>
                <w:highlight w:val="none"/>
              </w:rPr>
              <w:t>类似项目</w:t>
            </w:r>
          </w:p>
        </w:tc>
        <w:tc>
          <w:tcPr>
            <w:tcW w:w="4820" w:type="dxa"/>
            <w:shd w:val="clear" w:color="auto" w:fill="auto"/>
            <w:vAlign w:val="center"/>
          </w:tcPr>
          <w:p>
            <w:pPr>
              <w:spacing w:line="360" w:lineRule="auto"/>
              <w:rPr>
                <w:color w:val="auto"/>
                <w:highlight w:val="none"/>
              </w:rPr>
            </w:pPr>
            <w:r>
              <w:rPr>
                <w:rFonts w:hint="eastAsia" w:cs="宋体"/>
                <w:color w:val="auto"/>
                <w:highlight w:val="none"/>
              </w:rPr>
              <w:t>类似项目是指：2018年1月至投标截止承接或完成过500万元以上的建筑装修装饰工程。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1207" w:type="dxa"/>
            <w:gridSpan w:val="2"/>
            <w:shd w:val="clear" w:color="auto" w:fill="auto"/>
            <w:vAlign w:val="center"/>
          </w:tcPr>
          <w:p>
            <w:pPr>
              <w:spacing w:line="360" w:lineRule="auto"/>
              <w:rPr>
                <w:color w:val="auto"/>
                <w:highlight w:val="none"/>
              </w:rPr>
            </w:pPr>
            <w:r>
              <w:rPr>
                <w:color w:val="auto"/>
                <w:highlight w:val="none"/>
              </w:rPr>
              <w:t>10.1.2</w:t>
            </w:r>
          </w:p>
        </w:tc>
        <w:tc>
          <w:tcPr>
            <w:tcW w:w="2933" w:type="dxa"/>
            <w:shd w:val="clear" w:color="auto" w:fill="auto"/>
            <w:vAlign w:val="center"/>
          </w:tcPr>
          <w:p>
            <w:pPr>
              <w:spacing w:line="360" w:lineRule="auto"/>
              <w:rPr>
                <w:color w:val="auto"/>
                <w:highlight w:val="none"/>
              </w:rPr>
            </w:pPr>
            <w:r>
              <w:rPr>
                <w:rFonts w:hint="eastAsia" w:cs="宋体"/>
                <w:color w:val="auto"/>
                <w:highlight w:val="none"/>
              </w:rPr>
              <w:t>不良行为记录</w:t>
            </w:r>
          </w:p>
        </w:tc>
        <w:tc>
          <w:tcPr>
            <w:tcW w:w="4820" w:type="dxa"/>
            <w:shd w:val="clear" w:color="auto" w:fill="auto"/>
            <w:vAlign w:val="center"/>
          </w:tcPr>
          <w:p>
            <w:pPr>
              <w:spacing w:line="360" w:lineRule="auto"/>
              <w:rPr>
                <w:color w:val="auto"/>
                <w:highlight w:val="none"/>
              </w:rPr>
            </w:pPr>
            <w:r>
              <w:rPr>
                <w:rFonts w:hint="eastAsia" w:cs="宋体"/>
                <w:color w:val="auto"/>
                <w:highlight w:val="none"/>
              </w:rPr>
              <w:t>不良行为记录是指：指违反相关法律、法规、部门规章,被实施行政处罚的不良行为。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1207" w:type="dxa"/>
            <w:gridSpan w:val="2"/>
            <w:shd w:val="clear" w:color="auto" w:fill="auto"/>
            <w:vAlign w:val="center"/>
          </w:tcPr>
          <w:p>
            <w:pPr>
              <w:spacing w:line="360" w:lineRule="auto"/>
              <w:rPr>
                <w:color w:val="auto"/>
                <w:highlight w:val="none"/>
              </w:rPr>
            </w:pPr>
            <w:r>
              <w:rPr>
                <w:color w:val="auto"/>
                <w:highlight w:val="none"/>
              </w:rPr>
              <w:t>10.1.3</w:t>
            </w:r>
          </w:p>
        </w:tc>
        <w:tc>
          <w:tcPr>
            <w:tcW w:w="2933" w:type="dxa"/>
            <w:shd w:val="clear" w:color="auto" w:fill="auto"/>
            <w:vAlign w:val="center"/>
          </w:tcPr>
          <w:p>
            <w:pPr>
              <w:spacing w:line="360" w:lineRule="auto"/>
              <w:rPr>
                <w:rFonts w:cs="宋体"/>
                <w:color w:val="auto"/>
                <w:highlight w:val="none"/>
              </w:rPr>
            </w:pPr>
            <w:r>
              <w:rPr>
                <w:rFonts w:hint="eastAsia" w:cs="宋体"/>
                <w:color w:val="auto"/>
                <w:highlight w:val="none"/>
              </w:rPr>
              <w:t>发布媒介</w:t>
            </w:r>
          </w:p>
        </w:tc>
        <w:tc>
          <w:tcPr>
            <w:tcW w:w="4820" w:type="dxa"/>
            <w:shd w:val="clear" w:color="auto" w:fill="auto"/>
            <w:vAlign w:val="center"/>
          </w:tcPr>
          <w:p>
            <w:pPr>
              <w:spacing w:line="360" w:lineRule="auto"/>
              <w:rPr>
                <w:rFonts w:cs="宋体"/>
                <w:color w:val="auto"/>
                <w:highlight w:val="none"/>
              </w:rPr>
            </w:pPr>
            <w:r>
              <w:rPr>
                <w:rFonts w:hint="eastAsia" w:cs="宋体"/>
                <w:color w:val="auto"/>
                <w:highlight w:val="none"/>
              </w:rPr>
              <w:t>发布媒介是指招标公告规定的发布招标公告、招标文件澄清、评标结果公示、中标公告等信息的媒（体）介。按照招标公告规定还需在其它媒介上公示的，发布内容、发布期限应以法规指定媒介发布的为准。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1207" w:type="dxa"/>
            <w:gridSpan w:val="2"/>
            <w:shd w:val="clear" w:color="auto" w:fill="auto"/>
            <w:vAlign w:val="center"/>
          </w:tcPr>
          <w:p>
            <w:pPr>
              <w:spacing w:line="360" w:lineRule="auto"/>
              <w:rPr>
                <w:color w:val="auto"/>
                <w:highlight w:val="none"/>
              </w:rPr>
            </w:pPr>
            <w:r>
              <w:rPr>
                <w:rFonts w:hint="eastAsia"/>
                <w:color w:val="auto"/>
                <w:highlight w:val="none"/>
              </w:rPr>
              <w:t>10.1.4</w:t>
            </w:r>
          </w:p>
        </w:tc>
        <w:tc>
          <w:tcPr>
            <w:tcW w:w="2933" w:type="dxa"/>
            <w:shd w:val="clear" w:color="auto" w:fill="auto"/>
            <w:vAlign w:val="center"/>
          </w:tcPr>
          <w:p>
            <w:pPr>
              <w:spacing w:line="360" w:lineRule="auto"/>
              <w:rPr>
                <w:rFonts w:cs="宋体"/>
                <w:color w:val="auto"/>
                <w:highlight w:val="none"/>
              </w:rPr>
            </w:pPr>
            <w:r>
              <w:rPr>
                <w:rFonts w:hint="eastAsia" w:cs="宋体"/>
                <w:color w:val="auto"/>
                <w:highlight w:val="none"/>
              </w:rPr>
              <w:t>年份（时间）要求</w:t>
            </w:r>
          </w:p>
        </w:tc>
        <w:tc>
          <w:tcPr>
            <w:tcW w:w="4820" w:type="dxa"/>
            <w:shd w:val="clear" w:color="auto" w:fill="auto"/>
            <w:vAlign w:val="center"/>
          </w:tcPr>
          <w:p>
            <w:pPr>
              <w:spacing w:line="360" w:lineRule="auto"/>
              <w:rPr>
                <w:rFonts w:cs="宋体"/>
                <w:color w:val="auto"/>
                <w:highlight w:val="none"/>
              </w:rPr>
            </w:pPr>
            <w:r>
              <w:rPr>
                <w:rFonts w:hint="eastAsia" w:cs="宋体"/>
                <w:color w:val="auto"/>
                <w:highlight w:val="none"/>
              </w:rPr>
              <w:t>1、财务年份要求：</w:t>
            </w:r>
            <w:r>
              <w:rPr>
                <w:rFonts w:cs="宋体"/>
                <w:color w:val="auto"/>
                <w:highlight w:val="none"/>
                <w:u w:val="single"/>
              </w:rPr>
              <w:t>201</w:t>
            </w:r>
            <w:r>
              <w:rPr>
                <w:rFonts w:hint="eastAsia" w:cs="宋体"/>
                <w:color w:val="auto"/>
                <w:highlight w:val="none"/>
                <w:u w:val="single"/>
              </w:rPr>
              <w:t>8</w:t>
            </w:r>
            <w:r>
              <w:rPr>
                <w:rFonts w:hint="eastAsia" w:cs="宋体"/>
                <w:color w:val="auto"/>
                <w:highlight w:val="none"/>
              </w:rPr>
              <w:t>年至</w:t>
            </w:r>
            <w:r>
              <w:rPr>
                <w:rFonts w:cs="宋体"/>
                <w:color w:val="auto"/>
                <w:highlight w:val="none"/>
                <w:u w:val="single"/>
              </w:rPr>
              <w:t>20</w:t>
            </w:r>
            <w:r>
              <w:rPr>
                <w:rFonts w:hint="eastAsia" w:cs="宋体"/>
                <w:color w:val="auto"/>
                <w:highlight w:val="none"/>
                <w:u w:val="single"/>
              </w:rPr>
              <w:t>20</w:t>
            </w:r>
            <w:r>
              <w:rPr>
                <w:rFonts w:hint="eastAsia" w:cs="宋体"/>
                <w:color w:val="auto"/>
                <w:highlight w:val="none"/>
              </w:rPr>
              <w:t>年（对于从取得营业执照时间起到投标截止时间为止不足要求年数的企业，只需提交企业取得营业执照年份至所要求最近年份经审计的财务报表）。</w:t>
            </w:r>
          </w:p>
          <w:p>
            <w:pPr>
              <w:spacing w:line="360" w:lineRule="auto"/>
              <w:rPr>
                <w:rFonts w:cs="宋体"/>
                <w:color w:val="auto"/>
                <w:highlight w:val="none"/>
              </w:rPr>
            </w:pPr>
            <w:r>
              <w:rPr>
                <w:rFonts w:hint="eastAsia" w:cs="宋体"/>
                <w:color w:val="auto"/>
                <w:highlight w:val="none"/>
              </w:rPr>
              <w:t>2、业绩年份要求：</w:t>
            </w:r>
            <w:r>
              <w:rPr>
                <w:rFonts w:cs="宋体"/>
                <w:color w:val="auto"/>
                <w:highlight w:val="none"/>
                <w:u w:val="single"/>
              </w:rPr>
              <w:t>2018</w:t>
            </w:r>
            <w:r>
              <w:rPr>
                <w:rFonts w:hint="eastAsia" w:cs="宋体"/>
                <w:color w:val="auto"/>
                <w:highlight w:val="none"/>
              </w:rPr>
              <w:t>年</w:t>
            </w:r>
            <w:r>
              <w:rPr>
                <w:rFonts w:cs="宋体"/>
                <w:color w:val="auto"/>
                <w:highlight w:val="none"/>
                <w:u w:val="single"/>
              </w:rPr>
              <w:t xml:space="preserve"> 01</w:t>
            </w:r>
            <w:r>
              <w:rPr>
                <w:rFonts w:hint="eastAsia" w:cs="宋体"/>
                <w:color w:val="auto"/>
                <w:highlight w:val="none"/>
              </w:rPr>
              <w:t>月至投标截止日期止</w:t>
            </w:r>
            <w:r>
              <w:rPr>
                <w:rFonts w:hint="eastAsia" w:hAnsi="宋体" w:cs="宋体"/>
                <w:color w:val="auto"/>
                <w:highlight w:val="none"/>
              </w:rPr>
              <w:t>，</w:t>
            </w:r>
            <w:r>
              <w:rPr>
                <w:rFonts w:hint="eastAsia" w:cs="宋体"/>
                <w:color w:val="auto"/>
                <w:highlight w:val="none"/>
              </w:rPr>
              <w:t>指项目竣工时间至投标截止时间止不超过</w:t>
            </w:r>
            <w:r>
              <w:rPr>
                <w:rFonts w:hint="eastAsia" w:cs="宋体"/>
                <w:color w:val="auto"/>
                <w:highlight w:val="none"/>
                <w:u w:val="single"/>
              </w:rPr>
              <w:t>3</w:t>
            </w:r>
            <w:r>
              <w:rPr>
                <w:color w:val="auto"/>
                <w:highlight w:val="none"/>
                <w:u w:val="single"/>
              </w:rPr>
              <w:t xml:space="preserve">    </w:t>
            </w:r>
            <w:r>
              <w:rPr>
                <w:rFonts w:hint="eastAsia" w:cs="宋体"/>
                <w:color w:val="auto"/>
                <w:highlight w:val="none"/>
              </w:rPr>
              <w:t>年；</w:t>
            </w:r>
          </w:p>
          <w:p>
            <w:pPr>
              <w:spacing w:line="360" w:lineRule="auto"/>
              <w:rPr>
                <w:rFonts w:cs="宋体"/>
                <w:color w:val="auto"/>
                <w:highlight w:val="none"/>
              </w:rPr>
            </w:pPr>
            <w:r>
              <w:rPr>
                <w:rFonts w:cs="宋体"/>
                <w:color w:val="auto"/>
                <w:highlight w:val="none"/>
              </w:rPr>
              <w:t>3</w:t>
            </w:r>
            <w:r>
              <w:rPr>
                <w:rFonts w:hint="eastAsia" w:cs="宋体"/>
                <w:color w:val="auto"/>
                <w:highlight w:val="none"/>
              </w:rPr>
              <w:t>、缴纳社会保险证明的时间要求：近</w:t>
            </w:r>
            <w:r>
              <w:rPr>
                <w:rFonts w:cs="宋体"/>
                <w:color w:val="auto"/>
                <w:highlight w:val="none"/>
              </w:rPr>
              <w:t>3</w:t>
            </w:r>
            <w:r>
              <w:rPr>
                <w:rFonts w:hint="eastAsia" w:cs="宋体"/>
                <w:color w:val="auto"/>
                <w:highlight w:val="none"/>
              </w:rPr>
              <w:t>个月（</w:t>
            </w:r>
            <w:r>
              <w:rPr>
                <w:rFonts w:cs="宋体"/>
                <w:color w:val="auto"/>
                <w:highlight w:val="none"/>
                <w:u w:val="single"/>
              </w:rPr>
              <w:t>2021</w:t>
            </w:r>
            <w:r>
              <w:rPr>
                <w:rFonts w:hint="eastAsia" w:cs="宋体"/>
                <w:color w:val="auto"/>
                <w:highlight w:val="none"/>
              </w:rPr>
              <w:t>年</w:t>
            </w:r>
            <w:r>
              <w:rPr>
                <w:rFonts w:hint="eastAsia" w:cs="宋体"/>
                <w:color w:val="auto"/>
                <w:highlight w:val="none"/>
                <w:u w:val="single"/>
              </w:rPr>
              <w:t>7</w:t>
            </w:r>
            <w:r>
              <w:rPr>
                <w:rFonts w:hint="eastAsia" w:cs="宋体"/>
                <w:color w:val="auto"/>
                <w:highlight w:val="none"/>
              </w:rPr>
              <w:t>月至</w:t>
            </w:r>
            <w:r>
              <w:rPr>
                <w:rFonts w:cs="宋体"/>
                <w:color w:val="auto"/>
                <w:highlight w:val="none"/>
                <w:u w:val="single"/>
              </w:rPr>
              <w:t>2021</w:t>
            </w:r>
            <w:r>
              <w:rPr>
                <w:rFonts w:hint="eastAsia" w:cs="宋体"/>
                <w:color w:val="auto"/>
                <w:highlight w:val="none"/>
              </w:rPr>
              <w:t>年</w:t>
            </w:r>
            <w:r>
              <w:rPr>
                <w:rFonts w:hint="eastAsia" w:cs="宋体"/>
                <w:color w:val="auto"/>
                <w:highlight w:val="none"/>
                <w:u w:val="single"/>
              </w:rPr>
              <w:t>9</w:t>
            </w:r>
            <w:r>
              <w:rPr>
                <w:rFonts w:hint="eastAsia" w:cs="宋体"/>
                <w:color w:val="auto"/>
                <w:highlight w:val="none"/>
              </w:rPr>
              <w:t>月）；</w:t>
            </w:r>
          </w:p>
          <w:p>
            <w:pPr>
              <w:spacing w:line="360" w:lineRule="auto"/>
              <w:rPr>
                <w:rFonts w:cs="宋体"/>
                <w:color w:val="auto"/>
                <w:highlight w:val="none"/>
              </w:rPr>
            </w:pPr>
            <w:r>
              <w:rPr>
                <w:rFonts w:cs="宋体"/>
                <w:color w:val="auto"/>
                <w:highlight w:val="none"/>
              </w:rPr>
              <w:t>4</w:t>
            </w:r>
            <w:r>
              <w:rPr>
                <w:rFonts w:hint="eastAsia" w:cs="宋体"/>
                <w:color w:val="auto"/>
                <w:highlight w:val="none"/>
              </w:rPr>
              <w:t>、已完成类似项目一览表（如有）的时间要求：企业</w:t>
            </w:r>
            <w:r>
              <w:rPr>
                <w:rFonts w:cs="宋体"/>
                <w:color w:val="auto"/>
                <w:highlight w:val="none"/>
                <w:u w:val="single"/>
              </w:rPr>
              <w:t>20</w:t>
            </w:r>
            <w:r>
              <w:rPr>
                <w:rFonts w:hint="eastAsia" w:cs="宋体"/>
                <w:color w:val="auto"/>
                <w:highlight w:val="none"/>
                <w:u w:val="single"/>
              </w:rPr>
              <w:t>18</w:t>
            </w:r>
            <w:r>
              <w:rPr>
                <w:rFonts w:hint="eastAsia" w:cs="宋体"/>
                <w:color w:val="auto"/>
                <w:highlight w:val="none"/>
              </w:rPr>
              <w:t>年</w:t>
            </w:r>
            <w:r>
              <w:rPr>
                <w:rFonts w:cs="宋体"/>
                <w:color w:val="auto"/>
                <w:highlight w:val="none"/>
                <w:u w:val="single"/>
              </w:rPr>
              <w:t>01</w:t>
            </w:r>
            <w:r>
              <w:rPr>
                <w:rFonts w:hint="eastAsia" w:cs="宋体"/>
                <w:color w:val="auto"/>
                <w:highlight w:val="none"/>
              </w:rPr>
              <w:t>月至投标截止日期止；</w:t>
            </w:r>
          </w:p>
          <w:p>
            <w:pPr>
              <w:spacing w:line="360" w:lineRule="auto"/>
              <w:rPr>
                <w:rFonts w:cs="宋体"/>
                <w:color w:val="auto"/>
                <w:highlight w:val="none"/>
              </w:rPr>
            </w:pPr>
            <w:r>
              <w:rPr>
                <w:rFonts w:cs="宋体"/>
                <w:color w:val="auto"/>
                <w:highlight w:val="none"/>
              </w:rPr>
              <w:t>5</w:t>
            </w:r>
            <w:r>
              <w:rPr>
                <w:rFonts w:hint="eastAsia" w:cs="宋体"/>
                <w:color w:val="auto"/>
                <w:highlight w:val="none"/>
              </w:rPr>
              <w:t>、在建类似工程一览表（如有）的时间要求：企业</w:t>
            </w:r>
            <w:r>
              <w:rPr>
                <w:rFonts w:cs="宋体"/>
                <w:color w:val="auto"/>
                <w:highlight w:val="none"/>
                <w:u w:val="single"/>
              </w:rPr>
              <w:t>201</w:t>
            </w:r>
            <w:r>
              <w:rPr>
                <w:rFonts w:hint="eastAsia" w:cs="宋体"/>
                <w:color w:val="auto"/>
                <w:highlight w:val="none"/>
                <w:u w:val="single"/>
              </w:rPr>
              <w:t>8</w:t>
            </w:r>
            <w:r>
              <w:rPr>
                <w:rFonts w:hint="eastAsia" w:cs="宋体"/>
                <w:color w:val="auto"/>
                <w:highlight w:val="none"/>
              </w:rPr>
              <w:t>年</w:t>
            </w:r>
            <w:r>
              <w:rPr>
                <w:rFonts w:cs="宋体"/>
                <w:color w:val="auto"/>
                <w:highlight w:val="none"/>
                <w:u w:val="single"/>
              </w:rPr>
              <w:t>01</w:t>
            </w:r>
            <w:r>
              <w:rPr>
                <w:rFonts w:hint="eastAsia" w:cs="宋体"/>
                <w:color w:val="auto"/>
                <w:highlight w:val="none"/>
              </w:rPr>
              <w:t>月至投标截止日期止；</w:t>
            </w:r>
          </w:p>
          <w:p>
            <w:pPr>
              <w:spacing w:line="360" w:lineRule="auto"/>
              <w:rPr>
                <w:rFonts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8960" w:type="dxa"/>
            <w:gridSpan w:val="4"/>
            <w:shd w:val="clear" w:color="auto" w:fill="auto"/>
          </w:tcPr>
          <w:p>
            <w:pPr>
              <w:spacing w:line="360" w:lineRule="auto"/>
              <w:rPr>
                <w:color w:val="auto"/>
                <w:highlight w:val="none"/>
              </w:rPr>
            </w:pPr>
            <w:r>
              <w:rPr>
                <w:color w:val="auto"/>
                <w:highlight w:val="none"/>
              </w:rPr>
              <w:t xml:space="preserve">10.2 </w:t>
            </w:r>
            <w:r>
              <w:rPr>
                <w:rFonts w:hint="eastAsia" w:cs="宋体"/>
                <w:color w:val="auto"/>
                <w:highlight w:val="none"/>
              </w:rPr>
              <w:t>招标控制价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1207" w:type="dxa"/>
            <w:gridSpan w:val="2"/>
            <w:shd w:val="clear" w:color="auto" w:fill="auto"/>
            <w:vAlign w:val="center"/>
          </w:tcPr>
          <w:p>
            <w:pPr>
              <w:spacing w:line="360" w:lineRule="auto"/>
              <w:rPr>
                <w:color w:val="auto"/>
                <w:highlight w:val="none"/>
              </w:rPr>
            </w:pPr>
          </w:p>
        </w:tc>
        <w:tc>
          <w:tcPr>
            <w:tcW w:w="2933" w:type="dxa"/>
            <w:shd w:val="clear" w:color="auto" w:fill="auto"/>
            <w:vAlign w:val="center"/>
          </w:tcPr>
          <w:p>
            <w:pPr>
              <w:spacing w:line="360" w:lineRule="auto"/>
              <w:rPr>
                <w:color w:val="auto"/>
                <w:highlight w:val="none"/>
              </w:rPr>
            </w:pPr>
            <w:r>
              <w:rPr>
                <w:rFonts w:hint="eastAsia" w:cs="宋体"/>
                <w:color w:val="auto"/>
                <w:highlight w:val="none"/>
              </w:rPr>
              <w:t>招标控制价</w:t>
            </w:r>
          </w:p>
        </w:tc>
        <w:tc>
          <w:tcPr>
            <w:tcW w:w="4820" w:type="dxa"/>
            <w:shd w:val="clear" w:color="auto" w:fill="auto"/>
            <w:vAlign w:val="center"/>
          </w:tcPr>
          <w:p>
            <w:pPr>
              <w:spacing w:line="360" w:lineRule="auto"/>
              <w:rPr>
                <w:color w:val="auto"/>
                <w:highlight w:val="none"/>
              </w:rPr>
            </w:pPr>
            <w:r>
              <w:rPr>
                <w:color w:val="auto"/>
                <w:highlight w:val="none"/>
              </w:rPr>
              <w:sym w:font="Wingdings 2" w:char="F052"/>
            </w:r>
            <w:r>
              <w:rPr>
                <w:rFonts w:hint="eastAsia" w:cs="宋体"/>
                <w:color w:val="auto"/>
                <w:highlight w:val="none"/>
              </w:rPr>
              <w:t xml:space="preserve">设招标控制价： 7806750.45 </w:t>
            </w:r>
            <w:r>
              <w:rPr>
                <w:rFonts w:hint="eastAsia" w:eastAsia="楷体_GB2312" w:cs="楷体_GB2312"/>
                <w:color w:val="auto"/>
                <w:highlight w:val="none"/>
                <w:u w:val="single"/>
              </w:rPr>
              <w:t>元</w:t>
            </w:r>
          </w:p>
          <w:p>
            <w:pPr>
              <w:spacing w:line="360" w:lineRule="auto"/>
              <w:rPr>
                <w:color w:val="auto"/>
                <w:highlight w:val="none"/>
              </w:rPr>
            </w:pPr>
            <w:r>
              <w:rPr>
                <w:rFonts w:hint="eastAsia" w:cs="宋体"/>
                <w:color w:val="auto"/>
                <w:highlight w:val="none"/>
              </w:rPr>
              <w:t>□不设招标控制价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8960" w:type="dxa"/>
            <w:gridSpan w:val="4"/>
            <w:shd w:val="clear" w:color="auto" w:fill="auto"/>
          </w:tcPr>
          <w:p>
            <w:pPr>
              <w:spacing w:line="360" w:lineRule="auto"/>
              <w:rPr>
                <w:color w:val="auto"/>
                <w:highlight w:val="none"/>
              </w:rPr>
            </w:pPr>
            <w:r>
              <w:rPr>
                <w:color w:val="auto"/>
                <w:highlight w:val="none"/>
              </w:rPr>
              <w:t xml:space="preserve">10.4 </w:t>
            </w:r>
            <w:r>
              <w:rPr>
                <w:rFonts w:hint="eastAsia" w:cs="宋体"/>
                <w:color w:val="auto"/>
                <w:highlight w:val="none"/>
              </w:rPr>
              <w:t>投标文件电子版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3" w:hRule="atLeast"/>
          <w:jc w:val="center"/>
        </w:trPr>
        <w:tc>
          <w:tcPr>
            <w:tcW w:w="1207" w:type="dxa"/>
            <w:gridSpan w:val="2"/>
            <w:shd w:val="clear" w:color="auto" w:fill="auto"/>
            <w:vAlign w:val="center"/>
          </w:tcPr>
          <w:p>
            <w:pPr>
              <w:spacing w:line="360" w:lineRule="auto"/>
              <w:rPr>
                <w:color w:val="auto"/>
                <w:highlight w:val="none"/>
              </w:rPr>
            </w:pPr>
          </w:p>
        </w:tc>
        <w:tc>
          <w:tcPr>
            <w:tcW w:w="2933" w:type="dxa"/>
            <w:shd w:val="clear" w:color="auto" w:fill="auto"/>
            <w:vAlign w:val="center"/>
          </w:tcPr>
          <w:p>
            <w:pPr>
              <w:spacing w:line="360" w:lineRule="auto"/>
              <w:rPr>
                <w:color w:val="auto"/>
                <w:highlight w:val="none"/>
              </w:rPr>
            </w:pPr>
            <w:r>
              <w:rPr>
                <w:rFonts w:hint="eastAsia" w:hAnsi="宋体" w:cs="宋体"/>
                <w:color w:val="auto"/>
                <w:highlight w:val="none"/>
              </w:rPr>
              <w:t>投标人在递交投标文件时，同时递交投标文件电子版</w:t>
            </w:r>
          </w:p>
        </w:tc>
        <w:tc>
          <w:tcPr>
            <w:tcW w:w="4820" w:type="dxa"/>
            <w:shd w:val="clear" w:color="auto" w:fill="auto"/>
            <w:vAlign w:val="center"/>
          </w:tcPr>
          <w:p>
            <w:pPr>
              <w:snapToGrid w:val="0"/>
              <w:spacing w:line="360" w:lineRule="auto"/>
              <w:jc w:val="left"/>
              <w:rPr>
                <w:color w:val="auto"/>
                <w:highlight w:val="none"/>
              </w:rPr>
            </w:pPr>
            <w:r>
              <w:rPr>
                <w:color w:val="auto"/>
                <w:highlight w:val="none"/>
              </w:rPr>
              <w:t>投标文件电子版内容：</w:t>
            </w:r>
            <w:r>
              <w:rPr>
                <w:rFonts w:hint="eastAsia"/>
                <w:color w:val="auto"/>
                <w:highlight w:val="none"/>
                <w:u w:val="single"/>
              </w:rPr>
              <w:t>全套投标文件及</w:t>
            </w:r>
            <w:r>
              <w:rPr>
                <w:color w:val="auto"/>
                <w:highlight w:val="none"/>
                <w:u w:val="single"/>
              </w:rPr>
              <w:t>工程量清单报价</w:t>
            </w:r>
            <w:r>
              <w:rPr>
                <w:rFonts w:hint="eastAsia"/>
                <w:color w:val="auto"/>
                <w:highlight w:val="none"/>
                <w:u w:val="single"/>
              </w:rPr>
              <w:t>部分</w:t>
            </w:r>
            <w:r>
              <w:rPr>
                <w:color w:val="auto"/>
                <w:highlight w:val="none"/>
                <w:u w:val="single"/>
              </w:rPr>
              <w:t xml:space="preserve"> </w:t>
            </w:r>
            <w:r>
              <w:rPr>
                <w:color w:val="auto"/>
                <w:highlight w:val="none"/>
              </w:rPr>
              <w:t>。</w:t>
            </w:r>
          </w:p>
          <w:p>
            <w:pPr>
              <w:snapToGrid w:val="0"/>
              <w:spacing w:line="360" w:lineRule="auto"/>
              <w:jc w:val="left"/>
              <w:rPr>
                <w:color w:val="auto"/>
                <w:highlight w:val="none"/>
                <w:u w:val="single"/>
              </w:rPr>
            </w:pPr>
            <w:r>
              <w:rPr>
                <w:color w:val="auto"/>
                <w:highlight w:val="none"/>
              </w:rPr>
              <w:t>投标文件电子版份数：</w:t>
            </w:r>
            <w:r>
              <w:rPr>
                <w:rFonts w:hint="eastAsia"/>
                <w:color w:val="auto"/>
                <w:highlight w:val="none"/>
                <w:u w:val="single"/>
              </w:rPr>
              <w:t>1</w:t>
            </w:r>
            <w:r>
              <w:rPr>
                <w:color w:val="auto"/>
                <w:highlight w:val="none"/>
              </w:rPr>
              <w:t>份。</w:t>
            </w:r>
          </w:p>
          <w:p>
            <w:pPr>
              <w:snapToGrid w:val="0"/>
              <w:spacing w:line="360" w:lineRule="auto"/>
              <w:jc w:val="left"/>
              <w:rPr>
                <w:color w:val="auto"/>
                <w:highlight w:val="none"/>
                <w:u w:val="single"/>
              </w:rPr>
            </w:pPr>
            <w:r>
              <w:rPr>
                <w:color w:val="auto"/>
                <w:highlight w:val="none"/>
              </w:rPr>
              <w:t>投标文件电子版形式：</w:t>
            </w:r>
            <w:r>
              <w:rPr>
                <w:rFonts w:hint="eastAsia"/>
                <w:color w:val="auto"/>
                <w:highlight w:val="none"/>
                <w:u w:val="single"/>
              </w:rPr>
              <w:t>投标文件部分为</w:t>
            </w:r>
            <w:r>
              <w:rPr>
                <w:color w:val="auto"/>
                <w:highlight w:val="none"/>
                <w:u w:val="single"/>
              </w:rPr>
              <w:t>word</w:t>
            </w:r>
            <w:r>
              <w:rPr>
                <w:rFonts w:hint="eastAsia"/>
                <w:color w:val="auto"/>
                <w:highlight w:val="none"/>
                <w:u w:val="single"/>
              </w:rPr>
              <w:t>或P</w:t>
            </w:r>
            <w:r>
              <w:rPr>
                <w:color w:val="auto"/>
                <w:highlight w:val="none"/>
                <w:u w:val="single"/>
              </w:rPr>
              <w:t>DF</w:t>
            </w:r>
            <w:r>
              <w:rPr>
                <w:rFonts w:hint="eastAsia"/>
                <w:color w:val="auto"/>
                <w:highlight w:val="none"/>
                <w:u w:val="single"/>
              </w:rPr>
              <w:t>格式,</w:t>
            </w:r>
            <w:r>
              <w:rPr>
                <w:color w:val="auto"/>
                <w:highlight w:val="none"/>
                <w:u w:val="single"/>
              </w:rPr>
              <w:t>工程量清单为计价软件式</w:t>
            </w:r>
            <w:r>
              <w:rPr>
                <w:color w:val="auto"/>
                <w:highlight w:val="none"/>
              </w:rPr>
              <w:t>。</w:t>
            </w:r>
          </w:p>
          <w:p>
            <w:pPr>
              <w:spacing w:line="360" w:lineRule="auto"/>
              <w:ind w:firstLine="435"/>
              <w:jc w:val="left"/>
              <w:rPr>
                <w:color w:val="auto"/>
                <w:highlight w:val="none"/>
              </w:rPr>
            </w:pPr>
            <w:r>
              <w:rPr>
                <w:rFonts w:hint="eastAsia"/>
                <w:color w:val="auto"/>
                <w:highlight w:val="none"/>
              </w:rPr>
              <w:t>投标文件电子版包封、密封、标识要求：同前述4.1.1款和4.1.2款要求。</w:t>
            </w:r>
            <w:r>
              <w:rPr>
                <w:rFonts w:hint="eastAsia" w:cs="宋体"/>
                <w:color w:val="auto"/>
                <w:highlight w:val="none"/>
              </w:rPr>
              <w:t>电子投标文件</w:t>
            </w:r>
            <w:r>
              <w:rPr>
                <w:rFonts w:hint="eastAsia" w:hAnsi="宋体" w:cs="宋体"/>
                <w:color w:val="auto"/>
                <w:highlight w:val="none"/>
              </w:rPr>
              <w:t>密封方式：单独放入一个密封袋中，加贴封条，</w:t>
            </w:r>
            <w:r>
              <w:rPr>
                <w:rFonts w:hint="eastAsia" w:hAnsi="宋体" w:cs="宋体"/>
                <w:color w:val="auto"/>
                <w:spacing w:val="6"/>
                <w:highlight w:val="none"/>
              </w:rPr>
              <w:t>并在封套封口处加盖投标人</w:t>
            </w:r>
            <w:r>
              <w:rPr>
                <w:rFonts w:hint="eastAsia" w:hAnsi="宋体" w:cs="宋体"/>
                <w:color w:val="auto"/>
                <w:highlight w:val="none"/>
              </w:rPr>
              <w:t>单位章，在封套上标记</w:t>
            </w:r>
            <w:r>
              <w:rPr>
                <w:rFonts w:hint="eastAsia" w:cs="宋体"/>
                <w:color w:val="auto"/>
                <w:highlight w:val="none"/>
              </w:rPr>
              <w:t>“</w:t>
            </w:r>
            <w:r>
              <w:rPr>
                <w:rFonts w:hint="eastAsia" w:hAnsi="宋体" w:cs="宋体"/>
                <w:color w:val="auto"/>
                <w:highlight w:val="none"/>
              </w:rPr>
              <w:t>电子投标文件</w:t>
            </w:r>
            <w:r>
              <w:rPr>
                <w:rFonts w:hint="eastAsia" w:cs="宋体"/>
                <w:color w:val="auto"/>
                <w:highlight w:val="none"/>
              </w:rPr>
              <w:t>”</w:t>
            </w:r>
            <w:r>
              <w:rPr>
                <w:rFonts w:hint="eastAsia" w:hAnsi="宋体" w:cs="宋体"/>
                <w:color w:val="auto"/>
                <w:highlight w:val="none"/>
              </w:rPr>
              <w:t>字样，在投标截止前提交。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8960" w:type="dxa"/>
            <w:gridSpan w:val="4"/>
            <w:shd w:val="clear" w:color="auto" w:fill="auto"/>
          </w:tcPr>
          <w:p>
            <w:pPr>
              <w:spacing w:line="360" w:lineRule="auto"/>
              <w:rPr>
                <w:color w:val="auto"/>
                <w:highlight w:val="none"/>
              </w:rPr>
            </w:pPr>
            <w:r>
              <w:rPr>
                <w:color w:val="auto"/>
                <w:highlight w:val="none"/>
              </w:rPr>
              <w:t xml:space="preserve">10.5 </w:t>
            </w:r>
            <w:r>
              <w:rPr>
                <w:rFonts w:hint="eastAsia" w:cs="宋体"/>
                <w:color w:val="auto"/>
                <w:highlight w:val="none"/>
              </w:rPr>
              <w:t>知识产权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1207" w:type="dxa"/>
            <w:gridSpan w:val="2"/>
            <w:shd w:val="clear" w:color="auto" w:fill="auto"/>
          </w:tcPr>
          <w:p>
            <w:pPr>
              <w:spacing w:line="360" w:lineRule="auto"/>
              <w:rPr>
                <w:color w:val="auto"/>
                <w:highlight w:val="none"/>
              </w:rPr>
            </w:pPr>
          </w:p>
        </w:tc>
        <w:tc>
          <w:tcPr>
            <w:tcW w:w="7753" w:type="dxa"/>
            <w:gridSpan w:val="2"/>
            <w:shd w:val="clear" w:color="auto" w:fill="auto"/>
          </w:tcPr>
          <w:p>
            <w:pPr>
              <w:spacing w:line="360" w:lineRule="auto"/>
              <w:rPr>
                <w:color w:val="auto"/>
                <w:highlight w:val="none"/>
              </w:rPr>
            </w:pPr>
            <w:r>
              <w:rPr>
                <w:rFonts w:hint="eastAsia" w:cs="宋体"/>
                <w:color w:val="auto"/>
                <w:highlight w:val="none"/>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8960" w:type="dxa"/>
            <w:gridSpan w:val="4"/>
            <w:shd w:val="clear" w:color="auto" w:fill="auto"/>
          </w:tcPr>
          <w:p>
            <w:pPr>
              <w:spacing w:line="360" w:lineRule="auto"/>
              <w:rPr>
                <w:color w:val="auto"/>
                <w:highlight w:val="none"/>
              </w:rPr>
            </w:pPr>
            <w:r>
              <w:rPr>
                <w:color w:val="auto"/>
                <w:highlight w:val="none"/>
              </w:rPr>
              <w:t xml:space="preserve">10.6 </w:t>
            </w:r>
            <w:r>
              <w:rPr>
                <w:rFonts w:hint="eastAsia" w:cs="宋体"/>
                <w:color w:val="auto"/>
                <w:highlight w:val="none"/>
              </w:rPr>
              <w:t>重新招标的其他情形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1207" w:type="dxa"/>
            <w:gridSpan w:val="2"/>
            <w:shd w:val="clear" w:color="auto" w:fill="auto"/>
          </w:tcPr>
          <w:p>
            <w:pPr>
              <w:spacing w:line="360" w:lineRule="auto"/>
              <w:rPr>
                <w:color w:val="auto"/>
                <w:highlight w:val="none"/>
              </w:rPr>
            </w:pPr>
          </w:p>
        </w:tc>
        <w:tc>
          <w:tcPr>
            <w:tcW w:w="7753" w:type="dxa"/>
            <w:gridSpan w:val="2"/>
            <w:shd w:val="clear" w:color="auto" w:fill="auto"/>
          </w:tcPr>
          <w:p>
            <w:pPr>
              <w:spacing w:line="360" w:lineRule="auto"/>
              <w:rPr>
                <w:color w:val="auto"/>
                <w:highlight w:val="none"/>
              </w:rPr>
            </w:pPr>
            <w:r>
              <w:rPr>
                <w:rFonts w:hint="eastAsia" w:cs="宋体"/>
                <w:color w:val="auto"/>
                <w:highlight w:val="none"/>
              </w:rPr>
              <w:t>除投标人须知正文第</w:t>
            </w:r>
            <w:r>
              <w:rPr>
                <w:color w:val="auto"/>
                <w:highlight w:val="none"/>
              </w:rPr>
              <w:t>8</w:t>
            </w:r>
            <w:r>
              <w:rPr>
                <w:rFonts w:hint="eastAsia" w:cs="宋体"/>
                <w:color w:val="auto"/>
                <w:highlight w:val="none"/>
              </w:rPr>
              <w:t>条规定的情形外，除非已经产生中标候选人，在投标有效期内同意延长投标有效期的投标人少于三个的，招标人在分析招标失败的原因并采取相应措施后，应当依法重新招标。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jc w:val="center"/>
        </w:trPr>
        <w:tc>
          <w:tcPr>
            <w:tcW w:w="8960" w:type="dxa"/>
            <w:gridSpan w:val="4"/>
            <w:shd w:val="clear" w:color="auto" w:fill="auto"/>
            <w:vAlign w:val="center"/>
          </w:tcPr>
          <w:p>
            <w:pPr>
              <w:spacing w:line="360" w:lineRule="auto"/>
              <w:ind w:left="210" w:hanging="210" w:hangingChars="100"/>
              <w:rPr>
                <w:color w:val="auto"/>
                <w:highlight w:val="none"/>
              </w:rPr>
            </w:pPr>
            <w:r>
              <w:rPr>
                <w:color w:val="auto"/>
                <w:highlight w:val="none"/>
              </w:rPr>
              <w:t xml:space="preserve">10.7 </w:t>
            </w:r>
            <w:r>
              <w:rPr>
                <w:rFonts w:hint="eastAsia" w:cs="宋体"/>
                <w:color w:val="auto"/>
                <w:highlight w:val="none"/>
              </w:rPr>
              <w:t>同义词语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9" w:hRule="atLeast"/>
          <w:jc w:val="center"/>
        </w:trPr>
        <w:tc>
          <w:tcPr>
            <w:tcW w:w="1196" w:type="dxa"/>
            <w:shd w:val="clear" w:color="auto" w:fill="auto"/>
            <w:vAlign w:val="center"/>
          </w:tcPr>
          <w:p>
            <w:pPr>
              <w:spacing w:line="360" w:lineRule="auto"/>
              <w:rPr>
                <w:color w:val="auto"/>
                <w:highlight w:val="none"/>
              </w:rPr>
            </w:pPr>
          </w:p>
        </w:tc>
        <w:tc>
          <w:tcPr>
            <w:tcW w:w="7764" w:type="dxa"/>
            <w:gridSpan w:val="3"/>
            <w:shd w:val="clear" w:color="auto" w:fill="auto"/>
            <w:vAlign w:val="center"/>
          </w:tcPr>
          <w:p>
            <w:pPr>
              <w:spacing w:line="360" w:lineRule="auto"/>
              <w:rPr>
                <w:color w:val="auto"/>
                <w:highlight w:val="none"/>
              </w:rPr>
            </w:pPr>
            <w:r>
              <w:rPr>
                <w:rFonts w:hint="eastAsia" w:cs="宋体"/>
                <w:color w:val="auto"/>
                <w:highlight w:val="none"/>
              </w:rPr>
              <w:t>构成招标文件组成部分的</w:t>
            </w:r>
            <w:r>
              <w:rPr>
                <w:color w:val="auto"/>
                <w:highlight w:val="none"/>
              </w:rPr>
              <w:t>“</w:t>
            </w:r>
            <w:r>
              <w:rPr>
                <w:rFonts w:hint="eastAsia" w:cs="宋体"/>
                <w:color w:val="auto"/>
                <w:highlight w:val="none"/>
              </w:rPr>
              <w:t>通用合同条款</w:t>
            </w:r>
            <w:r>
              <w:rPr>
                <w:color w:val="auto"/>
                <w:highlight w:val="none"/>
              </w:rPr>
              <w:t>”</w:t>
            </w:r>
            <w:r>
              <w:rPr>
                <w:rFonts w:hint="eastAsia" w:cs="宋体"/>
                <w:color w:val="auto"/>
                <w:highlight w:val="none"/>
              </w:rPr>
              <w:t>、</w:t>
            </w:r>
            <w:r>
              <w:rPr>
                <w:color w:val="auto"/>
                <w:highlight w:val="none"/>
              </w:rPr>
              <w:t>“</w:t>
            </w:r>
            <w:r>
              <w:rPr>
                <w:rFonts w:hint="eastAsia" w:cs="宋体"/>
                <w:color w:val="auto"/>
                <w:highlight w:val="none"/>
              </w:rPr>
              <w:t>专用合同条款</w:t>
            </w:r>
            <w:r>
              <w:rPr>
                <w:color w:val="auto"/>
                <w:highlight w:val="none"/>
              </w:rPr>
              <w:t>”</w:t>
            </w:r>
            <w:r>
              <w:rPr>
                <w:rFonts w:hint="eastAsia" w:cs="宋体"/>
                <w:color w:val="auto"/>
                <w:highlight w:val="none"/>
              </w:rPr>
              <w:t>、</w:t>
            </w:r>
            <w:r>
              <w:rPr>
                <w:color w:val="auto"/>
                <w:highlight w:val="none"/>
              </w:rPr>
              <w:t>“</w:t>
            </w:r>
            <w:r>
              <w:rPr>
                <w:rFonts w:hint="eastAsia" w:cs="宋体"/>
                <w:color w:val="auto"/>
                <w:highlight w:val="none"/>
              </w:rPr>
              <w:t>技术标准和要求</w:t>
            </w:r>
            <w:r>
              <w:rPr>
                <w:color w:val="auto"/>
                <w:highlight w:val="none"/>
              </w:rPr>
              <w:t>”</w:t>
            </w:r>
            <w:r>
              <w:rPr>
                <w:rFonts w:hint="eastAsia" w:cs="宋体"/>
                <w:color w:val="auto"/>
                <w:highlight w:val="none"/>
              </w:rPr>
              <w:t>和</w:t>
            </w:r>
            <w:r>
              <w:rPr>
                <w:color w:val="auto"/>
                <w:highlight w:val="none"/>
              </w:rPr>
              <w:t>“</w:t>
            </w:r>
            <w:r>
              <w:rPr>
                <w:rFonts w:hint="eastAsia" w:cs="宋体"/>
                <w:color w:val="auto"/>
                <w:highlight w:val="none"/>
              </w:rPr>
              <w:t>工程量清单</w:t>
            </w:r>
            <w:r>
              <w:rPr>
                <w:color w:val="auto"/>
                <w:highlight w:val="none"/>
              </w:rPr>
              <w:t>”</w:t>
            </w:r>
            <w:r>
              <w:rPr>
                <w:rFonts w:hint="eastAsia" w:cs="宋体"/>
                <w:color w:val="auto"/>
                <w:highlight w:val="none"/>
              </w:rPr>
              <w:t>等章节中出现的措辞</w:t>
            </w:r>
            <w:r>
              <w:rPr>
                <w:color w:val="auto"/>
                <w:highlight w:val="none"/>
              </w:rPr>
              <w:t>“</w:t>
            </w:r>
            <w:r>
              <w:rPr>
                <w:rFonts w:hint="eastAsia" w:cs="宋体"/>
                <w:color w:val="auto"/>
                <w:highlight w:val="none"/>
              </w:rPr>
              <w:t>发包人</w:t>
            </w:r>
            <w:r>
              <w:rPr>
                <w:color w:val="auto"/>
                <w:highlight w:val="none"/>
              </w:rPr>
              <w:t>”</w:t>
            </w:r>
            <w:r>
              <w:rPr>
                <w:rFonts w:hint="eastAsia" w:cs="宋体"/>
                <w:color w:val="auto"/>
                <w:highlight w:val="none"/>
              </w:rPr>
              <w:t>和</w:t>
            </w:r>
            <w:r>
              <w:rPr>
                <w:color w:val="auto"/>
                <w:highlight w:val="none"/>
              </w:rPr>
              <w:t>“</w:t>
            </w:r>
            <w:r>
              <w:rPr>
                <w:rFonts w:hint="eastAsia" w:cs="宋体"/>
                <w:color w:val="auto"/>
                <w:highlight w:val="none"/>
              </w:rPr>
              <w:t>承包人</w:t>
            </w:r>
            <w:r>
              <w:rPr>
                <w:color w:val="auto"/>
                <w:highlight w:val="none"/>
              </w:rPr>
              <w:t>”</w:t>
            </w:r>
            <w:r>
              <w:rPr>
                <w:rFonts w:hint="eastAsia" w:cs="宋体"/>
                <w:color w:val="auto"/>
                <w:highlight w:val="none"/>
              </w:rPr>
              <w:t>，在招标投标阶段应当分别按</w:t>
            </w:r>
            <w:r>
              <w:rPr>
                <w:color w:val="auto"/>
                <w:highlight w:val="none"/>
              </w:rPr>
              <w:t>“</w:t>
            </w:r>
            <w:r>
              <w:rPr>
                <w:rFonts w:hint="eastAsia" w:cs="宋体"/>
                <w:color w:val="auto"/>
                <w:highlight w:val="none"/>
              </w:rPr>
              <w:t>招标人</w:t>
            </w:r>
            <w:r>
              <w:rPr>
                <w:color w:val="auto"/>
                <w:highlight w:val="none"/>
              </w:rPr>
              <w:t>”</w:t>
            </w:r>
            <w:r>
              <w:rPr>
                <w:rFonts w:hint="eastAsia" w:cs="宋体"/>
                <w:color w:val="auto"/>
                <w:highlight w:val="none"/>
              </w:rPr>
              <w:t>和</w:t>
            </w:r>
            <w:r>
              <w:rPr>
                <w:color w:val="auto"/>
                <w:highlight w:val="none"/>
              </w:rPr>
              <w:t>“</w:t>
            </w:r>
            <w:r>
              <w:rPr>
                <w:rFonts w:hint="eastAsia" w:cs="宋体"/>
                <w:color w:val="auto"/>
                <w:highlight w:val="none"/>
              </w:rPr>
              <w:t>投标人</w:t>
            </w:r>
            <w:r>
              <w:rPr>
                <w:color w:val="auto"/>
                <w:highlight w:val="none"/>
              </w:rPr>
              <w:t>”</w:t>
            </w:r>
            <w:r>
              <w:rPr>
                <w:rFonts w:hint="eastAsia" w:cs="宋体"/>
                <w:color w:val="auto"/>
                <w:highlight w:val="none"/>
              </w:rPr>
              <w:t>进行理解。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jc w:val="center"/>
        </w:trPr>
        <w:tc>
          <w:tcPr>
            <w:tcW w:w="8960" w:type="dxa"/>
            <w:gridSpan w:val="4"/>
            <w:shd w:val="clear" w:color="auto" w:fill="auto"/>
            <w:vAlign w:val="center"/>
          </w:tcPr>
          <w:p>
            <w:pPr>
              <w:spacing w:line="360" w:lineRule="auto"/>
              <w:ind w:left="210" w:hanging="210" w:hangingChars="100"/>
              <w:rPr>
                <w:color w:val="auto"/>
                <w:highlight w:val="none"/>
              </w:rPr>
            </w:pPr>
            <w:r>
              <w:rPr>
                <w:color w:val="auto"/>
                <w:highlight w:val="none"/>
              </w:rPr>
              <w:t xml:space="preserve">10.8 </w:t>
            </w:r>
            <w:r>
              <w:rPr>
                <w:rFonts w:hint="eastAsia" w:cs="宋体"/>
                <w:color w:val="auto"/>
                <w:highlight w:val="none"/>
              </w:rPr>
              <w:t>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1196" w:type="dxa"/>
            <w:shd w:val="clear" w:color="auto" w:fill="auto"/>
            <w:vAlign w:val="center"/>
          </w:tcPr>
          <w:p>
            <w:pPr>
              <w:spacing w:line="360" w:lineRule="auto"/>
              <w:rPr>
                <w:color w:val="auto"/>
                <w:highlight w:val="none"/>
              </w:rPr>
            </w:pPr>
          </w:p>
        </w:tc>
        <w:tc>
          <w:tcPr>
            <w:tcW w:w="7764" w:type="dxa"/>
            <w:gridSpan w:val="3"/>
            <w:shd w:val="clear" w:color="auto" w:fill="auto"/>
            <w:vAlign w:val="center"/>
          </w:tcPr>
          <w:p>
            <w:pPr>
              <w:spacing w:line="360" w:lineRule="auto"/>
              <w:rPr>
                <w:color w:val="auto"/>
                <w:highlight w:val="none"/>
              </w:rPr>
            </w:pPr>
            <w:r>
              <w:rPr>
                <w:rFonts w:hint="eastAsia" w:cs="宋体"/>
                <w:color w:val="auto"/>
                <w:highlight w:val="none"/>
              </w:rPr>
              <w:t>广西壮族自治区财政厅政府采购监督管理处。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jc w:val="center"/>
        </w:trPr>
        <w:tc>
          <w:tcPr>
            <w:tcW w:w="8960" w:type="dxa"/>
            <w:gridSpan w:val="4"/>
            <w:shd w:val="clear" w:color="auto" w:fill="auto"/>
            <w:vAlign w:val="center"/>
          </w:tcPr>
          <w:p>
            <w:pPr>
              <w:spacing w:line="360" w:lineRule="auto"/>
              <w:ind w:left="210" w:hanging="210" w:hangingChars="100"/>
              <w:rPr>
                <w:color w:val="auto"/>
                <w:highlight w:val="none"/>
              </w:rPr>
            </w:pPr>
            <w:r>
              <w:rPr>
                <w:color w:val="auto"/>
                <w:highlight w:val="none"/>
              </w:rPr>
              <w:t xml:space="preserve">10.9 </w:t>
            </w:r>
            <w:r>
              <w:rPr>
                <w:rFonts w:hint="eastAsia" w:cs="宋体"/>
                <w:color w:val="auto"/>
                <w:highlight w:val="none"/>
              </w:rPr>
              <w:t>解释权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4" w:hRule="atLeast"/>
          <w:jc w:val="center"/>
        </w:trPr>
        <w:tc>
          <w:tcPr>
            <w:tcW w:w="1196" w:type="dxa"/>
            <w:shd w:val="clear" w:color="auto" w:fill="auto"/>
            <w:vAlign w:val="center"/>
          </w:tcPr>
          <w:p>
            <w:pPr>
              <w:spacing w:line="360" w:lineRule="auto"/>
              <w:rPr>
                <w:color w:val="auto"/>
                <w:highlight w:val="none"/>
              </w:rPr>
            </w:pPr>
          </w:p>
        </w:tc>
        <w:tc>
          <w:tcPr>
            <w:tcW w:w="7764" w:type="dxa"/>
            <w:gridSpan w:val="3"/>
            <w:shd w:val="clear" w:color="auto" w:fill="auto"/>
            <w:vAlign w:val="center"/>
          </w:tcPr>
          <w:p>
            <w:pPr>
              <w:spacing w:line="360" w:lineRule="auto"/>
              <w:rPr>
                <w:color w:val="auto"/>
                <w:highlight w:val="none"/>
              </w:rPr>
            </w:pPr>
            <w:r>
              <w:rPr>
                <w:rFonts w:hint="eastAsia" w:cs="宋体"/>
                <w:color w:val="auto"/>
                <w:highlight w:val="none"/>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补遗或澄清文件、招标公告（投标邀请书）、投标人须知、评标办法、投标文件格式的先后顺序解释；同一组成文件中就同一事项的规定或约定不一致的，以编排顺序在后者为准；同一组成文件不同版本之间有不一致的，以形成时间在后者为准；补遗或澄清文件与同步更新的招标文件不一致时以补遗或澄清文件为准。按本款前述规定仍不能形成结论的，由招标人负责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jc w:val="center"/>
        </w:trPr>
        <w:tc>
          <w:tcPr>
            <w:tcW w:w="8960" w:type="dxa"/>
            <w:gridSpan w:val="4"/>
            <w:shd w:val="clear" w:color="auto" w:fill="auto"/>
            <w:vAlign w:val="center"/>
          </w:tcPr>
          <w:p>
            <w:pPr>
              <w:spacing w:line="360" w:lineRule="auto"/>
              <w:rPr>
                <w:color w:val="auto"/>
                <w:highlight w:val="none"/>
              </w:rPr>
            </w:pPr>
            <w:r>
              <w:rPr>
                <w:color w:val="auto"/>
                <w:highlight w:val="none"/>
              </w:rPr>
              <w:t xml:space="preserve">10.10 </w:t>
            </w:r>
            <w:r>
              <w:rPr>
                <w:rFonts w:hint="eastAsia" w:cs="宋体"/>
                <w:color w:val="auto"/>
                <w:highlight w:val="none"/>
              </w:rPr>
              <w:t>招标人补充的其他内容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7" w:hRule="atLeast"/>
          <w:jc w:val="center"/>
        </w:trPr>
        <w:tc>
          <w:tcPr>
            <w:tcW w:w="1207" w:type="dxa"/>
            <w:gridSpan w:val="2"/>
            <w:shd w:val="clear" w:color="auto" w:fill="auto"/>
            <w:vAlign w:val="center"/>
          </w:tcPr>
          <w:p>
            <w:pPr>
              <w:spacing w:line="360" w:lineRule="auto"/>
              <w:rPr>
                <w:color w:val="auto"/>
                <w:highlight w:val="none"/>
              </w:rPr>
            </w:pPr>
            <w:r>
              <w:rPr>
                <w:color w:val="auto"/>
                <w:highlight w:val="none"/>
              </w:rPr>
              <w:t>10.10.1</w:t>
            </w:r>
          </w:p>
        </w:tc>
        <w:tc>
          <w:tcPr>
            <w:tcW w:w="2933" w:type="dxa"/>
            <w:shd w:val="clear" w:color="auto" w:fill="auto"/>
            <w:vAlign w:val="center"/>
          </w:tcPr>
          <w:p>
            <w:pPr>
              <w:spacing w:line="360" w:lineRule="auto"/>
              <w:rPr>
                <w:color w:val="auto"/>
                <w:highlight w:val="none"/>
              </w:rPr>
            </w:pPr>
            <w:r>
              <w:rPr>
                <w:rFonts w:hint="eastAsia" w:cs="宋体"/>
                <w:color w:val="auto"/>
                <w:highlight w:val="none"/>
              </w:rPr>
              <w:t>招标代理服务费的计算与收取</w:t>
            </w:r>
          </w:p>
        </w:tc>
        <w:tc>
          <w:tcPr>
            <w:tcW w:w="4820" w:type="dxa"/>
            <w:shd w:val="clear" w:color="auto" w:fill="auto"/>
            <w:vAlign w:val="center"/>
          </w:tcPr>
          <w:p>
            <w:pPr>
              <w:spacing w:line="360" w:lineRule="auto"/>
              <w:rPr>
                <w:color w:val="auto"/>
                <w:highlight w:val="none"/>
              </w:rPr>
            </w:pPr>
            <w:r>
              <w:rPr>
                <w:rFonts w:hint="eastAsia" w:cs="宋体"/>
                <w:color w:val="auto"/>
                <w:highlight w:val="none"/>
              </w:rPr>
              <w:t>□招标人支付</w:t>
            </w:r>
          </w:p>
          <w:p>
            <w:pPr>
              <w:spacing w:line="360" w:lineRule="auto"/>
              <w:rPr>
                <w:rFonts w:cs="宋体"/>
                <w:color w:val="auto"/>
                <w:highlight w:val="none"/>
              </w:rPr>
            </w:pPr>
            <w:r>
              <w:rPr>
                <w:color w:val="auto"/>
                <w:highlight w:val="none"/>
              </w:rPr>
              <w:sym w:font="Wingdings 2" w:char="F052"/>
            </w:r>
            <w:r>
              <w:rPr>
                <w:rFonts w:hint="eastAsia" w:cs="宋体"/>
                <w:color w:val="auto"/>
                <w:highlight w:val="none"/>
              </w:rPr>
              <w:t>中标人支付。具体为：根据招标人与代理人签订的《建设工程招标代理合同》，</w:t>
            </w:r>
            <w:r>
              <w:rPr>
                <w:rStyle w:val="158"/>
                <w:color w:val="auto"/>
                <w:highlight w:val="none"/>
              </w:rPr>
              <w:t>本项目委托招标代理服务费参照国家发展改革委调整招标代理服务收费(发改价格[2011]534号)的规定标准</w:t>
            </w:r>
            <w:r>
              <w:rPr>
                <w:rFonts w:hint="eastAsia" w:cs="宋体"/>
                <w:color w:val="auto"/>
                <w:highlight w:val="none"/>
              </w:rPr>
              <w:t>计取，由中标人在领取中标通知书时，一次性向招标代理机构支付。</w:t>
            </w:r>
          </w:p>
          <w:p>
            <w:pPr>
              <w:spacing w:line="360" w:lineRule="auto"/>
              <w:rPr>
                <w:color w:val="auto"/>
                <w:highlight w:val="none"/>
              </w:rPr>
            </w:pPr>
            <w:r>
              <w:rPr>
                <w:rFonts w:hint="eastAsia"/>
                <w:color w:val="auto"/>
                <w:highlight w:val="none"/>
              </w:rPr>
              <w:t>账户名称：广西建设工程机电设备招标中心有限公司</w:t>
            </w:r>
          </w:p>
          <w:p>
            <w:pPr>
              <w:spacing w:line="360" w:lineRule="auto"/>
              <w:rPr>
                <w:color w:val="auto"/>
                <w:highlight w:val="none"/>
              </w:rPr>
            </w:pPr>
            <w:r>
              <w:rPr>
                <w:rFonts w:hint="eastAsia"/>
                <w:color w:val="auto"/>
                <w:highlight w:val="none"/>
              </w:rPr>
              <w:t>开户银行：招商银行南宁分行营业部</w:t>
            </w:r>
          </w:p>
          <w:p>
            <w:pPr>
              <w:spacing w:line="360" w:lineRule="auto"/>
              <w:rPr>
                <w:color w:val="auto"/>
                <w:highlight w:val="none"/>
              </w:rPr>
            </w:pPr>
            <w:r>
              <w:rPr>
                <w:rFonts w:hint="eastAsia"/>
                <w:color w:val="auto"/>
                <w:highlight w:val="none"/>
              </w:rPr>
              <w:t>银行账号：7719 0142 3310 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207" w:type="dxa"/>
            <w:gridSpan w:val="2"/>
            <w:shd w:val="clear" w:color="auto" w:fill="auto"/>
            <w:vAlign w:val="center"/>
          </w:tcPr>
          <w:p>
            <w:pPr>
              <w:spacing w:line="360" w:lineRule="auto"/>
              <w:rPr>
                <w:color w:val="auto"/>
                <w:highlight w:val="none"/>
              </w:rPr>
            </w:pPr>
            <w:r>
              <w:rPr>
                <w:color w:val="auto"/>
                <w:highlight w:val="none"/>
              </w:rPr>
              <w:t>10.10.2</w:t>
            </w:r>
          </w:p>
        </w:tc>
        <w:tc>
          <w:tcPr>
            <w:tcW w:w="7753" w:type="dxa"/>
            <w:gridSpan w:val="2"/>
            <w:shd w:val="clear" w:color="auto" w:fill="auto"/>
            <w:vAlign w:val="center"/>
          </w:tcPr>
          <w:p>
            <w:pPr>
              <w:spacing w:line="360" w:lineRule="auto"/>
              <w:rPr>
                <w:color w:val="auto"/>
                <w:highlight w:val="none"/>
              </w:rPr>
            </w:pPr>
            <w:r>
              <w:rPr>
                <w:rFonts w:hint="eastAsia" w:cs="宋体"/>
                <w:color w:val="auto"/>
                <w:highlight w:val="none"/>
              </w:rPr>
              <w:t>设计单位：</w:t>
            </w:r>
            <w:r>
              <w:rPr>
                <w:rFonts w:hint="eastAsia"/>
                <w:color w:val="auto"/>
                <w:highlight w:val="none"/>
                <w:lang w:eastAsia="zh-CN"/>
              </w:rPr>
              <w:t>上宸工程设计集团有限公司</w:t>
            </w:r>
          </w:p>
        </w:tc>
      </w:tr>
    </w:tbl>
    <w:p>
      <w:pPr>
        <w:spacing w:line="360" w:lineRule="auto"/>
        <w:rPr>
          <w:rFonts w:eastAsia="楷体_GB2312" w:cs="楷体_GB2312"/>
          <w:color w:val="auto"/>
          <w:highlight w:val="none"/>
        </w:rPr>
      </w:pPr>
    </w:p>
    <w:p>
      <w:pPr>
        <w:spacing w:line="360" w:lineRule="auto"/>
        <w:rPr>
          <w:rFonts w:eastAsia="楷体_GB2312"/>
          <w:color w:val="auto"/>
          <w:highlight w:val="none"/>
        </w:rPr>
      </w:pPr>
      <w:r>
        <w:rPr>
          <w:rFonts w:hint="eastAsia" w:eastAsia="楷体_GB2312" w:cs="楷体_GB2312"/>
          <w:color w:val="auto"/>
          <w:highlight w:val="none"/>
        </w:rPr>
        <w:t>备注：</w:t>
      </w:r>
    </w:p>
    <w:p>
      <w:pPr>
        <w:spacing w:line="360" w:lineRule="auto"/>
        <w:ind w:firstLine="420" w:firstLineChars="200"/>
        <w:rPr>
          <w:rFonts w:eastAsia="楷体_GB2312"/>
          <w:color w:val="auto"/>
          <w:highlight w:val="none"/>
        </w:rPr>
      </w:pPr>
      <w:r>
        <w:rPr>
          <w:rFonts w:eastAsia="楷体_GB2312"/>
          <w:color w:val="auto"/>
          <w:highlight w:val="none"/>
        </w:rPr>
        <w:t>1. “</w:t>
      </w:r>
      <w:r>
        <w:rPr>
          <w:rFonts w:hint="eastAsia" w:eastAsia="楷体_GB2312" w:cs="楷体_GB2312"/>
          <w:color w:val="auto"/>
          <w:highlight w:val="none"/>
        </w:rPr>
        <w:t>投标人须知前附表</w:t>
      </w:r>
      <w:r>
        <w:rPr>
          <w:rFonts w:eastAsia="楷体_GB2312"/>
          <w:color w:val="auto"/>
          <w:highlight w:val="none"/>
        </w:rPr>
        <w:t>”</w:t>
      </w:r>
      <w:r>
        <w:rPr>
          <w:rFonts w:hint="eastAsia" w:eastAsia="楷体_GB2312" w:cs="楷体_GB2312"/>
          <w:color w:val="auto"/>
          <w:highlight w:val="none"/>
        </w:rPr>
        <w:t>中的条款名称、编列内容，招标人可根据项目实际需要进行适当的增减。</w:t>
      </w:r>
    </w:p>
    <w:p>
      <w:pPr>
        <w:tabs>
          <w:tab w:val="left" w:pos="720"/>
        </w:tabs>
        <w:spacing w:line="360" w:lineRule="auto"/>
        <w:ind w:firstLine="420" w:firstLineChars="200"/>
        <w:rPr>
          <w:rFonts w:eastAsia="楷体_GB2312"/>
          <w:color w:val="auto"/>
          <w:highlight w:val="none"/>
        </w:rPr>
      </w:pPr>
      <w:r>
        <w:rPr>
          <w:rFonts w:eastAsia="楷体_GB2312"/>
          <w:color w:val="auto"/>
          <w:highlight w:val="none"/>
        </w:rPr>
        <w:t xml:space="preserve">2. </w:t>
      </w:r>
      <w:r>
        <w:rPr>
          <w:rFonts w:hint="eastAsia" w:eastAsia="楷体_GB2312" w:cs="楷体_GB2312"/>
          <w:color w:val="auto"/>
          <w:highlight w:val="none"/>
        </w:rPr>
        <w:t>招标人如需要对</w:t>
      </w:r>
      <w:r>
        <w:rPr>
          <w:rFonts w:eastAsia="楷体_GB2312"/>
          <w:color w:val="auto"/>
          <w:highlight w:val="none"/>
        </w:rPr>
        <w:t>“</w:t>
      </w:r>
      <w:r>
        <w:rPr>
          <w:rFonts w:hint="eastAsia" w:eastAsia="楷体_GB2312" w:cs="楷体_GB2312"/>
          <w:color w:val="auto"/>
          <w:highlight w:val="none"/>
        </w:rPr>
        <w:t>投标人须知</w:t>
      </w:r>
      <w:r>
        <w:rPr>
          <w:rFonts w:eastAsia="楷体_GB2312"/>
          <w:color w:val="auto"/>
          <w:highlight w:val="none"/>
        </w:rPr>
        <w:t>”</w:t>
      </w:r>
      <w:r>
        <w:rPr>
          <w:rFonts w:hint="eastAsia" w:eastAsia="楷体_GB2312" w:cs="楷体_GB2312"/>
          <w:color w:val="auto"/>
          <w:highlight w:val="none"/>
        </w:rPr>
        <w:t>正文条款进行细化调整的，应在</w:t>
      </w:r>
      <w:r>
        <w:rPr>
          <w:rFonts w:eastAsia="楷体_GB2312"/>
          <w:color w:val="auto"/>
          <w:highlight w:val="none"/>
        </w:rPr>
        <w:t>“</w:t>
      </w:r>
      <w:r>
        <w:rPr>
          <w:rFonts w:hint="eastAsia" w:eastAsia="楷体_GB2312" w:cs="楷体_GB2312"/>
          <w:color w:val="auto"/>
          <w:highlight w:val="none"/>
        </w:rPr>
        <w:t>投标人须知前附表</w:t>
      </w:r>
      <w:r>
        <w:rPr>
          <w:rFonts w:eastAsia="楷体_GB2312"/>
          <w:color w:val="auto"/>
          <w:highlight w:val="none"/>
        </w:rPr>
        <w:t>”</w:t>
      </w:r>
      <w:r>
        <w:rPr>
          <w:rFonts w:hint="eastAsia" w:eastAsia="楷体_GB2312" w:cs="楷体_GB2312"/>
          <w:color w:val="auto"/>
          <w:highlight w:val="none"/>
        </w:rPr>
        <w:t>中进行。</w:t>
      </w:r>
    </w:p>
    <w:p>
      <w:pPr>
        <w:tabs>
          <w:tab w:val="left" w:pos="720"/>
        </w:tabs>
        <w:spacing w:line="360" w:lineRule="auto"/>
        <w:ind w:firstLine="420" w:firstLineChars="200"/>
        <w:rPr>
          <w:rFonts w:eastAsia="楷体_GB2312"/>
          <w:color w:val="auto"/>
          <w:highlight w:val="none"/>
        </w:rPr>
      </w:pPr>
      <w:r>
        <w:rPr>
          <w:rFonts w:eastAsia="楷体_GB2312"/>
          <w:color w:val="auto"/>
          <w:highlight w:val="none"/>
        </w:rPr>
        <w:t xml:space="preserve">3. </w:t>
      </w:r>
      <w:r>
        <w:rPr>
          <w:rFonts w:hint="eastAsia" w:eastAsia="楷体_GB2312" w:cs="楷体_GB2312"/>
          <w:color w:val="auto"/>
          <w:highlight w:val="none"/>
        </w:rPr>
        <w:t>招标人派出评委参加评标的，须符合以下条件之一：（1）必须是本单位具备与评标工程技术要求相当条件和能力水平的人员出任，须附招标人为其缴纳的近</w:t>
      </w:r>
      <w:r>
        <w:rPr>
          <w:rFonts w:eastAsia="楷体_GB2312"/>
          <w:color w:val="auto"/>
          <w:highlight w:val="none"/>
        </w:rPr>
        <w:t>3</w:t>
      </w:r>
      <w:r>
        <w:rPr>
          <w:rFonts w:hint="eastAsia" w:eastAsia="楷体_GB2312" w:cs="楷体_GB2312"/>
          <w:color w:val="auto"/>
          <w:highlight w:val="none"/>
        </w:rPr>
        <w:t>个月的社会保险证明或者工作编制证明文件的扫描件；（</w:t>
      </w:r>
      <w:r>
        <w:rPr>
          <w:rFonts w:eastAsia="楷体_GB2312"/>
          <w:color w:val="auto"/>
          <w:highlight w:val="none"/>
        </w:rPr>
        <w:t>2</w:t>
      </w:r>
      <w:r>
        <w:rPr>
          <w:rFonts w:hint="eastAsia" w:eastAsia="楷体_GB2312" w:cs="楷体_GB2312"/>
          <w:color w:val="auto"/>
          <w:highlight w:val="none"/>
        </w:rPr>
        <w:t>）本单位无符合上述条件的人员时，可以委托持《广西壮族自治区建设工程招标投标评标专家资格证书》的人员出任；持证人员已退休的，应附退休证明文件的扫描件，持证人员在职的，应附现任职单位为其缴纳的近</w:t>
      </w:r>
      <w:r>
        <w:rPr>
          <w:rFonts w:eastAsia="楷体_GB2312"/>
          <w:color w:val="auto"/>
          <w:highlight w:val="none"/>
        </w:rPr>
        <w:t>3</w:t>
      </w:r>
      <w:r>
        <w:rPr>
          <w:rFonts w:hint="eastAsia" w:eastAsia="楷体_GB2312" w:cs="楷体_GB2312"/>
          <w:color w:val="auto"/>
          <w:highlight w:val="none"/>
        </w:rPr>
        <w:t>个月的社会保险证明或者工作编制证明文件的扫描件。</w:t>
      </w:r>
    </w:p>
    <w:p>
      <w:pPr>
        <w:ind w:left="750" w:hanging="749" w:hangingChars="357"/>
        <w:rPr>
          <w:rFonts w:eastAsia="楷体_GB2312"/>
          <w:color w:val="auto"/>
          <w:highlight w:val="none"/>
        </w:rPr>
      </w:pPr>
      <w:r>
        <w:rPr>
          <w:rFonts w:eastAsia="楷体_GB2312"/>
          <w:color w:val="auto"/>
          <w:highlight w:val="none"/>
        </w:rPr>
        <w:br w:type="page"/>
      </w:r>
    </w:p>
    <w:p>
      <w:pPr>
        <w:ind w:left="750" w:hanging="749" w:hangingChars="357"/>
        <w:rPr>
          <w:color w:val="auto"/>
          <w:highlight w:val="none"/>
        </w:rPr>
      </w:pPr>
    </w:p>
    <w:p>
      <w:pPr>
        <w:pStyle w:val="3"/>
        <w:jc w:val="center"/>
        <w:rPr>
          <w:color w:val="auto"/>
          <w:highlight w:val="none"/>
        </w:rPr>
      </w:pPr>
      <w:bookmarkStart w:id="54" w:name="_Toc9744"/>
      <w:bookmarkStart w:id="55" w:name="_Toc407135077"/>
      <w:bookmarkStart w:id="56" w:name="_Toc66186302"/>
      <w:bookmarkStart w:id="57" w:name="_Toc389065144"/>
      <w:r>
        <w:rPr>
          <w:rFonts w:hint="eastAsia" w:cs="黑体"/>
          <w:color w:val="auto"/>
          <w:highlight w:val="none"/>
        </w:rPr>
        <w:t>投标人须知正文部分</w:t>
      </w:r>
      <w:bookmarkEnd w:id="54"/>
      <w:bookmarkEnd w:id="55"/>
      <w:bookmarkEnd w:id="56"/>
      <w:bookmarkEnd w:id="57"/>
    </w:p>
    <w:p>
      <w:pPr>
        <w:pStyle w:val="4"/>
        <w:rPr>
          <w:color w:val="auto"/>
          <w:highlight w:val="none"/>
        </w:rPr>
      </w:pPr>
      <w:bookmarkStart w:id="58" w:name="_Toc407135078"/>
      <w:bookmarkStart w:id="59" w:name="_Toc389065145"/>
      <w:bookmarkStart w:id="60" w:name="_Toc29603"/>
      <w:bookmarkStart w:id="61" w:name="_Toc66186303"/>
      <w:r>
        <w:rPr>
          <w:color w:val="auto"/>
          <w:highlight w:val="none"/>
        </w:rPr>
        <w:t xml:space="preserve">1 </w:t>
      </w:r>
      <w:r>
        <w:rPr>
          <w:rFonts w:hint="eastAsia" w:cs="黑体"/>
          <w:color w:val="auto"/>
          <w:highlight w:val="none"/>
        </w:rPr>
        <w:t>总则</w:t>
      </w:r>
      <w:bookmarkEnd w:id="58"/>
      <w:bookmarkEnd w:id="59"/>
      <w:bookmarkEnd w:id="60"/>
      <w:bookmarkEnd w:id="61"/>
    </w:p>
    <w:p>
      <w:pPr>
        <w:pStyle w:val="5"/>
        <w:rPr>
          <w:color w:val="auto"/>
          <w:highlight w:val="none"/>
        </w:rPr>
      </w:pPr>
      <w:bookmarkStart w:id="62" w:name="_Toc407135079"/>
      <w:bookmarkStart w:id="63" w:name="_Toc13779"/>
      <w:bookmarkStart w:id="64" w:name="_Toc66186304"/>
      <w:bookmarkStart w:id="65" w:name="_Toc389065146"/>
      <w:r>
        <w:rPr>
          <w:color w:val="auto"/>
          <w:highlight w:val="none"/>
        </w:rPr>
        <w:t xml:space="preserve">1.1 </w:t>
      </w:r>
      <w:r>
        <w:rPr>
          <w:rFonts w:hint="eastAsia" w:cs="黑体"/>
          <w:color w:val="auto"/>
          <w:highlight w:val="none"/>
        </w:rPr>
        <w:t>项目概况</w:t>
      </w:r>
      <w:bookmarkEnd w:id="62"/>
      <w:bookmarkEnd w:id="63"/>
      <w:bookmarkEnd w:id="64"/>
      <w:bookmarkEnd w:id="65"/>
    </w:p>
    <w:p>
      <w:pPr>
        <w:spacing w:line="360" w:lineRule="auto"/>
        <w:ind w:firstLine="420" w:firstLineChars="200"/>
        <w:rPr>
          <w:color w:val="auto"/>
          <w:highlight w:val="none"/>
        </w:rPr>
      </w:pPr>
      <w:r>
        <w:rPr>
          <w:color w:val="auto"/>
          <w:highlight w:val="none"/>
        </w:rPr>
        <w:t xml:space="preserve">1.1.1 </w:t>
      </w:r>
      <w:r>
        <w:rPr>
          <w:rFonts w:hint="eastAsia" w:cs="宋体"/>
          <w:color w:val="auto"/>
          <w:highlight w:val="none"/>
        </w:rPr>
        <w:t>根据《中华人民共和国招标投标法》等有关法律、法规和规章的规定，本招标项目已具备招标条件，现对本标段施工进行招标。</w:t>
      </w:r>
    </w:p>
    <w:p>
      <w:pPr>
        <w:spacing w:line="360" w:lineRule="auto"/>
        <w:ind w:firstLine="420" w:firstLineChars="200"/>
        <w:rPr>
          <w:color w:val="auto"/>
          <w:highlight w:val="none"/>
        </w:rPr>
      </w:pPr>
      <w:r>
        <w:rPr>
          <w:color w:val="auto"/>
          <w:highlight w:val="none"/>
        </w:rPr>
        <w:t xml:space="preserve">1.1.2 </w:t>
      </w:r>
      <w:r>
        <w:rPr>
          <w:rFonts w:hint="eastAsia" w:cs="宋体"/>
          <w:color w:val="auto"/>
          <w:highlight w:val="none"/>
        </w:rPr>
        <w:t>本招标项目招标人：见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pPr>
        <w:spacing w:line="360" w:lineRule="auto"/>
        <w:ind w:firstLine="420" w:firstLineChars="200"/>
        <w:rPr>
          <w:color w:val="auto"/>
          <w:highlight w:val="none"/>
        </w:rPr>
      </w:pPr>
      <w:r>
        <w:rPr>
          <w:color w:val="auto"/>
          <w:highlight w:val="none"/>
        </w:rPr>
        <w:t xml:space="preserve">1.1.3 </w:t>
      </w:r>
      <w:r>
        <w:rPr>
          <w:rFonts w:hint="eastAsia" w:cs="宋体"/>
          <w:color w:val="auto"/>
          <w:highlight w:val="none"/>
        </w:rPr>
        <w:t>本标段招标代理机构：见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pPr>
        <w:spacing w:line="360" w:lineRule="auto"/>
        <w:ind w:firstLine="420" w:firstLineChars="200"/>
        <w:rPr>
          <w:color w:val="auto"/>
          <w:highlight w:val="none"/>
        </w:rPr>
      </w:pPr>
      <w:r>
        <w:rPr>
          <w:color w:val="auto"/>
          <w:highlight w:val="none"/>
        </w:rPr>
        <w:t xml:space="preserve">1.1.4 </w:t>
      </w:r>
      <w:r>
        <w:rPr>
          <w:rFonts w:hint="eastAsia" w:cs="宋体"/>
          <w:color w:val="auto"/>
          <w:highlight w:val="none"/>
        </w:rPr>
        <w:t>本招标项目名称及项目招标编号：见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pPr>
        <w:spacing w:line="360" w:lineRule="auto"/>
        <w:ind w:firstLine="420" w:firstLineChars="200"/>
        <w:rPr>
          <w:color w:val="auto"/>
          <w:highlight w:val="none"/>
        </w:rPr>
      </w:pPr>
      <w:r>
        <w:rPr>
          <w:color w:val="auto"/>
          <w:highlight w:val="none"/>
        </w:rPr>
        <w:t xml:space="preserve">1.1.5 </w:t>
      </w:r>
      <w:r>
        <w:rPr>
          <w:rFonts w:hint="eastAsia" w:cs="宋体"/>
          <w:color w:val="auto"/>
          <w:highlight w:val="none"/>
        </w:rPr>
        <w:t>本标段建设地点：见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pPr>
        <w:pStyle w:val="5"/>
        <w:rPr>
          <w:color w:val="auto"/>
          <w:highlight w:val="none"/>
        </w:rPr>
      </w:pPr>
      <w:bookmarkStart w:id="66" w:name="_Toc66186305"/>
      <w:bookmarkStart w:id="67" w:name="_Toc389065152"/>
      <w:bookmarkStart w:id="68" w:name="_Toc407135085"/>
      <w:bookmarkStart w:id="69" w:name="_Toc3066"/>
      <w:bookmarkStart w:id="70" w:name="_Toc407135080"/>
      <w:bookmarkStart w:id="71" w:name="_Toc389065147"/>
      <w:r>
        <w:rPr>
          <w:color w:val="auto"/>
          <w:highlight w:val="none"/>
        </w:rPr>
        <w:t xml:space="preserve">1.7 </w:t>
      </w:r>
      <w:r>
        <w:rPr>
          <w:rFonts w:hint="eastAsia" w:cs="黑体"/>
          <w:color w:val="auto"/>
          <w:highlight w:val="none"/>
        </w:rPr>
        <w:t>语言文字</w:t>
      </w:r>
      <w:bookmarkEnd w:id="66"/>
      <w:bookmarkEnd w:id="67"/>
      <w:bookmarkEnd w:id="68"/>
      <w:bookmarkEnd w:id="69"/>
    </w:p>
    <w:p>
      <w:pPr>
        <w:spacing w:line="360" w:lineRule="auto"/>
        <w:ind w:firstLine="420" w:firstLineChars="200"/>
        <w:rPr>
          <w:color w:val="auto"/>
          <w:highlight w:val="none"/>
        </w:rPr>
      </w:pPr>
      <w:r>
        <w:rPr>
          <w:rFonts w:hint="eastAsia" w:cs="宋体"/>
          <w:color w:val="auto"/>
          <w:highlight w:val="none"/>
        </w:rPr>
        <w:t>除专用术语外，与招标投标有关的语言均使用中文。必要时专用术语应附有中文注释。</w:t>
      </w:r>
    </w:p>
    <w:p>
      <w:pPr>
        <w:pStyle w:val="5"/>
        <w:rPr>
          <w:color w:val="auto"/>
          <w:highlight w:val="none"/>
        </w:rPr>
      </w:pPr>
      <w:bookmarkStart w:id="72" w:name="_Toc6929"/>
      <w:bookmarkStart w:id="73" w:name="_Toc66186306"/>
      <w:r>
        <w:rPr>
          <w:color w:val="auto"/>
          <w:highlight w:val="none"/>
        </w:rPr>
        <w:t xml:space="preserve">1.2 </w:t>
      </w:r>
      <w:bookmarkEnd w:id="70"/>
      <w:r>
        <w:rPr>
          <w:rFonts w:hint="eastAsia" w:cs="黑体"/>
          <w:color w:val="auto"/>
          <w:highlight w:val="none"/>
        </w:rPr>
        <w:t>资金来源和落实及增值税计税方法情况</w:t>
      </w:r>
      <w:bookmarkEnd w:id="71"/>
      <w:bookmarkEnd w:id="72"/>
      <w:bookmarkEnd w:id="73"/>
    </w:p>
    <w:p>
      <w:pPr>
        <w:spacing w:line="360" w:lineRule="auto"/>
        <w:ind w:firstLine="420" w:firstLineChars="200"/>
        <w:rPr>
          <w:color w:val="auto"/>
          <w:highlight w:val="none"/>
        </w:rPr>
      </w:pPr>
      <w:r>
        <w:rPr>
          <w:color w:val="auto"/>
          <w:highlight w:val="none"/>
        </w:rPr>
        <w:t xml:space="preserve">1.2.1 </w:t>
      </w:r>
      <w:r>
        <w:rPr>
          <w:rFonts w:hint="eastAsia" w:cs="宋体"/>
          <w:color w:val="auto"/>
          <w:highlight w:val="none"/>
        </w:rPr>
        <w:t>本招标项目的资金来源：见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pPr>
        <w:spacing w:line="360" w:lineRule="auto"/>
        <w:ind w:firstLine="420" w:firstLineChars="200"/>
        <w:rPr>
          <w:color w:val="auto"/>
          <w:highlight w:val="none"/>
        </w:rPr>
      </w:pPr>
      <w:r>
        <w:rPr>
          <w:color w:val="auto"/>
          <w:highlight w:val="none"/>
        </w:rPr>
        <w:t xml:space="preserve">1.2.2 </w:t>
      </w:r>
      <w:r>
        <w:rPr>
          <w:rFonts w:hint="eastAsia" w:cs="宋体"/>
          <w:color w:val="auto"/>
          <w:highlight w:val="none"/>
        </w:rPr>
        <w:t>本招标项目的出资比例：见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pPr>
        <w:spacing w:line="360" w:lineRule="auto"/>
        <w:ind w:firstLine="420" w:firstLineChars="200"/>
        <w:rPr>
          <w:rFonts w:cs="宋体"/>
          <w:color w:val="auto"/>
          <w:highlight w:val="none"/>
        </w:rPr>
      </w:pPr>
      <w:r>
        <w:rPr>
          <w:color w:val="auto"/>
          <w:highlight w:val="none"/>
        </w:rPr>
        <w:t xml:space="preserve">1.2.3 </w:t>
      </w:r>
      <w:r>
        <w:rPr>
          <w:rFonts w:hint="eastAsia" w:cs="宋体"/>
          <w:color w:val="auto"/>
          <w:highlight w:val="none"/>
        </w:rPr>
        <w:t>本招标项目的资金落实情况：见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pPr>
        <w:spacing w:line="360" w:lineRule="auto"/>
        <w:ind w:firstLine="420" w:firstLineChars="200"/>
        <w:rPr>
          <w:color w:val="auto"/>
          <w:highlight w:val="none"/>
        </w:rPr>
      </w:pPr>
      <w:r>
        <w:rPr>
          <w:rFonts w:hint="eastAsia" w:cs="宋体"/>
          <w:color w:val="auto"/>
          <w:highlight w:val="none"/>
        </w:rPr>
        <w:t>1.2.4本招标项目的增值税计税方法：见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pPr>
        <w:pStyle w:val="5"/>
        <w:rPr>
          <w:color w:val="auto"/>
          <w:highlight w:val="none"/>
        </w:rPr>
      </w:pPr>
      <w:bookmarkStart w:id="74" w:name="_Toc16917"/>
      <w:bookmarkStart w:id="75" w:name="_Toc407135081"/>
      <w:bookmarkStart w:id="76" w:name="_Toc66186307"/>
      <w:bookmarkStart w:id="77" w:name="_Toc389065148"/>
      <w:r>
        <w:rPr>
          <w:color w:val="auto"/>
          <w:highlight w:val="none"/>
        </w:rPr>
        <w:t xml:space="preserve">1.3 </w:t>
      </w:r>
      <w:r>
        <w:rPr>
          <w:rFonts w:hint="eastAsia" w:cs="黑体"/>
          <w:color w:val="auto"/>
          <w:highlight w:val="none"/>
        </w:rPr>
        <w:t>招标范围、计划工期和质量要求</w:t>
      </w:r>
      <w:bookmarkEnd w:id="74"/>
      <w:bookmarkEnd w:id="75"/>
      <w:bookmarkEnd w:id="76"/>
      <w:bookmarkEnd w:id="77"/>
    </w:p>
    <w:p>
      <w:pPr>
        <w:spacing w:line="360" w:lineRule="auto"/>
        <w:ind w:firstLine="420" w:firstLineChars="200"/>
        <w:rPr>
          <w:color w:val="auto"/>
          <w:highlight w:val="none"/>
        </w:rPr>
      </w:pPr>
      <w:r>
        <w:rPr>
          <w:color w:val="auto"/>
          <w:highlight w:val="none"/>
        </w:rPr>
        <w:t xml:space="preserve">1.3.1 </w:t>
      </w:r>
      <w:r>
        <w:rPr>
          <w:rFonts w:hint="eastAsia" w:cs="宋体"/>
          <w:color w:val="auto"/>
          <w:highlight w:val="none"/>
        </w:rPr>
        <w:t>本次招标范围：见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pPr>
        <w:spacing w:line="360" w:lineRule="auto"/>
        <w:ind w:firstLine="420" w:firstLineChars="200"/>
        <w:rPr>
          <w:color w:val="auto"/>
          <w:highlight w:val="none"/>
        </w:rPr>
      </w:pPr>
      <w:r>
        <w:rPr>
          <w:color w:val="auto"/>
          <w:highlight w:val="none"/>
        </w:rPr>
        <w:t xml:space="preserve">1.3.2 </w:t>
      </w:r>
      <w:r>
        <w:rPr>
          <w:rFonts w:hint="eastAsia" w:cs="宋体"/>
          <w:color w:val="auto"/>
          <w:highlight w:val="none"/>
        </w:rPr>
        <w:t>本标段的要求工期：见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pPr>
        <w:spacing w:line="360" w:lineRule="auto"/>
        <w:ind w:firstLine="420" w:firstLineChars="200"/>
        <w:rPr>
          <w:color w:val="auto"/>
          <w:highlight w:val="none"/>
        </w:rPr>
      </w:pPr>
      <w:r>
        <w:rPr>
          <w:color w:val="auto"/>
          <w:highlight w:val="none"/>
        </w:rPr>
        <w:t xml:space="preserve">1.3.3 </w:t>
      </w:r>
      <w:r>
        <w:rPr>
          <w:rFonts w:hint="eastAsia" w:cs="宋体"/>
          <w:color w:val="auto"/>
          <w:highlight w:val="none"/>
        </w:rPr>
        <w:t>本标段的质量要求：见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pPr>
        <w:pStyle w:val="5"/>
        <w:rPr>
          <w:color w:val="auto"/>
          <w:highlight w:val="none"/>
        </w:rPr>
      </w:pPr>
      <w:bookmarkStart w:id="78" w:name="_Toc30050"/>
      <w:bookmarkStart w:id="79" w:name="_Toc66186308"/>
      <w:bookmarkStart w:id="80" w:name="_Toc389065149"/>
      <w:bookmarkStart w:id="81" w:name="_Toc407135082"/>
      <w:r>
        <w:rPr>
          <w:color w:val="auto"/>
          <w:highlight w:val="none"/>
        </w:rPr>
        <w:t xml:space="preserve">1.4 </w:t>
      </w:r>
      <w:r>
        <w:rPr>
          <w:rFonts w:hint="eastAsia" w:cs="黑体"/>
          <w:color w:val="auto"/>
          <w:highlight w:val="none"/>
        </w:rPr>
        <w:t>投标人资格要求</w:t>
      </w:r>
      <w:bookmarkEnd w:id="78"/>
      <w:bookmarkEnd w:id="79"/>
      <w:bookmarkEnd w:id="80"/>
      <w:bookmarkEnd w:id="81"/>
    </w:p>
    <w:p>
      <w:pPr>
        <w:spacing w:line="360" w:lineRule="auto"/>
        <w:ind w:firstLine="420" w:firstLineChars="200"/>
        <w:rPr>
          <w:color w:val="auto"/>
          <w:highlight w:val="none"/>
        </w:rPr>
      </w:pPr>
      <w:r>
        <w:rPr>
          <w:color w:val="auto"/>
          <w:highlight w:val="none"/>
        </w:rPr>
        <w:t xml:space="preserve">1.4.1 </w:t>
      </w:r>
      <w:r>
        <w:rPr>
          <w:rFonts w:hint="eastAsia" w:cs="宋体"/>
          <w:color w:val="auto"/>
          <w:highlight w:val="none"/>
        </w:rPr>
        <w:t>投标人应具备承担本项目施工的资质条件、能力、诚信等要求。</w:t>
      </w:r>
    </w:p>
    <w:p>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）资质条件：见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）财务要求：见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）业绩要求：见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）诚信要求：见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pPr>
        <w:spacing w:line="360" w:lineRule="auto"/>
        <w:ind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）项目经理资格：见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pPr>
        <w:spacing w:line="360" w:lineRule="auto"/>
        <w:ind w:firstLine="420" w:firstLineChars="200"/>
        <w:rPr>
          <w:color w:val="auto"/>
          <w:highlight w:val="none"/>
        </w:rPr>
      </w:pPr>
      <w:r>
        <w:rPr>
          <w:rFonts w:hint="eastAsia" w:cs="宋体"/>
          <w:color w:val="auto"/>
          <w:highlight w:val="none"/>
        </w:rPr>
        <w:t>（</w:t>
      </w:r>
      <w:r>
        <w:rPr>
          <w:color w:val="auto"/>
          <w:highlight w:val="none"/>
        </w:rPr>
        <w:t>6</w:t>
      </w:r>
      <w:r>
        <w:rPr>
          <w:rFonts w:hint="eastAsia" w:cs="宋体"/>
          <w:color w:val="auto"/>
          <w:highlight w:val="none"/>
        </w:rPr>
        <w:t>）专职安全员要求：见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pPr>
        <w:spacing w:line="360" w:lineRule="auto"/>
        <w:ind w:firstLine="420" w:firstLineChars="200"/>
        <w:rPr>
          <w:color w:val="auto"/>
          <w:highlight w:val="none"/>
        </w:rPr>
      </w:pPr>
      <w:r>
        <w:rPr>
          <w:rFonts w:hint="eastAsia" w:cs="宋体"/>
          <w:color w:val="auto"/>
          <w:highlight w:val="none"/>
        </w:rPr>
        <w:t>（</w:t>
      </w:r>
      <w:r>
        <w:rPr>
          <w:color w:val="auto"/>
          <w:highlight w:val="none"/>
        </w:rPr>
        <w:t>7</w:t>
      </w:r>
      <w:r>
        <w:rPr>
          <w:rFonts w:hint="eastAsia" w:cs="宋体"/>
          <w:color w:val="auto"/>
          <w:highlight w:val="none"/>
        </w:rPr>
        <w:t>）其他要求：见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pPr>
        <w:spacing w:line="360" w:lineRule="auto"/>
        <w:ind w:firstLine="420" w:firstLineChars="200"/>
        <w:rPr>
          <w:color w:val="auto"/>
          <w:highlight w:val="none"/>
        </w:rPr>
      </w:pPr>
      <w:r>
        <w:rPr>
          <w:color w:val="auto"/>
          <w:highlight w:val="none"/>
        </w:rPr>
        <w:t>1.4.2 “</w:t>
      </w:r>
      <w:r>
        <w:rPr>
          <w:rFonts w:hint="eastAsia" w:cs="宋体"/>
          <w:color w:val="auto"/>
          <w:highlight w:val="none"/>
        </w:rPr>
        <w:t>投标人须知前附表</w:t>
      </w:r>
      <w:r>
        <w:rPr>
          <w:color w:val="auto"/>
          <w:highlight w:val="none"/>
        </w:rPr>
        <w:t>”</w:t>
      </w:r>
      <w:r>
        <w:rPr>
          <w:rFonts w:hint="eastAsia" w:cs="宋体"/>
          <w:color w:val="auto"/>
          <w:highlight w:val="none"/>
        </w:rPr>
        <w:t>规定接受联合体投标的，除应符合本章第</w:t>
      </w:r>
      <w:r>
        <w:rPr>
          <w:color w:val="auto"/>
          <w:highlight w:val="none"/>
        </w:rPr>
        <w:t>1.4.1</w:t>
      </w:r>
      <w:r>
        <w:rPr>
          <w:rFonts w:hint="eastAsia" w:cs="宋体"/>
          <w:color w:val="auto"/>
          <w:highlight w:val="none"/>
        </w:rPr>
        <w:t>项和</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的要求外，还应遵守以下规定：</w:t>
      </w:r>
    </w:p>
    <w:p>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）联合体各方应按招标文件提供的格式签订联合体协议书，明确联合体牵头人和各方权利义务；</w:t>
      </w:r>
    </w:p>
    <w:p>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）由同一专业的单位组成的联合体，按照资质等级较低的单位确定资质等级；</w:t>
      </w:r>
    </w:p>
    <w:p>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）联合体各方不得再以自己名义单独或参加其他联合体在同一标段中投标。</w:t>
      </w:r>
    </w:p>
    <w:p>
      <w:pPr>
        <w:spacing w:line="360" w:lineRule="auto"/>
        <w:ind w:firstLine="420" w:firstLineChars="200"/>
        <w:rPr>
          <w:color w:val="auto"/>
          <w:highlight w:val="none"/>
        </w:rPr>
      </w:pPr>
      <w:r>
        <w:rPr>
          <w:color w:val="auto"/>
          <w:highlight w:val="none"/>
        </w:rPr>
        <w:t xml:space="preserve">1.4.3 </w:t>
      </w:r>
      <w:r>
        <w:rPr>
          <w:rFonts w:hint="eastAsia" w:cs="宋体"/>
          <w:color w:val="auto"/>
          <w:highlight w:val="none"/>
        </w:rPr>
        <w:t>投标人不得存在下列情形之一：</w:t>
      </w:r>
    </w:p>
    <w:p>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）与招标人存在利害关系可能影响招标公正性的法人、其他组织；</w:t>
      </w:r>
    </w:p>
    <w:p>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）为本标段前期准备提供设计或咨询服务的，但设计施工总承包的除外；</w:t>
      </w:r>
    </w:p>
    <w:p>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）为本标段的监理人；</w:t>
      </w:r>
    </w:p>
    <w:p>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）为本标段的代建人；</w:t>
      </w:r>
    </w:p>
    <w:p>
      <w:pPr>
        <w:spacing w:line="360" w:lineRule="auto"/>
        <w:ind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）为本标段提供招标代理服务的；</w:t>
      </w:r>
    </w:p>
    <w:p>
      <w:pPr>
        <w:spacing w:line="360" w:lineRule="auto"/>
        <w:ind w:firstLine="420" w:firstLineChars="200"/>
        <w:rPr>
          <w:color w:val="auto"/>
          <w:highlight w:val="none"/>
        </w:rPr>
      </w:pPr>
      <w:r>
        <w:rPr>
          <w:rFonts w:hint="eastAsia" w:cs="宋体"/>
          <w:color w:val="auto"/>
          <w:highlight w:val="none"/>
        </w:rPr>
        <w:t>（</w:t>
      </w:r>
      <w:r>
        <w:rPr>
          <w:color w:val="auto"/>
          <w:highlight w:val="none"/>
        </w:rPr>
        <w:t>6</w:t>
      </w:r>
      <w:r>
        <w:rPr>
          <w:rFonts w:hint="eastAsia" w:cs="宋体"/>
          <w:color w:val="auto"/>
          <w:highlight w:val="none"/>
        </w:rPr>
        <w:t>）与本标段的监理人或代建人或招标代理机构同为一个法定代表人的；</w:t>
      </w:r>
    </w:p>
    <w:p>
      <w:pPr>
        <w:spacing w:line="360" w:lineRule="auto"/>
        <w:ind w:firstLine="420" w:firstLineChars="200"/>
        <w:rPr>
          <w:color w:val="auto"/>
          <w:highlight w:val="none"/>
        </w:rPr>
      </w:pPr>
      <w:r>
        <w:rPr>
          <w:rFonts w:hint="eastAsia" w:cs="宋体"/>
          <w:color w:val="auto"/>
          <w:highlight w:val="none"/>
        </w:rPr>
        <w:t>（</w:t>
      </w:r>
      <w:r>
        <w:rPr>
          <w:color w:val="auto"/>
          <w:highlight w:val="none"/>
        </w:rPr>
        <w:t>7</w:t>
      </w:r>
      <w:r>
        <w:rPr>
          <w:rFonts w:hint="eastAsia" w:cs="宋体"/>
          <w:color w:val="auto"/>
          <w:highlight w:val="none"/>
        </w:rPr>
        <w:t>）与本标段的监理人或代建人或招标代理机构相互控股或参股的；</w:t>
      </w:r>
    </w:p>
    <w:p>
      <w:pPr>
        <w:spacing w:line="360" w:lineRule="auto"/>
        <w:ind w:firstLine="420" w:firstLineChars="200"/>
        <w:rPr>
          <w:color w:val="auto"/>
          <w:highlight w:val="none"/>
        </w:rPr>
      </w:pPr>
      <w:r>
        <w:rPr>
          <w:rFonts w:hint="eastAsia" w:cs="宋体"/>
          <w:color w:val="auto"/>
          <w:highlight w:val="none"/>
        </w:rPr>
        <w:t>（</w:t>
      </w:r>
      <w:r>
        <w:rPr>
          <w:color w:val="auto"/>
          <w:highlight w:val="none"/>
        </w:rPr>
        <w:t>8</w:t>
      </w:r>
      <w:r>
        <w:rPr>
          <w:rFonts w:hint="eastAsia" w:cs="宋体"/>
          <w:color w:val="auto"/>
          <w:highlight w:val="none"/>
        </w:rPr>
        <w:t>）与本标段的监理人或代建人或招标代理机构相互任职或工作的；</w:t>
      </w:r>
    </w:p>
    <w:p>
      <w:pPr>
        <w:spacing w:line="360" w:lineRule="auto"/>
        <w:ind w:firstLine="420" w:firstLineChars="200"/>
        <w:rPr>
          <w:color w:val="auto"/>
          <w:highlight w:val="none"/>
        </w:rPr>
      </w:pPr>
      <w:r>
        <w:rPr>
          <w:rFonts w:hint="eastAsia" w:cs="宋体"/>
          <w:color w:val="auto"/>
          <w:highlight w:val="none"/>
        </w:rPr>
        <w:t>（9）</w:t>
      </w:r>
      <w:r>
        <w:rPr>
          <w:rFonts w:hint="eastAsia"/>
          <w:color w:val="auto"/>
          <w:highlight w:val="none"/>
        </w:rPr>
        <w:t>吊销</w:t>
      </w:r>
      <w:r>
        <w:rPr>
          <w:color w:val="auto"/>
          <w:highlight w:val="none"/>
        </w:rPr>
        <w:t>或暂扣营业执照、安全生产</w:t>
      </w:r>
      <w:r>
        <w:rPr>
          <w:rFonts w:hint="eastAsia"/>
          <w:color w:val="auto"/>
          <w:highlight w:val="none"/>
        </w:rPr>
        <w:t>许可</w:t>
      </w:r>
      <w:r>
        <w:rPr>
          <w:color w:val="auto"/>
          <w:highlight w:val="none"/>
        </w:rPr>
        <w:t>证期间</w:t>
      </w:r>
      <w:r>
        <w:rPr>
          <w:rFonts w:hint="eastAsia"/>
          <w:color w:val="auto"/>
          <w:highlight w:val="none"/>
        </w:rPr>
        <w:t>；</w:t>
      </w:r>
    </w:p>
    <w:p>
      <w:pPr>
        <w:spacing w:line="360" w:lineRule="auto"/>
        <w:ind w:firstLine="420" w:firstLineChars="200"/>
        <w:rPr>
          <w:color w:val="auto"/>
          <w:highlight w:val="none"/>
        </w:rPr>
      </w:pPr>
      <w:r>
        <w:rPr>
          <w:rFonts w:hint="eastAsia" w:cs="宋体"/>
          <w:color w:val="auto"/>
          <w:highlight w:val="none"/>
        </w:rPr>
        <w:t>（</w:t>
      </w:r>
      <w:r>
        <w:rPr>
          <w:color w:val="auto"/>
          <w:highlight w:val="none"/>
        </w:rPr>
        <w:t>10</w:t>
      </w:r>
      <w:r>
        <w:rPr>
          <w:rFonts w:hint="eastAsia" w:cs="宋体"/>
          <w:color w:val="auto"/>
          <w:highlight w:val="none"/>
        </w:rPr>
        <w:t>）在本行政区域被暂停或取消投标资格的；</w:t>
      </w:r>
    </w:p>
    <w:p>
      <w:pPr>
        <w:spacing w:line="360" w:lineRule="auto"/>
        <w:ind w:firstLine="420" w:firstLineChars="200"/>
        <w:rPr>
          <w:color w:val="auto"/>
          <w:highlight w:val="none"/>
        </w:rPr>
      </w:pPr>
      <w:r>
        <w:rPr>
          <w:rFonts w:hint="eastAsia" w:cs="宋体"/>
          <w:color w:val="auto"/>
          <w:highlight w:val="none"/>
        </w:rPr>
        <w:t>（</w:t>
      </w:r>
      <w:r>
        <w:rPr>
          <w:color w:val="auto"/>
          <w:highlight w:val="none"/>
        </w:rPr>
        <w:t>11</w:t>
      </w:r>
      <w:r>
        <w:rPr>
          <w:rFonts w:hint="eastAsia" w:cs="宋体"/>
          <w:color w:val="auto"/>
          <w:highlight w:val="none"/>
        </w:rPr>
        <w:t>）财产被接管或基本账户被冻结的；</w:t>
      </w:r>
    </w:p>
    <w:p>
      <w:pPr>
        <w:spacing w:line="360" w:lineRule="auto"/>
        <w:ind w:firstLine="420" w:firstLineChars="200"/>
        <w:rPr>
          <w:rFonts w:cs="宋体"/>
          <w:color w:val="auto"/>
          <w:highlight w:val="none"/>
        </w:rPr>
      </w:pPr>
      <w:r>
        <w:rPr>
          <w:rFonts w:hint="eastAsia" w:cs="宋体"/>
          <w:color w:val="auto"/>
          <w:highlight w:val="none"/>
        </w:rPr>
        <w:t>（</w:t>
      </w:r>
      <w:r>
        <w:rPr>
          <w:color w:val="auto"/>
          <w:highlight w:val="none"/>
        </w:rPr>
        <w:t>12</w:t>
      </w:r>
      <w:r>
        <w:rPr>
          <w:rFonts w:hint="eastAsia" w:cs="宋体"/>
          <w:color w:val="auto"/>
          <w:highlight w:val="none"/>
        </w:rPr>
        <w:t>）有骗取中标或严重违约或工程质量安全问题，在本行政区域正处在停业整顿或暂停投标期间的；</w:t>
      </w:r>
    </w:p>
    <w:p>
      <w:pPr>
        <w:spacing w:line="360" w:lineRule="auto"/>
        <w:ind w:firstLine="420" w:firstLineChars="200"/>
        <w:rPr>
          <w:rFonts w:cs="宋体"/>
          <w:color w:val="auto"/>
          <w:highlight w:val="none"/>
        </w:rPr>
      </w:pPr>
      <w:r>
        <w:rPr>
          <w:rFonts w:hint="eastAsia" w:cs="宋体"/>
          <w:color w:val="auto"/>
          <w:highlight w:val="none"/>
        </w:rPr>
        <w:t>（</w:t>
      </w:r>
      <w:r>
        <w:rPr>
          <w:color w:val="auto"/>
          <w:highlight w:val="none"/>
        </w:rPr>
        <w:t>13</w:t>
      </w:r>
      <w:r>
        <w:rPr>
          <w:rFonts w:hint="eastAsia" w:cs="宋体"/>
          <w:color w:val="auto"/>
          <w:highlight w:val="none"/>
        </w:rPr>
        <w:t>）被责令停业的。</w:t>
      </w:r>
    </w:p>
    <w:p>
      <w:pPr>
        <w:spacing w:line="360" w:lineRule="auto"/>
        <w:ind w:firstLine="420" w:firstLineChars="200"/>
        <w:rPr>
          <w:color w:val="auto"/>
          <w:highlight w:val="none"/>
        </w:rPr>
      </w:pPr>
      <w:r>
        <w:rPr>
          <w:rFonts w:hint="eastAsia"/>
          <w:color w:val="auto"/>
          <w:highlight w:val="none"/>
        </w:rPr>
        <w:t>注：代建人是指政府通过招标方式对公益型、非经营性政府投资且经发改委批复同意实施代建的项目选择的社会专业化的项目管理企业，代建人须经过政府采购平台招标中标，并在建设行政主管部门备案，其代建内容包含代为项目业主履行项目施工招标、投资管理、建设实施及竣工验收后移交给使用单位等工作。PPP项目的社会资本方及工程总承包项目的总承包方作为代建人的不在此范畴。</w:t>
      </w:r>
    </w:p>
    <w:p>
      <w:pPr>
        <w:spacing w:line="360" w:lineRule="auto"/>
        <w:ind w:firstLine="420" w:firstLineChars="200"/>
        <w:rPr>
          <w:color w:val="auto"/>
          <w:highlight w:val="none"/>
        </w:rPr>
      </w:pPr>
      <w:r>
        <w:rPr>
          <w:color w:val="auto"/>
          <w:highlight w:val="none"/>
        </w:rPr>
        <w:t xml:space="preserve">1.4.4 </w:t>
      </w:r>
      <w:r>
        <w:rPr>
          <w:rFonts w:hint="eastAsia" w:cs="宋体"/>
          <w:color w:val="auto"/>
          <w:highlight w:val="none"/>
        </w:rPr>
        <w:t>单位负责人为同一人或者存在控股、管理关系的不同单位，不得参加同一标段投标或者未划分标段的同一招标项目投标，违反本规定的，相关投标均无效。</w:t>
      </w:r>
    </w:p>
    <w:p>
      <w:pPr>
        <w:pStyle w:val="5"/>
        <w:rPr>
          <w:color w:val="auto"/>
          <w:highlight w:val="none"/>
        </w:rPr>
      </w:pPr>
      <w:bookmarkStart w:id="82" w:name="_Toc407135083"/>
      <w:bookmarkStart w:id="83" w:name="_Toc389065150"/>
      <w:bookmarkStart w:id="84" w:name="_Toc66186309"/>
      <w:bookmarkStart w:id="85" w:name="_Toc13023"/>
      <w:r>
        <w:rPr>
          <w:color w:val="auto"/>
          <w:highlight w:val="none"/>
        </w:rPr>
        <w:t xml:space="preserve">1.5 </w:t>
      </w:r>
      <w:r>
        <w:rPr>
          <w:rFonts w:hint="eastAsia" w:cs="黑体"/>
          <w:color w:val="auto"/>
          <w:highlight w:val="none"/>
        </w:rPr>
        <w:t>费用承担</w:t>
      </w:r>
      <w:bookmarkEnd w:id="82"/>
      <w:bookmarkEnd w:id="83"/>
      <w:bookmarkEnd w:id="84"/>
      <w:bookmarkEnd w:id="85"/>
    </w:p>
    <w:p>
      <w:pPr>
        <w:spacing w:line="360" w:lineRule="auto"/>
        <w:ind w:firstLine="420" w:firstLineChars="200"/>
        <w:rPr>
          <w:color w:val="auto"/>
          <w:highlight w:val="none"/>
        </w:rPr>
      </w:pPr>
      <w:r>
        <w:rPr>
          <w:rFonts w:hint="eastAsia" w:cs="宋体"/>
          <w:color w:val="auto"/>
          <w:highlight w:val="none"/>
        </w:rPr>
        <w:t>投标人准备和参加投标活动发生的费用自理。</w:t>
      </w:r>
    </w:p>
    <w:p>
      <w:pPr>
        <w:pStyle w:val="5"/>
        <w:rPr>
          <w:color w:val="auto"/>
          <w:highlight w:val="none"/>
        </w:rPr>
      </w:pPr>
      <w:bookmarkStart w:id="86" w:name="_Toc407135084"/>
      <w:bookmarkStart w:id="87" w:name="_Toc389065151"/>
      <w:bookmarkStart w:id="88" w:name="_Toc17131"/>
      <w:bookmarkStart w:id="89" w:name="_Toc66186310"/>
      <w:r>
        <w:rPr>
          <w:color w:val="auto"/>
          <w:highlight w:val="none"/>
        </w:rPr>
        <w:t xml:space="preserve">1.6 </w:t>
      </w:r>
      <w:r>
        <w:rPr>
          <w:rFonts w:hint="eastAsia" w:cs="黑体"/>
          <w:color w:val="auto"/>
          <w:highlight w:val="none"/>
        </w:rPr>
        <w:t>保密</w:t>
      </w:r>
      <w:bookmarkEnd w:id="86"/>
      <w:bookmarkEnd w:id="87"/>
      <w:bookmarkEnd w:id="88"/>
      <w:bookmarkEnd w:id="89"/>
    </w:p>
    <w:p>
      <w:pPr>
        <w:spacing w:line="360" w:lineRule="auto"/>
        <w:ind w:firstLine="420" w:firstLineChars="200"/>
        <w:rPr>
          <w:color w:val="auto"/>
          <w:highlight w:val="none"/>
        </w:rPr>
      </w:pPr>
      <w:r>
        <w:rPr>
          <w:rFonts w:hint="eastAsia" w:cs="宋体"/>
          <w:color w:val="auto"/>
          <w:highlight w:val="none"/>
        </w:rPr>
        <w:t>参与招标投标活动的各方应对招标文件和投标文件中的商业和技术等秘密保密，违者应对由此造成的后果承担法律责任。</w:t>
      </w:r>
    </w:p>
    <w:p>
      <w:pPr>
        <w:pStyle w:val="5"/>
        <w:rPr>
          <w:color w:val="auto"/>
          <w:highlight w:val="none"/>
        </w:rPr>
      </w:pPr>
      <w:bookmarkStart w:id="90" w:name="_Toc407135086"/>
      <w:bookmarkStart w:id="91" w:name="_Toc389065153"/>
      <w:bookmarkStart w:id="92" w:name="_Toc3371"/>
      <w:bookmarkStart w:id="93" w:name="_Toc66186311"/>
      <w:r>
        <w:rPr>
          <w:color w:val="auto"/>
          <w:highlight w:val="none"/>
        </w:rPr>
        <w:t xml:space="preserve">1.8 </w:t>
      </w:r>
      <w:r>
        <w:rPr>
          <w:rFonts w:hint="eastAsia" w:cs="黑体"/>
          <w:color w:val="auto"/>
          <w:highlight w:val="none"/>
        </w:rPr>
        <w:t>计量单位</w:t>
      </w:r>
      <w:bookmarkEnd w:id="90"/>
      <w:bookmarkEnd w:id="91"/>
      <w:bookmarkEnd w:id="92"/>
      <w:bookmarkEnd w:id="93"/>
    </w:p>
    <w:p>
      <w:pPr>
        <w:spacing w:line="360" w:lineRule="auto"/>
        <w:ind w:firstLine="420" w:firstLineChars="200"/>
        <w:rPr>
          <w:color w:val="auto"/>
          <w:highlight w:val="none"/>
        </w:rPr>
      </w:pPr>
      <w:r>
        <w:rPr>
          <w:rFonts w:hint="eastAsia" w:cs="宋体"/>
          <w:color w:val="auto"/>
          <w:highlight w:val="none"/>
        </w:rPr>
        <w:t>所有计量均采用中华人民共和国法定计量单位。</w:t>
      </w:r>
    </w:p>
    <w:p>
      <w:pPr>
        <w:pStyle w:val="5"/>
        <w:rPr>
          <w:color w:val="auto"/>
          <w:highlight w:val="none"/>
        </w:rPr>
      </w:pPr>
      <w:bookmarkStart w:id="94" w:name="_Toc407135087"/>
      <w:bookmarkStart w:id="95" w:name="_Toc66186312"/>
      <w:bookmarkStart w:id="96" w:name="_Toc881"/>
      <w:bookmarkStart w:id="97" w:name="_Toc389065154"/>
      <w:r>
        <w:rPr>
          <w:color w:val="auto"/>
          <w:highlight w:val="none"/>
        </w:rPr>
        <w:t xml:space="preserve">1.9 </w:t>
      </w:r>
      <w:r>
        <w:rPr>
          <w:rFonts w:hint="eastAsia" w:cs="黑体"/>
          <w:color w:val="auto"/>
          <w:highlight w:val="none"/>
        </w:rPr>
        <w:t>踏勘现场</w:t>
      </w:r>
      <w:bookmarkEnd w:id="94"/>
      <w:bookmarkEnd w:id="95"/>
      <w:bookmarkEnd w:id="96"/>
      <w:bookmarkEnd w:id="97"/>
    </w:p>
    <w:p>
      <w:pPr>
        <w:spacing w:line="360" w:lineRule="auto"/>
        <w:ind w:firstLine="420" w:firstLineChars="200"/>
        <w:rPr>
          <w:color w:val="auto"/>
          <w:highlight w:val="none"/>
        </w:rPr>
      </w:pPr>
      <w:r>
        <w:rPr>
          <w:color w:val="auto"/>
          <w:highlight w:val="none"/>
        </w:rPr>
        <w:t xml:space="preserve">1.9.1 </w:t>
      </w:r>
      <w:r>
        <w:rPr>
          <w:rFonts w:hint="eastAsia" w:cs="宋体"/>
          <w:color w:val="auto"/>
          <w:highlight w:val="none"/>
        </w:rPr>
        <w:t>投标人根据需要自行踏勘项目现场。</w:t>
      </w:r>
    </w:p>
    <w:p>
      <w:pPr>
        <w:spacing w:line="360" w:lineRule="auto"/>
        <w:ind w:firstLine="420" w:firstLineChars="200"/>
        <w:rPr>
          <w:color w:val="auto"/>
          <w:highlight w:val="none"/>
        </w:rPr>
      </w:pPr>
      <w:r>
        <w:rPr>
          <w:color w:val="auto"/>
          <w:highlight w:val="none"/>
        </w:rPr>
        <w:t xml:space="preserve">1.9.2 </w:t>
      </w:r>
      <w:r>
        <w:rPr>
          <w:rFonts w:hint="eastAsia" w:cs="宋体"/>
          <w:color w:val="auto"/>
          <w:highlight w:val="none"/>
        </w:rPr>
        <w:t>投标人踏勘现场发生的费用自理。</w:t>
      </w:r>
    </w:p>
    <w:p>
      <w:pPr>
        <w:spacing w:line="360" w:lineRule="auto"/>
        <w:ind w:firstLine="420" w:firstLineChars="200"/>
        <w:rPr>
          <w:color w:val="auto"/>
          <w:highlight w:val="none"/>
        </w:rPr>
      </w:pPr>
      <w:r>
        <w:rPr>
          <w:color w:val="auto"/>
          <w:highlight w:val="none"/>
        </w:rPr>
        <w:t xml:space="preserve">1.9.3 </w:t>
      </w:r>
      <w:r>
        <w:rPr>
          <w:rFonts w:hint="eastAsia" w:cs="宋体"/>
          <w:color w:val="auto"/>
          <w:highlight w:val="none"/>
        </w:rPr>
        <w:t>投标人自行负责在踏勘现场中所发生的人员伤亡和财产损失。</w:t>
      </w:r>
    </w:p>
    <w:p>
      <w:pPr>
        <w:pStyle w:val="5"/>
        <w:rPr>
          <w:color w:val="auto"/>
          <w:highlight w:val="none"/>
        </w:rPr>
      </w:pPr>
      <w:bookmarkStart w:id="98" w:name="_Toc389065155"/>
      <w:bookmarkStart w:id="99" w:name="_Toc407135088"/>
      <w:bookmarkStart w:id="100" w:name="_Toc66186313"/>
      <w:bookmarkStart w:id="101" w:name="_Toc5372"/>
      <w:r>
        <w:rPr>
          <w:color w:val="auto"/>
          <w:highlight w:val="none"/>
        </w:rPr>
        <w:t xml:space="preserve">1.10 </w:t>
      </w:r>
      <w:r>
        <w:rPr>
          <w:rFonts w:hint="eastAsia" w:cs="黑体"/>
          <w:color w:val="auto"/>
          <w:highlight w:val="none"/>
        </w:rPr>
        <w:t>投标预备会</w:t>
      </w:r>
      <w:bookmarkEnd w:id="98"/>
      <w:bookmarkEnd w:id="99"/>
      <w:bookmarkEnd w:id="100"/>
      <w:bookmarkEnd w:id="101"/>
    </w:p>
    <w:p>
      <w:pPr>
        <w:spacing w:line="360" w:lineRule="auto"/>
        <w:ind w:firstLine="420" w:firstLineChars="200"/>
        <w:rPr>
          <w:color w:val="auto"/>
          <w:highlight w:val="none"/>
        </w:rPr>
      </w:pPr>
      <w:r>
        <w:rPr>
          <w:rFonts w:hint="eastAsia" w:cs="宋体"/>
          <w:color w:val="auto"/>
          <w:highlight w:val="none"/>
        </w:rPr>
        <w:t>不召开。</w:t>
      </w:r>
    </w:p>
    <w:p>
      <w:pPr>
        <w:pStyle w:val="5"/>
        <w:rPr>
          <w:color w:val="auto"/>
          <w:highlight w:val="none"/>
        </w:rPr>
      </w:pPr>
      <w:bookmarkStart w:id="102" w:name="_Toc389065156"/>
      <w:bookmarkStart w:id="103" w:name="_Toc407135089"/>
      <w:bookmarkStart w:id="104" w:name="_Toc66186314"/>
      <w:bookmarkStart w:id="105" w:name="_Toc26867"/>
      <w:r>
        <w:rPr>
          <w:color w:val="auto"/>
          <w:highlight w:val="none"/>
        </w:rPr>
        <w:t xml:space="preserve">1.11 </w:t>
      </w:r>
      <w:r>
        <w:rPr>
          <w:rFonts w:hint="eastAsia" w:cs="黑体"/>
          <w:color w:val="auto"/>
          <w:highlight w:val="none"/>
        </w:rPr>
        <w:t>分包</w:t>
      </w:r>
      <w:bookmarkEnd w:id="102"/>
      <w:bookmarkEnd w:id="103"/>
      <w:bookmarkEnd w:id="104"/>
      <w:bookmarkEnd w:id="105"/>
    </w:p>
    <w:p>
      <w:pPr>
        <w:spacing w:line="360" w:lineRule="auto"/>
        <w:ind w:firstLine="420" w:firstLineChars="200"/>
        <w:rPr>
          <w:color w:val="auto"/>
          <w:highlight w:val="none"/>
        </w:rPr>
      </w:pPr>
      <w:r>
        <w:rPr>
          <w:rFonts w:hint="eastAsia" w:cs="宋体"/>
          <w:color w:val="auto"/>
          <w:highlight w:val="none"/>
        </w:rPr>
        <w:t>投标人拟在中标后将中标项目的部分非主体、非关键性工作进行分包的，应符合</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规定的分包内容、分包金额和接受分包的第三人资质要求等限制性条件。</w:t>
      </w:r>
    </w:p>
    <w:p>
      <w:pPr>
        <w:pStyle w:val="5"/>
        <w:rPr>
          <w:color w:val="auto"/>
          <w:highlight w:val="none"/>
        </w:rPr>
      </w:pPr>
      <w:bookmarkStart w:id="106" w:name="_Toc389065157"/>
      <w:bookmarkStart w:id="107" w:name="_Toc66186315"/>
      <w:bookmarkStart w:id="108" w:name="_Toc407135090"/>
      <w:bookmarkStart w:id="109" w:name="_Toc25147"/>
      <w:r>
        <w:rPr>
          <w:color w:val="auto"/>
          <w:highlight w:val="none"/>
        </w:rPr>
        <w:t xml:space="preserve">1.12 </w:t>
      </w:r>
      <w:r>
        <w:rPr>
          <w:rFonts w:hint="eastAsia" w:cs="黑体"/>
          <w:color w:val="auto"/>
          <w:highlight w:val="none"/>
        </w:rPr>
        <w:t>偏离</w:t>
      </w:r>
      <w:bookmarkEnd w:id="106"/>
      <w:bookmarkEnd w:id="107"/>
      <w:bookmarkEnd w:id="108"/>
      <w:bookmarkEnd w:id="109"/>
    </w:p>
    <w:p>
      <w:pPr>
        <w:spacing w:line="360" w:lineRule="auto"/>
        <w:ind w:firstLine="420" w:firstLineChars="200"/>
        <w:rPr>
          <w:color w:val="auto"/>
          <w:highlight w:val="none"/>
        </w:rPr>
      </w:pPr>
      <w:r>
        <w:rPr>
          <w:rFonts w:hint="eastAsia" w:cs="宋体"/>
          <w:color w:val="auto"/>
          <w:highlight w:val="none"/>
        </w:rPr>
        <w:t>不允许。</w:t>
      </w:r>
    </w:p>
    <w:p>
      <w:pPr>
        <w:pStyle w:val="4"/>
        <w:rPr>
          <w:color w:val="auto"/>
          <w:highlight w:val="none"/>
        </w:rPr>
      </w:pPr>
      <w:bookmarkStart w:id="110" w:name="_Toc66186316"/>
      <w:bookmarkStart w:id="111" w:name="_Toc389065158"/>
      <w:bookmarkStart w:id="112" w:name="_Toc10769"/>
      <w:bookmarkStart w:id="113" w:name="_Toc407135091"/>
      <w:r>
        <w:rPr>
          <w:color w:val="auto"/>
          <w:highlight w:val="none"/>
        </w:rPr>
        <w:t xml:space="preserve">2 </w:t>
      </w:r>
      <w:r>
        <w:rPr>
          <w:rFonts w:hint="eastAsia" w:cs="黑体"/>
          <w:color w:val="auto"/>
          <w:highlight w:val="none"/>
        </w:rPr>
        <w:t>招标文件</w:t>
      </w:r>
      <w:bookmarkEnd w:id="110"/>
      <w:bookmarkEnd w:id="111"/>
      <w:bookmarkEnd w:id="112"/>
      <w:bookmarkEnd w:id="113"/>
    </w:p>
    <w:p>
      <w:pPr>
        <w:pStyle w:val="5"/>
        <w:rPr>
          <w:color w:val="auto"/>
          <w:highlight w:val="none"/>
        </w:rPr>
      </w:pPr>
      <w:bookmarkStart w:id="114" w:name="_Toc15856"/>
      <w:bookmarkStart w:id="115" w:name="_Toc407135092"/>
      <w:bookmarkStart w:id="116" w:name="_Toc389065159"/>
      <w:bookmarkStart w:id="117" w:name="_Toc66186317"/>
      <w:r>
        <w:rPr>
          <w:color w:val="auto"/>
          <w:highlight w:val="none"/>
        </w:rPr>
        <w:t xml:space="preserve">2.1 </w:t>
      </w:r>
      <w:r>
        <w:rPr>
          <w:rFonts w:hint="eastAsia" w:cs="黑体"/>
          <w:color w:val="auto"/>
          <w:highlight w:val="none"/>
        </w:rPr>
        <w:t>招标文件的组成</w:t>
      </w:r>
      <w:bookmarkEnd w:id="114"/>
      <w:bookmarkEnd w:id="115"/>
      <w:bookmarkEnd w:id="116"/>
      <w:bookmarkEnd w:id="117"/>
    </w:p>
    <w:p>
      <w:pPr>
        <w:spacing w:line="360" w:lineRule="auto"/>
        <w:ind w:firstLine="420" w:firstLineChars="200"/>
        <w:rPr>
          <w:color w:val="auto"/>
          <w:highlight w:val="none"/>
        </w:rPr>
      </w:pPr>
      <w:r>
        <w:rPr>
          <w:color w:val="auto"/>
          <w:highlight w:val="none"/>
        </w:rPr>
        <w:t xml:space="preserve">2.1.1 </w:t>
      </w:r>
      <w:r>
        <w:rPr>
          <w:rFonts w:hint="eastAsia" w:cs="宋体"/>
          <w:color w:val="auto"/>
          <w:highlight w:val="none"/>
        </w:rPr>
        <w:t>本招标文件包括：</w:t>
      </w:r>
    </w:p>
    <w:p>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）招标公告（或投标邀请书）；</w:t>
      </w:r>
    </w:p>
    <w:p>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）投标人须知；</w:t>
      </w:r>
    </w:p>
    <w:p>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）评标办法；</w:t>
      </w:r>
    </w:p>
    <w:p>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）合同条款及格式；</w:t>
      </w:r>
    </w:p>
    <w:p>
      <w:pPr>
        <w:spacing w:line="360" w:lineRule="auto"/>
        <w:ind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）工程量清单；</w:t>
      </w:r>
    </w:p>
    <w:p>
      <w:pPr>
        <w:spacing w:line="360" w:lineRule="auto"/>
        <w:ind w:firstLine="420" w:firstLineChars="200"/>
        <w:rPr>
          <w:color w:val="auto"/>
          <w:highlight w:val="none"/>
        </w:rPr>
      </w:pPr>
      <w:r>
        <w:rPr>
          <w:rFonts w:hint="eastAsia" w:cs="宋体"/>
          <w:color w:val="auto"/>
          <w:highlight w:val="none"/>
        </w:rPr>
        <w:t>（</w:t>
      </w:r>
      <w:r>
        <w:rPr>
          <w:color w:val="auto"/>
          <w:highlight w:val="none"/>
        </w:rPr>
        <w:t>6</w:t>
      </w:r>
      <w:r>
        <w:rPr>
          <w:rFonts w:hint="eastAsia" w:cs="宋体"/>
          <w:color w:val="auto"/>
          <w:highlight w:val="none"/>
        </w:rPr>
        <w:t>）招标控制价；</w:t>
      </w:r>
    </w:p>
    <w:p>
      <w:pPr>
        <w:spacing w:line="360" w:lineRule="auto"/>
        <w:ind w:firstLine="420" w:firstLineChars="200"/>
        <w:rPr>
          <w:rFonts w:cs="宋体"/>
          <w:color w:val="auto"/>
          <w:highlight w:val="none"/>
        </w:rPr>
      </w:pPr>
      <w:r>
        <w:rPr>
          <w:rFonts w:hint="eastAsia" w:cs="宋体"/>
          <w:color w:val="auto"/>
          <w:highlight w:val="none"/>
        </w:rPr>
        <w:t>（</w:t>
      </w:r>
      <w:r>
        <w:rPr>
          <w:color w:val="auto"/>
          <w:highlight w:val="none"/>
        </w:rPr>
        <w:t>7</w:t>
      </w:r>
      <w:r>
        <w:rPr>
          <w:rFonts w:hint="eastAsia" w:cs="宋体"/>
          <w:color w:val="auto"/>
          <w:highlight w:val="none"/>
        </w:rPr>
        <w:t>）图纸；</w:t>
      </w:r>
    </w:p>
    <w:p>
      <w:pPr>
        <w:spacing w:line="360" w:lineRule="auto"/>
        <w:ind w:firstLine="420" w:firstLineChars="200"/>
        <w:rPr>
          <w:color w:val="auto"/>
          <w:highlight w:val="none"/>
        </w:rPr>
      </w:pPr>
      <w:r>
        <w:rPr>
          <w:rFonts w:hint="eastAsia" w:cs="宋体"/>
          <w:color w:val="auto"/>
          <w:highlight w:val="none"/>
        </w:rPr>
        <w:t>（8）</w:t>
      </w:r>
      <w:r>
        <w:rPr>
          <w:rFonts w:hint="eastAsia"/>
          <w:color w:val="auto"/>
          <w:highlight w:val="none"/>
        </w:rPr>
        <w:t>危险性较大的分部分项工程清单（如有）；</w:t>
      </w:r>
    </w:p>
    <w:p>
      <w:pPr>
        <w:spacing w:line="360" w:lineRule="auto"/>
        <w:ind w:firstLine="420" w:firstLineChars="200"/>
        <w:rPr>
          <w:color w:val="auto"/>
          <w:highlight w:val="none"/>
        </w:rPr>
      </w:pPr>
      <w:r>
        <w:rPr>
          <w:rFonts w:hint="eastAsia" w:cs="宋体"/>
          <w:color w:val="auto"/>
          <w:highlight w:val="none"/>
        </w:rPr>
        <w:t>（</w:t>
      </w:r>
      <w:r>
        <w:rPr>
          <w:rFonts w:hint="eastAsia"/>
          <w:color w:val="auto"/>
          <w:highlight w:val="none"/>
        </w:rPr>
        <w:t>9</w:t>
      </w:r>
      <w:r>
        <w:rPr>
          <w:rFonts w:hint="eastAsia" w:cs="宋体"/>
          <w:color w:val="auto"/>
          <w:highlight w:val="none"/>
        </w:rPr>
        <w:t>）技术标准和要求；</w:t>
      </w:r>
    </w:p>
    <w:p>
      <w:pPr>
        <w:spacing w:line="360" w:lineRule="auto"/>
        <w:ind w:firstLine="420" w:firstLineChars="200"/>
        <w:rPr>
          <w:color w:val="auto"/>
          <w:highlight w:val="none"/>
        </w:rPr>
      </w:pPr>
      <w:r>
        <w:rPr>
          <w:rFonts w:hint="eastAsia" w:cs="宋体"/>
          <w:color w:val="auto"/>
          <w:highlight w:val="none"/>
        </w:rPr>
        <w:t>（</w:t>
      </w:r>
      <w:r>
        <w:rPr>
          <w:rFonts w:hint="eastAsia"/>
          <w:color w:val="auto"/>
          <w:highlight w:val="none"/>
        </w:rPr>
        <w:t>10</w:t>
      </w:r>
      <w:r>
        <w:rPr>
          <w:rFonts w:hint="eastAsia" w:cs="宋体"/>
          <w:color w:val="auto"/>
          <w:highlight w:val="none"/>
        </w:rPr>
        <w:t>）投标文件格式；</w:t>
      </w:r>
    </w:p>
    <w:p>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olor w:val="auto"/>
          <w:highlight w:val="none"/>
        </w:rPr>
        <w:t>1</w:t>
      </w:r>
      <w:r>
        <w:rPr>
          <w:rFonts w:hint="eastAsia" w:cs="宋体"/>
          <w:color w:val="auto"/>
          <w:highlight w:val="none"/>
        </w:rPr>
        <w:t>）</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规定的其他材料。</w:t>
      </w:r>
    </w:p>
    <w:p>
      <w:pPr>
        <w:spacing w:line="360" w:lineRule="auto"/>
        <w:ind w:firstLine="420" w:firstLineChars="200"/>
        <w:rPr>
          <w:color w:val="auto"/>
          <w:highlight w:val="none"/>
        </w:rPr>
      </w:pPr>
      <w:r>
        <w:rPr>
          <w:color w:val="auto"/>
          <w:highlight w:val="none"/>
        </w:rPr>
        <w:t xml:space="preserve">2.1.2 </w:t>
      </w:r>
      <w:r>
        <w:rPr>
          <w:rFonts w:hint="eastAsia" w:cs="宋体"/>
          <w:color w:val="auto"/>
          <w:highlight w:val="none"/>
        </w:rPr>
        <w:t>根据本章第</w:t>
      </w:r>
      <w:r>
        <w:rPr>
          <w:color w:val="auto"/>
          <w:highlight w:val="none"/>
        </w:rPr>
        <w:t>2.2</w:t>
      </w:r>
      <w:r>
        <w:rPr>
          <w:rFonts w:hint="eastAsia" w:cs="宋体"/>
          <w:color w:val="auto"/>
          <w:highlight w:val="none"/>
        </w:rPr>
        <w:t>款和第</w:t>
      </w:r>
      <w:r>
        <w:rPr>
          <w:color w:val="auto"/>
          <w:highlight w:val="none"/>
        </w:rPr>
        <w:t>2.3</w:t>
      </w:r>
      <w:r>
        <w:rPr>
          <w:rFonts w:hint="eastAsia" w:cs="宋体"/>
          <w:color w:val="auto"/>
          <w:highlight w:val="none"/>
        </w:rPr>
        <w:t>款对招标文件所作的澄清、修改，构成招标文件的组成部分。</w:t>
      </w:r>
      <w:r>
        <w:rPr>
          <w:rFonts w:hint="eastAsia" w:hAnsi="宋体" w:cs="宋体"/>
          <w:color w:val="auto"/>
          <w:highlight w:val="none"/>
        </w:rPr>
        <w:t>当招标文件及其澄清、修改或补充文件对于同一内容表述不一致时，以最后发出的书面文件为准。</w:t>
      </w:r>
    </w:p>
    <w:p>
      <w:pPr>
        <w:pStyle w:val="5"/>
        <w:rPr>
          <w:color w:val="auto"/>
          <w:highlight w:val="none"/>
        </w:rPr>
      </w:pPr>
      <w:bookmarkStart w:id="118" w:name="_Toc27865"/>
      <w:bookmarkStart w:id="119" w:name="_Toc407135093"/>
      <w:bookmarkStart w:id="120" w:name="_Toc389065160"/>
      <w:bookmarkStart w:id="121" w:name="_Toc66186318"/>
      <w:r>
        <w:rPr>
          <w:color w:val="auto"/>
          <w:highlight w:val="none"/>
        </w:rPr>
        <w:t xml:space="preserve">2.2 </w:t>
      </w:r>
      <w:r>
        <w:rPr>
          <w:rFonts w:hint="eastAsia" w:cs="黑体"/>
          <w:color w:val="auto"/>
          <w:highlight w:val="none"/>
        </w:rPr>
        <w:t>招标文件的澄清</w:t>
      </w:r>
      <w:bookmarkEnd w:id="118"/>
      <w:bookmarkEnd w:id="119"/>
      <w:bookmarkEnd w:id="120"/>
      <w:bookmarkEnd w:id="121"/>
    </w:p>
    <w:p>
      <w:pPr>
        <w:spacing w:line="360" w:lineRule="auto"/>
        <w:ind w:firstLine="420" w:firstLineChars="200"/>
        <w:rPr>
          <w:color w:val="auto"/>
          <w:highlight w:val="none"/>
        </w:rPr>
      </w:pPr>
      <w:r>
        <w:rPr>
          <w:color w:val="auto"/>
          <w:highlight w:val="none"/>
        </w:rPr>
        <w:t xml:space="preserve">2.2.1 </w:t>
      </w:r>
      <w:r>
        <w:rPr>
          <w:rFonts w:hint="eastAsia" w:hAnsi="宋体" w:cs="宋体"/>
          <w:color w:val="auto"/>
          <w:highlight w:val="none"/>
        </w:rPr>
        <w:t>投标人应仔细阅读和检查招标文件的全部内容。如发现缺页或附件不全，应及时向招标人提出，以便补齐。如有疑问或异议，应在“投标人须知前附表”规定的时间前书面要求（包括信函、电报、传真等可以有形地表现所载内容的形式，下同）招标人对招标文件予以澄清。</w:t>
      </w:r>
    </w:p>
    <w:p>
      <w:pPr>
        <w:spacing w:line="360" w:lineRule="auto"/>
        <w:ind w:firstLine="420" w:firstLineChars="200"/>
        <w:rPr>
          <w:rFonts w:hAnsi="宋体"/>
          <w:color w:val="auto"/>
          <w:highlight w:val="none"/>
        </w:rPr>
      </w:pPr>
      <w:r>
        <w:rPr>
          <w:color w:val="auto"/>
          <w:highlight w:val="none"/>
        </w:rPr>
        <w:t xml:space="preserve">2.2.2 </w:t>
      </w:r>
      <w:r>
        <w:rPr>
          <w:rFonts w:hint="eastAsia" w:cs="宋体"/>
          <w:color w:val="auto"/>
          <w:highlight w:val="none"/>
        </w:rPr>
        <w:t>招标人对</w:t>
      </w:r>
      <w:r>
        <w:rPr>
          <w:rFonts w:hint="eastAsia" w:hAnsi="宋体" w:cs="宋体"/>
          <w:color w:val="auto"/>
          <w:highlight w:val="none"/>
        </w:rPr>
        <w:t>招标文件的澄清将在“投标人须知前附表”规定的投标截止时间</w:t>
      </w:r>
      <w:r>
        <w:rPr>
          <w:color w:val="auto"/>
          <w:highlight w:val="none"/>
        </w:rPr>
        <w:t>15</w:t>
      </w:r>
      <w:r>
        <w:rPr>
          <w:rFonts w:hint="eastAsia" w:hAnsi="宋体" w:cs="宋体"/>
          <w:color w:val="auto"/>
          <w:highlight w:val="none"/>
        </w:rPr>
        <w:t>日前</w:t>
      </w:r>
      <w:r>
        <w:rPr>
          <w:rFonts w:hint="eastAsia" w:cs="宋体"/>
          <w:color w:val="auto"/>
          <w:highlight w:val="none"/>
        </w:rPr>
        <w:t>（不涉及招标文件实质性内容修改的除外）</w:t>
      </w:r>
      <w:r>
        <w:rPr>
          <w:rFonts w:hint="eastAsia" w:ascii="仿宋_GB2312" w:hAnsi="宋体"/>
          <w:color w:val="auto"/>
          <w:highlight w:val="none"/>
        </w:rPr>
        <w:t>以“投标人须知前附表”规定的方式发布，</w:t>
      </w:r>
      <w:r>
        <w:rPr>
          <w:rFonts w:hint="eastAsia" w:hAnsi="宋体" w:cs="宋体"/>
          <w:color w:val="auto"/>
          <w:highlight w:val="none"/>
        </w:rPr>
        <w:t>并提供给所有下载</w:t>
      </w:r>
      <w:r>
        <w:rPr>
          <w:rFonts w:hAnsi="宋体" w:cs="宋体"/>
          <w:color w:val="auto"/>
          <w:highlight w:val="none"/>
        </w:rPr>
        <w:t>了招标文件的</w:t>
      </w:r>
      <w:r>
        <w:rPr>
          <w:rFonts w:hint="eastAsia" w:hAnsi="宋体" w:cs="宋体"/>
          <w:color w:val="auto"/>
          <w:highlight w:val="none"/>
        </w:rPr>
        <w:t>投标人下载，但不得指明澄清问题的来源。如果澄清发出的时间距投标截止时间不足</w:t>
      </w:r>
      <w:r>
        <w:rPr>
          <w:color w:val="auto"/>
          <w:highlight w:val="none"/>
        </w:rPr>
        <w:t>15</w:t>
      </w:r>
      <w:r>
        <w:rPr>
          <w:rFonts w:hint="eastAsia" w:hAnsi="宋体" w:cs="宋体"/>
          <w:color w:val="auto"/>
          <w:highlight w:val="none"/>
        </w:rPr>
        <w:t>日，相应延长投标截止时间。</w:t>
      </w:r>
    </w:p>
    <w:p>
      <w:pPr>
        <w:spacing w:line="360" w:lineRule="auto"/>
        <w:ind w:firstLine="420" w:firstLineChars="200"/>
        <w:rPr>
          <w:color w:val="auto"/>
          <w:highlight w:val="none"/>
        </w:rPr>
      </w:pPr>
      <w:r>
        <w:rPr>
          <w:rFonts w:hAnsi="宋体"/>
          <w:color w:val="auto"/>
          <w:highlight w:val="none"/>
        </w:rPr>
        <w:t>2.2.3</w:t>
      </w:r>
      <w:r>
        <w:rPr>
          <w:rFonts w:hint="eastAsia" w:hAnsi="宋体" w:cs="宋体"/>
          <w:color w:val="auto"/>
          <w:highlight w:val="none"/>
        </w:rPr>
        <w:t>投标人确认收到澄清的方式：</w:t>
      </w:r>
      <w:r>
        <w:rPr>
          <w:rFonts w:hint="eastAsia" w:cs="宋体"/>
          <w:color w:val="auto"/>
          <w:highlight w:val="none"/>
        </w:rPr>
        <w:t>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pPr>
        <w:pStyle w:val="5"/>
        <w:rPr>
          <w:color w:val="auto"/>
          <w:highlight w:val="none"/>
        </w:rPr>
      </w:pPr>
      <w:bookmarkStart w:id="122" w:name="_Toc23166"/>
      <w:bookmarkStart w:id="123" w:name="_Toc66186319"/>
      <w:bookmarkStart w:id="124" w:name="_Toc407135094"/>
      <w:bookmarkStart w:id="125" w:name="_Toc389065161"/>
      <w:r>
        <w:rPr>
          <w:color w:val="auto"/>
          <w:highlight w:val="none"/>
        </w:rPr>
        <w:t xml:space="preserve">2.3 </w:t>
      </w:r>
      <w:r>
        <w:rPr>
          <w:rFonts w:hint="eastAsia" w:cs="黑体"/>
          <w:color w:val="auto"/>
          <w:highlight w:val="none"/>
        </w:rPr>
        <w:t>招标文件的修改</w:t>
      </w:r>
      <w:bookmarkEnd w:id="122"/>
      <w:bookmarkEnd w:id="123"/>
      <w:bookmarkEnd w:id="124"/>
      <w:bookmarkEnd w:id="125"/>
    </w:p>
    <w:p>
      <w:pPr>
        <w:spacing w:line="360" w:lineRule="auto"/>
        <w:ind w:firstLine="420" w:firstLineChars="200"/>
        <w:rPr>
          <w:color w:val="auto"/>
          <w:highlight w:val="none"/>
        </w:rPr>
      </w:pPr>
      <w:r>
        <w:rPr>
          <w:color w:val="auto"/>
          <w:highlight w:val="none"/>
        </w:rPr>
        <w:t xml:space="preserve">2.3.1 </w:t>
      </w:r>
      <w:r>
        <w:rPr>
          <w:rFonts w:hint="eastAsia" w:hAnsi="宋体" w:cs="宋体"/>
          <w:color w:val="auto"/>
          <w:highlight w:val="none"/>
        </w:rPr>
        <w:t>在投标截止时间</w:t>
      </w:r>
      <w:r>
        <w:rPr>
          <w:color w:val="auto"/>
          <w:highlight w:val="none"/>
        </w:rPr>
        <w:t>15</w:t>
      </w:r>
      <w:r>
        <w:rPr>
          <w:rFonts w:hint="eastAsia" w:hAnsi="宋体" w:cs="宋体"/>
          <w:color w:val="auto"/>
          <w:highlight w:val="none"/>
        </w:rPr>
        <w:t>日前，招标人可以书面形式修改招标文件，并以“投标人须知前附表”2.2.2规定的澄清文件发布的相同形式，通知投标人，投标人应按修改后的招标文件制作投标文件。如果修改招标文件的时间距投标截止时间不足</w:t>
      </w:r>
      <w:r>
        <w:rPr>
          <w:color w:val="auto"/>
          <w:highlight w:val="none"/>
        </w:rPr>
        <w:t>15</w:t>
      </w:r>
      <w:r>
        <w:rPr>
          <w:rFonts w:hint="eastAsia" w:hAnsi="宋体" w:cs="宋体"/>
          <w:color w:val="auto"/>
          <w:highlight w:val="none"/>
        </w:rPr>
        <w:t>日，相应延长投标截止时间。</w:t>
      </w:r>
    </w:p>
    <w:p>
      <w:pPr>
        <w:spacing w:line="360" w:lineRule="auto"/>
        <w:ind w:firstLine="420" w:firstLineChars="200"/>
        <w:rPr>
          <w:color w:val="auto"/>
          <w:highlight w:val="none"/>
        </w:rPr>
      </w:pPr>
      <w:r>
        <w:rPr>
          <w:color w:val="auto"/>
          <w:highlight w:val="none"/>
        </w:rPr>
        <w:t>2.3.2 当招标文件、招标文件的修改、补充在同一内容表述不一致时，以最后的更正</w:t>
      </w:r>
      <w:r>
        <w:rPr>
          <w:rFonts w:hint="eastAsia"/>
          <w:color w:val="auto"/>
          <w:highlight w:val="none"/>
        </w:rPr>
        <w:t>、补遗</w:t>
      </w:r>
      <w:r>
        <w:rPr>
          <w:color w:val="auto"/>
          <w:highlight w:val="none"/>
        </w:rPr>
        <w:t>、澄清为准。未在</w:t>
      </w:r>
      <w:r>
        <w:rPr>
          <w:rFonts w:hint="eastAsia"/>
          <w:color w:val="auto"/>
          <w:highlight w:val="none"/>
        </w:rPr>
        <w:t>发布媒介</w:t>
      </w:r>
      <w:r>
        <w:rPr>
          <w:color w:val="auto"/>
          <w:highlight w:val="none"/>
        </w:rPr>
        <w:t>发布的更正、</w:t>
      </w:r>
      <w:r>
        <w:rPr>
          <w:rFonts w:hint="eastAsia"/>
          <w:color w:val="auto"/>
          <w:highlight w:val="none"/>
        </w:rPr>
        <w:t>补遗</w:t>
      </w:r>
      <w:r>
        <w:rPr>
          <w:color w:val="auto"/>
          <w:highlight w:val="none"/>
        </w:rPr>
        <w:t>、澄清为无效更正、</w:t>
      </w:r>
      <w:r>
        <w:rPr>
          <w:rFonts w:hint="eastAsia"/>
          <w:color w:val="auto"/>
          <w:highlight w:val="none"/>
        </w:rPr>
        <w:t>补遗</w:t>
      </w:r>
      <w:r>
        <w:rPr>
          <w:color w:val="auto"/>
          <w:highlight w:val="none"/>
        </w:rPr>
        <w:t>、澄清。除更正、</w:t>
      </w:r>
      <w:r>
        <w:rPr>
          <w:rFonts w:hint="eastAsia"/>
          <w:color w:val="auto"/>
          <w:highlight w:val="none"/>
        </w:rPr>
        <w:t>补遗</w:t>
      </w:r>
      <w:r>
        <w:rPr>
          <w:color w:val="auto"/>
          <w:highlight w:val="none"/>
        </w:rPr>
        <w:t xml:space="preserve">、澄清内容外，其他内容以原招标文件为准。 </w:t>
      </w:r>
    </w:p>
    <w:p>
      <w:pPr>
        <w:pStyle w:val="135"/>
        <w:snapToGrid w:val="0"/>
        <w:spacing w:line="360" w:lineRule="auto"/>
        <w:ind w:firstLine="420" w:firstLineChars="200"/>
        <w:rPr>
          <w:rFonts w:hAnsi="宋体"/>
          <w:color w:val="auto"/>
          <w:sz w:val="21"/>
          <w:szCs w:val="21"/>
          <w:highlight w:val="none"/>
        </w:rPr>
      </w:pPr>
      <w:r>
        <w:rPr>
          <w:color w:val="auto"/>
          <w:sz w:val="21"/>
          <w:szCs w:val="21"/>
          <w:highlight w:val="none"/>
        </w:rPr>
        <w:t xml:space="preserve">2.3.3 </w:t>
      </w:r>
      <w:r>
        <w:rPr>
          <w:rFonts w:hint="eastAsia" w:hAnsi="宋体" w:cs="宋体"/>
          <w:color w:val="auto"/>
          <w:sz w:val="21"/>
          <w:szCs w:val="21"/>
          <w:highlight w:val="none"/>
        </w:rPr>
        <w:t>为使投标人在编制投标文件时有充分的时间对招标文件的修改、补充等内容进行研究并做出响应，招标人可酌情延长提交投标文件的截止时间，具体时间在招标文件的修改、补充等通知中予以明确。</w:t>
      </w:r>
      <w:r>
        <w:rPr>
          <w:rFonts w:hAnsi="宋体"/>
          <w:color w:val="auto"/>
          <w:sz w:val="21"/>
          <w:szCs w:val="21"/>
          <w:highlight w:val="none"/>
        </w:rPr>
        <w:t xml:space="preserve"> </w:t>
      </w:r>
    </w:p>
    <w:p>
      <w:pPr>
        <w:spacing w:line="360" w:lineRule="auto"/>
        <w:ind w:firstLine="420" w:firstLineChars="200"/>
        <w:rPr>
          <w:color w:val="auto"/>
          <w:highlight w:val="none"/>
        </w:rPr>
      </w:pPr>
      <w:r>
        <w:rPr>
          <w:rFonts w:hAnsi="宋体"/>
          <w:color w:val="auto"/>
          <w:highlight w:val="none"/>
        </w:rPr>
        <w:t xml:space="preserve">2.3.4 </w:t>
      </w:r>
      <w:r>
        <w:rPr>
          <w:rFonts w:hint="eastAsia" w:hAnsi="宋体" w:cs="宋体"/>
          <w:color w:val="auto"/>
          <w:highlight w:val="none"/>
        </w:rPr>
        <w:t>招标文件的修改或补充在发布媒介上进行发布。招标文件的修改内容作为招标文件的组成部分，具有约束作用。</w:t>
      </w:r>
      <w:r>
        <w:rPr>
          <w:color w:val="auto"/>
          <w:highlight w:val="none"/>
        </w:rPr>
        <w:t xml:space="preserve">  </w:t>
      </w:r>
    </w:p>
    <w:p>
      <w:pPr>
        <w:pStyle w:val="4"/>
        <w:rPr>
          <w:color w:val="auto"/>
          <w:highlight w:val="none"/>
        </w:rPr>
      </w:pPr>
      <w:bookmarkStart w:id="126" w:name="_Toc66186320"/>
      <w:bookmarkStart w:id="127" w:name="_Toc407135095"/>
      <w:bookmarkStart w:id="128" w:name="_Toc389065162"/>
      <w:bookmarkStart w:id="129" w:name="_Toc13474"/>
      <w:r>
        <w:rPr>
          <w:color w:val="auto"/>
          <w:highlight w:val="none"/>
        </w:rPr>
        <w:t xml:space="preserve">3 </w:t>
      </w:r>
      <w:r>
        <w:rPr>
          <w:rFonts w:hint="eastAsia" w:cs="黑体"/>
          <w:color w:val="auto"/>
          <w:highlight w:val="none"/>
        </w:rPr>
        <w:t>投标文件</w:t>
      </w:r>
      <w:bookmarkEnd w:id="126"/>
      <w:bookmarkEnd w:id="127"/>
      <w:bookmarkEnd w:id="128"/>
      <w:bookmarkEnd w:id="129"/>
    </w:p>
    <w:p>
      <w:pPr>
        <w:pStyle w:val="5"/>
        <w:rPr>
          <w:color w:val="auto"/>
          <w:highlight w:val="none"/>
        </w:rPr>
      </w:pPr>
      <w:bookmarkStart w:id="130" w:name="_Toc389065163"/>
      <w:bookmarkStart w:id="131" w:name="_Toc18027"/>
      <w:bookmarkStart w:id="132" w:name="_Toc66186321"/>
      <w:bookmarkStart w:id="133" w:name="_Toc407135096"/>
      <w:r>
        <w:rPr>
          <w:color w:val="auto"/>
          <w:highlight w:val="none"/>
        </w:rPr>
        <w:t xml:space="preserve">3.1 </w:t>
      </w:r>
      <w:r>
        <w:rPr>
          <w:rFonts w:hint="eastAsia" w:cs="黑体"/>
          <w:color w:val="auto"/>
          <w:highlight w:val="none"/>
        </w:rPr>
        <w:t>投标文件的组成</w:t>
      </w:r>
      <w:bookmarkEnd w:id="130"/>
      <w:bookmarkEnd w:id="131"/>
      <w:bookmarkEnd w:id="132"/>
      <w:bookmarkEnd w:id="133"/>
    </w:p>
    <w:p>
      <w:pPr>
        <w:spacing w:line="360" w:lineRule="auto"/>
        <w:ind w:firstLine="420" w:firstLineChars="200"/>
        <w:rPr>
          <w:color w:val="auto"/>
          <w:highlight w:val="none"/>
        </w:rPr>
      </w:pPr>
      <w:r>
        <w:rPr>
          <w:color w:val="auto"/>
          <w:highlight w:val="none"/>
        </w:rPr>
        <w:t xml:space="preserve">3.1.1 </w:t>
      </w:r>
      <w:r>
        <w:rPr>
          <w:rFonts w:hint="eastAsia" w:cs="宋体"/>
          <w:color w:val="auto"/>
          <w:highlight w:val="none"/>
        </w:rPr>
        <w:t>投标文件应包括下列内容：</w:t>
      </w:r>
    </w:p>
    <w:p>
      <w:pPr>
        <w:spacing w:line="360" w:lineRule="auto"/>
        <w:ind w:firstLine="420" w:firstLineChars="200"/>
        <w:rPr>
          <w:color w:val="auto"/>
          <w:highlight w:val="none"/>
        </w:rPr>
      </w:pPr>
      <w:r>
        <w:rPr>
          <w:rFonts w:hint="eastAsia" w:cs="宋体"/>
          <w:color w:val="auto"/>
          <w:highlight w:val="none"/>
        </w:rPr>
        <w:t>3.1.1.</w:t>
      </w:r>
      <w:r>
        <w:rPr>
          <w:color w:val="auto"/>
          <w:highlight w:val="none"/>
        </w:rPr>
        <w:t>1</w:t>
      </w:r>
      <w:r>
        <w:rPr>
          <w:rFonts w:hint="eastAsia" w:cs="宋体"/>
          <w:color w:val="auto"/>
          <w:highlight w:val="none"/>
        </w:rPr>
        <w:t>资格审查部分：具体材料见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pPr>
        <w:spacing w:line="360" w:lineRule="auto"/>
        <w:ind w:firstLine="420" w:firstLineChars="200"/>
        <w:rPr>
          <w:color w:val="auto"/>
          <w:highlight w:val="none"/>
        </w:rPr>
      </w:pPr>
      <w:r>
        <w:rPr>
          <w:rFonts w:hint="eastAsia" w:cs="宋体"/>
          <w:color w:val="auto"/>
          <w:highlight w:val="none"/>
        </w:rPr>
        <w:t>3.1.1.</w:t>
      </w:r>
      <w:r>
        <w:rPr>
          <w:color w:val="auto"/>
          <w:highlight w:val="none"/>
        </w:rPr>
        <w:t>2</w:t>
      </w:r>
      <w:r>
        <w:rPr>
          <w:rFonts w:hint="eastAsia" w:cs="宋体"/>
          <w:color w:val="auto"/>
          <w:highlight w:val="none"/>
        </w:rPr>
        <w:t>商务标部分：具体材料见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pPr>
        <w:spacing w:line="360" w:lineRule="auto"/>
        <w:ind w:firstLine="420" w:firstLineChars="200"/>
        <w:rPr>
          <w:rFonts w:cs="宋体"/>
          <w:color w:val="auto"/>
          <w:highlight w:val="none"/>
        </w:rPr>
      </w:pPr>
      <w:r>
        <w:rPr>
          <w:rFonts w:hint="eastAsia" w:cs="宋体"/>
          <w:color w:val="auto"/>
          <w:highlight w:val="none"/>
        </w:rPr>
        <w:t>3.1.1.</w:t>
      </w:r>
      <w:r>
        <w:rPr>
          <w:color w:val="auto"/>
          <w:highlight w:val="none"/>
        </w:rPr>
        <w:t>3</w:t>
      </w:r>
      <w:r>
        <w:rPr>
          <w:rFonts w:hint="eastAsia" w:cs="宋体"/>
          <w:color w:val="auto"/>
          <w:highlight w:val="none"/>
        </w:rPr>
        <w:t>技术标部分：具体材料见</w:t>
      </w:r>
      <w:r>
        <w:rPr>
          <w:color w:val="auto"/>
          <w:highlight w:val="none"/>
        </w:rPr>
        <w:t>“</w:t>
      </w:r>
      <w:r>
        <w:rPr>
          <w:rFonts w:hint="eastAsia" w:cs="宋体"/>
          <w:color w:val="auto"/>
          <w:highlight w:val="none"/>
        </w:rPr>
        <w:t>投标人须知前附表</w:t>
      </w:r>
      <w:r>
        <w:rPr>
          <w:color w:val="auto"/>
          <w:highlight w:val="none"/>
        </w:rPr>
        <w:t>”</w:t>
      </w:r>
      <w:r>
        <w:rPr>
          <w:rFonts w:hint="eastAsia"/>
          <w:color w:val="auto"/>
          <w:highlight w:val="none"/>
        </w:rPr>
        <w:t>，其中</w:t>
      </w:r>
      <w:r>
        <w:rPr>
          <w:color w:val="auto"/>
          <w:highlight w:val="none"/>
        </w:rPr>
        <w:t>施工组织</w:t>
      </w:r>
      <w:r>
        <w:rPr>
          <w:rFonts w:hint="eastAsia"/>
          <w:color w:val="auto"/>
          <w:highlight w:val="none"/>
        </w:rPr>
        <w:t>设计具体</w:t>
      </w:r>
      <w:r>
        <w:rPr>
          <w:color w:val="auto"/>
          <w:highlight w:val="none"/>
        </w:rPr>
        <w:t>内容</w:t>
      </w:r>
      <w:r>
        <w:rPr>
          <w:rFonts w:hint="eastAsia" w:cs="宋体"/>
          <w:color w:val="auto"/>
          <w:highlight w:val="none"/>
        </w:rPr>
        <w:t>如下：</w:t>
      </w:r>
    </w:p>
    <w:p>
      <w:pPr>
        <w:spacing w:line="360" w:lineRule="auto"/>
        <w:ind w:firstLine="420" w:firstLineChars="200"/>
        <w:rPr>
          <w:color w:val="auto"/>
          <w:highlight w:val="none"/>
        </w:rPr>
      </w:pPr>
      <w:r>
        <w:rPr>
          <w:rFonts w:hint="eastAsia"/>
          <w:color w:val="auto"/>
          <w:highlight w:val="none"/>
        </w:rPr>
        <w:t>（1）概述</w:t>
      </w:r>
    </w:p>
    <w:p>
      <w:pPr>
        <w:spacing w:line="360" w:lineRule="auto"/>
        <w:ind w:firstLine="420" w:firstLineChars="200"/>
        <w:rPr>
          <w:color w:val="auto"/>
          <w:highlight w:val="none"/>
        </w:rPr>
      </w:pPr>
      <w:r>
        <w:rPr>
          <w:rFonts w:hint="eastAsia"/>
          <w:color w:val="auto"/>
          <w:highlight w:val="none"/>
        </w:rPr>
        <w:t>（2）主要施工方法；</w:t>
      </w:r>
    </w:p>
    <w:p>
      <w:pPr>
        <w:spacing w:line="360" w:lineRule="auto"/>
        <w:ind w:firstLine="420" w:firstLineChars="200"/>
        <w:rPr>
          <w:color w:val="auto"/>
          <w:highlight w:val="none"/>
        </w:rPr>
      </w:pPr>
      <w:r>
        <w:rPr>
          <w:rFonts w:hint="eastAsia"/>
          <w:color w:val="auto"/>
          <w:highlight w:val="none"/>
        </w:rPr>
        <w:t>（3）拟投入的主要物资计划</w:t>
      </w:r>
    </w:p>
    <w:p>
      <w:pPr>
        <w:spacing w:line="360" w:lineRule="auto"/>
        <w:ind w:firstLine="420" w:firstLineChars="200"/>
        <w:rPr>
          <w:color w:val="auto"/>
          <w:highlight w:val="none"/>
        </w:rPr>
      </w:pPr>
      <w:r>
        <w:rPr>
          <w:rFonts w:hint="eastAsia"/>
          <w:color w:val="auto"/>
          <w:highlight w:val="none"/>
        </w:rPr>
        <w:t>（4）</w:t>
      </w:r>
      <w:r>
        <w:rPr>
          <w:rFonts w:hint="eastAsia" w:cs="宋体"/>
          <w:color w:val="auto"/>
          <w:kern w:val="0"/>
          <w:highlight w:val="none"/>
        </w:rPr>
        <w:t>拟投入的主要施工机械、设备计划</w:t>
      </w:r>
    </w:p>
    <w:p>
      <w:pPr>
        <w:spacing w:line="360" w:lineRule="auto"/>
        <w:ind w:firstLine="420" w:firstLineChars="200"/>
        <w:rPr>
          <w:color w:val="auto"/>
          <w:highlight w:val="none"/>
        </w:rPr>
      </w:pPr>
      <w:r>
        <w:rPr>
          <w:rFonts w:hint="eastAsia"/>
          <w:color w:val="auto"/>
          <w:highlight w:val="none"/>
        </w:rPr>
        <w:t>（5）劳动力安排计划；</w:t>
      </w:r>
    </w:p>
    <w:p>
      <w:pPr>
        <w:spacing w:line="360" w:lineRule="auto"/>
        <w:ind w:firstLine="420" w:firstLineChars="200"/>
        <w:rPr>
          <w:color w:val="auto"/>
          <w:highlight w:val="none"/>
        </w:rPr>
      </w:pPr>
      <w:r>
        <w:rPr>
          <w:rFonts w:hint="eastAsia"/>
          <w:color w:val="auto"/>
          <w:highlight w:val="none"/>
        </w:rPr>
        <w:t>（6）确保工程质量的技术组织措施；</w:t>
      </w:r>
    </w:p>
    <w:p>
      <w:pPr>
        <w:spacing w:line="360" w:lineRule="auto"/>
        <w:ind w:firstLine="420" w:firstLineChars="200"/>
        <w:rPr>
          <w:color w:val="auto"/>
          <w:highlight w:val="none"/>
        </w:rPr>
      </w:pPr>
      <w:r>
        <w:rPr>
          <w:rFonts w:hint="eastAsia"/>
          <w:color w:val="auto"/>
          <w:highlight w:val="none"/>
        </w:rPr>
        <w:t>（7）确保安全生产的技术组织措施；</w:t>
      </w:r>
    </w:p>
    <w:p>
      <w:pPr>
        <w:spacing w:line="360" w:lineRule="auto"/>
        <w:ind w:firstLine="420" w:firstLineChars="200"/>
        <w:rPr>
          <w:color w:val="auto"/>
          <w:highlight w:val="none"/>
        </w:rPr>
      </w:pPr>
      <w:r>
        <w:rPr>
          <w:rFonts w:hint="eastAsia"/>
          <w:color w:val="auto"/>
          <w:highlight w:val="none"/>
        </w:rPr>
        <w:t>（8）确保工期的技术组织措施；</w:t>
      </w:r>
    </w:p>
    <w:p>
      <w:pPr>
        <w:spacing w:line="360" w:lineRule="auto"/>
        <w:ind w:firstLine="420" w:firstLineChars="200"/>
        <w:rPr>
          <w:color w:val="auto"/>
          <w:highlight w:val="none"/>
        </w:rPr>
      </w:pPr>
      <w:r>
        <w:rPr>
          <w:rFonts w:hint="eastAsia"/>
          <w:color w:val="auto"/>
          <w:highlight w:val="none"/>
        </w:rPr>
        <w:t>（9）确保文明施工的技术组织措施；</w:t>
      </w:r>
    </w:p>
    <w:p>
      <w:pPr>
        <w:spacing w:line="360" w:lineRule="auto"/>
        <w:ind w:firstLine="420" w:firstLineChars="200"/>
        <w:rPr>
          <w:color w:val="auto"/>
          <w:highlight w:val="none"/>
        </w:rPr>
      </w:pPr>
      <w:r>
        <w:rPr>
          <w:rFonts w:hint="eastAsia"/>
          <w:color w:val="auto"/>
          <w:highlight w:val="none"/>
        </w:rPr>
        <w:t>（10）工程施工的重点和难点及保证措施；</w:t>
      </w:r>
    </w:p>
    <w:p>
      <w:pPr>
        <w:spacing w:line="360" w:lineRule="auto"/>
        <w:ind w:firstLine="420" w:firstLineChars="200"/>
        <w:rPr>
          <w:color w:val="auto"/>
          <w:highlight w:val="none"/>
        </w:rPr>
      </w:pPr>
      <w:r>
        <w:rPr>
          <w:rFonts w:hint="eastAsia"/>
          <w:color w:val="auto"/>
          <w:highlight w:val="none"/>
        </w:rPr>
        <w:t>（1</w:t>
      </w:r>
      <w:r>
        <w:rPr>
          <w:color w:val="auto"/>
          <w:highlight w:val="none"/>
        </w:rPr>
        <w:t>1</w:t>
      </w:r>
      <w:r>
        <w:rPr>
          <w:rFonts w:hint="eastAsia"/>
          <w:color w:val="auto"/>
          <w:highlight w:val="none"/>
        </w:rPr>
        <w:t>）施工总平面布置图；</w:t>
      </w:r>
    </w:p>
    <w:p>
      <w:pPr>
        <w:spacing w:line="360" w:lineRule="auto"/>
        <w:ind w:firstLine="420" w:firstLineChars="200"/>
        <w:rPr>
          <w:color w:val="auto"/>
          <w:highlight w:val="none"/>
        </w:rPr>
      </w:pPr>
      <w:r>
        <w:rPr>
          <w:rFonts w:hint="eastAsia"/>
          <w:color w:val="auto"/>
          <w:highlight w:val="none"/>
        </w:rPr>
        <w:t>（1</w:t>
      </w:r>
      <w:r>
        <w:rPr>
          <w:color w:val="auto"/>
          <w:highlight w:val="none"/>
        </w:rPr>
        <w:t>2</w:t>
      </w:r>
      <w:r>
        <w:rPr>
          <w:rFonts w:hint="eastAsia"/>
          <w:color w:val="auto"/>
          <w:highlight w:val="none"/>
        </w:rPr>
        <w:t>）其他（</w:t>
      </w:r>
      <w:r>
        <w:rPr>
          <w:color w:val="auto"/>
          <w:highlight w:val="none"/>
        </w:rPr>
        <w:t>如有）</w:t>
      </w:r>
      <w:r>
        <w:rPr>
          <w:rFonts w:hint="eastAsia"/>
          <w:color w:val="auto"/>
          <w:highlight w:val="none"/>
        </w:rPr>
        <w:t>（与评标</w:t>
      </w:r>
      <w:r>
        <w:rPr>
          <w:color w:val="auto"/>
          <w:highlight w:val="none"/>
        </w:rPr>
        <w:t>办法</w:t>
      </w:r>
      <w:r>
        <w:rPr>
          <w:rFonts w:hint="eastAsia"/>
          <w:color w:val="auto"/>
          <w:highlight w:val="none"/>
        </w:rPr>
        <w:t>前</w:t>
      </w:r>
      <w:r>
        <w:rPr>
          <w:color w:val="auto"/>
          <w:highlight w:val="none"/>
        </w:rPr>
        <w:t>附表技术标评分标准一致</w:t>
      </w:r>
      <w:r>
        <w:rPr>
          <w:rFonts w:hint="eastAsia"/>
          <w:color w:val="auto"/>
          <w:highlight w:val="none"/>
        </w:rPr>
        <w:t>）</w:t>
      </w:r>
    </w:p>
    <w:p>
      <w:pPr>
        <w:spacing w:line="360" w:lineRule="auto"/>
        <w:ind w:firstLine="420" w:firstLineChars="200"/>
        <w:rPr>
          <w:color w:val="auto"/>
          <w:highlight w:val="none"/>
        </w:rPr>
      </w:pPr>
      <w:r>
        <w:rPr>
          <w:color w:val="auto"/>
          <w:highlight w:val="none"/>
        </w:rPr>
        <w:t xml:space="preserve">3.1.2 </w:t>
      </w:r>
      <w:r>
        <w:rPr>
          <w:rFonts w:hint="eastAsia" w:cs="宋体"/>
          <w:color w:val="auto"/>
          <w:highlight w:val="none"/>
        </w:rPr>
        <w:t>招标文件</w:t>
      </w:r>
      <w:r>
        <w:rPr>
          <w:color w:val="auto"/>
          <w:highlight w:val="none"/>
        </w:rPr>
        <w:t>“</w:t>
      </w:r>
      <w:r>
        <w:rPr>
          <w:rFonts w:hint="eastAsia" w:cs="宋体"/>
          <w:color w:val="auto"/>
          <w:highlight w:val="none"/>
        </w:rPr>
        <w:t>第九章</w:t>
      </w:r>
      <w:r>
        <w:rPr>
          <w:color w:val="auto"/>
          <w:highlight w:val="none"/>
        </w:rPr>
        <w:t xml:space="preserve"> </w:t>
      </w:r>
      <w:r>
        <w:rPr>
          <w:rFonts w:hint="eastAsia" w:cs="宋体"/>
          <w:color w:val="auto"/>
          <w:highlight w:val="none"/>
        </w:rPr>
        <w:t>投标文件格式</w:t>
      </w:r>
      <w:r>
        <w:rPr>
          <w:color w:val="auto"/>
          <w:highlight w:val="none"/>
        </w:rPr>
        <w:t>”</w:t>
      </w:r>
      <w:r>
        <w:rPr>
          <w:rFonts w:hint="eastAsia" w:cs="宋体"/>
          <w:color w:val="auto"/>
          <w:highlight w:val="none"/>
        </w:rPr>
        <w:t>有规定格式要求的，投标人应按规定的格式填写并按要求提交相关的证明材料。</w:t>
      </w:r>
    </w:p>
    <w:p>
      <w:pPr>
        <w:spacing w:line="360" w:lineRule="auto"/>
        <w:ind w:firstLine="420" w:firstLineChars="200"/>
        <w:rPr>
          <w:color w:val="auto"/>
          <w:highlight w:val="none"/>
        </w:rPr>
      </w:pPr>
      <w:r>
        <w:rPr>
          <w:color w:val="auto"/>
          <w:highlight w:val="none"/>
        </w:rPr>
        <w:t>3.1.3 “</w:t>
      </w:r>
      <w:r>
        <w:rPr>
          <w:rFonts w:hint="eastAsia" w:cs="宋体"/>
          <w:color w:val="auto"/>
          <w:highlight w:val="none"/>
        </w:rPr>
        <w:t>投标人须知前附表</w:t>
      </w:r>
      <w:r>
        <w:rPr>
          <w:color w:val="auto"/>
          <w:highlight w:val="none"/>
        </w:rPr>
        <w:t>”</w:t>
      </w:r>
      <w:r>
        <w:rPr>
          <w:rFonts w:hint="eastAsia" w:cs="宋体"/>
          <w:color w:val="auto"/>
          <w:highlight w:val="none"/>
        </w:rPr>
        <w:t>规定不接受联合体投标的，或投标人没有组成联合体的，投标文件不包括本章第</w:t>
      </w:r>
      <w:r>
        <w:rPr>
          <w:color w:val="auto"/>
          <w:highlight w:val="none"/>
        </w:rPr>
        <w:t>3.1.1</w:t>
      </w:r>
      <w:r>
        <w:rPr>
          <w:rFonts w:hint="eastAsia" w:cs="宋体"/>
          <w:color w:val="auto"/>
          <w:highlight w:val="none"/>
        </w:rPr>
        <w:t>.1中所指的联合体协议书。</w:t>
      </w:r>
    </w:p>
    <w:p>
      <w:pPr>
        <w:spacing w:line="360" w:lineRule="auto"/>
        <w:ind w:firstLine="420" w:firstLineChars="200"/>
        <w:rPr>
          <w:color w:val="auto"/>
          <w:highlight w:val="none"/>
        </w:rPr>
      </w:pPr>
      <w:r>
        <w:rPr>
          <w:color w:val="auto"/>
          <w:highlight w:val="none"/>
        </w:rPr>
        <w:t xml:space="preserve">3.1.4 </w:t>
      </w:r>
      <w:r>
        <w:rPr>
          <w:rFonts w:hint="eastAsia" w:cs="宋体"/>
          <w:color w:val="auto"/>
          <w:highlight w:val="none"/>
        </w:rPr>
        <w:t>近年财务状况、完成的类似项目的年份要求：见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pPr>
        <w:pStyle w:val="5"/>
        <w:rPr>
          <w:color w:val="auto"/>
          <w:highlight w:val="none"/>
        </w:rPr>
      </w:pPr>
      <w:bookmarkStart w:id="134" w:name="_Toc389065164"/>
      <w:bookmarkStart w:id="135" w:name="_Toc21538"/>
      <w:bookmarkStart w:id="136" w:name="_Toc66186322"/>
      <w:bookmarkStart w:id="137" w:name="_Toc407135097"/>
      <w:r>
        <w:rPr>
          <w:color w:val="auto"/>
          <w:highlight w:val="none"/>
        </w:rPr>
        <w:t xml:space="preserve">3.2 </w:t>
      </w:r>
      <w:r>
        <w:rPr>
          <w:rFonts w:hint="eastAsia" w:cs="黑体"/>
          <w:color w:val="auto"/>
          <w:highlight w:val="none"/>
        </w:rPr>
        <w:t>投标报价</w:t>
      </w:r>
      <w:bookmarkEnd w:id="134"/>
      <w:bookmarkEnd w:id="135"/>
      <w:bookmarkEnd w:id="136"/>
      <w:bookmarkEnd w:id="137"/>
    </w:p>
    <w:p>
      <w:pPr>
        <w:spacing w:line="360" w:lineRule="auto"/>
        <w:ind w:firstLine="420" w:firstLineChars="200"/>
        <w:rPr>
          <w:color w:val="auto"/>
          <w:highlight w:val="none"/>
        </w:rPr>
      </w:pPr>
      <w:r>
        <w:rPr>
          <w:color w:val="auto"/>
          <w:highlight w:val="none"/>
        </w:rPr>
        <w:t xml:space="preserve">3.2.1 </w:t>
      </w:r>
      <w:r>
        <w:rPr>
          <w:rFonts w:hint="eastAsia" w:cs="宋体"/>
          <w:color w:val="auto"/>
          <w:highlight w:val="none"/>
        </w:rPr>
        <w:t>投标人应按第五章</w:t>
      </w:r>
      <w:r>
        <w:rPr>
          <w:color w:val="auto"/>
          <w:highlight w:val="none"/>
        </w:rPr>
        <w:t>“</w:t>
      </w:r>
      <w:r>
        <w:rPr>
          <w:rFonts w:hint="eastAsia" w:cs="宋体"/>
          <w:color w:val="auto"/>
          <w:highlight w:val="none"/>
        </w:rPr>
        <w:t>工程量清单</w:t>
      </w:r>
      <w:r>
        <w:rPr>
          <w:color w:val="auto"/>
          <w:highlight w:val="none"/>
        </w:rPr>
        <w:t>”</w:t>
      </w:r>
      <w:r>
        <w:rPr>
          <w:rFonts w:hint="eastAsia" w:cs="宋体"/>
          <w:color w:val="auto"/>
          <w:highlight w:val="none"/>
        </w:rPr>
        <w:t>的要求填写相应表格。</w:t>
      </w:r>
    </w:p>
    <w:p>
      <w:pPr>
        <w:spacing w:line="360" w:lineRule="auto"/>
        <w:ind w:firstLine="420" w:firstLineChars="200"/>
        <w:rPr>
          <w:color w:val="auto"/>
          <w:highlight w:val="none"/>
        </w:rPr>
      </w:pPr>
      <w:r>
        <w:rPr>
          <w:rFonts w:hint="eastAsia"/>
          <w:color w:val="auto"/>
          <w:highlight w:val="none"/>
        </w:rPr>
        <w:t>3.2.1.1本项目招标提供工程量清单，投标人应使用符合该数据交换标准的计价软件导入电子工程量清单，填写单价和计算总额价，完成已标价工程量清单的编制。严禁投标人修改工程量清单的项目结构、标段名称、单项工程名称、单位工程名称、项目编码、项目名称、项目特征、计量单位、工程量、清单顺序和序号。投标人不得对招标工程量清单项目进行增减调整。</w:t>
      </w:r>
    </w:p>
    <w:p>
      <w:pPr>
        <w:spacing w:line="360" w:lineRule="auto"/>
        <w:ind w:firstLine="420" w:firstLineChars="200"/>
        <w:rPr>
          <w:color w:val="auto"/>
          <w:highlight w:val="none"/>
        </w:rPr>
      </w:pPr>
      <w:r>
        <w:rPr>
          <w:rFonts w:hint="eastAsia"/>
          <w:color w:val="auto"/>
          <w:highlight w:val="none"/>
        </w:rPr>
        <w:t>3.2.1.2投标人已标价工程量清单纸质投标文件应符合第八章“投标文件格式”的要求，电子文件应提供计价软件本身复制出的工程计价文件。</w:t>
      </w:r>
    </w:p>
    <w:p>
      <w:pPr>
        <w:spacing w:line="360" w:lineRule="auto"/>
        <w:ind w:firstLine="420" w:firstLineChars="200"/>
        <w:rPr>
          <w:color w:val="auto"/>
          <w:highlight w:val="none"/>
        </w:rPr>
      </w:pPr>
      <w:r>
        <w:rPr>
          <w:rFonts w:hint="eastAsia"/>
          <w:color w:val="auto"/>
          <w:highlight w:val="none"/>
        </w:rPr>
        <w:t>3.2.1.3投标人提交的已标价工程量清单纸质文件应从已编制完成的电子文件中选择符合第八章“投标文件格式”格式要求的相应表格直接打印，纸质文件应当与电子文件一致，不得弄虚作假，如出现纸质文件与电子文件不一致时，无论在评标时或合同执行时，招标人均有权以最不利于投标人（或中标人和承包人）的处理。</w:t>
      </w:r>
    </w:p>
    <w:p>
      <w:pPr>
        <w:spacing w:line="360" w:lineRule="auto"/>
        <w:ind w:firstLine="420" w:firstLineChars="200"/>
        <w:rPr>
          <w:color w:val="auto"/>
          <w:highlight w:val="none"/>
        </w:rPr>
      </w:pPr>
      <w:r>
        <w:rPr>
          <w:rFonts w:hint="eastAsia"/>
          <w:color w:val="auto"/>
          <w:highlight w:val="none"/>
        </w:rPr>
        <w:t>3.2.1.4投标人已标价工程量清单电子文件应拷入U盘中，在U盘标签上标明工程名称和项目编号。</w:t>
      </w:r>
    </w:p>
    <w:p>
      <w:pPr>
        <w:spacing w:line="360" w:lineRule="auto"/>
        <w:ind w:firstLine="420" w:firstLineChars="200"/>
        <w:rPr>
          <w:color w:val="auto"/>
          <w:highlight w:val="none"/>
        </w:rPr>
      </w:pPr>
      <w:r>
        <w:rPr>
          <w:color w:val="auto"/>
          <w:highlight w:val="none"/>
        </w:rPr>
        <w:t xml:space="preserve">3.2.2 </w:t>
      </w:r>
      <w:r>
        <w:rPr>
          <w:rFonts w:hint="eastAsia" w:cs="宋体"/>
          <w:color w:val="auto"/>
          <w:highlight w:val="none"/>
        </w:rPr>
        <w:t>投标人在投标截止时间前修改投标函中的投标总报价，应同时修改第九章</w:t>
      </w:r>
      <w:r>
        <w:rPr>
          <w:color w:val="auto"/>
          <w:highlight w:val="none"/>
        </w:rPr>
        <w:t>“</w:t>
      </w:r>
      <w:r>
        <w:rPr>
          <w:rFonts w:hint="eastAsia" w:cs="宋体"/>
          <w:color w:val="auto"/>
          <w:highlight w:val="none"/>
        </w:rPr>
        <w:t>投标文件格式</w:t>
      </w:r>
      <w:r>
        <w:rPr>
          <w:color w:val="auto"/>
          <w:highlight w:val="none"/>
        </w:rPr>
        <w:t>”</w:t>
      </w:r>
      <w:r>
        <w:rPr>
          <w:rFonts w:hint="eastAsia" w:cs="宋体"/>
          <w:color w:val="auto"/>
          <w:highlight w:val="none"/>
        </w:rPr>
        <w:t>中的相应报价。此修改须符合本章第</w:t>
      </w:r>
      <w:r>
        <w:rPr>
          <w:color w:val="auto"/>
          <w:highlight w:val="none"/>
        </w:rPr>
        <w:t>4.3</w:t>
      </w:r>
      <w:r>
        <w:rPr>
          <w:rFonts w:hint="eastAsia" w:cs="宋体"/>
          <w:color w:val="auto"/>
          <w:highlight w:val="none"/>
        </w:rPr>
        <w:t>款的有关要求。</w:t>
      </w:r>
    </w:p>
    <w:p>
      <w:pPr>
        <w:pStyle w:val="5"/>
        <w:rPr>
          <w:color w:val="auto"/>
          <w:highlight w:val="none"/>
        </w:rPr>
      </w:pPr>
      <w:bookmarkStart w:id="138" w:name="_Toc407135098"/>
      <w:bookmarkStart w:id="139" w:name="_Toc389065165"/>
      <w:bookmarkStart w:id="140" w:name="_Toc14009"/>
      <w:bookmarkStart w:id="141" w:name="_Toc66186323"/>
      <w:r>
        <w:rPr>
          <w:color w:val="auto"/>
          <w:highlight w:val="none"/>
        </w:rPr>
        <w:t xml:space="preserve">3.3 </w:t>
      </w:r>
      <w:r>
        <w:rPr>
          <w:rFonts w:hint="eastAsia" w:cs="黑体"/>
          <w:color w:val="auto"/>
          <w:highlight w:val="none"/>
        </w:rPr>
        <w:t>投标有效期</w:t>
      </w:r>
      <w:bookmarkEnd w:id="138"/>
      <w:bookmarkEnd w:id="139"/>
      <w:bookmarkEnd w:id="140"/>
      <w:bookmarkEnd w:id="141"/>
    </w:p>
    <w:p>
      <w:pPr>
        <w:spacing w:line="360" w:lineRule="auto"/>
        <w:ind w:firstLine="420" w:firstLineChars="200"/>
        <w:rPr>
          <w:color w:val="auto"/>
          <w:highlight w:val="none"/>
        </w:rPr>
      </w:pPr>
      <w:r>
        <w:rPr>
          <w:color w:val="auto"/>
          <w:highlight w:val="none"/>
        </w:rPr>
        <w:t xml:space="preserve">3.3.1 </w:t>
      </w:r>
      <w:r>
        <w:rPr>
          <w:rFonts w:hint="eastAsia" w:hAnsi="宋体" w:cs="宋体"/>
          <w:color w:val="auto"/>
          <w:highlight w:val="none"/>
        </w:rPr>
        <w:t>在投标人须知前附表规定的投标有效期内，投标人不得要求撤销或修改其投标文件。</w:t>
      </w:r>
    </w:p>
    <w:p>
      <w:pPr>
        <w:spacing w:line="360" w:lineRule="auto"/>
        <w:ind w:firstLine="420" w:firstLineChars="200"/>
        <w:rPr>
          <w:color w:val="auto"/>
          <w:highlight w:val="none"/>
        </w:rPr>
      </w:pPr>
      <w:r>
        <w:rPr>
          <w:color w:val="auto"/>
          <w:highlight w:val="none"/>
        </w:rPr>
        <w:t xml:space="preserve">3.3.2 </w:t>
      </w:r>
      <w:r>
        <w:rPr>
          <w:rFonts w:hint="eastAsia" w:hAnsi="宋体" w:cs="宋体"/>
          <w:color w:val="auto"/>
          <w:highlight w:val="none"/>
        </w:rPr>
        <w:t>出现特殊情况需要延长投标有效期的，招标人以发布媒介通知所有投标人延长投标有效期。投标人同意延长的，应相应延长其投标保证金的有效期，但不得要求或被允许修改或撤销其投标文件；投标人拒绝延长的，其投标失效，但投标人有权收回其投标保证金。</w:t>
      </w:r>
    </w:p>
    <w:p>
      <w:pPr>
        <w:pStyle w:val="5"/>
        <w:rPr>
          <w:color w:val="auto"/>
          <w:highlight w:val="none"/>
        </w:rPr>
      </w:pPr>
      <w:bookmarkStart w:id="142" w:name="_Toc11497"/>
      <w:bookmarkStart w:id="143" w:name="_Toc66186324"/>
      <w:bookmarkStart w:id="144" w:name="_Toc389065166"/>
      <w:bookmarkStart w:id="145" w:name="_Toc407135099"/>
      <w:r>
        <w:rPr>
          <w:color w:val="auto"/>
          <w:highlight w:val="none"/>
        </w:rPr>
        <w:t xml:space="preserve">3.4 </w:t>
      </w:r>
      <w:r>
        <w:rPr>
          <w:rFonts w:hint="eastAsia" w:cs="黑体"/>
          <w:color w:val="auto"/>
          <w:highlight w:val="none"/>
        </w:rPr>
        <w:t>投标保证金</w:t>
      </w:r>
      <w:bookmarkEnd w:id="142"/>
      <w:bookmarkEnd w:id="143"/>
      <w:bookmarkEnd w:id="144"/>
      <w:bookmarkEnd w:id="145"/>
    </w:p>
    <w:p>
      <w:pPr>
        <w:spacing w:line="360" w:lineRule="auto"/>
        <w:ind w:firstLine="420" w:firstLineChars="200"/>
        <w:rPr>
          <w:color w:val="auto"/>
          <w:highlight w:val="none"/>
        </w:rPr>
      </w:pPr>
      <w:r>
        <w:rPr>
          <w:color w:val="auto"/>
          <w:highlight w:val="none"/>
        </w:rPr>
        <w:t xml:space="preserve">3.4.1 </w:t>
      </w:r>
      <w:r>
        <w:rPr>
          <w:rFonts w:hint="eastAsia" w:cs="宋体"/>
          <w:color w:val="auto"/>
          <w:highlight w:val="none"/>
        </w:rPr>
        <w:t>投标人必须在投标截止时间前，按</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规定的金额、方式和第九章</w:t>
      </w:r>
      <w:r>
        <w:rPr>
          <w:color w:val="auto"/>
          <w:highlight w:val="none"/>
        </w:rPr>
        <w:t>“</w:t>
      </w:r>
      <w:r>
        <w:rPr>
          <w:rFonts w:hint="eastAsia" w:cs="宋体"/>
          <w:color w:val="auto"/>
          <w:highlight w:val="none"/>
        </w:rPr>
        <w:t>投标文件格式</w:t>
      </w:r>
      <w:r>
        <w:rPr>
          <w:color w:val="auto"/>
          <w:highlight w:val="none"/>
        </w:rPr>
        <w:t>”</w:t>
      </w:r>
      <w:r>
        <w:rPr>
          <w:rFonts w:hint="eastAsia" w:cs="宋体"/>
          <w:color w:val="auto"/>
          <w:highlight w:val="none"/>
        </w:rPr>
        <w:t>规定的投标保证金格式提交投标保证金。提交投标保证金的证明文件作为其投标文件的组成部分。联合体投标的，其投标保证金由牵头人提交，并应符合</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的规定。</w:t>
      </w:r>
    </w:p>
    <w:p>
      <w:pPr>
        <w:spacing w:line="360" w:lineRule="auto"/>
        <w:ind w:firstLine="420" w:firstLineChars="200"/>
        <w:rPr>
          <w:color w:val="auto"/>
          <w:highlight w:val="none"/>
        </w:rPr>
      </w:pPr>
      <w:r>
        <w:rPr>
          <w:color w:val="auto"/>
          <w:highlight w:val="none"/>
        </w:rPr>
        <w:t xml:space="preserve">3.4.2 </w:t>
      </w:r>
      <w:r>
        <w:rPr>
          <w:rFonts w:hint="eastAsia" w:cs="宋体"/>
          <w:color w:val="auto"/>
          <w:highlight w:val="none"/>
        </w:rPr>
        <w:t>投标人不按本章第</w:t>
      </w:r>
      <w:r>
        <w:rPr>
          <w:color w:val="auto"/>
          <w:highlight w:val="none"/>
        </w:rPr>
        <w:t>3.4.1</w:t>
      </w:r>
      <w:r>
        <w:rPr>
          <w:rFonts w:hint="eastAsia" w:cs="宋体"/>
          <w:color w:val="auto"/>
          <w:highlight w:val="none"/>
        </w:rPr>
        <w:t>项要求提交投标保证金的，其投标文件作否决投标处理。</w:t>
      </w:r>
    </w:p>
    <w:p>
      <w:pPr>
        <w:spacing w:line="360" w:lineRule="auto"/>
        <w:ind w:firstLine="420" w:firstLineChars="200"/>
        <w:rPr>
          <w:color w:val="auto"/>
          <w:highlight w:val="none"/>
        </w:rPr>
      </w:pPr>
      <w:r>
        <w:rPr>
          <w:color w:val="auto"/>
          <w:highlight w:val="none"/>
        </w:rPr>
        <w:t xml:space="preserve">3.4.3 </w:t>
      </w:r>
      <w:r>
        <w:rPr>
          <w:rFonts w:hint="eastAsia" w:cs="宋体"/>
          <w:color w:val="auto"/>
          <w:highlight w:val="none"/>
        </w:rPr>
        <w:t>对未中标人交纳的投标保证金（保函原件）应当于中标通知书发出之日起</w:t>
      </w:r>
      <w:r>
        <w:rPr>
          <w:color w:val="auto"/>
          <w:highlight w:val="none"/>
        </w:rPr>
        <w:t>5</w:t>
      </w:r>
      <w:r>
        <w:rPr>
          <w:rFonts w:hint="eastAsia" w:cs="宋体"/>
          <w:color w:val="auto"/>
          <w:highlight w:val="none"/>
        </w:rPr>
        <w:t>日内退回；对中标人交纳的投标保证金（保函原件）应当于合同签订之日起</w:t>
      </w:r>
      <w:r>
        <w:rPr>
          <w:color w:val="auto"/>
          <w:highlight w:val="none"/>
        </w:rPr>
        <w:t>5</w:t>
      </w:r>
      <w:r>
        <w:rPr>
          <w:rFonts w:hint="eastAsia" w:cs="宋体"/>
          <w:color w:val="auto"/>
          <w:highlight w:val="none"/>
        </w:rPr>
        <w:t>日内退回。</w:t>
      </w:r>
    </w:p>
    <w:p>
      <w:pPr>
        <w:spacing w:line="360" w:lineRule="auto"/>
        <w:ind w:firstLine="420" w:firstLineChars="200"/>
        <w:rPr>
          <w:color w:val="auto"/>
          <w:highlight w:val="none"/>
        </w:rPr>
      </w:pPr>
      <w:r>
        <w:rPr>
          <w:color w:val="auto"/>
          <w:highlight w:val="none"/>
        </w:rPr>
        <w:t xml:space="preserve">3.4.4 </w:t>
      </w:r>
      <w:r>
        <w:rPr>
          <w:rFonts w:hint="eastAsia" w:cs="宋体"/>
          <w:color w:val="auto"/>
          <w:highlight w:val="none"/>
        </w:rPr>
        <w:t>有下列情形之一的，投标保证金将不予退还：</w:t>
      </w:r>
    </w:p>
    <w:p>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）投标人在规定的投标有效期内撤销或修改其投标文件；</w:t>
      </w:r>
    </w:p>
    <w:p>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）中标人在收到中标通知书后，无正当理由拒签合同协议书或未按招标文件规定提交履约保证金。</w:t>
      </w:r>
    </w:p>
    <w:p>
      <w:pPr>
        <w:pStyle w:val="5"/>
        <w:rPr>
          <w:color w:val="auto"/>
          <w:highlight w:val="none"/>
        </w:rPr>
      </w:pPr>
      <w:bookmarkStart w:id="146" w:name="_Toc407135100"/>
      <w:bookmarkStart w:id="147" w:name="_Toc389065167"/>
      <w:bookmarkStart w:id="148" w:name="_Toc27885"/>
      <w:bookmarkStart w:id="149" w:name="_Toc66186325"/>
      <w:r>
        <w:rPr>
          <w:color w:val="auto"/>
          <w:highlight w:val="none"/>
        </w:rPr>
        <w:t xml:space="preserve">3.5 </w:t>
      </w:r>
      <w:r>
        <w:rPr>
          <w:rFonts w:hint="eastAsia" w:cs="黑体"/>
          <w:color w:val="auto"/>
          <w:highlight w:val="none"/>
        </w:rPr>
        <w:t>备选投标方案</w:t>
      </w:r>
      <w:bookmarkEnd w:id="146"/>
      <w:bookmarkEnd w:id="147"/>
      <w:bookmarkEnd w:id="148"/>
      <w:bookmarkEnd w:id="149"/>
    </w:p>
    <w:p>
      <w:pPr>
        <w:spacing w:line="360" w:lineRule="auto"/>
        <w:ind w:firstLine="420" w:firstLineChars="200"/>
        <w:rPr>
          <w:color w:val="auto"/>
          <w:highlight w:val="none"/>
        </w:rPr>
      </w:pPr>
      <w:r>
        <w:rPr>
          <w:rFonts w:hint="eastAsia" w:cs="宋体"/>
          <w:color w:val="auto"/>
          <w:highlight w:val="none"/>
        </w:rPr>
        <w:t>除“投标人须知前附表”另有规定外，投标人不得提交备选投标方案。允许投标人提交备选投标方案的，只有中标人所提交的备选投标方案方可予以考虑。评标委员会认为中标人的备选投标方案优于其按照招标文件要求编制的投标方案的，招标人可以接受该备选投标方案。</w:t>
      </w:r>
    </w:p>
    <w:p>
      <w:pPr>
        <w:pStyle w:val="5"/>
        <w:rPr>
          <w:color w:val="auto"/>
          <w:highlight w:val="none"/>
        </w:rPr>
      </w:pPr>
      <w:bookmarkStart w:id="150" w:name="_Toc4057"/>
      <w:bookmarkStart w:id="151" w:name="_Toc389065168"/>
      <w:bookmarkStart w:id="152" w:name="_Toc66186326"/>
      <w:bookmarkStart w:id="153" w:name="_Toc407135101"/>
      <w:r>
        <w:rPr>
          <w:color w:val="auto"/>
          <w:highlight w:val="none"/>
        </w:rPr>
        <w:t xml:space="preserve">3.6 </w:t>
      </w:r>
      <w:r>
        <w:rPr>
          <w:rFonts w:hint="eastAsia" w:cs="黑体"/>
          <w:color w:val="auto"/>
          <w:highlight w:val="none"/>
        </w:rPr>
        <w:t>投标文件的编制</w:t>
      </w:r>
      <w:bookmarkEnd w:id="150"/>
      <w:bookmarkEnd w:id="151"/>
      <w:bookmarkEnd w:id="152"/>
      <w:bookmarkEnd w:id="153"/>
    </w:p>
    <w:p>
      <w:pPr>
        <w:spacing w:line="360" w:lineRule="auto"/>
        <w:ind w:firstLine="420" w:firstLineChars="200"/>
        <w:rPr>
          <w:color w:val="auto"/>
          <w:highlight w:val="none"/>
        </w:rPr>
      </w:pPr>
      <w:r>
        <w:rPr>
          <w:color w:val="auto"/>
          <w:highlight w:val="none"/>
        </w:rPr>
        <w:t xml:space="preserve">3.6.1 </w:t>
      </w:r>
      <w:r>
        <w:rPr>
          <w:rFonts w:hint="eastAsia" w:cs="宋体"/>
          <w:color w:val="auto"/>
          <w:highlight w:val="none"/>
        </w:rPr>
        <w:t>投标文件应按第九章</w:t>
      </w:r>
      <w:r>
        <w:rPr>
          <w:color w:val="auto"/>
          <w:highlight w:val="none"/>
        </w:rPr>
        <w:t>“</w:t>
      </w:r>
      <w:r>
        <w:rPr>
          <w:rFonts w:hint="eastAsia" w:cs="宋体"/>
          <w:color w:val="auto"/>
          <w:highlight w:val="none"/>
        </w:rPr>
        <w:t>投标文件格式</w:t>
      </w:r>
      <w:r>
        <w:rPr>
          <w:color w:val="auto"/>
          <w:highlight w:val="none"/>
        </w:rPr>
        <w:t>”</w:t>
      </w:r>
      <w:r>
        <w:rPr>
          <w:rFonts w:hint="eastAsia" w:cs="宋体"/>
          <w:color w:val="auto"/>
          <w:highlight w:val="none"/>
        </w:rPr>
        <w:t>进行编写，如有必要，可以增加附页，作为投标文件的组成部分。其中，投标函附录在满足招标文件实质性要求的基础上，可以提出比招标文件要求更有利于招标人的承诺。</w:t>
      </w:r>
    </w:p>
    <w:p>
      <w:pPr>
        <w:spacing w:line="360" w:lineRule="auto"/>
        <w:ind w:firstLine="420" w:firstLineChars="200"/>
        <w:rPr>
          <w:color w:val="auto"/>
          <w:highlight w:val="none"/>
        </w:rPr>
      </w:pPr>
      <w:r>
        <w:rPr>
          <w:color w:val="auto"/>
          <w:highlight w:val="none"/>
        </w:rPr>
        <w:t xml:space="preserve">3.6.2 </w:t>
      </w:r>
      <w:r>
        <w:rPr>
          <w:rFonts w:hint="eastAsia" w:cs="宋体"/>
          <w:color w:val="auto"/>
          <w:highlight w:val="none"/>
        </w:rPr>
        <w:t>投标文件应当对招标文件有关工期、投标有效期、质量要求、技术标准和要求、招标范围等实质性内容作出响应。</w:t>
      </w:r>
      <w:r>
        <w:rPr>
          <w:color w:val="auto"/>
          <w:highlight w:val="none"/>
        </w:rPr>
        <w:t xml:space="preserve"> </w:t>
      </w:r>
    </w:p>
    <w:p>
      <w:pPr>
        <w:spacing w:line="360" w:lineRule="auto"/>
        <w:ind w:firstLine="420" w:firstLineChars="200"/>
        <w:rPr>
          <w:color w:val="auto"/>
          <w:highlight w:val="none"/>
        </w:rPr>
      </w:pPr>
      <w:bookmarkStart w:id="154" w:name="_Toc389065169"/>
      <w:bookmarkStart w:id="155" w:name="_Toc407135102"/>
      <w:r>
        <w:rPr>
          <w:color w:val="auto"/>
          <w:highlight w:val="none"/>
        </w:rPr>
        <w:t>3.6.3 投标文件应用不褪色的材料书写或打印，并由投标人的法定代表人或其委托代理人在招标文件</w:t>
      </w:r>
      <w:r>
        <w:rPr>
          <w:rFonts w:hint="eastAsia"/>
          <w:color w:val="auto"/>
          <w:highlight w:val="none"/>
        </w:rPr>
        <w:t>正本与副本</w:t>
      </w:r>
      <w:r>
        <w:rPr>
          <w:color w:val="auto"/>
          <w:highlight w:val="none"/>
        </w:rPr>
        <w:t>规定的相关位置签字</w:t>
      </w:r>
      <w:r>
        <w:rPr>
          <w:rFonts w:hint="eastAsia"/>
          <w:color w:val="auto"/>
          <w:highlight w:val="none"/>
        </w:rPr>
        <w:t>（或盖章）</w:t>
      </w:r>
      <w:r>
        <w:rPr>
          <w:color w:val="auto"/>
          <w:highlight w:val="none"/>
        </w:rPr>
        <w:t>并加盖投标人</w:t>
      </w:r>
      <w:r>
        <w:rPr>
          <w:rFonts w:hint="eastAsia"/>
          <w:color w:val="auto"/>
          <w:highlight w:val="none"/>
        </w:rPr>
        <w:t>法人</w:t>
      </w:r>
      <w:r>
        <w:rPr>
          <w:color w:val="auto"/>
          <w:highlight w:val="none"/>
        </w:rPr>
        <w:t>单位公章。</w:t>
      </w:r>
      <w:r>
        <w:rPr>
          <w:rFonts w:hint="eastAsia"/>
          <w:color w:val="auto"/>
          <w:highlight w:val="none"/>
        </w:rPr>
        <w:t>由</w:t>
      </w:r>
      <w:r>
        <w:rPr>
          <w:color w:val="auto"/>
          <w:highlight w:val="none"/>
        </w:rPr>
        <w:t>委托代理人签字的，投标文件应附法定代表人签署的授权委托书。投标文件应尽量避免涂改、行间插字或删除。如果出现上述情况，改动之处应加盖</w:t>
      </w:r>
      <w:r>
        <w:rPr>
          <w:rFonts w:hint="eastAsia"/>
          <w:color w:val="auto"/>
          <w:highlight w:val="none"/>
        </w:rPr>
        <w:t>投标人</w:t>
      </w:r>
      <w:r>
        <w:rPr>
          <w:color w:val="auto"/>
          <w:highlight w:val="none"/>
        </w:rPr>
        <w:t>单位章或由投标人的法定代表人或其</w:t>
      </w:r>
      <w:r>
        <w:rPr>
          <w:rFonts w:hint="eastAsia"/>
          <w:color w:val="auto"/>
          <w:highlight w:val="none"/>
        </w:rPr>
        <w:t>委托</w:t>
      </w:r>
      <w:r>
        <w:rPr>
          <w:color w:val="auto"/>
          <w:highlight w:val="none"/>
        </w:rPr>
        <w:t>代理人签字确认。签字或盖章的具体要求见“投标人须知前附表”。</w:t>
      </w:r>
    </w:p>
    <w:p>
      <w:pPr>
        <w:spacing w:line="360" w:lineRule="auto"/>
        <w:ind w:firstLine="420" w:firstLineChars="200"/>
        <w:rPr>
          <w:color w:val="auto"/>
          <w:highlight w:val="none"/>
        </w:rPr>
      </w:pPr>
      <w:r>
        <w:rPr>
          <w:color w:val="auto"/>
          <w:highlight w:val="none"/>
        </w:rPr>
        <w:t>3.6.4 投标文件正本一份，副本份数见“投标人须知前附表”。正本和副本的封面上应清楚地标记“正本”或“副本”的字样。当副本和正本不一致时，以正本为准。</w:t>
      </w:r>
    </w:p>
    <w:p>
      <w:pPr>
        <w:spacing w:line="360" w:lineRule="auto"/>
        <w:ind w:firstLine="420" w:firstLineChars="200"/>
        <w:rPr>
          <w:rFonts w:ascii="Calibri" w:hAnsi="Calibri"/>
          <w:color w:val="auto"/>
          <w:highlight w:val="none"/>
        </w:rPr>
      </w:pPr>
      <w:r>
        <w:rPr>
          <w:color w:val="auto"/>
          <w:highlight w:val="none"/>
        </w:rPr>
        <w:t>3.6.5 投标</w:t>
      </w:r>
      <w:r>
        <w:rPr>
          <w:rFonts w:ascii="Calibri" w:hAnsi="Calibri"/>
          <w:color w:val="auto"/>
          <w:highlight w:val="none"/>
        </w:rPr>
        <w:t>文件</w:t>
      </w:r>
      <w:r>
        <w:rPr>
          <w:rFonts w:hint="eastAsia" w:ascii="Calibri" w:hAnsi="Calibri"/>
          <w:color w:val="auto"/>
          <w:highlight w:val="none"/>
        </w:rPr>
        <w:t>应</w:t>
      </w:r>
      <w:r>
        <w:rPr>
          <w:rFonts w:ascii="Calibri" w:hAnsi="Calibri"/>
          <w:color w:val="auto"/>
          <w:highlight w:val="none"/>
        </w:rPr>
        <w:t>编制目录，具体装订要求见“投标人须知前附表”规定。</w:t>
      </w:r>
    </w:p>
    <w:p>
      <w:pPr>
        <w:pStyle w:val="4"/>
        <w:rPr>
          <w:color w:val="auto"/>
          <w:highlight w:val="none"/>
        </w:rPr>
      </w:pPr>
      <w:bookmarkStart w:id="156" w:name="_Toc66186327"/>
      <w:bookmarkStart w:id="157" w:name="_Toc24093"/>
      <w:r>
        <w:rPr>
          <w:color w:val="auto"/>
          <w:highlight w:val="none"/>
        </w:rPr>
        <w:t xml:space="preserve">4 </w:t>
      </w:r>
      <w:r>
        <w:rPr>
          <w:rFonts w:hint="eastAsia" w:cs="黑体"/>
          <w:color w:val="auto"/>
          <w:highlight w:val="none"/>
        </w:rPr>
        <w:t>投标</w:t>
      </w:r>
      <w:bookmarkEnd w:id="154"/>
      <w:bookmarkEnd w:id="155"/>
      <w:bookmarkEnd w:id="156"/>
      <w:bookmarkEnd w:id="157"/>
    </w:p>
    <w:p>
      <w:pPr>
        <w:pStyle w:val="5"/>
        <w:rPr>
          <w:color w:val="auto"/>
          <w:highlight w:val="none"/>
          <w:lang w:val="en-US"/>
        </w:rPr>
      </w:pPr>
      <w:bookmarkStart w:id="158" w:name="_Toc66186328"/>
      <w:bookmarkStart w:id="159" w:name="_Toc15547246"/>
      <w:bookmarkStart w:id="160" w:name="_Toc20664427"/>
      <w:bookmarkStart w:id="161" w:name="_Toc28259"/>
      <w:bookmarkStart w:id="162" w:name="_Toc16783823"/>
      <w:bookmarkStart w:id="163" w:name="_Toc389065170"/>
      <w:bookmarkStart w:id="164" w:name="_Toc407135103"/>
      <w:bookmarkStart w:id="165" w:name="_Toc407135104"/>
      <w:bookmarkStart w:id="166" w:name="_Toc389065171"/>
      <w:r>
        <w:rPr>
          <w:color w:val="auto"/>
          <w:highlight w:val="none"/>
          <w:lang w:val="en-US"/>
        </w:rPr>
        <w:t>4.</w:t>
      </w:r>
      <w:r>
        <w:rPr>
          <w:rFonts w:hint="eastAsia"/>
          <w:color w:val="auto"/>
          <w:highlight w:val="none"/>
          <w:lang w:val="en-US"/>
        </w:rPr>
        <w:t>1</w:t>
      </w:r>
      <w:r>
        <w:rPr>
          <w:color w:val="auto"/>
          <w:highlight w:val="none"/>
          <w:lang w:val="en-US"/>
        </w:rPr>
        <w:t>投标文件的密封和标</w:t>
      </w:r>
      <w:r>
        <w:rPr>
          <w:rFonts w:hint="eastAsia"/>
          <w:color w:val="auto"/>
          <w:highlight w:val="none"/>
          <w:lang w:val="en-US"/>
        </w:rPr>
        <w:t>记</w:t>
      </w:r>
      <w:bookmarkEnd w:id="158"/>
      <w:bookmarkEnd w:id="159"/>
      <w:bookmarkEnd w:id="160"/>
      <w:bookmarkEnd w:id="161"/>
      <w:bookmarkEnd w:id="162"/>
    </w:p>
    <w:p>
      <w:pPr>
        <w:wordWrap w:val="0"/>
        <w:spacing w:line="360" w:lineRule="auto"/>
        <w:ind w:firstLine="420" w:firstLineChars="200"/>
        <w:rPr>
          <w:color w:val="auto"/>
          <w:highlight w:val="none"/>
        </w:rPr>
      </w:pPr>
      <w:r>
        <w:rPr>
          <w:color w:val="auto"/>
          <w:highlight w:val="none"/>
        </w:rPr>
        <w:t>4.1.1 投标文件应按“投标人须知前附表”的要求进行包装，加贴封条，并在封套的封口处加盖投标人单位公章。</w:t>
      </w:r>
    </w:p>
    <w:p>
      <w:pPr>
        <w:wordWrap w:val="0"/>
        <w:spacing w:line="360" w:lineRule="auto"/>
        <w:ind w:firstLine="420" w:firstLineChars="200"/>
        <w:rPr>
          <w:rFonts w:ascii="Calibri" w:hAnsi="宋体"/>
          <w:color w:val="auto"/>
          <w:highlight w:val="none"/>
        </w:rPr>
      </w:pPr>
      <w:r>
        <w:rPr>
          <w:color w:val="auto"/>
          <w:highlight w:val="none"/>
        </w:rPr>
        <w:t>4.1.2 投</w:t>
      </w:r>
      <w:r>
        <w:rPr>
          <w:rFonts w:ascii="Calibri" w:hAnsi="Calibri"/>
          <w:color w:val="auto"/>
          <w:highlight w:val="none"/>
        </w:rPr>
        <w:t>标文件封套上应写明的其他内容见“投标人须知前附表”。</w:t>
      </w:r>
    </w:p>
    <w:bookmarkEnd w:id="163"/>
    <w:bookmarkEnd w:id="164"/>
    <w:p>
      <w:pPr>
        <w:pStyle w:val="5"/>
        <w:rPr>
          <w:color w:val="auto"/>
          <w:highlight w:val="none"/>
        </w:rPr>
      </w:pPr>
      <w:bookmarkStart w:id="167" w:name="_Toc11216"/>
      <w:bookmarkStart w:id="168" w:name="_Toc66186329"/>
      <w:r>
        <w:rPr>
          <w:color w:val="auto"/>
          <w:highlight w:val="none"/>
        </w:rPr>
        <w:t>4.</w:t>
      </w:r>
      <w:r>
        <w:rPr>
          <w:color w:val="auto"/>
          <w:highlight w:val="none"/>
          <w:lang w:val="en-US"/>
        </w:rPr>
        <w:t>2</w:t>
      </w:r>
      <w:r>
        <w:rPr>
          <w:color w:val="auto"/>
          <w:highlight w:val="none"/>
        </w:rPr>
        <w:t xml:space="preserve"> </w:t>
      </w:r>
      <w:r>
        <w:rPr>
          <w:rFonts w:hint="eastAsia" w:cs="黑体"/>
          <w:color w:val="auto"/>
          <w:highlight w:val="none"/>
        </w:rPr>
        <w:t>投标文件的递交</w:t>
      </w:r>
      <w:bookmarkEnd w:id="165"/>
      <w:bookmarkEnd w:id="166"/>
      <w:bookmarkEnd w:id="167"/>
      <w:bookmarkEnd w:id="168"/>
    </w:p>
    <w:p>
      <w:pPr>
        <w:wordWrap w:val="0"/>
        <w:spacing w:line="360" w:lineRule="auto"/>
        <w:ind w:firstLine="420" w:firstLineChars="200"/>
        <w:rPr>
          <w:color w:val="auto"/>
          <w:highlight w:val="none"/>
        </w:rPr>
      </w:pPr>
      <w:bookmarkStart w:id="169" w:name="_Toc407135105"/>
      <w:bookmarkStart w:id="170" w:name="_Toc389065172"/>
      <w:r>
        <w:rPr>
          <w:color w:val="auto"/>
          <w:highlight w:val="none"/>
        </w:rPr>
        <w:t>4.</w:t>
      </w:r>
      <w:r>
        <w:rPr>
          <w:rFonts w:hint="eastAsia"/>
          <w:color w:val="auto"/>
          <w:highlight w:val="none"/>
        </w:rPr>
        <w:t>2</w:t>
      </w:r>
      <w:r>
        <w:rPr>
          <w:color w:val="auto"/>
          <w:highlight w:val="none"/>
        </w:rPr>
        <w:t xml:space="preserve">.1 </w:t>
      </w:r>
      <w:r>
        <w:rPr>
          <w:rFonts w:hint="eastAsia"/>
          <w:color w:val="auto"/>
          <w:highlight w:val="none"/>
        </w:rPr>
        <w:t>投标人应在投标人须知前附表第</w:t>
      </w:r>
      <w:r>
        <w:rPr>
          <w:color w:val="auto"/>
          <w:highlight w:val="none"/>
        </w:rPr>
        <w:t xml:space="preserve">2.2.2 </w:t>
      </w:r>
      <w:r>
        <w:rPr>
          <w:rFonts w:hint="eastAsia"/>
          <w:color w:val="auto"/>
          <w:highlight w:val="none"/>
        </w:rPr>
        <w:t>项规定的投标截止时间前。</w:t>
      </w:r>
    </w:p>
    <w:p>
      <w:pPr>
        <w:wordWrap w:val="0"/>
        <w:spacing w:line="360" w:lineRule="auto"/>
        <w:ind w:firstLine="420" w:firstLineChars="200"/>
        <w:rPr>
          <w:color w:val="auto"/>
          <w:highlight w:val="none"/>
        </w:rPr>
      </w:pPr>
      <w:r>
        <w:rPr>
          <w:color w:val="auto"/>
          <w:highlight w:val="none"/>
        </w:rPr>
        <w:t>4.</w:t>
      </w:r>
      <w:r>
        <w:rPr>
          <w:rFonts w:hint="eastAsia"/>
          <w:color w:val="auto"/>
          <w:highlight w:val="none"/>
        </w:rPr>
        <w:t>2</w:t>
      </w:r>
      <w:r>
        <w:rPr>
          <w:color w:val="auto"/>
          <w:highlight w:val="none"/>
        </w:rPr>
        <w:t>.2</w:t>
      </w:r>
      <w:r>
        <w:rPr>
          <w:rFonts w:hint="eastAsia"/>
          <w:color w:val="auto"/>
          <w:highlight w:val="none"/>
        </w:rPr>
        <w:t>递交投标文件地点：见投标人须知前附表。</w:t>
      </w:r>
    </w:p>
    <w:p>
      <w:pPr>
        <w:wordWrap w:val="0"/>
        <w:spacing w:line="360" w:lineRule="auto"/>
        <w:ind w:firstLine="420" w:firstLineChars="200"/>
        <w:rPr>
          <w:rFonts w:ascii="Calibri" w:hAnsi="宋体" w:cs="宋体"/>
          <w:color w:val="auto"/>
          <w:highlight w:val="none"/>
        </w:rPr>
      </w:pPr>
      <w:r>
        <w:rPr>
          <w:color w:val="auto"/>
          <w:highlight w:val="none"/>
        </w:rPr>
        <w:t>4.</w:t>
      </w:r>
      <w:r>
        <w:rPr>
          <w:rFonts w:hint="eastAsia"/>
          <w:color w:val="auto"/>
          <w:highlight w:val="none"/>
        </w:rPr>
        <w:t>2</w:t>
      </w:r>
      <w:r>
        <w:rPr>
          <w:color w:val="auto"/>
          <w:highlight w:val="none"/>
        </w:rPr>
        <w:t xml:space="preserve">.3 </w:t>
      </w:r>
      <w:r>
        <w:rPr>
          <w:rFonts w:hint="eastAsia"/>
          <w:color w:val="auto"/>
          <w:highlight w:val="none"/>
        </w:rPr>
        <w:t>是</w:t>
      </w:r>
      <w:r>
        <w:rPr>
          <w:rFonts w:hint="eastAsia" w:ascii="Calibri" w:hAnsi="宋体" w:cs="宋体"/>
          <w:color w:val="auto"/>
          <w:highlight w:val="none"/>
        </w:rPr>
        <w:t>否退还投标文件：见投标人须知前附表。</w:t>
      </w:r>
    </w:p>
    <w:p>
      <w:pPr>
        <w:wordWrap w:val="0"/>
        <w:spacing w:line="360" w:lineRule="auto"/>
        <w:ind w:firstLine="420" w:firstLineChars="200"/>
        <w:rPr>
          <w:color w:val="auto"/>
          <w:highlight w:val="none"/>
        </w:rPr>
      </w:pPr>
      <w:r>
        <w:rPr>
          <w:color w:val="auto"/>
          <w:highlight w:val="none"/>
        </w:rPr>
        <w:t xml:space="preserve">4.2.4 </w:t>
      </w:r>
      <w:r>
        <w:rPr>
          <w:rFonts w:hint="eastAsia"/>
          <w:color w:val="auto"/>
          <w:highlight w:val="none"/>
        </w:rPr>
        <w:t>招标人收到投标文件后，向投标人出具签收凭证。</w:t>
      </w:r>
    </w:p>
    <w:p>
      <w:pPr>
        <w:spacing w:line="360" w:lineRule="auto"/>
        <w:ind w:firstLine="420" w:firstLineChars="200"/>
        <w:rPr>
          <w:rFonts w:ascii="Calibri" w:hAnsi="宋体"/>
          <w:color w:val="auto"/>
          <w:highlight w:val="none"/>
        </w:rPr>
      </w:pPr>
      <w:r>
        <w:rPr>
          <w:color w:val="auto"/>
          <w:highlight w:val="none"/>
        </w:rPr>
        <w:t xml:space="preserve">4.2.5 </w:t>
      </w:r>
      <w:r>
        <w:rPr>
          <w:rFonts w:hint="eastAsia"/>
          <w:color w:val="auto"/>
          <w:highlight w:val="none"/>
        </w:rPr>
        <w:t>逾期送达的或者未送达指定地点的投标文件，招标人不予受理。</w:t>
      </w:r>
    </w:p>
    <w:p>
      <w:pPr>
        <w:pStyle w:val="5"/>
        <w:rPr>
          <w:color w:val="auto"/>
          <w:highlight w:val="none"/>
        </w:rPr>
      </w:pPr>
      <w:bookmarkStart w:id="171" w:name="_Toc66186330"/>
      <w:bookmarkStart w:id="172" w:name="_Toc19074"/>
      <w:r>
        <w:rPr>
          <w:color w:val="auto"/>
          <w:highlight w:val="none"/>
        </w:rPr>
        <w:t>4.</w:t>
      </w:r>
      <w:r>
        <w:rPr>
          <w:color w:val="auto"/>
          <w:highlight w:val="none"/>
          <w:lang w:val="en-US"/>
        </w:rPr>
        <w:t>3</w:t>
      </w:r>
      <w:r>
        <w:rPr>
          <w:color w:val="auto"/>
          <w:highlight w:val="none"/>
        </w:rPr>
        <w:t xml:space="preserve"> </w:t>
      </w:r>
      <w:r>
        <w:rPr>
          <w:rFonts w:hint="eastAsia" w:cs="黑体"/>
          <w:color w:val="auto"/>
          <w:highlight w:val="none"/>
        </w:rPr>
        <w:t>投标文件的修改与撤回</w:t>
      </w:r>
      <w:bookmarkEnd w:id="169"/>
      <w:bookmarkEnd w:id="170"/>
      <w:bookmarkEnd w:id="171"/>
      <w:bookmarkEnd w:id="172"/>
    </w:p>
    <w:p>
      <w:pPr>
        <w:spacing w:line="360" w:lineRule="auto"/>
        <w:ind w:firstLine="420" w:firstLineChars="200"/>
        <w:rPr>
          <w:color w:val="auto"/>
          <w:highlight w:val="none"/>
        </w:rPr>
      </w:pPr>
      <w:r>
        <w:rPr>
          <w:color w:val="auto"/>
          <w:highlight w:val="none"/>
        </w:rPr>
        <w:t>4.</w:t>
      </w:r>
      <w:r>
        <w:rPr>
          <w:rFonts w:hint="eastAsia"/>
          <w:color w:val="auto"/>
          <w:highlight w:val="none"/>
        </w:rPr>
        <w:t>3</w:t>
      </w:r>
      <w:r>
        <w:rPr>
          <w:color w:val="auto"/>
          <w:highlight w:val="none"/>
        </w:rPr>
        <w:t xml:space="preserve">.1 </w:t>
      </w:r>
      <w:r>
        <w:rPr>
          <w:rFonts w:hint="eastAsia"/>
          <w:color w:val="auto"/>
          <w:highlight w:val="none"/>
        </w:rPr>
        <w:t>在投标人须知前附表第</w:t>
      </w:r>
      <w:r>
        <w:rPr>
          <w:color w:val="auto"/>
          <w:highlight w:val="none"/>
        </w:rPr>
        <w:t>2.2.2</w:t>
      </w:r>
      <w:r>
        <w:rPr>
          <w:rFonts w:hint="eastAsia"/>
          <w:color w:val="auto"/>
          <w:highlight w:val="none"/>
        </w:rPr>
        <w:t>项规定的投标截止时间前，投标人可以修改或撤回已提交的投标文件。</w:t>
      </w:r>
    </w:p>
    <w:p>
      <w:pPr>
        <w:spacing w:line="360" w:lineRule="auto"/>
        <w:ind w:firstLine="420" w:firstLineChars="200"/>
        <w:rPr>
          <w:rFonts w:ascii="Calibri" w:hAnsi="宋体" w:cs="宋体"/>
          <w:color w:val="auto"/>
          <w:highlight w:val="none"/>
        </w:rPr>
      </w:pPr>
      <w:r>
        <w:rPr>
          <w:color w:val="auto"/>
          <w:highlight w:val="none"/>
        </w:rPr>
        <w:t>4.</w:t>
      </w:r>
      <w:r>
        <w:rPr>
          <w:rFonts w:hint="eastAsia"/>
          <w:color w:val="auto"/>
          <w:highlight w:val="none"/>
        </w:rPr>
        <w:t>3</w:t>
      </w:r>
      <w:r>
        <w:rPr>
          <w:color w:val="auto"/>
          <w:highlight w:val="none"/>
        </w:rPr>
        <w:t xml:space="preserve">.2 </w:t>
      </w:r>
      <w:r>
        <w:rPr>
          <w:rFonts w:hint="eastAsia"/>
          <w:color w:val="auto"/>
          <w:highlight w:val="none"/>
        </w:rPr>
        <w:t>修改的</w:t>
      </w:r>
      <w:r>
        <w:rPr>
          <w:rFonts w:hint="eastAsia" w:ascii="Calibri" w:hAnsi="宋体" w:cs="宋体"/>
          <w:color w:val="auto"/>
          <w:highlight w:val="none"/>
        </w:rPr>
        <w:t>内容为投标文件的组成部分。</w:t>
      </w:r>
    </w:p>
    <w:p>
      <w:pPr>
        <w:wordWrap w:val="0"/>
        <w:spacing w:line="360" w:lineRule="auto"/>
        <w:ind w:firstLine="420" w:firstLineChars="200"/>
        <w:rPr>
          <w:color w:val="auto"/>
          <w:highlight w:val="none"/>
        </w:rPr>
      </w:pPr>
      <w:r>
        <w:rPr>
          <w:color w:val="auto"/>
          <w:highlight w:val="none"/>
        </w:rPr>
        <w:t xml:space="preserve">4.3.3 </w:t>
      </w:r>
      <w:r>
        <w:rPr>
          <w:rFonts w:hint="eastAsia"/>
          <w:color w:val="auto"/>
          <w:highlight w:val="none"/>
        </w:rPr>
        <w:t>修改的内容为投标文件的组成部分。修改的投标文件应按照本章第</w:t>
      </w:r>
      <w:r>
        <w:rPr>
          <w:color w:val="auto"/>
          <w:highlight w:val="none"/>
        </w:rPr>
        <w:t>3.6</w:t>
      </w:r>
      <w:r>
        <w:rPr>
          <w:rFonts w:hint="eastAsia"/>
          <w:color w:val="auto"/>
          <w:highlight w:val="none"/>
        </w:rPr>
        <w:t>款和第</w:t>
      </w:r>
      <w:r>
        <w:rPr>
          <w:color w:val="auto"/>
          <w:highlight w:val="none"/>
        </w:rPr>
        <w:t>4</w:t>
      </w:r>
      <w:r>
        <w:rPr>
          <w:rFonts w:hint="eastAsia"/>
          <w:color w:val="auto"/>
          <w:highlight w:val="none"/>
        </w:rPr>
        <w:t>款规定进行编制、密封、标记和递交，并标明</w:t>
      </w:r>
      <w:r>
        <w:rPr>
          <w:color w:val="auto"/>
          <w:highlight w:val="none"/>
        </w:rPr>
        <w:t>“</w:t>
      </w:r>
      <w:r>
        <w:rPr>
          <w:rFonts w:hint="eastAsia"/>
          <w:color w:val="auto"/>
          <w:highlight w:val="none"/>
        </w:rPr>
        <w:t>修改</w:t>
      </w:r>
      <w:r>
        <w:rPr>
          <w:color w:val="auto"/>
          <w:highlight w:val="none"/>
        </w:rPr>
        <w:t>”</w:t>
      </w:r>
      <w:r>
        <w:rPr>
          <w:rFonts w:hint="eastAsia"/>
          <w:color w:val="auto"/>
          <w:highlight w:val="none"/>
        </w:rPr>
        <w:t>字样。</w:t>
      </w:r>
    </w:p>
    <w:p>
      <w:pPr>
        <w:pStyle w:val="4"/>
        <w:rPr>
          <w:color w:val="auto"/>
          <w:highlight w:val="none"/>
        </w:rPr>
      </w:pPr>
      <w:bookmarkStart w:id="173" w:name="_Toc66186331"/>
      <w:bookmarkStart w:id="174" w:name="_Toc407135107"/>
      <w:bookmarkStart w:id="175" w:name="_Toc389065173"/>
      <w:bookmarkStart w:id="176" w:name="_Toc17516"/>
      <w:r>
        <w:rPr>
          <w:color w:val="auto"/>
          <w:highlight w:val="none"/>
        </w:rPr>
        <w:t xml:space="preserve">5 </w:t>
      </w:r>
      <w:r>
        <w:rPr>
          <w:rFonts w:hint="eastAsia" w:cs="黑体"/>
          <w:color w:val="auto"/>
          <w:highlight w:val="none"/>
        </w:rPr>
        <w:t>开标</w:t>
      </w:r>
      <w:bookmarkEnd w:id="173"/>
      <w:bookmarkEnd w:id="174"/>
      <w:bookmarkEnd w:id="175"/>
      <w:bookmarkEnd w:id="176"/>
    </w:p>
    <w:p>
      <w:pPr>
        <w:pStyle w:val="5"/>
        <w:rPr>
          <w:color w:val="auto"/>
          <w:highlight w:val="none"/>
        </w:rPr>
      </w:pPr>
      <w:bookmarkStart w:id="177" w:name="_Toc984"/>
      <w:bookmarkStart w:id="178" w:name="_Toc407135108"/>
      <w:bookmarkStart w:id="179" w:name="_Toc389065174"/>
      <w:bookmarkStart w:id="180" w:name="_Toc66186332"/>
      <w:r>
        <w:rPr>
          <w:color w:val="auto"/>
          <w:highlight w:val="none"/>
        </w:rPr>
        <w:t xml:space="preserve">5.1 </w:t>
      </w:r>
      <w:r>
        <w:rPr>
          <w:rFonts w:hint="eastAsia" w:cs="黑体"/>
          <w:color w:val="auto"/>
          <w:highlight w:val="none"/>
        </w:rPr>
        <w:t>开标时间和地点</w:t>
      </w:r>
      <w:bookmarkEnd w:id="177"/>
      <w:bookmarkEnd w:id="178"/>
      <w:bookmarkEnd w:id="179"/>
      <w:bookmarkEnd w:id="180"/>
    </w:p>
    <w:p>
      <w:pPr>
        <w:spacing w:line="360" w:lineRule="auto"/>
        <w:ind w:firstLine="420" w:firstLineChars="200"/>
        <w:rPr>
          <w:rFonts w:cs="宋体"/>
          <w:color w:val="auto"/>
          <w:highlight w:val="none"/>
        </w:rPr>
      </w:pPr>
      <w:r>
        <w:rPr>
          <w:rFonts w:hint="eastAsia" w:cs="宋体"/>
          <w:color w:val="auto"/>
          <w:highlight w:val="none"/>
        </w:rPr>
        <w:t>招标人在本章第2.2.2款规定的投标截止时间（开标时间）和“投标人须知前附表”4.2.2规定的地点公开开标，并邀请所有投标人的法定代表人或其委托代理人准时参加。投标人的法定代表人或委托代理人应当按时参加开标会，并在招标人按开标程序进行点名时，向招标人提交法定代表人身份证明或法定代表人授权委托书，出示本人身份证。</w:t>
      </w:r>
    </w:p>
    <w:p>
      <w:pPr>
        <w:spacing w:line="360" w:lineRule="auto"/>
        <w:ind w:firstLine="420" w:firstLineChars="200"/>
        <w:rPr>
          <w:color w:val="auto"/>
          <w:highlight w:val="none"/>
        </w:rPr>
      </w:pPr>
      <w:r>
        <w:rPr>
          <w:rFonts w:hint="eastAsia" w:cs="宋体"/>
          <w:color w:val="auto"/>
          <w:highlight w:val="none"/>
        </w:rPr>
        <w:t>开标会由招标人或其委托的招标代理机构主持。</w:t>
      </w:r>
    </w:p>
    <w:p>
      <w:pPr>
        <w:pStyle w:val="5"/>
        <w:rPr>
          <w:color w:val="auto"/>
          <w:highlight w:val="none"/>
        </w:rPr>
      </w:pPr>
      <w:bookmarkStart w:id="181" w:name="_Toc28808"/>
      <w:bookmarkStart w:id="182" w:name="_Toc407135109"/>
      <w:bookmarkStart w:id="183" w:name="_Toc66186333"/>
      <w:bookmarkStart w:id="184" w:name="_Toc389065175"/>
      <w:r>
        <w:rPr>
          <w:color w:val="auto"/>
          <w:highlight w:val="none"/>
        </w:rPr>
        <w:t xml:space="preserve">5.2 </w:t>
      </w:r>
      <w:r>
        <w:rPr>
          <w:rFonts w:hint="eastAsia" w:cs="黑体"/>
          <w:color w:val="auto"/>
          <w:highlight w:val="none"/>
        </w:rPr>
        <w:t>开标程序</w:t>
      </w:r>
      <w:bookmarkEnd w:id="181"/>
      <w:bookmarkEnd w:id="182"/>
      <w:bookmarkEnd w:id="183"/>
      <w:bookmarkEnd w:id="184"/>
    </w:p>
    <w:p>
      <w:pPr>
        <w:spacing w:line="360" w:lineRule="auto"/>
        <w:ind w:firstLine="420" w:firstLineChars="200"/>
        <w:rPr>
          <w:color w:val="auto"/>
          <w:highlight w:val="none"/>
        </w:rPr>
      </w:pPr>
      <w:bookmarkStart w:id="185" w:name="_Toc389065176"/>
      <w:r>
        <w:rPr>
          <w:rFonts w:hint="eastAsia" w:cs="宋体"/>
          <w:color w:val="auto"/>
          <w:highlight w:val="none"/>
        </w:rPr>
        <w:t>主持人按以下程序进行开标：</w:t>
      </w:r>
    </w:p>
    <w:p>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w:t>
      </w:r>
      <w:r>
        <w:rPr>
          <w:rFonts w:hint="eastAsia" w:hAnsi="宋体" w:cs="宋体"/>
          <w:color w:val="auto"/>
          <w:highlight w:val="none"/>
        </w:rPr>
        <w:t>宣布开标纪律；</w:t>
      </w:r>
    </w:p>
    <w:p>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w:t>
      </w:r>
      <w:r>
        <w:rPr>
          <w:rFonts w:hint="eastAsia" w:hAnsi="宋体" w:cs="宋体"/>
          <w:color w:val="auto"/>
          <w:highlight w:val="none"/>
        </w:rPr>
        <w:t>宣布开标人、唱标人、记录人、监标人等有关人员名单；</w:t>
      </w:r>
    </w:p>
    <w:p>
      <w:pPr>
        <w:spacing w:line="360" w:lineRule="auto"/>
        <w:ind w:firstLine="420" w:firstLineChars="200"/>
        <w:rPr>
          <w:rFonts w:hAnsi="宋体"/>
          <w:color w:val="auto"/>
          <w:highlight w:val="none"/>
        </w:rPr>
      </w:pPr>
      <w:r>
        <w:rPr>
          <w:rFonts w:hint="eastAsia" w:cs="宋体"/>
          <w:color w:val="auto"/>
          <w:highlight w:val="none"/>
        </w:rPr>
        <w:t>（</w:t>
      </w:r>
      <w:r>
        <w:rPr>
          <w:color w:val="auto"/>
          <w:highlight w:val="none"/>
        </w:rPr>
        <w:t>3</w:t>
      </w:r>
      <w:r>
        <w:rPr>
          <w:rFonts w:hint="eastAsia" w:cs="宋体"/>
          <w:color w:val="auto"/>
          <w:highlight w:val="none"/>
        </w:rPr>
        <w:t>）</w:t>
      </w:r>
      <w:r>
        <w:rPr>
          <w:rFonts w:hint="eastAsia" w:hAnsi="宋体" w:cs="宋体"/>
          <w:color w:val="auto"/>
          <w:highlight w:val="none"/>
        </w:rPr>
        <w:t>公布在投标截止时间前递交投标文件的投标人名称，点名确认投标人是否派人到场，并制作记录；</w:t>
      </w:r>
      <w:r>
        <w:rPr>
          <w:rFonts w:hAnsi="宋体"/>
          <w:color w:val="auto"/>
          <w:highlight w:val="none"/>
        </w:rPr>
        <w:t xml:space="preserve"> </w:t>
      </w:r>
    </w:p>
    <w:p>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由招标人代表和监督人员检查投标人的资格证件（包括法定代表人身份证明原件（企业法定代表人参加投标会时检查）或委托代理投标相关证明（附法定代表人身份证明的授权委托书原件、受委托的授权委托人身份证原件，委托代理人参加投标会时检查），投标人代表检查投标文件的密封情况；</w:t>
      </w:r>
      <w:r>
        <w:rPr>
          <w:color w:val="auto"/>
          <w:highlight w:val="none"/>
        </w:rPr>
        <w:t xml:space="preserve"> </w:t>
      </w:r>
    </w:p>
    <w:p>
      <w:pPr>
        <w:spacing w:line="360" w:lineRule="auto"/>
        <w:ind w:firstLine="420" w:firstLineChars="200"/>
        <w:rPr>
          <w:rFonts w:hAnsi="宋体"/>
          <w:color w:val="auto"/>
          <w:highlight w:val="none"/>
        </w:rPr>
      </w:pPr>
      <w:r>
        <w:rPr>
          <w:rFonts w:hint="eastAsia" w:cs="宋体"/>
          <w:color w:val="auto"/>
          <w:highlight w:val="none"/>
        </w:rPr>
        <w:t>（</w:t>
      </w:r>
      <w:r>
        <w:rPr>
          <w:color w:val="auto"/>
          <w:highlight w:val="none"/>
        </w:rPr>
        <w:t>5</w:t>
      </w:r>
      <w:r>
        <w:rPr>
          <w:rFonts w:hint="eastAsia" w:cs="宋体"/>
          <w:color w:val="auto"/>
          <w:highlight w:val="none"/>
        </w:rPr>
        <w:t>）</w:t>
      </w:r>
      <w:r>
        <w:rPr>
          <w:rFonts w:hint="eastAsia" w:hAnsi="宋体" w:cs="宋体"/>
          <w:color w:val="auto"/>
          <w:highlight w:val="none"/>
        </w:rPr>
        <w:t>按照“投标人须知前附表”的规定确定并宣布投标文件开标顺序；</w:t>
      </w:r>
    </w:p>
    <w:p>
      <w:pPr>
        <w:spacing w:line="360" w:lineRule="auto"/>
        <w:ind w:firstLine="420" w:firstLineChars="200"/>
        <w:rPr>
          <w:rFonts w:cs="宋体"/>
          <w:color w:val="auto"/>
          <w:highlight w:val="none"/>
        </w:rPr>
      </w:pPr>
      <w:r>
        <w:rPr>
          <w:rFonts w:hint="eastAsia" w:cs="宋体"/>
          <w:color w:val="auto"/>
          <w:highlight w:val="none"/>
        </w:rPr>
        <w:t>（6）公布招标控制价及相关内容；</w:t>
      </w:r>
    </w:p>
    <w:p>
      <w:pPr>
        <w:spacing w:line="360" w:lineRule="auto"/>
        <w:ind w:firstLine="420" w:firstLineChars="200"/>
        <w:rPr>
          <w:rFonts w:cs="宋体"/>
          <w:color w:val="auto"/>
          <w:highlight w:val="none"/>
        </w:rPr>
      </w:pPr>
      <w:r>
        <w:rPr>
          <w:rFonts w:hint="eastAsia" w:cs="宋体"/>
          <w:color w:val="auto"/>
          <w:highlight w:val="none"/>
        </w:rPr>
        <w:t>（7）公布投标人名称、标段名称、投标报价、质量目标、工期及其他内容，并制作记录；</w:t>
      </w:r>
    </w:p>
    <w:p>
      <w:pPr>
        <w:spacing w:line="360" w:lineRule="auto"/>
        <w:ind w:firstLine="420" w:firstLineChars="200"/>
        <w:rPr>
          <w:rFonts w:cs="宋体"/>
          <w:color w:val="auto"/>
          <w:highlight w:val="none"/>
        </w:rPr>
      </w:pPr>
      <w:r>
        <w:rPr>
          <w:rFonts w:hint="eastAsia" w:cs="宋体"/>
          <w:color w:val="auto"/>
          <w:highlight w:val="none"/>
        </w:rPr>
        <w:t>（8）招标人代表随机抽取K值（如有）；</w:t>
      </w:r>
    </w:p>
    <w:p>
      <w:pPr>
        <w:spacing w:line="360" w:lineRule="auto"/>
        <w:ind w:firstLine="420" w:firstLineChars="200"/>
        <w:rPr>
          <w:rFonts w:cs="宋体"/>
          <w:color w:val="auto"/>
          <w:highlight w:val="none"/>
        </w:rPr>
      </w:pPr>
      <w:r>
        <w:rPr>
          <w:rFonts w:hint="eastAsia" w:cs="宋体"/>
          <w:color w:val="auto"/>
          <w:highlight w:val="none"/>
        </w:rPr>
        <w:t>（9）投标人代表、招标人代表、记录人以及有关监督人员在开标记录上签字确认，并存档备查；</w:t>
      </w:r>
    </w:p>
    <w:p>
      <w:pPr>
        <w:spacing w:line="360" w:lineRule="auto"/>
        <w:ind w:firstLine="420" w:firstLineChars="200"/>
        <w:rPr>
          <w:color w:val="auto"/>
          <w:highlight w:val="none"/>
        </w:rPr>
      </w:pPr>
      <w:r>
        <w:rPr>
          <w:rFonts w:hint="eastAsia" w:cs="宋体"/>
          <w:color w:val="auto"/>
          <w:highlight w:val="none"/>
        </w:rPr>
        <w:t>（10）开标结束。</w:t>
      </w:r>
    </w:p>
    <w:p>
      <w:pPr>
        <w:pStyle w:val="5"/>
        <w:rPr>
          <w:rFonts w:hAnsi="宋体"/>
          <w:color w:val="auto"/>
          <w:highlight w:val="none"/>
        </w:rPr>
      </w:pPr>
      <w:bookmarkStart w:id="186" w:name="_Toc407135110"/>
      <w:bookmarkStart w:id="187" w:name="_Toc21072"/>
      <w:bookmarkStart w:id="188" w:name="_Toc66186334"/>
      <w:r>
        <w:rPr>
          <w:color w:val="auto"/>
          <w:highlight w:val="none"/>
        </w:rPr>
        <w:t>5.3</w:t>
      </w:r>
      <w:bookmarkEnd w:id="186"/>
      <w:r>
        <w:rPr>
          <w:rFonts w:hAnsi="宋体"/>
          <w:color w:val="auto"/>
          <w:highlight w:val="none"/>
        </w:rPr>
        <w:t xml:space="preserve"> </w:t>
      </w:r>
      <w:bookmarkStart w:id="189" w:name="_Toc407135111"/>
      <w:r>
        <w:rPr>
          <w:rFonts w:hint="eastAsia" w:cs="黑体"/>
          <w:color w:val="auto"/>
          <w:highlight w:val="none"/>
        </w:rPr>
        <w:t>不予开标</w:t>
      </w:r>
      <w:bookmarkEnd w:id="185"/>
      <w:bookmarkEnd w:id="187"/>
      <w:bookmarkEnd w:id="188"/>
      <w:bookmarkEnd w:id="189"/>
    </w:p>
    <w:p>
      <w:pPr>
        <w:spacing w:line="360" w:lineRule="auto"/>
        <w:ind w:firstLine="420" w:firstLineChars="200"/>
        <w:rPr>
          <w:color w:val="auto"/>
          <w:highlight w:val="none"/>
        </w:rPr>
      </w:pPr>
      <w:r>
        <w:rPr>
          <w:rFonts w:hint="eastAsia" w:cs="宋体"/>
          <w:color w:val="auto"/>
          <w:highlight w:val="none"/>
        </w:rPr>
        <w:t>符合下列情况之一的投标，招标人拒绝受理其投标，不得进入评标：</w:t>
      </w:r>
    </w:p>
    <w:p>
      <w:pPr>
        <w:wordWrap w:val="0"/>
        <w:spacing w:line="360" w:lineRule="auto"/>
        <w:ind w:firstLine="420" w:firstLineChars="200"/>
        <w:rPr>
          <w:color w:val="auto"/>
          <w:highlight w:val="none"/>
        </w:rPr>
      </w:pPr>
      <w:r>
        <w:rPr>
          <w:rFonts w:hint="eastAsia"/>
          <w:color w:val="auto"/>
          <w:highlight w:val="none"/>
        </w:rPr>
        <w:t>（</w:t>
      </w:r>
      <w:r>
        <w:rPr>
          <w:color w:val="auto"/>
          <w:highlight w:val="none"/>
        </w:rPr>
        <w:t>1</w:t>
      </w:r>
      <w:r>
        <w:rPr>
          <w:rFonts w:hint="eastAsia"/>
          <w:color w:val="auto"/>
          <w:highlight w:val="none"/>
        </w:rPr>
        <w:t>）投标文件逾期送达的或者未送达指定地点的；</w:t>
      </w:r>
    </w:p>
    <w:p>
      <w:pPr>
        <w:wordWrap w:val="0"/>
        <w:spacing w:line="360" w:lineRule="auto"/>
        <w:ind w:firstLine="420" w:firstLineChars="200"/>
        <w:rPr>
          <w:color w:val="auto"/>
          <w:highlight w:val="none"/>
        </w:rPr>
      </w:pPr>
      <w:r>
        <w:rPr>
          <w:rFonts w:hint="eastAsia"/>
          <w:color w:val="auto"/>
          <w:highlight w:val="none"/>
        </w:rPr>
        <w:t>（</w:t>
      </w:r>
      <w:r>
        <w:rPr>
          <w:color w:val="auto"/>
          <w:highlight w:val="none"/>
        </w:rPr>
        <w:t>2</w:t>
      </w:r>
      <w:r>
        <w:rPr>
          <w:rFonts w:hint="eastAsia"/>
          <w:color w:val="auto"/>
          <w:highlight w:val="none"/>
        </w:rPr>
        <w:t>）</w:t>
      </w:r>
      <w:r>
        <w:rPr>
          <w:rFonts w:hint="eastAsia" w:cs="宋体"/>
          <w:color w:val="auto"/>
          <w:kern w:val="0"/>
          <w:sz w:val="20"/>
          <w:szCs w:val="20"/>
          <w:highlight w:val="none"/>
        </w:rPr>
        <w:t>投标文件未按招标文件要求密封和标记的</w:t>
      </w:r>
      <w:r>
        <w:rPr>
          <w:rFonts w:hint="eastAsia"/>
          <w:color w:val="auto"/>
          <w:highlight w:val="none"/>
        </w:rPr>
        <w:t>；</w:t>
      </w:r>
    </w:p>
    <w:p>
      <w:pPr>
        <w:wordWrap w:val="0"/>
        <w:spacing w:line="360" w:lineRule="auto"/>
        <w:ind w:firstLine="420" w:firstLineChars="200"/>
        <w:rPr>
          <w:color w:val="auto"/>
          <w:highlight w:val="none"/>
        </w:rPr>
      </w:pPr>
      <w:r>
        <w:rPr>
          <w:rFonts w:hint="eastAsia"/>
          <w:color w:val="auto"/>
          <w:highlight w:val="none"/>
        </w:rPr>
        <w:t>（</w:t>
      </w:r>
      <w:r>
        <w:rPr>
          <w:color w:val="auto"/>
          <w:highlight w:val="none"/>
        </w:rPr>
        <w:t>3</w:t>
      </w:r>
      <w:r>
        <w:rPr>
          <w:rFonts w:hint="eastAsia"/>
          <w:color w:val="auto"/>
          <w:highlight w:val="none"/>
        </w:rPr>
        <w:t>）投标人法定代表人或其授权的委托代理人未按时出席开标会的。</w:t>
      </w:r>
    </w:p>
    <w:p>
      <w:pPr>
        <w:pStyle w:val="5"/>
        <w:rPr>
          <w:color w:val="auto"/>
          <w:highlight w:val="none"/>
        </w:rPr>
      </w:pPr>
      <w:bookmarkStart w:id="190" w:name="_Toc465114769"/>
      <w:bookmarkStart w:id="191" w:name="_Toc31582"/>
      <w:bookmarkStart w:id="192" w:name="_Toc66186335"/>
      <w:r>
        <w:rPr>
          <w:color w:val="auto"/>
          <w:highlight w:val="none"/>
        </w:rPr>
        <w:t>5.</w:t>
      </w:r>
      <w:r>
        <w:rPr>
          <w:color w:val="auto"/>
          <w:highlight w:val="none"/>
          <w:lang w:val="en-US"/>
        </w:rPr>
        <w:t>4</w:t>
      </w:r>
      <w:r>
        <w:rPr>
          <w:color w:val="auto"/>
          <w:highlight w:val="none"/>
        </w:rPr>
        <w:t xml:space="preserve"> </w:t>
      </w:r>
      <w:r>
        <w:rPr>
          <w:rFonts w:hint="eastAsia" w:cs="黑体"/>
          <w:color w:val="auto"/>
          <w:highlight w:val="none"/>
        </w:rPr>
        <w:t>开标异议</w:t>
      </w:r>
      <w:bookmarkEnd w:id="190"/>
      <w:bookmarkEnd w:id="191"/>
      <w:bookmarkEnd w:id="192"/>
      <w:r>
        <w:rPr>
          <w:color w:val="auto"/>
          <w:highlight w:val="none"/>
        </w:rPr>
        <w:t xml:space="preserve">  </w:t>
      </w:r>
    </w:p>
    <w:p>
      <w:pPr>
        <w:spacing w:line="360" w:lineRule="auto"/>
        <w:ind w:left="420"/>
        <w:rPr>
          <w:rFonts w:hAnsi="宋体"/>
          <w:color w:val="auto"/>
          <w:highlight w:val="none"/>
        </w:rPr>
      </w:pPr>
      <w:r>
        <w:rPr>
          <w:rFonts w:hint="eastAsia" w:hAnsi="宋体" w:cs="宋体"/>
          <w:color w:val="auto"/>
          <w:kern w:val="0"/>
          <w:highlight w:val="none"/>
        </w:rPr>
        <w:t>投标人对开标有异议的，应当在开标现场提出，招标人应当场作出答复，并制作记录。</w:t>
      </w:r>
    </w:p>
    <w:p>
      <w:pPr>
        <w:pStyle w:val="4"/>
        <w:rPr>
          <w:color w:val="auto"/>
          <w:highlight w:val="none"/>
        </w:rPr>
      </w:pPr>
      <w:bookmarkStart w:id="193" w:name="_Toc389065177"/>
      <w:bookmarkStart w:id="194" w:name="_Toc407135112"/>
      <w:bookmarkStart w:id="195" w:name="_Toc818"/>
      <w:bookmarkStart w:id="196" w:name="_Toc66186336"/>
      <w:r>
        <w:rPr>
          <w:color w:val="auto"/>
          <w:highlight w:val="none"/>
        </w:rPr>
        <w:t xml:space="preserve">6 </w:t>
      </w:r>
      <w:r>
        <w:rPr>
          <w:rFonts w:hint="eastAsia" w:cs="黑体"/>
          <w:color w:val="auto"/>
          <w:highlight w:val="none"/>
        </w:rPr>
        <w:t>评标</w:t>
      </w:r>
      <w:bookmarkEnd w:id="193"/>
      <w:bookmarkEnd w:id="194"/>
      <w:bookmarkEnd w:id="195"/>
      <w:bookmarkEnd w:id="196"/>
    </w:p>
    <w:p>
      <w:pPr>
        <w:pStyle w:val="5"/>
        <w:rPr>
          <w:color w:val="auto"/>
          <w:highlight w:val="none"/>
        </w:rPr>
      </w:pPr>
      <w:bookmarkStart w:id="197" w:name="_Toc407135113"/>
      <w:bookmarkStart w:id="198" w:name="_Toc66186337"/>
      <w:bookmarkStart w:id="199" w:name="_Toc389065178"/>
      <w:bookmarkStart w:id="200" w:name="_Toc22570"/>
      <w:r>
        <w:rPr>
          <w:color w:val="auto"/>
          <w:highlight w:val="none"/>
        </w:rPr>
        <w:t xml:space="preserve">6.1 </w:t>
      </w:r>
      <w:r>
        <w:rPr>
          <w:rFonts w:hint="eastAsia" w:cs="黑体"/>
          <w:color w:val="auto"/>
          <w:highlight w:val="none"/>
        </w:rPr>
        <w:t>评标委员会</w:t>
      </w:r>
      <w:bookmarkEnd w:id="197"/>
      <w:bookmarkEnd w:id="198"/>
      <w:bookmarkEnd w:id="199"/>
      <w:bookmarkEnd w:id="200"/>
    </w:p>
    <w:p>
      <w:pPr>
        <w:spacing w:line="360" w:lineRule="auto"/>
        <w:ind w:firstLine="420" w:firstLineChars="200"/>
        <w:rPr>
          <w:color w:val="auto"/>
          <w:highlight w:val="none"/>
        </w:rPr>
      </w:pPr>
      <w:r>
        <w:rPr>
          <w:color w:val="auto"/>
          <w:highlight w:val="none"/>
        </w:rPr>
        <w:t xml:space="preserve">6.1.1 </w:t>
      </w:r>
      <w:r>
        <w:rPr>
          <w:rFonts w:hint="eastAsia" w:cs="宋体"/>
          <w:color w:val="auto"/>
          <w:highlight w:val="none"/>
        </w:rPr>
        <w:t>评标由招标人依法组建的评标委员会负责。评标委员会成员人数以及技术、经济等方面专家的确定方式见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r>
        <w:rPr>
          <w:color w:val="auto"/>
          <w:highlight w:val="none"/>
        </w:rPr>
        <w:t xml:space="preserve"> </w:t>
      </w:r>
    </w:p>
    <w:p>
      <w:pPr>
        <w:spacing w:line="360" w:lineRule="auto"/>
        <w:ind w:firstLine="420" w:firstLineChars="200"/>
        <w:rPr>
          <w:color w:val="auto"/>
          <w:highlight w:val="none"/>
        </w:rPr>
      </w:pPr>
      <w:r>
        <w:rPr>
          <w:color w:val="auto"/>
          <w:highlight w:val="none"/>
        </w:rPr>
        <w:t xml:space="preserve">6.1.2 </w:t>
      </w:r>
      <w:r>
        <w:rPr>
          <w:rFonts w:hint="eastAsia" w:cs="宋体"/>
          <w:color w:val="auto"/>
          <w:highlight w:val="none"/>
        </w:rPr>
        <w:t>评标委员会成员有下列情形之一的，应当回避：</w:t>
      </w:r>
      <w:bookmarkStart w:id="201" w:name="_Toc389065179"/>
    </w:p>
    <w:p>
      <w:pPr>
        <w:spacing w:line="360" w:lineRule="auto"/>
        <w:ind w:firstLine="420" w:firstLineChars="200"/>
        <w:rPr>
          <w:color w:val="auto"/>
          <w:highlight w:val="none"/>
        </w:rPr>
      </w:pPr>
      <w:r>
        <w:rPr>
          <w:rFonts w:hint="eastAsia" w:hAnsi="宋体" w:cs="宋体"/>
          <w:color w:val="auto"/>
          <w:highlight w:val="none"/>
        </w:rPr>
        <w:t>（</w:t>
      </w:r>
      <w:r>
        <w:rPr>
          <w:rFonts w:hAnsi="宋体"/>
          <w:color w:val="auto"/>
          <w:highlight w:val="none"/>
        </w:rPr>
        <w:t>1</w:t>
      </w:r>
      <w:r>
        <w:rPr>
          <w:rFonts w:hint="eastAsia" w:hAnsi="宋体" w:cs="宋体"/>
          <w:color w:val="auto"/>
          <w:highlight w:val="none"/>
        </w:rPr>
        <w:t>）</w:t>
      </w:r>
      <w:r>
        <w:rPr>
          <w:rFonts w:hint="eastAsia" w:ascii="宋体" w:hAnsi="宋体" w:cs="宋体"/>
          <w:color w:val="auto"/>
          <w:highlight w:val="none"/>
          <w:shd w:val="clear" w:color="auto" w:fill="FFFFFF"/>
        </w:rPr>
        <w:t>投标人或者投标人主要负责人的近亲属</w:t>
      </w:r>
      <w:r>
        <w:rPr>
          <w:rFonts w:hint="eastAsia" w:hAnsi="宋体" w:cs="宋体"/>
          <w:color w:val="auto"/>
          <w:highlight w:val="none"/>
        </w:rPr>
        <w:t>；</w:t>
      </w:r>
    </w:p>
    <w:p>
      <w:pPr>
        <w:spacing w:line="360" w:lineRule="auto"/>
        <w:ind w:firstLine="420" w:firstLineChars="200"/>
        <w:rPr>
          <w:color w:val="auto"/>
          <w:highlight w:val="none"/>
        </w:rPr>
      </w:pPr>
      <w:r>
        <w:rPr>
          <w:rFonts w:hint="eastAsia" w:hAnsi="宋体" w:cs="宋体"/>
          <w:color w:val="auto"/>
          <w:highlight w:val="none"/>
        </w:rPr>
        <w:t>（</w:t>
      </w:r>
      <w:r>
        <w:rPr>
          <w:rFonts w:hAnsi="宋体"/>
          <w:color w:val="auto"/>
          <w:highlight w:val="none"/>
        </w:rPr>
        <w:t>2</w:t>
      </w:r>
      <w:r>
        <w:rPr>
          <w:rFonts w:hint="eastAsia" w:hAnsi="宋体" w:cs="宋体"/>
          <w:color w:val="auto"/>
          <w:highlight w:val="none"/>
        </w:rPr>
        <w:t>）</w:t>
      </w:r>
      <w:r>
        <w:rPr>
          <w:rFonts w:hint="eastAsia" w:ascii="宋体" w:hAnsi="宋体" w:cs="宋体"/>
          <w:color w:val="auto"/>
          <w:highlight w:val="none"/>
          <w:shd w:val="clear" w:color="auto" w:fill="FFFFFF"/>
        </w:rPr>
        <w:t>招标项目主管部门或者招标投标行政监督部门的工作人员</w:t>
      </w:r>
      <w:r>
        <w:rPr>
          <w:rFonts w:hint="eastAsia" w:hAnsi="宋体" w:cs="宋体"/>
          <w:color w:val="auto"/>
          <w:highlight w:val="none"/>
        </w:rPr>
        <w:t>；</w:t>
      </w:r>
    </w:p>
    <w:p>
      <w:pPr>
        <w:spacing w:line="360" w:lineRule="auto"/>
        <w:ind w:firstLine="420" w:firstLineChars="200"/>
        <w:rPr>
          <w:color w:val="auto"/>
          <w:highlight w:val="none"/>
        </w:rPr>
      </w:pPr>
      <w:r>
        <w:rPr>
          <w:rFonts w:hint="eastAsia" w:hAnsi="宋体" w:cs="宋体"/>
          <w:color w:val="auto"/>
          <w:highlight w:val="none"/>
        </w:rPr>
        <w:t>（</w:t>
      </w:r>
      <w:r>
        <w:rPr>
          <w:rFonts w:hAnsi="宋体"/>
          <w:color w:val="auto"/>
          <w:highlight w:val="none"/>
        </w:rPr>
        <w:t>3</w:t>
      </w:r>
      <w:r>
        <w:rPr>
          <w:rFonts w:hint="eastAsia" w:hAnsi="宋体" w:cs="宋体"/>
          <w:color w:val="auto"/>
          <w:highlight w:val="none"/>
        </w:rPr>
        <w:t>）</w:t>
      </w:r>
      <w:r>
        <w:rPr>
          <w:rFonts w:hint="eastAsia" w:ascii="宋体" w:hAnsi="宋体" w:cs="宋体"/>
          <w:color w:val="auto"/>
          <w:highlight w:val="none"/>
          <w:shd w:val="clear" w:color="auto" w:fill="FFFFFF"/>
        </w:rPr>
        <w:t>与投标人有经济利益关系，可能影响对投标公正评审的人员</w:t>
      </w:r>
      <w:r>
        <w:rPr>
          <w:rFonts w:hint="eastAsia" w:hAnsi="宋体" w:cs="宋体"/>
          <w:color w:val="auto"/>
          <w:highlight w:val="none"/>
        </w:rPr>
        <w:t>；</w:t>
      </w:r>
    </w:p>
    <w:p>
      <w:pPr>
        <w:spacing w:line="360" w:lineRule="auto"/>
        <w:ind w:firstLine="420" w:firstLineChars="200"/>
        <w:rPr>
          <w:rFonts w:ascii="宋体" w:hAnsi="宋体" w:cs="宋体"/>
          <w:color w:val="auto"/>
          <w:highlight w:val="none"/>
          <w:shd w:val="clear" w:color="auto" w:fill="FFFFFF"/>
        </w:rPr>
      </w:pPr>
      <w:r>
        <w:rPr>
          <w:rFonts w:hint="eastAsia" w:hAnsi="宋体" w:cs="宋体"/>
          <w:color w:val="auto"/>
          <w:highlight w:val="none"/>
        </w:rPr>
        <w:t>（</w:t>
      </w:r>
      <w:r>
        <w:rPr>
          <w:rFonts w:hint="eastAsia" w:hAnsi="宋体"/>
          <w:color w:val="auto"/>
          <w:highlight w:val="none"/>
        </w:rPr>
        <w:t>4</w:t>
      </w:r>
      <w:r>
        <w:rPr>
          <w:rFonts w:hint="eastAsia" w:hAnsi="宋体" w:cs="宋体"/>
          <w:color w:val="auto"/>
          <w:highlight w:val="none"/>
        </w:rPr>
        <w:t>）</w:t>
      </w:r>
      <w:r>
        <w:rPr>
          <w:rFonts w:hint="eastAsia" w:ascii="宋体" w:hAnsi="宋体" w:cs="宋体"/>
          <w:color w:val="auto"/>
          <w:highlight w:val="none"/>
          <w:shd w:val="clear" w:color="auto" w:fill="FFFFFF"/>
        </w:rPr>
        <w:t>与投标人有其他利害关系的人员。</w:t>
      </w:r>
    </w:p>
    <w:p>
      <w:pPr>
        <w:spacing w:line="360" w:lineRule="auto"/>
        <w:ind w:firstLine="420" w:firstLineChars="200"/>
        <w:rPr>
          <w:rFonts w:cs="宋体"/>
          <w:color w:val="auto"/>
          <w:highlight w:val="none"/>
        </w:rPr>
      </w:pPr>
      <w:r>
        <w:rPr>
          <w:color w:val="auto"/>
          <w:highlight w:val="none"/>
        </w:rPr>
        <w:t>6.1.</w:t>
      </w:r>
      <w:r>
        <w:rPr>
          <w:rFonts w:hint="eastAsia"/>
          <w:color w:val="auto"/>
          <w:highlight w:val="none"/>
        </w:rPr>
        <w:t>3</w:t>
      </w:r>
      <w:r>
        <w:rPr>
          <w:color w:val="auto"/>
          <w:highlight w:val="none"/>
        </w:rPr>
        <w:t xml:space="preserve"> </w:t>
      </w:r>
      <w:r>
        <w:rPr>
          <w:rFonts w:hint="eastAsia" w:cs="宋体"/>
          <w:color w:val="auto"/>
          <w:highlight w:val="none"/>
        </w:rPr>
        <w:t>有下列情形之一的专家不能参与评标活动，应主动退出：</w:t>
      </w:r>
    </w:p>
    <w:p>
      <w:pPr>
        <w:spacing w:line="360" w:lineRule="auto"/>
        <w:ind w:firstLine="420" w:firstLineChars="200"/>
        <w:rPr>
          <w:rFonts w:hAnsi="宋体" w:cs="宋体"/>
          <w:color w:val="auto"/>
          <w:highlight w:val="none"/>
        </w:rPr>
      </w:pPr>
      <w:r>
        <w:rPr>
          <w:rFonts w:hint="eastAsia" w:hAnsi="宋体" w:cs="宋体"/>
          <w:color w:val="auto"/>
          <w:highlight w:val="none"/>
        </w:rPr>
        <w:t>（1）曾在招标投标活动中从事违法行为而受过行政处罚或者刑事处罚的人员；</w:t>
      </w:r>
    </w:p>
    <w:p>
      <w:pPr>
        <w:spacing w:line="360" w:lineRule="auto"/>
        <w:ind w:firstLine="420" w:firstLineChars="200"/>
        <w:rPr>
          <w:rFonts w:hAnsi="宋体" w:cs="宋体"/>
          <w:color w:val="auto"/>
          <w:highlight w:val="none"/>
        </w:rPr>
      </w:pPr>
      <w:r>
        <w:rPr>
          <w:rFonts w:hint="eastAsia" w:hAnsi="宋体" w:cs="宋体"/>
          <w:color w:val="auto"/>
          <w:highlight w:val="none"/>
        </w:rPr>
        <w:t>（2）评标时期在“建筑市场监管与诚信信息一体化平台”被列为建筑市场主体“黑名单”的人员；</w:t>
      </w:r>
    </w:p>
    <w:p>
      <w:pPr>
        <w:spacing w:line="360" w:lineRule="auto"/>
        <w:ind w:firstLine="420" w:firstLineChars="200"/>
        <w:rPr>
          <w:rFonts w:ascii="宋体" w:hAnsi="宋体" w:cs="宋体"/>
          <w:color w:val="auto"/>
          <w:highlight w:val="none"/>
          <w:shd w:val="clear" w:color="auto" w:fill="FFFFFF"/>
        </w:rPr>
      </w:pPr>
      <w:r>
        <w:rPr>
          <w:rFonts w:hint="eastAsia" w:hAnsi="宋体" w:cs="宋体"/>
          <w:color w:val="auto"/>
          <w:highlight w:val="none"/>
        </w:rPr>
        <w:t>（3）评标时期在“信用中国”网站（www.creditchina.gov.cn）中被列为失信被执行人的人员。</w:t>
      </w:r>
    </w:p>
    <w:p>
      <w:pPr>
        <w:pStyle w:val="5"/>
        <w:rPr>
          <w:color w:val="auto"/>
          <w:highlight w:val="none"/>
        </w:rPr>
      </w:pPr>
      <w:bookmarkStart w:id="202" w:name="_Toc407135114"/>
      <w:bookmarkStart w:id="203" w:name="_Toc66186338"/>
      <w:bookmarkStart w:id="204" w:name="_Toc29592"/>
      <w:r>
        <w:rPr>
          <w:color w:val="auto"/>
          <w:highlight w:val="none"/>
        </w:rPr>
        <w:t xml:space="preserve">6.2 </w:t>
      </w:r>
      <w:r>
        <w:rPr>
          <w:rFonts w:hint="eastAsia" w:cs="黑体"/>
          <w:color w:val="auto"/>
          <w:highlight w:val="none"/>
        </w:rPr>
        <w:t>评标原则</w:t>
      </w:r>
      <w:bookmarkEnd w:id="201"/>
      <w:bookmarkEnd w:id="202"/>
      <w:bookmarkEnd w:id="203"/>
      <w:bookmarkEnd w:id="204"/>
    </w:p>
    <w:p>
      <w:pPr>
        <w:spacing w:line="360" w:lineRule="auto"/>
        <w:ind w:firstLine="420" w:firstLineChars="200"/>
        <w:rPr>
          <w:color w:val="auto"/>
          <w:highlight w:val="none"/>
        </w:rPr>
      </w:pPr>
      <w:r>
        <w:rPr>
          <w:rFonts w:hint="eastAsia" w:cs="宋体"/>
          <w:color w:val="auto"/>
          <w:highlight w:val="none"/>
        </w:rPr>
        <w:t>评标活动遵循公平、公正、科学和择优的原则。</w:t>
      </w:r>
    </w:p>
    <w:p>
      <w:pPr>
        <w:pStyle w:val="5"/>
        <w:rPr>
          <w:color w:val="auto"/>
          <w:highlight w:val="none"/>
        </w:rPr>
      </w:pPr>
      <w:bookmarkStart w:id="205" w:name="_Toc389065180"/>
      <w:bookmarkStart w:id="206" w:name="_Toc29507"/>
      <w:bookmarkStart w:id="207" w:name="_Toc66186339"/>
      <w:bookmarkStart w:id="208" w:name="_Toc407135115"/>
      <w:r>
        <w:rPr>
          <w:color w:val="auto"/>
          <w:highlight w:val="none"/>
        </w:rPr>
        <w:t xml:space="preserve">6.3 </w:t>
      </w:r>
      <w:r>
        <w:rPr>
          <w:rFonts w:hint="eastAsia" w:cs="黑体"/>
          <w:color w:val="auto"/>
          <w:highlight w:val="none"/>
        </w:rPr>
        <w:t>评标</w:t>
      </w:r>
      <w:bookmarkEnd w:id="205"/>
      <w:r>
        <w:rPr>
          <w:rFonts w:hint="eastAsia" w:cs="黑体"/>
          <w:color w:val="auto"/>
          <w:highlight w:val="none"/>
        </w:rPr>
        <w:t>方式</w:t>
      </w:r>
      <w:bookmarkEnd w:id="206"/>
      <w:bookmarkEnd w:id="207"/>
      <w:bookmarkEnd w:id="208"/>
    </w:p>
    <w:p>
      <w:pPr>
        <w:spacing w:line="360" w:lineRule="auto"/>
        <w:ind w:firstLine="420" w:firstLineChars="200"/>
        <w:rPr>
          <w:color w:val="auto"/>
          <w:highlight w:val="none"/>
        </w:rPr>
      </w:pPr>
      <w:r>
        <w:rPr>
          <w:rFonts w:hint="eastAsia" w:cs="宋体"/>
          <w:color w:val="auto"/>
          <w:highlight w:val="none"/>
        </w:rPr>
        <w:t>评标委员会按照第三章</w:t>
      </w:r>
      <w:r>
        <w:rPr>
          <w:color w:val="auto"/>
          <w:highlight w:val="none"/>
        </w:rPr>
        <w:t>“</w:t>
      </w:r>
      <w:r>
        <w:rPr>
          <w:rFonts w:hint="eastAsia" w:cs="宋体"/>
          <w:color w:val="auto"/>
          <w:highlight w:val="none"/>
        </w:rPr>
        <w:t>评标办法</w:t>
      </w:r>
      <w:r>
        <w:rPr>
          <w:color w:val="auto"/>
          <w:highlight w:val="none"/>
        </w:rPr>
        <w:t>”</w:t>
      </w:r>
      <w:r>
        <w:rPr>
          <w:rFonts w:hint="eastAsia" w:cs="宋体"/>
          <w:color w:val="auto"/>
          <w:highlight w:val="none"/>
        </w:rPr>
        <w:t>规定的方法、评审因素、标准和程序对投标文件进行评审。第三章</w:t>
      </w:r>
      <w:r>
        <w:rPr>
          <w:color w:val="auto"/>
          <w:highlight w:val="none"/>
        </w:rPr>
        <w:t>“</w:t>
      </w:r>
      <w:r>
        <w:rPr>
          <w:rFonts w:hint="eastAsia" w:cs="宋体"/>
          <w:color w:val="auto"/>
          <w:highlight w:val="none"/>
        </w:rPr>
        <w:t>评标办法</w:t>
      </w:r>
      <w:r>
        <w:rPr>
          <w:color w:val="auto"/>
          <w:highlight w:val="none"/>
        </w:rPr>
        <w:t>”</w:t>
      </w:r>
      <w:r>
        <w:rPr>
          <w:rFonts w:hint="eastAsia" w:cs="宋体"/>
          <w:color w:val="auto"/>
          <w:highlight w:val="none"/>
        </w:rPr>
        <w:t>没有规定的方法、评审因素和标准，不作为评标依据。具体评标方式见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pPr>
        <w:pStyle w:val="5"/>
        <w:rPr>
          <w:color w:val="auto"/>
          <w:highlight w:val="none"/>
        </w:rPr>
      </w:pPr>
      <w:bookmarkStart w:id="209" w:name="_Toc23440"/>
      <w:bookmarkStart w:id="210" w:name="_Toc66186340"/>
      <w:bookmarkStart w:id="211" w:name="_Toc389065181"/>
      <w:bookmarkStart w:id="212" w:name="_Toc407135116"/>
      <w:r>
        <w:rPr>
          <w:color w:val="auto"/>
          <w:highlight w:val="none"/>
        </w:rPr>
        <w:t xml:space="preserve">6.4 </w:t>
      </w:r>
      <w:r>
        <w:rPr>
          <w:rFonts w:hint="eastAsia" w:cs="黑体"/>
          <w:color w:val="auto"/>
          <w:highlight w:val="none"/>
        </w:rPr>
        <w:t>移交评标资料</w:t>
      </w:r>
      <w:bookmarkEnd w:id="209"/>
      <w:bookmarkEnd w:id="210"/>
      <w:bookmarkEnd w:id="211"/>
      <w:bookmarkEnd w:id="212"/>
    </w:p>
    <w:p>
      <w:pPr>
        <w:spacing w:line="360" w:lineRule="auto"/>
        <w:ind w:firstLine="420" w:firstLineChars="200"/>
        <w:rPr>
          <w:color w:val="auto"/>
          <w:highlight w:val="none"/>
        </w:rPr>
      </w:pPr>
      <w:r>
        <w:rPr>
          <w:rFonts w:hint="eastAsia" w:cs="宋体"/>
          <w:color w:val="auto"/>
          <w:highlight w:val="none"/>
        </w:rPr>
        <w:t>评标委员会完成评标后，立即提交评标报告和中标候选人名单，并同时向招标人移交所有评标所涉资料。</w:t>
      </w:r>
    </w:p>
    <w:p>
      <w:pPr>
        <w:pStyle w:val="5"/>
        <w:rPr>
          <w:color w:val="auto"/>
          <w:highlight w:val="none"/>
        </w:rPr>
      </w:pPr>
      <w:bookmarkStart w:id="213" w:name="_Toc407135117"/>
      <w:bookmarkStart w:id="214" w:name="_Toc66186341"/>
      <w:bookmarkStart w:id="215" w:name="_Toc389065182"/>
      <w:bookmarkStart w:id="216" w:name="_Toc5419"/>
      <w:r>
        <w:rPr>
          <w:color w:val="auto"/>
          <w:highlight w:val="none"/>
        </w:rPr>
        <w:t xml:space="preserve">6.5 </w:t>
      </w:r>
      <w:r>
        <w:rPr>
          <w:rFonts w:hint="eastAsia" w:cs="黑体"/>
          <w:color w:val="auto"/>
          <w:highlight w:val="none"/>
        </w:rPr>
        <w:t>评标资料封存和启封</w:t>
      </w:r>
      <w:bookmarkEnd w:id="213"/>
      <w:bookmarkEnd w:id="214"/>
      <w:bookmarkEnd w:id="215"/>
      <w:bookmarkEnd w:id="216"/>
    </w:p>
    <w:p>
      <w:pPr>
        <w:spacing w:line="360" w:lineRule="auto"/>
        <w:ind w:firstLine="420" w:firstLineChars="200"/>
        <w:rPr>
          <w:color w:val="auto"/>
          <w:highlight w:val="none"/>
        </w:rPr>
      </w:pPr>
      <w:r>
        <w:rPr>
          <w:color w:val="auto"/>
          <w:highlight w:val="none"/>
        </w:rPr>
        <w:t xml:space="preserve">6.5.1 </w:t>
      </w:r>
      <w:r>
        <w:rPr>
          <w:rFonts w:hint="eastAsia" w:cs="宋体"/>
          <w:color w:val="auto"/>
          <w:highlight w:val="none"/>
        </w:rPr>
        <w:t>评标结束至中标通知书发放时，招标人按“投标人须知前附表”规定的封存方式封存评标资料。</w:t>
      </w:r>
    </w:p>
    <w:p>
      <w:pPr>
        <w:spacing w:line="360" w:lineRule="auto"/>
        <w:ind w:firstLine="420" w:firstLineChars="200"/>
        <w:rPr>
          <w:color w:val="auto"/>
          <w:highlight w:val="none"/>
        </w:rPr>
      </w:pPr>
      <w:r>
        <w:rPr>
          <w:color w:val="auto"/>
          <w:highlight w:val="none"/>
        </w:rPr>
        <w:t xml:space="preserve">6.5.2 </w:t>
      </w:r>
      <w:r>
        <w:rPr>
          <w:rFonts w:hint="eastAsia" w:cs="宋体"/>
          <w:color w:val="auto"/>
          <w:highlight w:val="none"/>
        </w:rPr>
        <w:t>如在封存期间处理招标投标利害当事人提出异议或者投诉时需要启封评标资料的，应按有关行政监督部门规定的程序启封。</w:t>
      </w:r>
    </w:p>
    <w:p>
      <w:pPr>
        <w:spacing w:line="360" w:lineRule="auto"/>
        <w:ind w:firstLine="420" w:firstLineChars="200"/>
        <w:rPr>
          <w:color w:val="auto"/>
          <w:highlight w:val="none"/>
        </w:rPr>
      </w:pPr>
      <w:r>
        <w:rPr>
          <w:color w:val="auto"/>
          <w:highlight w:val="none"/>
        </w:rPr>
        <w:t xml:space="preserve">6.5.3 </w:t>
      </w:r>
      <w:r>
        <w:rPr>
          <w:rFonts w:hint="eastAsia" w:cs="宋体"/>
          <w:color w:val="auto"/>
          <w:highlight w:val="none"/>
        </w:rPr>
        <w:t>评标资料封存和启封应符合有关行政监督部门的规定。</w:t>
      </w:r>
      <w:bookmarkStart w:id="217" w:name="_Toc389065183"/>
    </w:p>
    <w:p>
      <w:pPr>
        <w:pStyle w:val="5"/>
        <w:rPr>
          <w:color w:val="auto"/>
          <w:highlight w:val="none"/>
        </w:rPr>
      </w:pPr>
      <w:bookmarkStart w:id="218" w:name="_Toc66186342"/>
      <w:bookmarkStart w:id="219" w:name="_Toc407135118"/>
      <w:bookmarkStart w:id="220" w:name="_Toc22404"/>
      <w:r>
        <w:rPr>
          <w:color w:val="auto"/>
          <w:highlight w:val="none"/>
        </w:rPr>
        <w:t xml:space="preserve">6.6 </w:t>
      </w:r>
      <w:r>
        <w:rPr>
          <w:rFonts w:hint="eastAsia" w:cs="黑体"/>
          <w:color w:val="auto"/>
          <w:highlight w:val="none"/>
        </w:rPr>
        <w:t>中标候选人公示</w:t>
      </w:r>
      <w:bookmarkEnd w:id="217"/>
      <w:bookmarkEnd w:id="218"/>
      <w:bookmarkEnd w:id="219"/>
      <w:bookmarkEnd w:id="220"/>
    </w:p>
    <w:p>
      <w:pPr>
        <w:spacing w:line="360" w:lineRule="auto"/>
        <w:ind w:firstLine="420" w:firstLineChars="200"/>
        <w:rPr>
          <w:color w:val="auto"/>
          <w:highlight w:val="none"/>
        </w:rPr>
      </w:pPr>
      <w:r>
        <w:rPr>
          <w:color w:val="auto"/>
          <w:highlight w:val="none"/>
        </w:rPr>
        <w:t>6.6.1</w:t>
      </w:r>
      <w:r>
        <w:rPr>
          <w:rFonts w:hint="eastAsia"/>
          <w:color w:val="auto"/>
          <w:highlight w:val="none"/>
        </w:rPr>
        <w:t>招标人在收到评标报告之日起3日内在投标人须知前附表规定的发布媒介发布评标结果公示，公示期不少于3个工作日。</w:t>
      </w:r>
    </w:p>
    <w:p>
      <w:pPr>
        <w:spacing w:line="360" w:lineRule="auto"/>
        <w:ind w:firstLine="420" w:firstLineChars="200"/>
        <w:rPr>
          <w:color w:val="auto"/>
          <w:highlight w:val="none"/>
        </w:rPr>
      </w:pPr>
      <w:r>
        <w:rPr>
          <w:color w:val="auto"/>
          <w:highlight w:val="none"/>
        </w:rPr>
        <w:t xml:space="preserve">6.6.2 </w:t>
      </w:r>
      <w:r>
        <w:rPr>
          <w:rFonts w:hint="eastAsia" w:cs="宋体"/>
          <w:color w:val="auto"/>
          <w:highlight w:val="none"/>
        </w:rPr>
        <w:t>投标人或者其他利害关系人对评标结果有异议的，应当在中标候选人公示期间提出。招标人自收到异议之日起</w:t>
      </w:r>
      <w:r>
        <w:rPr>
          <w:color w:val="auto"/>
          <w:highlight w:val="none"/>
        </w:rPr>
        <w:t>3</w:t>
      </w:r>
      <w:r>
        <w:rPr>
          <w:rFonts w:hint="eastAsia" w:cs="宋体"/>
          <w:color w:val="auto"/>
          <w:highlight w:val="none"/>
        </w:rPr>
        <w:t>日内作出答复。对招标人答复不满意或招标人拒不答复的，投标人可按照本章第</w:t>
      </w:r>
      <w:r>
        <w:rPr>
          <w:color w:val="auto"/>
          <w:highlight w:val="none"/>
        </w:rPr>
        <w:t>9.5</w:t>
      </w:r>
      <w:r>
        <w:rPr>
          <w:rFonts w:hint="eastAsia" w:cs="宋体"/>
          <w:color w:val="auto"/>
          <w:highlight w:val="none"/>
        </w:rPr>
        <w:t>条的规定程序向有关行政监督部门投诉。</w:t>
      </w:r>
    </w:p>
    <w:p>
      <w:pPr>
        <w:spacing w:line="360" w:lineRule="auto"/>
        <w:ind w:firstLine="420" w:firstLineChars="200"/>
        <w:rPr>
          <w:color w:val="auto"/>
          <w:highlight w:val="none"/>
        </w:rPr>
      </w:pPr>
      <w:r>
        <w:rPr>
          <w:color w:val="auto"/>
          <w:highlight w:val="none"/>
        </w:rPr>
        <w:t xml:space="preserve">6.6.3 </w:t>
      </w:r>
      <w:r>
        <w:rPr>
          <w:rFonts w:hint="eastAsia" w:cs="宋体"/>
          <w:color w:val="auto"/>
          <w:highlight w:val="none"/>
        </w:rPr>
        <w:t>招标人对中标候选人有投诉的，按照本章第</w:t>
      </w:r>
      <w:r>
        <w:rPr>
          <w:color w:val="auto"/>
          <w:highlight w:val="none"/>
        </w:rPr>
        <w:t>9.5</w:t>
      </w:r>
      <w:r>
        <w:rPr>
          <w:rFonts w:hint="eastAsia" w:cs="宋体"/>
          <w:color w:val="auto"/>
          <w:highlight w:val="none"/>
        </w:rPr>
        <w:t>条的规定程序执行。</w:t>
      </w:r>
    </w:p>
    <w:p>
      <w:pPr>
        <w:pStyle w:val="5"/>
        <w:rPr>
          <w:color w:val="auto"/>
          <w:highlight w:val="none"/>
        </w:rPr>
      </w:pPr>
      <w:bookmarkStart w:id="221" w:name="_Toc12009"/>
      <w:bookmarkStart w:id="222" w:name="_Toc465114777"/>
      <w:bookmarkStart w:id="223" w:name="_Toc66186343"/>
      <w:r>
        <w:rPr>
          <w:color w:val="auto"/>
          <w:highlight w:val="none"/>
        </w:rPr>
        <w:t>6.7</w:t>
      </w:r>
      <w:r>
        <w:rPr>
          <w:rFonts w:hint="eastAsia" w:cs="黑体"/>
          <w:color w:val="auto"/>
          <w:highlight w:val="none"/>
        </w:rPr>
        <w:t>履约能力审查</w:t>
      </w:r>
      <w:bookmarkEnd w:id="221"/>
      <w:bookmarkEnd w:id="222"/>
      <w:bookmarkEnd w:id="223"/>
    </w:p>
    <w:p>
      <w:pPr>
        <w:spacing w:line="360" w:lineRule="auto"/>
        <w:ind w:firstLine="420" w:firstLineChars="200"/>
        <w:rPr>
          <w:color w:val="auto"/>
          <w:highlight w:val="none"/>
        </w:rPr>
      </w:pPr>
      <w:r>
        <w:rPr>
          <w:rFonts w:hint="eastAsia"/>
          <w:color w:val="auto"/>
          <w:highlight w:val="none"/>
        </w:rPr>
        <w:t>在中标通知书发出前，如果中标候选人的经营、财务状况发生较大变化或存在“投标人须知前附表”规定的情形，可能造成不能履行合同、无法按照招标文件要求提交履约保证金等情形，不符合中标条件的，应在中标公示期及时书面告知招标人。</w:t>
      </w:r>
    </w:p>
    <w:p>
      <w:pPr>
        <w:spacing w:line="360" w:lineRule="auto"/>
        <w:ind w:firstLine="420" w:firstLineChars="200"/>
        <w:rPr>
          <w:color w:val="auto"/>
          <w:highlight w:val="none"/>
        </w:rPr>
      </w:pPr>
      <w:r>
        <w:rPr>
          <w:rFonts w:hint="eastAsia"/>
          <w:color w:val="auto"/>
          <w:highlight w:val="none"/>
        </w:rPr>
        <w:t>如招标人认为中标候选人的经营、财务状况发生较大变化、存在违法行为或者“投标人须知前附表”规定的情形，可能影响其履约能力的，应当在中标通知书发出前由原评标委员会按照招标文件规定的标准和方法审查确认。</w:t>
      </w:r>
    </w:p>
    <w:p>
      <w:pPr>
        <w:pStyle w:val="4"/>
        <w:rPr>
          <w:color w:val="auto"/>
          <w:highlight w:val="none"/>
        </w:rPr>
      </w:pPr>
      <w:bookmarkStart w:id="224" w:name="_Toc18839"/>
      <w:bookmarkStart w:id="225" w:name="_Toc66186344"/>
      <w:bookmarkStart w:id="226" w:name="_Toc389065184"/>
      <w:bookmarkStart w:id="227" w:name="_Toc407135119"/>
      <w:r>
        <w:rPr>
          <w:color w:val="auto"/>
          <w:highlight w:val="none"/>
        </w:rPr>
        <w:t xml:space="preserve">7 </w:t>
      </w:r>
      <w:r>
        <w:rPr>
          <w:rFonts w:hint="eastAsia" w:cs="黑体"/>
          <w:color w:val="auto"/>
          <w:highlight w:val="none"/>
        </w:rPr>
        <w:t>合同授予</w:t>
      </w:r>
      <w:bookmarkEnd w:id="224"/>
      <w:bookmarkEnd w:id="225"/>
      <w:bookmarkEnd w:id="226"/>
      <w:bookmarkEnd w:id="227"/>
    </w:p>
    <w:p>
      <w:pPr>
        <w:pStyle w:val="5"/>
        <w:rPr>
          <w:color w:val="auto"/>
          <w:highlight w:val="none"/>
        </w:rPr>
      </w:pPr>
      <w:bookmarkStart w:id="228" w:name="_Toc66186345"/>
      <w:bookmarkStart w:id="229" w:name="_Toc389065185"/>
      <w:bookmarkStart w:id="230" w:name="_Toc407135120"/>
      <w:bookmarkStart w:id="231" w:name="_Toc25194"/>
      <w:r>
        <w:rPr>
          <w:color w:val="auto"/>
          <w:highlight w:val="none"/>
        </w:rPr>
        <w:t xml:space="preserve">7.1 </w:t>
      </w:r>
      <w:r>
        <w:rPr>
          <w:rFonts w:hint="eastAsia" w:cs="黑体"/>
          <w:color w:val="auto"/>
          <w:highlight w:val="none"/>
        </w:rPr>
        <w:t>定标方式</w:t>
      </w:r>
      <w:bookmarkEnd w:id="228"/>
      <w:bookmarkEnd w:id="229"/>
      <w:bookmarkEnd w:id="230"/>
      <w:bookmarkEnd w:id="231"/>
    </w:p>
    <w:p>
      <w:pPr>
        <w:spacing w:line="360" w:lineRule="auto"/>
        <w:ind w:firstLine="420" w:firstLineChars="200"/>
        <w:rPr>
          <w:color w:val="auto"/>
          <w:highlight w:val="none"/>
        </w:rPr>
      </w:pPr>
      <w:r>
        <w:rPr>
          <w:rFonts w:hint="eastAsia" w:cs="宋体"/>
          <w:color w:val="auto"/>
          <w:highlight w:val="none"/>
        </w:rPr>
        <w:t>除</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规定评标委员会直接确定中标人外，招标人依据评标委员会推荐的中标候选人确定中标人，评标委员会推荐中标候选人的人数见</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w:t>
      </w:r>
    </w:p>
    <w:p>
      <w:pPr>
        <w:pStyle w:val="5"/>
        <w:rPr>
          <w:color w:val="auto"/>
          <w:highlight w:val="none"/>
        </w:rPr>
      </w:pPr>
      <w:bookmarkStart w:id="232" w:name="_Toc389065186"/>
      <w:bookmarkStart w:id="233" w:name="_Toc407135121"/>
      <w:bookmarkStart w:id="234" w:name="_Toc66186346"/>
      <w:bookmarkStart w:id="235" w:name="_Toc15116"/>
      <w:r>
        <w:rPr>
          <w:color w:val="auto"/>
          <w:highlight w:val="none"/>
        </w:rPr>
        <w:t xml:space="preserve">7.2 </w:t>
      </w:r>
      <w:r>
        <w:rPr>
          <w:rFonts w:hint="eastAsia" w:cs="黑体"/>
          <w:color w:val="auto"/>
          <w:highlight w:val="none"/>
        </w:rPr>
        <w:t>中标通知</w:t>
      </w:r>
      <w:bookmarkEnd w:id="232"/>
      <w:r>
        <w:rPr>
          <w:rFonts w:hint="eastAsia" w:cs="黑体"/>
          <w:color w:val="auto"/>
          <w:highlight w:val="none"/>
        </w:rPr>
        <w:t>及中标公告</w:t>
      </w:r>
      <w:bookmarkEnd w:id="233"/>
      <w:bookmarkEnd w:id="234"/>
      <w:bookmarkEnd w:id="235"/>
    </w:p>
    <w:p>
      <w:pPr>
        <w:spacing w:line="360" w:lineRule="auto"/>
        <w:ind w:firstLine="420" w:firstLineChars="200"/>
        <w:rPr>
          <w:color w:val="auto"/>
          <w:highlight w:val="none"/>
        </w:rPr>
      </w:pPr>
      <w:r>
        <w:rPr>
          <w:rFonts w:hint="eastAsia"/>
          <w:color w:val="auto"/>
          <w:highlight w:val="none"/>
        </w:rPr>
        <w:t>中标候选人公示期满无异议或异议不成立的，招标人应在公示期结束后，</w:t>
      </w:r>
      <w:r>
        <w:rPr>
          <w:color w:val="auto"/>
          <w:highlight w:val="none"/>
        </w:rPr>
        <w:t>5</w:t>
      </w:r>
      <w:r>
        <w:rPr>
          <w:rFonts w:hint="eastAsia"/>
          <w:color w:val="auto"/>
          <w:highlight w:val="none"/>
        </w:rPr>
        <w:t>日内按照招标文件规定的定标办法确定中标人，向中标人发出中标通知书，同时按规定的格式在发布媒介发出中标公告，将中标结果通知未中标的投标人。</w:t>
      </w:r>
    </w:p>
    <w:p>
      <w:pPr>
        <w:pStyle w:val="5"/>
        <w:rPr>
          <w:color w:val="auto"/>
          <w:highlight w:val="none"/>
        </w:rPr>
      </w:pPr>
      <w:bookmarkStart w:id="236" w:name="_Toc389065187"/>
      <w:bookmarkStart w:id="237" w:name="_Toc66186347"/>
      <w:bookmarkStart w:id="238" w:name="_Toc407135122"/>
      <w:bookmarkStart w:id="239" w:name="_Toc28352"/>
      <w:r>
        <w:rPr>
          <w:color w:val="auto"/>
          <w:highlight w:val="none"/>
        </w:rPr>
        <w:t xml:space="preserve">7.3 </w:t>
      </w:r>
      <w:r>
        <w:rPr>
          <w:rFonts w:hint="eastAsia" w:cs="黑体"/>
          <w:color w:val="auto"/>
          <w:highlight w:val="none"/>
        </w:rPr>
        <w:t>履约</w:t>
      </w:r>
      <w:bookmarkEnd w:id="236"/>
      <w:r>
        <w:rPr>
          <w:rFonts w:hint="eastAsia" w:cs="黑体"/>
          <w:color w:val="auto"/>
          <w:highlight w:val="none"/>
        </w:rPr>
        <w:t>保证金</w:t>
      </w:r>
      <w:bookmarkEnd w:id="237"/>
      <w:bookmarkEnd w:id="238"/>
      <w:bookmarkEnd w:id="239"/>
    </w:p>
    <w:p>
      <w:pPr>
        <w:spacing w:line="360" w:lineRule="auto"/>
        <w:ind w:firstLine="420" w:firstLineChars="200"/>
        <w:rPr>
          <w:color w:val="auto"/>
          <w:highlight w:val="none"/>
        </w:rPr>
      </w:pPr>
      <w:r>
        <w:rPr>
          <w:color w:val="auto"/>
          <w:highlight w:val="none"/>
        </w:rPr>
        <w:t xml:space="preserve">7.3.1 </w:t>
      </w:r>
      <w:r>
        <w:rPr>
          <w:rFonts w:hint="eastAsia" w:cs="宋体"/>
          <w:color w:val="auto"/>
          <w:highlight w:val="none"/>
        </w:rPr>
        <w:t>在签订合同前，中标人应按</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规定的金额、担保形式和招标文件第四章</w:t>
      </w:r>
      <w:r>
        <w:rPr>
          <w:color w:val="auto"/>
          <w:highlight w:val="none"/>
        </w:rPr>
        <w:t>“</w:t>
      </w:r>
      <w:r>
        <w:rPr>
          <w:rFonts w:hint="eastAsia" w:cs="宋体"/>
          <w:color w:val="auto"/>
          <w:highlight w:val="none"/>
        </w:rPr>
        <w:t>合同条款及格式</w:t>
      </w:r>
      <w:r>
        <w:rPr>
          <w:color w:val="auto"/>
          <w:highlight w:val="none"/>
        </w:rPr>
        <w:t>”</w:t>
      </w:r>
      <w:r>
        <w:rPr>
          <w:rFonts w:hint="eastAsia" w:cs="宋体"/>
          <w:color w:val="auto"/>
          <w:highlight w:val="none"/>
        </w:rPr>
        <w:t>规定的履约担保格式向招标人提交履约保证金。联合体中标的，其履约保证金由牵头人递交，并应符合</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规定的金额、担保形式和招标文件第四章</w:t>
      </w:r>
      <w:r>
        <w:rPr>
          <w:color w:val="auto"/>
          <w:highlight w:val="none"/>
        </w:rPr>
        <w:t>“</w:t>
      </w:r>
      <w:r>
        <w:rPr>
          <w:rFonts w:hint="eastAsia" w:cs="宋体"/>
          <w:color w:val="auto"/>
          <w:highlight w:val="none"/>
        </w:rPr>
        <w:t>合同条款</w:t>
      </w:r>
      <w:r>
        <w:rPr>
          <w:color w:val="auto"/>
          <w:highlight w:val="none"/>
        </w:rPr>
        <w:t>”</w:t>
      </w:r>
      <w:r>
        <w:rPr>
          <w:rFonts w:hint="eastAsia" w:cs="宋体"/>
          <w:color w:val="auto"/>
          <w:highlight w:val="none"/>
        </w:rPr>
        <w:t>规定的履约担保要求。</w:t>
      </w:r>
    </w:p>
    <w:p>
      <w:pPr>
        <w:spacing w:line="360" w:lineRule="auto"/>
        <w:ind w:firstLine="420" w:firstLineChars="200"/>
        <w:rPr>
          <w:color w:val="auto"/>
          <w:highlight w:val="none"/>
        </w:rPr>
      </w:pPr>
      <w:r>
        <w:rPr>
          <w:color w:val="auto"/>
          <w:highlight w:val="none"/>
        </w:rPr>
        <w:t xml:space="preserve">7.3.2 </w:t>
      </w:r>
      <w:r>
        <w:rPr>
          <w:rFonts w:hint="eastAsia" w:cs="宋体"/>
          <w:color w:val="auto"/>
          <w:highlight w:val="none"/>
        </w:rPr>
        <w:t>中标人不能按本章第</w:t>
      </w:r>
      <w:r>
        <w:rPr>
          <w:color w:val="auto"/>
          <w:highlight w:val="none"/>
        </w:rPr>
        <w:t>7.3.1</w:t>
      </w:r>
      <w:r>
        <w:rPr>
          <w:rFonts w:hint="eastAsia" w:cs="宋体"/>
          <w:color w:val="auto"/>
          <w:highlight w:val="none"/>
        </w:rPr>
        <w:t>项要求提交履约保证金的，视为放弃中标，招标人有权没收其投标保证金，给招标人造成的损失超过投标保证金数额的，中标人还应当对超过部分予以赔偿。</w:t>
      </w:r>
    </w:p>
    <w:p>
      <w:pPr>
        <w:pStyle w:val="5"/>
        <w:rPr>
          <w:color w:val="auto"/>
          <w:highlight w:val="none"/>
        </w:rPr>
      </w:pPr>
      <w:bookmarkStart w:id="240" w:name="_Toc66186348"/>
      <w:bookmarkStart w:id="241" w:name="_Toc389065188"/>
      <w:bookmarkStart w:id="242" w:name="_Toc407135123"/>
      <w:bookmarkStart w:id="243" w:name="_Toc26120"/>
      <w:r>
        <w:rPr>
          <w:color w:val="auto"/>
          <w:highlight w:val="none"/>
        </w:rPr>
        <w:t xml:space="preserve">7.4 </w:t>
      </w:r>
      <w:r>
        <w:rPr>
          <w:rFonts w:hint="eastAsia" w:cs="黑体"/>
          <w:color w:val="auto"/>
          <w:highlight w:val="none"/>
        </w:rPr>
        <w:t>签订合同</w:t>
      </w:r>
      <w:bookmarkEnd w:id="240"/>
      <w:bookmarkEnd w:id="241"/>
      <w:bookmarkEnd w:id="242"/>
      <w:bookmarkEnd w:id="243"/>
    </w:p>
    <w:p>
      <w:pPr>
        <w:spacing w:line="360" w:lineRule="auto"/>
        <w:ind w:firstLine="420" w:firstLineChars="200"/>
        <w:rPr>
          <w:color w:val="auto"/>
          <w:highlight w:val="none"/>
        </w:rPr>
      </w:pPr>
      <w:r>
        <w:rPr>
          <w:color w:val="auto"/>
          <w:highlight w:val="none"/>
        </w:rPr>
        <w:t xml:space="preserve">7.4.1 </w:t>
      </w:r>
      <w:r>
        <w:rPr>
          <w:rFonts w:hint="eastAsia" w:cs="宋体"/>
          <w:color w:val="auto"/>
          <w:highlight w:val="none"/>
        </w:rPr>
        <w:t>招标人和中标人应当在投标有效期内以及中标通知书发出之日起</w:t>
      </w:r>
      <w:r>
        <w:rPr>
          <w:color w:val="auto"/>
          <w:highlight w:val="none"/>
        </w:rPr>
        <w:t>30</w:t>
      </w:r>
      <w:r>
        <w:rPr>
          <w:rFonts w:hint="eastAsia" w:cs="宋体"/>
          <w:color w:val="auto"/>
          <w:highlight w:val="none"/>
        </w:rPr>
        <w:t>天内，根据招标文件和中标人的投标文件订立书面合同。中标人无正当理由拒签合同的，招标人取消其中标资格，招标人有权没收其投标保证金；给招标人造成的损失超过投标保证金数额的，中标人还应当对超过部分予以赔偿。对依法必须招标的项目的中标人，由有关行政监督部门责令改正。</w:t>
      </w:r>
    </w:p>
    <w:p>
      <w:pPr>
        <w:spacing w:line="360" w:lineRule="auto"/>
        <w:ind w:firstLine="420" w:firstLineChars="200"/>
        <w:rPr>
          <w:color w:val="auto"/>
          <w:highlight w:val="none"/>
        </w:rPr>
      </w:pPr>
      <w:r>
        <w:rPr>
          <w:color w:val="auto"/>
          <w:highlight w:val="none"/>
        </w:rPr>
        <w:t xml:space="preserve">7.4.2 </w:t>
      </w:r>
      <w:r>
        <w:rPr>
          <w:rFonts w:hint="eastAsia" w:cs="宋体"/>
          <w:color w:val="auto"/>
          <w:highlight w:val="none"/>
        </w:rPr>
        <w:t>国有资金占控股或者主导地位的依法必须进行招标的项目，招标人应当确定排名第一的中标候选人为中标人。排名第一的中标候选人（或者评标委员会依据招标人的授权直接确定的中标人）放弃中标，或因不可抗力提出不能履行合同，或者被查实存在影响中标结果的违法行为等情形，不符合中标条件的，招标人可以按照评标委员会提出的中标候选人名单排序（或者评标结果排序）依次确定其他中标候选人为中标人。依次确定其他中标候选人与招标人预期差距较大，或者对招标人明显不利的，招标人可以重新招标。</w:t>
      </w:r>
    </w:p>
    <w:p>
      <w:pPr>
        <w:spacing w:line="360" w:lineRule="auto"/>
        <w:ind w:firstLine="420" w:firstLineChars="200"/>
        <w:rPr>
          <w:color w:val="auto"/>
          <w:highlight w:val="none"/>
        </w:rPr>
      </w:pPr>
      <w:r>
        <w:rPr>
          <w:color w:val="auto"/>
          <w:highlight w:val="none"/>
        </w:rPr>
        <w:t xml:space="preserve">7.4.3 </w:t>
      </w:r>
      <w:r>
        <w:rPr>
          <w:rFonts w:hint="eastAsia" w:cs="宋体"/>
          <w:color w:val="auto"/>
          <w:highlight w:val="none"/>
        </w:rPr>
        <w:t>发出中标通知书后，招标人无正当理由拒签合同的，由有关行政监督部门给予警告，责令改正。</w:t>
      </w:r>
    </w:p>
    <w:p>
      <w:pPr>
        <w:pStyle w:val="4"/>
        <w:rPr>
          <w:color w:val="auto"/>
          <w:highlight w:val="none"/>
        </w:rPr>
      </w:pPr>
      <w:bookmarkStart w:id="244" w:name="_Toc389065189"/>
      <w:bookmarkStart w:id="245" w:name="_Toc407135124"/>
      <w:bookmarkStart w:id="246" w:name="_Toc10097"/>
      <w:bookmarkStart w:id="247" w:name="_Toc66186349"/>
      <w:r>
        <w:rPr>
          <w:color w:val="auto"/>
          <w:highlight w:val="none"/>
        </w:rPr>
        <w:t xml:space="preserve">8 </w:t>
      </w:r>
      <w:r>
        <w:rPr>
          <w:rFonts w:hint="eastAsia" w:cs="黑体"/>
          <w:color w:val="auto"/>
          <w:highlight w:val="none"/>
        </w:rPr>
        <w:t>重新招标和不再招标</w:t>
      </w:r>
      <w:bookmarkEnd w:id="244"/>
      <w:bookmarkEnd w:id="245"/>
      <w:bookmarkEnd w:id="246"/>
      <w:bookmarkEnd w:id="247"/>
    </w:p>
    <w:p>
      <w:pPr>
        <w:pStyle w:val="5"/>
        <w:rPr>
          <w:color w:val="auto"/>
          <w:highlight w:val="none"/>
        </w:rPr>
      </w:pPr>
      <w:bookmarkStart w:id="248" w:name="_Toc4642"/>
      <w:bookmarkStart w:id="249" w:name="_Toc389065190"/>
      <w:bookmarkStart w:id="250" w:name="_Toc407135125"/>
      <w:bookmarkStart w:id="251" w:name="_Toc66186350"/>
      <w:r>
        <w:rPr>
          <w:color w:val="auto"/>
          <w:highlight w:val="none"/>
        </w:rPr>
        <w:t xml:space="preserve">8.1 </w:t>
      </w:r>
      <w:r>
        <w:rPr>
          <w:rFonts w:hint="eastAsia" w:cs="黑体"/>
          <w:color w:val="auto"/>
          <w:highlight w:val="none"/>
        </w:rPr>
        <w:t>重新招标</w:t>
      </w:r>
      <w:bookmarkEnd w:id="248"/>
      <w:bookmarkEnd w:id="249"/>
      <w:bookmarkEnd w:id="250"/>
      <w:bookmarkEnd w:id="251"/>
    </w:p>
    <w:p>
      <w:pPr>
        <w:spacing w:line="360" w:lineRule="auto"/>
        <w:ind w:firstLine="420" w:firstLineChars="200"/>
        <w:rPr>
          <w:color w:val="auto"/>
          <w:highlight w:val="none"/>
        </w:rPr>
      </w:pPr>
      <w:r>
        <w:rPr>
          <w:rFonts w:hint="eastAsia" w:cs="宋体"/>
          <w:color w:val="auto"/>
          <w:highlight w:val="none"/>
        </w:rPr>
        <w:t>有下列情形之一的，招标人将重新招标：</w:t>
      </w:r>
    </w:p>
    <w:p>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）投标截止时，投标人少于</w:t>
      </w:r>
      <w:r>
        <w:rPr>
          <w:color w:val="auto"/>
          <w:highlight w:val="none"/>
        </w:rPr>
        <w:t>3</w:t>
      </w:r>
      <w:r>
        <w:rPr>
          <w:rFonts w:hint="eastAsia" w:cs="宋体"/>
          <w:color w:val="auto"/>
          <w:highlight w:val="none"/>
        </w:rPr>
        <w:t>个的；</w:t>
      </w:r>
    </w:p>
    <w:p>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）经评标委员会评审后</w:t>
      </w:r>
      <w:r>
        <w:rPr>
          <w:rFonts w:hint="eastAsia" w:ascii="宋体" w:hAnsi="宋体" w:cs="宋体"/>
          <w:color w:val="auto"/>
          <w:highlight w:val="none"/>
          <w:shd w:val="clear" w:color="auto" w:fill="FFFFFF"/>
        </w:rPr>
        <w:t>，所有投标被否决或者部分投标被否决后，有效投标不足</w:t>
      </w:r>
      <w:r>
        <w:rPr>
          <w:rFonts w:ascii="宋体" w:hAnsi="宋体" w:cs="宋体"/>
          <w:color w:val="auto"/>
          <w:highlight w:val="none"/>
          <w:shd w:val="clear" w:color="auto" w:fill="FFFFFF"/>
        </w:rPr>
        <w:t>3</w:t>
      </w:r>
      <w:r>
        <w:rPr>
          <w:rFonts w:hint="eastAsia" w:ascii="宋体" w:hAnsi="宋体" w:cs="宋体"/>
          <w:color w:val="auto"/>
          <w:highlight w:val="none"/>
          <w:shd w:val="clear" w:color="auto" w:fill="FFFFFF"/>
        </w:rPr>
        <w:t>个，导致投标明显缺乏竞争</w:t>
      </w:r>
      <w:r>
        <w:rPr>
          <w:rFonts w:hint="eastAsia" w:cs="宋体"/>
          <w:color w:val="auto"/>
          <w:highlight w:val="none"/>
        </w:rPr>
        <w:t>的；</w:t>
      </w:r>
    </w:p>
    <w:p>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）其他有关法规和文件规定的应当重新招标的情形。</w:t>
      </w:r>
    </w:p>
    <w:p>
      <w:pPr>
        <w:pStyle w:val="5"/>
        <w:rPr>
          <w:color w:val="auto"/>
          <w:highlight w:val="none"/>
        </w:rPr>
      </w:pPr>
      <w:bookmarkStart w:id="252" w:name="_Toc407135126"/>
      <w:bookmarkStart w:id="253" w:name="_Toc5948"/>
      <w:bookmarkStart w:id="254" w:name="_Toc389065191"/>
      <w:bookmarkStart w:id="255" w:name="_Toc66186351"/>
      <w:r>
        <w:rPr>
          <w:color w:val="auto"/>
          <w:highlight w:val="none"/>
        </w:rPr>
        <w:t xml:space="preserve">8.2 </w:t>
      </w:r>
      <w:r>
        <w:rPr>
          <w:rFonts w:hint="eastAsia" w:cs="黑体"/>
          <w:color w:val="auto"/>
          <w:highlight w:val="none"/>
        </w:rPr>
        <w:t>不再招标</w:t>
      </w:r>
      <w:bookmarkEnd w:id="252"/>
      <w:bookmarkEnd w:id="253"/>
      <w:bookmarkEnd w:id="254"/>
      <w:bookmarkEnd w:id="255"/>
    </w:p>
    <w:p>
      <w:pPr>
        <w:spacing w:line="360" w:lineRule="auto"/>
        <w:ind w:firstLine="420" w:firstLineChars="200"/>
        <w:rPr>
          <w:color w:val="auto"/>
          <w:highlight w:val="none"/>
        </w:rPr>
      </w:pPr>
      <w:r>
        <w:rPr>
          <w:rFonts w:hint="eastAsia" w:cs="宋体"/>
          <w:color w:val="auto"/>
          <w:highlight w:val="none"/>
        </w:rPr>
        <w:t>重新招标后投标人仍少于</w:t>
      </w:r>
      <w:r>
        <w:rPr>
          <w:color w:val="auto"/>
          <w:highlight w:val="none"/>
        </w:rPr>
        <w:t>3</w:t>
      </w:r>
      <w:r>
        <w:rPr>
          <w:rFonts w:hint="eastAsia" w:cs="宋体"/>
          <w:color w:val="auto"/>
          <w:highlight w:val="none"/>
        </w:rPr>
        <w:t>个的，属于必须审批或核准的工程建设项目，经原审批或核准部门批准后再进行招标。</w:t>
      </w:r>
      <w:bookmarkStart w:id="256" w:name="_Toc389065192"/>
    </w:p>
    <w:p>
      <w:pPr>
        <w:pStyle w:val="4"/>
        <w:rPr>
          <w:color w:val="auto"/>
          <w:highlight w:val="none"/>
        </w:rPr>
      </w:pPr>
      <w:bookmarkStart w:id="257" w:name="_Toc407135127"/>
      <w:bookmarkStart w:id="258" w:name="_Toc664"/>
      <w:bookmarkStart w:id="259" w:name="_Toc66186352"/>
      <w:r>
        <w:rPr>
          <w:color w:val="auto"/>
          <w:highlight w:val="none"/>
        </w:rPr>
        <w:t xml:space="preserve">9 </w:t>
      </w:r>
      <w:r>
        <w:rPr>
          <w:rFonts w:hint="eastAsia" w:cs="黑体"/>
          <w:color w:val="auto"/>
          <w:highlight w:val="none"/>
        </w:rPr>
        <w:t>纪律和监督</w:t>
      </w:r>
      <w:bookmarkEnd w:id="256"/>
      <w:bookmarkEnd w:id="257"/>
      <w:bookmarkEnd w:id="258"/>
      <w:bookmarkEnd w:id="259"/>
    </w:p>
    <w:p>
      <w:pPr>
        <w:pStyle w:val="5"/>
        <w:rPr>
          <w:color w:val="auto"/>
          <w:highlight w:val="none"/>
        </w:rPr>
      </w:pPr>
      <w:bookmarkStart w:id="260" w:name="_Toc407135128"/>
      <w:bookmarkStart w:id="261" w:name="_Toc66186353"/>
      <w:bookmarkStart w:id="262" w:name="_Toc12792"/>
      <w:bookmarkStart w:id="263" w:name="_Toc389065193"/>
      <w:r>
        <w:rPr>
          <w:color w:val="auto"/>
          <w:highlight w:val="none"/>
        </w:rPr>
        <w:t xml:space="preserve">9.1 </w:t>
      </w:r>
      <w:r>
        <w:rPr>
          <w:rFonts w:hint="eastAsia" w:cs="黑体"/>
          <w:color w:val="auto"/>
          <w:highlight w:val="none"/>
        </w:rPr>
        <w:t>对招标人或招标代理机构的纪律要求</w:t>
      </w:r>
      <w:bookmarkEnd w:id="260"/>
      <w:bookmarkEnd w:id="261"/>
      <w:bookmarkEnd w:id="262"/>
      <w:bookmarkEnd w:id="263"/>
    </w:p>
    <w:p>
      <w:pPr>
        <w:spacing w:line="360" w:lineRule="auto"/>
        <w:ind w:firstLine="420" w:firstLineChars="200"/>
        <w:rPr>
          <w:color w:val="auto"/>
          <w:highlight w:val="none"/>
        </w:rPr>
      </w:pPr>
      <w:r>
        <w:rPr>
          <w:rFonts w:hint="eastAsia" w:cs="宋体"/>
          <w:color w:val="auto"/>
          <w:highlight w:val="none"/>
        </w:rPr>
        <w:t>招标人不得泄漏招标投标活动中应当保密的情况和资料，不得与投标人串通损害国家利益、社会公共利益或者他人合法权益。有下列情形之一的，属于招标人或招标代理机构与投标人串通投标：</w:t>
      </w:r>
    </w:p>
    <w:p>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）招标人在开标前开启投标文件并将有关信息泄露给其他投标人；</w:t>
      </w:r>
    </w:p>
    <w:p>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）招标人直接或者间接向投标人泄露标底、评标委员会成员等信息；</w:t>
      </w:r>
    </w:p>
    <w:p>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）招标人明示或者暗示投标人压低或者抬高投标报价；</w:t>
      </w:r>
    </w:p>
    <w:p>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）招标人授意投标人撤换、修改投标文件；</w:t>
      </w:r>
    </w:p>
    <w:p>
      <w:pPr>
        <w:spacing w:line="360" w:lineRule="auto"/>
        <w:ind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）招标人明示或者暗示投标人为特定投标人中标提供方便；</w:t>
      </w:r>
    </w:p>
    <w:p>
      <w:pPr>
        <w:spacing w:line="360" w:lineRule="auto"/>
        <w:ind w:firstLine="420" w:firstLineChars="200"/>
        <w:rPr>
          <w:rFonts w:cs="宋体"/>
          <w:color w:val="auto"/>
          <w:highlight w:val="none"/>
        </w:rPr>
      </w:pPr>
      <w:r>
        <w:rPr>
          <w:rFonts w:hint="eastAsia" w:cs="宋体"/>
          <w:color w:val="auto"/>
          <w:highlight w:val="none"/>
        </w:rPr>
        <w:t>（</w:t>
      </w:r>
      <w:r>
        <w:rPr>
          <w:color w:val="auto"/>
          <w:highlight w:val="none"/>
        </w:rPr>
        <w:t>6</w:t>
      </w:r>
      <w:r>
        <w:rPr>
          <w:rFonts w:hint="eastAsia" w:cs="宋体"/>
          <w:color w:val="auto"/>
          <w:highlight w:val="none"/>
        </w:rPr>
        <w:t>）招标人与投标人为谋求特定投标人中标而采取的其他串通行为。</w:t>
      </w:r>
    </w:p>
    <w:p>
      <w:pPr>
        <w:spacing w:line="360" w:lineRule="auto"/>
        <w:ind w:firstLine="420" w:firstLineChars="200"/>
        <w:rPr>
          <w:color w:val="auto"/>
          <w:kern w:val="0"/>
          <w:highlight w:val="none"/>
        </w:rPr>
      </w:pPr>
      <w:r>
        <w:rPr>
          <w:rFonts w:hint="eastAsia"/>
          <w:color w:val="auto"/>
          <w:kern w:val="0"/>
          <w:highlight w:val="none"/>
        </w:rPr>
        <w:t>（7）发现不同投标人的法定代表人、委托代理人、项目负责人属于同一单位，仍同意其继续参加投标；</w:t>
      </w:r>
    </w:p>
    <w:p>
      <w:pPr>
        <w:spacing w:line="360" w:lineRule="auto"/>
        <w:ind w:firstLine="420" w:firstLineChars="200"/>
        <w:rPr>
          <w:color w:val="auto"/>
          <w:kern w:val="0"/>
          <w:highlight w:val="none"/>
        </w:rPr>
      </w:pPr>
      <w:r>
        <w:rPr>
          <w:rFonts w:hint="eastAsia"/>
          <w:color w:val="auto"/>
          <w:kern w:val="0"/>
          <w:highlight w:val="none"/>
        </w:rPr>
        <w:t>（8）招标人（招标代理机构）编制的招标公告、招标文件专门为某个特定投标人设置明显倾向性条款；</w:t>
      </w:r>
    </w:p>
    <w:p>
      <w:pPr>
        <w:spacing w:line="360" w:lineRule="auto"/>
        <w:ind w:firstLine="420" w:firstLineChars="200"/>
        <w:rPr>
          <w:color w:val="auto"/>
          <w:kern w:val="0"/>
          <w:highlight w:val="none"/>
        </w:rPr>
      </w:pPr>
      <w:r>
        <w:rPr>
          <w:rFonts w:hint="eastAsia"/>
          <w:color w:val="auto"/>
          <w:kern w:val="0"/>
          <w:highlight w:val="none"/>
        </w:rPr>
        <w:t>（9）在规定提交投标文件截止时间后，协助投标人撤换或修改投标文件；</w:t>
      </w:r>
    </w:p>
    <w:p>
      <w:pPr>
        <w:spacing w:line="360" w:lineRule="auto"/>
        <w:ind w:firstLine="420" w:firstLineChars="200"/>
        <w:rPr>
          <w:color w:val="auto"/>
          <w:kern w:val="0"/>
          <w:highlight w:val="none"/>
        </w:rPr>
      </w:pPr>
      <w:r>
        <w:rPr>
          <w:rFonts w:hint="eastAsia"/>
          <w:color w:val="auto"/>
          <w:kern w:val="0"/>
          <w:highlight w:val="none"/>
        </w:rPr>
        <w:t>（10）发现有由同一人或存在利益关系的几个利害关系人携带两个以上（含两个）投标人的企业资料参与领取招标资料，或代表两个以上（含两个）投标人缴纳或退还投标保证金、开标等情形而不制止，反而同意其继续参加投标的；</w:t>
      </w:r>
    </w:p>
    <w:p>
      <w:pPr>
        <w:spacing w:line="360" w:lineRule="auto"/>
        <w:ind w:firstLine="420" w:firstLineChars="200"/>
        <w:rPr>
          <w:color w:val="auto"/>
          <w:kern w:val="0"/>
          <w:highlight w:val="none"/>
        </w:rPr>
      </w:pPr>
      <w:r>
        <w:rPr>
          <w:rFonts w:hint="eastAsia"/>
          <w:color w:val="auto"/>
          <w:kern w:val="0"/>
          <w:highlight w:val="none"/>
        </w:rPr>
        <w:t>（11）在开标时发现不同投标人的投标资料（包括电子资料）相互混装等情形而不制止，反而同意其继续参加评标的；</w:t>
      </w:r>
    </w:p>
    <w:p>
      <w:pPr>
        <w:spacing w:line="360" w:lineRule="auto"/>
        <w:ind w:firstLine="420" w:firstLineChars="200"/>
        <w:rPr>
          <w:color w:val="auto"/>
          <w:kern w:val="0"/>
          <w:highlight w:val="none"/>
        </w:rPr>
      </w:pPr>
      <w:r>
        <w:rPr>
          <w:rFonts w:hint="eastAsia"/>
          <w:color w:val="auto"/>
          <w:kern w:val="0"/>
          <w:highlight w:val="none"/>
        </w:rPr>
        <w:t>（12）招标代理机构在同一房屋建筑和市政工程招标投标活动中，既为招标人提供招标代理服务又为参加该项目投标人提供投标咨询的；</w:t>
      </w:r>
    </w:p>
    <w:p>
      <w:pPr>
        <w:spacing w:line="360" w:lineRule="auto"/>
        <w:ind w:firstLine="420" w:firstLineChars="200"/>
        <w:rPr>
          <w:color w:val="auto"/>
          <w:kern w:val="0"/>
          <w:highlight w:val="none"/>
        </w:rPr>
      </w:pPr>
      <w:r>
        <w:rPr>
          <w:rFonts w:hint="eastAsia"/>
          <w:color w:val="auto"/>
          <w:kern w:val="0"/>
          <w:highlight w:val="none"/>
        </w:rPr>
        <w:t>（13）在招标文件以外招标人（招标代理机构）与投标人之间另行约定给予未中标的其他投标人费用补偿的；</w:t>
      </w:r>
    </w:p>
    <w:p>
      <w:pPr>
        <w:spacing w:line="360" w:lineRule="auto"/>
        <w:ind w:firstLine="420" w:firstLineChars="200"/>
        <w:rPr>
          <w:color w:val="auto"/>
          <w:kern w:val="0"/>
          <w:highlight w:val="none"/>
        </w:rPr>
      </w:pPr>
      <w:r>
        <w:rPr>
          <w:rFonts w:hint="eastAsia"/>
          <w:color w:val="auto"/>
          <w:kern w:val="0"/>
          <w:highlight w:val="none"/>
        </w:rPr>
        <w:t>（14）在评标时，对评标委员会进行倾向性引导或干扰正常评标秩序的；</w:t>
      </w:r>
    </w:p>
    <w:p>
      <w:pPr>
        <w:spacing w:line="360" w:lineRule="auto"/>
        <w:ind w:firstLine="420" w:firstLineChars="200"/>
        <w:rPr>
          <w:color w:val="auto"/>
          <w:kern w:val="0"/>
          <w:highlight w:val="none"/>
        </w:rPr>
      </w:pPr>
      <w:r>
        <w:rPr>
          <w:rFonts w:hint="eastAsia"/>
          <w:color w:val="auto"/>
          <w:kern w:val="0"/>
          <w:highlight w:val="none"/>
        </w:rPr>
        <w:t>（15）依法应当公开招标的建设工程，未确定中标人前，投标人已开展该工程招标范围内工作。</w:t>
      </w:r>
    </w:p>
    <w:p>
      <w:pPr>
        <w:pStyle w:val="5"/>
        <w:rPr>
          <w:color w:val="auto"/>
          <w:highlight w:val="none"/>
        </w:rPr>
      </w:pPr>
      <w:bookmarkStart w:id="264" w:name="_Toc27437"/>
      <w:bookmarkStart w:id="265" w:name="_Toc407135129"/>
      <w:bookmarkStart w:id="266" w:name="_Toc66186354"/>
      <w:r>
        <w:rPr>
          <w:color w:val="auto"/>
          <w:highlight w:val="none"/>
        </w:rPr>
        <w:t xml:space="preserve">9.2 </w:t>
      </w:r>
      <w:r>
        <w:rPr>
          <w:rFonts w:hint="eastAsia" w:cs="黑体"/>
          <w:color w:val="auto"/>
          <w:highlight w:val="none"/>
        </w:rPr>
        <w:t>对投标人的纪律要求</w:t>
      </w:r>
      <w:bookmarkEnd w:id="264"/>
      <w:bookmarkEnd w:id="265"/>
      <w:bookmarkEnd w:id="266"/>
    </w:p>
    <w:p>
      <w:pPr>
        <w:spacing w:line="360" w:lineRule="auto"/>
        <w:ind w:firstLine="420" w:firstLineChars="200"/>
        <w:rPr>
          <w:color w:val="auto"/>
          <w:highlight w:val="none"/>
        </w:rPr>
      </w:pPr>
      <w:r>
        <w:rPr>
          <w:color w:val="auto"/>
          <w:highlight w:val="none"/>
        </w:rPr>
        <w:t>9.2.1</w:t>
      </w:r>
      <w:r>
        <w:rPr>
          <w:rFonts w:hint="eastAsia" w:cs="宋体"/>
          <w:color w:val="auto"/>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有下列情形之一的，属于投标人相互串通投标：</w:t>
      </w:r>
    </w:p>
    <w:p>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）投标人之间协商投标报价等投标文件的实质性内容；</w:t>
      </w:r>
    </w:p>
    <w:p>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）投标人之间约定中标人；</w:t>
      </w:r>
    </w:p>
    <w:p>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）投标人之间约定部分投标人放弃投标或者中标；</w:t>
      </w:r>
    </w:p>
    <w:p>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）属于同一集团、协会、商会等组织成员的投标人按照该组织要求协同投标；</w:t>
      </w:r>
    </w:p>
    <w:p>
      <w:pPr>
        <w:spacing w:line="360" w:lineRule="auto"/>
        <w:ind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）投标人之间为谋取中标或者排斥特定投标人而采取的其他联合行动；</w:t>
      </w:r>
    </w:p>
    <w:p>
      <w:pPr>
        <w:spacing w:line="360" w:lineRule="auto"/>
        <w:ind w:firstLine="420" w:firstLineChars="200"/>
        <w:rPr>
          <w:color w:val="auto"/>
          <w:highlight w:val="none"/>
        </w:rPr>
      </w:pPr>
      <w:r>
        <w:rPr>
          <w:rFonts w:hint="eastAsia" w:cs="宋体"/>
          <w:color w:val="auto"/>
          <w:highlight w:val="none"/>
        </w:rPr>
        <w:t>（</w:t>
      </w:r>
      <w:r>
        <w:rPr>
          <w:color w:val="auto"/>
          <w:highlight w:val="none"/>
        </w:rPr>
        <w:t>6</w:t>
      </w:r>
      <w:r>
        <w:rPr>
          <w:rFonts w:hint="eastAsia" w:cs="宋体"/>
          <w:color w:val="auto"/>
          <w:highlight w:val="none"/>
        </w:rPr>
        <w:t>）不同投标人的投标文件由同一单位或者个人编制；</w:t>
      </w:r>
    </w:p>
    <w:p>
      <w:pPr>
        <w:spacing w:line="360" w:lineRule="auto"/>
        <w:ind w:firstLine="420" w:firstLineChars="200"/>
        <w:rPr>
          <w:color w:val="auto"/>
          <w:highlight w:val="none"/>
        </w:rPr>
      </w:pPr>
      <w:r>
        <w:rPr>
          <w:rFonts w:hint="eastAsia" w:cs="宋体"/>
          <w:color w:val="auto"/>
          <w:highlight w:val="none"/>
        </w:rPr>
        <w:t>（</w:t>
      </w:r>
      <w:r>
        <w:rPr>
          <w:color w:val="auto"/>
          <w:highlight w:val="none"/>
        </w:rPr>
        <w:t>7</w:t>
      </w:r>
      <w:r>
        <w:rPr>
          <w:rFonts w:hint="eastAsia" w:cs="宋体"/>
          <w:color w:val="auto"/>
          <w:highlight w:val="none"/>
        </w:rPr>
        <w:t>）不同投标人委托同一个人或注册在同一家企业的注册人员或同一家企业为其投标提供投标咨询、商务报价、技术咨询（招标工程本身要求采用专有技术的除外）等服务；</w:t>
      </w:r>
    </w:p>
    <w:p>
      <w:pPr>
        <w:spacing w:line="360" w:lineRule="auto"/>
        <w:ind w:firstLine="420" w:firstLineChars="200"/>
        <w:rPr>
          <w:color w:val="auto"/>
          <w:highlight w:val="none"/>
        </w:rPr>
      </w:pPr>
      <w:r>
        <w:rPr>
          <w:rFonts w:hint="eastAsia" w:cs="宋体"/>
          <w:color w:val="auto"/>
          <w:highlight w:val="none"/>
        </w:rPr>
        <w:t>（</w:t>
      </w:r>
      <w:r>
        <w:rPr>
          <w:color w:val="auto"/>
          <w:highlight w:val="none"/>
        </w:rPr>
        <w:t>8</w:t>
      </w:r>
      <w:r>
        <w:rPr>
          <w:rFonts w:hint="eastAsia" w:cs="宋体"/>
          <w:color w:val="auto"/>
          <w:highlight w:val="none"/>
        </w:rPr>
        <w:t>）不同投标人的投标文件载明的项目管理成员为同一人；</w:t>
      </w:r>
    </w:p>
    <w:p>
      <w:pPr>
        <w:spacing w:line="360" w:lineRule="auto"/>
        <w:ind w:firstLine="420" w:firstLineChars="200"/>
        <w:rPr>
          <w:color w:val="auto"/>
          <w:highlight w:val="none"/>
        </w:rPr>
      </w:pPr>
      <w:r>
        <w:rPr>
          <w:rFonts w:hint="eastAsia" w:cs="宋体"/>
          <w:color w:val="auto"/>
          <w:highlight w:val="none"/>
        </w:rPr>
        <w:t>（</w:t>
      </w:r>
      <w:r>
        <w:rPr>
          <w:color w:val="auto"/>
          <w:highlight w:val="none"/>
        </w:rPr>
        <w:t>9</w:t>
      </w:r>
      <w:r>
        <w:rPr>
          <w:rFonts w:hint="eastAsia" w:cs="宋体"/>
          <w:color w:val="auto"/>
          <w:highlight w:val="none"/>
        </w:rPr>
        <w:t>）不同投标人的技术文件内容异常一致（相似度达70%以上的）或者实质性相同的，或者投标报价呈规律性差异（不同投标人报价呈等差数列、不同投标人的投标报价的差额本身呈等差数列或者规律性的百分比等）；</w:t>
      </w:r>
    </w:p>
    <w:p>
      <w:pPr>
        <w:spacing w:line="360" w:lineRule="auto"/>
        <w:ind w:firstLine="420" w:firstLineChars="200"/>
        <w:rPr>
          <w:color w:val="auto"/>
          <w:highlight w:val="none"/>
        </w:rPr>
      </w:pPr>
      <w:r>
        <w:rPr>
          <w:rFonts w:hint="eastAsia" w:cs="宋体"/>
          <w:color w:val="auto"/>
          <w:highlight w:val="none"/>
        </w:rPr>
        <w:t>（</w:t>
      </w:r>
      <w:r>
        <w:rPr>
          <w:color w:val="auto"/>
          <w:highlight w:val="none"/>
        </w:rPr>
        <w:t>10</w:t>
      </w:r>
      <w:r>
        <w:rPr>
          <w:rFonts w:hint="eastAsia" w:cs="宋体"/>
          <w:color w:val="auto"/>
          <w:highlight w:val="none"/>
        </w:rPr>
        <w:t>）在资格审查或开标时不同投标人的投标资料相互混装；</w:t>
      </w:r>
    </w:p>
    <w:p>
      <w:pPr>
        <w:spacing w:line="360" w:lineRule="auto"/>
        <w:ind w:firstLine="420" w:firstLineChars="200"/>
        <w:rPr>
          <w:color w:val="auto"/>
          <w:highlight w:val="none"/>
        </w:rPr>
      </w:pPr>
      <w:r>
        <w:rPr>
          <w:rFonts w:hint="eastAsia" w:cs="宋体"/>
          <w:color w:val="auto"/>
          <w:highlight w:val="none"/>
        </w:rPr>
        <w:t>（</w:t>
      </w:r>
      <w:r>
        <w:rPr>
          <w:color w:val="auto"/>
          <w:highlight w:val="none"/>
        </w:rPr>
        <w:t>11</w:t>
      </w:r>
      <w:r>
        <w:rPr>
          <w:rFonts w:hint="eastAsia" w:cs="宋体"/>
          <w:color w:val="auto"/>
          <w:highlight w:val="none"/>
        </w:rPr>
        <w:t>）不同投标人的投标保证金从同一单位或者个人的账户转出；</w:t>
      </w:r>
    </w:p>
    <w:p>
      <w:pPr>
        <w:spacing w:line="360" w:lineRule="auto"/>
        <w:ind w:firstLine="420" w:firstLineChars="200"/>
        <w:rPr>
          <w:rFonts w:cs="宋体"/>
          <w:color w:val="auto"/>
          <w:highlight w:val="none"/>
        </w:rPr>
      </w:pPr>
      <w:r>
        <w:rPr>
          <w:rFonts w:hint="eastAsia" w:cs="宋体"/>
          <w:color w:val="auto"/>
          <w:highlight w:val="none"/>
        </w:rPr>
        <w:t>（</w:t>
      </w:r>
      <w:r>
        <w:rPr>
          <w:color w:val="auto"/>
          <w:highlight w:val="none"/>
        </w:rPr>
        <w:t>12</w:t>
      </w:r>
      <w:r>
        <w:rPr>
          <w:rFonts w:hint="eastAsia" w:cs="宋体"/>
          <w:color w:val="auto"/>
          <w:highlight w:val="none"/>
        </w:rPr>
        <w:t>）不同投标人的投标文件由同一电脑编制、上传，或投标报价用同一个预算编制软件密码锁制作或出自同一电子文档；</w:t>
      </w:r>
    </w:p>
    <w:p>
      <w:pPr>
        <w:spacing w:line="360" w:lineRule="auto"/>
        <w:ind w:firstLine="420" w:firstLineChars="200"/>
        <w:rPr>
          <w:rFonts w:cs="宋体"/>
          <w:color w:val="auto"/>
          <w:highlight w:val="none"/>
        </w:rPr>
      </w:pPr>
      <w:r>
        <w:rPr>
          <w:rFonts w:hint="eastAsia" w:cs="宋体"/>
          <w:color w:val="auto"/>
          <w:highlight w:val="none"/>
        </w:rPr>
        <w:t>（</w:t>
      </w:r>
      <w:r>
        <w:rPr>
          <w:rFonts w:cs="宋体"/>
          <w:color w:val="auto"/>
          <w:highlight w:val="none"/>
        </w:rPr>
        <w:t>13</w:t>
      </w:r>
      <w:r>
        <w:rPr>
          <w:rFonts w:hint="eastAsia" w:cs="宋体"/>
          <w:color w:val="auto"/>
          <w:highlight w:val="none"/>
        </w:rPr>
        <w:t>）由同一人或分别由几个有利害关系人携带两个以上（含两个）投标人的企业资料参与资格审查、领取招标资料，或代表两个以上（含两个）投标人参加招标答疑会、缴纳或退还投标保证金、开标；</w:t>
      </w:r>
    </w:p>
    <w:p>
      <w:pPr>
        <w:spacing w:line="360" w:lineRule="auto"/>
        <w:ind w:firstLine="420" w:firstLineChars="200"/>
        <w:rPr>
          <w:rFonts w:cs="宋体"/>
          <w:color w:val="auto"/>
          <w:highlight w:val="none"/>
        </w:rPr>
      </w:pPr>
      <w:r>
        <w:rPr>
          <w:rFonts w:hint="eastAsia" w:cs="宋体"/>
          <w:color w:val="auto"/>
          <w:highlight w:val="none"/>
        </w:rPr>
        <w:t>（1</w:t>
      </w:r>
      <w:r>
        <w:rPr>
          <w:rFonts w:cs="宋体"/>
          <w:color w:val="auto"/>
          <w:highlight w:val="none"/>
        </w:rPr>
        <w:t>4</w:t>
      </w:r>
      <w:r>
        <w:rPr>
          <w:rFonts w:hint="eastAsia" w:cs="宋体"/>
          <w:color w:val="auto"/>
          <w:highlight w:val="none"/>
        </w:rPr>
        <w:t>）不同投标人的法定代表人、委托代理人、项目负责人、项目总监等人员有在同一个单位缴纳社会保险；</w:t>
      </w:r>
    </w:p>
    <w:p>
      <w:pPr>
        <w:spacing w:line="360" w:lineRule="auto"/>
        <w:ind w:firstLine="420" w:firstLineChars="200"/>
        <w:rPr>
          <w:rFonts w:cs="宋体"/>
          <w:color w:val="auto"/>
          <w:highlight w:val="none"/>
        </w:rPr>
      </w:pPr>
      <w:r>
        <w:rPr>
          <w:rFonts w:hint="eastAsia" w:cs="宋体"/>
          <w:color w:val="auto"/>
          <w:highlight w:val="none"/>
        </w:rPr>
        <w:t>（1</w:t>
      </w:r>
      <w:r>
        <w:rPr>
          <w:rFonts w:cs="宋体"/>
          <w:color w:val="auto"/>
          <w:highlight w:val="none"/>
        </w:rPr>
        <w:t>5</w:t>
      </w:r>
      <w:r>
        <w:rPr>
          <w:rFonts w:hint="eastAsia" w:cs="宋体"/>
          <w:color w:val="auto"/>
          <w:highlight w:val="none"/>
        </w:rPr>
        <w:t>）投标人之间相互约定给予未中标的投标人费用补偿；</w:t>
      </w:r>
    </w:p>
    <w:p>
      <w:pPr>
        <w:spacing w:line="360" w:lineRule="auto"/>
        <w:rPr>
          <w:rFonts w:cs="宋体"/>
          <w:color w:val="auto"/>
          <w:highlight w:val="none"/>
        </w:rPr>
      </w:pPr>
      <w:r>
        <w:rPr>
          <w:rFonts w:hint="eastAsia" w:cs="宋体"/>
          <w:color w:val="auto"/>
          <w:highlight w:val="none"/>
        </w:rPr>
        <w:t xml:space="preserve">    （1</w:t>
      </w:r>
      <w:r>
        <w:rPr>
          <w:rFonts w:cs="宋体"/>
          <w:color w:val="auto"/>
          <w:highlight w:val="none"/>
        </w:rPr>
        <w:t>6</w:t>
      </w:r>
      <w:r>
        <w:rPr>
          <w:rFonts w:hint="eastAsia" w:cs="宋体"/>
          <w:color w:val="auto"/>
          <w:highlight w:val="none"/>
        </w:rPr>
        <w:t>）不同投标人编制的投标文件存在两处以上错误一致。</w:t>
      </w:r>
    </w:p>
    <w:p>
      <w:pPr>
        <w:spacing w:line="360" w:lineRule="auto"/>
        <w:ind w:firstLine="420" w:firstLineChars="200"/>
        <w:rPr>
          <w:rFonts w:cs="宋体"/>
          <w:color w:val="auto"/>
          <w:highlight w:val="none"/>
        </w:rPr>
      </w:pPr>
      <w:r>
        <w:rPr>
          <w:rFonts w:cs="宋体"/>
          <w:color w:val="auto"/>
          <w:highlight w:val="none"/>
        </w:rPr>
        <w:t>9.2.2</w:t>
      </w:r>
      <w:r>
        <w:rPr>
          <w:rFonts w:hint="eastAsia" w:cs="宋体"/>
          <w:color w:val="auto"/>
          <w:highlight w:val="none"/>
        </w:rPr>
        <w:t xml:space="preserve">投标人有下列情形之一的，属于投标人弄虚作假：    </w:t>
      </w:r>
    </w:p>
    <w:p>
      <w:pPr>
        <w:spacing w:line="360" w:lineRule="auto"/>
        <w:ind w:firstLine="420" w:firstLineChars="200"/>
        <w:rPr>
          <w:rFonts w:cs="宋体"/>
          <w:color w:val="auto"/>
          <w:highlight w:val="none"/>
        </w:rPr>
      </w:pPr>
      <w:r>
        <w:rPr>
          <w:rFonts w:hint="eastAsia" w:cs="宋体"/>
          <w:color w:val="auto"/>
          <w:highlight w:val="none"/>
        </w:rPr>
        <w:t>（1）使用虚假的业绩、荣誉、建设工程合同、财务状况、信用状况等；</w:t>
      </w:r>
    </w:p>
    <w:p>
      <w:pPr>
        <w:spacing w:line="360" w:lineRule="auto"/>
        <w:ind w:firstLine="420" w:firstLineChars="200"/>
        <w:rPr>
          <w:rFonts w:cs="宋体"/>
          <w:color w:val="auto"/>
          <w:highlight w:val="none"/>
        </w:rPr>
      </w:pPr>
      <w:r>
        <w:rPr>
          <w:rFonts w:hint="eastAsia" w:cs="宋体"/>
          <w:color w:val="auto"/>
          <w:highlight w:val="none"/>
        </w:rPr>
        <w:t>（2）提供虚假的项目负责人或者主要技术人员简历、劳动关系证明、社保证明等；</w:t>
      </w:r>
    </w:p>
    <w:p>
      <w:pPr>
        <w:spacing w:line="360" w:lineRule="auto"/>
        <w:ind w:firstLine="420" w:firstLineChars="200"/>
        <w:rPr>
          <w:rFonts w:cs="宋体"/>
          <w:color w:val="auto"/>
          <w:highlight w:val="none"/>
        </w:rPr>
      </w:pPr>
      <w:r>
        <w:rPr>
          <w:rFonts w:hint="eastAsia" w:cs="宋体"/>
          <w:color w:val="auto"/>
          <w:highlight w:val="none"/>
        </w:rPr>
        <w:t>（3）其他弄虚作假的行为。</w:t>
      </w:r>
    </w:p>
    <w:p>
      <w:pPr>
        <w:spacing w:line="360" w:lineRule="auto"/>
        <w:ind w:firstLine="420" w:firstLineChars="200"/>
        <w:rPr>
          <w:rFonts w:cs="宋体"/>
          <w:color w:val="auto"/>
          <w:highlight w:val="none"/>
        </w:rPr>
      </w:pPr>
      <w:r>
        <w:rPr>
          <w:rFonts w:cs="宋体"/>
          <w:color w:val="auto"/>
          <w:highlight w:val="none"/>
        </w:rPr>
        <w:t>9.2.3</w:t>
      </w:r>
      <w:r>
        <w:rPr>
          <w:rFonts w:hint="eastAsia" w:cs="宋体"/>
          <w:color w:val="auto"/>
          <w:highlight w:val="none"/>
        </w:rPr>
        <w:t>投标人不得向招标人或评标委员会成员或其他有关人员索问评标过程的情况和材料。</w:t>
      </w:r>
    </w:p>
    <w:p>
      <w:pPr>
        <w:pStyle w:val="5"/>
        <w:rPr>
          <w:color w:val="auto"/>
          <w:highlight w:val="none"/>
        </w:rPr>
      </w:pPr>
      <w:bookmarkStart w:id="267" w:name="_Toc22139"/>
      <w:bookmarkStart w:id="268" w:name="_Toc389065194"/>
      <w:bookmarkStart w:id="269" w:name="_Toc66186355"/>
      <w:bookmarkStart w:id="270" w:name="_Toc407135130"/>
      <w:r>
        <w:rPr>
          <w:color w:val="auto"/>
          <w:highlight w:val="none"/>
        </w:rPr>
        <w:t xml:space="preserve">9.3 </w:t>
      </w:r>
      <w:r>
        <w:rPr>
          <w:rFonts w:hint="eastAsia" w:cs="黑体"/>
          <w:color w:val="auto"/>
          <w:highlight w:val="none"/>
        </w:rPr>
        <w:t>对评标委员会成员的纪律要求</w:t>
      </w:r>
      <w:bookmarkEnd w:id="267"/>
      <w:bookmarkEnd w:id="268"/>
      <w:bookmarkEnd w:id="269"/>
      <w:bookmarkEnd w:id="270"/>
    </w:p>
    <w:p>
      <w:pPr>
        <w:spacing w:line="360" w:lineRule="auto"/>
        <w:ind w:firstLine="420" w:firstLineChars="200"/>
        <w:rPr>
          <w:color w:val="auto"/>
          <w:highlight w:val="none"/>
        </w:rPr>
      </w:pPr>
      <w:r>
        <w:rPr>
          <w:rFonts w:hint="eastAsia" w:cs="宋体"/>
          <w:color w:val="auto"/>
          <w:highlight w:val="none"/>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w:t>
      </w:r>
      <w:r>
        <w:rPr>
          <w:color w:val="auto"/>
          <w:highlight w:val="none"/>
        </w:rPr>
        <w:t>“</w:t>
      </w:r>
      <w:r>
        <w:rPr>
          <w:rFonts w:hint="eastAsia" w:cs="宋体"/>
          <w:color w:val="auto"/>
          <w:highlight w:val="none"/>
        </w:rPr>
        <w:t>评标办法</w:t>
      </w:r>
      <w:r>
        <w:rPr>
          <w:color w:val="auto"/>
          <w:highlight w:val="none"/>
        </w:rPr>
        <w:t>”</w:t>
      </w:r>
      <w:r>
        <w:rPr>
          <w:rFonts w:hint="eastAsia" w:cs="宋体"/>
          <w:color w:val="auto"/>
          <w:highlight w:val="none"/>
        </w:rPr>
        <w:t>没有规定的评审因素和标准进行评标。</w:t>
      </w:r>
    </w:p>
    <w:p>
      <w:pPr>
        <w:pStyle w:val="5"/>
        <w:rPr>
          <w:color w:val="auto"/>
          <w:highlight w:val="none"/>
        </w:rPr>
      </w:pPr>
      <w:bookmarkStart w:id="271" w:name="_Toc18684"/>
      <w:bookmarkStart w:id="272" w:name="_Toc407135131"/>
      <w:bookmarkStart w:id="273" w:name="_Toc66186356"/>
      <w:bookmarkStart w:id="274" w:name="_Toc389065195"/>
      <w:r>
        <w:rPr>
          <w:color w:val="auto"/>
          <w:highlight w:val="none"/>
        </w:rPr>
        <w:t xml:space="preserve">9.4 </w:t>
      </w:r>
      <w:r>
        <w:rPr>
          <w:rFonts w:hint="eastAsia" w:cs="黑体"/>
          <w:color w:val="auto"/>
          <w:highlight w:val="none"/>
        </w:rPr>
        <w:t>对与评标活动有关的工作人员的纪律要求</w:t>
      </w:r>
      <w:bookmarkEnd w:id="271"/>
      <w:bookmarkEnd w:id="272"/>
      <w:bookmarkEnd w:id="273"/>
      <w:bookmarkEnd w:id="274"/>
    </w:p>
    <w:p>
      <w:pPr>
        <w:spacing w:line="360" w:lineRule="auto"/>
        <w:ind w:firstLine="420" w:firstLineChars="200"/>
        <w:rPr>
          <w:color w:val="auto"/>
          <w:highlight w:val="none"/>
        </w:rPr>
      </w:pPr>
      <w:r>
        <w:rPr>
          <w:rFonts w:hint="eastAsia" w:cs="宋体"/>
          <w:color w:val="auto"/>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Start w:id="275" w:name="_Toc389065196"/>
    </w:p>
    <w:p>
      <w:pPr>
        <w:pStyle w:val="5"/>
        <w:rPr>
          <w:color w:val="auto"/>
          <w:highlight w:val="none"/>
        </w:rPr>
      </w:pPr>
      <w:bookmarkStart w:id="276" w:name="_Toc10411"/>
      <w:bookmarkStart w:id="277" w:name="_Toc407135132"/>
      <w:bookmarkStart w:id="278" w:name="_Toc66186357"/>
      <w:r>
        <w:rPr>
          <w:color w:val="auto"/>
          <w:highlight w:val="none"/>
        </w:rPr>
        <w:t xml:space="preserve">9.5 </w:t>
      </w:r>
      <w:r>
        <w:rPr>
          <w:rFonts w:hint="eastAsia" w:cs="黑体"/>
          <w:color w:val="auto"/>
          <w:highlight w:val="none"/>
        </w:rPr>
        <w:t>投诉</w:t>
      </w:r>
      <w:bookmarkEnd w:id="275"/>
      <w:bookmarkEnd w:id="276"/>
      <w:bookmarkEnd w:id="277"/>
      <w:bookmarkEnd w:id="278"/>
      <w:bookmarkStart w:id="279" w:name="_Toc389065197"/>
    </w:p>
    <w:p>
      <w:pPr>
        <w:spacing w:line="360" w:lineRule="auto"/>
        <w:ind w:firstLine="420" w:firstLineChars="200"/>
        <w:rPr>
          <w:color w:val="auto"/>
          <w:highlight w:val="none"/>
        </w:rPr>
      </w:pPr>
      <w:r>
        <w:rPr>
          <w:rFonts w:hint="eastAsia" w:cs="宋体"/>
          <w:color w:val="auto"/>
          <w:highlight w:val="none"/>
        </w:rPr>
        <w:t>投标人和其他利害关系人认为本次招标活动违反法律、法规和规章规定的，可以在知道或者应当知道之日起十日内向有关行政督管理部门提出书面投诉。投诉事项应先提出异议，没有提出异议的，不予受理。</w:t>
      </w:r>
    </w:p>
    <w:p>
      <w:pPr>
        <w:pStyle w:val="4"/>
        <w:rPr>
          <w:color w:val="auto"/>
          <w:highlight w:val="none"/>
        </w:rPr>
      </w:pPr>
      <w:bookmarkStart w:id="280" w:name="_Toc407135133"/>
      <w:bookmarkStart w:id="281" w:name="_Toc66186358"/>
      <w:bookmarkStart w:id="282" w:name="_Toc9913"/>
      <w:r>
        <w:rPr>
          <w:color w:val="auto"/>
          <w:highlight w:val="none"/>
        </w:rPr>
        <w:t xml:space="preserve">10 </w:t>
      </w:r>
      <w:r>
        <w:rPr>
          <w:rFonts w:hint="eastAsia" w:cs="黑体"/>
          <w:color w:val="auto"/>
          <w:highlight w:val="none"/>
        </w:rPr>
        <w:t>需要补充的其他内容</w:t>
      </w:r>
      <w:bookmarkEnd w:id="279"/>
      <w:bookmarkEnd w:id="280"/>
      <w:bookmarkEnd w:id="281"/>
      <w:bookmarkEnd w:id="282"/>
    </w:p>
    <w:p>
      <w:pPr>
        <w:pStyle w:val="5"/>
        <w:rPr>
          <w:color w:val="auto"/>
          <w:highlight w:val="none"/>
        </w:rPr>
      </w:pPr>
      <w:bookmarkStart w:id="283" w:name="_Toc66186359"/>
      <w:bookmarkStart w:id="284" w:name="_Toc407135134"/>
      <w:bookmarkStart w:id="285" w:name="_Toc19752"/>
      <w:r>
        <w:rPr>
          <w:color w:val="auto"/>
          <w:highlight w:val="none"/>
        </w:rPr>
        <w:t xml:space="preserve">10.1 </w:t>
      </w:r>
      <w:r>
        <w:rPr>
          <w:rFonts w:hint="eastAsia" w:cs="黑体"/>
          <w:color w:val="auto"/>
          <w:highlight w:val="none"/>
        </w:rPr>
        <w:t>词语定义</w:t>
      </w:r>
      <w:bookmarkEnd w:id="283"/>
      <w:bookmarkEnd w:id="284"/>
      <w:bookmarkEnd w:id="285"/>
    </w:p>
    <w:p>
      <w:pPr>
        <w:spacing w:line="360" w:lineRule="auto"/>
        <w:ind w:firstLine="420" w:firstLineChars="200"/>
        <w:rPr>
          <w:color w:val="auto"/>
          <w:highlight w:val="none"/>
        </w:rPr>
      </w:pPr>
      <w:r>
        <w:rPr>
          <w:rFonts w:hint="eastAsia" w:cs="宋体"/>
          <w:color w:val="auto"/>
          <w:highlight w:val="none"/>
        </w:rPr>
        <w:t>见“投标人须知前附表”。</w:t>
      </w:r>
    </w:p>
    <w:p>
      <w:pPr>
        <w:pStyle w:val="5"/>
        <w:rPr>
          <w:color w:val="auto"/>
          <w:highlight w:val="none"/>
        </w:rPr>
      </w:pPr>
      <w:bookmarkStart w:id="286" w:name="_Toc20547"/>
      <w:bookmarkStart w:id="287" w:name="_Toc66186360"/>
      <w:bookmarkStart w:id="288" w:name="_Toc407135135"/>
      <w:bookmarkStart w:id="289" w:name="_Toc389065198"/>
      <w:r>
        <w:rPr>
          <w:color w:val="auto"/>
          <w:highlight w:val="none"/>
        </w:rPr>
        <w:t xml:space="preserve">10.2 </w:t>
      </w:r>
      <w:r>
        <w:rPr>
          <w:rFonts w:hint="eastAsia" w:cs="黑体"/>
          <w:color w:val="auto"/>
          <w:highlight w:val="none"/>
        </w:rPr>
        <w:t>招标控制价</w:t>
      </w:r>
      <w:bookmarkEnd w:id="286"/>
      <w:bookmarkEnd w:id="287"/>
      <w:bookmarkEnd w:id="288"/>
      <w:bookmarkEnd w:id="289"/>
    </w:p>
    <w:p>
      <w:pPr>
        <w:spacing w:line="360" w:lineRule="auto"/>
        <w:ind w:firstLine="420" w:firstLineChars="200"/>
        <w:rPr>
          <w:color w:val="auto"/>
          <w:highlight w:val="none"/>
        </w:rPr>
      </w:pPr>
      <w:r>
        <w:rPr>
          <w:rFonts w:hint="eastAsia" w:cs="宋体"/>
          <w:color w:val="auto"/>
          <w:highlight w:val="none"/>
        </w:rPr>
        <w:t>招标控制价设置要求见“投标人须知前附表”。</w:t>
      </w:r>
    </w:p>
    <w:p>
      <w:pPr>
        <w:spacing w:line="360" w:lineRule="auto"/>
        <w:ind w:firstLine="420" w:firstLineChars="200"/>
        <w:rPr>
          <w:color w:val="auto"/>
          <w:highlight w:val="none"/>
        </w:rPr>
      </w:pPr>
      <w:r>
        <w:rPr>
          <w:rFonts w:hint="eastAsia" w:cs="宋体"/>
          <w:color w:val="auto"/>
          <w:highlight w:val="none"/>
        </w:rPr>
        <w:t>招标人或受其委托具有相应资质的中介机构，按照国家和地区的相关规定及第五章的要求编制招标工程的招标控制价</w:t>
      </w:r>
      <w:r>
        <w:rPr>
          <w:rFonts w:hint="eastAsia" w:ascii="楷体_GB2312" w:eastAsia="楷体_GB2312" w:cs="楷体_GB2312"/>
          <w:color w:val="auto"/>
          <w:highlight w:val="none"/>
        </w:rPr>
        <w:t>（招标控制价不应上浮或下调）</w:t>
      </w:r>
      <w:r>
        <w:rPr>
          <w:rFonts w:hint="eastAsia" w:cs="宋体"/>
          <w:color w:val="auto"/>
          <w:highlight w:val="none"/>
        </w:rPr>
        <w:t>。</w:t>
      </w:r>
    </w:p>
    <w:p>
      <w:pPr>
        <w:spacing w:line="360" w:lineRule="auto"/>
        <w:ind w:firstLine="420" w:firstLineChars="200"/>
        <w:rPr>
          <w:rFonts w:cs="宋体"/>
          <w:color w:val="auto"/>
          <w:highlight w:val="none"/>
        </w:rPr>
      </w:pPr>
      <w:r>
        <w:rPr>
          <w:rFonts w:hint="eastAsia" w:cs="宋体"/>
          <w:color w:val="auto"/>
          <w:highlight w:val="none"/>
        </w:rPr>
        <w:t>原则上招标控制价应于投标截止时间前</w:t>
      </w:r>
      <w:r>
        <w:rPr>
          <w:color w:val="auto"/>
          <w:highlight w:val="none"/>
        </w:rPr>
        <w:t>15</w:t>
      </w:r>
      <w:r>
        <w:rPr>
          <w:rFonts w:hint="eastAsia" w:cs="宋体"/>
          <w:color w:val="auto"/>
          <w:highlight w:val="none"/>
        </w:rPr>
        <w:t>日向所有投标人公布，最迟应当在投标截止时间</w:t>
      </w:r>
      <w:r>
        <w:rPr>
          <w:color w:val="auto"/>
          <w:highlight w:val="none"/>
        </w:rPr>
        <w:t>7</w:t>
      </w:r>
      <w:r>
        <w:rPr>
          <w:rFonts w:hint="eastAsia" w:cs="宋体"/>
          <w:color w:val="auto"/>
          <w:highlight w:val="none"/>
        </w:rPr>
        <w:t>日前公布。潜在投标人或者其他利害关系人对招标控制价有异议的，应当在投标截止时间</w:t>
      </w:r>
      <w:r>
        <w:rPr>
          <w:color w:val="auto"/>
          <w:highlight w:val="none"/>
        </w:rPr>
        <w:t>5</w:t>
      </w:r>
      <w:r>
        <w:rPr>
          <w:rFonts w:hint="eastAsia" w:cs="宋体"/>
          <w:color w:val="auto"/>
          <w:highlight w:val="none"/>
        </w:rPr>
        <w:t>日前提出。招标人应当自收到异议之日起</w:t>
      </w:r>
      <w:r>
        <w:rPr>
          <w:color w:val="auto"/>
          <w:highlight w:val="none"/>
        </w:rPr>
        <w:t>3</w:t>
      </w:r>
      <w:r>
        <w:rPr>
          <w:rFonts w:hint="eastAsia" w:cs="宋体"/>
          <w:color w:val="auto"/>
          <w:highlight w:val="none"/>
        </w:rPr>
        <w:t>日内作出答复。招标人需重新公布招标控制价的，其最终公布的时间到投标截止时间不足</w:t>
      </w:r>
      <w:r>
        <w:rPr>
          <w:color w:val="auto"/>
          <w:highlight w:val="none"/>
        </w:rPr>
        <w:t>7</w:t>
      </w:r>
      <w:r>
        <w:rPr>
          <w:rFonts w:hint="eastAsia" w:cs="宋体"/>
          <w:color w:val="auto"/>
          <w:highlight w:val="none"/>
        </w:rPr>
        <w:t>天可能影响投标文件编制的，应顺延提交投标文件的截止时间。</w:t>
      </w:r>
    </w:p>
    <w:p>
      <w:pPr>
        <w:pStyle w:val="5"/>
        <w:rPr>
          <w:color w:val="auto"/>
          <w:highlight w:val="none"/>
        </w:rPr>
      </w:pPr>
      <w:bookmarkStart w:id="290" w:name="_Toc6958"/>
      <w:bookmarkStart w:id="291" w:name="_Toc66186361"/>
      <w:r>
        <w:rPr>
          <w:color w:val="auto"/>
          <w:highlight w:val="none"/>
        </w:rPr>
        <w:t xml:space="preserve">10.3 </w:t>
      </w:r>
      <w:r>
        <w:rPr>
          <w:rFonts w:hint="eastAsia" w:cs="黑体"/>
          <w:color w:val="auto"/>
          <w:highlight w:val="none"/>
        </w:rPr>
        <w:t>技术标</w:t>
      </w:r>
      <w:r>
        <w:rPr>
          <w:rFonts w:cs="黑体"/>
          <w:color w:val="auto"/>
          <w:highlight w:val="none"/>
        </w:rPr>
        <w:t>评审方式</w:t>
      </w:r>
      <w:bookmarkEnd w:id="290"/>
      <w:bookmarkEnd w:id="291"/>
    </w:p>
    <w:p>
      <w:pPr>
        <w:spacing w:line="360" w:lineRule="auto"/>
        <w:ind w:firstLine="420" w:firstLineChars="200"/>
        <w:rPr>
          <w:color w:val="auto"/>
          <w:highlight w:val="none"/>
        </w:rPr>
      </w:pPr>
      <w:r>
        <w:rPr>
          <w:rFonts w:hint="eastAsia" w:cs="宋体"/>
          <w:color w:val="auto"/>
          <w:highlight w:val="none"/>
        </w:rPr>
        <w:t>见“投标人须知前附表”。</w:t>
      </w:r>
    </w:p>
    <w:p>
      <w:pPr>
        <w:pStyle w:val="5"/>
        <w:rPr>
          <w:color w:val="auto"/>
          <w:highlight w:val="none"/>
        </w:rPr>
      </w:pPr>
      <w:bookmarkStart w:id="292" w:name="_Toc407135137"/>
      <w:bookmarkStart w:id="293" w:name="_Toc66186362"/>
      <w:bookmarkStart w:id="294" w:name="_Toc22381"/>
      <w:r>
        <w:rPr>
          <w:color w:val="auto"/>
          <w:highlight w:val="none"/>
        </w:rPr>
        <w:t>10.4</w:t>
      </w:r>
      <w:r>
        <w:rPr>
          <w:rFonts w:hint="eastAsia" w:cs="黑体"/>
          <w:color w:val="auto"/>
          <w:highlight w:val="none"/>
        </w:rPr>
        <w:t>投标文件</w:t>
      </w:r>
      <w:bookmarkEnd w:id="292"/>
      <w:r>
        <w:rPr>
          <w:rFonts w:hint="eastAsia" w:cs="黑体"/>
          <w:color w:val="auto"/>
          <w:highlight w:val="none"/>
        </w:rPr>
        <w:t>电子版</w:t>
      </w:r>
      <w:bookmarkEnd w:id="293"/>
      <w:bookmarkEnd w:id="294"/>
    </w:p>
    <w:p>
      <w:pPr>
        <w:spacing w:line="360" w:lineRule="auto"/>
        <w:ind w:firstLine="420" w:firstLineChars="200"/>
        <w:rPr>
          <w:color w:val="auto"/>
          <w:highlight w:val="none"/>
        </w:rPr>
      </w:pPr>
      <w:r>
        <w:rPr>
          <w:rFonts w:hint="eastAsia" w:cs="宋体"/>
          <w:color w:val="auto"/>
          <w:highlight w:val="none"/>
        </w:rPr>
        <w:t>电子投标文件的具体内容要求见“投标人须知前附表”。</w:t>
      </w:r>
    </w:p>
    <w:p>
      <w:pPr>
        <w:pStyle w:val="5"/>
        <w:rPr>
          <w:color w:val="auto"/>
          <w:highlight w:val="none"/>
        </w:rPr>
      </w:pPr>
      <w:bookmarkStart w:id="295" w:name="_Toc66186363"/>
      <w:bookmarkStart w:id="296" w:name="_Toc16031"/>
      <w:bookmarkStart w:id="297" w:name="_Toc407135138"/>
      <w:r>
        <w:rPr>
          <w:color w:val="auto"/>
          <w:highlight w:val="none"/>
        </w:rPr>
        <w:t xml:space="preserve">10.5 </w:t>
      </w:r>
      <w:r>
        <w:rPr>
          <w:rFonts w:hint="eastAsia" w:cs="黑体"/>
          <w:color w:val="auto"/>
          <w:highlight w:val="none"/>
        </w:rPr>
        <w:t>知识产权</w:t>
      </w:r>
      <w:bookmarkEnd w:id="295"/>
      <w:bookmarkEnd w:id="296"/>
      <w:bookmarkEnd w:id="297"/>
    </w:p>
    <w:p>
      <w:pPr>
        <w:spacing w:line="360" w:lineRule="auto"/>
        <w:ind w:firstLine="420" w:firstLineChars="200"/>
        <w:rPr>
          <w:color w:val="auto"/>
          <w:highlight w:val="none"/>
        </w:rPr>
      </w:pPr>
      <w:r>
        <w:rPr>
          <w:rFonts w:hint="eastAsia" w:cs="宋体"/>
          <w:color w:val="auto"/>
          <w:highlight w:val="none"/>
        </w:rPr>
        <w:t>招标人对其知识产权的具体要求见“投标人须知前附表”。</w:t>
      </w:r>
    </w:p>
    <w:p>
      <w:pPr>
        <w:pStyle w:val="5"/>
        <w:rPr>
          <w:color w:val="auto"/>
          <w:highlight w:val="none"/>
        </w:rPr>
      </w:pPr>
      <w:bookmarkStart w:id="298" w:name="_Toc407135139"/>
      <w:bookmarkStart w:id="299" w:name="_Toc66186364"/>
      <w:bookmarkStart w:id="300" w:name="_Toc7272"/>
      <w:r>
        <w:rPr>
          <w:color w:val="auto"/>
          <w:highlight w:val="none"/>
        </w:rPr>
        <w:t xml:space="preserve">10.6 </w:t>
      </w:r>
      <w:r>
        <w:rPr>
          <w:rFonts w:hint="eastAsia" w:cs="黑体"/>
          <w:color w:val="auto"/>
          <w:highlight w:val="none"/>
        </w:rPr>
        <w:t>重新招标的其他情形</w:t>
      </w:r>
      <w:bookmarkEnd w:id="298"/>
      <w:bookmarkEnd w:id="299"/>
      <w:bookmarkEnd w:id="300"/>
    </w:p>
    <w:p>
      <w:pPr>
        <w:spacing w:line="360" w:lineRule="auto"/>
        <w:ind w:firstLine="420" w:firstLineChars="200"/>
        <w:rPr>
          <w:color w:val="auto"/>
          <w:highlight w:val="none"/>
        </w:rPr>
      </w:pPr>
      <w:r>
        <w:rPr>
          <w:rFonts w:hint="eastAsia" w:cs="宋体"/>
          <w:color w:val="auto"/>
          <w:highlight w:val="none"/>
        </w:rPr>
        <w:t>见“投标人须知前附表”。</w:t>
      </w:r>
    </w:p>
    <w:p>
      <w:pPr>
        <w:pStyle w:val="5"/>
        <w:rPr>
          <w:color w:val="auto"/>
          <w:highlight w:val="none"/>
        </w:rPr>
      </w:pPr>
      <w:bookmarkStart w:id="301" w:name="_Toc21341"/>
      <w:bookmarkStart w:id="302" w:name="_Toc66186365"/>
      <w:bookmarkStart w:id="303" w:name="_Toc407135140"/>
      <w:r>
        <w:rPr>
          <w:color w:val="auto"/>
          <w:highlight w:val="none"/>
        </w:rPr>
        <w:t xml:space="preserve">10.7 </w:t>
      </w:r>
      <w:r>
        <w:rPr>
          <w:rFonts w:hint="eastAsia" w:cs="黑体"/>
          <w:color w:val="auto"/>
          <w:highlight w:val="none"/>
        </w:rPr>
        <w:t>同义词语</w:t>
      </w:r>
      <w:bookmarkEnd w:id="301"/>
      <w:bookmarkEnd w:id="302"/>
      <w:bookmarkEnd w:id="303"/>
    </w:p>
    <w:p>
      <w:pPr>
        <w:spacing w:line="360" w:lineRule="auto"/>
        <w:ind w:firstLine="420" w:firstLineChars="200"/>
        <w:rPr>
          <w:color w:val="auto"/>
          <w:highlight w:val="none"/>
        </w:rPr>
      </w:pPr>
      <w:r>
        <w:rPr>
          <w:rFonts w:hint="eastAsia" w:cs="宋体"/>
          <w:color w:val="auto"/>
          <w:highlight w:val="none"/>
        </w:rPr>
        <w:t>见“投标人须知前附表”。</w:t>
      </w:r>
    </w:p>
    <w:p>
      <w:pPr>
        <w:pStyle w:val="5"/>
        <w:rPr>
          <w:color w:val="auto"/>
          <w:highlight w:val="none"/>
        </w:rPr>
      </w:pPr>
      <w:bookmarkStart w:id="304" w:name="_Toc66186366"/>
      <w:bookmarkStart w:id="305" w:name="_Toc24125"/>
      <w:bookmarkStart w:id="306" w:name="_Toc407135141"/>
      <w:r>
        <w:rPr>
          <w:color w:val="auto"/>
          <w:highlight w:val="none"/>
        </w:rPr>
        <w:t xml:space="preserve">10.8 </w:t>
      </w:r>
      <w:r>
        <w:rPr>
          <w:rFonts w:hint="eastAsia" w:cs="黑体"/>
          <w:color w:val="auto"/>
          <w:highlight w:val="none"/>
        </w:rPr>
        <w:t>监督</w:t>
      </w:r>
      <w:bookmarkEnd w:id="304"/>
      <w:bookmarkEnd w:id="305"/>
      <w:bookmarkEnd w:id="306"/>
    </w:p>
    <w:p>
      <w:pPr>
        <w:spacing w:line="360" w:lineRule="auto"/>
        <w:ind w:firstLine="420" w:firstLineChars="200"/>
        <w:rPr>
          <w:color w:val="auto"/>
          <w:highlight w:val="none"/>
        </w:rPr>
      </w:pPr>
      <w:r>
        <w:rPr>
          <w:rFonts w:hint="eastAsia" w:cs="宋体"/>
          <w:color w:val="auto"/>
          <w:highlight w:val="none"/>
        </w:rPr>
        <w:t>本项目招标的监督部门见“投标人须知前附表”。</w:t>
      </w:r>
    </w:p>
    <w:p>
      <w:pPr>
        <w:pStyle w:val="5"/>
        <w:rPr>
          <w:color w:val="auto"/>
          <w:highlight w:val="none"/>
        </w:rPr>
      </w:pPr>
      <w:bookmarkStart w:id="307" w:name="_Toc407135142"/>
      <w:bookmarkStart w:id="308" w:name="_Toc66186367"/>
      <w:bookmarkStart w:id="309" w:name="_Toc3154"/>
      <w:r>
        <w:rPr>
          <w:color w:val="auto"/>
          <w:highlight w:val="none"/>
        </w:rPr>
        <w:t xml:space="preserve">10.9 </w:t>
      </w:r>
      <w:r>
        <w:rPr>
          <w:rFonts w:hint="eastAsia" w:cs="黑体"/>
          <w:color w:val="auto"/>
          <w:highlight w:val="none"/>
        </w:rPr>
        <w:t>解释权</w:t>
      </w:r>
      <w:bookmarkEnd w:id="307"/>
      <w:bookmarkEnd w:id="308"/>
      <w:bookmarkEnd w:id="309"/>
    </w:p>
    <w:p>
      <w:pPr>
        <w:spacing w:line="360" w:lineRule="auto"/>
        <w:ind w:firstLine="420" w:firstLineChars="200"/>
        <w:rPr>
          <w:color w:val="auto"/>
          <w:highlight w:val="none"/>
        </w:rPr>
      </w:pPr>
      <w:r>
        <w:rPr>
          <w:rFonts w:hint="eastAsia" w:cs="宋体"/>
          <w:color w:val="auto"/>
          <w:highlight w:val="none"/>
        </w:rPr>
        <w:t>见“投标人须知前附表”。</w:t>
      </w:r>
    </w:p>
    <w:p>
      <w:pPr>
        <w:pStyle w:val="5"/>
        <w:rPr>
          <w:color w:val="auto"/>
          <w:highlight w:val="none"/>
        </w:rPr>
      </w:pPr>
      <w:bookmarkStart w:id="310" w:name="_Toc407135143"/>
      <w:bookmarkStart w:id="311" w:name="_Toc66186368"/>
      <w:bookmarkStart w:id="312" w:name="_Toc15400"/>
      <w:r>
        <w:rPr>
          <w:color w:val="auto"/>
          <w:highlight w:val="none"/>
        </w:rPr>
        <w:t xml:space="preserve">10.10 </w:t>
      </w:r>
      <w:r>
        <w:rPr>
          <w:rFonts w:hint="eastAsia" w:cs="黑体"/>
          <w:color w:val="auto"/>
          <w:highlight w:val="none"/>
        </w:rPr>
        <w:t>招标人补充的其他内容</w:t>
      </w:r>
      <w:bookmarkEnd w:id="310"/>
      <w:bookmarkEnd w:id="311"/>
      <w:bookmarkEnd w:id="312"/>
    </w:p>
    <w:p>
      <w:pPr>
        <w:widowControl/>
        <w:ind w:firstLine="420" w:firstLineChars="200"/>
        <w:jc w:val="left"/>
        <w:rPr>
          <w:color w:val="auto"/>
          <w:highlight w:val="none"/>
        </w:rPr>
      </w:pPr>
      <w:r>
        <w:rPr>
          <w:rFonts w:hint="eastAsia" w:cs="宋体"/>
          <w:color w:val="auto"/>
          <w:highlight w:val="none"/>
        </w:rPr>
        <w:t>见“投标人须知前附表”。</w:t>
      </w:r>
    </w:p>
    <w:p>
      <w:pPr>
        <w:pStyle w:val="5"/>
        <w:rPr>
          <w:color w:val="auto"/>
          <w:highlight w:val="none"/>
        </w:rPr>
      </w:pPr>
      <w:bookmarkStart w:id="313" w:name="_Toc66186369"/>
      <w:bookmarkStart w:id="314" w:name="_Toc19416"/>
      <w:r>
        <w:rPr>
          <w:color w:val="auto"/>
          <w:highlight w:val="none"/>
        </w:rPr>
        <w:t xml:space="preserve">10.11 </w:t>
      </w:r>
      <w:r>
        <w:rPr>
          <w:rFonts w:hint="eastAsia"/>
          <w:color w:val="auto"/>
          <w:highlight w:val="none"/>
        </w:rPr>
        <w:t>投标人递交投标文件、参加开标会须提交的授权委托书等文件格式</w:t>
      </w:r>
      <w:bookmarkEnd w:id="313"/>
      <w:bookmarkEnd w:id="314"/>
      <w:r>
        <w:rPr>
          <w:rFonts w:hint="eastAsia"/>
          <w:color w:val="auto"/>
          <w:highlight w:val="none"/>
        </w:rPr>
        <w:t xml:space="preserve"> </w:t>
      </w:r>
    </w:p>
    <w:p>
      <w:pPr>
        <w:ind w:firstLine="420" w:firstLineChars="200"/>
        <w:rPr>
          <w:color w:val="auto"/>
          <w:highlight w:val="none"/>
          <w:lang w:val="zh-CN"/>
        </w:rPr>
      </w:pPr>
      <w:r>
        <w:rPr>
          <w:rFonts w:hint="eastAsia" w:cs="宋体"/>
          <w:color w:val="auto"/>
          <w:highlight w:val="none"/>
        </w:rPr>
        <w:t>见本章附件。</w:t>
      </w:r>
    </w:p>
    <w:p>
      <w:pPr>
        <w:spacing w:line="480" w:lineRule="auto"/>
        <w:jc w:val="center"/>
        <w:rPr>
          <w:b/>
          <w:color w:val="auto"/>
          <w:sz w:val="28"/>
          <w:szCs w:val="28"/>
          <w:highlight w:val="none"/>
        </w:rPr>
        <w:sectPr>
          <w:pgSz w:w="11906" w:h="16838"/>
          <w:pgMar w:top="1440" w:right="1440" w:bottom="1440" w:left="1797" w:header="851" w:footer="851" w:gutter="0"/>
          <w:cols w:space="720" w:num="1"/>
          <w:docGrid w:linePitch="312" w:charSpace="0"/>
        </w:sectPr>
      </w:pPr>
    </w:p>
    <w:p>
      <w:pPr>
        <w:spacing w:line="480" w:lineRule="auto"/>
        <w:jc w:val="left"/>
        <w:rPr>
          <w:b/>
          <w:color w:val="auto"/>
          <w:sz w:val="28"/>
          <w:szCs w:val="28"/>
          <w:highlight w:val="none"/>
        </w:rPr>
      </w:pPr>
      <w:r>
        <w:rPr>
          <w:rFonts w:hint="eastAsia"/>
          <w:b/>
          <w:color w:val="auto"/>
          <w:sz w:val="28"/>
          <w:szCs w:val="28"/>
          <w:highlight w:val="none"/>
        </w:rPr>
        <w:t>附件</w:t>
      </w:r>
    </w:p>
    <w:p>
      <w:pPr>
        <w:spacing w:line="480" w:lineRule="auto"/>
        <w:jc w:val="center"/>
        <w:rPr>
          <w:b/>
          <w:color w:val="auto"/>
          <w:sz w:val="28"/>
          <w:szCs w:val="28"/>
          <w:highlight w:val="none"/>
        </w:rPr>
      </w:pPr>
      <w:r>
        <w:rPr>
          <w:rFonts w:hint="eastAsia" w:cs="宋体"/>
          <w:b/>
          <w:color w:val="auto"/>
          <w:sz w:val="28"/>
          <w:szCs w:val="28"/>
          <w:highlight w:val="none"/>
        </w:rPr>
        <w:t>开标授权委托书</w:t>
      </w:r>
    </w:p>
    <w:p>
      <w:pPr>
        <w:spacing w:after="156" w:line="360" w:lineRule="auto"/>
        <w:rPr>
          <w:b/>
          <w:color w:val="auto"/>
          <w:highlight w:val="none"/>
        </w:rPr>
      </w:pPr>
    </w:p>
    <w:p>
      <w:pPr>
        <w:spacing w:line="460" w:lineRule="exact"/>
        <w:ind w:firstLine="612"/>
        <w:rPr>
          <w:color w:val="auto"/>
          <w:highlight w:val="none"/>
        </w:rPr>
      </w:pPr>
      <w:r>
        <w:rPr>
          <w:rFonts w:hint="eastAsia" w:cs="宋体"/>
          <w:color w:val="auto"/>
          <w:highlight w:val="none"/>
        </w:rPr>
        <w:t>本授权委托书声明：我</w:t>
      </w:r>
      <w:r>
        <w:rPr>
          <w:color w:val="auto"/>
          <w:highlight w:val="none"/>
          <w:u w:val="single"/>
        </w:rPr>
        <w:t xml:space="preserve">  </w:t>
      </w:r>
      <w:r>
        <w:rPr>
          <w:rFonts w:hint="eastAsia" w:cs="宋体"/>
          <w:color w:val="auto"/>
          <w:highlight w:val="none"/>
          <w:u w:val="single"/>
        </w:rPr>
        <w:t>（姓名）</w:t>
      </w:r>
      <w:r>
        <w:rPr>
          <w:rFonts w:hint="eastAsia" w:cs="宋体"/>
          <w:color w:val="auto"/>
          <w:highlight w:val="none"/>
        </w:rPr>
        <w:t>系</w:t>
      </w:r>
      <w:r>
        <w:rPr>
          <w:color w:val="auto"/>
          <w:highlight w:val="none"/>
          <w:u w:val="single"/>
        </w:rPr>
        <w:t xml:space="preserve">                     </w:t>
      </w:r>
      <w:r>
        <w:rPr>
          <w:rFonts w:hint="eastAsia" w:cs="宋体"/>
          <w:color w:val="auto"/>
          <w:highlight w:val="none"/>
        </w:rPr>
        <w:t>（投标人名称）的法定代表人，我公司自愿参加</w:t>
      </w:r>
      <w:r>
        <w:rPr>
          <w:color w:val="auto"/>
          <w:highlight w:val="none"/>
        </w:rPr>
        <w:t xml:space="preserve"> </w:t>
      </w:r>
      <w:r>
        <w:rPr>
          <w:rFonts w:hint="eastAsia" w:cs="宋体"/>
          <w:color w:val="auto"/>
          <w:highlight w:val="none"/>
          <w:u w:val="single"/>
        </w:rPr>
        <w:t>（项目名称及项目招标编号）</w:t>
      </w:r>
      <w:r>
        <w:rPr>
          <w:rFonts w:hint="eastAsia" w:cs="宋体"/>
          <w:color w:val="auto"/>
          <w:highlight w:val="none"/>
        </w:rPr>
        <w:t>的招投标活动，现授权本公司的</w:t>
      </w:r>
      <w:r>
        <w:rPr>
          <w:color w:val="auto"/>
          <w:highlight w:val="none"/>
          <w:u w:val="single"/>
        </w:rPr>
        <w:t xml:space="preserve">          </w:t>
      </w:r>
      <w:r>
        <w:rPr>
          <w:rFonts w:hint="eastAsia" w:cs="宋体"/>
          <w:color w:val="auto"/>
          <w:highlight w:val="none"/>
          <w:u w:val="single"/>
        </w:rPr>
        <w:t>（姓名）</w:t>
      </w:r>
      <w:r>
        <w:rPr>
          <w:rFonts w:hint="eastAsia" w:cs="宋体"/>
          <w:color w:val="auto"/>
          <w:highlight w:val="none"/>
        </w:rPr>
        <w:t>作为公司的授权代理人，代表我公司递交投标文件、参加开标活动、签署开标记录、澄清投标文件等一系列与项目投标活动有关的事项，代理人在该活动中签署的一切文件和处理与之有关的一切事务，我均予以承认。</w:t>
      </w:r>
    </w:p>
    <w:p>
      <w:pPr>
        <w:spacing w:line="460" w:lineRule="exact"/>
        <w:ind w:firstLine="612"/>
        <w:rPr>
          <w:color w:val="auto"/>
          <w:highlight w:val="none"/>
        </w:rPr>
      </w:pPr>
      <w:r>
        <w:rPr>
          <w:rFonts w:hint="eastAsia" w:cs="宋体"/>
          <w:color w:val="auto"/>
          <w:highlight w:val="none"/>
        </w:rPr>
        <w:t>本授权书有效期：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日至</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日止。</w:t>
      </w:r>
    </w:p>
    <w:p>
      <w:pPr>
        <w:spacing w:line="480" w:lineRule="auto"/>
        <w:ind w:firstLine="610"/>
        <w:rPr>
          <w:color w:val="auto"/>
          <w:highlight w:val="none"/>
        </w:rPr>
      </w:pPr>
    </w:p>
    <w:p>
      <w:pPr>
        <w:spacing w:line="480" w:lineRule="auto"/>
        <w:ind w:firstLine="697"/>
        <w:rPr>
          <w:color w:val="auto"/>
          <w:highlight w:val="none"/>
        </w:rPr>
      </w:pPr>
      <w:r>
        <w:rPr>
          <w:rFonts w:hint="eastAsia" w:cs="宋体"/>
          <w:color w:val="auto"/>
          <w:highlight w:val="none"/>
        </w:rPr>
        <w:t>代理人无转委托权，特此委托。</w:t>
      </w:r>
    </w:p>
    <w:p>
      <w:pPr>
        <w:spacing w:line="360" w:lineRule="auto"/>
        <w:ind w:left="1260"/>
        <w:rPr>
          <w:color w:val="auto"/>
          <w:highlight w:val="none"/>
        </w:rPr>
      </w:pPr>
    </w:p>
    <w:p>
      <w:pPr>
        <w:spacing w:line="360" w:lineRule="auto"/>
        <w:ind w:left="1260"/>
        <w:rPr>
          <w:color w:val="auto"/>
          <w:highlight w:val="none"/>
        </w:rPr>
      </w:pPr>
    </w:p>
    <w:p>
      <w:pPr>
        <w:spacing w:line="360" w:lineRule="auto"/>
        <w:ind w:left="1260"/>
        <w:rPr>
          <w:color w:val="auto"/>
          <w:highlight w:val="none"/>
        </w:rPr>
      </w:pPr>
    </w:p>
    <w:p>
      <w:pPr>
        <w:spacing w:line="480" w:lineRule="auto"/>
        <w:ind w:left="1260"/>
        <w:rPr>
          <w:color w:val="auto"/>
          <w:highlight w:val="none"/>
        </w:rPr>
      </w:pPr>
    </w:p>
    <w:p>
      <w:pPr>
        <w:spacing w:line="480" w:lineRule="auto"/>
        <w:ind w:left="2699"/>
        <w:rPr>
          <w:color w:val="auto"/>
          <w:highlight w:val="none"/>
          <w:u w:val="single"/>
        </w:rPr>
      </w:pPr>
      <w:r>
        <w:rPr>
          <w:rFonts w:hint="eastAsia" w:cs="宋体"/>
          <w:color w:val="auto"/>
          <w:highlight w:val="none"/>
        </w:rPr>
        <w:t>代理人姓名：</w:t>
      </w:r>
      <w:r>
        <w:rPr>
          <w:color w:val="auto"/>
          <w:highlight w:val="none"/>
          <w:u w:val="single"/>
        </w:rPr>
        <w:t xml:space="preserve">              </w:t>
      </w:r>
      <w:r>
        <w:rPr>
          <w:rFonts w:hint="eastAsia" w:cs="宋体"/>
          <w:color w:val="auto"/>
          <w:highlight w:val="none"/>
        </w:rPr>
        <w:t>性别</w:t>
      </w:r>
      <w:r>
        <w:rPr>
          <w:color w:val="auto"/>
          <w:highlight w:val="none"/>
        </w:rPr>
        <w:t xml:space="preserve"> </w:t>
      </w:r>
      <w:r>
        <w:rPr>
          <w:rFonts w:hint="eastAsia" w:cs="宋体"/>
          <w:color w:val="auto"/>
          <w:highlight w:val="none"/>
        </w:rPr>
        <w:t>：</w:t>
      </w:r>
      <w:r>
        <w:rPr>
          <w:color w:val="auto"/>
          <w:highlight w:val="none"/>
          <w:u w:val="single"/>
        </w:rPr>
        <w:t xml:space="preserve">            </w:t>
      </w:r>
      <w:r>
        <w:rPr>
          <w:rFonts w:hint="eastAsia" w:cs="宋体"/>
          <w:color w:val="auto"/>
          <w:highlight w:val="none"/>
        </w:rPr>
        <w:t>年龄：</w:t>
      </w:r>
      <w:r>
        <w:rPr>
          <w:color w:val="auto"/>
          <w:highlight w:val="none"/>
        </w:rPr>
        <w:t>_______</w:t>
      </w:r>
    </w:p>
    <w:p>
      <w:pPr>
        <w:spacing w:line="480" w:lineRule="auto"/>
        <w:ind w:left="2699"/>
        <w:rPr>
          <w:color w:val="auto"/>
          <w:highlight w:val="none"/>
        </w:rPr>
      </w:pPr>
      <w:r>
        <w:rPr>
          <w:rFonts w:hint="eastAsia" w:cs="宋体"/>
          <w:color w:val="auto"/>
          <w:highlight w:val="none"/>
        </w:rPr>
        <w:t>授权代理人身份证号码：</w:t>
      </w:r>
      <w:r>
        <w:rPr>
          <w:color w:val="auto"/>
          <w:highlight w:val="none"/>
          <w:u w:val="single"/>
        </w:rPr>
        <w:t xml:space="preserve">                    </w:t>
      </w:r>
      <w:r>
        <w:rPr>
          <w:rFonts w:hint="eastAsia" w:cs="宋体"/>
          <w:color w:val="auto"/>
          <w:highlight w:val="none"/>
        </w:rPr>
        <w:t>职务：</w:t>
      </w:r>
      <w:r>
        <w:rPr>
          <w:color w:val="auto"/>
          <w:highlight w:val="none"/>
          <w:u w:val="single"/>
        </w:rPr>
        <w:t xml:space="preserve">                </w:t>
      </w:r>
      <w:r>
        <w:rPr>
          <w:color w:val="auto"/>
          <w:highlight w:val="none"/>
        </w:rPr>
        <w:t xml:space="preserve"> </w:t>
      </w:r>
    </w:p>
    <w:p>
      <w:pPr>
        <w:spacing w:line="480" w:lineRule="auto"/>
        <w:ind w:left="2699"/>
        <w:rPr>
          <w:color w:val="auto"/>
          <w:highlight w:val="none"/>
        </w:rPr>
      </w:pPr>
      <w:r>
        <w:rPr>
          <w:rFonts w:hint="eastAsia" w:cs="宋体"/>
          <w:color w:val="auto"/>
          <w:highlight w:val="none"/>
        </w:rPr>
        <w:t>投标人：</w:t>
      </w:r>
      <w:r>
        <w:rPr>
          <w:color w:val="auto"/>
          <w:highlight w:val="none"/>
          <w:u w:val="single"/>
        </w:rPr>
        <w:t xml:space="preserve">                                  </w:t>
      </w:r>
      <w:r>
        <w:rPr>
          <w:rFonts w:hint="eastAsia" w:cs="宋体"/>
          <w:color w:val="auto"/>
          <w:highlight w:val="none"/>
          <w:u w:val="single"/>
        </w:rPr>
        <w:t>（盖单位章）</w:t>
      </w:r>
    </w:p>
    <w:p>
      <w:pPr>
        <w:spacing w:line="480" w:lineRule="auto"/>
        <w:ind w:left="2699"/>
        <w:rPr>
          <w:color w:val="auto"/>
          <w:highlight w:val="none"/>
        </w:rPr>
      </w:pPr>
      <w:r>
        <w:rPr>
          <w:rFonts w:hint="eastAsia" w:cs="宋体"/>
          <w:color w:val="auto"/>
          <w:highlight w:val="none"/>
        </w:rPr>
        <w:t>法定代表人：</w:t>
      </w:r>
      <w:r>
        <w:rPr>
          <w:color w:val="auto"/>
          <w:highlight w:val="none"/>
          <w:u w:val="single"/>
        </w:rPr>
        <w:t xml:space="preserve">                            </w:t>
      </w:r>
      <w:r>
        <w:rPr>
          <w:rFonts w:hint="eastAsia" w:cs="宋体"/>
          <w:color w:val="auto"/>
          <w:highlight w:val="none"/>
          <w:u w:val="single"/>
        </w:rPr>
        <w:t>（签字或盖章）</w:t>
      </w:r>
    </w:p>
    <w:p>
      <w:pPr>
        <w:spacing w:line="480" w:lineRule="auto"/>
        <w:ind w:left="2699"/>
        <w:rPr>
          <w:color w:val="auto"/>
          <w:highlight w:val="none"/>
        </w:rPr>
      </w:pPr>
      <w:r>
        <w:rPr>
          <w:rFonts w:hint="eastAsia" w:cs="宋体"/>
          <w:color w:val="auto"/>
          <w:highlight w:val="none"/>
        </w:rPr>
        <w:t>授权委托日期：</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r>
        <w:rPr>
          <w:color w:val="auto"/>
          <w:highlight w:val="none"/>
        </w:rPr>
        <w:t xml:space="preserve"> </w:t>
      </w:r>
    </w:p>
    <w:p>
      <w:pPr>
        <w:spacing w:line="360" w:lineRule="auto"/>
        <w:rPr>
          <w:rFonts w:eastAsia="楷体_GB2312"/>
          <w:color w:val="auto"/>
          <w:highlight w:val="none"/>
        </w:rPr>
      </w:pPr>
    </w:p>
    <w:p>
      <w:pPr>
        <w:spacing w:before="120" w:after="240" w:line="360" w:lineRule="auto"/>
        <w:rPr>
          <w:color w:val="auto"/>
          <w:highlight w:val="none"/>
        </w:rPr>
      </w:pPr>
      <w:r>
        <w:rPr>
          <w:rFonts w:hint="eastAsia" w:eastAsia="楷体_GB2312" w:cs="楷体_GB2312"/>
          <w:color w:val="auto"/>
          <w:highlight w:val="none"/>
        </w:rPr>
        <w:t>【备注：附法定代表人身份证明及身份证、专职投标员身份证的复印件加盖投标单位公章】</w:t>
      </w:r>
    </w:p>
    <w:p>
      <w:pPr>
        <w:spacing w:line="480" w:lineRule="auto"/>
        <w:ind w:firstLine="525" w:firstLineChars="250"/>
        <w:jc w:val="center"/>
        <w:rPr>
          <w:color w:val="auto"/>
          <w:sz w:val="28"/>
          <w:szCs w:val="28"/>
          <w:highlight w:val="none"/>
        </w:rPr>
      </w:pPr>
      <w:r>
        <w:rPr>
          <w:color w:val="auto"/>
          <w:highlight w:val="none"/>
        </w:rPr>
        <w:br w:type="page"/>
      </w:r>
      <w:r>
        <w:rPr>
          <w:rFonts w:hint="eastAsia" w:cs="宋体"/>
          <w:b/>
          <w:color w:val="auto"/>
          <w:sz w:val="28"/>
          <w:szCs w:val="28"/>
          <w:highlight w:val="none"/>
        </w:rPr>
        <w:t>法定代表人身份证明</w:t>
      </w:r>
    </w:p>
    <w:p>
      <w:pPr>
        <w:spacing w:line="560" w:lineRule="exact"/>
        <w:ind w:firstLine="525" w:firstLineChars="250"/>
        <w:rPr>
          <w:color w:val="auto"/>
          <w:highlight w:val="none"/>
        </w:rPr>
      </w:pPr>
      <w:r>
        <w:rPr>
          <w:rFonts w:hint="eastAsia" w:cs="宋体"/>
          <w:color w:val="auto"/>
          <w:highlight w:val="none"/>
        </w:rPr>
        <w:t>投</w:t>
      </w:r>
      <w:r>
        <w:rPr>
          <w:color w:val="auto"/>
          <w:highlight w:val="none"/>
        </w:rPr>
        <w:t xml:space="preserve"> </w:t>
      </w:r>
      <w:r>
        <w:rPr>
          <w:rFonts w:hint="eastAsia" w:cs="宋体"/>
          <w:color w:val="auto"/>
          <w:highlight w:val="none"/>
        </w:rPr>
        <w:t>标</w:t>
      </w:r>
      <w:r>
        <w:rPr>
          <w:color w:val="auto"/>
          <w:highlight w:val="none"/>
        </w:rPr>
        <w:t xml:space="preserve"> </w:t>
      </w:r>
      <w:r>
        <w:rPr>
          <w:rFonts w:hint="eastAsia" w:cs="宋体"/>
          <w:color w:val="auto"/>
          <w:highlight w:val="none"/>
        </w:rPr>
        <w:t>人：</w:t>
      </w:r>
      <w:r>
        <w:rPr>
          <w:color w:val="auto"/>
          <w:highlight w:val="none"/>
          <w:u w:val="single"/>
        </w:rPr>
        <w:t xml:space="preserve">                                                        </w:t>
      </w:r>
    </w:p>
    <w:p>
      <w:pPr>
        <w:spacing w:line="560" w:lineRule="exact"/>
        <w:ind w:firstLine="525" w:firstLineChars="250"/>
        <w:rPr>
          <w:color w:val="auto"/>
          <w:highlight w:val="none"/>
        </w:rPr>
      </w:pPr>
      <w:r>
        <w:rPr>
          <w:rFonts w:hint="eastAsia" w:cs="宋体"/>
          <w:color w:val="auto"/>
          <w:highlight w:val="none"/>
        </w:rPr>
        <w:t>单位性质：</w:t>
      </w:r>
      <w:r>
        <w:rPr>
          <w:color w:val="auto"/>
          <w:highlight w:val="none"/>
          <w:u w:val="single"/>
        </w:rPr>
        <w:t xml:space="preserve">                                                        </w:t>
      </w:r>
    </w:p>
    <w:p>
      <w:pPr>
        <w:spacing w:line="560" w:lineRule="exact"/>
        <w:ind w:firstLine="525" w:firstLineChars="250"/>
        <w:rPr>
          <w:color w:val="auto"/>
          <w:highlight w:val="none"/>
        </w:rPr>
      </w:pPr>
      <w:r>
        <w:rPr>
          <w:rFonts w:hint="eastAsia" w:cs="宋体"/>
          <w:color w:val="auto"/>
          <w:highlight w:val="none"/>
        </w:rPr>
        <w:t>地</w:t>
      </w:r>
      <w:r>
        <w:rPr>
          <w:color w:val="auto"/>
          <w:highlight w:val="none"/>
        </w:rPr>
        <w:t xml:space="preserve">    </w:t>
      </w:r>
      <w:r>
        <w:rPr>
          <w:rFonts w:hint="eastAsia" w:cs="宋体"/>
          <w:color w:val="auto"/>
          <w:highlight w:val="none"/>
        </w:rPr>
        <w:t>址：</w:t>
      </w:r>
      <w:r>
        <w:rPr>
          <w:color w:val="auto"/>
          <w:highlight w:val="none"/>
          <w:u w:val="single"/>
        </w:rPr>
        <w:t xml:space="preserve">                                                        </w:t>
      </w:r>
    </w:p>
    <w:p>
      <w:pPr>
        <w:spacing w:line="560" w:lineRule="exact"/>
        <w:ind w:firstLine="525" w:firstLineChars="250"/>
        <w:rPr>
          <w:color w:val="auto"/>
          <w:highlight w:val="none"/>
        </w:rPr>
      </w:pPr>
      <w:r>
        <w:rPr>
          <w:rFonts w:hint="eastAsia" w:cs="宋体"/>
          <w:color w:val="auto"/>
          <w:highlight w:val="none"/>
        </w:rPr>
        <w:t>成立时间：</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pPr>
        <w:spacing w:line="560" w:lineRule="exact"/>
        <w:ind w:firstLine="525" w:firstLineChars="250"/>
        <w:rPr>
          <w:color w:val="auto"/>
          <w:highlight w:val="none"/>
        </w:rPr>
      </w:pPr>
      <w:r>
        <w:rPr>
          <w:rFonts w:hint="eastAsia" w:cs="宋体"/>
          <w:color w:val="auto"/>
          <w:highlight w:val="none"/>
        </w:rPr>
        <w:t>经营期限：</w:t>
      </w:r>
      <w:r>
        <w:rPr>
          <w:color w:val="auto"/>
          <w:highlight w:val="none"/>
          <w:u w:val="single"/>
        </w:rPr>
        <w:t xml:space="preserve">                                                        </w:t>
      </w:r>
    </w:p>
    <w:p>
      <w:pPr>
        <w:spacing w:line="560" w:lineRule="exact"/>
        <w:ind w:firstLine="525" w:firstLineChars="250"/>
        <w:rPr>
          <w:color w:val="auto"/>
          <w:highlight w:val="none"/>
        </w:rPr>
      </w:pPr>
      <w:r>
        <w:rPr>
          <w:rFonts w:hint="eastAsia" w:cs="宋体"/>
          <w:color w:val="auto"/>
          <w:highlight w:val="none"/>
        </w:rPr>
        <w:t>姓</w:t>
      </w:r>
      <w:r>
        <w:rPr>
          <w:color w:val="auto"/>
          <w:highlight w:val="none"/>
        </w:rPr>
        <w:t xml:space="preserve">    </w:t>
      </w:r>
      <w:r>
        <w:rPr>
          <w:rFonts w:hint="eastAsia" w:cs="宋体"/>
          <w:color w:val="auto"/>
          <w:highlight w:val="none"/>
        </w:rPr>
        <w:t>名：</w:t>
      </w:r>
      <w:r>
        <w:rPr>
          <w:color w:val="auto"/>
          <w:highlight w:val="none"/>
          <w:u w:val="single"/>
        </w:rPr>
        <w:t xml:space="preserve">                          </w:t>
      </w:r>
      <w:r>
        <w:rPr>
          <w:rFonts w:hint="eastAsia" w:cs="宋体"/>
          <w:color w:val="auto"/>
          <w:highlight w:val="none"/>
        </w:rPr>
        <w:t>性</w:t>
      </w:r>
      <w:r>
        <w:rPr>
          <w:color w:val="auto"/>
          <w:highlight w:val="none"/>
        </w:rPr>
        <w:t xml:space="preserve">     </w:t>
      </w:r>
      <w:r>
        <w:rPr>
          <w:rFonts w:hint="eastAsia" w:cs="宋体"/>
          <w:color w:val="auto"/>
          <w:highlight w:val="none"/>
        </w:rPr>
        <w:t>别：</w:t>
      </w:r>
      <w:r>
        <w:rPr>
          <w:color w:val="auto"/>
          <w:highlight w:val="none"/>
          <w:u w:val="single"/>
        </w:rPr>
        <w:t xml:space="preserve">                   </w:t>
      </w:r>
    </w:p>
    <w:p>
      <w:pPr>
        <w:spacing w:line="560" w:lineRule="exact"/>
        <w:ind w:firstLine="525" w:firstLineChars="250"/>
        <w:rPr>
          <w:color w:val="auto"/>
          <w:highlight w:val="none"/>
        </w:rPr>
      </w:pPr>
      <w:r>
        <w:rPr>
          <w:rFonts w:hint="eastAsia" w:cs="宋体"/>
          <w:color w:val="auto"/>
          <w:highlight w:val="none"/>
        </w:rPr>
        <w:t>年</w:t>
      </w:r>
      <w:r>
        <w:rPr>
          <w:color w:val="auto"/>
          <w:highlight w:val="none"/>
        </w:rPr>
        <w:t xml:space="preserve">    </w:t>
      </w:r>
      <w:r>
        <w:rPr>
          <w:rFonts w:hint="eastAsia" w:cs="宋体"/>
          <w:color w:val="auto"/>
          <w:highlight w:val="none"/>
        </w:rPr>
        <w:t>龄：</w:t>
      </w:r>
      <w:r>
        <w:rPr>
          <w:color w:val="auto"/>
          <w:highlight w:val="none"/>
          <w:u w:val="single"/>
        </w:rPr>
        <w:t xml:space="preserve">                          </w:t>
      </w:r>
      <w:r>
        <w:rPr>
          <w:rFonts w:hint="eastAsia" w:cs="宋体"/>
          <w:color w:val="auto"/>
          <w:highlight w:val="none"/>
        </w:rPr>
        <w:t>职</w:t>
      </w:r>
      <w:r>
        <w:rPr>
          <w:color w:val="auto"/>
          <w:highlight w:val="none"/>
        </w:rPr>
        <w:t xml:space="preserve">     </w:t>
      </w:r>
      <w:r>
        <w:rPr>
          <w:rFonts w:hint="eastAsia" w:cs="宋体"/>
          <w:color w:val="auto"/>
          <w:highlight w:val="none"/>
        </w:rPr>
        <w:t>务：</w:t>
      </w:r>
      <w:r>
        <w:rPr>
          <w:color w:val="auto"/>
          <w:highlight w:val="none"/>
          <w:u w:val="single"/>
        </w:rPr>
        <w:t xml:space="preserve">                   </w:t>
      </w:r>
    </w:p>
    <w:p>
      <w:pPr>
        <w:spacing w:line="560" w:lineRule="exact"/>
        <w:ind w:firstLine="525" w:firstLineChars="250"/>
        <w:rPr>
          <w:color w:val="auto"/>
          <w:highlight w:val="none"/>
        </w:rPr>
      </w:pPr>
      <w:r>
        <w:rPr>
          <w:rFonts w:hint="eastAsia" w:cs="宋体"/>
          <w:color w:val="auto"/>
          <w:highlight w:val="none"/>
        </w:rPr>
        <w:t>系</w:t>
      </w:r>
      <w:r>
        <w:rPr>
          <w:color w:val="auto"/>
          <w:highlight w:val="none"/>
          <w:u w:val="single"/>
        </w:rPr>
        <w:t xml:space="preserve">                                                 </w:t>
      </w:r>
      <w:r>
        <w:rPr>
          <w:rFonts w:hint="eastAsia" w:cs="宋体"/>
          <w:color w:val="auto"/>
          <w:highlight w:val="none"/>
        </w:rPr>
        <w:t>（投标人名称）的法定代表人。</w:t>
      </w:r>
    </w:p>
    <w:p>
      <w:pPr>
        <w:spacing w:line="560" w:lineRule="exact"/>
        <w:ind w:firstLine="525" w:firstLineChars="250"/>
        <w:rPr>
          <w:color w:val="auto"/>
          <w:highlight w:val="none"/>
        </w:rPr>
      </w:pPr>
      <w:r>
        <w:rPr>
          <w:rFonts w:hint="eastAsia" w:cs="宋体"/>
          <w:color w:val="auto"/>
          <w:highlight w:val="none"/>
        </w:rPr>
        <w:t>特此证明。</w:t>
      </w:r>
    </w:p>
    <w:p>
      <w:pPr>
        <w:spacing w:line="500" w:lineRule="exact"/>
        <w:rPr>
          <w:color w:val="auto"/>
          <w:highlight w:val="none"/>
        </w:rPr>
      </w:pPr>
    </w:p>
    <w:p>
      <w:pPr>
        <w:spacing w:line="500" w:lineRule="exact"/>
        <w:rPr>
          <w:color w:val="auto"/>
          <w:highlight w:val="none"/>
        </w:rPr>
      </w:pPr>
    </w:p>
    <w:p>
      <w:pPr>
        <w:wordWrap w:val="0"/>
        <w:spacing w:line="500" w:lineRule="exact"/>
        <w:jc w:val="right"/>
        <w:rPr>
          <w:color w:val="auto"/>
          <w:highlight w:val="none"/>
        </w:rPr>
      </w:pPr>
      <w:r>
        <w:rPr>
          <w:rFonts w:hint="eastAsia" w:cs="宋体"/>
          <w:color w:val="auto"/>
          <w:highlight w:val="none"/>
        </w:rPr>
        <w:t>投标人：</w:t>
      </w:r>
      <w:r>
        <w:rPr>
          <w:color w:val="auto"/>
          <w:highlight w:val="none"/>
          <w:u w:val="single"/>
        </w:rPr>
        <w:t xml:space="preserve">                          </w:t>
      </w:r>
      <w:r>
        <w:rPr>
          <w:rFonts w:hint="eastAsia" w:cs="宋体"/>
          <w:color w:val="auto"/>
          <w:highlight w:val="none"/>
        </w:rPr>
        <w:t>（盖单位章）</w:t>
      </w:r>
    </w:p>
    <w:p>
      <w:pPr>
        <w:wordWrap w:val="0"/>
        <w:spacing w:line="500" w:lineRule="exact"/>
        <w:jc w:val="right"/>
        <w:rPr>
          <w:color w:val="auto"/>
          <w:highlight w:val="none"/>
        </w:rPr>
      </w:pP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pPr>
        <w:widowControl/>
        <w:ind w:firstLine="420" w:firstLineChars="200"/>
        <w:jc w:val="left"/>
        <w:rPr>
          <w:color w:val="auto"/>
          <w:highlight w:val="none"/>
        </w:rPr>
      </w:pPr>
    </w:p>
    <w:p>
      <w:pPr>
        <w:widowControl/>
        <w:ind w:firstLine="420" w:firstLineChars="200"/>
        <w:jc w:val="left"/>
        <w:rPr>
          <w:color w:val="auto"/>
          <w:highlight w:val="none"/>
        </w:rPr>
      </w:pPr>
    </w:p>
    <w:p>
      <w:pPr>
        <w:widowControl/>
        <w:ind w:firstLine="420" w:firstLineChars="200"/>
        <w:jc w:val="left"/>
        <w:rPr>
          <w:color w:val="auto"/>
          <w:highlight w:val="none"/>
        </w:rPr>
      </w:pPr>
      <w:r>
        <w:rPr>
          <w:color w:val="auto"/>
          <w:highlight w:val="none"/>
        </w:rPr>
        <w:br w:type="page"/>
      </w:r>
    </w:p>
    <w:p>
      <w:pPr>
        <w:pStyle w:val="3"/>
        <w:jc w:val="center"/>
        <w:rPr>
          <w:color w:val="auto"/>
          <w:highlight w:val="none"/>
        </w:rPr>
      </w:pPr>
      <w:bookmarkStart w:id="315" w:name="_Toc184635071"/>
      <w:r>
        <w:rPr>
          <w:color w:val="auto"/>
          <w:highlight w:val="none"/>
        </w:rPr>
        <w:t xml:space="preserve"> </w:t>
      </w:r>
      <w:bookmarkStart w:id="316" w:name="_Toc407135168"/>
      <w:bookmarkStart w:id="317" w:name="_Toc389065238"/>
      <w:bookmarkStart w:id="318" w:name="_Toc5857"/>
      <w:bookmarkStart w:id="319" w:name="_Toc66186370"/>
      <w:r>
        <w:rPr>
          <w:rFonts w:hint="eastAsia" w:cs="黑体"/>
          <w:color w:val="auto"/>
          <w:highlight w:val="none"/>
        </w:rPr>
        <w:t>第三章</w:t>
      </w:r>
      <w:r>
        <w:rPr>
          <w:color w:val="auto"/>
          <w:highlight w:val="none"/>
        </w:rPr>
        <w:t xml:space="preserve">  </w:t>
      </w:r>
      <w:r>
        <w:rPr>
          <w:rFonts w:hint="eastAsia" w:cs="黑体"/>
          <w:color w:val="auto"/>
          <w:highlight w:val="none"/>
        </w:rPr>
        <w:t>评标办法（综合评估法）</w:t>
      </w:r>
      <w:bookmarkEnd w:id="316"/>
      <w:bookmarkEnd w:id="317"/>
      <w:bookmarkEnd w:id="318"/>
      <w:bookmarkEnd w:id="319"/>
    </w:p>
    <w:p>
      <w:pPr>
        <w:pStyle w:val="3"/>
        <w:jc w:val="center"/>
        <w:rPr>
          <w:color w:val="auto"/>
          <w:highlight w:val="none"/>
        </w:rPr>
      </w:pPr>
      <w:bookmarkStart w:id="320" w:name="_Toc407135169"/>
      <w:bookmarkStart w:id="321" w:name="_Toc107"/>
      <w:bookmarkStart w:id="322" w:name="_Toc66186371"/>
      <w:bookmarkStart w:id="323" w:name="_Toc389065239"/>
      <w:r>
        <w:rPr>
          <w:rFonts w:hint="eastAsia" w:cs="黑体"/>
          <w:color w:val="auto"/>
          <w:highlight w:val="none"/>
        </w:rPr>
        <w:t>评标办法前附表</w:t>
      </w:r>
      <w:bookmarkEnd w:id="320"/>
      <w:bookmarkEnd w:id="321"/>
      <w:bookmarkEnd w:id="322"/>
      <w:bookmarkEnd w:id="323"/>
    </w:p>
    <w:tbl>
      <w:tblPr>
        <w:tblStyle w:val="42"/>
        <w:tblpPr w:leftFromText="180" w:rightFromText="180" w:vertAnchor="text" w:horzAnchor="page" w:tblpX="973" w:tblpY="616"/>
        <w:tblOverlap w:val="never"/>
        <w:tblW w:w="101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10"/>
        <w:gridCol w:w="426"/>
        <w:gridCol w:w="1138"/>
        <w:gridCol w:w="728"/>
        <w:gridCol w:w="1736"/>
        <w:gridCol w:w="5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32" w:type="dxa"/>
            <w:gridSpan w:val="2"/>
            <w:shd w:val="clear" w:color="auto" w:fill="E6E6E6"/>
            <w:vAlign w:val="center"/>
          </w:tcPr>
          <w:p>
            <w:pPr>
              <w:spacing w:line="360" w:lineRule="auto"/>
              <w:jc w:val="center"/>
              <w:rPr>
                <w:color w:val="auto"/>
                <w:highlight w:val="none"/>
              </w:rPr>
            </w:pPr>
            <w:r>
              <w:rPr>
                <w:color w:val="auto"/>
                <w:highlight w:val="none"/>
              </w:rPr>
              <w:t>条款号</w:t>
            </w:r>
          </w:p>
        </w:tc>
        <w:tc>
          <w:tcPr>
            <w:tcW w:w="4028" w:type="dxa"/>
            <w:gridSpan w:val="4"/>
            <w:shd w:val="clear" w:color="auto" w:fill="E6E6E6"/>
            <w:vAlign w:val="center"/>
          </w:tcPr>
          <w:p>
            <w:pPr>
              <w:spacing w:line="360" w:lineRule="auto"/>
              <w:jc w:val="center"/>
              <w:rPr>
                <w:color w:val="auto"/>
                <w:highlight w:val="none"/>
              </w:rPr>
            </w:pPr>
            <w:r>
              <w:rPr>
                <w:color w:val="auto"/>
                <w:highlight w:val="none"/>
              </w:rPr>
              <w:t>评审因素</w:t>
            </w:r>
          </w:p>
        </w:tc>
        <w:tc>
          <w:tcPr>
            <w:tcW w:w="5171" w:type="dxa"/>
            <w:shd w:val="clear" w:color="auto" w:fill="E6E6E6"/>
          </w:tcPr>
          <w:p>
            <w:pPr>
              <w:spacing w:line="360" w:lineRule="auto"/>
              <w:jc w:val="center"/>
              <w:rPr>
                <w:color w:val="auto"/>
                <w:highlight w:val="none"/>
              </w:rPr>
            </w:pPr>
            <w:r>
              <w:rPr>
                <w:color w:val="auto"/>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7" w:hRule="atLeast"/>
        </w:trPr>
        <w:tc>
          <w:tcPr>
            <w:tcW w:w="932" w:type="dxa"/>
            <w:gridSpan w:val="2"/>
            <w:vMerge w:val="restart"/>
            <w:shd w:val="clear" w:color="auto" w:fill="auto"/>
            <w:vAlign w:val="center"/>
          </w:tcPr>
          <w:p>
            <w:pPr>
              <w:spacing w:line="360" w:lineRule="auto"/>
              <w:jc w:val="center"/>
              <w:rPr>
                <w:color w:val="auto"/>
                <w:highlight w:val="none"/>
              </w:rPr>
            </w:pPr>
            <w:r>
              <w:rPr>
                <w:color w:val="auto"/>
                <w:highlight w:val="none"/>
              </w:rPr>
              <w:t>2.1.1</w:t>
            </w:r>
          </w:p>
        </w:tc>
        <w:tc>
          <w:tcPr>
            <w:tcW w:w="426" w:type="dxa"/>
            <w:vMerge w:val="restart"/>
            <w:shd w:val="clear" w:color="auto" w:fill="auto"/>
            <w:vAlign w:val="center"/>
          </w:tcPr>
          <w:p>
            <w:pPr>
              <w:spacing w:line="360" w:lineRule="auto"/>
              <w:rPr>
                <w:color w:val="auto"/>
                <w:highlight w:val="none"/>
              </w:rPr>
            </w:pPr>
            <w:r>
              <w:rPr>
                <w:color w:val="auto"/>
                <w:highlight w:val="none"/>
              </w:rPr>
              <w:t>资格评审标准</w:t>
            </w:r>
          </w:p>
        </w:tc>
        <w:tc>
          <w:tcPr>
            <w:tcW w:w="1138" w:type="dxa"/>
            <w:vMerge w:val="restart"/>
            <w:shd w:val="clear" w:color="auto" w:fill="auto"/>
            <w:vAlign w:val="center"/>
          </w:tcPr>
          <w:p>
            <w:pPr>
              <w:spacing w:line="360" w:lineRule="auto"/>
              <w:jc w:val="center"/>
              <w:rPr>
                <w:color w:val="auto"/>
                <w:highlight w:val="none"/>
              </w:rPr>
            </w:pPr>
            <w:r>
              <w:rPr>
                <w:rFonts w:eastAsia="MS Mincho"/>
                <w:color w:val="auto"/>
                <w:highlight w:val="none"/>
              </w:rPr>
              <w:t>☑</w:t>
            </w:r>
            <w:r>
              <w:rPr>
                <w:color w:val="auto"/>
                <w:highlight w:val="none"/>
              </w:rPr>
              <w:t>有限数量制</w:t>
            </w:r>
          </w:p>
        </w:tc>
        <w:tc>
          <w:tcPr>
            <w:tcW w:w="7635" w:type="dxa"/>
            <w:gridSpan w:val="3"/>
            <w:shd w:val="clear" w:color="auto" w:fill="auto"/>
            <w:vAlign w:val="center"/>
          </w:tcPr>
          <w:p>
            <w:pPr>
              <w:pStyle w:val="157"/>
              <w:spacing w:before="100"/>
              <w:ind w:left="106"/>
              <w:rPr>
                <w:color w:val="auto"/>
                <w:highlight w:val="none"/>
              </w:rPr>
            </w:pPr>
            <w:r>
              <w:rPr>
                <w:rFonts w:ascii="Calibri" w:hAnsi="Calibri" w:eastAsia="Calibri"/>
                <w:color w:val="auto"/>
                <w:highlight w:val="none"/>
              </w:rPr>
              <w:t>1</w:t>
            </w:r>
            <w:r>
              <w:rPr>
                <w:color w:val="auto"/>
                <w:spacing w:val="-6"/>
                <w:highlight w:val="none"/>
              </w:rPr>
              <w:t>、投标人符合第二章</w:t>
            </w:r>
            <w:r>
              <w:rPr>
                <w:rFonts w:ascii="Calibri" w:hAnsi="Calibri" w:eastAsia="Calibri"/>
                <w:color w:val="auto"/>
                <w:highlight w:val="none"/>
              </w:rPr>
              <w:t>“</w:t>
            </w:r>
            <w:r>
              <w:rPr>
                <w:color w:val="auto"/>
                <w:highlight w:val="none"/>
              </w:rPr>
              <w:t>投标人须知</w:t>
            </w:r>
            <w:r>
              <w:rPr>
                <w:rFonts w:ascii="Calibri" w:hAnsi="Calibri" w:eastAsia="Calibri"/>
                <w:color w:val="auto"/>
                <w:highlight w:val="none"/>
              </w:rPr>
              <w:t>”</w:t>
            </w:r>
            <w:r>
              <w:rPr>
                <w:color w:val="auto"/>
                <w:spacing w:val="-27"/>
                <w:highlight w:val="none"/>
              </w:rPr>
              <w:t xml:space="preserve">第 </w:t>
            </w:r>
            <w:r>
              <w:rPr>
                <w:rFonts w:ascii="Calibri" w:hAnsi="Calibri" w:eastAsia="Calibri"/>
                <w:color w:val="auto"/>
                <w:highlight w:val="none"/>
              </w:rPr>
              <w:t xml:space="preserve">1.4 </w:t>
            </w:r>
            <w:r>
              <w:rPr>
                <w:color w:val="auto"/>
                <w:spacing w:val="-6"/>
                <w:highlight w:val="none"/>
              </w:rPr>
              <w:t>项规定的，且按规定提交了第二章</w:t>
            </w:r>
            <w:r>
              <w:rPr>
                <w:rFonts w:ascii="Calibri" w:hAnsi="Calibri" w:eastAsia="Calibri"/>
                <w:color w:val="auto"/>
                <w:highlight w:val="none"/>
              </w:rPr>
              <w:t>“</w:t>
            </w:r>
            <w:r>
              <w:rPr>
                <w:color w:val="auto"/>
                <w:highlight w:val="none"/>
              </w:rPr>
              <w:t>投标人须知前附表</w:t>
            </w:r>
            <w:r>
              <w:rPr>
                <w:rFonts w:ascii="Calibri" w:hAnsi="Calibri" w:eastAsia="Calibri"/>
                <w:color w:val="auto"/>
                <w:highlight w:val="none"/>
              </w:rPr>
              <w:t xml:space="preserve">”3.1.1 </w:t>
            </w:r>
            <w:r>
              <w:rPr>
                <w:color w:val="auto"/>
                <w:highlight w:val="none"/>
              </w:rPr>
              <w:t xml:space="preserve">项资格审查部分（ </w:t>
            </w:r>
            <w:r>
              <w:rPr>
                <w:rFonts w:ascii="Calibri" w:hAnsi="Calibri" w:eastAsia="Calibri"/>
                <w:color w:val="auto"/>
                <w:highlight w:val="none"/>
              </w:rPr>
              <w:t xml:space="preserve">1 </w:t>
            </w:r>
            <w:r>
              <w:rPr>
                <w:color w:val="auto"/>
                <w:highlight w:val="none"/>
              </w:rPr>
              <w:t xml:space="preserve">）～（ </w:t>
            </w:r>
            <w:r>
              <w:rPr>
                <w:rFonts w:ascii="Calibri" w:hAnsi="Calibri" w:eastAsia="Calibri"/>
                <w:color w:val="auto"/>
                <w:highlight w:val="none"/>
              </w:rPr>
              <w:t xml:space="preserve">8 </w:t>
            </w:r>
            <w:r>
              <w:rPr>
                <w:color w:val="auto"/>
                <w:highlight w:val="none"/>
              </w:rPr>
              <w:t>）项内容的，方可进行资格审查评分。</w:t>
            </w:r>
          </w:p>
          <w:p>
            <w:pPr>
              <w:spacing w:line="360" w:lineRule="auto"/>
              <w:rPr>
                <w:color w:val="auto"/>
                <w:highlight w:val="none"/>
              </w:rPr>
            </w:pPr>
            <w:r>
              <w:rPr>
                <w:rFonts w:ascii="Calibri" w:eastAsia="Calibri"/>
                <w:color w:val="auto"/>
                <w:highlight w:val="none"/>
              </w:rPr>
              <w:t>2</w:t>
            </w:r>
            <w:r>
              <w:rPr>
                <w:color w:val="auto"/>
                <w:spacing w:val="-5"/>
                <w:highlight w:val="none"/>
              </w:rPr>
              <w:t xml:space="preserve">、资格后审总分满分为 </w:t>
            </w:r>
            <w:r>
              <w:rPr>
                <w:rFonts w:ascii="Calibri" w:eastAsia="Calibri"/>
                <w:color w:val="auto"/>
                <w:highlight w:val="none"/>
              </w:rPr>
              <w:t xml:space="preserve">100 </w:t>
            </w:r>
            <w:r>
              <w:rPr>
                <w:color w:val="auto"/>
                <w:spacing w:val="-10"/>
                <w:highlight w:val="none"/>
              </w:rPr>
              <w:t xml:space="preserve">分，总分 </w:t>
            </w:r>
            <w:r>
              <w:rPr>
                <w:rFonts w:ascii="Calibri" w:eastAsia="Calibri"/>
                <w:color w:val="auto"/>
                <w:highlight w:val="none"/>
              </w:rPr>
              <w:t xml:space="preserve">60 </w:t>
            </w:r>
            <w:r>
              <w:rPr>
                <w:color w:val="auto"/>
                <w:highlight w:val="none"/>
              </w:rPr>
              <w:t>分及以上为合格，按得分由高到低的顺序选</w:t>
            </w:r>
            <w:r>
              <w:rPr>
                <w:color w:val="auto"/>
                <w:spacing w:val="4"/>
                <w:highlight w:val="none"/>
              </w:rPr>
              <w:t>择</w:t>
            </w:r>
            <w:r>
              <w:rPr>
                <w:color w:val="auto"/>
                <w:spacing w:val="2"/>
                <w:highlight w:val="none"/>
                <w:u w:val="single"/>
              </w:rPr>
              <w:t>（</w:t>
            </w:r>
            <w:r>
              <w:rPr>
                <w:rFonts w:ascii="Calibri" w:eastAsia="Calibri"/>
                <w:color w:val="auto"/>
                <w:spacing w:val="2"/>
                <w:highlight w:val="none"/>
                <w:u w:val="single"/>
              </w:rPr>
              <w:t>7</w:t>
            </w:r>
            <w:r>
              <w:rPr>
                <w:color w:val="auto"/>
                <w:spacing w:val="2"/>
                <w:highlight w:val="none"/>
                <w:u w:val="single"/>
              </w:rPr>
              <w:t>）</w:t>
            </w:r>
            <w:r>
              <w:rPr>
                <w:color w:val="auto"/>
                <w:highlight w:val="none"/>
              </w:rPr>
              <w:t>家投标单位作为合格投标人进入本工程的下一阶段评审，如前第</w:t>
            </w:r>
            <w:r>
              <w:rPr>
                <w:color w:val="auto"/>
                <w:highlight w:val="none"/>
                <w:u w:val="single"/>
              </w:rPr>
              <w:t xml:space="preserve"> </w:t>
            </w:r>
            <w:r>
              <w:rPr>
                <w:rFonts w:ascii="Calibri" w:eastAsia="Calibri"/>
                <w:color w:val="auto"/>
                <w:highlight w:val="none"/>
                <w:u w:val="single"/>
              </w:rPr>
              <w:t>7</w:t>
            </w:r>
            <w:r>
              <w:rPr>
                <w:rFonts w:ascii="Calibri" w:eastAsia="Calibri"/>
                <w:color w:val="auto"/>
                <w:highlight w:val="none"/>
              </w:rPr>
              <w:t xml:space="preserve"> </w:t>
            </w:r>
            <w:r>
              <w:rPr>
                <w:color w:val="auto"/>
                <w:spacing w:val="1"/>
                <w:highlight w:val="none"/>
              </w:rPr>
              <w:t>名</w:t>
            </w:r>
            <w:r>
              <w:rPr>
                <w:color w:val="auto"/>
                <w:highlight w:val="none"/>
              </w:rPr>
              <w:t>有得分相同的，则一并进入下一阶段评审，如参加投标的单位不足  7  名（含  7  名），则全部</w:t>
            </w:r>
            <w:r>
              <w:rPr>
                <w:color w:val="auto"/>
                <w:spacing w:val="-5"/>
                <w:highlight w:val="none"/>
              </w:rPr>
              <w:t>达到合格分数线的投标人进入下一阶段评审。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32" w:type="dxa"/>
            <w:gridSpan w:val="2"/>
            <w:vMerge w:val="continue"/>
            <w:shd w:val="clear" w:color="auto" w:fill="auto"/>
            <w:vAlign w:val="center"/>
          </w:tcPr>
          <w:p>
            <w:pPr>
              <w:spacing w:line="360" w:lineRule="auto"/>
              <w:jc w:val="center"/>
              <w:rPr>
                <w:color w:val="auto"/>
                <w:highlight w:val="none"/>
              </w:rPr>
            </w:pPr>
          </w:p>
        </w:tc>
        <w:tc>
          <w:tcPr>
            <w:tcW w:w="426" w:type="dxa"/>
            <w:vMerge w:val="continue"/>
            <w:shd w:val="clear" w:color="auto" w:fill="auto"/>
            <w:vAlign w:val="center"/>
          </w:tcPr>
          <w:p>
            <w:pPr>
              <w:spacing w:line="360" w:lineRule="auto"/>
              <w:jc w:val="center"/>
              <w:rPr>
                <w:color w:val="auto"/>
                <w:highlight w:val="none"/>
              </w:rPr>
            </w:pPr>
          </w:p>
        </w:tc>
        <w:tc>
          <w:tcPr>
            <w:tcW w:w="1138" w:type="dxa"/>
            <w:vMerge w:val="continue"/>
            <w:shd w:val="clear" w:color="auto" w:fill="auto"/>
            <w:vAlign w:val="center"/>
          </w:tcPr>
          <w:p>
            <w:pPr>
              <w:spacing w:line="360" w:lineRule="auto"/>
              <w:jc w:val="center"/>
              <w:rPr>
                <w:color w:val="auto"/>
                <w:highlight w:val="none"/>
              </w:rPr>
            </w:pPr>
          </w:p>
        </w:tc>
        <w:tc>
          <w:tcPr>
            <w:tcW w:w="2464" w:type="dxa"/>
            <w:gridSpan w:val="2"/>
            <w:shd w:val="clear" w:color="auto" w:fill="auto"/>
            <w:vAlign w:val="center"/>
          </w:tcPr>
          <w:p>
            <w:pPr>
              <w:spacing w:line="360" w:lineRule="auto"/>
              <w:rPr>
                <w:color w:val="auto"/>
                <w:highlight w:val="none"/>
              </w:rPr>
            </w:pPr>
            <w:r>
              <w:rPr>
                <w:rFonts w:hint="eastAsia"/>
                <w:color w:val="auto"/>
                <w:highlight w:val="none"/>
              </w:rPr>
              <w:t>（一）企业基本情况</w:t>
            </w:r>
          </w:p>
          <w:p>
            <w:pPr>
              <w:spacing w:line="360" w:lineRule="auto"/>
              <w:rPr>
                <w:color w:val="auto"/>
                <w:highlight w:val="none"/>
              </w:rPr>
            </w:pPr>
            <w:r>
              <w:rPr>
                <w:rFonts w:hint="eastAsia"/>
                <w:color w:val="auto"/>
                <w:highlight w:val="none"/>
              </w:rPr>
              <w:t>（满分20分）</w:t>
            </w:r>
          </w:p>
        </w:tc>
        <w:tc>
          <w:tcPr>
            <w:tcW w:w="5171" w:type="dxa"/>
            <w:shd w:val="clear" w:color="auto" w:fill="auto"/>
          </w:tcPr>
          <w:p>
            <w:pPr>
              <w:numPr>
                <w:ilvl w:val="0"/>
                <w:numId w:val="2"/>
              </w:numPr>
              <w:spacing w:line="360" w:lineRule="auto"/>
              <w:rPr>
                <w:color w:val="auto"/>
                <w:highlight w:val="none"/>
              </w:rPr>
            </w:pPr>
            <w:r>
              <w:rPr>
                <w:rFonts w:hint="eastAsia"/>
                <w:color w:val="auto"/>
                <w:highlight w:val="none"/>
              </w:rPr>
              <w:t>资质条件：具备建筑装修装饰工程专业承包一级及以上资质同时具备建筑机电安装工程专业承包一级资质的得 15 分；具备建筑装修装饰工程专业承包二级及以上资质同时具备建筑机电安装工程专业承包二级资质的得 11 分；具备建筑装修装饰工程专业承包二级及以上资质同时具备建筑机电安装工程专业承包三级资质的得 5 分；</w:t>
            </w:r>
          </w:p>
          <w:p>
            <w:pPr>
              <w:spacing w:line="360" w:lineRule="auto"/>
              <w:rPr>
                <w:color w:val="auto"/>
                <w:highlight w:val="none"/>
              </w:rPr>
            </w:pPr>
            <w:r>
              <w:rPr>
                <w:rFonts w:hint="eastAsia" w:cs="宋体"/>
                <w:color w:val="auto"/>
                <w:highlight w:val="none"/>
              </w:rPr>
              <w:t>（注：根据建办市函〔2020〕334号、桂建函〔2020〕455号，由住房和城乡建设部、广西壮族自治区住房和城乡建设厅和各设区市核发的企业资质有效期于2020年7月1日至2021年12月30日届满的，统一延期至2021年12月31日。资质证书有效期在全国建筑市场监管公共服务平台自动延期，企业无需换领资质证书，原资质证书仍可用于工程招标投标等活动。）</w:t>
            </w:r>
          </w:p>
          <w:p>
            <w:pPr>
              <w:spacing w:line="360" w:lineRule="auto"/>
              <w:rPr>
                <w:color w:val="auto"/>
                <w:highlight w:val="none"/>
              </w:rPr>
            </w:pPr>
            <w:r>
              <w:rPr>
                <w:rFonts w:hint="eastAsia"/>
                <w:color w:val="auto"/>
                <w:highlight w:val="none"/>
              </w:rPr>
              <w:t>（2）完成过类似工程项目业绩：2018年1月至投标截止</w:t>
            </w:r>
            <w:r>
              <w:rPr>
                <w:rFonts w:hint="eastAsia" w:ascii="宋体" w:hAnsi="宋体" w:cs="宋体"/>
                <w:color w:val="auto"/>
                <w:spacing w:val="-7"/>
                <w:highlight w:val="none"/>
                <w:lang w:bidi="zh-CN"/>
              </w:rPr>
              <w:t>承接或完成过5</w:t>
            </w:r>
            <w:r>
              <w:rPr>
                <w:rFonts w:hint="eastAsia"/>
                <w:color w:val="auto"/>
                <w:highlight w:val="none"/>
              </w:rPr>
              <w:t>00万元以上的建筑装修装饰工程</w:t>
            </w:r>
            <w:r>
              <w:rPr>
                <w:rFonts w:hint="eastAsia" w:ascii="宋体" w:hAnsi="宋体" w:cs="宋体"/>
                <w:color w:val="auto"/>
                <w:spacing w:val="-7"/>
                <w:highlight w:val="none"/>
                <w:lang w:bidi="zh-CN"/>
              </w:rPr>
              <w:t>业绩的</w:t>
            </w:r>
            <w:r>
              <w:rPr>
                <w:rFonts w:hint="eastAsia"/>
                <w:color w:val="auto"/>
                <w:highlight w:val="none"/>
              </w:rPr>
              <w:t>，每项得1分，此项满分2分。</w:t>
            </w:r>
            <w:r>
              <w:rPr>
                <w:rFonts w:hint="eastAsia" w:ascii="宋体" w:hAnsi="宋体" w:cs="宋体"/>
                <w:color w:val="auto"/>
                <w:spacing w:val="-7"/>
                <w:highlight w:val="none"/>
                <w:lang w:bidi="zh-CN"/>
              </w:rPr>
              <w:t>【附中标通知书或合同协议书（或合同备案表）或工程接收证书〔工程竣工验收证书）】</w:t>
            </w:r>
            <w:r>
              <w:rPr>
                <w:rFonts w:hint="eastAsia"/>
                <w:color w:val="auto"/>
                <w:highlight w:val="none"/>
              </w:rPr>
              <w:t xml:space="preserve"> </w:t>
            </w:r>
          </w:p>
          <w:p>
            <w:pPr>
              <w:spacing w:line="360" w:lineRule="auto"/>
              <w:rPr>
                <w:color w:val="auto"/>
                <w:highlight w:val="none"/>
              </w:rPr>
            </w:pPr>
            <w:r>
              <w:rPr>
                <w:rFonts w:hint="eastAsia"/>
                <w:color w:val="auto"/>
                <w:highlight w:val="none"/>
              </w:rPr>
              <w:t>（3）企业管理体系：通过ISO质量管理体系认证、环境管理体系认证、职业健康安全管理体系认证且在有效期内的，每一项得1分，缺一项不得分，此项满分3分。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32" w:type="dxa"/>
            <w:gridSpan w:val="2"/>
            <w:vMerge w:val="continue"/>
            <w:shd w:val="clear" w:color="auto" w:fill="auto"/>
            <w:vAlign w:val="center"/>
          </w:tcPr>
          <w:p>
            <w:pPr>
              <w:spacing w:line="360" w:lineRule="auto"/>
              <w:jc w:val="center"/>
              <w:rPr>
                <w:color w:val="auto"/>
                <w:highlight w:val="none"/>
              </w:rPr>
            </w:pPr>
          </w:p>
        </w:tc>
        <w:tc>
          <w:tcPr>
            <w:tcW w:w="426" w:type="dxa"/>
            <w:vMerge w:val="continue"/>
            <w:shd w:val="clear" w:color="auto" w:fill="auto"/>
            <w:vAlign w:val="center"/>
          </w:tcPr>
          <w:p>
            <w:pPr>
              <w:spacing w:line="360" w:lineRule="auto"/>
              <w:jc w:val="center"/>
              <w:rPr>
                <w:color w:val="auto"/>
                <w:highlight w:val="none"/>
              </w:rPr>
            </w:pPr>
          </w:p>
        </w:tc>
        <w:tc>
          <w:tcPr>
            <w:tcW w:w="1138" w:type="dxa"/>
            <w:vMerge w:val="continue"/>
            <w:shd w:val="clear" w:color="auto" w:fill="auto"/>
            <w:vAlign w:val="center"/>
          </w:tcPr>
          <w:p>
            <w:pPr>
              <w:spacing w:line="360" w:lineRule="auto"/>
              <w:jc w:val="center"/>
              <w:rPr>
                <w:color w:val="auto"/>
                <w:highlight w:val="none"/>
              </w:rPr>
            </w:pPr>
          </w:p>
        </w:tc>
        <w:tc>
          <w:tcPr>
            <w:tcW w:w="2464" w:type="dxa"/>
            <w:gridSpan w:val="2"/>
            <w:shd w:val="clear" w:color="auto" w:fill="auto"/>
            <w:vAlign w:val="center"/>
          </w:tcPr>
          <w:p>
            <w:pPr>
              <w:spacing w:line="360" w:lineRule="auto"/>
              <w:rPr>
                <w:color w:val="auto"/>
                <w:highlight w:val="none"/>
              </w:rPr>
            </w:pPr>
            <w:r>
              <w:rPr>
                <w:color w:val="auto"/>
                <w:highlight w:val="none"/>
              </w:rPr>
              <w:t>（二）企业信誉</w:t>
            </w:r>
          </w:p>
          <w:p>
            <w:pPr>
              <w:spacing w:line="360" w:lineRule="auto"/>
              <w:rPr>
                <w:color w:val="auto"/>
                <w:highlight w:val="none"/>
              </w:rPr>
            </w:pPr>
            <w:r>
              <w:rPr>
                <w:color w:val="auto"/>
                <w:highlight w:val="none"/>
              </w:rPr>
              <w:t>（满分</w:t>
            </w:r>
            <w:r>
              <w:rPr>
                <w:color w:val="auto"/>
                <w:highlight w:val="none"/>
                <w:u w:val="single"/>
              </w:rPr>
              <w:t xml:space="preserve"> 1</w:t>
            </w:r>
            <w:r>
              <w:rPr>
                <w:rFonts w:hint="eastAsia"/>
                <w:color w:val="auto"/>
                <w:highlight w:val="none"/>
                <w:u w:val="single"/>
              </w:rPr>
              <w:t>0</w:t>
            </w:r>
            <w:r>
              <w:rPr>
                <w:color w:val="auto"/>
                <w:highlight w:val="none"/>
                <w:u w:val="single"/>
              </w:rPr>
              <w:t xml:space="preserve"> </w:t>
            </w:r>
            <w:r>
              <w:rPr>
                <w:color w:val="auto"/>
                <w:highlight w:val="none"/>
              </w:rPr>
              <w:t>分）</w:t>
            </w:r>
          </w:p>
        </w:tc>
        <w:tc>
          <w:tcPr>
            <w:tcW w:w="5171" w:type="dxa"/>
            <w:shd w:val="clear" w:color="auto" w:fill="auto"/>
            <w:vAlign w:val="center"/>
          </w:tcPr>
          <w:p>
            <w:pPr>
              <w:numPr>
                <w:ilvl w:val="-1"/>
                <w:numId w:val="0"/>
              </w:numPr>
              <w:spacing w:line="400" w:lineRule="exact"/>
              <w:ind w:firstLine="0" w:firstLineChars="0"/>
              <w:rPr>
                <w:rFonts w:hint="eastAsia" w:ascii="宋体" w:hAnsi="宋体" w:cs="宋体"/>
                <w:color w:val="auto"/>
                <w:highlight w:val="none"/>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1</w:t>
            </w:r>
            <w:r>
              <w:rPr>
                <w:rFonts w:hint="eastAsia" w:ascii="宋体" w:hAnsi="宋体" w:cs="宋体"/>
                <w:color w:val="auto"/>
                <w:highlight w:val="none"/>
                <w:lang w:eastAsia="zh-CN"/>
              </w:rPr>
              <w:t>）</w:t>
            </w:r>
            <w:r>
              <w:rPr>
                <w:rFonts w:hint="eastAsia" w:ascii="宋体" w:hAnsi="宋体" w:cs="宋体"/>
                <w:color w:val="auto"/>
                <w:highlight w:val="none"/>
              </w:rPr>
              <w:t>企业完成的工程获得“省长、自治区主席、直辖市市长质量奖、中国建设工程鲁班奖、市政金杯示范工程奖、詹天佑土木工程大奖”，从获奖文件或证书颁发之日起为准不超过三年的，每个得4分。</w:t>
            </w:r>
          </w:p>
          <w:p>
            <w:pPr>
              <w:numPr>
                <w:ilvl w:val="-1"/>
                <w:numId w:val="0"/>
              </w:numPr>
              <w:spacing w:line="400" w:lineRule="exact"/>
              <w:ind w:firstLine="0" w:firstLineChars="0"/>
              <w:rPr>
                <w:rFonts w:hint="eastAsia" w:ascii="宋体" w:hAnsi="宋体" w:cs="宋体"/>
                <w:color w:val="auto"/>
                <w:highlight w:val="none"/>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2</w:t>
            </w:r>
            <w:r>
              <w:rPr>
                <w:rFonts w:hint="eastAsia" w:ascii="宋体" w:hAnsi="宋体" w:cs="宋体"/>
                <w:color w:val="auto"/>
                <w:highlight w:val="none"/>
                <w:lang w:eastAsia="zh-CN"/>
              </w:rPr>
              <w:t>）</w:t>
            </w:r>
            <w:r>
              <w:rPr>
                <w:rFonts w:hint="eastAsia" w:ascii="宋体" w:hAnsi="宋体" w:cs="宋体"/>
                <w:color w:val="auto"/>
                <w:highlight w:val="none"/>
              </w:rPr>
              <w:t>企业承建或完成的工程获得“国家优质工程奖、中国建筑工程装饰奖、国家AAA级安全文明标准化工地”，从获奖文件或证书颁发之日起为准不超过三年的，每个得3分。</w:t>
            </w:r>
          </w:p>
          <w:p>
            <w:pPr>
              <w:numPr>
                <w:ilvl w:val="-1"/>
                <w:numId w:val="0"/>
              </w:numPr>
              <w:spacing w:line="400" w:lineRule="exact"/>
              <w:ind w:firstLine="0" w:firstLineChars="0"/>
              <w:rPr>
                <w:rFonts w:hint="eastAsia" w:ascii="宋体" w:hAnsi="宋体" w:cs="宋体"/>
                <w:color w:val="auto"/>
                <w:highlight w:val="none"/>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3</w:t>
            </w:r>
            <w:r>
              <w:rPr>
                <w:rFonts w:hint="eastAsia" w:ascii="宋体" w:hAnsi="宋体" w:cs="宋体"/>
                <w:color w:val="auto"/>
                <w:highlight w:val="none"/>
                <w:lang w:eastAsia="zh-CN"/>
              </w:rPr>
              <w:t>）</w:t>
            </w:r>
            <w:r>
              <w:rPr>
                <w:rFonts w:hint="eastAsia" w:ascii="宋体" w:hAnsi="宋体" w:cs="宋体"/>
                <w:color w:val="auto"/>
                <w:highlight w:val="none"/>
              </w:rPr>
              <w:t>企业承建或完成的工程获得省级工程质量</w:t>
            </w:r>
            <w:r>
              <w:rPr>
                <w:rFonts w:hint="eastAsia" w:ascii="宋体" w:hAnsi="宋体" w:cs="宋体"/>
                <w:color w:val="auto"/>
                <w:kern w:val="0"/>
                <w:highlight w:val="none"/>
              </w:rPr>
              <w:t>或</w:t>
            </w:r>
            <w:r>
              <w:rPr>
                <w:rFonts w:hint="eastAsia" w:ascii="宋体" w:hAnsi="宋体" w:cs="宋体"/>
                <w:color w:val="auto"/>
                <w:highlight w:val="none"/>
              </w:rPr>
              <w:t>安全文明工地奖（建筑施工安全文明标准化工地）的，省级建筑装饰工程优质奖的，从获奖文件或证书颁发之日起为准不超过二年的，每个得 2分。</w:t>
            </w:r>
          </w:p>
          <w:p>
            <w:pPr>
              <w:numPr>
                <w:ilvl w:val="-1"/>
                <w:numId w:val="0"/>
              </w:numPr>
              <w:spacing w:line="400" w:lineRule="exact"/>
              <w:ind w:firstLine="0" w:firstLineChars="0"/>
              <w:rPr>
                <w:rFonts w:hint="eastAsia" w:ascii="宋体" w:hAnsi="宋体" w:cs="宋体"/>
                <w:color w:val="auto"/>
                <w:highlight w:val="none"/>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4</w:t>
            </w:r>
            <w:r>
              <w:rPr>
                <w:rFonts w:hint="eastAsia" w:ascii="宋体" w:hAnsi="宋体" w:cs="宋体"/>
                <w:color w:val="auto"/>
                <w:highlight w:val="none"/>
                <w:lang w:eastAsia="zh-CN"/>
              </w:rPr>
              <w:t>）</w:t>
            </w:r>
            <w:r>
              <w:rPr>
                <w:rFonts w:hint="eastAsia" w:ascii="宋体" w:hAnsi="宋体" w:cs="宋体"/>
                <w:color w:val="auto"/>
                <w:highlight w:val="none"/>
              </w:rPr>
              <w:t>企业承建或完成的工程获得设区城市级工程质量</w:t>
            </w:r>
            <w:r>
              <w:rPr>
                <w:rFonts w:hint="eastAsia" w:ascii="宋体" w:hAnsi="宋体" w:cs="宋体"/>
                <w:color w:val="auto"/>
                <w:kern w:val="0"/>
                <w:highlight w:val="none"/>
              </w:rPr>
              <w:t>或</w:t>
            </w:r>
            <w:r>
              <w:rPr>
                <w:rFonts w:hint="eastAsia" w:ascii="宋体" w:hAnsi="宋体" w:cs="宋体"/>
                <w:color w:val="auto"/>
                <w:highlight w:val="none"/>
              </w:rPr>
              <w:t>安全文明工地奖（建筑施工安全文明标准化工地），从获奖文件或证书颁发之日起为准不超过一年的，每个得0.4分。</w:t>
            </w:r>
          </w:p>
          <w:p>
            <w:pPr>
              <w:numPr>
                <w:ilvl w:val="-1"/>
                <w:numId w:val="0"/>
              </w:numPr>
              <w:spacing w:line="400" w:lineRule="exact"/>
              <w:ind w:firstLine="0" w:firstLineChars="0"/>
              <w:rPr>
                <w:rFonts w:hint="eastAsia" w:ascii="宋体" w:hAnsi="宋体" w:cs="宋体"/>
                <w:color w:val="auto"/>
                <w:highlight w:val="none"/>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5</w:t>
            </w:r>
            <w:r>
              <w:rPr>
                <w:rFonts w:hint="eastAsia" w:ascii="宋体" w:hAnsi="宋体" w:cs="宋体"/>
                <w:color w:val="auto"/>
                <w:highlight w:val="none"/>
                <w:lang w:eastAsia="zh-CN"/>
              </w:rPr>
              <w:t>）</w:t>
            </w:r>
            <w:r>
              <w:rPr>
                <w:rFonts w:hint="eastAsia" w:ascii="宋体" w:hAnsi="宋体" w:cs="宋体"/>
                <w:color w:val="auto"/>
                <w:highlight w:val="none"/>
              </w:rPr>
              <w:t>企业主编或主持完成国家级建设工法、国家或行业标准，从获奖文件或证书颁发之日起为准不超过三年的，每项得1分；参编或参与单位，每项得0.4分。</w:t>
            </w:r>
          </w:p>
          <w:p>
            <w:pPr>
              <w:numPr>
                <w:ilvl w:val="-1"/>
                <w:numId w:val="0"/>
              </w:numPr>
              <w:spacing w:line="400" w:lineRule="exact"/>
              <w:ind w:firstLine="0" w:firstLineChars="0"/>
              <w:rPr>
                <w:rFonts w:hint="eastAsia" w:ascii="宋体" w:hAnsi="宋体" w:cs="宋体"/>
                <w:color w:val="auto"/>
                <w:highlight w:val="none"/>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6</w:t>
            </w:r>
            <w:r>
              <w:rPr>
                <w:rFonts w:hint="eastAsia" w:ascii="宋体" w:hAnsi="宋体" w:cs="宋体"/>
                <w:color w:val="auto"/>
                <w:highlight w:val="none"/>
                <w:lang w:eastAsia="zh-CN"/>
              </w:rPr>
              <w:t>）</w:t>
            </w:r>
            <w:r>
              <w:rPr>
                <w:rFonts w:hint="eastAsia" w:ascii="宋体" w:hAnsi="宋体" w:cs="宋体"/>
                <w:color w:val="auto"/>
                <w:highlight w:val="none"/>
              </w:rPr>
              <w:t>企业主编或主持完成省级建设工法、省级标准，从获奖文件或证书颁发之日起为准不超过二年的，每项得0.4分；参编或参与单位，每项得0.2分。</w:t>
            </w:r>
          </w:p>
          <w:p>
            <w:pPr>
              <w:spacing w:line="400" w:lineRule="exact"/>
              <w:ind w:firstLine="420" w:firstLineChars="200"/>
              <w:rPr>
                <w:color w:val="auto"/>
                <w:highlight w:val="none"/>
              </w:rPr>
            </w:pPr>
            <w:r>
              <w:rPr>
                <w:rFonts w:hint="eastAsia" w:ascii="宋体" w:hAnsi="宋体" w:cs="宋体"/>
                <w:color w:val="auto"/>
                <w:highlight w:val="none"/>
              </w:rPr>
              <w:t xml:space="preserve"> 注：同一项目获得不同级别奖项，按最高级别奖项计分，不重复计分。同一工程同时获得工程结构奖和优质工程奖的，视为同类型的奖项,不重复计分。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32" w:type="dxa"/>
            <w:gridSpan w:val="2"/>
            <w:vMerge w:val="continue"/>
            <w:shd w:val="clear" w:color="auto" w:fill="auto"/>
            <w:vAlign w:val="center"/>
          </w:tcPr>
          <w:p>
            <w:pPr>
              <w:spacing w:line="360" w:lineRule="auto"/>
              <w:jc w:val="center"/>
              <w:rPr>
                <w:color w:val="auto"/>
                <w:highlight w:val="none"/>
              </w:rPr>
            </w:pPr>
          </w:p>
        </w:tc>
        <w:tc>
          <w:tcPr>
            <w:tcW w:w="426" w:type="dxa"/>
            <w:vMerge w:val="continue"/>
            <w:shd w:val="clear" w:color="auto" w:fill="auto"/>
            <w:vAlign w:val="center"/>
          </w:tcPr>
          <w:p>
            <w:pPr>
              <w:spacing w:line="360" w:lineRule="auto"/>
              <w:jc w:val="center"/>
              <w:rPr>
                <w:color w:val="auto"/>
                <w:highlight w:val="none"/>
              </w:rPr>
            </w:pPr>
          </w:p>
        </w:tc>
        <w:tc>
          <w:tcPr>
            <w:tcW w:w="1138" w:type="dxa"/>
            <w:vMerge w:val="continue"/>
            <w:shd w:val="clear" w:color="auto" w:fill="auto"/>
            <w:vAlign w:val="center"/>
          </w:tcPr>
          <w:p>
            <w:pPr>
              <w:spacing w:line="360" w:lineRule="auto"/>
              <w:jc w:val="center"/>
              <w:rPr>
                <w:color w:val="auto"/>
                <w:highlight w:val="none"/>
              </w:rPr>
            </w:pPr>
          </w:p>
        </w:tc>
        <w:tc>
          <w:tcPr>
            <w:tcW w:w="2464" w:type="dxa"/>
            <w:gridSpan w:val="2"/>
            <w:shd w:val="clear" w:color="auto" w:fill="auto"/>
            <w:vAlign w:val="center"/>
          </w:tcPr>
          <w:p>
            <w:pPr>
              <w:spacing w:line="360" w:lineRule="auto"/>
              <w:rPr>
                <w:color w:val="auto"/>
                <w:highlight w:val="none"/>
              </w:rPr>
            </w:pPr>
            <w:r>
              <w:rPr>
                <w:color w:val="auto"/>
                <w:highlight w:val="none"/>
              </w:rPr>
              <w:t>（三）项目经理情况</w:t>
            </w:r>
          </w:p>
          <w:p>
            <w:pPr>
              <w:spacing w:line="360" w:lineRule="auto"/>
              <w:rPr>
                <w:color w:val="auto"/>
                <w:highlight w:val="none"/>
              </w:rPr>
            </w:pPr>
            <w:r>
              <w:rPr>
                <w:color w:val="auto"/>
                <w:highlight w:val="none"/>
              </w:rPr>
              <w:t>（满分</w:t>
            </w:r>
            <w:r>
              <w:rPr>
                <w:color w:val="auto"/>
                <w:highlight w:val="none"/>
                <w:u w:val="single"/>
              </w:rPr>
              <w:t xml:space="preserve"> 1</w:t>
            </w:r>
            <w:r>
              <w:rPr>
                <w:rFonts w:hint="eastAsia"/>
                <w:color w:val="auto"/>
                <w:highlight w:val="none"/>
                <w:u w:val="single"/>
              </w:rPr>
              <w:t>5</w:t>
            </w:r>
            <w:r>
              <w:rPr>
                <w:color w:val="auto"/>
                <w:highlight w:val="none"/>
              </w:rPr>
              <w:t>分）</w:t>
            </w:r>
          </w:p>
        </w:tc>
        <w:tc>
          <w:tcPr>
            <w:tcW w:w="5171" w:type="dxa"/>
            <w:shd w:val="clear" w:color="auto" w:fill="auto"/>
          </w:tcPr>
          <w:p>
            <w:pPr>
              <w:spacing w:line="400" w:lineRule="exact"/>
              <w:rPr>
                <w:color w:val="auto"/>
                <w:highlight w:val="none"/>
              </w:rPr>
            </w:pPr>
            <w:r>
              <w:rPr>
                <w:rFonts w:hint="eastAsia"/>
                <w:color w:val="auto"/>
                <w:highlight w:val="none"/>
              </w:rPr>
              <w:t>项目经理资质：项目经理为建筑工程专业二级或以上注册建造师且具备有效的安全生产考核合格证书（B类）得15分。 （未提供投标人为其缴纳2021年7月至2021年9月社会保险的证明材料的视为资格审查不合格。）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32" w:type="dxa"/>
            <w:gridSpan w:val="2"/>
            <w:vMerge w:val="continue"/>
            <w:shd w:val="clear" w:color="auto" w:fill="auto"/>
            <w:vAlign w:val="center"/>
          </w:tcPr>
          <w:p>
            <w:pPr>
              <w:spacing w:line="360" w:lineRule="auto"/>
              <w:jc w:val="center"/>
              <w:rPr>
                <w:color w:val="auto"/>
                <w:highlight w:val="none"/>
              </w:rPr>
            </w:pPr>
          </w:p>
        </w:tc>
        <w:tc>
          <w:tcPr>
            <w:tcW w:w="426" w:type="dxa"/>
            <w:vMerge w:val="continue"/>
            <w:shd w:val="clear" w:color="auto" w:fill="auto"/>
            <w:vAlign w:val="center"/>
          </w:tcPr>
          <w:p>
            <w:pPr>
              <w:spacing w:line="360" w:lineRule="auto"/>
              <w:jc w:val="center"/>
              <w:rPr>
                <w:color w:val="auto"/>
                <w:highlight w:val="none"/>
              </w:rPr>
            </w:pPr>
          </w:p>
        </w:tc>
        <w:tc>
          <w:tcPr>
            <w:tcW w:w="1138" w:type="dxa"/>
            <w:vMerge w:val="continue"/>
            <w:shd w:val="clear" w:color="auto" w:fill="auto"/>
            <w:vAlign w:val="center"/>
          </w:tcPr>
          <w:p>
            <w:pPr>
              <w:spacing w:line="360" w:lineRule="auto"/>
              <w:jc w:val="center"/>
              <w:rPr>
                <w:color w:val="auto"/>
                <w:highlight w:val="none"/>
              </w:rPr>
            </w:pPr>
          </w:p>
        </w:tc>
        <w:tc>
          <w:tcPr>
            <w:tcW w:w="2464" w:type="dxa"/>
            <w:gridSpan w:val="2"/>
            <w:shd w:val="clear" w:color="auto" w:fill="auto"/>
            <w:vAlign w:val="center"/>
          </w:tcPr>
          <w:p>
            <w:pPr>
              <w:spacing w:line="360" w:lineRule="auto"/>
              <w:rPr>
                <w:color w:val="auto"/>
                <w:highlight w:val="none"/>
              </w:rPr>
            </w:pPr>
            <w:r>
              <w:rPr>
                <w:color w:val="auto"/>
                <w:highlight w:val="none"/>
              </w:rPr>
              <w:t>（四）技术负责人情况</w:t>
            </w:r>
          </w:p>
          <w:p>
            <w:pPr>
              <w:spacing w:line="360" w:lineRule="auto"/>
              <w:rPr>
                <w:color w:val="auto"/>
                <w:highlight w:val="none"/>
              </w:rPr>
            </w:pPr>
            <w:r>
              <w:rPr>
                <w:color w:val="auto"/>
                <w:highlight w:val="none"/>
              </w:rPr>
              <w:t>（满分</w:t>
            </w:r>
            <w:r>
              <w:rPr>
                <w:color w:val="auto"/>
                <w:highlight w:val="none"/>
                <w:u w:val="single"/>
              </w:rPr>
              <w:t>10</w:t>
            </w:r>
            <w:r>
              <w:rPr>
                <w:color w:val="auto"/>
                <w:highlight w:val="none"/>
              </w:rPr>
              <w:t>分）</w:t>
            </w:r>
          </w:p>
        </w:tc>
        <w:tc>
          <w:tcPr>
            <w:tcW w:w="5171" w:type="dxa"/>
            <w:shd w:val="clear" w:color="auto" w:fill="auto"/>
            <w:vAlign w:val="center"/>
          </w:tcPr>
          <w:p>
            <w:pPr>
              <w:spacing w:line="400" w:lineRule="exact"/>
              <w:rPr>
                <w:color w:val="auto"/>
                <w:highlight w:val="none"/>
              </w:rPr>
            </w:pPr>
            <w:r>
              <w:rPr>
                <w:rFonts w:hint="eastAsia"/>
                <w:color w:val="auto"/>
                <w:highlight w:val="none"/>
              </w:rPr>
              <w:t>具有中级及以上工程师职称的得10分，初级工程师职称的得7分。（未提供投标人为其缴纳2021年7月至2021年9月社会保险的证明材料的视为资格审查不合格。）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32" w:type="dxa"/>
            <w:gridSpan w:val="2"/>
            <w:vMerge w:val="continue"/>
            <w:shd w:val="clear" w:color="auto" w:fill="auto"/>
            <w:vAlign w:val="center"/>
          </w:tcPr>
          <w:p>
            <w:pPr>
              <w:spacing w:line="360" w:lineRule="auto"/>
              <w:jc w:val="center"/>
              <w:rPr>
                <w:color w:val="auto"/>
                <w:highlight w:val="none"/>
              </w:rPr>
            </w:pPr>
          </w:p>
        </w:tc>
        <w:tc>
          <w:tcPr>
            <w:tcW w:w="426" w:type="dxa"/>
            <w:vMerge w:val="continue"/>
            <w:shd w:val="clear" w:color="auto" w:fill="auto"/>
            <w:vAlign w:val="center"/>
          </w:tcPr>
          <w:p>
            <w:pPr>
              <w:spacing w:line="360" w:lineRule="auto"/>
              <w:jc w:val="center"/>
              <w:rPr>
                <w:color w:val="auto"/>
                <w:highlight w:val="none"/>
              </w:rPr>
            </w:pPr>
          </w:p>
        </w:tc>
        <w:tc>
          <w:tcPr>
            <w:tcW w:w="1138" w:type="dxa"/>
            <w:vMerge w:val="continue"/>
            <w:shd w:val="clear" w:color="auto" w:fill="auto"/>
            <w:vAlign w:val="center"/>
          </w:tcPr>
          <w:p>
            <w:pPr>
              <w:spacing w:line="360" w:lineRule="auto"/>
              <w:jc w:val="center"/>
              <w:rPr>
                <w:color w:val="auto"/>
                <w:highlight w:val="none"/>
              </w:rPr>
            </w:pPr>
          </w:p>
        </w:tc>
        <w:tc>
          <w:tcPr>
            <w:tcW w:w="2464" w:type="dxa"/>
            <w:gridSpan w:val="2"/>
            <w:shd w:val="clear" w:color="auto" w:fill="auto"/>
            <w:vAlign w:val="center"/>
          </w:tcPr>
          <w:p>
            <w:pPr>
              <w:spacing w:line="360" w:lineRule="auto"/>
              <w:rPr>
                <w:color w:val="auto"/>
                <w:highlight w:val="none"/>
              </w:rPr>
            </w:pPr>
            <w:r>
              <w:rPr>
                <w:color w:val="auto"/>
                <w:highlight w:val="none"/>
              </w:rPr>
              <w:t>（五）拟投入本工程管理人员情况（满分</w:t>
            </w:r>
            <w:r>
              <w:rPr>
                <w:color w:val="auto"/>
                <w:highlight w:val="none"/>
                <w:u w:val="single"/>
              </w:rPr>
              <w:t>1</w:t>
            </w:r>
            <w:r>
              <w:rPr>
                <w:rFonts w:hint="eastAsia"/>
                <w:color w:val="auto"/>
                <w:highlight w:val="none"/>
                <w:u w:val="single"/>
              </w:rPr>
              <w:t>5</w:t>
            </w:r>
            <w:r>
              <w:rPr>
                <w:color w:val="auto"/>
                <w:highlight w:val="none"/>
              </w:rPr>
              <w:t>分）</w:t>
            </w:r>
          </w:p>
        </w:tc>
        <w:tc>
          <w:tcPr>
            <w:tcW w:w="5171" w:type="dxa"/>
            <w:shd w:val="clear" w:color="auto" w:fill="auto"/>
            <w:vAlign w:val="center"/>
          </w:tcPr>
          <w:p>
            <w:pPr>
              <w:spacing w:line="400" w:lineRule="exact"/>
              <w:rPr>
                <w:color w:val="auto"/>
                <w:highlight w:val="none"/>
              </w:rPr>
            </w:pPr>
            <w:r>
              <w:rPr>
                <w:rFonts w:hint="eastAsia"/>
                <w:color w:val="auto"/>
                <w:highlight w:val="none"/>
              </w:rPr>
              <w:t xml:space="preserve">拟投入本工程施工员、质量员、材料员、安全员配备齐全且全部持证上岗的，按以下标准计分： </w:t>
            </w:r>
          </w:p>
          <w:p>
            <w:pPr>
              <w:spacing w:line="400" w:lineRule="exact"/>
              <w:rPr>
                <w:color w:val="auto"/>
                <w:highlight w:val="none"/>
              </w:rPr>
            </w:pPr>
            <w:r>
              <w:rPr>
                <w:rFonts w:hint="eastAsia"/>
                <w:color w:val="auto"/>
                <w:highlight w:val="none"/>
              </w:rPr>
              <w:t xml:space="preserve">优（15分）：完全满足施工需要，管理人员配备齐全且经验及综合素质优秀。 </w:t>
            </w:r>
          </w:p>
          <w:p>
            <w:pPr>
              <w:spacing w:line="400" w:lineRule="exact"/>
              <w:rPr>
                <w:color w:val="auto"/>
                <w:highlight w:val="none"/>
              </w:rPr>
            </w:pPr>
            <w:r>
              <w:rPr>
                <w:rFonts w:hint="eastAsia"/>
                <w:color w:val="auto"/>
                <w:highlight w:val="none"/>
              </w:rPr>
              <w:t xml:space="preserve">良（11分）：满足施工需要，管理人员配备齐全且经验及综合素质良好。 </w:t>
            </w:r>
          </w:p>
          <w:p>
            <w:pPr>
              <w:spacing w:line="400" w:lineRule="exact"/>
              <w:rPr>
                <w:rFonts w:eastAsia="楷体_GB2312"/>
                <w:color w:val="auto"/>
                <w:highlight w:val="none"/>
              </w:rPr>
            </w:pPr>
            <w:r>
              <w:rPr>
                <w:rFonts w:hint="eastAsia"/>
                <w:color w:val="auto"/>
                <w:highlight w:val="none"/>
              </w:rPr>
              <w:t>中（7分）：基本满足施工需要，管理人员配备齐全。   差（3分）：不满足施工需要，管理人员配备不齐全。 （注：未提供投标人为上述人员缴纳2021年7月至2021年9月社会保险的证明材料的视为资格审查不合格。）专职安全员要求：专职安全员须已录入广西建筑业企业诚信信息库并处于有效状态，具备有效的安全生产考核合格证书（C类），人数符合住房和城乡建设部《建筑施工企业安全生产管理机构设置及专职安全生产管理人员配备办法》（建质〔2008〕91号）的规定不少于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32" w:type="dxa"/>
            <w:gridSpan w:val="2"/>
            <w:vMerge w:val="continue"/>
            <w:shd w:val="clear" w:color="auto" w:fill="auto"/>
            <w:vAlign w:val="center"/>
          </w:tcPr>
          <w:p>
            <w:pPr>
              <w:spacing w:line="360" w:lineRule="auto"/>
              <w:jc w:val="center"/>
              <w:rPr>
                <w:color w:val="auto"/>
                <w:highlight w:val="none"/>
              </w:rPr>
            </w:pPr>
          </w:p>
        </w:tc>
        <w:tc>
          <w:tcPr>
            <w:tcW w:w="426" w:type="dxa"/>
            <w:vMerge w:val="continue"/>
            <w:shd w:val="clear" w:color="auto" w:fill="auto"/>
            <w:vAlign w:val="center"/>
          </w:tcPr>
          <w:p>
            <w:pPr>
              <w:spacing w:line="360" w:lineRule="auto"/>
              <w:jc w:val="center"/>
              <w:rPr>
                <w:color w:val="auto"/>
                <w:highlight w:val="none"/>
              </w:rPr>
            </w:pPr>
          </w:p>
        </w:tc>
        <w:tc>
          <w:tcPr>
            <w:tcW w:w="1138" w:type="dxa"/>
            <w:vMerge w:val="continue"/>
            <w:shd w:val="clear" w:color="auto" w:fill="auto"/>
            <w:vAlign w:val="center"/>
          </w:tcPr>
          <w:p>
            <w:pPr>
              <w:spacing w:line="360" w:lineRule="auto"/>
              <w:jc w:val="center"/>
              <w:rPr>
                <w:color w:val="auto"/>
                <w:highlight w:val="none"/>
              </w:rPr>
            </w:pPr>
          </w:p>
        </w:tc>
        <w:tc>
          <w:tcPr>
            <w:tcW w:w="2464" w:type="dxa"/>
            <w:gridSpan w:val="2"/>
            <w:shd w:val="clear" w:color="auto" w:fill="auto"/>
            <w:vAlign w:val="center"/>
          </w:tcPr>
          <w:p>
            <w:pPr>
              <w:spacing w:line="360" w:lineRule="auto"/>
              <w:rPr>
                <w:color w:val="auto"/>
                <w:highlight w:val="none"/>
              </w:rPr>
            </w:pPr>
            <w:r>
              <w:rPr>
                <w:color w:val="auto"/>
                <w:highlight w:val="none"/>
              </w:rPr>
              <w:t>（六）拟投入施工机械设备情况（满分</w:t>
            </w:r>
            <w:r>
              <w:rPr>
                <w:rFonts w:hint="eastAsia"/>
                <w:color w:val="auto"/>
                <w:highlight w:val="none"/>
                <w:u w:val="single"/>
              </w:rPr>
              <w:t>20</w:t>
            </w:r>
            <w:r>
              <w:rPr>
                <w:color w:val="auto"/>
                <w:highlight w:val="none"/>
              </w:rPr>
              <w:t>分）</w:t>
            </w:r>
          </w:p>
        </w:tc>
        <w:tc>
          <w:tcPr>
            <w:tcW w:w="5171" w:type="dxa"/>
            <w:shd w:val="clear" w:color="auto" w:fill="auto"/>
            <w:vAlign w:val="center"/>
          </w:tcPr>
          <w:p>
            <w:pPr>
              <w:spacing w:line="400" w:lineRule="exact"/>
              <w:rPr>
                <w:color w:val="auto"/>
                <w:highlight w:val="none"/>
              </w:rPr>
            </w:pPr>
            <w:r>
              <w:rPr>
                <w:rFonts w:hint="eastAsia"/>
                <w:color w:val="auto"/>
                <w:highlight w:val="none"/>
              </w:rPr>
              <w:t xml:space="preserve">拟投入本工程的专业机械设备和其他辅助机械设备满足工程需求情况： </w:t>
            </w:r>
          </w:p>
          <w:p>
            <w:pPr>
              <w:spacing w:line="400" w:lineRule="exact"/>
              <w:rPr>
                <w:color w:val="auto"/>
                <w:highlight w:val="none"/>
              </w:rPr>
            </w:pPr>
            <w:r>
              <w:rPr>
                <w:rFonts w:hint="eastAsia"/>
                <w:color w:val="auto"/>
                <w:highlight w:val="none"/>
              </w:rPr>
              <w:t>优（20分）：资源配备计划完善，主要机械设备、施工机具可以较好满足工程进度计划及施工管理措施需要。</w:t>
            </w:r>
          </w:p>
          <w:p>
            <w:pPr>
              <w:spacing w:line="400" w:lineRule="exact"/>
              <w:rPr>
                <w:color w:val="auto"/>
                <w:highlight w:val="none"/>
              </w:rPr>
            </w:pPr>
            <w:r>
              <w:rPr>
                <w:rFonts w:hint="eastAsia"/>
                <w:color w:val="auto"/>
                <w:highlight w:val="none"/>
              </w:rPr>
              <w:t xml:space="preserve">良（15分）：资源配备计划完整，主要机械设备、施工机具满足工程进度计划及施工管理措施需要。 </w:t>
            </w:r>
          </w:p>
          <w:p>
            <w:pPr>
              <w:spacing w:line="400" w:lineRule="exact"/>
              <w:rPr>
                <w:color w:val="auto"/>
                <w:highlight w:val="none"/>
              </w:rPr>
            </w:pPr>
            <w:r>
              <w:rPr>
                <w:rFonts w:hint="eastAsia"/>
                <w:color w:val="auto"/>
                <w:highlight w:val="none"/>
              </w:rPr>
              <w:t xml:space="preserve">中（10分）：资源配备计划基本完整，主要机械设备、施工机具可以基本满足工程进度计划及施工管理措施需要。 </w:t>
            </w:r>
          </w:p>
          <w:p>
            <w:pPr>
              <w:spacing w:line="400" w:lineRule="exact"/>
              <w:rPr>
                <w:b/>
                <w:color w:val="auto"/>
                <w:highlight w:val="none"/>
              </w:rPr>
            </w:pPr>
            <w:r>
              <w:rPr>
                <w:rFonts w:hint="eastAsia"/>
                <w:color w:val="auto"/>
                <w:highlight w:val="none"/>
              </w:rPr>
              <w:t>差（5分）：资源配备计划不完整，或主要机械设备、施工机具无法满足工程进度计划及施工管理措施需要</w:t>
            </w:r>
            <w:r>
              <w:rPr>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24" w:hRule="atLeast"/>
        </w:trPr>
        <w:tc>
          <w:tcPr>
            <w:tcW w:w="932" w:type="dxa"/>
            <w:gridSpan w:val="2"/>
            <w:vMerge w:val="continue"/>
            <w:shd w:val="clear" w:color="auto" w:fill="auto"/>
            <w:vAlign w:val="center"/>
          </w:tcPr>
          <w:p>
            <w:pPr>
              <w:spacing w:line="360" w:lineRule="auto"/>
              <w:jc w:val="center"/>
              <w:rPr>
                <w:color w:val="auto"/>
                <w:highlight w:val="none"/>
              </w:rPr>
            </w:pPr>
          </w:p>
        </w:tc>
        <w:tc>
          <w:tcPr>
            <w:tcW w:w="426" w:type="dxa"/>
            <w:vMerge w:val="continue"/>
            <w:shd w:val="clear" w:color="auto" w:fill="auto"/>
            <w:vAlign w:val="center"/>
          </w:tcPr>
          <w:p>
            <w:pPr>
              <w:spacing w:line="360" w:lineRule="auto"/>
              <w:jc w:val="center"/>
              <w:rPr>
                <w:color w:val="auto"/>
                <w:highlight w:val="none"/>
              </w:rPr>
            </w:pPr>
          </w:p>
        </w:tc>
        <w:tc>
          <w:tcPr>
            <w:tcW w:w="1138" w:type="dxa"/>
            <w:vMerge w:val="continue"/>
            <w:shd w:val="clear" w:color="auto" w:fill="auto"/>
            <w:vAlign w:val="center"/>
          </w:tcPr>
          <w:p>
            <w:pPr>
              <w:spacing w:line="360" w:lineRule="auto"/>
              <w:jc w:val="center"/>
              <w:rPr>
                <w:color w:val="auto"/>
                <w:highlight w:val="none"/>
              </w:rPr>
            </w:pPr>
          </w:p>
        </w:tc>
        <w:tc>
          <w:tcPr>
            <w:tcW w:w="2464" w:type="dxa"/>
            <w:gridSpan w:val="2"/>
            <w:shd w:val="clear" w:color="auto" w:fill="auto"/>
            <w:vAlign w:val="center"/>
          </w:tcPr>
          <w:p>
            <w:pPr>
              <w:spacing w:line="360" w:lineRule="auto"/>
              <w:rPr>
                <w:color w:val="auto"/>
                <w:highlight w:val="none"/>
              </w:rPr>
            </w:pPr>
            <w:r>
              <w:rPr>
                <w:color w:val="auto"/>
                <w:highlight w:val="none"/>
              </w:rPr>
              <w:t>（七）企业财务状况（满分</w:t>
            </w:r>
            <w:r>
              <w:rPr>
                <w:color w:val="auto"/>
                <w:highlight w:val="none"/>
                <w:u w:val="single"/>
              </w:rPr>
              <w:t>1</w:t>
            </w:r>
            <w:r>
              <w:rPr>
                <w:rFonts w:hint="eastAsia"/>
                <w:color w:val="auto"/>
                <w:highlight w:val="none"/>
                <w:u w:val="single"/>
              </w:rPr>
              <w:t>0</w:t>
            </w:r>
            <w:r>
              <w:rPr>
                <w:color w:val="auto"/>
                <w:highlight w:val="none"/>
              </w:rPr>
              <w:t>分）</w:t>
            </w:r>
          </w:p>
        </w:tc>
        <w:tc>
          <w:tcPr>
            <w:tcW w:w="5171" w:type="dxa"/>
            <w:shd w:val="clear" w:color="auto" w:fill="auto"/>
          </w:tcPr>
          <w:p>
            <w:pPr>
              <w:rPr>
                <w:color w:val="auto"/>
                <w:highlight w:val="none"/>
              </w:rPr>
            </w:pPr>
            <w:r>
              <w:rPr>
                <w:rFonts w:hint="eastAsia"/>
                <w:color w:val="auto"/>
                <w:highlight w:val="none"/>
              </w:rPr>
              <w:t>近三年（同“投标人须知前附表”</w:t>
            </w:r>
            <w:r>
              <w:rPr>
                <w:rFonts w:cs="宋体"/>
                <w:color w:val="auto"/>
                <w:highlight w:val="none"/>
              </w:rPr>
              <w:t>3.</w:t>
            </w:r>
            <w:r>
              <w:rPr>
                <w:rFonts w:hint="eastAsia" w:cs="宋体"/>
                <w:color w:val="auto"/>
                <w:highlight w:val="none"/>
              </w:rPr>
              <w:t>1</w:t>
            </w:r>
            <w:r>
              <w:rPr>
                <w:rFonts w:cs="宋体"/>
                <w:color w:val="auto"/>
                <w:highlight w:val="none"/>
              </w:rPr>
              <w:t>.</w:t>
            </w:r>
            <w:r>
              <w:rPr>
                <w:rFonts w:hint="eastAsia" w:cs="宋体"/>
                <w:color w:val="auto"/>
                <w:highlight w:val="none"/>
              </w:rPr>
              <w:t>4</w:t>
            </w:r>
            <w:r>
              <w:rPr>
                <w:rFonts w:hint="eastAsia"/>
                <w:color w:val="auto"/>
                <w:highlight w:val="none"/>
              </w:rPr>
              <w:t>要求）净资产（按总资产与总负债之差计算）情况为正值，1年满足要求得4分，此项满分10分。（附经审计的财务报告资产负债表复印件）</w:t>
            </w:r>
          </w:p>
          <w:p>
            <w:pPr>
              <w:pStyle w:val="157"/>
              <w:spacing w:before="99"/>
              <w:ind w:left="107"/>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8" w:hRule="atLeast"/>
        </w:trPr>
        <w:tc>
          <w:tcPr>
            <w:tcW w:w="932" w:type="dxa"/>
            <w:gridSpan w:val="2"/>
            <w:vMerge w:val="restart"/>
            <w:shd w:val="clear" w:color="auto" w:fill="auto"/>
            <w:vAlign w:val="center"/>
          </w:tcPr>
          <w:p>
            <w:pPr>
              <w:spacing w:line="360" w:lineRule="auto"/>
              <w:jc w:val="center"/>
              <w:rPr>
                <w:color w:val="auto"/>
                <w:highlight w:val="none"/>
              </w:rPr>
            </w:pPr>
            <w:r>
              <w:rPr>
                <w:color w:val="auto"/>
                <w:highlight w:val="none"/>
              </w:rPr>
              <w:t>2.1.2</w:t>
            </w:r>
          </w:p>
        </w:tc>
        <w:tc>
          <w:tcPr>
            <w:tcW w:w="1564" w:type="dxa"/>
            <w:gridSpan w:val="2"/>
            <w:vMerge w:val="restart"/>
            <w:shd w:val="clear" w:color="auto" w:fill="auto"/>
            <w:vAlign w:val="center"/>
          </w:tcPr>
          <w:p>
            <w:pPr>
              <w:spacing w:line="360" w:lineRule="auto"/>
              <w:jc w:val="center"/>
              <w:rPr>
                <w:color w:val="auto"/>
                <w:highlight w:val="none"/>
              </w:rPr>
            </w:pPr>
            <w:r>
              <w:rPr>
                <w:color w:val="auto"/>
                <w:highlight w:val="none"/>
              </w:rPr>
              <w:t>形式</w:t>
            </w:r>
          </w:p>
          <w:p>
            <w:pPr>
              <w:spacing w:line="360" w:lineRule="auto"/>
              <w:jc w:val="center"/>
              <w:rPr>
                <w:color w:val="auto"/>
                <w:highlight w:val="none"/>
              </w:rPr>
            </w:pPr>
            <w:r>
              <w:rPr>
                <w:color w:val="auto"/>
                <w:highlight w:val="none"/>
              </w:rPr>
              <w:t>评审标准</w:t>
            </w:r>
          </w:p>
        </w:tc>
        <w:tc>
          <w:tcPr>
            <w:tcW w:w="7635" w:type="dxa"/>
            <w:gridSpan w:val="3"/>
            <w:shd w:val="clear" w:color="auto" w:fill="auto"/>
            <w:vAlign w:val="center"/>
          </w:tcPr>
          <w:p>
            <w:pPr>
              <w:rPr>
                <w:color w:val="auto"/>
                <w:highlight w:val="none"/>
              </w:rPr>
            </w:pPr>
            <w:r>
              <w:rPr>
                <w:b/>
                <w:color w:val="auto"/>
                <w:highlight w:val="none"/>
              </w:rPr>
              <w:t>合格标准：缺少任何一项或有任何一项不合格者，其形式评审视为不合格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8" w:hRule="atLeast"/>
        </w:trPr>
        <w:tc>
          <w:tcPr>
            <w:tcW w:w="932" w:type="dxa"/>
            <w:gridSpan w:val="2"/>
            <w:vMerge w:val="continue"/>
            <w:shd w:val="clear" w:color="auto" w:fill="auto"/>
            <w:vAlign w:val="center"/>
          </w:tcPr>
          <w:p>
            <w:pPr>
              <w:spacing w:line="360" w:lineRule="auto"/>
              <w:jc w:val="center"/>
              <w:rPr>
                <w:color w:val="auto"/>
                <w:highlight w:val="none"/>
              </w:rPr>
            </w:pPr>
          </w:p>
        </w:tc>
        <w:tc>
          <w:tcPr>
            <w:tcW w:w="1564" w:type="dxa"/>
            <w:gridSpan w:val="2"/>
            <w:vMerge w:val="continue"/>
            <w:shd w:val="clear" w:color="auto" w:fill="auto"/>
            <w:vAlign w:val="center"/>
          </w:tcPr>
          <w:p>
            <w:pPr>
              <w:spacing w:line="360" w:lineRule="auto"/>
              <w:jc w:val="center"/>
              <w:rPr>
                <w:color w:val="auto"/>
                <w:highlight w:val="none"/>
              </w:rPr>
            </w:pPr>
          </w:p>
        </w:tc>
        <w:tc>
          <w:tcPr>
            <w:tcW w:w="2464" w:type="dxa"/>
            <w:gridSpan w:val="2"/>
            <w:shd w:val="clear" w:color="auto" w:fill="auto"/>
            <w:vAlign w:val="center"/>
          </w:tcPr>
          <w:p>
            <w:pPr>
              <w:rPr>
                <w:color w:val="auto"/>
                <w:highlight w:val="none"/>
              </w:rPr>
            </w:pPr>
            <w:r>
              <w:rPr>
                <w:color w:val="auto"/>
                <w:highlight w:val="none"/>
              </w:rPr>
              <w:t>投标人名称</w:t>
            </w:r>
          </w:p>
        </w:tc>
        <w:tc>
          <w:tcPr>
            <w:tcW w:w="5171" w:type="dxa"/>
            <w:shd w:val="clear" w:color="auto" w:fill="auto"/>
            <w:vAlign w:val="center"/>
          </w:tcPr>
          <w:p>
            <w:pPr>
              <w:rPr>
                <w:color w:val="auto"/>
                <w:highlight w:val="none"/>
              </w:rPr>
            </w:pPr>
            <w:r>
              <w:rPr>
                <w:color w:val="auto"/>
                <w:highlight w:val="none"/>
              </w:rPr>
              <w:t>与营业执照、资质证书、安全生产许可证一致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trPr>
        <w:tc>
          <w:tcPr>
            <w:tcW w:w="932" w:type="dxa"/>
            <w:gridSpan w:val="2"/>
            <w:vMerge w:val="continue"/>
            <w:shd w:val="clear" w:color="auto" w:fill="auto"/>
            <w:vAlign w:val="center"/>
          </w:tcPr>
          <w:p>
            <w:pPr>
              <w:spacing w:line="360" w:lineRule="auto"/>
              <w:jc w:val="center"/>
              <w:rPr>
                <w:color w:val="auto"/>
                <w:highlight w:val="none"/>
              </w:rPr>
            </w:pPr>
          </w:p>
        </w:tc>
        <w:tc>
          <w:tcPr>
            <w:tcW w:w="1564" w:type="dxa"/>
            <w:gridSpan w:val="2"/>
            <w:vMerge w:val="continue"/>
            <w:shd w:val="clear" w:color="auto" w:fill="auto"/>
            <w:vAlign w:val="center"/>
          </w:tcPr>
          <w:p>
            <w:pPr>
              <w:spacing w:line="360" w:lineRule="auto"/>
              <w:jc w:val="center"/>
              <w:rPr>
                <w:color w:val="auto"/>
                <w:highlight w:val="none"/>
              </w:rPr>
            </w:pPr>
          </w:p>
        </w:tc>
        <w:tc>
          <w:tcPr>
            <w:tcW w:w="2464" w:type="dxa"/>
            <w:gridSpan w:val="2"/>
            <w:shd w:val="clear" w:color="auto" w:fill="auto"/>
            <w:vAlign w:val="center"/>
          </w:tcPr>
          <w:p>
            <w:pPr>
              <w:spacing w:line="360" w:lineRule="auto"/>
              <w:rPr>
                <w:color w:val="auto"/>
                <w:highlight w:val="none"/>
              </w:rPr>
            </w:pPr>
            <w:r>
              <w:rPr>
                <w:color w:val="auto"/>
                <w:highlight w:val="none"/>
              </w:rPr>
              <w:t>投标函签字盖章</w:t>
            </w:r>
          </w:p>
        </w:tc>
        <w:tc>
          <w:tcPr>
            <w:tcW w:w="5171" w:type="dxa"/>
            <w:shd w:val="clear" w:color="auto" w:fill="auto"/>
            <w:vAlign w:val="center"/>
          </w:tcPr>
          <w:p>
            <w:pPr>
              <w:spacing w:line="360" w:lineRule="auto"/>
              <w:rPr>
                <w:color w:val="auto"/>
                <w:highlight w:val="none"/>
              </w:rPr>
            </w:pPr>
            <w:r>
              <w:rPr>
                <w:color w:val="auto"/>
                <w:highlight w:val="none"/>
              </w:rPr>
              <w:t>法定代表人或其委托代理人签字或盖章及加盖投标人单位公章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trPr>
        <w:tc>
          <w:tcPr>
            <w:tcW w:w="932" w:type="dxa"/>
            <w:gridSpan w:val="2"/>
            <w:vMerge w:val="continue"/>
            <w:shd w:val="clear" w:color="auto" w:fill="auto"/>
            <w:vAlign w:val="center"/>
          </w:tcPr>
          <w:p>
            <w:pPr>
              <w:spacing w:line="360" w:lineRule="auto"/>
              <w:jc w:val="center"/>
              <w:rPr>
                <w:color w:val="auto"/>
                <w:highlight w:val="none"/>
              </w:rPr>
            </w:pPr>
          </w:p>
        </w:tc>
        <w:tc>
          <w:tcPr>
            <w:tcW w:w="1564" w:type="dxa"/>
            <w:gridSpan w:val="2"/>
            <w:vMerge w:val="continue"/>
            <w:shd w:val="clear" w:color="auto" w:fill="auto"/>
            <w:vAlign w:val="center"/>
          </w:tcPr>
          <w:p>
            <w:pPr>
              <w:spacing w:line="360" w:lineRule="auto"/>
              <w:jc w:val="center"/>
              <w:rPr>
                <w:color w:val="auto"/>
                <w:highlight w:val="none"/>
              </w:rPr>
            </w:pPr>
          </w:p>
        </w:tc>
        <w:tc>
          <w:tcPr>
            <w:tcW w:w="2464" w:type="dxa"/>
            <w:gridSpan w:val="2"/>
            <w:shd w:val="clear" w:color="auto" w:fill="auto"/>
            <w:vAlign w:val="center"/>
          </w:tcPr>
          <w:p>
            <w:pPr>
              <w:spacing w:line="360" w:lineRule="auto"/>
              <w:rPr>
                <w:color w:val="auto"/>
                <w:highlight w:val="none"/>
              </w:rPr>
            </w:pPr>
            <w:r>
              <w:rPr>
                <w:color w:val="auto"/>
                <w:highlight w:val="none"/>
              </w:rPr>
              <w:t>投标文件格式</w:t>
            </w:r>
          </w:p>
        </w:tc>
        <w:tc>
          <w:tcPr>
            <w:tcW w:w="5171" w:type="dxa"/>
            <w:shd w:val="clear" w:color="auto" w:fill="auto"/>
            <w:vAlign w:val="center"/>
          </w:tcPr>
          <w:p>
            <w:pPr>
              <w:spacing w:line="360" w:lineRule="auto"/>
              <w:rPr>
                <w:color w:val="auto"/>
                <w:highlight w:val="none"/>
              </w:rPr>
            </w:pPr>
            <w:r>
              <w:rPr>
                <w:color w:val="auto"/>
                <w:highlight w:val="none"/>
              </w:rPr>
              <w:t>符合第八章“投标文件格式”的要求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trPr>
        <w:tc>
          <w:tcPr>
            <w:tcW w:w="932" w:type="dxa"/>
            <w:gridSpan w:val="2"/>
            <w:vMerge w:val="continue"/>
            <w:shd w:val="clear" w:color="auto" w:fill="auto"/>
            <w:vAlign w:val="center"/>
          </w:tcPr>
          <w:p>
            <w:pPr>
              <w:spacing w:line="360" w:lineRule="auto"/>
              <w:jc w:val="center"/>
              <w:rPr>
                <w:color w:val="auto"/>
                <w:highlight w:val="none"/>
              </w:rPr>
            </w:pPr>
          </w:p>
        </w:tc>
        <w:tc>
          <w:tcPr>
            <w:tcW w:w="1564" w:type="dxa"/>
            <w:gridSpan w:val="2"/>
            <w:vMerge w:val="continue"/>
            <w:shd w:val="clear" w:color="auto" w:fill="auto"/>
            <w:vAlign w:val="center"/>
          </w:tcPr>
          <w:p>
            <w:pPr>
              <w:spacing w:line="360" w:lineRule="auto"/>
              <w:jc w:val="center"/>
              <w:rPr>
                <w:color w:val="auto"/>
                <w:highlight w:val="none"/>
              </w:rPr>
            </w:pPr>
          </w:p>
        </w:tc>
        <w:tc>
          <w:tcPr>
            <w:tcW w:w="2464" w:type="dxa"/>
            <w:gridSpan w:val="2"/>
            <w:shd w:val="clear" w:color="auto" w:fill="auto"/>
            <w:vAlign w:val="center"/>
          </w:tcPr>
          <w:p>
            <w:pPr>
              <w:spacing w:line="360" w:lineRule="auto"/>
              <w:rPr>
                <w:color w:val="auto"/>
                <w:highlight w:val="none"/>
              </w:rPr>
            </w:pPr>
            <w:r>
              <w:rPr>
                <w:color w:val="auto"/>
                <w:highlight w:val="none"/>
              </w:rPr>
              <w:t>联合体投标人</w:t>
            </w:r>
            <w:r>
              <w:rPr>
                <w:rFonts w:eastAsia="楷体_GB2312"/>
                <w:color w:val="auto"/>
                <w:highlight w:val="none"/>
              </w:rPr>
              <w:t>（如有）</w:t>
            </w:r>
          </w:p>
        </w:tc>
        <w:tc>
          <w:tcPr>
            <w:tcW w:w="5171" w:type="dxa"/>
            <w:shd w:val="clear" w:color="auto" w:fill="auto"/>
            <w:vAlign w:val="center"/>
          </w:tcPr>
          <w:p>
            <w:pPr>
              <w:spacing w:line="360" w:lineRule="auto"/>
              <w:rPr>
                <w:color w:val="auto"/>
                <w:highlight w:val="none"/>
              </w:rPr>
            </w:pPr>
            <w:r>
              <w:rPr>
                <w:color w:val="auto"/>
                <w:highlight w:val="none"/>
              </w:rPr>
              <w:t>提交联合体协议书，并明确联合体牵头人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8" w:hRule="atLeast"/>
        </w:trPr>
        <w:tc>
          <w:tcPr>
            <w:tcW w:w="932" w:type="dxa"/>
            <w:gridSpan w:val="2"/>
            <w:vMerge w:val="continue"/>
            <w:shd w:val="clear" w:color="auto" w:fill="auto"/>
            <w:vAlign w:val="center"/>
          </w:tcPr>
          <w:p>
            <w:pPr>
              <w:spacing w:line="360" w:lineRule="auto"/>
              <w:jc w:val="center"/>
              <w:rPr>
                <w:color w:val="auto"/>
                <w:highlight w:val="none"/>
              </w:rPr>
            </w:pPr>
          </w:p>
        </w:tc>
        <w:tc>
          <w:tcPr>
            <w:tcW w:w="1564" w:type="dxa"/>
            <w:gridSpan w:val="2"/>
            <w:vMerge w:val="continue"/>
            <w:shd w:val="clear" w:color="auto" w:fill="auto"/>
            <w:vAlign w:val="center"/>
          </w:tcPr>
          <w:p>
            <w:pPr>
              <w:spacing w:line="360" w:lineRule="auto"/>
              <w:jc w:val="center"/>
              <w:rPr>
                <w:color w:val="auto"/>
                <w:highlight w:val="none"/>
              </w:rPr>
            </w:pPr>
          </w:p>
        </w:tc>
        <w:tc>
          <w:tcPr>
            <w:tcW w:w="2464" w:type="dxa"/>
            <w:gridSpan w:val="2"/>
            <w:shd w:val="clear" w:color="auto" w:fill="auto"/>
            <w:vAlign w:val="center"/>
          </w:tcPr>
          <w:p>
            <w:pPr>
              <w:spacing w:line="360" w:lineRule="auto"/>
              <w:rPr>
                <w:color w:val="auto"/>
                <w:highlight w:val="none"/>
              </w:rPr>
            </w:pPr>
            <w:r>
              <w:rPr>
                <w:color w:val="auto"/>
                <w:highlight w:val="none"/>
              </w:rPr>
              <w:t>报价唯一</w:t>
            </w:r>
          </w:p>
        </w:tc>
        <w:tc>
          <w:tcPr>
            <w:tcW w:w="5171" w:type="dxa"/>
            <w:shd w:val="clear" w:color="auto" w:fill="auto"/>
            <w:vAlign w:val="center"/>
          </w:tcPr>
          <w:p>
            <w:pPr>
              <w:spacing w:line="360" w:lineRule="auto"/>
              <w:rPr>
                <w:color w:val="auto"/>
                <w:highlight w:val="none"/>
              </w:rPr>
            </w:pPr>
            <w:r>
              <w:rPr>
                <w:color w:val="auto"/>
                <w:highlight w:val="none"/>
              </w:rPr>
              <w:t>只能有一个有效报价。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trPr>
        <w:tc>
          <w:tcPr>
            <w:tcW w:w="932" w:type="dxa"/>
            <w:gridSpan w:val="2"/>
            <w:vMerge w:val="restart"/>
            <w:shd w:val="clear" w:color="auto" w:fill="auto"/>
            <w:vAlign w:val="center"/>
          </w:tcPr>
          <w:p>
            <w:pPr>
              <w:spacing w:line="360" w:lineRule="auto"/>
              <w:jc w:val="center"/>
              <w:rPr>
                <w:color w:val="auto"/>
                <w:highlight w:val="none"/>
              </w:rPr>
            </w:pPr>
            <w:r>
              <w:rPr>
                <w:color w:val="auto"/>
                <w:highlight w:val="none"/>
              </w:rPr>
              <w:t>2.1.3</w:t>
            </w:r>
          </w:p>
        </w:tc>
        <w:tc>
          <w:tcPr>
            <w:tcW w:w="1564" w:type="dxa"/>
            <w:gridSpan w:val="2"/>
            <w:vMerge w:val="restart"/>
            <w:shd w:val="clear" w:color="auto" w:fill="auto"/>
            <w:vAlign w:val="center"/>
          </w:tcPr>
          <w:p>
            <w:pPr>
              <w:spacing w:line="360" w:lineRule="auto"/>
              <w:jc w:val="center"/>
              <w:rPr>
                <w:color w:val="auto"/>
                <w:highlight w:val="none"/>
              </w:rPr>
            </w:pPr>
            <w:r>
              <w:rPr>
                <w:color w:val="auto"/>
                <w:highlight w:val="none"/>
              </w:rPr>
              <w:t>响应性评审标准</w:t>
            </w:r>
          </w:p>
        </w:tc>
        <w:tc>
          <w:tcPr>
            <w:tcW w:w="7635" w:type="dxa"/>
            <w:gridSpan w:val="3"/>
            <w:shd w:val="clear" w:color="auto" w:fill="auto"/>
            <w:vAlign w:val="center"/>
          </w:tcPr>
          <w:p>
            <w:pPr>
              <w:spacing w:line="360" w:lineRule="auto"/>
              <w:rPr>
                <w:color w:val="auto"/>
                <w:highlight w:val="none"/>
              </w:rPr>
            </w:pPr>
            <w:r>
              <w:rPr>
                <w:b/>
                <w:color w:val="auto"/>
                <w:highlight w:val="none"/>
              </w:rPr>
              <w:t>合格标准：缺少任何一项或有任何一项不合格者，其响应性评审视为不合格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trPr>
        <w:tc>
          <w:tcPr>
            <w:tcW w:w="932" w:type="dxa"/>
            <w:gridSpan w:val="2"/>
            <w:vMerge w:val="continue"/>
            <w:shd w:val="clear" w:color="auto" w:fill="auto"/>
            <w:vAlign w:val="center"/>
          </w:tcPr>
          <w:p>
            <w:pPr>
              <w:spacing w:line="360" w:lineRule="auto"/>
              <w:jc w:val="center"/>
              <w:rPr>
                <w:color w:val="auto"/>
                <w:highlight w:val="none"/>
              </w:rPr>
            </w:pPr>
          </w:p>
        </w:tc>
        <w:tc>
          <w:tcPr>
            <w:tcW w:w="1564" w:type="dxa"/>
            <w:gridSpan w:val="2"/>
            <w:vMerge w:val="continue"/>
            <w:shd w:val="clear" w:color="auto" w:fill="auto"/>
            <w:vAlign w:val="center"/>
          </w:tcPr>
          <w:p>
            <w:pPr>
              <w:spacing w:line="360" w:lineRule="auto"/>
              <w:jc w:val="center"/>
              <w:rPr>
                <w:color w:val="auto"/>
                <w:highlight w:val="none"/>
              </w:rPr>
            </w:pPr>
          </w:p>
        </w:tc>
        <w:tc>
          <w:tcPr>
            <w:tcW w:w="2464" w:type="dxa"/>
            <w:gridSpan w:val="2"/>
            <w:shd w:val="clear" w:color="auto" w:fill="auto"/>
            <w:vAlign w:val="center"/>
          </w:tcPr>
          <w:p>
            <w:pPr>
              <w:spacing w:line="360" w:lineRule="auto"/>
              <w:rPr>
                <w:color w:val="auto"/>
                <w:highlight w:val="none"/>
              </w:rPr>
            </w:pPr>
            <w:r>
              <w:rPr>
                <w:color w:val="auto"/>
                <w:highlight w:val="none"/>
              </w:rPr>
              <w:t>投标内容</w:t>
            </w:r>
          </w:p>
        </w:tc>
        <w:tc>
          <w:tcPr>
            <w:tcW w:w="5171" w:type="dxa"/>
            <w:shd w:val="clear" w:color="auto" w:fill="auto"/>
            <w:vAlign w:val="center"/>
          </w:tcPr>
          <w:p>
            <w:pPr>
              <w:spacing w:line="360" w:lineRule="auto"/>
              <w:rPr>
                <w:color w:val="auto"/>
                <w:highlight w:val="none"/>
              </w:rPr>
            </w:pPr>
            <w:r>
              <w:rPr>
                <w:color w:val="auto"/>
                <w:highlight w:val="none"/>
              </w:rPr>
              <w:t>符合第二章“投标人须知”第1.3.1项规定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trPr>
        <w:tc>
          <w:tcPr>
            <w:tcW w:w="932" w:type="dxa"/>
            <w:gridSpan w:val="2"/>
            <w:vMerge w:val="continue"/>
            <w:shd w:val="clear" w:color="auto" w:fill="auto"/>
            <w:vAlign w:val="center"/>
          </w:tcPr>
          <w:p>
            <w:pPr>
              <w:spacing w:line="360" w:lineRule="auto"/>
              <w:jc w:val="center"/>
              <w:rPr>
                <w:color w:val="auto"/>
                <w:highlight w:val="none"/>
              </w:rPr>
            </w:pPr>
          </w:p>
        </w:tc>
        <w:tc>
          <w:tcPr>
            <w:tcW w:w="1564" w:type="dxa"/>
            <w:gridSpan w:val="2"/>
            <w:vMerge w:val="continue"/>
            <w:shd w:val="clear" w:color="auto" w:fill="auto"/>
            <w:vAlign w:val="center"/>
          </w:tcPr>
          <w:p>
            <w:pPr>
              <w:spacing w:line="360" w:lineRule="auto"/>
              <w:jc w:val="center"/>
              <w:rPr>
                <w:color w:val="auto"/>
                <w:highlight w:val="none"/>
              </w:rPr>
            </w:pPr>
          </w:p>
        </w:tc>
        <w:tc>
          <w:tcPr>
            <w:tcW w:w="2464" w:type="dxa"/>
            <w:gridSpan w:val="2"/>
            <w:shd w:val="clear" w:color="auto" w:fill="auto"/>
            <w:vAlign w:val="center"/>
          </w:tcPr>
          <w:p>
            <w:pPr>
              <w:spacing w:line="360" w:lineRule="auto"/>
              <w:rPr>
                <w:color w:val="auto"/>
                <w:highlight w:val="none"/>
              </w:rPr>
            </w:pPr>
            <w:r>
              <w:rPr>
                <w:color w:val="auto"/>
                <w:highlight w:val="none"/>
              </w:rPr>
              <w:t>工期</w:t>
            </w:r>
          </w:p>
        </w:tc>
        <w:tc>
          <w:tcPr>
            <w:tcW w:w="5171" w:type="dxa"/>
            <w:shd w:val="clear" w:color="auto" w:fill="auto"/>
            <w:vAlign w:val="center"/>
          </w:tcPr>
          <w:p>
            <w:pPr>
              <w:spacing w:line="360" w:lineRule="auto"/>
              <w:rPr>
                <w:color w:val="auto"/>
                <w:highlight w:val="none"/>
              </w:rPr>
            </w:pPr>
            <w:r>
              <w:rPr>
                <w:color w:val="auto"/>
                <w:highlight w:val="none"/>
              </w:rPr>
              <w:t>符合第二章“投标人须知’’第1.3.2项规定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trPr>
        <w:tc>
          <w:tcPr>
            <w:tcW w:w="932" w:type="dxa"/>
            <w:gridSpan w:val="2"/>
            <w:vMerge w:val="continue"/>
            <w:shd w:val="clear" w:color="auto" w:fill="auto"/>
            <w:vAlign w:val="center"/>
          </w:tcPr>
          <w:p>
            <w:pPr>
              <w:spacing w:line="360" w:lineRule="auto"/>
              <w:jc w:val="center"/>
              <w:rPr>
                <w:color w:val="auto"/>
                <w:highlight w:val="none"/>
              </w:rPr>
            </w:pPr>
          </w:p>
        </w:tc>
        <w:tc>
          <w:tcPr>
            <w:tcW w:w="1564" w:type="dxa"/>
            <w:gridSpan w:val="2"/>
            <w:vMerge w:val="continue"/>
            <w:shd w:val="clear" w:color="auto" w:fill="auto"/>
            <w:vAlign w:val="center"/>
          </w:tcPr>
          <w:p>
            <w:pPr>
              <w:spacing w:line="360" w:lineRule="auto"/>
              <w:jc w:val="center"/>
              <w:rPr>
                <w:color w:val="auto"/>
                <w:highlight w:val="none"/>
              </w:rPr>
            </w:pPr>
          </w:p>
        </w:tc>
        <w:tc>
          <w:tcPr>
            <w:tcW w:w="2464" w:type="dxa"/>
            <w:gridSpan w:val="2"/>
            <w:shd w:val="clear" w:color="auto" w:fill="auto"/>
            <w:vAlign w:val="center"/>
          </w:tcPr>
          <w:p>
            <w:pPr>
              <w:spacing w:line="360" w:lineRule="auto"/>
              <w:rPr>
                <w:color w:val="auto"/>
                <w:highlight w:val="none"/>
              </w:rPr>
            </w:pPr>
            <w:r>
              <w:rPr>
                <w:color w:val="auto"/>
                <w:highlight w:val="none"/>
              </w:rPr>
              <w:t>工程质量</w:t>
            </w:r>
          </w:p>
        </w:tc>
        <w:tc>
          <w:tcPr>
            <w:tcW w:w="5171" w:type="dxa"/>
            <w:shd w:val="clear" w:color="auto" w:fill="auto"/>
            <w:vAlign w:val="center"/>
          </w:tcPr>
          <w:p>
            <w:pPr>
              <w:spacing w:line="360" w:lineRule="auto"/>
              <w:rPr>
                <w:color w:val="auto"/>
                <w:highlight w:val="none"/>
              </w:rPr>
            </w:pPr>
            <w:r>
              <w:rPr>
                <w:color w:val="auto"/>
                <w:highlight w:val="none"/>
              </w:rPr>
              <w:t>符合第二章“投标人须知”第1.3.3项规定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trPr>
        <w:tc>
          <w:tcPr>
            <w:tcW w:w="932" w:type="dxa"/>
            <w:gridSpan w:val="2"/>
            <w:vMerge w:val="continue"/>
            <w:shd w:val="clear" w:color="auto" w:fill="auto"/>
            <w:vAlign w:val="center"/>
          </w:tcPr>
          <w:p>
            <w:pPr>
              <w:spacing w:line="360" w:lineRule="auto"/>
              <w:jc w:val="center"/>
              <w:rPr>
                <w:color w:val="auto"/>
                <w:highlight w:val="none"/>
              </w:rPr>
            </w:pPr>
          </w:p>
        </w:tc>
        <w:tc>
          <w:tcPr>
            <w:tcW w:w="1564" w:type="dxa"/>
            <w:gridSpan w:val="2"/>
            <w:vMerge w:val="continue"/>
            <w:shd w:val="clear" w:color="auto" w:fill="auto"/>
            <w:vAlign w:val="center"/>
          </w:tcPr>
          <w:p>
            <w:pPr>
              <w:spacing w:line="360" w:lineRule="auto"/>
              <w:jc w:val="center"/>
              <w:rPr>
                <w:color w:val="auto"/>
                <w:highlight w:val="none"/>
              </w:rPr>
            </w:pPr>
          </w:p>
        </w:tc>
        <w:tc>
          <w:tcPr>
            <w:tcW w:w="2464" w:type="dxa"/>
            <w:gridSpan w:val="2"/>
            <w:shd w:val="clear" w:color="auto" w:fill="auto"/>
            <w:vAlign w:val="center"/>
          </w:tcPr>
          <w:p>
            <w:pPr>
              <w:spacing w:line="360" w:lineRule="auto"/>
              <w:rPr>
                <w:color w:val="auto"/>
                <w:highlight w:val="none"/>
              </w:rPr>
            </w:pPr>
            <w:r>
              <w:rPr>
                <w:color w:val="auto"/>
                <w:highlight w:val="none"/>
              </w:rPr>
              <w:t>投标有效期</w:t>
            </w:r>
          </w:p>
        </w:tc>
        <w:tc>
          <w:tcPr>
            <w:tcW w:w="5171" w:type="dxa"/>
            <w:shd w:val="clear" w:color="auto" w:fill="auto"/>
            <w:vAlign w:val="center"/>
          </w:tcPr>
          <w:p>
            <w:pPr>
              <w:spacing w:line="360" w:lineRule="auto"/>
              <w:rPr>
                <w:color w:val="auto"/>
                <w:highlight w:val="none"/>
              </w:rPr>
            </w:pPr>
            <w:r>
              <w:rPr>
                <w:color w:val="auto"/>
                <w:highlight w:val="none"/>
              </w:rPr>
              <w:t>符合第二章“投标人须知”第3.3.1项规定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trPr>
        <w:tc>
          <w:tcPr>
            <w:tcW w:w="932" w:type="dxa"/>
            <w:gridSpan w:val="2"/>
            <w:vMerge w:val="continue"/>
            <w:shd w:val="clear" w:color="auto" w:fill="auto"/>
            <w:vAlign w:val="center"/>
          </w:tcPr>
          <w:p>
            <w:pPr>
              <w:spacing w:line="360" w:lineRule="auto"/>
              <w:jc w:val="center"/>
              <w:rPr>
                <w:color w:val="auto"/>
                <w:highlight w:val="none"/>
              </w:rPr>
            </w:pPr>
          </w:p>
        </w:tc>
        <w:tc>
          <w:tcPr>
            <w:tcW w:w="1564" w:type="dxa"/>
            <w:gridSpan w:val="2"/>
            <w:vMerge w:val="continue"/>
            <w:shd w:val="clear" w:color="auto" w:fill="auto"/>
            <w:vAlign w:val="center"/>
          </w:tcPr>
          <w:p>
            <w:pPr>
              <w:spacing w:line="360" w:lineRule="auto"/>
              <w:jc w:val="center"/>
              <w:rPr>
                <w:color w:val="auto"/>
                <w:highlight w:val="none"/>
              </w:rPr>
            </w:pPr>
          </w:p>
        </w:tc>
        <w:tc>
          <w:tcPr>
            <w:tcW w:w="2464" w:type="dxa"/>
            <w:gridSpan w:val="2"/>
            <w:shd w:val="clear" w:color="auto" w:fill="auto"/>
            <w:vAlign w:val="center"/>
          </w:tcPr>
          <w:p>
            <w:pPr>
              <w:spacing w:line="360" w:lineRule="auto"/>
              <w:rPr>
                <w:color w:val="auto"/>
                <w:highlight w:val="none"/>
              </w:rPr>
            </w:pPr>
            <w:r>
              <w:rPr>
                <w:color w:val="auto"/>
                <w:highlight w:val="none"/>
              </w:rPr>
              <w:t>权利义务</w:t>
            </w:r>
          </w:p>
        </w:tc>
        <w:tc>
          <w:tcPr>
            <w:tcW w:w="5171" w:type="dxa"/>
            <w:shd w:val="clear" w:color="auto" w:fill="auto"/>
            <w:vAlign w:val="center"/>
          </w:tcPr>
          <w:p>
            <w:pPr>
              <w:spacing w:line="360" w:lineRule="auto"/>
              <w:rPr>
                <w:color w:val="auto"/>
                <w:highlight w:val="none"/>
              </w:rPr>
            </w:pPr>
            <w:r>
              <w:rPr>
                <w:color w:val="auto"/>
                <w:highlight w:val="none"/>
              </w:rPr>
              <w:t>投标函附录中的相关承诺符合或优于第四章“合同条款及格式”的相关规定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932" w:type="dxa"/>
            <w:gridSpan w:val="2"/>
            <w:vMerge w:val="continue"/>
            <w:shd w:val="clear" w:color="auto" w:fill="auto"/>
            <w:vAlign w:val="center"/>
          </w:tcPr>
          <w:p>
            <w:pPr>
              <w:spacing w:line="360" w:lineRule="auto"/>
              <w:jc w:val="center"/>
              <w:rPr>
                <w:color w:val="auto"/>
                <w:highlight w:val="none"/>
              </w:rPr>
            </w:pPr>
          </w:p>
        </w:tc>
        <w:tc>
          <w:tcPr>
            <w:tcW w:w="1564" w:type="dxa"/>
            <w:gridSpan w:val="2"/>
            <w:vMerge w:val="continue"/>
            <w:shd w:val="clear" w:color="auto" w:fill="auto"/>
            <w:vAlign w:val="center"/>
          </w:tcPr>
          <w:p>
            <w:pPr>
              <w:spacing w:line="360" w:lineRule="auto"/>
              <w:jc w:val="center"/>
              <w:rPr>
                <w:color w:val="auto"/>
                <w:highlight w:val="none"/>
              </w:rPr>
            </w:pPr>
          </w:p>
        </w:tc>
        <w:tc>
          <w:tcPr>
            <w:tcW w:w="2464" w:type="dxa"/>
            <w:gridSpan w:val="2"/>
            <w:shd w:val="clear" w:color="auto" w:fill="auto"/>
            <w:vAlign w:val="center"/>
          </w:tcPr>
          <w:p>
            <w:pPr>
              <w:spacing w:line="360" w:lineRule="auto"/>
              <w:rPr>
                <w:color w:val="auto"/>
                <w:highlight w:val="none"/>
              </w:rPr>
            </w:pPr>
            <w:r>
              <w:rPr>
                <w:color w:val="auto"/>
                <w:highlight w:val="none"/>
              </w:rPr>
              <w:t>技术标准和要求</w:t>
            </w:r>
          </w:p>
        </w:tc>
        <w:tc>
          <w:tcPr>
            <w:tcW w:w="5171" w:type="dxa"/>
            <w:shd w:val="clear" w:color="auto" w:fill="auto"/>
            <w:vAlign w:val="center"/>
          </w:tcPr>
          <w:p>
            <w:pPr>
              <w:spacing w:line="360" w:lineRule="auto"/>
              <w:rPr>
                <w:color w:val="auto"/>
                <w:highlight w:val="none"/>
              </w:rPr>
            </w:pPr>
            <w:r>
              <w:rPr>
                <w:color w:val="auto"/>
                <w:highlight w:val="none"/>
              </w:rPr>
              <w:t>符合第七章 “技术标准和要求”规定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trPr>
        <w:tc>
          <w:tcPr>
            <w:tcW w:w="932" w:type="dxa"/>
            <w:gridSpan w:val="2"/>
            <w:vMerge w:val="continue"/>
            <w:shd w:val="clear" w:color="auto" w:fill="auto"/>
            <w:vAlign w:val="center"/>
          </w:tcPr>
          <w:p>
            <w:pPr>
              <w:spacing w:line="360" w:lineRule="auto"/>
              <w:jc w:val="center"/>
              <w:rPr>
                <w:color w:val="auto"/>
                <w:highlight w:val="none"/>
              </w:rPr>
            </w:pPr>
          </w:p>
        </w:tc>
        <w:tc>
          <w:tcPr>
            <w:tcW w:w="1564" w:type="dxa"/>
            <w:gridSpan w:val="2"/>
            <w:vMerge w:val="continue"/>
            <w:shd w:val="clear" w:color="auto" w:fill="auto"/>
            <w:vAlign w:val="center"/>
          </w:tcPr>
          <w:p>
            <w:pPr>
              <w:spacing w:line="360" w:lineRule="auto"/>
              <w:jc w:val="center"/>
              <w:rPr>
                <w:color w:val="auto"/>
                <w:highlight w:val="none"/>
              </w:rPr>
            </w:pPr>
          </w:p>
        </w:tc>
        <w:tc>
          <w:tcPr>
            <w:tcW w:w="2464" w:type="dxa"/>
            <w:gridSpan w:val="2"/>
            <w:shd w:val="clear" w:color="auto" w:fill="auto"/>
            <w:vAlign w:val="center"/>
          </w:tcPr>
          <w:p>
            <w:pPr>
              <w:spacing w:line="360" w:lineRule="auto"/>
              <w:rPr>
                <w:color w:val="auto"/>
                <w:highlight w:val="none"/>
              </w:rPr>
            </w:pPr>
            <w:r>
              <w:rPr>
                <w:color w:val="auto"/>
                <w:highlight w:val="none"/>
              </w:rPr>
              <w:t>投标价格</w:t>
            </w:r>
          </w:p>
        </w:tc>
        <w:tc>
          <w:tcPr>
            <w:tcW w:w="5171" w:type="dxa"/>
            <w:shd w:val="clear" w:color="auto" w:fill="auto"/>
            <w:vAlign w:val="center"/>
          </w:tcPr>
          <w:p>
            <w:pPr>
              <w:rPr>
                <w:color w:val="auto"/>
                <w:highlight w:val="none"/>
              </w:rPr>
            </w:pPr>
            <w:r>
              <w:rPr>
                <w:color w:val="auto"/>
                <w:highlight w:val="none"/>
              </w:rPr>
              <w:t>低于（含等于）招标人公布的招标控制价且无本章附件B否决投标条件的相应情况。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trPr>
        <w:tc>
          <w:tcPr>
            <w:tcW w:w="932" w:type="dxa"/>
            <w:gridSpan w:val="2"/>
            <w:vMerge w:val="continue"/>
            <w:shd w:val="clear" w:color="auto" w:fill="auto"/>
            <w:vAlign w:val="center"/>
          </w:tcPr>
          <w:p>
            <w:pPr>
              <w:spacing w:line="360" w:lineRule="auto"/>
              <w:jc w:val="center"/>
              <w:rPr>
                <w:color w:val="auto"/>
                <w:highlight w:val="none"/>
              </w:rPr>
            </w:pPr>
          </w:p>
        </w:tc>
        <w:tc>
          <w:tcPr>
            <w:tcW w:w="1564" w:type="dxa"/>
            <w:gridSpan w:val="2"/>
            <w:vMerge w:val="continue"/>
            <w:shd w:val="clear" w:color="auto" w:fill="auto"/>
            <w:vAlign w:val="center"/>
          </w:tcPr>
          <w:p>
            <w:pPr>
              <w:spacing w:line="360" w:lineRule="auto"/>
              <w:jc w:val="center"/>
              <w:rPr>
                <w:color w:val="auto"/>
                <w:highlight w:val="none"/>
              </w:rPr>
            </w:pPr>
          </w:p>
        </w:tc>
        <w:tc>
          <w:tcPr>
            <w:tcW w:w="2464" w:type="dxa"/>
            <w:gridSpan w:val="2"/>
            <w:shd w:val="clear" w:color="auto" w:fill="auto"/>
            <w:vAlign w:val="center"/>
          </w:tcPr>
          <w:p>
            <w:pPr>
              <w:spacing w:line="360" w:lineRule="auto"/>
              <w:rPr>
                <w:color w:val="auto"/>
                <w:highlight w:val="none"/>
              </w:rPr>
            </w:pPr>
            <w:r>
              <w:rPr>
                <w:color w:val="auto"/>
                <w:highlight w:val="none"/>
              </w:rPr>
              <w:t>分包计划（如有）</w:t>
            </w:r>
          </w:p>
        </w:tc>
        <w:tc>
          <w:tcPr>
            <w:tcW w:w="5171" w:type="dxa"/>
            <w:shd w:val="clear" w:color="auto" w:fill="auto"/>
            <w:vAlign w:val="center"/>
          </w:tcPr>
          <w:p>
            <w:pPr>
              <w:spacing w:line="360" w:lineRule="auto"/>
              <w:rPr>
                <w:color w:val="auto"/>
                <w:highlight w:val="none"/>
              </w:rPr>
            </w:pPr>
            <w:r>
              <w:rPr>
                <w:color w:val="auto"/>
                <w:highlight w:val="none"/>
              </w:rPr>
              <w:t>符合第二章“投标人须知”第1.11款规定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0" w:hRule="atLeast"/>
        </w:trPr>
        <w:tc>
          <w:tcPr>
            <w:tcW w:w="932" w:type="dxa"/>
            <w:gridSpan w:val="2"/>
            <w:vMerge w:val="continue"/>
            <w:shd w:val="clear" w:color="auto" w:fill="auto"/>
            <w:vAlign w:val="center"/>
          </w:tcPr>
          <w:p>
            <w:pPr>
              <w:spacing w:line="360" w:lineRule="auto"/>
              <w:jc w:val="center"/>
              <w:rPr>
                <w:color w:val="auto"/>
                <w:highlight w:val="none"/>
              </w:rPr>
            </w:pPr>
          </w:p>
        </w:tc>
        <w:tc>
          <w:tcPr>
            <w:tcW w:w="1564" w:type="dxa"/>
            <w:gridSpan w:val="2"/>
            <w:vMerge w:val="continue"/>
            <w:shd w:val="clear" w:color="auto" w:fill="auto"/>
            <w:vAlign w:val="center"/>
          </w:tcPr>
          <w:p>
            <w:pPr>
              <w:spacing w:line="360" w:lineRule="auto"/>
              <w:jc w:val="center"/>
              <w:rPr>
                <w:color w:val="auto"/>
                <w:highlight w:val="none"/>
              </w:rPr>
            </w:pPr>
          </w:p>
        </w:tc>
        <w:tc>
          <w:tcPr>
            <w:tcW w:w="2464" w:type="dxa"/>
            <w:gridSpan w:val="2"/>
            <w:shd w:val="clear" w:color="auto" w:fill="auto"/>
            <w:vAlign w:val="center"/>
          </w:tcPr>
          <w:p>
            <w:pPr>
              <w:spacing w:line="360" w:lineRule="auto"/>
              <w:rPr>
                <w:color w:val="auto"/>
                <w:highlight w:val="none"/>
              </w:rPr>
            </w:pPr>
            <w:r>
              <w:rPr>
                <w:color w:val="auto"/>
                <w:highlight w:val="none"/>
              </w:rPr>
              <w:t>已标价工程量清单</w:t>
            </w:r>
          </w:p>
        </w:tc>
        <w:tc>
          <w:tcPr>
            <w:tcW w:w="5171" w:type="dxa"/>
            <w:shd w:val="clear" w:color="auto" w:fill="auto"/>
            <w:vAlign w:val="center"/>
          </w:tcPr>
          <w:p>
            <w:pPr>
              <w:spacing w:line="360" w:lineRule="auto"/>
              <w:rPr>
                <w:color w:val="auto"/>
                <w:highlight w:val="none"/>
              </w:rPr>
            </w:pPr>
            <w:r>
              <w:rPr>
                <w:color w:val="auto"/>
                <w:highlight w:val="none"/>
              </w:rPr>
              <w:t>符合第五章“工程量清单”的编制要求且无本章附件B否决投标条件的相应情况。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trPr>
        <w:tc>
          <w:tcPr>
            <w:tcW w:w="932" w:type="dxa"/>
            <w:gridSpan w:val="2"/>
            <w:shd w:val="clear" w:color="auto" w:fill="auto"/>
            <w:vAlign w:val="center"/>
          </w:tcPr>
          <w:p>
            <w:pPr>
              <w:spacing w:line="360" w:lineRule="auto"/>
              <w:jc w:val="center"/>
              <w:rPr>
                <w:color w:val="auto"/>
                <w:highlight w:val="none"/>
              </w:rPr>
            </w:pPr>
            <w:r>
              <w:rPr>
                <w:color w:val="auto"/>
                <w:highlight w:val="none"/>
              </w:rPr>
              <w:t>2.2</w:t>
            </w:r>
          </w:p>
        </w:tc>
        <w:tc>
          <w:tcPr>
            <w:tcW w:w="1564" w:type="dxa"/>
            <w:gridSpan w:val="2"/>
            <w:shd w:val="clear" w:color="auto" w:fill="auto"/>
            <w:vAlign w:val="center"/>
          </w:tcPr>
          <w:p>
            <w:pPr>
              <w:spacing w:line="360" w:lineRule="auto"/>
              <w:jc w:val="center"/>
              <w:rPr>
                <w:color w:val="auto"/>
                <w:highlight w:val="none"/>
              </w:rPr>
            </w:pPr>
            <w:r>
              <w:rPr>
                <w:color w:val="auto"/>
                <w:highlight w:val="none"/>
              </w:rPr>
              <w:t>详细评审</w:t>
            </w:r>
          </w:p>
        </w:tc>
        <w:tc>
          <w:tcPr>
            <w:tcW w:w="7635" w:type="dxa"/>
            <w:gridSpan w:val="3"/>
            <w:shd w:val="clear" w:color="auto" w:fill="auto"/>
            <w:vAlign w:val="center"/>
          </w:tcPr>
          <w:p>
            <w:pPr>
              <w:spacing w:line="360" w:lineRule="auto"/>
              <w:rPr>
                <w:color w:val="auto"/>
                <w:highlight w:val="none"/>
              </w:rPr>
            </w:pPr>
            <w:r>
              <w:rPr>
                <w:color w:val="auto"/>
                <w:highlight w:val="none"/>
              </w:rPr>
              <w:t>通过资格审查的合格投标人，只有通过了形式评审和响应性评审，才能进入详细评审程序。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trPr>
        <w:tc>
          <w:tcPr>
            <w:tcW w:w="932" w:type="dxa"/>
            <w:gridSpan w:val="2"/>
            <w:shd w:val="clear" w:color="auto" w:fill="auto"/>
            <w:vAlign w:val="center"/>
          </w:tcPr>
          <w:p>
            <w:pPr>
              <w:spacing w:line="360" w:lineRule="auto"/>
              <w:jc w:val="center"/>
              <w:rPr>
                <w:color w:val="auto"/>
                <w:highlight w:val="none"/>
              </w:rPr>
            </w:pPr>
            <w:r>
              <w:rPr>
                <w:color w:val="auto"/>
                <w:highlight w:val="none"/>
              </w:rPr>
              <w:t>2.2.1</w:t>
            </w:r>
          </w:p>
        </w:tc>
        <w:tc>
          <w:tcPr>
            <w:tcW w:w="1564" w:type="dxa"/>
            <w:gridSpan w:val="2"/>
            <w:shd w:val="clear" w:color="auto" w:fill="auto"/>
            <w:vAlign w:val="center"/>
          </w:tcPr>
          <w:p>
            <w:pPr>
              <w:spacing w:line="360" w:lineRule="auto"/>
              <w:jc w:val="center"/>
              <w:rPr>
                <w:color w:val="auto"/>
                <w:highlight w:val="none"/>
              </w:rPr>
            </w:pPr>
            <w:r>
              <w:rPr>
                <w:color w:val="auto"/>
                <w:highlight w:val="none"/>
              </w:rPr>
              <w:t>分值构成</w:t>
            </w:r>
          </w:p>
        </w:tc>
        <w:tc>
          <w:tcPr>
            <w:tcW w:w="2464" w:type="dxa"/>
            <w:gridSpan w:val="2"/>
            <w:shd w:val="clear" w:color="auto" w:fill="auto"/>
            <w:vAlign w:val="center"/>
          </w:tcPr>
          <w:p>
            <w:pPr>
              <w:spacing w:line="360" w:lineRule="auto"/>
              <w:ind w:firstLine="630" w:firstLineChars="300"/>
              <w:rPr>
                <w:color w:val="auto"/>
                <w:highlight w:val="none"/>
              </w:rPr>
            </w:pPr>
            <w:r>
              <w:rPr>
                <w:color w:val="auto"/>
                <w:highlight w:val="none"/>
              </w:rPr>
              <w:t>分值构成</w:t>
            </w:r>
          </w:p>
          <w:p>
            <w:pPr>
              <w:spacing w:line="360" w:lineRule="auto"/>
              <w:jc w:val="center"/>
              <w:rPr>
                <w:color w:val="auto"/>
                <w:highlight w:val="none"/>
              </w:rPr>
            </w:pPr>
            <w:r>
              <w:rPr>
                <w:color w:val="auto"/>
                <w:highlight w:val="none"/>
              </w:rPr>
              <w:t>（总分100分）</w:t>
            </w:r>
          </w:p>
        </w:tc>
        <w:tc>
          <w:tcPr>
            <w:tcW w:w="5171" w:type="dxa"/>
            <w:shd w:val="clear" w:color="auto" w:fill="auto"/>
          </w:tcPr>
          <w:p>
            <w:pPr>
              <w:spacing w:line="360" w:lineRule="auto"/>
              <w:rPr>
                <w:color w:val="auto"/>
                <w:highlight w:val="none"/>
              </w:rPr>
            </w:pPr>
            <w:r>
              <w:rPr>
                <w:color w:val="auto"/>
                <w:highlight w:val="none"/>
              </w:rPr>
              <w:t>技术标评审部分：</w:t>
            </w:r>
            <w:r>
              <w:rPr>
                <w:color w:val="auto"/>
                <w:highlight w:val="none"/>
                <w:u w:val="single"/>
              </w:rPr>
              <w:t xml:space="preserve">  3</w:t>
            </w:r>
            <w:r>
              <w:rPr>
                <w:rFonts w:hint="eastAsia"/>
                <w:color w:val="auto"/>
                <w:highlight w:val="none"/>
                <w:u w:val="single"/>
              </w:rPr>
              <w:t xml:space="preserve">0 </w:t>
            </w:r>
            <w:r>
              <w:rPr>
                <w:color w:val="auto"/>
                <w:highlight w:val="none"/>
              </w:rPr>
              <w:t>分</w:t>
            </w:r>
          </w:p>
          <w:p>
            <w:pPr>
              <w:spacing w:line="360" w:lineRule="auto"/>
              <w:rPr>
                <w:color w:val="auto"/>
                <w:highlight w:val="none"/>
              </w:rPr>
            </w:pPr>
            <w:r>
              <w:rPr>
                <w:color w:val="auto"/>
                <w:highlight w:val="none"/>
              </w:rPr>
              <w:t>商务标评审部分：</w:t>
            </w:r>
            <w:r>
              <w:rPr>
                <w:color w:val="auto"/>
                <w:highlight w:val="none"/>
                <w:u w:val="single"/>
              </w:rPr>
              <w:t xml:space="preserve">  60</w:t>
            </w:r>
            <w:r>
              <w:rPr>
                <w:rFonts w:hint="eastAsia"/>
                <w:color w:val="auto"/>
                <w:highlight w:val="none"/>
                <w:u w:val="single"/>
              </w:rPr>
              <w:t xml:space="preserve"> </w:t>
            </w:r>
            <w:r>
              <w:rPr>
                <w:color w:val="auto"/>
                <w:highlight w:val="none"/>
              </w:rPr>
              <w:t>分</w:t>
            </w:r>
          </w:p>
          <w:p>
            <w:pPr>
              <w:spacing w:line="360" w:lineRule="auto"/>
              <w:rPr>
                <w:color w:val="auto"/>
                <w:highlight w:val="none"/>
              </w:rPr>
            </w:pPr>
            <w:r>
              <w:rPr>
                <w:color w:val="auto"/>
                <w:highlight w:val="none"/>
              </w:rPr>
              <w:t>企业信誉实力分：</w:t>
            </w:r>
            <w:r>
              <w:rPr>
                <w:color w:val="auto"/>
                <w:highlight w:val="none"/>
                <w:u w:val="single"/>
              </w:rPr>
              <w:t xml:space="preserve">  10 </w:t>
            </w:r>
            <w:r>
              <w:rPr>
                <w:color w:val="auto"/>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trPr>
        <w:tc>
          <w:tcPr>
            <w:tcW w:w="932" w:type="dxa"/>
            <w:gridSpan w:val="2"/>
            <w:vMerge w:val="restart"/>
            <w:shd w:val="clear" w:color="auto" w:fill="auto"/>
            <w:vAlign w:val="center"/>
          </w:tcPr>
          <w:p>
            <w:pPr>
              <w:spacing w:line="360" w:lineRule="auto"/>
              <w:jc w:val="center"/>
              <w:rPr>
                <w:color w:val="auto"/>
                <w:highlight w:val="none"/>
              </w:rPr>
            </w:pPr>
            <w:r>
              <w:rPr>
                <w:color w:val="auto"/>
                <w:highlight w:val="none"/>
              </w:rPr>
              <w:t>2.2.2（1）</w:t>
            </w:r>
          </w:p>
        </w:tc>
        <w:tc>
          <w:tcPr>
            <w:tcW w:w="1564" w:type="dxa"/>
            <w:gridSpan w:val="2"/>
            <w:vMerge w:val="restart"/>
            <w:shd w:val="clear" w:color="auto" w:fill="auto"/>
            <w:vAlign w:val="center"/>
          </w:tcPr>
          <w:p>
            <w:pPr>
              <w:spacing w:line="360" w:lineRule="auto"/>
              <w:jc w:val="center"/>
              <w:rPr>
                <w:color w:val="auto"/>
                <w:highlight w:val="none"/>
              </w:rPr>
            </w:pPr>
            <w:bookmarkStart w:id="324" w:name="Content"/>
            <w:r>
              <w:rPr>
                <w:color w:val="auto"/>
                <w:sz w:val="20"/>
                <w:szCs w:val="20"/>
                <w:highlight w:val="none"/>
              </w:rPr>
              <w:t>技术标评分标准（满分3</w:t>
            </w:r>
            <w:r>
              <w:rPr>
                <w:rFonts w:hint="eastAsia"/>
                <w:color w:val="auto"/>
                <w:sz w:val="20"/>
                <w:szCs w:val="20"/>
                <w:highlight w:val="none"/>
              </w:rPr>
              <w:t>0</w:t>
            </w:r>
            <w:r>
              <w:rPr>
                <w:color w:val="auto"/>
                <w:sz w:val="20"/>
                <w:szCs w:val="20"/>
                <w:highlight w:val="none"/>
              </w:rPr>
              <w:t>分）</w:t>
            </w:r>
            <w:bookmarkEnd w:id="324"/>
          </w:p>
        </w:tc>
        <w:tc>
          <w:tcPr>
            <w:tcW w:w="7635" w:type="dxa"/>
            <w:gridSpan w:val="3"/>
            <w:shd w:val="clear" w:color="auto" w:fill="auto"/>
          </w:tcPr>
          <w:p>
            <w:pPr>
              <w:spacing w:line="360" w:lineRule="auto"/>
              <w:rPr>
                <w:color w:val="auto"/>
                <w:highlight w:val="none"/>
              </w:rPr>
            </w:pPr>
            <w:r>
              <w:rPr>
                <w:color w:val="auto"/>
                <w:highlight w:val="none"/>
              </w:rPr>
              <w:t>合格标准：</w:t>
            </w:r>
          </w:p>
          <w:p>
            <w:pPr>
              <w:spacing w:line="360" w:lineRule="auto"/>
              <w:ind w:firstLine="420" w:firstLineChars="200"/>
              <w:rPr>
                <w:color w:val="auto"/>
                <w:highlight w:val="none"/>
              </w:rPr>
            </w:pPr>
            <w:r>
              <w:rPr>
                <w:color w:val="auto"/>
                <w:highlight w:val="none"/>
              </w:rPr>
              <w:t>技术标得分=（项目管理机构得分+施工组织设计得分）×技术标满分/100</w:t>
            </w:r>
          </w:p>
          <w:p>
            <w:pPr>
              <w:spacing w:line="360" w:lineRule="auto"/>
              <w:ind w:firstLine="420" w:firstLineChars="200"/>
              <w:rPr>
                <w:color w:val="auto"/>
                <w:highlight w:val="none"/>
              </w:rPr>
            </w:pPr>
            <w:r>
              <w:rPr>
                <w:color w:val="auto"/>
                <w:highlight w:val="none"/>
              </w:rPr>
              <w:t>技术标满分为30分时，技术标得分达到或超过18分的，技术标评审为合格；低于18分的技术标得分，技术标评审不合格。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trPr>
        <w:tc>
          <w:tcPr>
            <w:tcW w:w="932" w:type="dxa"/>
            <w:gridSpan w:val="2"/>
            <w:vMerge w:val="continue"/>
            <w:shd w:val="clear" w:color="auto" w:fill="auto"/>
            <w:vAlign w:val="center"/>
          </w:tcPr>
          <w:p>
            <w:pPr>
              <w:spacing w:line="360" w:lineRule="auto"/>
              <w:jc w:val="center"/>
              <w:rPr>
                <w:color w:val="auto"/>
                <w:highlight w:val="none"/>
              </w:rPr>
            </w:pPr>
          </w:p>
        </w:tc>
        <w:tc>
          <w:tcPr>
            <w:tcW w:w="1564" w:type="dxa"/>
            <w:gridSpan w:val="2"/>
            <w:vMerge w:val="continue"/>
            <w:shd w:val="clear" w:color="auto" w:fill="auto"/>
            <w:vAlign w:val="center"/>
          </w:tcPr>
          <w:p>
            <w:pPr>
              <w:spacing w:line="360" w:lineRule="auto"/>
              <w:jc w:val="center"/>
              <w:rPr>
                <w:color w:val="auto"/>
                <w:highlight w:val="none"/>
              </w:rPr>
            </w:pPr>
          </w:p>
        </w:tc>
        <w:tc>
          <w:tcPr>
            <w:tcW w:w="728" w:type="dxa"/>
            <w:vMerge w:val="restart"/>
            <w:shd w:val="clear" w:color="auto" w:fill="auto"/>
            <w:vAlign w:val="center"/>
          </w:tcPr>
          <w:p>
            <w:pPr>
              <w:spacing w:line="360" w:lineRule="auto"/>
              <w:jc w:val="center"/>
              <w:rPr>
                <w:color w:val="auto"/>
                <w:highlight w:val="none"/>
              </w:rPr>
            </w:pPr>
            <w:r>
              <w:rPr>
                <w:color w:val="auto"/>
                <w:highlight w:val="none"/>
              </w:rPr>
              <w:t>项目管理机构（20分）</w:t>
            </w:r>
          </w:p>
        </w:tc>
        <w:tc>
          <w:tcPr>
            <w:tcW w:w="1736" w:type="dxa"/>
            <w:shd w:val="clear" w:color="auto" w:fill="auto"/>
            <w:vAlign w:val="center"/>
          </w:tcPr>
          <w:p>
            <w:pPr>
              <w:spacing w:line="360" w:lineRule="auto"/>
              <w:jc w:val="left"/>
              <w:rPr>
                <w:color w:val="auto"/>
                <w:kern w:val="0"/>
                <w:highlight w:val="none"/>
              </w:rPr>
            </w:pPr>
            <w:r>
              <w:rPr>
                <w:color w:val="auto"/>
                <w:kern w:val="0"/>
                <w:highlight w:val="none"/>
              </w:rPr>
              <w:t>项目经理任职资格与业绩、工作经历等（</w:t>
            </w:r>
            <w:r>
              <w:rPr>
                <w:rFonts w:hint="eastAsia"/>
                <w:color w:val="auto"/>
                <w:kern w:val="0"/>
                <w:highlight w:val="none"/>
              </w:rPr>
              <w:t>10</w:t>
            </w:r>
            <w:r>
              <w:rPr>
                <w:color w:val="auto"/>
                <w:kern w:val="0"/>
                <w:highlight w:val="none"/>
              </w:rPr>
              <w:t>分）</w:t>
            </w:r>
          </w:p>
        </w:tc>
        <w:tc>
          <w:tcPr>
            <w:tcW w:w="5171" w:type="dxa"/>
            <w:shd w:val="clear" w:color="auto" w:fill="auto"/>
            <w:vAlign w:val="center"/>
          </w:tcPr>
          <w:p>
            <w:pPr>
              <w:widowControl/>
              <w:spacing w:line="360" w:lineRule="auto"/>
              <w:rPr>
                <w:color w:val="auto"/>
                <w:highlight w:val="none"/>
              </w:rPr>
            </w:pPr>
            <w:r>
              <w:rPr>
                <w:rFonts w:hint="eastAsia"/>
                <w:color w:val="auto"/>
                <w:highlight w:val="none"/>
              </w:rPr>
              <w:t xml:space="preserve">拟派任项目经理（或注册建造师）必须与资格审查合格通过的项目经理（或注册建造师）在名称、专业、资格等级等方面一致。 </w:t>
            </w:r>
          </w:p>
          <w:p>
            <w:pPr>
              <w:widowControl/>
              <w:spacing w:line="360" w:lineRule="auto"/>
              <w:rPr>
                <w:color w:val="auto"/>
                <w:highlight w:val="none"/>
              </w:rPr>
            </w:pPr>
            <w:r>
              <w:rPr>
                <w:rFonts w:hint="eastAsia"/>
                <w:color w:val="auto"/>
                <w:highlight w:val="none"/>
              </w:rPr>
              <w:t>（1）项目经理为</w:t>
            </w:r>
            <w:r>
              <w:rPr>
                <w:rFonts w:hint="eastAsia"/>
                <w:color w:val="auto"/>
                <w:highlight w:val="none"/>
                <w:u w:val="single"/>
              </w:rPr>
              <w:t>建筑工程</w:t>
            </w:r>
            <w:r>
              <w:rPr>
                <w:rFonts w:hint="eastAsia"/>
                <w:color w:val="auto"/>
                <w:highlight w:val="none"/>
              </w:rPr>
              <w:t xml:space="preserve">专业二级或以上注册建造师且具备有效的安全生产考核合格证书（B类）的，得10 分。 </w:t>
            </w:r>
          </w:p>
          <w:p>
            <w:pPr>
              <w:widowControl/>
              <w:spacing w:line="360" w:lineRule="auto"/>
              <w:rPr>
                <w:color w:val="auto"/>
                <w:highlight w:val="none"/>
              </w:rPr>
            </w:pPr>
            <w:r>
              <w:rPr>
                <w:rFonts w:hint="eastAsia"/>
                <w:color w:val="auto"/>
                <w:highlight w:val="none"/>
              </w:rPr>
              <w:t>未提供投标人为其缴纳2021年7月至2021年9月社会保险的证明材料的不予计分</w:t>
            </w:r>
            <w:r>
              <w:rPr>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932" w:type="dxa"/>
            <w:gridSpan w:val="2"/>
            <w:vMerge w:val="continue"/>
            <w:shd w:val="clear" w:color="auto" w:fill="auto"/>
            <w:vAlign w:val="center"/>
          </w:tcPr>
          <w:p>
            <w:pPr>
              <w:spacing w:line="360" w:lineRule="auto"/>
              <w:jc w:val="center"/>
              <w:rPr>
                <w:color w:val="auto"/>
                <w:highlight w:val="none"/>
              </w:rPr>
            </w:pPr>
          </w:p>
        </w:tc>
        <w:tc>
          <w:tcPr>
            <w:tcW w:w="1564" w:type="dxa"/>
            <w:gridSpan w:val="2"/>
            <w:vMerge w:val="continue"/>
            <w:shd w:val="clear" w:color="auto" w:fill="auto"/>
            <w:vAlign w:val="center"/>
          </w:tcPr>
          <w:p>
            <w:pPr>
              <w:spacing w:line="360" w:lineRule="auto"/>
              <w:jc w:val="center"/>
              <w:rPr>
                <w:color w:val="auto"/>
                <w:highlight w:val="none"/>
              </w:rPr>
            </w:pPr>
          </w:p>
        </w:tc>
        <w:tc>
          <w:tcPr>
            <w:tcW w:w="728" w:type="dxa"/>
            <w:vMerge w:val="continue"/>
            <w:shd w:val="clear" w:color="auto" w:fill="auto"/>
          </w:tcPr>
          <w:p>
            <w:pPr>
              <w:spacing w:line="360" w:lineRule="auto"/>
              <w:jc w:val="center"/>
              <w:rPr>
                <w:color w:val="auto"/>
                <w:kern w:val="0"/>
                <w:highlight w:val="none"/>
              </w:rPr>
            </w:pPr>
          </w:p>
        </w:tc>
        <w:tc>
          <w:tcPr>
            <w:tcW w:w="1736" w:type="dxa"/>
            <w:shd w:val="clear" w:color="auto" w:fill="auto"/>
            <w:vAlign w:val="center"/>
          </w:tcPr>
          <w:p>
            <w:pPr>
              <w:spacing w:line="360" w:lineRule="auto"/>
              <w:rPr>
                <w:color w:val="auto"/>
                <w:highlight w:val="none"/>
              </w:rPr>
            </w:pPr>
            <w:r>
              <w:rPr>
                <w:color w:val="auto"/>
                <w:kern w:val="0"/>
                <w:highlight w:val="none"/>
              </w:rPr>
              <w:t>其他主要人员（</w:t>
            </w:r>
            <w:r>
              <w:rPr>
                <w:rFonts w:hint="eastAsia"/>
                <w:color w:val="auto"/>
                <w:kern w:val="0"/>
                <w:highlight w:val="none"/>
              </w:rPr>
              <w:t>10</w:t>
            </w:r>
            <w:r>
              <w:rPr>
                <w:color w:val="auto"/>
                <w:kern w:val="0"/>
                <w:highlight w:val="none"/>
              </w:rPr>
              <w:t>分）</w:t>
            </w:r>
          </w:p>
        </w:tc>
        <w:tc>
          <w:tcPr>
            <w:tcW w:w="5171" w:type="dxa"/>
            <w:shd w:val="clear" w:color="auto" w:fill="auto"/>
            <w:vAlign w:val="center"/>
          </w:tcPr>
          <w:p>
            <w:pPr>
              <w:widowControl/>
              <w:spacing w:line="360" w:lineRule="auto"/>
              <w:rPr>
                <w:color w:val="auto"/>
                <w:highlight w:val="none"/>
              </w:rPr>
            </w:pPr>
            <w:r>
              <w:rPr>
                <w:rFonts w:hint="eastAsia"/>
                <w:color w:val="auto"/>
                <w:highlight w:val="none"/>
              </w:rPr>
              <w:t xml:space="preserve">基本要求：人员齐备、专业配套应与资格审查提供的人员配备相一致，且具备相关施工现场专业人员职业培训合格证书（拟派驻本项目的技术负责人应具有初级及以上职称证件，安全员、施工员、质量员、材料员应具有相应施工现场专业人员职业培训合格证书，且拟投入的项目管理人员符合国家及广西壮族自治区的规定） 拟投入项目管理机构按以下标准评分： </w:t>
            </w:r>
          </w:p>
          <w:p>
            <w:pPr>
              <w:widowControl/>
              <w:spacing w:line="360" w:lineRule="auto"/>
              <w:rPr>
                <w:color w:val="auto"/>
                <w:highlight w:val="none"/>
              </w:rPr>
            </w:pPr>
            <w:r>
              <w:rPr>
                <w:rFonts w:hint="eastAsia"/>
                <w:color w:val="auto"/>
                <w:highlight w:val="none"/>
              </w:rPr>
              <w:t xml:space="preserve">优（10分）：拟投入本工程主要管理人员完全满足施工需要，管理人员配备齐全且有经验及综合素质优秀。 </w:t>
            </w:r>
          </w:p>
          <w:p>
            <w:pPr>
              <w:widowControl/>
              <w:spacing w:line="360" w:lineRule="auto"/>
              <w:rPr>
                <w:color w:val="auto"/>
                <w:highlight w:val="none"/>
              </w:rPr>
            </w:pPr>
            <w:r>
              <w:rPr>
                <w:rFonts w:hint="eastAsia"/>
                <w:color w:val="auto"/>
                <w:highlight w:val="none"/>
              </w:rPr>
              <w:t xml:space="preserve">良（8分）：拟投入本工程主要管理人员满足施工需要，管理人员配备齐全且有经验及综合素质优秀。 </w:t>
            </w:r>
          </w:p>
          <w:p>
            <w:pPr>
              <w:widowControl/>
              <w:spacing w:line="360" w:lineRule="auto"/>
              <w:rPr>
                <w:color w:val="auto"/>
                <w:highlight w:val="none"/>
              </w:rPr>
            </w:pPr>
            <w:r>
              <w:rPr>
                <w:rFonts w:hint="eastAsia"/>
                <w:color w:val="auto"/>
                <w:highlight w:val="none"/>
              </w:rPr>
              <w:t xml:space="preserve">中（6分）：拟投入本工程主要管理人员基本满足施工需要，管理人员配备齐全。 </w:t>
            </w:r>
          </w:p>
          <w:p>
            <w:pPr>
              <w:widowControl/>
              <w:spacing w:line="360" w:lineRule="auto"/>
              <w:rPr>
                <w:color w:val="auto"/>
                <w:highlight w:val="none"/>
              </w:rPr>
            </w:pPr>
            <w:r>
              <w:rPr>
                <w:rFonts w:hint="eastAsia"/>
                <w:color w:val="auto"/>
                <w:highlight w:val="none"/>
              </w:rPr>
              <w:t xml:space="preserve">差（2分）：拟投入本工程主要管理人员不能满足施工需要，管理人员配备不齐。 </w:t>
            </w:r>
          </w:p>
          <w:p>
            <w:pPr>
              <w:widowControl/>
              <w:spacing w:line="360" w:lineRule="auto"/>
              <w:rPr>
                <w:color w:val="auto"/>
                <w:highlight w:val="none"/>
              </w:rPr>
            </w:pPr>
            <w:r>
              <w:rPr>
                <w:rFonts w:hint="eastAsia"/>
                <w:color w:val="auto"/>
                <w:highlight w:val="none"/>
              </w:rPr>
              <w:t>（备注：未提供投标人为上述人员缴纳2021年7月至2021年9月社会保险的证明材料的不予计分。）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2" w:hRule="atLeast"/>
        </w:trPr>
        <w:tc>
          <w:tcPr>
            <w:tcW w:w="932" w:type="dxa"/>
            <w:gridSpan w:val="2"/>
            <w:vMerge w:val="continue"/>
            <w:shd w:val="clear" w:color="auto" w:fill="auto"/>
            <w:vAlign w:val="center"/>
          </w:tcPr>
          <w:p>
            <w:pPr>
              <w:spacing w:line="360" w:lineRule="auto"/>
              <w:jc w:val="center"/>
              <w:rPr>
                <w:color w:val="auto"/>
                <w:highlight w:val="none"/>
              </w:rPr>
            </w:pPr>
          </w:p>
        </w:tc>
        <w:tc>
          <w:tcPr>
            <w:tcW w:w="1564" w:type="dxa"/>
            <w:gridSpan w:val="2"/>
            <w:vMerge w:val="continue"/>
            <w:shd w:val="clear" w:color="auto" w:fill="auto"/>
            <w:vAlign w:val="center"/>
          </w:tcPr>
          <w:p>
            <w:pPr>
              <w:spacing w:line="360" w:lineRule="auto"/>
              <w:jc w:val="center"/>
              <w:rPr>
                <w:color w:val="auto"/>
                <w:highlight w:val="none"/>
              </w:rPr>
            </w:pPr>
          </w:p>
        </w:tc>
        <w:tc>
          <w:tcPr>
            <w:tcW w:w="728" w:type="dxa"/>
            <w:vMerge w:val="restart"/>
            <w:shd w:val="clear" w:color="auto" w:fill="auto"/>
            <w:vAlign w:val="center"/>
          </w:tcPr>
          <w:p>
            <w:pPr>
              <w:spacing w:line="360" w:lineRule="auto"/>
              <w:jc w:val="center"/>
              <w:rPr>
                <w:color w:val="auto"/>
                <w:highlight w:val="none"/>
              </w:rPr>
            </w:pPr>
            <w:r>
              <w:rPr>
                <w:color w:val="auto"/>
                <w:highlight w:val="none"/>
              </w:rPr>
              <w:t>施工组织设计（80分）</w:t>
            </w:r>
          </w:p>
        </w:tc>
        <w:tc>
          <w:tcPr>
            <w:tcW w:w="1736" w:type="dxa"/>
            <w:shd w:val="clear" w:color="auto" w:fill="auto"/>
            <w:vAlign w:val="center"/>
          </w:tcPr>
          <w:p>
            <w:pPr>
              <w:spacing w:line="360" w:lineRule="auto"/>
              <w:rPr>
                <w:color w:val="auto"/>
                <w:kern w:val="0"/>
                <w:highlight w:val="none"/>
              </w:rPr>
            </w:pPr>
            <w:r>
              <w:rPr>
                <w:color w:val="auto"/>
                <w:kern w:val="0"/>
                <w:highlight w:val="none"/>
              </w:rPr>
              <w:t>主要施工方法</w:t>
            </w:r>
          </w:p>
          <w:p>
            <w:pPr>
              <w:spacing w:line="360" w:lineRule="auto"/>
              <w:rPr>
                <w:color w:val="auto"/>
                <w:highlight w:val="none"/>
              </w:rPr>
            </w:pPr>
            <w:r>
              <w:rPr>
                <w:color w:val="auto"/>
                <w:kern w:val="0"/>
                <w:highlight w:val="none"/>
              </w:rPr>
              <w:t>（</w:t>
            </w:r>
            <w:r>
              <w:rPr>
                <w:rFonts w:hint="eastAsia"/>
                <w:color w:val="auto"/>
                <w:kern w:val="0"/>
                <w:highlight w:val="none"/>
              </w:rPr>
              <w:t>10</w:t>
            </w:r>
            <w:r>
              <w:rPr>
                <w:color w:val="auto"/>
                <w:kern w:val="0"/>
                <w:highlight w:val="none"/>
              </w:rPr>
              <w:t>分）</w:t>
            </w:r>
          </w:p>
        </w:tc>
        <w:tc>
          <w:tcPr>
            <w:tcW w:w="5171" w:type="dxa"/>
            <w:shd w:val="clear" w:color="auto" w:fill="auto"/>
            <w:vAlign w:val="center"/>
          </w:tcPr>
          <w:p>
            <w:pPr>
              <w:widowControl/>
              <w:spacing w:line="400" w:lineRule="exact"/>
              <w:rPr>
                <w:color w:val="auto"/>
                <w:kern w:val="0"/>
                <w:highlight w:val="none"/>
              </w:rPr>
            </w:pPr>
            <w:r>
              <w:rPr>
                <w:rFonts w:hint="eastAsia"/>
                <w:color w:val="auto"/>
                <w:kern w:val="0"/>
                <w:highlight w:val="none"/>
              </w:rPr>
              <w:t xml:space="preserve">优（10分）：各主要分部施工方法符合项目实际，须有详尽的施工技术方案，工艺先进、方法科学合理、可行，能指导具体施工并确保安全。 </w:t>
            </w:r>
          </w:p>
          <w:p>
            <w:pPr>
              <w:widowControl/>
              <w:spacing w:line="400" w:lineRule="exact"/>
              <w:rPr>
                <w:color w:val="auto"/>
                <w:kern w:val="0"/>
                <w:highlight w:val="none"/>
              </w:rPr>
            </w:pPr>
            <w:r>
              <w:rPr>
                <w:rFonts w:hint="eastAsia"/>
                <w:color w:val="auto"/>
                <w:kern w:val="0"/>
                <w:highlight w:val="none"/>
              </w:rPr>
              <w:t xml:space="preserve">良（8分）：各主要分部施工方法符合项目实际，须有详尽的施工技术方案，工艺一般、方法可行，能指导具体施工并确保安全。 </w:t>
            </w:r>
          </w:p>
          <w:p>
            <w:pPr>
              <w:widowControl/>
              <w:spacing w:line="400" w:lineRule="exact"/>
              <w:rPr>
                <w:color w:val="auto"/>
                <w:kern w:val="0"/>
                <w:highlight w:val="none"/>
              </w:rPr>
            </w:pPr>
            <w:r>
              <w:rPr>
                <w:rFonts w:hint="eastAsia"/>
                <w:color w:val="auto"/>
                <w:kern w:val="0"/>
                <w:highlight w:val="none"/>
              </w:rPr>
              <w:t xml:space="preserve">中（6分）：各主要分部施工方法符合项目实际，须有详尽的施工技术方案，工艺一般、方法基本可行，能指导具体施工并确保安全。 </w:t>
            </w:r>
          </w:p>
          <w:p>
            <w:pPr>
              <w:widowControl/>
              <w:spacing w:line="400" w:lineRule="exact"/>
              <w:rPr>
                <w:color w:val="auto"/>
                <w:highlight w:val="none"/>
              </w:rPr>
            </w:pPr>
            <w:r>
              <w:rPr>
                <w:rFonts w:hint="eastAsia"/>
                <w:color w:val="auto"/>
                <w:kern w:val="0"/>
                <w:highlight w:val="none"/>
              </w:rPr>
              <w:t>差（2分）：各主要分部施工方法不符合项目实际，无详尽的施工技术方案，不能指导具体施工并确保安全。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2" w:hRule="atLeast"/>
        </w:trPr>
        <w:tc>
          <w:tcPr>
            <w:tcW w:w="932" w:type="dxa"/>
            <w:gridSpan w:val="2"/>
            <w:vMerge w:val="continue"/>
            <w:shd w:val="clear" w:color="auto" w:fill="auto"/>
            <w:vAlign w:val="center"/>
          </w:tcPr>
          <w:p>
            <w:pPr>
              <w:spacing w:line="360" w:lineRule="auto"/>
              <w:jc w:val="center"/>
              <w:rPr>
                <w:color w:val="auto"/>
                <w:highlight w:val="none"/>
              </w:rPr>
            </w:pPr>
          </w:p>
        </w:tc>
        <w:tc>
          <w:tcPr>
            <w:tcW w:w="1564" w:type="dxa"/>
            <w:gridSpan w:val="2"/>
            <w:vMerge w:val="continue"/>
            <w:shd w:val="clear" w:color="auto" w:fill="auto"/>
            <w:vAlign w:val="center"/>
          </w:tcPr>
          <w:p>
            <w:pPr>
              <w:spacing w:line="360" w:lineRule="auto"/>
              <w:jc w:val="center"/>
              <w:rPr>
                <w:color w:val="auto"/>
                <w:highlight w:val="none"/>
              </w:rPr>
            </w:pPr>
          </w:p>
        </w:tc>
        <w:tc>
          <w:tcPr>
            <w:tcW w:w="728" w:type="dxa"/>
            <w:vMerge w:val="continue"/>
            <w:shd w:val="clear" w:color="auto" w:fill="auto"/>
          </w:tcPr>
          <w:p>
            <w:pPr>
              <w:spacing w:line="360" w:lineRule="auto"/>
              <w:jc w:val="center"/>
              <w:rPr>
                <w:color w:val="auto"/>
                <w:highlight w:val="none"/>
              </w:rPr>
            </w:pPr>
          </w:p>
        </w:tc>
        <w:tc>
          <w:tcPr>
            <w:tcW w:w="1736" w:type="dxa"/>
            <w:shd w:val="clear" w:color="auto" w:fill="auto"/>
            <w:vAlign w:val="center"/>
          </w:tcPr>
          <w:p>
            <w:pPr>
              <w:widowControl/>
              <w:spacing w:line="360" w:lineRule="auto"/>
              <w:rPr>
                <w:color w:val="auto"/>
                <w:highlight w:val="none"/>
              </w:rPr>
            </w:pPr>
            <w:r>
              <w:rPr>
                <w:color w:val="auto"/>
                <w:kern w:val="0"/>
                <w:highlight w:val="none"/>
              </w:rPr>
              <w:t>拟投入的主要物资计划（</w:t>
            </w:r>
            <w:r>
              <w:rPr>
                <w:rFonts w:hint="eastAsia"/>
                <w:color w:val="auto"/>
                <w:kern w:val="0"/>
                <w:highlight w:val="none"/>
              </w:rPr>
              <w:t>10</w:t>
            </w:r>
            <w:r>
              <w:rPr>
                <w:color w:val="auto"/>
                <w:kern w:val="0"/>
                <w:highlight w:val="none"/>
              </w:rPr>
              <w:t>分）</w:t>
            </w:r>
          </w:p>
        </w:tc>
        <w:tc>
          <w:tcPr>
            <w:tcW w:w="5171" w:type="dxa"/>
            <w:shd w:val="clear" w:color="auto" w:fill="auto"/>
          </w:tcPr>
          <w:p>
            <w:pPr>
              <w:widowControl/>
              <w:spacing w:line="400" w:lineRule="exact"/>
              <w:rPr>
                <w:rFonts w:ascii="Calibri" w:hAnsi="Calibri"/>
                <w:color w:val="auto"/>
                <w:szCs w:val="22"/>
                <w:highlight w:val="none"/>
              </w:rPr>
            </w:pPr>
            <w:r>
              <w:rPr>
                <w:rFonts w:ascii="Calibri" w:hAnsi="Calibri"/>
                <w:color w:val="auto"/>
                <w:szCs w:val="22"/>
                <w:highlight w:val="none"/>
              </w:rPr>
              <w:t xml:space="preserve">优（10分）：投入的施工材料有详细的组织计划且计划周密，数量、选型配置、进场时间安排合理，完全满足施工需要。 </w:t>
            </w:r>
          </w:p>
          <w:p>
            <w:pPr>
              <w:widowControl/>
              <w:spacing w:line="400" w:lineRule="exact"/>
              <w:rPr>
                <w:rFonts w:ascii="Calibri" w:hAnsi="Calibri"/>
                <w:color w:val="auto"/>
                <w:szCs w:val="22"/>
                <w:highlight w:val="none"/>
              </w:rPr>
            </w:pPr>
            <w:r>
              <w:rPr>
                <w:rFonts w:ascii="Calibri" w:hAnsi="Calibri"/>
                <w:color w:val="auto"/>
                <w:szCs w:val="22"/>
                <w:highlight w:val="none"/>
              </w:rPr>
              <w:t xml:space="preserve">良（8分）：投入的施工材料有组织计划且计划一般，数量、选型配置、进场时间安排合理，满足施工需。 </w:t>
            </w:r>
          </w:p>
          <w:p>
            <w:pPr>
              <w:widowControl/>
              <w:spacing w:line="400" w:lineRule="exact"/>
              <w:rPr>
                <w:rFonts w:ascii="Calibri" w:hAnsi="Calibri"/>
                <w:color w:val="auto"/>
                <w:szCs w:val="22"/>
                <w:highlight w:val="none"/>
              </w:rPr>
            </w:pPr>
            <w:r>
              <w:rPr>
                <w:rFonts w:ascii="Calibri" w:hAnsi="Calibri"/>
                <w:color w:val="auto"/>
                <w:szCs w:val="22"/>
                <w:highlight w:val="none"/>
              </w:rPr>
              <w:t xml:space="preserve">中（6分）：投入的施工材料有组织计划且计划一般，数量、选型配置、进场时间安排合理，基本满足施工需。 </w:t>
            </w:r>
          </w:p>
          <w:p>
            <w:pPr>
              <w:widowControl/>
              <w:spacing w:line="400" w:lineRule="exact"/>
              <w:rPr>
                <w:color w:val="auto"/>
                <w:highlight w:val="none"/>
              </w:rPr>
            </w:pPr>
            <w:r>
              <w:rPr>
                <w:rFonts w:ascii="Calibri" w:hAnsi="Calibri"/>
                <w:color w:val="auto"/>
                <w:szCs w:val="22"/>
                <w:highlight w:val="none"/>
              </w:rPr>
              <w:t>差（</w:t>
            </w:r>
            <w:r>
              <w:rPr>
                <w:rFonts w:hint="eastAsia"/>
                <w:color w:val="auto"/>
                <w:szCs w:val="22"/>
                <w:highlight w:val="none"/>
              </w:rPr>
              <w:t>2</w:t>
            </w:r>
            <w:r>
              <w:rPr>
                <w:rFonts w:ascii="Calibri" w:hAnsi="Calibri"/>
                <w:color w:val="auto"/>
                <w:szCs w:val="22"/>
                <w:highlight w:val="none"/>
              </w:rPr>
              <w:t>分）：投入的施工材料无详细的组织计划，数量、选型配置、进场时间安排不合理，不能满足施工需要</w:t>
            </w:r>
            <w:r>
              <w:rPr>
                <w:color w:val="auto"/>
                <w:kern w:val="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2" w:hRule="atLeast"/>
        </w:trPr>
        <w:tc>
          <w:tcPr>
            <w:tcW w:w="932" w:type="dxa"/>
            <w:gridSpan w:val="2"/>
            <w:vMerge w:val="continue"/>
            <w:shd w:val="clear" w:color="auto" w:fill="auto"/>
            <w:vAlign w:val="center"/>
          </w:tcPr>
          <w:p>
            <w:pPr>
              <w:spacing w:line="360" w:lineRule="auto"/>
              <w:jc w:val="center"/>
              <w:rPr>
                <w:color w:val="auto"/>
                <w:highlight w:val="none"/>
              </w:rPr>
            </w:pPr>
          </w:p>
        </w:tc>
        <w:tc>
          <w:tcPr>
            <w:tcW w:w="1564" w:type="dxa"/>
            <w:gridSpan w:val="2"/>
            <w:vMerge w:val="continue"/>
            <w:shd w:val="clear" w:color="auto" w:fill="auto"/>
            <w:vAlign w:val="center"/>
          </w:tcPr>
          <w:p>
            <w:pPr>
              <w:spacing w:line="360" w:lineRule="auto"/>
              <w:jc w:val="center"/>
              <w:rPr>
                <w:color w:val="auto"/>
                <w:highlight w:val="none"/>
              </w:rPr>
            </w:pPr>
          </w:p>
        </w:tc>
        <w:tc>
          <w:tcPr>
            <w:tcW w:w="728" w:type="dxa"/>
            <w:vMerge w:val="continue"/>
            <w:shd w:val="clear" w:color="auto" w:fill="auto"/>
          </w:tcPr>
          <w:p>
            <w:pPr>
              <w:spacing w:line="360" w:lineRule="auto"/>
              <w:jc w:val="center"/>
              <w:rPr>
                <w:color w:val="auto"/>
                <w:highlight w:val="none"/>
              </w:rPr>
            </w:pPr>
          </w:p>
        </w:tc>
        <w:tc>
          <w:tcPr>
            <w:tcW w:w="1736" w:type="dxa"/>
            <w:shd w:val="clear" w:color="auto" w:fill="auto"/>
            <w:vAlign w:val="center"/>
          </w:tcPr>
          <w:p>
            <w:pPr>
              <w:widowControl/>
              <w:spacing w:line="360" w:lineRule="auto"/>
              <w:rPr>
                <w:color w:val="auto"/>
                <w:highlight w:val="none"/>
              </w:rPr>
            </w:pPr>
            <w:r>
              <w:rPr>
                <w:color w:val="auto"/>
                <w:kern w:val="0"/>
                <w:highlight w:val="none"/>
              </w:rPr>
              <w:t>拟投入的主要施工机械、设备计划（</w:t>
            </w:r>
            <w:r>
              <w:rPr>
                <w:rFonts w:hint="eastAsia"/>
                <w:color w:val="auto"/>
                <w:kern w:val="0"/>
                <w:highlight w:val="none"/>
              </w:rPr>
              <w:t>10</w:t>
            </w:r>
            <w:r>
              <w:rPr>
                <w:color w:val="auto"/>
                <w:kern w:val="0"/>
                <w:highlight w:val="none"/>
              </w:rPr>
              <w:t>分）</w:t>
            </w:r>
          </w:p>
        </w:tc>
        <w:tc>
          <w:tcPr>
            <w:tcW w:w="5171" w:type="dxa"/>
            <w:shd w:val="clear" w:color="auto" w:fill="auto"/>
            <w:vAlign w:val="center"/>
          </w:tcPr>
          <w:p>
            <w:pPr>
              <w:widowControl/>
              <w:spacing w:line="400" w:lineRule="exact"/>
              <w:rPr>
                <w:rFonts w:ascii="Calibri" w:hAnsi="Calibri"/>
                <w:color w:val="auto"/>
                <w:szCs w:val="22"/>
                <w:highlight w:val="none"/>
              </w:rPr>
            </w:pPr>
            <w:r>
              <w:rPr>
                <w:rFonts w:ascii="Calibri" w:hAnsi="Calibri"/>
                <w:color w:val="auto"/>
                <w:szCs w:val="22"/>
                <w:highlight w:val="none"/>
              </w:rPr>
              <w:t xml:space="preserve">优（10分）：投入的施工机械、设备、机具有详细的组织计划且计划周密，设备数量、选型配置、进场时间安排合理，完全满足施工需要。 </w:t>
            </w:r>
          </w:p>
          <w:p>
            <w:pPr>
              <w:widowControl/>
              <w:spacing w:line="400" w:lineRule="exact"/>
              <w:rPr>
                <w:rFonts w:ascii="Calibri" w:hAnsi="Calibri"/>
                <w:color w:val="auto"/>
                <w:szCs w:val="22"/>
                <w:highlight w:val="none"/>
              </w:rPr>
            </w:pPr>
            <w:r>
              <w:rPr>
                <w:rFonts w:ascii="Calibri" w:hAnsi="Calibri"/>
                <w:color w:val="auto"/>
                <w:szCs w:val="22"/>
                <w:highlight w:val="none"/>
              </w:rPr>
              <w:t xml:space="preserve">良（8分）：投入的施工机械、设备、机具有组织计划且计划一般，设备数量、选型配置、进场时间安排合理，满足施工需要。 </w:t>
            </w:r>
          </w:p>
          <w:p>
            <w:pPr>
              <w:widowControl/>
              <w:spacing w:line="400" w:lineRule="exact"/>
              <w:rPr>
                <w:rFonts w:ascii="Calibri" w:hAnsi="Calibri"/>
                <w:color w:val="auto"/>
                <w:szCs w:val="22"/>
                <w:highlight w:val="none"/>
              </w:rPr>
            </w:pPr>
            <w:r>
              <w:rPr>
                <w:rFonts w:ascii="Calibri" w:hAnsi="Calibri"/>
                <w:color w:val="auto"/>
                <w:szCs w:val="22"/>
                <w:highlight w:val="none"/>
              </w:rPr>
              <w:t xml:space="preserve">中（6分）：投入的施工机械、设备、机具有组织计划且计划一般，设备数量、选型配置、进场时间安排合理，基本满足施工需要。 </w:t>
            </w:r>
          </w:p>
          <w:p>
            <w:pPr>
              <w:widowControl/>
              <w:spacing w:line="400" w:lineRule="exact"/>
              <w:rPr>
                <w:color w:val="auto"/>
                <w:highlight w:val="none"/>
              </w:rPr>
            </w:pPr>
            <w:r>
              <w:rPr>
                <w:rFonts w:ascii="Calibri" w:hAnsi="Calibri"/>
                <w:color w:val="auto"/>
                <w:szCs w:val="22"/>
                <w:highlight w:val="none"/>
              </w:rPr>
              <w:t>差（</w:t>
            </w:r>
            <w:r>
              <w:rPr>
                <w:rFonts w:hint="eastAsia"/>
                <w:color w:val="auto"/>
                <w:szCs w:val="22"/>
                <w:highlight w:val="none"/>
              </w:rPr>
              <w:t>2</w:t>
            </w:r>
            <w:r>
              <w:rPr>
                <w:rFonts w:ascii="Calibri" w:hAnsi="Calibri"/>
                <w:color w:val="auto"/>
                <w:szCs w:val="22"/>
                <w:highlight w:val="none"/>
              </w:rPr>
              <w:t>分）：投入的施工机械、设备、机具无详细的组织计划，设备数量、选型配置、进场时间安排不合理，不能满足施工需要</w:t>
            </w:r>
            <w:r>
              <w:rPr>
                <w:color w:val="auto"/>
                <w:kern w:val="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3" w:hRule="atLeast"/>
        </w:trPr>
        <w:tc>
          <w:tcPr>
            <w:tcW w:w="932" w:type="dxa"/>
            <w:gridSpan w:val="2"/>
            <w:vMerge w:val="continue"/>
            <w:shd w:val="clear" w:color="auto" w:fill="auto"/>
            <w:vAlign w:val="center"/>
          </w:tcPr>
          <w:p>
            <w:pPr>
              <w:spacing w:line="360" w:lineRule="auto"/>
              <w:jc w:val="center"/>
              <w:rPr>
                <w:color w:val="auto"/>
                <w:highlight w:val="none"/>
              </w:rPr>
            </w:pPr>
          </w:p>
        </w:tc>
        <w:tc>
          <w:tcPr>
            <w:tcW w:w="1564" w:type="dxa"/>
            <w:gridSpan w:val="2"/>
            <w:vMerge w:val="continue"/>
            <w:shd w:val="clear" w:color="auto" w:fill="auto"/>
            <w:vAlign w:val="center"/>
          </w:tcPr>
          <w:p>
            <w:pPr>
              <w:spacing w:line="360" w:lineRule="auto"/>
              <w:jc w:val="center"/>
              <w:rPr>
                <w:color w:val="auto"/>
                <w:highlight w:val="none"/>
              </w:rPr>
            </w:pPr>
          </w:p>
        </w:tc>
        <w:tc>
          <w:tcPr>
            <w:tcW w:w="728" w:type="dxa"/>
            <w:vMerge w:val="continue"/>
            <w:shd w:val="clear" w:color="auto" w:fill="auto"/>
            <w:vAlign w:val="center"/>
          </w:tcPr>
          <w:p>
            <w:pPr>
              <w:spacing w:line="360" w:lineRule="auto"/>
              <w:jc w:val="center"/>
              <w:rPr>
                <w:color w:val="auto"/>
                <w:highlight w:val="none"/>
              </w:rPr>
            </w:pPr>
          </w:p>
        </w:tc>
        <w:tc>
          <w:tcPr>
            <w:tcW w:w="1736" w:type="dxa"/>
            <w:shd w:val="clear" w:color="auto" w:fill="auto"/>
            <w:vAlign w:val="center"/>
          </w:tcPr>
          <w:p>
            <w:pPr>
              <w:widowControl/>
              <w:spacing w:line="360" w:lineRule="auto"/>
              <w:rPr>
                <w:color w:val="auto"/>
                <w:highlight w:val="none"/>
              </w:rPr>
            </w:pPr>
            <w:r>
              <w:rPr>
                <w:color w:val="auto"/>
                <w:kern w:val="0"/>
                <w:highlight w:val="none"/>
              </w:rPr>
              <w:t>劳动力安排计划（</w:t>
            </w:r>
            <w:r>
              <w:rPr>
                <w:rFonts w:hint="eastAsia"/>
                <w:color w:val="auto"/>
                <w:kern w:val="0"/>
                <w:highlight w:val="none"/>
              </w:rPr>
              <w:t>10</w:t>
            </w:r>
            <w:r>
              <w:rPr>
                <w:color w:val="auto"/>
                <w:kern w:val="0"/>
                <w:highlight w:val="none"/>
              </w:rPr>
              <w:t>分）</w:t>
            </w:r>
          </w:p>
        </w:tc>
        <w:tc>
          <w:tcPr>
            <w:tcW w:w="5171" w:type="dxa"/>
            <w:shd w:val="clear" w:color="auto" w:fill="auto"/>
            <w:vAlign w:val="center"/>
          </w:tcPr>
          <w:p>
            <w:pPr>
              <w:widowControl/>
              <w:spacing w:line="400" w:lineRule="exact"/>
              <w:rPr>
                <w:rFonts w:ascii="Calibri" w:hAnsi="Calibri"/>
                <w:color w:val="auto"/>
                <w:szCs w:val="22"/>
                <w:highlight w:val="none"/>
              </w:rPr>
            </w:pPr>
            <w:r>
              <w:rPr>
                <w:rFonts w:ascii="Calibri" w:hAnsi="Calibri"/>
                <w:color w:val="auto"/>
                <w:szCs w:val="22"/>
                <w:highlight w:val="none"/>
              </w:rPr>
              <w:t xml:space="preserve">优（10分）：各主要施工工序有详细周密的劳动力安排计划，有各工种劳动力安排计划，劳动力投入合理，完全满足施工需要。 </w:t>
            </w:r>
          </w:p>
          <w:p>
            <w:pPr>
              <w:widowControl/>
              <w:spacing w:line="400" w:lineRule="exact"/>
              <w:rPr>
                <w:rFonts w:ascii="Calibri" w:hAnsi="Calibri"/>
                <w:color w:val="auto"/>
                <w:szCs w:val="22"/>
                <w:highlight w:val="none"/>
              </w:rPr>
            </w:pPr>
            <w:r>
              <w:rPr>
                <w:rFonts w:ascii="Calibri" w:hAnsi="Calibri"/>
                <w:color w:val="auto"/>
                <w:szCs w:val="22"/>
                <w:highlight w:val="none"/>
              </w:rPr>
              <w:t xml:space="preserve">良（8分）：各主要施工工序有劳动力安排计划，有各工种劳动力安排计划，劳动力投入合理，满足施工需要。 </w:t>
            </w:r>
          </w:p>
          <w:p>
            <w:pPr>
              <w:widowControl/>
              <w:spacing w:line="400" w:lineRule="exact"/>
              <w:rPr>
                <w:rFonts w:ascii="Calibri" w:hAnsi="Calibri"/>
                <w:color w:val="auto"/>
                <w:szCs w:val="22"/>
                <w:highlight w:val="none"/>
              </w:rPr>
            </w:pPr>
            <w:r>
              <w:rPr>
                <w:rFonts w:ascii="Calibri" w:hAnsi="Calibri"/>
                <w:color w:val="auto"/>
                <w:szCs w:val="22"/>
                <w:highlight w:val="none"/>
              </w:rPr>
              <w:t xml:space="preserve">中（6分）：各主要施工工序有劳动力安排计划，有各工种劳动力安排计划，劳动力投入合理，基本满足施工需要。 </w:t>
            </w:r>
          </w:p>
          <w:p>
            <w:pPr>
              <w:widowControl/>
              <w:spacing w:line="400" w:lineRule="exact"/>
              <w:rPr>
                <w:color w:val="auto"/>
                <w:highlight w:val="none"/>
              </w:rPr>
            </w:pPr>
            <w:r>
              <w:rPr>
                <w:rFonts w:ascii="Calibri" w:hAnsi="Calibri"/>
                <w:color w:val="auto"/>
                <w:szCs w:val="22"/>
                <w:highlight w:val="none"/>
              </w:rPr>
              <w:t>差（</w:t>
            </w:r>
            <w:r>
              <w:rPr>
                <w:rFonts w:hint="eastAsia"/>
                <w:color w:val="auto"/>
                <w:szCs w:val="22"/>
                <w:highlight w:val="none"/>
              </w:rPr>
              <w:t>2</w:t>
            </w:r>
            <w:r>
              <w:rPr>
                <w:rFonts w:ascii="Calibri" w:hAnsi="Calibri"/>
                <w:color w:val="auto"/>
                <w:szCs w:val="22"/>
                <w:highlight w:val="none"/>
              </w:rPr>
              <w:t>分）：各主要施工工序无劳动力安排计划，无各工种劳动力安排计划，劳动力投入不合理，不能满足施工需要。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trPr>
        <w:tc>
          <w:tcPr>
            <w:tcW w:w="932" w:type="dxa"/>
            <w:gridSpan w:val="2"/>
            <w:vMerge w:val="continue"/>
            <w:shd w:val="clear" w:color="auto" w:fill="auto"/>
            <w:vAlign w:val="center"/>
          </w:tcPr>
          <w:p>
            <w:pPr>
              <w:spacing w:line="360" w:lineRule="auto"/>
              <w:jc w:val="center"/>
              <w:rPr>
                <w:color w:val="auto"/>
                <w:highlight w:val="none"/>
              </w:rPr>
            </w:pPr>
          </w:p>
        </w:tc>
        <w:tc>
          <w:tcPr>
            <w:tcW w:w="1564" w:type="dxa"/>
            <w:gridSpan w:val="2"/>
            <w:vMerge w:val="continue"/>
            <w:shd w:val="clear" w:color="auto" w:fill="auto"/>
            <w:vAlign w:val="center"/>
          </w:tcPr>
          <w:p>
            <w:pPr>
              <w:spacing w:line="360" w:lineRule="auto"/>
              <w:jc w:val="center"/>
              <w:rPr>
                <w:color w:val="auto"/>
                <w:highlight w:val="none"/>
              </w:rPr>
            </w:pPr>
          </w:p>
        </w:tc>
        <w:tc>
          <w:tcPr>
            <w:tcW w:w="728" w:type="dxa"/>
            <w:vMerge w:val="continue"/>
            <w:shd w:val="clear" w:color="auto" w:fill="auto"/>
            <w:vAlign w:val="center"/>
          </w:tcPr>
          <w:p>
            <w:pPr>
              <w:spacing w:line="360" w:lineRule="auto"/>
              <w:jc w:val="center"/>
              <w:rPr>
                <w:color w:val="auto"/>
                <w:highlight w:val="none"/>
              </w:rPr>
            </w:pPr>
          </w:p>
        </w:tc>
        <w:tc>
          <w:tcPr>
            <w:tcW w:w="1736" w:type="dxa"/>
            <w:shd w:val="clear" w:color="auto" w:fill="auto"/>
            <w:vAlign w:val="center"/>
          </w:tcPr>
          <w:p>
            <w:pPr>
              <w:widowControl/>
              <w:spacing w:line="360" w:lineRule="auto"/>
              <w:rPr>
                <w:color w:val="auto"/>
                <w:kern w:val="0"/>
                <w:highlight w:val="none"/>
              </w:rPr>
            </w:pPr>
            <w:r>
              <w:rPr>
                <w:color w:val="auto"/>
                <w:kern w:val="0"/>
                <w:highlight w:val="none"/>
              </w:rPr>
              <w:t>确保工程质量的技术组织措施</w:t>
            </w:r>
          </w:p>
          <w:p>
            <w:pPr>
              <w:widowControl/>
              <w:spacing w:line="360" w:lineRule="auto"/>
              <w:rPr>
                <w:color w:val="auto"/>
                <w:highlight w:val="none"/>
              </w:rPr>
            </w:pPr>
            <w:r>
              <w:rPr>
                <w:color w:val="auto"/>
                <w:kern w:val="0"/>
                <w:highlight w:val="none"/>
              </w:rPr>
              <w:t>（</w:t>
            </w:r>
            <w:r>
              <w:rPr>
                <w:rFonts w:hint="eastAsia"/>
                <w:color w:val="auto"/>
                <w:kern w:val="0"/>
                <w:highlight w:val="none"/>
              </w:rPr>
              <w:t>10</w:t>
            </w:r>
            <w:r>
              <w:rPr>
                <w:color w:val="auto"/>
                <w:kern w:val="0"/>
                <w:highlight w:val="none"/>
              </w:rPr>
              <w:t>分）</w:t>
            </w:r>
          </w:p>
        </w:tc>
        <w:tc>
          <w:tcPr>
            <w:tcW w:w="5171" w:type="dxa"/>
            <w:shd w:val="clear" w:color="auto" w:fill="auto"/>
            <w:vAlign w:val="center"/>
          </w:tcPr>
          <w:p>
            <w:pPr>
              <w:widowControl/>
              <w:spacing w:line="400" w:lineRule="exact"/>
              <w:rPr>
                <w:rFonts w:ascii="Calibri" w:hAnsi="Calibri"/>
                <w:color w:val="auto"/>
                <w:szCs w:val="22"/>
                <w:highlight w:val="none"/>
              </w:rPr>
            </w:pPr>
            <w:r>
              <w:rPr>
                <w:rFonts w:ascii="Calibri" w:hAnsi="Calibri"/>
                <w:color w:val="auto"/>
                <w:szCs w:val="22"/>
                <w:highlight w:val="none"/>
              </w:rPr>
              <w:t xml:space="preserve">优（10分）：有专门的质量技术管理班子和制度，且人员配备合理，制度健全。主要工序质量技术保证措施和手段科学合理，自控体系完整，能较好保证技术质量，达到承诺的质量标准。 </w:t>
            </w:r>
          </w:p>
          <w:p>
            <w:pPr>
              <w:widowControl/>
              <w:spacing w:line="400" w:lineRule="exact"/>
              <w:rPr>
                <w:rFonts w:ascii="Calibri" w:hAnsi="Calibri"/>
                <w:color w:val="auto"/>
                <w:szCs w:val="22"/>
                <w:highlight w:val="none"/>
              </w:rPr>
            </w:pPr>
            <w:r>
              <w:rPr>
                <w:rFonts w:ascii="Calibri" w:hAnsi="Calibri"/>
                <w:color w:val="auto"/>
                <w:szCs w:val="22"/>
                <w:highlight w:val="none"/>
              </w:rPr>
              <w:t xml:space="preserve">良（8分）：有专门的质量技术管理班子和制度，且人员配备合理，制度健全。主要工序的质量技术保证措施和手段一般，自控体系一般，能有效保证技术质量，达到承诺的质量标准。 </w:t>
            </w:r>
          </w:p>
          <w:p>
            <w:pPr>
              <w:widowControl/>
              <w:spacing w:line="400" w:lineRule="exact"/>
              <w:rPr>
                <w:rFonts w:ascii="Calibri" w:hAnsi="Calibri"/>
                <w:color w:val="auto"/>
                <w:szCs w:val="22"/>
                <w:highlight w:val="none"/>
              </w:rPr>
            </w:pPr>
            <w:r>
              <w:rPr>
                <w:rFonts w:ascii="Calibri" w:hAnsi="Calibri"/>
                <w:color w:val="auto"/>
                <w:szCs w:val="22"/>
                <w:highlight w:val="none"/>
              </w:rPr>
              <w:t xml:space="preserve">中（6分）：有专门的质量技术管理班子和制度，且人员配备合理，制度健全。主要工序的质量技术保证措施和手段一般，自控体系一般，能基本保证技术质量，基本达到承诺的质量标准。 </w:t>
            </w:r>
          </w:p>
          <w:p>
            <w:pPr>
              <w:widowControl/>
              <w:spacing w:line="400" w:lineRule="exact"/>
              <w:rPr>
                <w:color w:val="auto"/>
                <w:highlight w:val="none"/>
              </w:rPr>
            </w:pPr>
            <w:r>
              <w:rPr>
                <w:rFonts w:ascii="Calibri" w:hAnsi="Calibri"/>
                <w:color w:val="auto"/>
                <w:szCs w:val="22"/>
                <w:highlight w:val="none"/>
              </w:rPr>
              <w:t>差（</w:t>
            </w:r>
            <w:r>
              <w:rPr>
                <w:rFonts w:hint="eastAsia"/>
                <w:color w:val="auto"/>
                <w:szCs w:val="22"/>
                <w:highlight w:val="none"/>
              </w:rPr>
              <w:t>2</w:t>
            </w:r>
            <w:r>
              <w:rPr>
                <w:rFonts w:ascii="Calibri" w:hAnsi="Calibri"/>
                <w:color w:val="auto"/>
                <w:szCs w:val="22"/>
                <w:highlight w:val="none"/>
              </w:rPr>
              <w:t>分）：有专门的质量技术管理班子和制度，人员配备不合理，制度不健全。主要工序无质量技术保证措施和手段，自控体系不完整，不能有效保证技术质量，达不到承诺的质量标准</w:t>
            </w:r>
            <w:r>
              <w:rPr>
                <w:color w:val="auto"/>
                <w:kern w:val="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2" w:hRule="atLeast"/>
        </w:trPr>
        <w:tc>
          <w:tcPr>
            <w:tcW w:w="932" w:type="dxa"/>
            <w:gridSpan w:val="2"/>
            <w:vMerge w:val="continue"/>
            <w:shd w:val="clear" w:color="auto" w:fill="auto"/>
            <w:vAlign w:val="center"/>
          </w:tcPr>
          <w:p>
            <w:pPr>
              <w:spacing w:line="360" w:lineRule="auto"/>
              <w:jc w:val="center"/>
              <w:rPr>
                <w:color w:val="auto"/>
                <w:highlight w:val="none"/>
              </w:rPr>
            </w:pPr>
          </w:p>
        </w:tc>
        <w:tc>
          <w:tcPr>
            <w:tcW w:w="1564" w:type="dxa"/>
            <w:gridSpan w:val="2"/>
            <w:vMerge w:val="continue"/>
            <w:shd w:val="clear" w:color="auto" w:fill="auto"/>
            <w:vAlign w:val="center"/>
          </w:tcPr>
          <w:p>
            <w:pPr>
              <w:spacing w:line="360" w:lineRule="auto"/>
              <w:jc w:val="center"/>
              <w:rPr>
                <w:color w:val="auto"/>
                <w:highlight w:val="none"/>
              </w:rPr>
            </w:pPr>
          </w:p>
        </w:tc>
        <w:tc>
          <w:tcPr>
            <w:tcW w:w="728" w:type="dxa"/>
            <w:vMerge w:val="continue"/>
            <w:shd w:val="clear" w:color="auto" w:fill="auto"/>
            <w:vAlign w:val="center"/>
          </w:tcPr>
          <w:p>
            <w:pPr>
              <w:spacing w:line="360" w:lineRule="auto"/>
              <w:jc w:val="center"/>
              <w:rPr>
                <w:color w:val="auto"/>
                <w:highlight w:val="none"/>
              </w:rPr>
            </w:pPr>
          </w:p>
        </w:tc>
        <w:tc>
          <w:tcPr>
            <w:tcW w:w="1736" w:type="dxa"/>
            <w:shd w:val="clear" w:color="auto" w:fill="auto"/>
            <w:vAlign w:val="center"/>
          </w:tcPr>
          <w:p>
            <w:pPr>
              <w:widowControl/>
              <w:spacing w:line="360" w:lineRule="auto"/>
              <w:rPr>
                <w:color w:val="auto"/>
                <w:kern w:val="0"/>
                <w:highlight w:val="none"/>
              </w:rPr>
            </w:pPr>
            <w:r>
              <w:rPr>
                <w:color w:val="auto"/>
                <w:kern w:val="0"/>
                <w:highlight w:val="none"/>
              </w:rPr>
              <w:t>确保安全生产的技术组织措施</w:t>
            </w:r>
          </w:p>
          <w:p>
            <w:pPr>
              <w:widowControl/>
              <w:spacing w:line="360" w:lineRule="auto"/>
              <w:rPr>
                <w:color w:val="auto"/>
                <w:highlight w:val="none"/>
              </w:rPr>
            </w:pPr>
            <w:r>
              <w:rPr>
                <w:color w:val="auto"/>
                <w:kern w:val="0"/>
                <w:highlight w:val="none"/>
              </w:rPr>
              <w:t>（</w:t>
            </w:r>
            <w:r>
              <w:rPr>
                <w:rFonts w:hint="eastAsia"/>
                <w:color w:val="auto"/>
                <w:kern w:val="0"/>
                <w:highlight w:val="none"/>
              </w:rPr>
              <w:t>5</w:t>
            </w:r>
            <w:r>
              <w:rPr>
                <w:color w:val="auto"/>
                <w:kern w:val="0"/>
                <w:highlight w:val="none"/>
              </w:rPr>
              <w:t>分）</w:t>
            </w:r>
          </w:p>
        </w:tc>
        <w:tc>
          <w:tcPr>
            <w:tcW w:w="5171" w:type="dxa"/>
            <w:shd w:val="clear" w:color="auto" w:fill="auto"/>
            <w:vAlign w:val="center"/>
          </w:tcPr>
          <w:p>
            <w:pPr>
              <w:widowControl/>
              <w:spacing w:line="400" w:lineRule="exact"/>
              <w:rPr>
                <w:rFonts w:ascii="Calibri" w:hAnsi="Calibri"/>
                <w:color w:val="auto"/>
                <w:szCs w:val="22"/>
                <w:highlight w:val="none"/>
              </w:rPr>
            </w:pPr>
            <w:r>
              <w:rPr>
                <w:rFonts w:ascii="Calibri" w:hAnsi="Calibri"/>
                <w:color w:val="auto"/>
                <w:szCs w:val="22"/>
                <w:highlight w:val="none"/>
              </w:rPr>
              <w:t>优（</w:t>
            </w:r>
            <w:r>
              <w:rPr>
                <w:rFonts w:hint="eastAsia" w:ascii="Calibri" w:hAnsi="Calibri"/>
                <w:color w:val="auto"/>
                <w:szCs w:val="22"/>
                <w:highlight w:val="none"/>
              </w:rPr>
              <w:t>5</w:t>
            </w:r>
            <w:r>
              <w:rPr>
                <w:rFonts w:ascii="Calibri" w:hAnsi="Calibri"/>
                <w:color w:val="auto"/>
                <w:szCs w:val="22"/>
                <w:highlight w:val="none"/>
              </w:rPr>
              <w:t xml:space="preserve">分）：有专门的安全管理人员和制度，且人员配备合理，制度健全，各道工序安全技术措施针对性强，确保工程质量的技术组织措施符合实际且完全满足有关安全技术标准要求。现场防火、应急救援、社会治安安全措施得力。 </w:t>
            </w:r>
          </w:p>
          <w:p>
            <w:pPr>
              <w:widowControl/>
              <w:spacing w:line="400" w:lineRule="exact"/>
              <w:rPr>
                <w:rFonts w:ascii="Calibri" w:hAnsi="Calibri"/>
                <w:color w:val="auto"/>
                <w:szCs w:val="22"/>
                <w:highlight w:val="none"/>
              </w:rPr>
            </w:pPr>
            <w:r>
              <w:rPr>
                <w:rFonts w:ascii="Calibri" w:hAnsi="Calibri"/>
                <w:color w:val="auto"/>
                <w:szCs w:val="22"/>
                <w:highlight w:val="none"/>
              </w:rPr>
              <w:t>良（</w:t>
            </w:r>
            <w:r>
              <w:rPr>
                <w:rFonts w:hint="eastAsia" w:ascii="Calibri" w:hAnsi="Calibri"/>
                <w:color w:val="auto"/>
                <w:szCs w:val="22"/>
                <w:highlight w:val="none"/>
              </w:rPr>
              <w:t>4</w:t>
            </w:r>
            <w:r>
              <w:rPr>
                <w:rFonts w:ascii="Calibri" w:hAnsi="Calibri"/>
                <w:color w:val="auto"/>
                <w:szCs w:val="22"/>
                <w:highlight w:val="none"/>
              </w:rPr>
              <w:t xml:space="preserve">分）：有专门的安全管理人员和制度，且人员配备合理，制度健全，各道工序安全技术措施有针对性，确保工程质量的技术组织措施符合实际且满足有关安全技术标准要求。现场防火、应急救援、社会治安安全措施一般。 </w:t>
            </w:r>
          </w:p>
          <w:p>
            <w:pPr>
              <w:widowControl/>
              <w:spacing w:line="400" w:lineRule="exact"/>
              <w:rPr>
                <w:rFonts w:ascii="Calibri" w:hAnsi="Calibri"/>
                <w:color w:val="auto"/>
                <w:szCs w:val="22"/>
                <w:highlight w:val="none"/>
              </w:rPr>
            </w:pPr>
            <w:r>
              <w:rPr>
                <w:rFonts w:ascii="Calibri" w:hAnsi="Calibri"/>
                <w:color w:val="auto"/>
                <w:szCs w:val="22"/>
                <w:highlight w:val="none"/>
              </w:rPr>
              <w:t>中（</w:t>
            </w:r>
            <w:r>
              <w:rPr>
                <w:rFonts w:hint="eastAsia" w:ascii="Calibri" w:hAnsi="Calibri"/>
                <w:color w:val="auto"/>
                <w:szCs w:val="22"/>
                <w:highlight w:val="none"/>
              </w:rPr>
              <w:t>3</w:t>
            </w:r>
            <w:r>
              <w:rPr>
                <w:rFonts w:ascii="Calibri" w:hAnsi="Calibri"/>
                <w:color w:val="auto"/>
                <w:szCs w:val="22"/>
                <w:highlight w:val="none"/>
              </w:rPr>
              <w:t xml:space="preserve">分）：有专门的安全管理人员和制度，且人员配备合理，制度健全，各道工序安全技术措施针对性一般，确保工程质量的技术组织措施符合实际且基本满足有关安全技术标准要求。现场防火、应急救援、社会治安安全措施一般。 </w:t>
            </w:r>
          </w:p>
          <w:p>
            <w:pPr>
              <w:widowControl/>
              <w:spacing w:line="400" w:lineRule="exact"/>
              <w:rPr>
                <w:color w:val="auto"/>
                <w:highlight w:val="none"/>
              </w:rPr>
            </w:pPr>
            <w:r>
              <w:rPr>
                <w:rFonts w:ascii="Calibri" w:hAnsi="Calibri"/>
                <w:color w:val="auto"/>
                <w:szCs w:val="22"/>
                <w:highlight w:val="none"/>
              </w:rPr>
              <w:t>差（</w:t>
            </w:r>
            <w:r>
              <w:rPr>
                <w:rFonts w:hint="eastAsia"/>
                <w:color w:val="auto"/>
                <w:szCs w:val="22"/>
                <w:highlight w:val="none"/>
              </w:rPr>
              <w:t>1</w:t>
            </w:r>
            <w:r>
              <w:rPr>
                <w:rFonts w:ascii="Calibri" w:hAnsi="Calibri"/>
                <w:color w:val="auto"/>
                <w:szCs w:val="22"/>
                <w:highlight w:val="none"/>
              </w:rPr>
              <w:t>分）：有专门的安全管理人员和制度，人员配备不合理，制度不健全，各道工序安全技术措施无针对性，不满足有关安全技术标准要求。现场防火、应急救援、社会治安安全措施不得力</w:t>
            </w:r>
            <w:r>
              <w:rPr>
                <w:color w:val="auto"/>
                <w:kern w:val="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2" w:hRule="atLeast"/>
        </w:trPr>
        <w:tc>
          <w:tcPr>
            <w:tcW w:w="932" w:type="dxa"/>
            <w:gridSpan w:val="2"/>
            <w:vMerge w:val="continue"/>
            <w:shd w:val="clear" w:color="auto" w:fill="auto"/>
            <w:vAlign w:val="center"/>
          </w:tcPr>
          <w:p>
            <w:pPr>
              <w:spacing w:line="360" w:lineRule="auto"/>
              <w:jc w:val="center"/>
              <w:rPr>
                <w:color w:val="auto"/>
                <w:highlight w:val="none"/>
              </w:rPr>
            </w:pPr>
          </w:p>
        </w:tc>
        <w:tc>
          <w:tcPr>
            <w:tcW w:w="1564" w:type="dxa"/>
            <w:gridSpan w:val="2"/>
            <w:vMerge w:val="continue"/>
            <w:shd w:val="clear" w:color="auto" w:fill="auto"/>
            <w:vAlign w:val="center"/>
          </w:tcPr>
          <w:p>
            <w:pPr>
              <w:spacing w:line="360" w:lineRule="auto"/>
              <w:jc w:val="center"/>
              <w:rPr>
                <w:color w:val="auto"/>
                <w:highlight w:val="none"/>
              </w:rPr>
            </w:pPr>
          </w:p>
        </w:tc>
        <w:tc>
          <w:tcPr>
            <w:tcW w:w="728" w:type="dxa"/>
            <w:vMerge w:val="continue"/>
            <w:shd w:val="clear" w:color="auto" w:fill="auto"/>
            <w:vAlign w:val="center"/>
          </w:tcPr>
          <w:p>
            <w:pPr>
              <w:spacing w:line="360" w:lineRule="auto"/>
              <w:jc w:val="center"/>
              <w:rPr>
                <w:color w:val="auto"/>
                <w:highlight w:val="none"/>
              </w:rPr>
            </w:pPr>
          </w:p>
        </w:tc>
        <w:tc>
          <w:tcPr>
            <w:tcW w:w="1736" w:type="dxa"/>
            <w:shd w:val="clear" w:color="auto" w:fill="auto"/>
            <w:vAlign w:val="center"/>
          </w:tcPr>
          <w:p>
            <w:pPr>
              <w:widowControl/>
              <w:spacing w:line="360" w:lineRule="auto"/>
              <w:rPr>
                <w:color w:val="auto"/>
                <w:highlight w:val="none"/>
              </w:rPr>
            </w:pPr>
            <w:r>
              <w:rPr>
                <w:color w:val="auto"/>
                <w:kern w:val="0"/>
                <w:highlight w:val="none"/>
              </w:rPr>
              <w:t>确保工期的技术组织措施（</w:t>
            </w:r>
            <w:r>
              <w:rPr>
                <w:rFonts w:hint="eastAsia"/>
                <w:color w:val="auto"/>
                <w:kern w:val="0"/>
                <w:highlight w:val="none"/>
              </w:rPr>
              <w:t>5</w:t>
            </w:r>
            <w:r>
              <w:rPr>
                <w:color w:val="auto"/>
                <w:kern w:val="0"/>
                <w:highlight w:val="none"/>
              </w:rPr>
              <w:t>分）</w:t>
            </w:r>
          </w:p>
        </w:tc>
        <w:tc>
          <w:tcPr>
            <w:tcW w:w="5171" w:type="dxa"/>
            <w:shd w:val="clear" w:color="auto" w:fill="auto"/>
            <w:vAlign w:val="center"/>
          </w:tcPr>
          <w:p>
            <w:pPr>
              <w:widowControl/>
              <w:spacing w:line="400" w:lineRule="exact"/>
              <w:rPr>
                <w:rFonts w:ascii="Calibri" w:hAnsi="Calibri"/>
                <w:color w:val="auto"/>
                <w:szCs w:val="22"/>
                <w:highlight w:val="none"/>
              </w:rPr>
            </w:pPr>
            <w:r>
              <w:rPr>
                <w:rFonts w:ascii="Calibri" w:hAnsi="Calibri"/>
                <w:color w:val="auto"/>
                <w:szCs w:val="22"/>
                <w:highlight w:val="none"/>
              </w:rPr>
              <w:t xml:space="preserve">优（5分）：在施工工艺、施工方法、材料选用、劳动力安排、技术等方面有保证工期的具体措施且措施得当。有控制工期的施工进度计划。有施工总进度表或施工网络图，各项计划图表编制完善，安排科学合理，完全符合本项目施工实际要求。 </w:t>
            </w:r>
          </w:p>
          <w:p>
            <w:pPr>
              <w:widowControl/>
              <w:spacing w:line="400" w:lineRule="exact"/>
              <w:rPr>
                <w:rFonts w:ascii="Calibri" w:hAnsi="Calibri"/>
                <w:color w:val="auto"/>
                <w:szCs w:val="22"/>
                <w:highlight w:val="none"/>
              </w:rPr>
            </w:pPr>
            <w:r>
              <w:rPr>
                <w:rFonts w:ascii="Calibri" w:hAnsi="Calibri"/>
                <w:color w:val="auto"/>
                <w:szCs w:val="22"/>
                <w:highlight w:val="none"/>
              </w:rPr>
              <w:t xml:space="preserve">良（4分）：在施工工艺、施工方法、材料选用、劳动力安排、技术等方面有保证工期的措施但措施一般。有控制工期的施工进度计划。有施工总进度表或施工网络图，各项计划图表编制一般，安排合理，符合本项目施工实际要求。 </w:t>
            </w:r>
          </w:p>
          <w:p>
            <w:pPr>
              <w:widowControl/>
              <w:spacing w:line="400" w:lineRule="exact"/>
              <w:rPr>
                <w:rFonts w:ascii="Calibri" w:hAnsi="Calibri"/>
                <w:color w:val="auto"/>
                <w:szCs w:val="22"/>
                <w:highlight w:val="none"/>
              </w:rPr>
            </w:pPr>
            <w:r>
              <w:rPr>
                <w:rFonts w:ascii="Calibri" w:hAnsi="Calibri"/>
                <w:color w:val="auto"/>
                <w:szCs w:val="22"/>
                <w:highlight w:val="none"/>
              </w:rPr>
              <w:t xml:space="preserve">中（3分）：在施工工艺、施工方法、材料选用、劳动力安排、技术等方面有保证工期的措施但措施一般。有控制工期的施工进度计划。有施工总进度表或施工网络图，各项计划图表编制一般，安排基本合理，基本符合本项目施工实际要求。 </w:t>
            </w:r>
          </w:p>
          <w:p>
            <w:pPr>
              <w:widowControl/>
              <w:spacing w:line="400" w:lineRule="exact"/>
              <w:rPr>
                <w:color w:val="auto"/>
                <w:highlight w:val="none"/>
              </w:rPr>
            </w:pPr>
            <w:r>
              <w:rPr>
                <w:rFonts w:ascii="Calibri" w:hAnsi="Calibri"/>
                <w:color w:val="auto"/>
                <w:szCs w:val="22"/>
                <w:highlight w:val="none"/>
              </w:rPr>
              <w:t>差（1分）：在施工工艺、施工方法、材料选用、劳动力安排、技术等方面有保证工期的措施但措施一般。无控制工期的施工进度计划。无施工总进度表或施工网络图，不符合本项目施工实际要求</w:t>
            </w:r>
            <w:r>
              <w:rPr>
                <w:color w:val="auto"/>
                <w:kern w:val="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trPr>
        <w:tc>
          <w:tcPr>
            <w:tcW w:w="932" w:type="dxa"/>
            <w:gridSpan w:val="2"/>
            <w:vMerge w:val="continue"/>
            <w:shd w:val="clear" w:color="auto" w:fill="auto"/>
            <w:vAlign w:val="center"/>
          </w:tcPr>
          <w:p>
            <w:pPr>
              <w:spacing w:line="360" w:lineRule="auto"/>
              <w:jc w:val="center"/>
              <w:rPr>
                <w:color w:val="auto"/>
                <w:highlight w:val="none"/>
              </w:rPr>
            </w:pPr>
          </w:p>
        </w:tc>
        <w:tc>
          <w:tcPr>
            <w:tcW w:w="1564" w:type="dxa"/>
            <w:gridSpan w:val="2"/>
            <w:vMerge w:val="continue"/>
            <w:shd w:val="clear" w:color="auto" w:fill="auto"/>
            <w:vAlign w:val="center"/>
          </w:tcPr>
          <w:p>
            <w:pPr>
              <w:spacing w:line="360" w:lineRule="auto"/>
              <w:jc w:val="center"/>
              <w:rPr>
                <w:color w:val="auto"/>
                <w:highlight w:val="none"/>
              </w:rPr>
            </w:pPr>
          </w:p>
        </w:tc>
        <w:tc>
          <w:tcPr>
            <w:tcW w:w="728" w:type="dxa"/>
            <w:vMerge w:val="continue"/>
            <w:shd w:val="clear" w:color="auto" w:fill="auto"/>
            <w:vAlign w:val="center"/>
          </w:tcPr>
          <w:p>
            <w:pPr>
              <w:spacing w:line="360" w:lineRule="auto"/>
              <w:jc w:val="center"/>
              <w:rPr>
                <w:color w:val="auto"/>
                <w:highlight w:val="none"/>
              </w:rPr>
            </w:pPr>
          </w:p>
        </w:tc>
        <w:tc>
          <w:tcPr>
            <w:tcW w:w="1736" w:type="dxa"/>
            <w:shd w:val="clear" w:color="auto" w:fill="auto"/>
            <w:vAlign w:val="center"/>
          </w:tcPr>
          <w:p>
            <w:pPr>
              <w:widowControl/>
              <w:spacing w:line="360" w:lineRule="auto"/>
              <w:rPr>
                <w:color w:val="auto"/>
                <w:highlight w:val="none"/>
              </w:rPr>
            </w:pPr>
            <w:r>
              <w:rPr>
                <w:color w:val="auto"/>
                <w:kern w:val="0"/>
                <w:highlight w:val="none"/>
              </w:rPr>
              <w:t>确保文明施工的技术组织措施（</w:t>
            </w:r>
            <w:r>
              <w:rPr>
                <w:rFonts w:hint="eastAsia"/>
                <w:color w:val="auto"/>
                <w:kern w:val="0"/>
                <w:highlight w:val="none"/>
              </w:rPr>
              <w:t>5</w:t>
            </w:r>
            <w:r>
              <w:rPr>
                <w:color w:val="auto"/>
                <w:kern w:val="0"/>
                <w:highlight w:val="none"/>
              </w:rPr>
              <w:t>分）</w:t>
            </w:r>
          </w:p>
        </w:tc>
        <w:tc>
          <w:tcPr>
            <w:tcW w:w="5171" w:type="dxa"/>
            <w:shd w:val="clear" w:color="auto" w:fill="auto"/>
          </w:tcPr>
          <w:p>
            <w:pPr>
              <w:widowControl/>
              <w:spacing w:line="400" w:lineRule="exact"/>
              <w:rPr>
                <w:rFonts w:ascii="Calibri" w:hAnsi="Calibri"/>
                <w:color w:val="auto"/>
                <w:szCs w:val="22"/>
                <w:highlight w:val="none"/>
              </w:rPr>
            </w:pPr>
            <w:r>
              <w:rPr>
                <w:rFonts w:ascii="Calibri" w:hAnsi="Calibri"/>
                <w:color w:val="auto"/>
                <w:szCs w:val="22"/>
                <w:highlight w:val="none"/>
              </w:rPr>
              <w:t xml:space="preserve">优（5分）：针对本工程项目特点，有现场文明施工、环境保护措施，且措施内容达到《建筑施工安全生产检查标准》（JGJ59-2011）合格标准并完全符合《广西壮族自治区建筑工程文明施工导则》要求。各项措施周全、具体、有效。有具体实现现场文明施工目标的承诺。 </w:t>
            </w:r>
          </w:p>
          <w:p>
            <w:pPr>
              <w:widowControl/>
              <w:spacing w:line="400" w:lineRule="exact"/>
              <w:rPr>
                <w:rFonts w:ascii="Calibri" w:hAnsi="Calibri"/>
                <w:color w:val="auto"/>
                <w:szCs w:val="22"/>
                <w:highlight w:val="none"/>
              </w:rPr>
            </w:pPr>
            <w:r>
              <w:rPr>
                <w:rFonts w:ascii="Calibri" w:hAnsi="Calibri"/>
                <w:color w:val="auto"/>
                <w:szCs w:val="22"/>
                <w:highlight w:val="none"/>
              </w:rPr>
              <w:t xml:space="preserve">良（4分）：针对本工程项目特点，有现场文明施工、环境保护措施，且措施内容达到《建筑施工安全生产检查标准》（JGJ59-2011）合格标准并符合《广西壮族自治区建筑工程文明施工导则》要求。各项措施具体、有效。有具体实现现场文明施工目标的承诺。 </w:t>
            </w:r>
          </w:p>
          <w:p>
            <w:pPr>
              <w:widowControl/>
              <w:spacing w:line="400" w:lineRule="exact"/>
              <w:rPr>
                <w:rFonts w:ascii="Calibri" w:hAnsi="Calibri"/>
                <w:color w:val="auto"/>
                <w:szCs w:val="22"/>
                <w:highlight w:val="none"/>
              </w:rPr>
            </w:pPr>
            <w:r>
              <w:rPr>
                <w:rFonts w:ascii="Calibri" w:hAnsi="Calibri"/>
                <w:color w:val="auto"/>
                <w:szCs w:val="22"/>
                <w:highlight w:val="none"/>
              </w:rPr>
              <w:t xml:space="preserve">中（3分）：针对本工程项目特点，有现场文明施工、环境保护措施，且措施内容达到《建筑施工安全生产检查标准》（JGJ59-2011）合格标准并基本符合《广西壮族自治区建筑工程文明施工导则》要求。各项措施一般。有具体实现现场文明施工目标的承诺。 </w:t>
            </w:r>
          </w:p>
          <w:p>
            <w:pPr>
              <w:widowControl/>
              <w:spacing w:line="400" w:lineRule="exact"/>
              <w:rPr>
                <w:color w:val="auto"/>
                <w:highlight w:val="none"/>
              </w:rPr>
            </w:pPr>
            <w:r>
              <w:rPr>
                <w:rFonts w:ascii="Calibri" w:hAnsi="Calibri"/>
                <w:color w:val="auto"/>
                <w:szCs w:val="22"/>
                <w:highlight w:val="none"/>
              </w:rPr>
              <w:t>差（1分）：针对本工程项目特点，应有现场文明施工、环境保护措施，且措施内容应达到《建筑施工安全生产检查标准》（JGJ59-2011）合格标准并基本符合《广西壮族自治区建筑工程文明施工导则》要求。各项措施不合理。无具体实现现场文明施工目标的承诺</w:t>
            </w:r>
            <w:r>
              <w:rPr>
                <w:color w:val="auto"/>
                <w:kern w:val="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trPr>
        <w:tc>
          <w:tcPr>
            <w:tcW w:w="932" w:type="dxa"/>
            <w:gridSpan w:val="2"/>
            <w:vMerge w:val="continue"/>
            <w:shd w:val="clear" w:color="auto" w:fill="auto"/>
            <w:vAlign w:val="center"/>
          </w:tcPr>
          <w:p>
            <w:pPr>
              <w:spacing w:line="360" w:lineRule="auto"/>
              <w:jc w:val="center"/>
              <w:rPr>
                <w:color w:val="auto"/>
                <w:highlight w:val="none"/>
              </w:rPr>
            </w:pPr>
          </w:p>
        </w:tc>
        <w:tc>
          <w:tcPr>
            <w:tcW w:w="1564" w:type="dxa"/>
            <w:gridSpan w:val="2"/>
            <w:vMerge w:val="continue"/>
            <w:shd w:val="clear" w:color="auto" w:fill="auto"/>
            <w:vAlign w:val="center"/>
          </w:tcPr>
          <w:p>
            <w:pPr>
              <w:spacing w:line="360" w:lineRule="auto"/>
              <w:jc w:val="center"/>
              <w:rPr>
                <w:color w:val="auto"/>
                <w:highlight w:val="none"/>
              </w:rPr>
            </w:pPr>
          </w:p>
        </w:tc>
        <w:tc>
          <w:tcPr>
            <w:tcW w:w="728" w:type="dxa"/>
            <w:vMerge w:val="continue"/>
            <w:shd w:val="clear" w:color="auto" w:fill="auto"/>
            <w:vAlign w:val="center"/>
          </w:tcPr>
          <w:p>
            <w:pPr>
              <w:spacing w:line="360" w:lineRule="auto"/>
              <w:jc w:val="center"/>
              <w:rPr>
                <w:color w:val="auto"/>
                <w:highlight w:val="none"/>
              </w:rPr>
            </w:pPr>
          </w:p>
        </w:tc>
        <w:tc>
          <w:tcPr>
            <w:tcW w:w="1736" w:type="dxa"/>
            <w:shd w:val="clear" w:color="auto" w:fill="auto"/>
            <w:vAlign w:val="center"/>
          </w:tcPr>
          <w:p>
            <w:pPr>
              <w:widowControl/>
              <w:spacing w:line="360" w:lineRule="auto"/>
              <w:rPr>
                <w:color w:val="auto"/>
                <w:highlight w:val="none"/>
              </w:rPr>
            </w:pPr>
            <w:r>
              <w:rPr>
                <w:color w:val="auto"/>
                <w:kern w:val="0"/>
                <w:highlight w:val="none"/>
              </w:rPr>
              <w:t>工程施工的重点和难点及保证措施（</w:t>
            </w:r>
            <w:r>
              <w:rPr>
                <w:rFonts w:hint="eastAsia"/>
                <w:color w:val="auto"/>
                <w:kern w:val="0"/>
                <w:highlight w:val="none"/>
              </w:rPr>
              <w:t>7</w:t>
            </w:r>
            <w:r>
              <w:rPr>
                <w:color w:val="auto"/>
                <w:kern w:val="0"/>
                <w:highlight w:val="none"/>
              </w:rPr>
              <w:t>分）</w:t>
            </w:r>
          </w:p>
        </w:tc>
        <w:tc>
          <w:tcPr>
            <w:tcW w:w="5171" w:type="dxa"/>
            <w:shd w:val="clear" w:color="auto" w:fill="auto"/>
            <w:vAlign w:val="center"/>
          </w:tcPr>
          <w:p>
            <w:pPr>
              <w:widowControl/>
              <w:spacing w:line="400" w:lineRule="exact"/>
              <w:rPr>
                <w:rFonts w:ascii="Calibri" w:hAnsi="Calibri"/>
                <w:color w:val="auto"/>
                <w:szCs w:val="22"/>
                <w:highlight w:val="none"/>
              </w:rPr>
            </w:pPr>
            <w:r>
              <w:rPr>
                <w:rFonts w:ascii="Calibri" w:hAnsi="Calibri"/>
                <w:color w:val="auto"/>
                <w:szCs w:val="22"/>
                <w:highlight w:val="none"/>
              </w:rPr>
              <w:t>优（</w:t>
            </w:r>
            <w:r>
              <w:rPr>
                <w:rFonts w:hint="eastAsia" w:ascii="Calibri" w:hAnsi="Calibri"/>
                <w:color w:val="auto"/>
                <w:szCs w:val="22"/>
                <w:highlight w:val="none"/>
              </w:rPr>
              <w:t>7</w:t>
            </w:r>
            <w:r>
              <w:rPr>
                <w:rFonts w:ascii="Calibri" w:hAnsi="Calibri"/>
                <w:color w:val="auto"/>
                <w:szCs w:val="22"/>
                <w:highlight w:val="none"/>
              </w:rPr>
              <w:t xml:space="preserve">分）：针对本工程的特点，阐述本工程的重点和难点，解决重点和难点问题的方法科学合理。 </w:t>
            </w:r>
          </w:p>
          <w:p>
            <w:pPr>
              <w:widowControl/>
              <w:spacing w:line="400" w:lineRule="exact"/>
              <w:rPr>
                <w:rFonts w:ascii="Calibri" w:hAnsi="Calibri"/>
                <w:color w:val="auto"/>
                <w:szCs w:val="22"/>
                <w:highlight w:val="none"/>
              </w:rPr>
            </w:pPr>
            <w:r>
              <w:rPr>
                <w:rFonts w:ascii="Calibri" w:hAnsi="Calibri"/>
                <w:color w:val="auto"/>
                <w:szCs w:val="22"/>
                <w:highlight w:val="none"/>
              </w:rPr>
              <w:t>良（</w:t>
            </w:r>
            <w:r>
              <w:rPr>
                <w:rFonts w:hint="eastAsia"/>
                <w:color w:val="auto"/>
                <w:szCs w:val="22"/>
                <w:highlight w:val="none"/>
              </w:rPr>
              <w:t>5</w:t>
            </w:r>
            <w:r>
              <w:rPr>
                <w:rFonts w:ascii="Calibri" w:hAnsi="Calibri"/>
                <w:color w:val="auto"/>
                <w:szCs w:val="22"/>
                <w:highlight w:val="none"/>
              </w:rPr>
              <w:t xml:space="preserve">分）：针对本工程的特点，阐述本工程的重点和难点，解决重点和难点问题的方法基本合理。 </w:t>
            </w:r>
          </w:p>
          <w:p>
            <w:pPr>
              <w:widowControl/>
              <w:spacing w:line="400" w:lineRule="exact"/>
              <w:rPr>
                <w:rFonts w:ascii="Calibri" w:hAnsi="Calibri"/>
                <w:color w:val="auto"/>
                <w:szCs w:val="22"/>
                <w:highlight w:val="none"/>
              </w:rPr>
            </w:pPr>
            <w:r>
              <w:rPr>
                <w:rFonts w:ascii="Calibri" w:hAnsi="Calibri"/>
                <w:color w:val="auto"/>
                <w:szCs w:val="22"/>
                <w:highlight w:val="none"/>
              </w:rPr>
              <w:t>中（</w:t>
            </w:r>
            <w:r>
              <w:rPr>
                <w:rFonts w:hint="eastAsia"/>
                <w:color w:val="auto"/>
                <w:szCs w:val="22"/>
                <w:highlight w:val="none"/>
              </w:rPr>
              <w:t>3</w:t>
            </w:r>
            <w:r>
              <w:rPr>
                <w:rFonts w:ascii="Calibri" w:hAnsi="Calibri"/>
                <w:color w:val="auto"/>
                <w:szCs w:val="22"/>
                <w:highlight w:val="none"/>
              </w:rPr>
              <w:t xml:space="preserve">分）：针对本工程的特点，本工程的重点和难点阐述一般，解决重点和难点问题的方法一般。 </w:t>
            </w:r>
          </w:p>
          <w:p>
            <w:pPr>
              <w:widowControl/>
              <w:spacing w:line="400" w:lineRule="exact"/>
              <w:rPr>
                <w:color w:val="auto"/>
                <w:highlight w:val="none"/>
              </w:rPr>
            </w:pPr>
            <w:r>
              <w:rPr>
                <w:rFonts w:ascii="Calibri" w:hAnsi="Calibri"/>
                <w:color w:val="auto"/>
                <w:szCs w:val="22"/>
                <w:highlight w:val="none"/>
              </w:rPr>
              <w:t>差（1分）：针对本工程的特点，阐述本工程的重点和难点，解决重点和难点问题的方法不合理</w:t>
            </w:r>
            <w:r>
              <w:rPr>
                <w:color w:val="auto"/>
                <w:kern w:val="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5" w:hRule="atLeast"/>
        </w:trPr>
        <w:tc>
          <w:tcPr>
            <w:tcW w:w="932" w:type="dxa"/>
            <w:gridSpan w:val="2"/>
            <w:vMerge w:val="continue"/>
            <w:shd w:val="clear" w:color="auto" w:fill="auto"/>
            <w:vAlign w:val="center"/>
          </w:tcPr>
          <w:p>
            <w:pPr>
              <w:spacing w:line="360" w:lineRule="auto"/>
              <w:jc w:val="center"/>
              <w:rPr>
                <w:color w:val="auto"/>
                <w:highlight w:val="none"/>
              </w:rPr>
            </w:pPr>
          </w:p>
        </w:tc>
        <w:tc>
          <w:tcPr>
            <w:tcW w:w="1564" w:type="dxa"/>
            <w:gridSpan w:val="2"/>
            <w:vMerge w:val="continue"/>
            <w:shd w:val="clear" w:color="auto" w:fill="auto"/>
            <w:vAlign w:val="center"/>
          </w:tcPr>
          <w:p>
            <w:pPr>
              <w:spacing w:line="360" w:lineRule="auto"/>
              <w:jc w:val="center"/>
              <w:rPr>
                <w:color w:val="auto"/>
                <w:highlight w:val="none"/>
              </w:rPr>
            </w:pPr>
          </w:p>
        </w:tc>
        <w:tc>
          <w:tcPr>
            <w:tcW w:w="728" w:type="dxa"/>
            <w:vMerge w:val="continue"/>
            <w:shd w:val="clear" w:color="auto" w:fill="auto"/>
            <w:vAlign w:val="center"/>
          </w:tcPr>
          <w:p>
            <w:pPr>
              <w:spacing w:line="360" w:lineRule="auto"/>
              <w:jc w:val="center"/>
              <w:rPr>
                <w:color w:val="auto"/>
                <w:highlight w:val="none"/>
              </w:rPr>
            </w:pPr>
          </w:p>
        </w:tc>
        <w:tc>
          <w:tcPr>
            <w:tcW w:w="1736" w:type="dxa"/>
            <w:shd w:val="clear" w:color="auto" w:fill="auto"/>
            <w:vAlign w:val="center"/>
          </w:tcPr>
          <w:p>
            <w:pPr>
              <w:widowControl/>
              <w:spacing w:line="360" w:lineRule="auto"/>
              <w:rPr>
                <w:color w:val="auto"/>
                <w:highlight w:val="none"/>
              </w:rPr>
            </w:pPr>
            <w:r>
              <w:rPr>
                <w:color w:val="auto"/>
                <w:kern w:val="0"/>
                <w:highlight w:val="none"/>
              </w:rPr>
              <w:t>施工总平面布置图（</w:t>
            </w:r>
            <w:r>
              <w:rPr>
                <w:rFonts w:hint="eastAsia"/>
                <w:color w:val="auto"/>
                <w:kern w:val="0"/>
                <w:highlight w:val="none"/>
              </w:rPr>
              <w:t>8</w:t>
            </w:r>
            <w:r>
              <w:rPr>
                <w:color w:val="auto"/>
                <w:kern w:val="0"/>
                <w:highlight w:val="none"/>
              </w:rPr>
              <w:t>分）</w:t>
            </w:r>
          </w:p>
        </w:tc>
        <w:tc>
          <w:tcPr>
            <w:tcW w:w="5171" w:type="dxa"/>
            <w:shd w:val="clear" w:color="auto" w:fill="auto"/>
            <w:vAlign w:val="center"/>
          </w:tcPr>
          <w:p>
            <w:pPr>
              <w:widowControl/>
              <w:spacing w:line="400" w:lineRule="exact"/>
              <w:rPr>
                <w:rFonts w:ascii="Calibri" w:hAnsi="Calibri"/>
                <w:color w:val="auto"/>
                <w:szCs w:val="22"/>
                <w:highlight w:val="none"/>
              </w:rPr>
            </w:pPr>
            <w:r>
              <w:rPr>
                <w:rFonts w:ascii="Calibri" w:hAnsi="Calibri"/>
                <w:color w:val="auto"/>
                <w:szCs w:val="22"/>
                <w:highlight w:val="none"/>
              </w:rPr>
              <w:t>优（</w:t>
            </w:r>
            <w:r>
              <w:rPr>
                <w:rFonts w:hint="eastAsia" w:ascii="Calibri" w:hAnsi="Calibri"/>
                <w:color w:val="auto"/>
                <w:szCs w:val="22"/>
                <w:highlight w:val="none"/>
              </w:rPr>
              <w:t>8</w:t>
            </w:r>
            <w:r>
              <w:rPr>
                <w:rFonts w:ascii="Calibri" w:hAnsi="Calibri"/>
                <w:color w:val="auto"/>
                <w:szCs w:val="22"/>
                <w:highlight w:val="none"/>
              </w:rPr>
              <w:t xml:space="preserve">分）:有施工总平面布置图，安排科学合理，符合本项目施工实际要求。 </w:t>
            </w:r>
          </w:p>
          <w:p>
            <w:pPr>
              <w:widowControl/>
              <w:spacing w:line="400" w:lineRule="exact"/>
              <w:rPr>
                <w:rFonts w:ascii="Calibri" w:hAnsi="Calibri"/>
                <w:color w:val="auto"/>
                <w:szCs w:val="22"/>
                <w:highlight w:val="none"/>
              </w:rPr>
            </w:pPr>
            <w:r>
              <w:rPr>
                <w:rFonts w:ascii="Calibri" w:hAnsi="Calibri"/>
                <w:color w:val="auto"/>
                <w:szCs w:val="22"/>
                <w:highlight w:val="none"/>
              </w:rPr>
              <w:t>良（</w:t>
            </w:r>
            <w:r>
              <w:rPr>
                <w:rFonts w:hint="eastAsia"/>
                <w:color w:val="auto"/>
                <w:szCs w:val="22"/>
                <w:highlight w:val="none"/>
              </w:rPr>
              <w:t>6</w:t>
            </w:r>
            <w:r>
              <w:rPr>
                <w:rFonts w:ascii="Calibri" w:hAnsi="Calibri"/>
                <w:color w:val="auto"/>
                <w:szCs w:val="22"/>
                <w:highlight w:val="none"/>
              </w:rPr>
              <w:t xml:space="preserve">分）:有施工总平面布置图，安排基本合理，比较符合本项目施工实际要求。 </w:t>
            </w:r>
          </w:p>
          <w:p>
            <w:pPr>
              <w:widowControl/>
              <w:spacing w:line="400" w:lineRule="exact"/>
              <w:rPr>
                <w:rFonts w:ascii="Calibri" w:hAnsi="Calibri"/>
                <w:color w:val="auto"/>
                <w:szCs w:val="22"/>
                <w:highlight w:val="none"/>
              </w:rPr>
            </w:pPr>
            <w:r>
              <w:rPr>
                <w:rFonts w:ascii="Calibri" w:hAnsi="Calibri"/>
                <w:color w:val="auto"/>
                <w:szCs w:val="22"/>
                <w:highlight w:val="none"/>
              </w:rPr>
              <w:t>中（</w:t>
            </w:r>
            <w:r>
              <w:rPr>
                <w:rFonts w:hint="eastAsia"/>
                <w:color w:val="auto"/>
                <w:szCs w:val="22"/>
                <w:highlight w:val="none"/>
              </w:rPr>
              <w:t>4</w:t>
            </w:r>
            <w:r>
              <w:rPr>
                <w:rFonts w:ascii="Calibri" w:hAnsi="Calibri"/>
                <w:color w:val="auto"/>
                <w:szCs w:val="22"/>
                <w:highlight w:val="none"/>
              </w:rPr>
              <w:t>分）:有施工总平面布置图，安排不太合理，基本符合本项目施工实际要求。</w:t>
            </w:r>
          </w:p>
          <w:p>
            <w:pPr>
              <w:widowControl/>
              <w:spacing w:line="400" w:lineRule="exact"/>
              <w:rPr>
                <w:color w:val="auto"/>
                <w:highlight w:val="none"/>
              </w:rPr>
            </w:pPr>
            <w:r>
              <w:rPr>
                <w:rFonts w:ascii="Calibri" w:hAnsi="Calibri"/>
                <w:color w:val="auto"/>
                <w:szCs w:val="22"/>
                <w:highlight w:val="none"/>
              </w:rPr>
              <w:t>差（</w:t>
            </w:r>
            <w:r>
              <w:rPr>
                <w:rFonts w:hint="eastAsia" w:ascii="Calibri" w:hAnsi="Calibri"/>
                <w:color w:val="auto"/>
                <w:szCs w:val="22"/>
                <w:highlight w:val="none"/>
              </w:rPr>
              <w:t>2</w:t>
            </w:r>
            <w:r>
              <w:rPr>
                <w:rFonts w:ascii="Calibri" w:hAnsi="Calibri"/>
                <w:color w:val="auto"/>
                <w:szCs w:val="22"/>
                <w:highlight w:val="none"/>
              </w:rPr>
              <w:t>分）:无施工总平面布置图，安排不合理，不符合本项目施工实际要求</w:t>
            </w:r>
            <w:r>
              <w:rPr>
                <w:color w:val="auto"/>
                <w:kern w:val="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32" w:type="dxa"/>
            <w:gridSpan w:val="2"/>
            <w:shd w:val="clear" w:color="auto" w:fill="auto"/>
            <w:vAlign w:val="center"/>
          </w:tcPr>
          <w:p>
            <w:pPr>
              <w:spacing w:line="360" w:lineRule="auto"/>
              <w:jc w:val="center"/>
              <w:rPr>
                <w:color w:val="auto"/>
                <w:highlight w:val="none"/>
              </w:rPr>
            </w:pPr>
            <w:r>
              <w:rPr>
                <w:color w:val="auto"/>
                <w:highlight w:val="none"/>
              </w:rPr>
              <w:t>2.2.2</w:t>
            </w:r>
          </w:p>
          <w:p>
            <w:pPr>
              <w:spacing w:line="360" w:lineRule="auto"/>
              <w:jc w:val="center"/>
              <w:rPr>
                <w:color w:val="auto"/>
                <w:highlight w:val="none"/>
              </w:rPr>
            </w:pPr>
            <w:r>
              <w:rPr>
                <w:color w:val="auto"/>
                <w:highlight w:val="none"/>
              </w:rPr>
              <w:t>（2）</w:t>
            </w:r>
          </w:p>
        </w:tc>
        <w:tc>
          <w:tcPr>
            <w:tcW w:w="1564" w:type="dxa"/>
            <w:gridSpan w:val="2"/>
            <w:shd w:val="clear" w:color="auto" w:fill="auto"/>
            <w:vAlign w:val="center"/>
          </w:tcPr>
          <w:p>
            <w:pPr>
              <w:spacing w:line="360" w:lineRule="auto"/>
              <w:jc w:val="center"/>
              <w:rPr>
                <w:color w:val="auto"/>
                <w:highlight w:val="none"/>
              </w:rPr>
            </w:pPr>
            <w:r>
              <w:rPr>
                <w:color w:val="auto"/>
                <w:highlight w:val="none"/>
              </w:rPr>
              <w:t>评标基准价计算</w:t>
            </w:r>
          </w:p>
        </w:tc>
        <w:tc>
          <w:tcPr>
            <w:tcW w:w="7635" w:type="dxa"/>
            <w:gridSpan w:val="3"/>
            <w:shd w:val="clear" w:color="auto" w:fill="auto"/>
          </w:tcPr>
          <w:p>
            <w:pPr>
              <w:spacing w:line="360" w:lineRule="auto"/>
              <w:rPr>
                <w:rFonts w:cs="宋体"/>
                <w:color w:val="auto"/>
                <w:highlight w:val="none"/>
              </w:rPr>
            </w:pPr>
            <w:r>
              <w:rPr>
                <w:rFonts w:hint="eastAsia" w:cs="宋体"/>
                <w:b/>
                <w:color w:val="auto"/>
                <w:highlight w:val="none"/>
              </w:rPr>
              <w:t>评标基准价的确定方法</w:t>
            </w:r>
          </w:p>
          <w:p>
            <w:pPr>
              <w:spacing w:line="360" w:lineRule="auto"/>
              <w:rPr>
                <w:rFonts w:ascii="宋体" w:hAnsi="宋体" w:cs="宋体"/>
                <w:color w:val="auto"/>
                <w:highlight w:val="none"/>
              </w:rPr>
            </w:pPr>
            <w:r>
              <w:rPr>
                <w:rFonts w:ascii="宋体" w:hAnsi="宋体" w:cs="宋体"/>
                <w:color w:val="auto"/>
                <w:highlight w:val="none"/>
              </w:rPr>
              <w:t>（1）有效报价范围：为投标总价低于或等于招标控制价，通过资格评审、形式评审、响应性评审且技术标评审合格，经评标委员会审定不存在严重不平衡、不合理、不低于其企业成本的投标人投标总价。</w:t>
            </w:r>
          </w:p>
          <w:p>
            <w:pPr>
              <w:spacing w:line="360" w:lineRule="auto"/>
              <w:rPr>
                <w:rFonts w:ascii="宋体" w:hAnsi="宋体" w:cs="宋体"/>
                <w:color w:val="auto"/>
                <w:highlight w:val="none"/>
              </w:rPr>
            </w:pPr>
            <w:r>
              <w:rPr>
                <w:rFonts w:ascii="宋体" w:hAnsi="宋体" w:cs="宋体"/>
                <w:color w:val="auto"/>
                <w:highlight w:val="none"/>
              </w:rPr>
              <w:t>（2）将有效报价范围内的投标人，按其投标报价由低到高的顺序依次排出名次。</w:t>
            </w:r>
          </w:p>
          <w:p>
            <w:pPr>
              <w:spacing w:line="360" w:lineRule="auto"/>
              <w:rPr>
                <w:rFonts w:cs="宋体"/>
                <w:color w:val="auto"/>
                <w:highlight w:val="none"/>
              </w:rPr>
            </w:pPr>
            <w:r>
              <w:rPr>
                <w:rFonts w:ascii="宋体" w:hAnsi="宋体" w:cs="宋体"/>
                <w:color w:val="auto"/>
                <w:highlight w:val="none"/>
              </w:rPr>
              <w:t>（3）有效报价的投标人在10家以上的，</w:t>
            </w:r>
            <w:r>
              <w:rPr>
                <w:rFonts w:ascii="宋体" w:hAnsi="宋体" w:cs="宋体"/>
                <w:bCs/>
                <w:color w:val="auto"/>
                <w:highlight w:val="none"/>
              </w:rPr>
              <w:t>从最高的</w:t>
            </w:r>
            <w:r>
              <w:rPr>
                <w:rFonts w:ascii="宋体" w:hAnsi="宋体" w:cs="宋体"/>
                <w:color w:val="auto"/>
                <w:highlight w:val="none"/>
              </w:rPr>
              <w:t>投标报价</w:t>
            </w:r>
            <w:r>
              <w:rPr>
                <w:rFonts w:ascii="宋体" w:hAnsi="宋体" w:cs="宋体"/>
                <w:bCs/>
                <w:color w:val="auto"/>
                <w:highlight w:val="none"/>
              </w:rPr>
              <w:t>开始</w:t>
            </w:r>
            <w:r>
              <w:rPr>
                <w:rFonts w:ascii="宋体" w:hAnsi="宋体" w:cs="宋体"/>
                <w:color w:val="auto"/>
                <w:highlight w:val="none"/>
              </w:rPr>
              <w:t>去掉n家投标报价和</w:t>
            </w:r>
            <w:r>
              <w:rPr>
                <w:rFonts w:ascii="宋体" w:hAnsi="宋体" w:cs="宋体"/>
                <w:bCs/>
                <w:color w:val="auto"/>
                <w:highlight w:val="none"/>
              </w:rPr>
              <w:t>从最低的</w:t>
            </w:r>
            <w:r>
              <w:rPr>
                <w:rFonts w:ascii="宋体" w:hAnsi="宋体" w:cs="宋体"/>
                <w:color w:val="auto"/>
                <w:highlight w:val="none"/>
              </w:rPr>
              <w:t>投标报价</w:t>
            </w:r>
            <w:r>
              <w:rPr>
                <w:rFonts w:ascii="宋体" w:hAnsi="宋体" w:cs="宋体"/>
                <w:bCs/>
                <w:color w:val="auto"/>
                <w:highlight w:val="none"/>
              </w:rPr>
              <w:t>开始去掉</w:t>
            </w:r>
            <w:r>
              <w:rPr>
                <w:rFonts w:ascii="宋体" w:hAnsi="宋体" w:cs="宋体"/>
                <w:color w:val="auto"/>
                <w:highlight w:val="none"/>
              </w:rPr>
              <w:t>n家或n-1家（有效报价范围内投标人家数为奇数时取n-1家）投标报价后（当出现两个或两个以上相同投标报价时，一并去掉），取10家（如不足10家，按实际家数计取）投标人投标报价进入评标基准价计算范围，再取其中的有效报价的算术平均值作为评标基准价；有效报价的投标人在10家（含10家）以下的，将全部有效报价的算术平均值作为评标基准价。</w:t>
            </w:r>
            <w:r>
              <w:rPr>
                <w:rFonts w:ascii="宋体" w:hAnsi="宋体" w:cs="宋体"/>
                <w:bCs/>
                <w:color w:val="auto"/>
                <w:szCs w:val="22"/>
                <w:highlight w:val="none"/>
              </w:rPr>
              <w:t>n=（有效报价范围的投标人家数－10）/2，n为四舍五入取整数。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33" w:hRule="atLeast"/>
        </w:trPr>
        <w:tc>
          <w:tcPr>
            <w:tcW w:w="932" w:type="dxa"/>
            <w:gridSpan w:val="2"/>
            <w:shd w:val="clear" w:color="auto" w:fill="auto"/>
            <w:vAlign w:val="center"/>
          </w:tcPr>
          <w:p>
            <w:pPr>
              <w:spacing w:line="360" w:lineRule="auto"/>
              <w:jc w:val="center"/>
              <w:rPr>
                <w:color w:val="auto"/>
                <w:highlight w:val="none"/>
              </w:rPr>
            </w:pPr>
            <w:r>
              <w:rPr>
                <w:color w:val="auto"/>
                <w:highlight w:val="none"/>
              </w:rPr>
              <w:t>2.2.2（3）</w:t>
            </w:r>
          </w:p>
        </w:tc>
        <w:tc>
          <w:tcPr>
            <w:tcW w:w="1564" w:type="dxa"/>
            <w:gridSpan w:val="2"/>
            <w:shd w:val="clear" w:color="auto" w:fill="auto"/>
            <w:vAlign w:val="center"/>
          </w:tcPr>
          <w:p>
            <w:pPr>
              <w:spacing w:line="360" w:lineRule="auto"/>
              <w:jc w:val="center"/>
              <w:rPr>
                <w:color w:val="auto"/>
                <w:highlight w:val="none"/>
              </w:rPr>
            </w:pPr>
            <w:r>
              <w:rPr>
                <w:color w:val="auto"/>
                <w:highlight w:val="none"/>
              </w:rPr>
              <w:t>商务标</w:t>
            </w:r>
          </w:p>
          <w:p>
            <w:pPr>
              <w:spacing w:line="360" w:lineRule="auto"/>
              <w:jc w:val="center"/>
              <w:rPr>
                <w:color w:val="auto"/>
                <w:highlight w:val="none"/>
              </w:rPr>
            </w:pPr>
            <w:r>
              <w:rPr>
                <w:color w:val="auto"/>
                <w:highlight w:val="none"/>
              </w:rPr>
              <w:t>评分标准</w:t>
            </w:r>
          </w:p>
          <w:p>
            <w:pPr>
              <w:spacing w:line="360" w:lineRule="auto"/>
              <w:jc w:val="center"/>
              <w:rPr>
                <w:color w:val="auto"/>
                <w:highlight w:val="none"/>
              </w:rPr>
            </w:pPr>
            <w:r>
              <w:rPr>
                <w:color w:val="auto"/>
                <w:highlight w:val="none"/>
              </w:rPr>
              <w:t>（满分60分）</w:t>
            </w:r>
          </w:p>
        </w:tc>
        <w:tc>
          <w:tcPr>
            <w:tcW w:w="7635" w:type="dxa"/>
            <w:gridSpan w:val="3"/>
            <w:shd w:val="clear" w:color="auto" w:fill="auto"/>
            <w:vAlign w:val="center"/>
          </w:tcPr>
          <w:p>
            <w:pPr>
              <w:spacing w:line="360" w:lineRule="auto"/>
              <w:rPr>
                <w:rFonts w:eastAsia="楷体_GB2312"/>
                <w:color w:val="auto"/>
                <w:highlight w:val="none"/>
              </w:rPr>
            </w:pPr>
            <w:r>
              <w:rPr>
                <w:rFonts w:hint="eastAsia" w:cs="宋体"/>
                <w:b/>
                <w:color w:val="auto"/>
                <w:highlight w:val="none"/>
              </w:rPr>
              <w:t>1、商务标评分标准</w:t>
            </w:r>
          </w:p>
          <w:p>
            <w:pPr>
              <w:spacing w:line="360" w:lineRule="auto"/>
              <w:ind w:firstLine="420" w:firstLineChars="200"/>
              <w:rPr>
                <w:b/>
                <w:color w:val="auto"/>
                <w:highlight w:val="none"/>
              </w:rPr>
            </w:pPr>
            <w:r>
              <w:rPr>
                <w:color w:val="auto"/>
                <w:highlight w:val="none"/>
              </w:rPr>
              <w:sym w:font="Wingdings 2" w:char="F052"/>
            </w:r>
            <w:r>
              <w:rPr>
                <w:rFonts w:hint="eastAsia" w:cs="宋体"/>
                <w:b/>
                <w:color w:val="auto"/>
                <w:highlight w:val="none"/>
              </w:rPr>
              <w:t>方法一：</w:t>
            </w:r>
          </w:p>
          <w:p>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）以</w:t>
            </w:r>
            <w:r>
              <w:rPr>
                <w:rFonts w:hint="eastAsia"/>
                <w:color w:val="auto"/>
                <w:highlight w:val="none"/>
              </w:rPr>
              <w:t>等于评标基准价的投标报价</w:t>
            </w:r>
            <w:r>
              <w:rPr>
                <w:rFonts w:hint="eastAsia" w:cs="宋体"/>
                <w:color w:val="auto"/>
                <w:highlight w:val="none"/>
              </w:rPr>
              <w:t>为满分</w:t>
            </w:r>
            <w:r>
              <w:rPr>
                <w:rFonts w:cs="宋体"/>
                <w:color w:val="auto"/>
                <w:highlight w:val="none"/>
              </w:rPr>
              <w:t>100</w:t>
            </w:r>
            <w:r>
              <w:rPr>
                <w:rFonts w:hint="eastAsia" w:cs="宋体"/>
                <w:color w:val="auto"/>
                <w:highlight w:val="none"/>
              </w:rPr>
              <w:t>分，采用内插法计算，投标人投标总价每高于评标基准价</w:t>
            </w:r>
            <w:r>
              <w:rPr>
                <w:color w:val="auto"/>
                <w:highlight w:val="none"/>
              </w:rPr>
              <w:t>1</w:t>
            </w:r>
            <w:r>
              <w:rPr>
                <w:rFonts w:hint="eastAsia" w:cs="宋体"/>
                <w:color w:val="auto"/>
                <w:highlight w:val="none"/>
              </w:rPr>
              <w:t>％的扣</w:t>
            </w:r>
            <w:r>
              <w:rPr>
                <w:color w:val="auto"/>
                <w:highlight w:val="none"/>
              </w:rPr>
              <w:t>1.5</w:t>
            </w:r>
            <w:r>
              <w:rPr>
                <w:rFonts w:hint="eastAsia" w:cs="宋体"/>
                <w:color w:val="auto"/>
                <w:highlight w:val="none"/>
              </w:rPr>
              <w:t>分，每低于评标基准价</w:t>
            </w:r>
            <w:r>
              <w:rPr>
                <w:color w:val="auto"/>
                <w:highlight w:val="none"/>
              </w:rPr>
              <w:t>1</w:t>
            </w:r>
            <w:r>
              <w:rPr>
                <w:rFonts w:hint="eastAsia" w:cs="宋体"/>
                <w:color w:val="auto"/>
                <w:highlight w:val="none"/>
              </w:rPr>
              <w:t>％的扣</w:t>
            </w:r>
            <w:r>
              <w:rPr>
                <w:color w:val="auto"/>
                <w:highlight w:val="none"/>
              </w:rPr>
              <w:t>1</w:t>
            </w:r>
            <w:r>
              <w:rPr>
                <w:rFonts w:hint="eastAsia" w:cs="宋体"/>
                <w:color w:val="auto"/>
                <w:highlight w:val="none"/>
              </w:rPr>
              <w:t>分，计算出投标人的投标总价得分。</w:t>
            </w:r>
          </w:p>
          <w:p>
            <w:pPr>
              <w:spacing w:line="360" w:lineRule="auto"/>
              <w:ind w:firstLine="420" w:firstLineChars="200"/>
              <w:rPr>
                <w:rFonts w:cs="宋体"/>
                <w:color w:val="auto"/>
                <w:highlight w:val="none"/>
              </w:rPr>
            </w:pPr>
            <w:r>
              <w:rPr>
                <w:rFonts w:hint="eastAsia" w:cs="宋体"/>
                <w:color w:val="auto"/>
                <w:highlight w:val="none"/>
              </w:rPr>
              <w:t>（</w:t>
            </w:r>
            <w:r>
              <w:rPr>
                <w:color w:val="auto"/>
                <w:highlight w:val="none"/>
              </w:rPr>
              <w:t>2</w:t>
            </w:r>
            <w:r>
              <w:rPr>
                <w:rFonts w:hint="eastAsia" w:cs="宋体"/>
                <w:color w:val="auto"/>
                <w:highlight w:val="none"/>
              </w:rPr>
              <w:t>）报价分加权得分</w:t>
            </w:r>
            <w:r>
              <w:rPr>
                <w:color w:val="auto"/>
                <w:highlight w:val="none"/>
              </w:rPr>
              <w:t>=</w:t>
            </w:r>
            <w:r>
              <w:rPr>
                <w:rFonts w:hint="eastAsia" w:cs="宋体"/>
                <w:color w:val="auto"/>
                <w:highlight w:val="none"/>
              </w:rPr>
              <w:t>该投标人的投标总价得分（</w:t>
            </w:r>
            <w:r>
              <w:rPr>
                <w:rFonts w:cs="宋体"/>
                <w:color w:val="auto"/>
                <w:highlight w:val="none"/>
              </w:rPr>
              <w:t>100</w:t>
            </w:r>
            <w:r>
              <w:rPr>
                <w:rFonts w:hint="eastAsia" w:cs="宋体"/>
                <w:color w:val="auto"/>
                <w:highlight w:val="none"/>
              </w:rPr>
              <w:t>分）×</w:t>
            </w:r>
            <w:r>
              <w:rPr>
                <w:rFonts w:hint="eastAsia" w:ascii="宋体" w:hAnsi="宋体" w:cs="宋体"/>
                <w:color w:val="auto"/>
                <w:highlight w:val="none"/>
              </w:rPr>
              <w:t>报价分分值权重</w:t>
            </w:r>
            <w:r>
              <w:rPr>
                <w:rFonts w:ascii="宋体" w:hAnsi="宋体" w:cs="宋体"/>
                <w:color w:val="auto"/>
                <w:highlight w:val="none"/>
              </w:rPr>
              <w:t>6</w:t>
            </w:r>
            <w:r>
              <w:rPr>
                <w:rFonts w:hint="eastAsia" w:ascii="宋体" w:hAnsi="宋体" w:cs="宋体"/>
                <w:color w:val="auto"/>
                <w:highlight w:val="none"/>
              </w:rPr>
              <w:t>0%</w:t>
            </w:r>
            <w:r>
              <w:rPr>
                <w:rFonts w:hint="eastAsia" w:cs="宋体"/>
                <w:color w:val="auto"/>
                <w:highlight w:val="none"/>
              </w:rPr>
              <w:t>。</w:t>
            </w:r>
          </w:p>
          <w:p>
            <w:pPr>
              <w:spacing w:line="360" w:lineRule="auto"/>
              <w:rPr>
                <w:rFonts w:cs="宋体"/>
                <w:b/>
                <w:color w:val="auto"/>
                <w:highlight w:val="none"/>
              </w:rPr>
            </w:pPr>
            <w:r>
              <w:rPr>
                <w:b/>
                <w:color w:val="auto"/>
                <w:highlight w:val="none"/>
              </w:rPr>
              <w:t>2</w:t>
            </w:r>
            <w:r>
              <w:rPr>
                <w:rFonts w:hint="eastAsia" w:cs="宋体"/>
                <w:b/>
                <w:color w:val="auto"/>
                <w:highlight w:val="none"/>
              </w:rPr>
              <w:t>、价格评审优惠措施</w:t>
            </w:r>
          </w:p>
          <w:p>
            <w:pPr>
              <w:spacing w:line="360" w:lineRule="auto"/>
              <w:ind w:firstLine="420" w:firstLineChars="200"/>
              <w:rPr>
                <w:rFonts w:cs="宋体"/>
                <w:color w:val="auto"/>
                <w:highlight w:val="none"/>
              </w:rPr>
            </w:pPr>
            <w:r>
              <w:rPr>
                <w:rFonts w:hint="eastAsia" w:cs="宋体"/>
                <w:color w:val="auto"/>
                <w:highlight w:val="none"/>
              </w:rPr>
              <w:t>（</w:t>
            </w:r>
            <w:r>
              <w:rPr>
                <w:rFonts w:cs="宋体"/>
                <w:color w:val="auto"/>
                <w:highlight w:val="none"/>
              </w:rPr>
              <w:t>1</w:t>
            </w:r>
            <w:r>
              <w:rPr>
                <w:rFonts w:hint="eastAsia" w:cs="宋体"/>
                <w:color w:val="auto"/>
                <w:highlight w:val="none"/>
              </w:rPr>
              <w:t>）根据《政府采购促进中小企业发展管理办法》（财库〔</w:t>
            </w:r>
            <w:r>
              <w:rPr>
                <w:rFonts w:cs="宋体"/>
                <w:color w:val="auto"/>
                <w:highlight w:val="none"/>
              </w:rPr>
              <w:t>2020</w:t>
            </w:r>
            <w:r>
              <w:rPr>
                <w:rFonts w:hint="eastAsia" w:cs="宋体"/>
                <w:color w:val="auto"/>
                <w:highlight w:val="none"/>
              </w:rPr>
              <w:t>〕</w:t>
            </w:r>
            <w:r>
              <w:rPr>
                <w:rFonts w:cs="宋体"/>
                <w:color w:val="auto"/>
                <w:highlight w:val="none"/>
              </w:rPr>
              <w:t>46</w:t>
            </w:r>
            <w:r>
              <w:rPr>
                <w:rFonts w:hint="eastAsia" w:cs="宋体"/>
                <w:color w:val="auto"/>
                <w:highlight w:val="none"/>
              </w:rPr>
              <w:t>号）的规定：</w:t>
            </w:r>
          </w:p>
          <w:p>
            <w:pPr>
              <w:spacing w:line="360" w:lineRule="auto"/>
              <w:ind w:firstLine="420" w:firstLineChars="200"/>
              <w:rPr>
                <w:rFonts w:cs="宋体"/>
                <w:color w:val="auto"/>
                <w:highlight w:val="none"/>
              </w:rPr>
            </w:pPr>
            <w:r>
              <w:rPr>
                <w:rFonts w:hint="eastAsia" w:cs="宋体"/>
                <w:color w:val="auto"/>
                <w:highlight w:val="none"/>
              </w:rPr>
              <w:t>在政府采购活动中，投标人提供的货物、工程或者服务符合下列情形的，享受本办法规定的中小企业扶持政策：（二）在工程采购项目中，工程由中小企业承建，即工</w:t>
            </w:r>
            <w:r>
              <w:rPr>
                <w:rFonts w:cs="宋体"/>
                <w:color w:val="auto"/>
                <w:highlight w:val="none"/>
              </w:rPr>
              <w:t xml:space="preserve"> </w:t>
            </w:r>
            <w:r>
              <w:rPr>
                <w:rFonts w:hint="eastAsia" w:cs="宋体"/>
                <w:color w:val="auto"/>
                <w:highlight w:val="none"/>
              </w:rPr>
              <w:t>程施工单位为中小企业。</w:t>
            </w:r>
          </w:p>
          <w:p>
            <w:pPr>
              <w:spacing w:line="360" w:lineRule="auto"/>
              <w:ind w:firstLine="420" w:firstLineChars="200"/>
              <w:rPr>
                <w:rFonts w:cs="宋体"/>
                <w:color w:val="auto"/>
                <w:highlight w:val="none"/>
              </w:rPr>
            </w:pPr>
            <w:r>
              <w:rPr>
                <w:rFonts w:hint="eastAsia" w:cs="宋体"/>
                <w:color w:val="auto"/>
                <w:highlight w:val="none"/>
              </w:rPr>
              <w:t>适用招标投标法的政府采购工程建设项目，采用综合评估法但未采用低价优先法计算价格分的，评标时应当在采用原报价进行评分的基础上增加</w:t>
            </w:r>
            <w:r>
              <w:rPr>
                <w:rFonts w:hint="eastAsia" w:cs="宋体"/>
                <w:b/>
                <w:color w:val="auto"/>
                <w:highlight w:val="none"/>
              </w:rPr>
              <w:t>小微企业</w:t>
            </w:r>
            <w:r>
              <w:rPr>
                <w:rFonts w:hint="eastAsia" w:cs="宋体"/>
                <w:color w:val="auto"/>
                <w:highlight w:val="none"/>
              </w:rPr>
              <w:t>价格得分的</w:t>
            </w:r>
            <w:r>
              <w:rPr>
                <w:rFonts w:cs="宋体"/>
                <w:color w:val="auto"/>
                <w:highlight w:val="none"/>
              </w:rPr>
              <w:t>3%</w:t>
            </w:r>
            <w:r>
              <w:rPr>
                <w:rFonts w:hint="eastAsia" w:cs="宋体"/>
                <w:color w:val="auto"/>
                <w:highlight w:val="none"/>
              </w:rPr>
              <w:t>作为其价格分。</w:t>
            </w:r>
          </w:p>
          <w:p>
            <w:pPr>
              <w:spacing w:line="360" w:lineRule="auto"/>
              <w:ind w:firstLine="420" w:firstLineChars="200"/>
              <w:rPr>
                <w:rFonts w:cs="宋体"/>
                <w:color w:val="auto"/>
                <w:highlight w:val="none"/>
              </w:rPr>
            </w:pPr>
            <w:r>
              <w:rPr>
                <w:rFonts w:hint="eastAsia" w:cs="宋体"/>
                <w:color w:val="auto"/>
                <w:highlight w:val="none"/>
              </w:rPr>
              <w:t>本项目所属行业：根据项目情况按照以下行业类型选择：</w:t>
            </w:r>
            <w:r>
              <w:rPr>
                <w:rFonts w:cs="宋体"/>
                <w:color w:val="auto"/>
                <w:highlight w:val="none"/>
              </w:rPr>
              <w:sym w:font="Wingdings 2" w:char="F0A3"/>
            </w:r>
            <w:r>
              <w:rPr>
                <w:rFonts w:hint="eastAsia" w:cs="宋体"/>
                <w:color w:val="auto"/>
                <w:highlight w:val="none"/>
              </w:rPr>
              <w:t>农、</w:t>
            </w:r>
            <w:r>
              <w:rPr>
                <w:rFonts w:cs="宋体"/>
                <w:color w:val="auto"/>
                <w:highlight w:val="none"/>
              </w:rPr>
              <w:sym w:font="Wingdings 2" w:char="F0A3"/>
            </w:r>
            <w:r>
              <w:rPr>
                <w:rFonts w:hint="eastAsia" w:cs="宋体"/>
                <w:color w:val="auto"/>
                <w:highlight w:val="none"/>
              </w:rPr>
              <w:t>林、</w:t>
            </w:r>
            <w:r>
              <w:rPr>
                <w:rFonts w:cs="宋体"/>
                <w:color w:val="auto"/>
                <w:highlight w:val="none"/>
              </w:rPr>
              <w:sym w:font="Wingdings 2" w:char="F0A3"/>
            </w:r>
            <w:r>
              <w:rPr>
                <w:rFonts w:hint="eastAsia" w:cs="宋体"/>
                <w:color w:val="auto"/>
                <w:highlight w:val="none"/>
              </w:rPr>
              <w:t>牧、</w:t>
            </w:r>
            <w:r>
              <w:rPr>
                <w:rFonts w:cs="宋体"/>
                <w:color w:val="auto"/>
                <w:highlight w:val="none"/>
              </w:rPr>
              <w:sym w:font="Wingdings 2" w:char="F0A3"/>
            </w:r>
            <w:r>
              <w:rPr>
                <w:rFonts w:hint="eastAsia" w:cs="宋体"/>
                <w:color w:val="auto"/>
                <w:highlight w:val="none"/>
              </w:rPr>
              <w:t>渔业、</w:t>
            </w:r>
            <w:r>
              <w:rPr>
                <w:rFonts w:cs="宋体"/>
                <w:color w:val="auto"/>
                <w:highlight w:val="none"/>
              </w:rPr>
              <w:sym w:font="Wingdings 2" w:char="F0A3"/>
            </w:r>
            <w:r>
              <w:rPr>
                <w:rFonts w:hint="eastAsia" w:cs="宋体"/>
                <w:color w:val="auto"/>
                <w:highlight w:val="none"/>
              </w:rPr>
              <w:t>工业、</w:t>
            </w:r>
            <w:r>
              <w:rPr>
                <w:rFonts w:cs="宋体"/>
                <w:color w:val="auto"/>
                <w:highlight w:val="none"/>
              </w:rPr>
              <w:fldChar w:fldCharType="begin"/>
            </w:r>
            <w:r>
              <w:rPr>
                <w:rFonts w:cs="宋体"/>
                <w:color w:val="auto"/>
                <w:highlight w:val="none"/>
              </w:rPr>
              <w:instrText xml:space="preserve"> eq \o\ac(</w:instrText>
            </w:r>
            <w:r>
              <w:rPr>
                <w:rFonts w:hint="eastAsia" w:cs="宋体"/>
                <w:color w:val="auto"/>
                <w:highlight w:val="none"/>
              </w:rPr>
              <w:instrText xml:space="preserve">□</w:instrText>
            </w:r>
            <w:r>
              <w:rPr>
                <w:rFonts w:cs="宋体"/>
                <w:color w:val="auto"/>
                <w:highlight w:val="none"/>
              </w:rPr>
              <w:instrText xml:space="preserve">,</w:instrText>
            </w:r>
            <w:r>
              <w:rPr>
                <w:rFonts w:hint="eastAsia" w:cs="宋体"/>
                <w:color w:val="auto"/>
                <w:highlight w:val="none"/>
              </w:rPr>
              <w:instrText xml:space="preserve">√</w:instrText>
            </w:r>
            <w:r>
              <w:rPr>
                <w:rFonts w:cs="宋体"/>
                <w:color w:val="auto"/>
                <w:highlight w:val="none"/>
              </w:rPr>
              <w:instrText xml:space="preserve">)</w:instrText>
            </w:r>
            <w:r>
              <w:rPr>
                <w:rFonts w:cs="宋体"/>
                <w:color w:val="auto"/>
                <w:highlight w:val="none"/>
              </w:rPr>
              <w:fldChar w:fldCharType="end"/>
            </w:r>
            <w:r>
              <w:rPr>
                <w:rFonts w:hint="eastAsia" w:cs="宋体"/>
                <w:color w:val="auto"/>
                <w:highlight w:val="none"/>
              </w:rPr>
              <w:t>建筑业、</w:t>
            </w:r>
            <w:r>
              <w:rPr>
                <w:rFonts w:cs="宋体"/>
                <w:color w:val="auto"/>
                <w:highlight w:val="none"/>
              </w:rPr>
              <w:sym w:font="Wingdings 2" w:char="F0A3"/>
            </w:r>
            <w:r>
              <w:rPr>
                <w:rFonts w:hint="eastAsia" w:cs="宋体"/>
                <w:color w:val="auto"/>
                <w:highlight w:val="none"/>
              </w:rPr>
              <w:t>批发业、</w:t>
            </w:r>
            <w:r>
              <w:rPr>
                <w:rFonts w:cs="宋体"/>
                <w:color w:val="auto"/>
                <w:highlight w:val="none"/>
              </w:rPr>
              <w:sym w:font="Wingdings 2" w:char="F0A3"/>
            </w:r>
            <w:r>
              <w:rPr>
                <w:rFonts w:hint="eastAsia" w:cs="宋体"/>
                <w:color w:val="auto"/>
                <w:highlight w:val="none"/>
              </w:rPr>
              <w:t>零售业、</w:t>
            </w:r>
            <w:r>
              <w:rPr>
                <w:rFonts w:cs="宋体"/>
                <w:color w:val="auto"/>
                <w:highlight w:val="none"/>
              </w:rPr>
              <w:sym w:font="Wingdings 2" w:char="F0A3"/>
            </w:r>
            <w:r>
              <w:rPr>
                <w:rFonts w:hint="eastAsia" w:cs="宋体"/>
                <w:color w:val="auto"/>
                <w:highlight w:val="none"/>
              </w:rPr>
              <w:t>交通运输业、</w:t>
            </w:r>
            <w:r>
              <w:rPr>
                <w:rFonts w:cs="宋体"/>
                <w:color w:val="auto"/>
                <w:highlight w:val="none"/>
              </w:rPr>
              <w:sym w:font="Wingdings 2" w:char="F0A3"/>
            </w:r>
            <w:r>
              <w:rPr>
                <w:rFonts w:hint="eastAsia" w:cs="宋体"/>
                <w:color w:val="auto"/>
                <w:highlight w:val="none"/>
              </w:rPr>
              <w:t>仓储业、</w:t>
            </w:r>
            <w:r>
              <w:rPr>
                <w:rFonts w:cs="宋体"/>
                <w:color w:val="auto"/>
                <w:highlight w:val="none"/>
              </w:rPr>
              <w:sym w:font="Wingdings 2" w:char="F0A3"/>
            </w:r>
            <w:r>
              <w:rPr>
                <w:rFonts w:hint="eastAsia" w:cs="宋体"/>
                <w:color w:val="auto"/>
                <w:highlight w:val="none"/>
              </w:rPr>
              <w:t>邮政业、</w:t>
            </w:r>
            <w:r>
              <w:rPr>
                <w:rFonts w:cs="宋体"/>
                <w:color w:val="auto"/>
                <w:highlight w:val="none"/>
              </w:rPr>
              <w:sym w:font="Wingdings 2" w:char="F0A3"/>
            </w:r>
            <w:r>
              <w:rPr>
                <w:rFonts w:hint="eastAsia" w:cs="宋体"/>
                <w:color w:val="auto"/>
                <w:highlight w:val="none"/>
              </w:rPr>
              <w:t>住宿业、</w:t>
            </w:r>
            <w:r>
              <w:rPr>
                <w:rFonts w:cs="宋体"/>
                <w:color w:val="auto"/>
                <w:highlight w:val="none"/>
              </w:rPr>
              <w:sym w:font="Wingdings 2" w:char="F0A3"/>
            </w:r>
            <w:r>
              <w:rPr>
                <w:rFonts w:hint="eastAsia" w:cs="宋体"/>
                <w:color w:val="auto"/>
                <w:highlight w:val="none"/>
              </w:rPr>
              <w:t>餐饮业、</w:t>
            </w:r>
            <w:r>
              <w:rPr>
                <w:rFonts w:cs="宋体"/>
                <w:color w:val="auto"/>
                <w:highlight w:val="none"/>
              </w:rPr>
              <w:sym w:font="Wingdings 2" w:char="F0A3"/>
            </w:r>
            <w:r>
              <w:rPr>
                <w:rFonts w:hint="eastAsia" w:cs="宋体"/>
                <w:color w:val="auto"/>
                <w:highlight w:val="none"/>
              </w:rPr>
              <w:t>信息传输业、</w:t>
            </w:r>
            <w:r>
              <w:rPr>
                <w:rFonts w:cs="宋体"/>
                <w:color w:val="auto"/>
                <w:highlight w:val="none"/>
              </w:rPr>
              <w:sym w:font="Wingdings 2" w:char="F0A3"/>
            </w:r>
            <w:r>
              <w:rPr>
                <w:rFonts w:hint="eastAsia" w:cs="宋体"/>
                <w:color w:val="auto"/>
                <w:highlight w:val="none"/>
              </w:rPr>
              <w:t>软件和信息技术服务业、</w:t>
            </w:r>
            <w:r>
              <w:rPr>
                <w:rFonts w:cs="宋体"/>
                <w:color w:val="auto"/>
                <w:highlight w:val="none"/>
              </w:rPr>
              <w:sym w:font="Wingdings 2" w:char="F0A3"/>
            </w:r>
            <w:r>
              <w:rPr>
                <w:rFonts w:hint="eastAsia" w:cs="宋体"/>
                <w:color w:val="auto"/>
                <w:highlight w:val="none"/>
              </w:rPr>
              <w:t>房地产开发经营、</w:t>
            </w:r>
            <w:r>
              <w:rPr>
                <w:rFonts w:cs="宋体"/>
                <w:color w:val="auto"/>
                <w:highlight w:val="none"/>
              </w:rPr>
              <w:sym w:font="Wingdings 2" w:char="F0A3"/>
            </w:r>
            <w:r>
              <w:rPr>
                <w:rFonts w:hint="eastAsia" w:cs="宋体"/>
                <w:color w:val="auto"/>
                <w:highlight w:val="none"/>
              </w:rPr>
              <w:t>物业管理、</w:t>
            </w:r>
            <w:r>
              <w:rPr>
                <w:rFonts w:cs="宋体"/>
                <w:color w:val="auto"/>
                <w:highlight w:val="none"/>
              </w:rPr>
              <w:sym w:font="Wingdings 2" w:char="F0A3"/>
            </w:r>
            <w:r>
              <w:rPr>
                <w:rFonts w:hint="eastAsia" w:cs="宋体"/>
                <w:color w:val="auto"/>
                <w:highlight w:val="none"/>
              </w:rPr>
              <w:t>租赁和商务服务业、</w:t>
            </w:r>
            <w:r>
              <w:rPr>
                <w:rFonts w:cs="宋体"/>
                <w:color w:val="auto"/>
                <w:highlight w:val="none"/>
              </w:rPr>
              <w:sym w:font="Wingdings 2" w:char="F0A3"/>
            </w:r>
            <w:r>
              <w:rPr>
                <w:rFonts w:hint="eastAsia" w:cs="宋体"/>
                <w:color w:val="auto"/>
                <w:highlight w:val="none"/>
              </w:rPr>
              <w:t>其他未列明行业。</w:t>
            </w:r>
          </w:p>
          <w:p>
            <w:pPr>
              <w:spacing w:line="360" w:lineRule="auto"/>
              <w:ind w:firstLine="420" w:firstLineChars="200"/>
              <w:rPr>
                <w:rFonts w:cs="宋体"/>
                <w:color w:val="auto"/>
                <w:highlight w:val="none"/>
              </w:rPr>
            </w:pPr>
            <w:r>
              <w:rPr>
                <w:rFonts w:hint="eastAsia" w:cs="宋体"/>
                <w:color w:val="auto"/>
                <w:highlight w:val="none"/>
              </w:rPr>
              <w:t>根据《中小企业划型标准规定》（工信部联企业〔</w:t>
            </w:r>
            <w:r>
              <w:rPr>
                <w:rFonts w:cs="宋体"/>
                <w:color w:val="auto"/>
                <w:highlight w:val="none"/>
              </w:rPr>
              <w:t>2011</w:t>
            </w:r>
            <w:r>
              <w:rPr>
                <w:rFonts w:hint="eastAsia" w:cs="宋体"/>
                <w:color w:val="auto"/>
                <w:highlight w:val="none"/>
              </w:rPr>
              <w:t>〕</w:t>
            </w:r>
            <w:r>
              <w:rPr>
                <w:rFonts w:cs="宋体"/>
                <w:color w:val="auto"/>
                <w:highlight w:val="none"/>
              </w:rPr>
              <w:t>300</w:t>
            </w:r>
            <w:r>
              <w:rPr>
                <w:rFonts w:hint="eastAsia" w:cs="宋体"/>
                <w:color w:val="auto"/>
                <w:highlight w:val="none"/>
              </w:rPr>
              <w:t>号）建筑业划型标准为：营业收入</w:t>
            </w:r>
            <w:r>
              <w:rPr>
                <w:rFonts w:cs="宋体"/>
                <w:color w:val="auto"/>
                <w:highlight w:val="none"/>
              </w:rPr>
              <w:t>80000</w:t>
            </w:r>
            <w:r>
              <w:rPr>
                <w:rFonts w:hint="eastAsia" w:cs="宋体"/>
                <w:color w:val="auto"/>
                <w:highlight w:val="none"/>
              </w:rPr>
              <w:t>万元以下或资产总额</w:t>
            </w:r>
            <w:r>
              <w:rPr>
                <w:rFonts w:cs="宋体"/>
                <w:color w:val="auto"/>
                <w:highlight w:val="none"/>
              </w:rPr>
              <w:t>80000</w:t>
            </w:r>
            <w:r>
              <w:rPr>
                <w:rFonts w:hint="eastAsia" w:cs="宋体"/>
                <w:color w:val="auto"/>
                <w:highlight w:val="none"/>
              </w:rPr>
              <w:t>万元以下的为中小微型企业。其中，营业收入</w:t>
            </w:r>
            <w:r>
              <w:rPr>
                <w:rFonts w:cs="宋体"/>
                <w:color w:val="auto"/>
                <w:highlight w:val="none"/>
              </w:rPr>
              <w:t>6000</w:t>
            </w:r>
            <w:r>
              <w:rPr>
                <w:rFonts w:hint="eastAsia" w:cs="宋体"/>
                <w:color w:val="auto"/>
                <w:highlight w:val="none"/>
              </w:rPr>
              <w:t>万元及以上，且资产总额</w:t>
            </w:r>
            <w:r>
              <w:rPr>
                <w:rFonts w:cs="宋体"/>
                <w:color w:val="auto"/>
                <w:highlight w:val="none"/>
              </w:rPr>
              <w:t>5000</w:t>
            </w:r>
            <w:r>
              <w:rPr>
                <w:rFonts w:hint="eastAsia" w:cs="宋体"/>
                <w:color w:val="auto"/>
                <w:highlight w:val="none"/>
              </w:rPr>
              <w:t>万元及以上的为中型企业；营业收入</w:t>
            </w:r>
            <w:r>
              <w:rPr>
                <w:rFonts w:cs="宋体"/>
                <w:color w:val="auto"/>
                <w:highlight w:val="none"/>
              </w:rPr>
              <w:t>300</w:t>
            </w:r>
            <w:r>
              <w:rPr>
                <w:rFonts w:hint="eastAsia" w:cs="宋体"/>
                <w:color w:val="auto"/>
                <w:highlight w:val="none"/>
              </w:rPr>
              <w:t>万元及以上，且资产总额</w:t>
            </w:r>
            <w:r>
              <w:rPr>
                <w:rFonts w:cs="宋体"/>
                <w:color w:val="auto"/>
                <w:highlight w:val="none"/>
              </w:rPr>
              <w:t>300</w:t>
            </w:r>
            <w:r>
              <w:rPr>
                <w:rFonts w:hint="eastAsia" w:cs="宋体"/>
                <w:color w:val="auto"/>
                <w:highlight w:val="none"/>
              </w:rPr>
              <w:t>万元及以上的为小型企业；营业收入</w:t>
            </w:r>
            <w:r>
              <w:rPr>
                <w:rFonts w:cs="宋体"/>
                <w:color w:val="auto"/>
                <w:highlight w:val="none"/>
              </w:rPr>
              <w:t>300</w:t>
            </w:r>
            <w:r>
              <w:rPr>
                <w:rFonts w:hint="eastAsia" w:cs="宋体"/>
                <w:color w:val="auto"/>
                <w:highlight w:val="none"/>
              </w:rPr>
              <w:t>万元以下或资产总额</w:t>
            </w:r>
            <w:r>
              <w:rPr>
                <w:rFonts w:cs="宋体"/>
                <w:color w:val="auto"/>
                <w:highlight w:val="none"/>
              </w:rPr>
              <w:t>300</w:t>
            </w:r>
            <w:r>
              <w:rPr>
                <w:rFonts w:hint="eastAsia" w:cs="宋体"/>
                <w:color w:val="auto"/>
                <w:highlight w:val="none"/>
              </w:rPr>
              <w:t>万元以下的为微型企业。</w:t>
            </w:r>
          </w:p>
          <w:p>
            <w:pPr>
              <w:spacing w:line="360" w:lineRule="auto"/>
              <w:ind w:firstLine="420" w:firstLineChars="200"/>
              <w:rPr>
                <w:rFonts w:cs="宋体"/>
                <w:color w:val="auto"/>
                <w:highlight w:val="none"/>
              </w:rPr>
            </w:pPr>
            <w:r>
              <w:rPr>
                <w:rFonts w:hint="eastAsia" w:cs="宋体"/>
                <w:color w:val="auto"/>
                <w:highlight w:val="none"/>
              </w:rPr>
              <w:t>（</w:t>
            </w:r>
            <w:r>
              <w:rPr>
                <w:rFonts w:cs="宋体"/>
                <w:color w:val="auto"/>
                <w:highlight w:val="none"/>
              </w:rPr>
              <w:t>2</w:t>
            </w:r>
            <w:r>
              <w:rPr>
                <w:rFonts w:hint="eastAsia" w:cs="宋体"/>
                <w:color w:val="auto"/>
                <w:highlight w:val="none"/>
              </w:rPr>
              <w:t>）根据财政部、民政部、中国残疾人联合会三部门发布的关于促进残疾人就业政府采购政策的通知（财库〔2017〕141号），残疾人福利性单位视同小型、微型企业，享受小型、微型企业评标时价格评审优惠的政府采购政策。供应商既属于残疾人福利性单位又属于小型、微型企业的，其只能享受投标报价一次性价格评审优惠，不重复享受政策。</w:t>
            </w:r>
          </w:p>
          <w:p>
            <w:pPr>
              <w:spacing w:line="360" w:lineRule="auto"/>
              <w:ind w:firstLine="420" w:firstLineChars="200"/>
              <w:jc w:val="left"/>
              <w:rPr>
                <w:color w:val="auto"/>
                <w:highlight w:val="none"/>
              </w:rPr>
            </w:pPr>
            <w:r>
              <w:rPr>
                <w:rFonts w:hint="eastAsia" w:cs="宋体"/>
                <w:color w:val="auto"/>
                <w:highlight w:val="none"/>
              </w:rPr>
              <w:t>（</w:t>
            </w:r>
            <w:r>
              <w:rPr>
                <w:rFonts w:cs="宋体"/>
                <w:color w:val="auto"/>
                <w:highlight w:val="none"/>
              </w:rPr>
              <w:t>3</w:t>
            </w:r>
            <w:r>
              <w:rPr>
                <w:rFonts w:hint="eastAsia" w:cs="宋体"/>
                <w:color w:val="auto"/>
                <w:highlight w:val="none"/>
              </w:rPr>
              <w:t>）供应商声明为中小企业的，应按招标文件规定在投标文件中提供声明函。符合条件的残疾人福利性单位在参加政府采购活动时，应当提供《残疾人福利性单位声明函》（格式见第九章），并对声明的真实性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trPr>
        <w:tc>
          <w:tcPr>
            <w:tcW w:w="932" w:type="dxa"/>
            <w:gridSpan w:val="2"/>
            <w:vMerge w:val="restart"/>
            <w:shd w:val="clear" w:color="auto" w:fill="auto"/>
            <w:vAlign w:val="center"/>
          </w:tcPr>
          <w:p>
            <w:pPr>
              <w:spacing w:line="360" w:lineRule="auto"/>
              <w:jc w:val="center"/>
              <w:rPr>
                <w:color w:val="auto"/>
                <w:highlight w:val="none"/>
              </w:rPr>
            </w:pPr>
            <w:r>
              <w:rPr>
                <w:color w:val="auto"/>
                <w:highlight w:val="none"/>
              </w:rPr>
              <w:t>2.2.2（4）</w:t>
            </w:r>
          </w:p>
        </w:tc>
        <w:tc>
          <w:tcPr>
            <w:tcW w:w="1564" w:type="dxa"/>
            <w:gridSpan w:val="2"/>
            <w:vMerge w:val="restart"/>
            <w:shd w:val="clear" w:color="auto" w:fill="auto"/>
            <w:vAlign w:val="center"/>
          </w:tcPr>
          <w:p>
            <w:pPr>
              <w:spacing w:line="360" w:lineRule="auto"/>
              <w:jc w:val="center"/>
              <w:rPr>
                <w:color w:val="auto"/>
                <w:highlight w:val="none"/>
              </w:rPr>
            </w:pPr>
            <w:r>
              <w:rPr>
                <w:color w:val="auto"/>
                <w:highlight w:val="none"/>
              </w:rPr>
              <w:t>企业信誉实力分评分标准</w:t>
            </w:r>
          </w:p>
          <w:p>
            <w:pPr>
              <w:spacing w:line="360" w:lineRule="auto"/>
              <w:jc w:val="center"/>
              <w:rPr>
                <w:rFonts w:eastAsia="楷体_GB2312"/>
                <w:color w:val="auto"/>
                <w:highlight w:val="none"/>
              </w:rPr>
            </w:pPr>
            <w:r>
              <w:rPr>
                <w:color w:val="auto"/>
                <w:highlight w:val="none"/>
              </w:rPr>
              <w:t>（满分10分）</w:t>
            </w:r>
          </w:p>
        </w:tc>
        <w:tc>
          <w:tcPr>
            <w:tcW w:w="7635" w:type="dxa"/>
            <w:gridSpan w:val="3"/>
            <w:shd w:val="clear" w:color="auto" w:fill="auto"/>
          </w:tcPr>
          <w:p>
            <w:pPr>
              <w:spacing w:line="360" w:lineRule="auto"/>
              <w:rPr>
                <w:b/>
                <w:color w:val="auto"/>
                <w:highlight w:val="none"/>
              </w:rPr>
            </w:pPr>
            <w:r>
              <w:rPr>
                <w:b/>
                <w:color w:val="auto"/>
                <w:highlight w:val="none"/>
              </w:rPr>
              <w:t>本部分由全体评委一起评审。同一工程项目同类型的奖项，以最高奖项计分，不重复计分。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trPr>
        <w:tc>
          <w:tcPr>
            <w:tcW w:w="932" w:type="dxa"/>
            <w:gridSpan w:val="2"/>
            <w:vMerge w:val="continue"/>
            <w:shd w:val="clear" w:color="auto" w:fill="auto"/>
          </w:tcPr>
          <w:p>
            <w:pPr>
              <w:spacing w:line="360" w:lineRule="auto"/>
              <w:jc w:val="center"/>
              <w:rPr>
                <w:color w:val="auto"/>
                <w:highlight w:val="none"/>
              </w:rPr>
            </w:pPr>
          </w:p>
        </w:tc>
        <w:tc>
          <w:tcPr>
            <w:tcW w:w="1564" w:type="dxa"/>
            <w:gridSpan w:val="2"/>
            <w:vMerge w:val="continue"/>
            <w:shd w:val="clear" w:color="auto" w:fill="auto"/>
          </w:tcPr>
          <w:p>
            <w:pPr>
              <w:spacing w:line="360" w:lineRule="auto"/>
              <w:jc w:val="center"/>
              <w:rPr>
                <w:color w:val="auto"/>
                <w:highlight w:val="none"/>
              </w:rPr>
            </w:pPr>
          </w:p>
        </w:tc>
        <w:tc>
          <w:tcPr>
            <w:tcW w:w="7635" w:type="dxa"/>
            <w:gridSpan w:val="3"/>
            <w:shd w:val="clear" w:color="auto" w:fill="auto"/>
          </w:tcPr>
          <w:p>
            <w:pPr>
              <w:spacing w:line="360" w:lineRule="auto"/>
              <w:rPr>
                <w:color w:val="auto"/>
                <w:highlight w:val="none"/>
              </w:rPr>
            </w:pPr>
            <w:r>
              <w:rPr>
                <w:color w:val="auto"/>
                <w:highlight w:val="none"/>
              </w:rPr>
              <w:t>1. 企业完成的工程获得“</w:t>
            </w:r>
            <w:r>
              <w:rPr>
                <w:rFonts w:hint="eastAsia"/>
                <w:color w:val="auto"/>
                <w:highlight w:val="none"/>
              </w:rPr>
              <w:t>省长、自治区主席、直辖市市长质量奖</w:t>
            </w:r>
            <w:r>
              <w:rPr>
                <w:color w:val="auto"/>
                <w:highlight w:val="none"/>
              </w:rPr>
              <w:t>、中国建设工程鲁班奖、市政金杯示范工程奖、詹天佑土木工程大奖”，</w:t>
            </w:r>
            <w:r>
              <w:rPr>
                <w:rFonts w:hint="eastAsia"/>
                <w:color w:val="auto"/>
                <w:highlight w:val="none"/>
              </w:rPr>
              <w:t>从获奖文件或证书颁发之日起</w:t>
            </w:r>
            <w:r>
              <w:rPr>
                <w:color w:val="auto"/>
                <w:highlight w:val="none"/>
              </w:rPr>
              <w:t>为准不超过三年的，每个得</w:t>
            </w:r>
            <w:r>
              <w:rPr>
                <w:rFonts w:hint="eastAsia"/>
                <w:color w:val="auto"/>
                <w:highlight w:val="none"/>
              </w:rPr>
              <w:t>4</w:t>
            </w:r>
            <w:r>
              <w:rPr>
                <w:color w:val="auto"/>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trPr>
        <w:tc>
          <w:tcPr>
            <w:tcW w:w="932" w:type="dxa"/>
            <w:gridSpan w:val="2"/>
            <w:vMerge w:val="continue"/>
            <w:shd w:val="clear" w:color="auto" w:fill="auto"/>
          </w:tcPr>
          <w:p>
            <w:pPr>
              <w:spacing w:line="360" w:lineRule="auto"/>
              <w:jc w:val="center"/>
              <w:rPr>
                <w:color w:val="auto"/>
                <w:highlight w:val="none"/>
              </w:rPr>
            </w:pPr>
          </w:p>
        </w:tc>
        <w:tc>
          <w:tcPr>
            <w:tcW w:w="1564" w:type="dxa"/>
            <w:gridSpan w:val="2"/>
            <w:vMerge w:val="continue"/>
            <w:shd w:val="clear" w:color="auto" w:fill="auto"/>
          </w:tcPr>
          <w:p>
            <w:pPr>
              <w:spacing w:line="360" w:lineRule="auto"/>
              <w:jc w:val="center"/>
              <w:rPr>
                <w:color w:val="auto"/>
                <w:highlight w:val="none"/>
              </w:rPr>
            </w:pPr>
          </w:p>
        </w:tc>
        <w:tc>
          <w:tcPr>
            <w:tcW w:w="7635" w:type="dxa"/>
            <w:gridSpan w:val="3"/>
            <w:shd w:val="clear" w:color="auto" w:fill="auto"/>
          </w:tcPr>
          <w:p>
            <w:pPr>
              <w:spacing w:line="360" w:lineRule="auto"/>
              <w:rPr>
                <w:color w:val="auto"/>
                <w:highlight w:val="none"/>
              </w:rPr>
            </w:pPr>
            <w:r>
              <w:rPr>
                <w:color w:val="auto"/>
                <w:highlight w:val="none"/>
              </w:rPr>
              <w:t>2. 企业承建或完成的工程获得“国家优质工程奖、中国建筑工程装饰奖、国家AAA级安全文明标准化工地”，</w:t>
            </w:r>
            <w:r>
              <w:rPr>
                <w:rFonts w:hint="eastAsia"/>
                <w:color w:val="auto"/>
                <w:highlight w:val="none"/>
              </w:rPr>
              <w:t>从获奖文件或证书颁发之日起</w:t>
            </w:r>
            <w:r>
              <w:rPr>
                <w:color w:val="auto"/>
                <w:highlight w:val="none"/>
              </w:rPr>
              <w:t>为准不超过三年的，每个得</w:t>
            </w:r>
            <w:r>
              <w:rPr>
                <w:rFonts w:hint="eastAsia"/>
                <w:color w:val="auto"/>
                <w:highlight w:val="none"/>
              </w:rPr>
              <w:t>3</w:t>
            </w:r>
            <w:r>
              <w:rPr>
                <w:color w:val="auto"/>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932" w:type="dxa"/>
            <w:gridSpan w:val="2"/>
            <w:vMerge w:val="continue"/>
            <w:shd w:val="clear" w:color="auto" w:fill="auto"/>
          </w:tcPr>
          <w:p>
            <w:pPr>
              <w:spacing w:line="360" w:lineRule="auto"/>
              <w:jc w:val="center"/>
              <w:rPr>
                <w:color w:val="auto"/>
                <w:highlight w:val="none"/>
              </w:rPr>
            </w:pPr>
          </w:p>
        </w:tc>
        <w:tc>
          <w:tcPr>
            <w:tcW w:w="1564" w:type="dxa"/>
            <w:gridSpan w:val="2"/>
            <w:vMerge w:val="continue"/>
            <w:shd w:val="clear" w:color="auto" w:fill="auto"/>
          </w:tcPr>
          <w:p>
            <w:pPr>
              <w:spacing w:line="360" w:lineRule="auto"/>
              <w:jc w:val="center"/>
              <w:rPr>
                <w:color w:val="auto"/>
                <w:highlight w:val="none"/>
              </w:rPr>
            </w:pPr>
          </w:p>
        </w:tc>
        <w:tc>
          <w:tcPr>
            <w:tcW w:w="7635" w:type="dxa"/>
            <w:gridSpan w:val="3"/>
            <w:shd w:val="clear" w:color="auto" w:fill="auto"/>
            <w:vAlign w:val="center"/>
          </w:tcPr>
          <w:p>
            <w:pPr>
              <w:spacing w:line="360" w:lineRule="auto"/>
              <w:rPr>
                <w:color w:val="auto"/>
                <w:highlight w:val="none"/>
              </w:rPr>
            </w:pPr>
            <w:r>
              <w:rPr>
                <w:color w:val="auto"/>
                <w:highlight w:val="none"/>
              </w:rPr>
              <w:t>3. 企业承建或完成的工程获得省级工程质量</w:t>
            </w:r>
            <w:r>
              <w:rPr>
                <w:color w:val="auto"/>
                <w:kern w:val="0"/>
                <w:highlight w:val="none"/>
              </w:rPr>
              <w:t>或</w:t>
            </w:r>
            <w:r>
              <w:rPr>
                <w:rFonts w:hint="eastAsia"/>
                <w:color w:val="auto"/>
                <w:highlight w:val="none"/>
              </w:rPr>
              <w:t>安全文明工地奖（建筑施工安全文明标准化工地）</w:t>
            </w:r>
            <w:r>
              <w:rPr>
                <w:color w:val="auto"/>
                <w:highlight w:val="none"/>
              </w:rPr>
              <w:t>的，省级建筑装饰工程优质奖的</w:t>
            </w:r>
            <w:r>
              <w:rPr>
                <w:rFonts w:hint="eastAsia"/>
                <w:color w:val="auto"/>
                <w:highlight w:val="none"/>
              </w:rPr>
              <w:t>，从获奖文件或证书颁发之日起</w:t>
            </w:r>
            <w:r>
              <w:rPr>
                <w:color w:val="auto"/>
                <w:highlight w:val="none"/>
              </w:rPr>
              <w:t>为准不超过二年的，每个得</w:t>
            </w:r>
            <w:r>
              <w:rPr>
                <w:rFonts w:hint="eastAsia"/>
                <w:color w:val="auto"/>
                <w:highlight w:val="none"/>
              </w:rPr>
              <w:t xml:space="preserve"> 2</w:t>
            </w:r>
            <w:r>
              <w:rPr>
                <w:color w:val="auto"/>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trPr>
        <w:tc>
          <w:tcPr>
            <w:tcW w:w="932" w:type="dxa"/>
            <w:gridSpan w:val="2"/>
            <w:vMerge w:val="continue"/>
            <w:shd w:val="clear" w:color="auto" w:fill="auto"/>
          </w:tcPr>
          <w:p>
            <w:pPr>
              <w:spacing w:line="360" w:lineRule="auto"/>
              <w:jc w:val="center"/>
              <w:rPr>
                <w:color w:val="auto"/>
                <w:highlight w:val="none"/>
              </w:rPr>
            </w:pPr>
          </w:p>
        </w:tc>
        <w:tc>
          <w:tcPr>
            <w:tcW w:w="1564" w:type="dxa"/>
            <w:gridSpan w:val="2"/>
            <w:vMerge w:val="continue"/>
            <w:shd w:val="clear" w:color="auto" w:fill="auto"/>
          </w:tcPr>
          <w:p>
            <w:pPr>
              <w:spacing w:line="360" w:lineRule="auto"/>
              <w:jc w:val="center"/>
              <w:rPr>
                <w:color w:val="auto"/>
                <w:highlight w:val="none"/>
              </w:rPr>
            </w:pPr>
          </w:p>
        </w:tc>
        <w:tc>
          <w:tcPr>
            <w:tcW w:w="7635" w:type="dxa"/>
            <w:gridSpan w:val="3"/>
            <w:shd w:val="clear" w:color="auto" w:fill="auto"/>
            <w:vAlign w:val="center"/>
          </w:tcPr>
          <w:p>
            <w:pPr>
              <w:spacing w:line="360" w:lineRule="auto"/>
              <w:rPr>
                <w:color w:val="auto"/>
                <w:highlight w:val="none"/>
              </w:rPr>
            </w:pPr>
            <w:r>
              <w:rPr>
                <w:color w:val="auto"/>
                <w:highlight w:val="none"/>
              </w:rPr>
              <w:t>4. 企业承建或完成的工程获得设区城市级工程质量</w:t>
            </w:r>
            <w:r>
              <w:rPr>
                <w:color w:val="auto"/>
                <w:kern w:val="0"/>
                <w:highlight w:val="none"/>
              </w:rPr>
              <w:t>或</w:t>
            </w:r>
            <w:r>
              <w:rPr>
                <w:rFonts w:hint="eastAsia"/>
                <w:color w:val="auto"/>
                <w:highlight w:val="none"/>
              </w:rPr>
              <w:t>安全文明工地奖（建筑施工安全文明标准化工地）</w:t>
            </w:r>
            <w:r>
              <w:rPr>
                <w:color w:val="auto"/>
                <w:highlight w:val="none"/>
              </w:rPr>
              <w:t>，</w:t>
            </w:r>
            <w:r>
              <w:rPr>
                <w:rFonts w:hint="eastAsia"/>
                <w:color w:val="auto"/>
                <w:highlight w:val="none"/>
              </w:rPr>
              <w:t>从获奖文件或证书颁发之日起</w:t>
            </w:r>
            <w:r>
              <w:rPr>
                <w:color w:val="auto"/>
                <w:highlight w:val="none"/>
              </w:rPr>
              <w:t>为准不超过一年的，每个得</w:t>
            </w:r>
            <w:r>
              <w:rPr>
                <w:rFonts w:hint="eastAsia"/>
                <w:color w:val="auto"/>
                <w:highlight w:val="none"/>
              </w:rPr>
              <w:t>0.4</w:t>
            </w:r>
            <w:r>
              <w:rPr>
                <w:color w:val="auto"/>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trPr>
        <w:tc>
          <w:tcPr>
            <w:tcW w:w="932" w:type="dxa"/>
            <w:gridSpan w:val="2"/>
            <w:vMerge w:val="continue"/>
            <w:shd w:val="clear" w:color="auto" w:fill="auto"/>
          </w:tcPr>
          <w:p>
            <w:pPr>
              <w:spacing w:line="360" w:lineRule="auto"/>
              <w:jc w:val="center"/>
              <w:rPr>
                <w:color w:val="auto"/>
                <w:highlight w:val="none"/>
              </w:rPr>
            </w:pPr>
          </w:p>
        </w:tc>
        <w:tc>
          <w:tcPr>
            <w:tcW w:w="1564" w:type="dxa"/>
            <w:gridSpan w:val="2"/>
            <w:vMerge w:val="continue"/>
            <w:shd w:val="clear" w:color="auto" w:fill="auto"/>
          </w:tcPr>
          <w:p>
            <w:pPr>
              <w:spacing w:line="360" w:lineRule="auto"/>
              <w:jc w:val="center"/>
              <w:rPr>
                <w:color w:val="auto"/>
                <w:highlight w:val="none"/>
              </w:rPr>
            </w:pPr>
          </w:p>
        </w:tc>
        <w:tc>
          <w:tcPr>
            <w:tcW w:w="7635" w:type="dxa"/>
            <w:gridSpan w:val="3"/>
            <w:shd w:val="clear" w:color="auto" w:fill="auto"/>
            <w:vAlign w:val="center"/>
          </w:tcPr>
          <w:p>
            <w:pPr>
              <w:spacing w:line="360" w:lineRule="auto"/>
              <w:rPr>
                <w:color w:val="auto"/>
                <w:highlight w:val="none"/>
              </w:rPr>
            </w:pPr>
            <w:r>
              <w:rPr>
                <w:color w:val="auto"/>
                <w:highlight w:val="none"/>
              </w:rPr>
              <w:t>5. 企业主编或主持完成国家级建设工法、国家或行业标准，</w:t>
            </w:r>
            <w:r>
              <w:rPr>
                <w:rFonts w:hint="eastAsia"/>
                <w:color w:val="auto"/>
                <w:highlight w:val="none"/>
              </w:rPr>
              <w:t>从获奖文件或证书颁发之日起</w:t>
            </w:r>
            <w:r>
              <w:rPr>
                <w:color w:val="auto"/>
                <w:highlight w:val="none"/>
              </w:rPr>
              <w:t>为准不超过三年的，每项得</w:t>
            </w:r>
            <w:r>
              <w:rPr>
                <w:rFonts w:hint="eastAsia"/>
                <w:color w:val="auto"/>
                <w:highlight w:val="none"/>
              </w:rPr>
              <w:t>1</w:t>
            </w:r>
            <w:r>
              <w:rPr>
                <w:color w:val="auto"/>
                <w:highlight w:val="none"/>
              </w:rPr>
              <w:t>分；参编或参与单位，每项得0.</w:t>
            </w:r>
            <w:r>
              <w:rPr>
                <w:rFonts w:hint="eastAsia"/>
                <w:color w:val="auto"/>
                <w:highlight w:val="none"/>
              </w:rPr>
              <w:t>4</w:t>
            </w:r>
            <w:r>
              <w:rPr>
                <w:color w:val="auto"/>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trPr>
        <w:tc>
          <w:tcPr>
            <w:tcW w:w="932" w:type="dxa"/>
            <w:gridSpan w:val="2"/>
            <w:vMerge w:val="continue"/>
            <w:shd w:val="clear" w:color="auto" w:fill="auto"/>
          </w:tcPr>
          <w:p>
            <w:pPr>
              <w:spacing w:line="360" w:lineRule="auto"/>
              <w:jc w:val="center"/>
              <w:rPr>
                <w:color w:val="auto"/>
                <w:highlight w:val="none"/>
              </w:rPr>
            </w:pPr>
          </w:p>
        </w:tc>
        <w:tc>
          <w:tcPr>
            <w:tcW w:w="1564" w:type="dxa"/>
            <w:gridSpan w:val="2"/>
            <w:vMerge w:val="continue"/>
            <w:shd w:val="clear" w:color="auto" w:fill="auto"/>
          </w:tcPr>
          <w:p>
            <w:pPr>
              <w:spacing w:line="360" w:lineRule="auto"/>
              <w:jc w:val="center"/>
              <w:rPr>
                <w:color w:val="auto"/>
                <w:highlight w:val="none"/>
              </w:rPr>
            </w:pPr>
          </w:p>
        </w:tc>
        <w:tc>
          <w:tcPr>
            <w:tcW w:w="7635" w:type="dxa"/>
            <w:gridSpan w:val="3"/>
            <w:shd w:val="clear" w:color="auto" w:fill="auto"/>
            <w:vAlign w:val="center"/>
          </w:tcPr>
          <w:p>
            <w:pPr>
              <w:spacing w:line="360" w:lineRule="auto"/>
              <w:rPr>
                <w:color w:val="auto"/>
                <w:highlight w:val="none"/>
              </w:rPr>
            </w:pPr>
            <w:r>
              <w:rPr>
                <w:color w:val="auto"/>
                <w:highlight w:val="none"/>
              </w:rPr>
              <w:t>6. 企业主编或主持完成省级建设工法、省级标准，</w:t>
            </w:r>
            <w:r>
              <w:rPr>
                <w:rFonts w:hint="eastAsia"/>
                <w:color w:val="auto"/>
                <w:highlight w:val="none"/>
              </w:rPr>
              <w:t>从获奖文件或证书颁发之日起</w:t>
            </w:r>
            <w:r>
              <w:rPr>
                <w:color w:val="auto"/>
                <w:highlight w:val="none"/>
              </w:rPr>
              <w:t>为准不超过二年的，每项得0.</w:t>
            </w:r>
            <w:r>
              <w:rPr>
                <w:rFonts w:hint="eastAsia"/>
                <w:color w:val="auto"/>
                <w:highlight w:val="none"/>
              </w:rPr>
              <w:t>4</w:t>
            </w:r>
            <w:r>
              <w:rPr>
                <w:color w:val="auto"/>
                <w:highlight w:val="none"/>
              </w:rPr>
              <w:t>分；参编或参与单位，每项得0.</w:t>
            </w:r>
            <w:r>
              <w:rPr>
                <w:rFonts w:hint="eastAsia"/>
                <w:color w:val="auto"/>
                <w:highlight w:val="none"/>
              </w:rPr>
              <w:t>2</w:t>
            </w:r>
            <w:r>
              <w:rPr>
                <w:color w:val="auto"/>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 w:hRule="atLeast"/>
        </w:trPr>
        <w:tc>
          <w:tcPr>
            <w:tcW w:w="2496" w:type="dxa"/>
            <w:gridSpan w:val="4"/>
            <w:shd w:val="clear" w:color="auto" w:fill="auto"/>
            <w:vAlign w:val="center"/>
          </w:tcPr>
          <w:p>
            <w:pPr>
              <w:spacing w:line="360" w:lineRule="auto"/>
              <w:jc w:val="center"/>
              <w:rPr>
                <w:color w:val="auto"/>
                <w:highlight w:val="none"/>
              </w:rPr>
            </w:pPr>
            <w:r>
              <w:rPr>
                <w:color w:val="auto"/>
                <w:highlight w:val="none"/>
              </w:rPr>
              <w:t>投标人汇总得分</w:t>
            </w:r>
          </w:p>
        </w:tc>
        <w:tc>
          <w:tcPr>
            <w:tcW w:w="7635" w:type="dxa"/>
            <w:gridSpan w:val="3"/>
            <w:shd w:val="clear" w:color="auto" w:fill="auto"/>
            <w:vAlign w:val="center"/>
          </w:tcPr>
          <w:p>
            <w:pPr>
              <w:spacing w:line="360" w:lineRule="auto"/>
              <w:rPr>
                <w:color w:val="auto"/>
                <w:highlight w:val="none"/>
              </w:rPr>
            </w:pPr>
            <w:r>
              <w:rPr>
                <w:color w:val="auto"/>
                <w:highlight w:val="none"/>
              </w:rPr>
              <w:t>投标人汇总得分=该投标人的技术标得分+商务标得分+企业信誉实力得分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 w:hRule="atLeast"/>
        </w:trPr>
        <w:tc>
          <w:tcPr>
            <w:tcW w:w="922" w:type="dxa"/>
            <w:shd w:val="clear" w:color="auto" w:fill="auto"/>
            <w:vAlign w:val="center"/>
          </w:tcPr>
          <w:p>
            <w:pPr>
              <w:spacing w:line="360" w:lineRule="auto"/>
              <w:jc w:val="center"/>
              <w:rPr>
                <w:color w:val="auto"/>
                <w:highlight w:val="none"/>
              </w:rPr>
            </w:pPr>
            <w:r>
              <w:rPr>
                <w:color w:val="auto"/>
                <w:highlight w:val="none"/>
              </w:rPr>
              <w:t>3</w:t>
            </w:r>
          </w:p>
        </w:tc>
        <w:tc>
          <w:tcPr>
            <w:tcW w:w="1574" w:type="dxa"/>
            <w:gridSpan w:val="3"/>
            <w:shd w:val="clear" w:color="auto" w:fill="auto"/>
            <w:vAlign w:val="center"/>
          </w:tcPr>
          <w:p>
            <w:pPr>
              <w:spacing w:line="360" w:lineRule="auto"/>
              <w:jc w:val="center"/>
              <w:rPr>
                <w:color w:val="auto"/>
                <w:highlight w:val="none"/>
              </w:rPr>
            </w:pPr>
            <w:r>
              <w:rPr>
                <w:color w:val="auto"/>
                <w:highlight w:val="none"/>
              </w:rPr>
              <w:t>评标程序</w:t>
            </w:r>
          </w:p>
        </w:tc>
        <w:tc>
          <w:tcPr>
            <w:tcW w:w="7635" w:type="dxa"/>
            <w:gridSpan w:val="3"/>
            <w:shd w:val="clear" w:color="auto" w:fill="auto"/>
            <w:vAlign w:val="center"/>
          </w:tcPr>
          <w:p>
            <w:pPr>
              <w:spacing w:line="360" w:lineRule="auto"/>
              <w:rPr>
                <w:color w:val="auto"/>
                <w:highlight w:val="none"/>
              </w:rPr>
            </w:pPr>
            <w:r>
              <w:rPr>
                <w:color w:val="auto"/>
                <w:highlight w:val="none"/>
              </w:rPr>
              <w:t>详见本章附件A：评标详细程序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trPr>
        <w:tc>
          <w:tcPr>
            <w:tcW w:w="922" w:type="dxa"/>
            <w:shd w:val="clear" w:color="auto" w:fill="auto"/>
            <w:vAlign w:val="center"/>
          </w:tcPr>
          <w:p>
            <w:pPr>
              <w:spacing w:line="360" w:lineRule="auto"/>
              <w:jc w:val="center"/>
              <w:rPr>
                <w:color w:val="auto"/>
                <w:highlight w:val="none"/>
              </w:rPr>
            </w:pPr>
            <w:r>
              <w:rPr>
                <w:color w:val="auto"/>
                <w:highlight w:val="none"/>
              </w:rPr>
              <w:t>3.1.2</w:t>
            </w:r>
          </w:p>
        </w:tc>
        <w:tc>
          <w:tcPr>
            <w:tcW w:w="1574" w:type="dxa"/>
            <w:gridSpan w:val="3"/>
            <w:shd w:val="clear" w:color="auto" w:fill="auto"/>
            <w:vAlign w:val="center"/>
          </w:tcPr>
          <w:p>
            <w:pPr>
              <w:spacing w:line="360" w:lineRule="auto"/>
              <w:jc w:val="center"/>
              <w:rPr>
                <w:color w:val="auto"/>
                <w:highlight w:val="none"/>
              </w:rPr>
            </w:pPr>
            <w:r>
              <w:rPr>
                <w:color w:val="auto"/>
                <w:highlight w:val="none"/>
              </w:rPr>
              <w:t>否决投标条件</w:t>
            </w:r>
          </w:p>
        </w:tc>
        <w:tc>
          <w:tcPr>
            <w:tcW w:w="7635" w:type="dxa"/>
            <w:gridSpan w:val="3"/>
            <w:shd w:val="clear" w:color="auto" w:fill="auto"/>
            <w:vAlign w:val="center"/>
          </w:tcPr>
          <w:p>
            <w:pPr>
              <w:spacing w:line="360" w:lineRule="auto"/>
              <w:rPr>
                <w:color w:val="auto"/>
                <w:highlight w:val="none"/>
              </w:rPr>
            </w:pPr>
            <w:r>
              <w:rPr>
                <w:color w:val="auto"/>
                <w:highlight w:val="none"/>
              </w:rPr>
              <w:t>详见本章附件B：否决投标条件</w:t>
            </w:r>
          </w:p>
        </w:tc>
      </w:tr>
    </w:tbl>
    <w:p>
      <w:pPr>
        <w:rPr>
          <w:color w:val="auto"/>
          <w:highlight w:val="none"/>
        </w:rPr>
      </w:pPr>
    </w:p>
    <w:p>
      <w:pPr>
        <w:pStyle w:val="43"/>
        <w:rPr>
          <w:color w:val="auto"/>
          <w:highlight w:val="none"/>
        </w:rPr>
      </w:pPr>
      <w:r>
        <w:rPr>
          <w:color w:val="auto"/>
          <w:highlight w:val="none"/>
        </w:rPr>
        <w:br w:type="page"/>
      </w:r>
    </w:p>
    <w:p>
      <w:pPr>
        <w:pStyle w:val="3"/>
        <w:jc w:val="center"/>
        <w:rPr>
          <w:color w:val="auto"/>
          <w:highlight w:val="none"/>
        </w:rPr>
      </w:pPr>
      <w:bookmarkStart w:id="325" w:name="_Toc30993"/>
      <w:bookmarkStart w:id="326" w:name="_Toc407135170"/>
      <w:bookmarkStart w:id="327" w:name="_Toc389065240"/>
      <w:bookmarkStart w:id="328" w:name="_Toc66186372"/>
      <w:r>
        <w:rPr>
          <w:rFonts w:hint="eastAsia" w:cs="黑体"/>
          <w:color w:val="auto"/>
          <w:highlight w:val="none"/>
        </w:rPr>
        <w:t>评标办法（综合评估法）正文部分</w:t>
      </w:r>
      <w:bookmarkEnd w:id="325"/>
      <w:bookmarkEnd w:id="326"/>
      <w:bookmarkEnd w:id="327"/>
      <w:bookmarkEnd w:id="328"/>
    </w:p>
    <w:p>
      <w:pPr>
        <w:rPr>
          <w:color w:val="auto"/>
          <w:highlight w:val="none"/>
        </w:rPr>
      </w:pPr>
    </w:p>
    <w:p>
      <w:pPr>
        <w:pStyle w:val="4"/>
        <w:rPr>
          <w:color w:val="auto"/>
          <w:highlight w:val="none"/>
        </w:rPr>
      </w:pPr>
      <w:bookmarkStart w:id="329" w:name="_Toc389065241"/>
      <w:bookmarkStart w:id="330" w:name="_Toc407135171"/>
      <w:bookmarkStart w:id="331" w:name="_Toc184635093"/>
      <w:bookmarkStart w:id="332" w:name="_Toc66186373"/>
      <w:bookmarkStart w:id="333" w:name="_Toc28607"/>
      <w:r>
        <w:rPr>
          <w:color w:val="auto"/>
          <w:highlight w:val="none"/>
        </w:rPr>
        <w:t xml:space="preserve">1 </w:t>
      </w:r>
      <w:r>
        <w:rPr>
          <w:rFonts w:hint="eastAsia" w:cs="黑体"/>
          <w:color w:val="auto"/>
          <w:highlight w:val="none"/>
        </w:rPr>
        <w:t>评标方法</w:t>
      </w:r>
      <w:bookmarkEnd w:id="329"/>
      <w:bookmarkEnd w:id="330"/>
      <w:bookmarkEnd w:id="331"/>
      <w:bookmarkEnd w:id="332"/>
      <w:bookmarkEnd w:id="333"/>
    </w:p>
    <w:p>
      <w:pPr>
        <w:spacing w:line="360" w:lineRule="auto"/>
        <w:ind w:firstLine="420" w:firstLineChars="200"/>
        <w:rPr>
          <w:color w:val="auto"/>
          <w:highlight w:val="none"/>
        </w:rPr>
      </w:pPr>
      <w:r>
        <w:rPr>
          <w:rFonts w:hint="eastAsia" w:cs="宋体"/>
          <w:color w:val="auto"/>
          <w:highlight w:val="none"/>
        </w:rPr>
        <w:t>本次评标采用综合评估法。评标委员会对满足招标文件实质性要求的投标文件，按照本章</w:t>
      </w:r>
      <w:r>
        <w:rPr>
          <w:color w:val="auto"/>
          <w:highlight w:val="none"/>
        </w:rPr>
        <w:t>“</w:t>
      </w:r>
      <w:r>
        <w:rPr>
          <w:rFonts w:hint="eastAsia" w:cs="宋体"/>
          <w:color w:val="auto"/>
          <w:highlight w:val="none"/>
        </w:rPr>
        <w:t>评标办法前附表</w:t>
      </w:r>
      <w:r>
        <w:rPr>
          <w:color w:val="auto"/>
          <w:highlight w:val="none"/>
        </w:rPr>
        <w:t>”</w:t>
      </w:r>
      <w:r>
        <w:rPr>
          <w:rFonts w:hint="eastAsia" w:cs="宋体"/>
          <w:color w:val="auto"/>
          <w:highlight w:val="none"/>
        </w:rPr>
        <w:t>第</w:t>
      </w:r>
      <w:r>
        <w:rPr>
          <w:color w:val="auto"/>
          <w:highlight w:val="none"/>
        </w:rPr>
        <w:t>2.1</w:t>
      </w:r>
      <w:r>
        <w:rPr>
          <w:rFonts w:hint="eastAsia" w:cs="宋体"/>
          <w:color w:val="auto"/>
          <w:highlight w:val="none"/>
        </w:rPr>
        <w:t>、</w:t>
      </w:r>
      <w:r>
        <w:rPr>
          <w:color w:val="auto"/>
          <w:highlight w:val="none"/>
        </w:rPr>
        <w:t>2.2</w:t>
      </w:r>
      <w:r>
        <w:rPr>
          <w:rFonts w:hint="eastAsia" w:cs="宋体"/>
          <w:color w:val="auto"/>
          <w:highlight w:val="none"/>
        </w:rPr>
        <w:t>款规定的评分标准进行打分，并按综合得分由高到低顺序推荐中标候选人，或根据招标人授权直接确定中标人，但投标报价低于其成本的除外。综合评分相等时，以投标报价低的优先；投标价也相等时，以企业信誉实力分高的优先；企业信誉实力分也相等的，以企业用于该项工程投标的资质高的优先；企业用于该项工程投标的资质也相等的，以技术标得分高的优先；技术标得分也相等的，由评标委员会采用记名投票方式确定。</w:t>
      </w:r>
    </w:p>
    <w:p>
      <w:pPr>
        <w:pStyle w:val="4"/>
        <w:rPr>
          <w:color w:val="auto"/>
          <w:highlight w:val="none"/>
        </w:rPr>
      </w:pPr>
      <w:bookmarkStart w:id="334" w:name="_Toc389065242"/>
      <w:bookmarkStart w:id="335" w:name="_Toc184635094"/>
      <w:bookmarkStart w:id="336" w:name="_Toc407135172"/>
      <w:bookmarkStart w:id="337" w:name="_Toc10373"/>
      <w:bookmarkStart w:id="338" w:name="_Toc66186374"/>
      <w:r>
        <w:rPr>
          <w:color w:val="auto"/>
          <w:highlight w:val="none"/>
        </w:rPr>
        <w:t xml:space="preserve">2 </w:t>
      </w:r>
      <w:r>
        <w:rPr>
          <w:rFonts w:hint="eastAsia" w:cs="黑体"/>
          <w:color w:val="auto"/>
          <w:highlight w:val="none"/>
        </w:rPr>
        <w:t>评审标准</w:t>
      </w:r>
      <w:bookmarkEnd w:id="334"/>
      <w:bookmarkEnd w:id="335"/>
      <w:bookmarkEnd w:id="336"/>
      <w:bookmarkEnd w:id="337"/>
      <w:bookmarkEnd w:id="338"/>
    </w:p>
    <w:p>
      <w:pPr>
        <w:pStyle w:val="5"/>
        <w:ind w:firstLine="420"/>
        <w:rPr>
          <w:color w:val="auto"/>
          <w:highlight w:val="none"/>
        </w:rPr>
      </w:pPr>
      <w:bookmarkStart w:id="339" w:name="_Toc389065243"/>
      <w:bookmarkStart w:id="340" w:name="_Toc11187"/>
      <w:bookmarkStart w:id="341" w:name="_Toc407135173"/>
      <w:bookmarkStart w:id="342" w:name="_Toc66186375"/>
      <w:r>
        <w:rPr>
          <w:color w:val="auto"/>
          <w:highlight w:val="none"/>
        </w:rPr>
        <w:t xml:space="preserve">2.1 </w:t>
      </w:r>
      <w:r>
        <w:rPr>
          <w:rFonts w:hint="eastAsia" w:cs="黑体"/>
          <w:color w:val="auto"/>
          <w:highlight w:val="none"/>
        </w:rPr>
        <w:t>初步评审标准</w:t>
      </w:r>
      <w:bookmarkEnd w:id="339"/>
      <w:bookmarkEnd w:id="340"/>
      <w:bookmarkEnd w:id="341"/>
      <w:bookmarkEnd w:id="342"/>
    </w:p>
    <w:p>
      <w:pPr>
        <w:spacing w:line="360" w:lineRule="auto"/>
        <w:ind w:firstLine="420" w:firstLineChars="200"/>
        <w:rPr>
          <w:color w:val="auto"/>
          <w:highlight w:val="none"/>
        </w:rPr>
      </w:pPr>
      <w:r>
        <w:rPr>
          <w:color w:val="auto"/>
          <w:highlight w:val="none"/>
        </w:rPr>
        <w:t xml:space="preserve">2.1.1 </w:t>
      </w:r>
      <w:r>
        <w:rPr>
          <w:rFonts w:hint="eastAsia" w:cs="宋体"/>
          <w:color w:val="auto"/>
          <w:highlight w:val="none"/>
        </w:rPr>
        <w:t>资格评审标准：见</w:t>
      </w:r>
      <w:r>
        <w:rPr>
          <w:color w:val="auto"/>
          <w:highlight w:val="none"/>
        </w:rPr>
        <w:t>“</w:t>
      </w:r>
      <w:r>
        <w:rPr>
          <w:rFonts w:hint="eastAsia" w:cs="宋体"/>
          <w:color w:val="auto"/>
          <w:highlight w:val="none"/>
        </w:rPr>
        <w:t>评标办法前附表</w:t>
      </w:r>
      <w:r>
        <w:rPr>
          <w:color w:val="auto"/>
          <w:highlight w:val="none"/>
        </w:rPr>
        <w:t>”</w:t>
      </w:r>
      <w:r>
        <w:rPr>
          <w:rFonts w:hint="eastAsia" w:cs="宋体"/>
          <w:color w:val="auto"/>
          <w:highlight w:val="none"/>
        </w:rPr>
        <w:t>。所有在投标截止时间前提交投标文件的投标人均有资格参加资格评审。</w:t>
      </w:r>
    </w:p>
    <w:p>
      <w:pPr>
        <w:spacing w:line="360" w:lineRule="auto"/>
        <w:ind w:firstLine="420" w:firstLineChars="200"/>
        <w:rPr>
          <w:color w:val="auto"/>
          <w:highlight w:val="none"/>
        </w:rPr>
      </w:pPr>
      <w:r>
        <w:rPr>
          <w:color w:val="auto"/>
          <w:highlight w:val="none"/>
        </w:rPr>
        <w:t xml:space="preserve">2.1.2 </w:t>
      </w:r>
      <w:r>
        <w:rPr>
          <w:rFonts w:hint="eastAsia" w:cs="宋体"/>
          <w:color w:val="auto"/>
          <w:highlight w:val="none"/>
        </w:rPr>
        <w:t>形式评审标准：见</w:t>
      </w:r>
      <w:r>
        <w:rPr>
          <w:color w:val="auto"/>
          <w:highlight w:val="none"/>
        </w:rPr>
        <w:t>“</w:t>
      </w:r>
      <w:r>
        <w:rPr>
          <w:rFonts w:hint="eastAsia" w:cs="宋体"/>
          <w:color w:val="auto"/>
          <w:highlight w:val="none"/>
        </w:rPr>
        <w:t>评标办法前附表</w:t>
      </w:r>
      <w:r>
        <w:rPr>
          <w:color w:val="auto"/>
          <w:highlight w:val="none"/>
        </w:rPr>
        <w:t>”</w:t>
      </w:r>
      <w:r>
        <w:rPr>
          <w:rFonts w:hint="eastAsia" w:cs="宋体"/>
          <w:color w:val="auto"/>
          <w:highlight w:val="none"/>
        </w:rPr>
        <w:t>。</w:t>
      </w:r>
    </w:p>
    <w:p>
      <w:pPr>
        <w:spacing w:line="360" w:lineRule="auto"/>
        <w:ind w:firstLine="420" w:firstLineChars="200"/>
        <w:rPr>
          <w:color w:val="auto"/>
          <w:highlight w:val="none"/>
        </w:rPr>
      </w:pPr>
      <w:r>
        <w:rPr>
          <w:color w:val="auto"/>
          <w:highlight w:val="none"/>
        </w:rPr>
        <w:t xml:space="preserve">2.1.3 </w:t>
      </w:r>
      <w:r>
        <w:rPr>
          <w:rFonts w:hint="eastAsia" w:cs="宋体"/>
          <w:color w:val="auto"/>
          <w:highlight w:val="none"/>
        </w:rPr>
        <w:t>响应性评审标准：见</w:t>
      </w:r>
      <w:r>
        <w:rPr>
          <w:color w:val="auto"/>
          <w:highlight w:val="none"/>
        </w:rPr>
        <w:t>“</w:t>
      </w:r>
      <w:r>
        <w:rPr>
          <w:rFonts w:hint="eastAsia" w:cs="宋体"/>
          <w:color w:val="auto"/>
          <w:highlight w:val="none"/>
        </w:rPr>
        <w:t>评标办法前附表</w:t>
      </w:r>
      <w:r>
        <w:rPr>
          <w:color w:val="auto"/>
          <w:highlight w:val="none"/>
        </w:rPr>
        <w:t>”</w:t>
      </w:r>
      <w:r>
        <w:rPr>
          <w:rFonts w:hint="eastAsia" w:cs="宋体"/>
          <w:color w:val="auto"/>
          <w:highlight w:val="none"/>
        </w:rPr>
        <w:t>。</w:t>
      </w:r>
      <w:bookmarkStart w:id="343" w:name="_Toc389065244"/>
      <w:bookmarkStart w:id="344" w:name="_Toc389065245"/>
      <w:bookmarkStart w:id="345" w:name="_Toc184635095"/>
    </w:p>
    <w:p>
      <w:pPr>
        <w:pStyle w:val="5"/>
        <w:ind w:firstLine="420"/>
        <w:rPr>
          <w:color w:val="auto"/>
          <w:highlight w:val="none"/>
        </w:rPr>
      </w:pPr>
      <w:bookmarkStart w:id="346" w:name="_Toc407135174"/>
      <w:bookmarkStart w:id="347" w:name="_Toc66186376"/>
      <w:bookmarkStart w:id="348" w:name="_Toc19932"/>
      <w:r>
        <w:rPr>
          <w:color w:val="auto"/>
          <w:highlight w:val="none"/>
        </w:rPr>
        <w:t xml:space="preserve">2.2 </w:t>
      </w:r>
      <w:r>
        <w:rPr>
          <w:rFonts w:hint="eastAsia" w:cs="黑体"/>
          <w:color w:val="auto"/>
          <w:highlight w:val="none"/>
        </w:rPr>
        <w:t>详细评审标准</w:t>
      </w:r>
      <w:bookmarkEnd w:id="343"/>
      <w:bookmarkEnd w:id="346"/>
      <w:bookmarkEnd w:id="347"/>
      <w:bookmarkEnd w:id="348"/>
    </w:p>
    <w:p>
      <w:pPr>
        <w:spacing w:line="360" w:lineRule="auto"/>
        <w:ind w:firstLine="420" w:firstLineChars="200"/>
        <w:rPr>
          <w:color w:val="auto"/>
          <w:highlight w:val="none"/>
        </w:rPr>
      </w:pPr>
      <w:r>
        <w:rPr>
          <w:color w:val="auto"/>
          <w:highlight w:val="none"/>
        </w:rPr>
        <w:t xml:space="preserve">2.2.1 </w:t>
      </w:r>
      <w:r>
        <w:rPr>
          <w:rFonts w:hint="eastAsia" w:cs="宋体"/>
          <w:color w:val="auto"/>
          <w:highlight w:val="none"/>
        </w:rPr>
        <w:t>分值构成：见</w:t>
      </w:r>
      <w:r>
        <w:rPr>
          <w:color w:val="auto"/>
          <w:highlight w:val="none"/>
        </w:rPr>
        <w:t>“</w:t>
      </w:r>
      <w:r>
        <w:rPr>
          <w:rFonts w:hint="eastAsia" w:cs="宋体"/>
          <w:color w:val="auto"/>
          <w:highlight w:val="none"/>
        </w:rPr>
        <w:t>评标办法前附表</w:t>
      </w:r>
      <w:r>
        <w:rPr>
          <w:color w:val="auto"/>
          <w:highlight w:val="none"/>
        </w:rPr>
        <w:t>”</w:t>
      </w:r>
      <w:r>
        <w:rPr>
          <w:rFonts w:hint="eastAsia" w:cs="宋体"/>
          <w:color w:val="auto"/>
          <w:highlight w:val="none"/>
        </w:rPr>
        <w:t>。</w:t>
      </w:r>
    </w:p>
    <w:p>
      <w:pPr>
        <w:spacing w:line="360" w:lineRule="auto"/>
        <w:ind w:firstLine="420" w:firstLineChars="200"/>
        <w:rPr>
          <w:color w:val="auto"/>
          <w:highlight w:val="none"/>
        </w:rPr>
      </w:pPr>
      <w:r>
        <w:rPr>
          <w:color w:val="auto"/>
          <w:highlight w:val="none"/>
        </w:rPr>
        <w:t xml:space="preserve">2.2.2 </w:t>
      </w:r>
      <w:r>
        <w:rPr>
          <w:rFonts w:hint="eastAsia" w:cs="宋体"/>
          <w:color w:val="auto"/>
          <w:highlight w:val="none"/>
        </w:rPr>
        <w:t>评分标准</w:t>
      </w:r>
    </w:p>
    <w:p>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）技术标评分标准：见</w:t>
      </w:r>
      <w:r>
        <w:rPr>
          <w:color w:val="auto"/>
          <w:highlight w:val="none"/>
        </w:rPr>
        <w:t>“</w:t>
      </w:r>
      <w:r>
        <w:rPr>
          <w:rFonts w:hint="eastAsia" w:cs="宋体"/>
          <w:color w:val="auto"/>
          <w:highlight w:val="none"/>
        </w:rPr>
        <w:t>评标办法前附表</w:t>
      </w:r>
      <w:r>
        <w:rPr>
          <w:color w:val="auto"/>
          <w:highlight w:val="none"/>
        </w:rPr>
        <w:t>”</w:t>
      </w:r>
      <w:r>
        <w:rPr>
          <w:rFonts w:hint="eastAsia" w:cs="宋体"/>
          <w:color w:val="auto"/>
          <w:highlight w:val="none"/>
        </w:rPr>
        <w:t>。</w:t>
      </w:r>
    </w:p>
    <w:p>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）评标基准价计算方法：见</w:t>
      </w:r>
      <w:r>
        <w:rPr>
          <w:color w:val="auto"/>
          <w:highlight w:val="none"/>
        </w:rPr>
        <w:t>“</w:t>
      </w:r>
      <w:r>
        <w:rPr>
          <w:rFonts w:hint="eastAsia" w:cs="宋体"/>
          <w:color w:val="auto"/>
          <w:highlight w:val="none"/>
        </w:rPr>
        <w:t>评标办法前附表</w:t>
      </w:r>
      <w:r>
        <w:rPr>
          <w:color w:val="auto"/>
          <w:highlight w:val="none"/>
        </w:rPr>
        <w:t>”</w:t>
      </w:r>
      <w:r>
        <w:rPr>
          <w:rFonts w:hint="eastAsia" w:cs="宋体"/>
          <w:color w:val="auto"/>
          <w:highlight w:val="none"/>
        </w:rPr>
        <w:t>。</w:t>
      </w:r>
    </w:p>
    <w:p>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w:t>
      </w:r>
      <w:bookmarkStart w:id="349" w:name="_Hlk16009383"/>
      <w:r>
        <w:rPr>
          <w:rFonts w:hint="eastAsia" w:cs="宋体"/>
          <w:color w:val="auto"/>
          <w:highlight w:val="none"/>
        </w:rPr>
        <w:t>报价分</w:t>
      </w:r>
      <w:bookmarkEnd w:id="349"/>
      <w:r>
        <w:rPr>
          <w:rFonts w:hint="eastAsia" w:cs="宋体"/>
          <w:color w:val="auto"/>
          <w:highlight w:val="none"/>
        </w:rPr>
        <w:t>评分标准：见</w:t>
      </w:r>
      <w:r>
        <w:rPr>
          <w:color w:val="auto"/>
          <w:highlight w:val="none"/>
        </w:rPr>
        <w:t>“</w:t>
      </w:r>
      <w:r>
        <w:rPr>
          <w:rFonts w:hint="eastAsia" w:cs="宋体"/>
          <w:color w:val="auto"/>
          <w:highlight w:val="none"/>
        </w:rPr>
        <w:t>评标办法前附表</w:t>
      </w:r>
      <w:r>
        <w:rPr>
          <w:color w:val="auto"/>
          <w:highlight w:val="none"/>
        </w:rPr>
        <w:t>”</w:t>
      </w:r>
      <w:r>
        <w:rPr>
          <w:rFonts w:hint="eastAsia" w:cs="宋体"/>
          <w:color w:val="auto"/>
          <w:highlight w:val="none"/>
        </w:rPr>
        <w:t>。</w:t>
      </w:r>
    </w:p>
    <w:p>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）企业信誉实力分评分标准：见</w:t>
      </w:r>
      <w:r>
        <w:rPr>
          <w:color w:val="auto"/>
          <w:highlight w:val="none"/>
        </w:rPr>
        <w:t>“</w:t>
      </w:r>
      <w:r>
        <w:rPr>
          <w:rFonts w:hint="eastAsia" w:cs="宋体"/>
          <w:color w:val="auto"/>
          <w:highlight w:val="none"/>
        </w:rPr>
        <w:t>评标办法前附表</w:t>
      </w:r>
      <w:r>
        <w:rPr>
          <w:color w:val="auto"/>
          <w:highlight w:val="none"/>
        </w:rPr>
        <w:t>”</w:t>
      </w:r>
      <w:r>
        <w:rPr>
          <w:rFonts w:hint="eastAsia" w:cs="宋体"/>
          <w:color w:val="auto"/>
          <w:highlight w:val="none"/>
        </w:rPr>
        <w:t>。</w:t>
      </w:r>
    </w:p>
    <w:p>
      <w:pPr>
        <w:pStyle w:val="4"/>
        <w:rPr>
          <w:rFonts w:cs="黑体"/>
          <w:color w:val="auto"/>
          <w:highlight w:val="none"/>
        </w:rPr>
      </w:pPr>
      <w:bookmarkStart w:id="350" w:name="_Toc407135175"/>
      <w:bookmarkStart w:id="351" w:name="_Toc66186377"/>
      <w:bookmarkStart w:id="352" w:name="_Toc1978"/>
      <w:r>
        <w:rPr>
          <w:color w:val="auto"/>
          <w:highlight w:val="none"/>
        </w:rPr>
        <w:t xml:space="preserve">3 </w:t>
      </w:r>
      <w:r>
        <w:rPr>
          <w:rFonts w:hint="eastAsia" w:cs="黑体"/>
          <w:color w:val="auto"/>
          <w:highlight w:val="none"/>
        </w:rPr>
        <w:t>评标程序</w:t>
      </w:r>
      <w:bookmarkEnd w:id="344"/>
      <w:bookmarkEnd w:id="345"/>
      <w:bookmarkEnd w:id="350"/>
      <w:bookmarkEnd w:id="351"/>
      <w:bookmarkEnd w:id="352"/>
    </w:p>
    <w:p>
      <w:pPr>
        <w:pStyle w:val="5"/>
        <w:ind w:firstLine="420"/>
        <w:rPr>
          <w:color w:val="auto"/>
          <w:highlight w:val="none"/>
        </w:rPr>
      </w:pPr>
      <w:bookmarkStart w:id="353" w:name="_Toc407135176"/>
      <w:bookmarkStart w:id="354" w:name="_Toc66186378"/>
      <w:bookmarkStart w:id="355" w:name="_Toc389065246"/>
      <w:bookmarkStart w:id="356" w:name="_Toc20162"/>
      <w:r>
        <w:rPr>
          <w:color w:val="auto"/>
          <w:highlight w:val="none"/>
        </w:rPr>
        <w:t xml:space="preserve">3.1 </w:t>
      </w:r>
      <w:r>
        <w:rPr>
          <w:rFonts w:hint="eastAsia" w:cs="黑体"/>
          <w:color w:val="auto"/>
          <w:highlight w:val="none"/>
        </w:rPr>
        <w:t>初步评审</w:t>
      </w:r>
      <w:bookmarkEnd w:id="353"/>
      <w:bookmarkEnd w:id="354"/>
      <w:bookmarkEnd w:id="355"/>
      <w:bookmarkEnd w:id="356"/>
    </w:p>
    <w:p>
      <w:pPr>
        <w:spacing w:line="360" w:lineRule="auto"/>
        <w:ind w:firstLine="420" w:firstLineChars="200"/>
        <w:rPr>
          <w:color w:val="auto"/>
          <w:highlight w:val="none"/>
        </w:rPr>
      </w:pPr>
      <w:r>
        <w:rPr>
          <w:color w:val="auto"/>
          <w:highlight w:val="none"/>
        </w:rPr>
        <w:t xml:space="preserve">3.1.1 </w:t>
      </w:r>
      <w:r>
        <w:rPr>
          <w:rFonts w:hint="eastAsia" w:cs="宋体"/>
          <w:color w:val="auto"/>
          <w:highlight w:val="none"/>
        </w:rPr>
        <w:t>评标委员会依据本章第</w:t>
      </w:r>
      <w:r>
        <w:rPr>
          <w:color w:val="auto"/>
          <w:highlight w:val="none"/>
        </w:rPr>
        <w:t>2.1</w:t>
      </w:r>
      <w:r>
        <w:rPr>
          <w:rFonts w:hint="eastAsia" w:cs="宋体"/>
          <w:color w:val="auto"/>
          <w:highlight w:val="none"/>
        </w:rPr>
        <w:t>款规定的标准对投标文件进行初步评审。有一项不符合评审标准的，作否决投标处理。</w:t>
      </w:r>
    </w:p>
    <w:p>
      <w:pPr>
        <w:spacing w:line="360" w:lineRule="auto"/>
        <w:ind w:firstLine="420" w:firstLineChars="200"/>
        <w:rPr>
          <w:color w:val="auto"/>
          <w:highlight w:val="none"/>
        </w:rPr>
      </w:pPr>
      <w:r>
        <w:rPr>
          <w:color w:val="auto"/>
          <w:highlight w:val="none"/>
        </w:rPr>
        <w:t xml:space="preserve">3.1.2 </w:t>
      </w:r>
      <w:r>
        <w:rPr>
          <w:rFonts w:hint="eastAsia" w:cs="宋体"/>
          <w:color w:val="auto"/>
          <w:highlight w:val="none"/>
        </w:rPr>
        <w:t>投标人有以下情形之一的，其投标作否决投标处理：</w:t>
      </w:r>
    </w:p>
    <w:p>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）第二章</w:t>
      </w:r>
      <w:r>
        <w:rPr>
          <w:color w:val="auto"/>
          <w:highlight w:val="none"/>
        </w:rPr>
        <w:t>“</w:t>
      </w:r>
      <w:r>
        <w:rPr>
          <w:rFonts w:hint="eastAsia" w:cs="宋体"/>
          <w:color w:val="auto"/>
          <w:highlight w:val="none"/>
        </w:rPr>
        <w:t>投标人须知</w:t>
      </w:r>
      <w:r>
        <w:rPr>
          <w:color w:val="auto"/>
          <w:highlight w:val="none"/>
        </w:rPr>
        <w:t>”</w:t>
      </w:r>
      <w:r>
        <w:rPr>
          <w:rFonts w:hint="eastAsia" w:cs="宋体"/>
          <w:color w:val="auto"/>
          <w:highlight w:val="none"/>
        </w:rPr>
        <w:t>第</w:t>
      </w:r>
      <w:r>
        <w:rPr>
          <w:color w:val="auto"/>
          <w:highlight w:val="none"/>
        </w:rPr>
        <w:t xml:space="preserve">1.4.3 </w:t>
      </w:r>
      <w:r>
        <w:rPr>
          <w:rFonts w:hint="eastAsia" w:cs="宋体"/>
          <w:color w:val="auto"/>
          <w:highlight w:val="none"/>
        </w:rPr>
        <w:t>项规定的任何一种情形的：</w:t>
      </w:r>
    </w:p>
    <w:p>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）串通投标或弄虚作假或有其他违法行为的；</w:t>
      </w:r>
    </w:p>
    <w:p>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）不按评标委员会要求澄清、说明或补正的。</w:t>
      </w:r>
    </w:p>
    <w:p>
      <w:pPr>
        <w:spacing w:line="360" w:lineRule="auto"/>
        <w:ind w:firstLine="420" w:firstLineChars="200"/>
        <w:rPr>
          <w:color w:val="auto"/>
          <w:highlight w:val="none"/>
        </w:rPr>
      </w:pPr>
      <w:bookmarkStart w:id="357" w:name="_Toc389065247"/>
      <w:r>
        <w:rPr>
          <w:color w:val="auto"/>
          <w:highlight w:val="none"/>
        </w:rPr>
        <w:t xml:space="preserve">3.1.3 </w:t>
      </w:r>
      <w:r>
        <w:rPr>
          <w:rFonts w:hint="eastAsia" w:cs="宋体"/>
          <w:color w:val="auto"/>
          <w:highlight w:val="none"/>
        </w:rPr>
        <w:t>投标报价有算术错误的，评标委员会按以下原则对投标报价进行修正，修正的价格经投标人书面确认后具有约束力。投标人不接受修正价格的，其投标作否决投标处理。</w:t>
      </w:r>
    </w:p>
    <w:p>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）投标文件中的大写金额与小写金额不一致的，以大写金额为准；</w:t>
      </w:r>
    </w:p>
    <w:p>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）总价金额与依据单价计算出的结果不一致的，以单价金额为准修正总价，但单价金额小数点有明显错误的除外。</w:t>
      </w:r>
    </w:p>
    <w:p>
      <w:pPr>
        <w:pStyle w:val="5"/>
        <w:ind w:firstLine="420"/>
        <w:rPr>
          <w:color w:val="auto"/>
          <w:highlight w:val="none"/>
        </w:rPr>
      </w:pPr>
      <w:bookmarkStart w:id="358" w:name="_Toc23218"/>
      <w:bookmarkStart w:id="359" w:name="_Toc66186379"/>
      <w:bookmarkStart w:id="360" w:name="_Toc407135177"/>
      <w:r>
        <w:rPr>
          <w:color w:val="auto"/>
          <w:highlight w:val="none"/>
        </w:rPr>
        <w:t xml:space="preserve">3.2 </w:t>
      </w:r>
      <w:r>
        <w:rPr>
          <w:rFonts w:hint="eastAsia" w:cs="黑体"/>
          <w:color w:val="auto"/>
          <w:highlight w:val="none"/>
        </w:rPr>
        <w:t>详细评审</w:t>
      </w:r>
      <w:bookmarkEnd w:id="357"/>
      <w:bookmarkEnd w:id="358"/>
      <w:bookmarkEnd w:id="359"/>
      <w:bookmarkEnd w:id="360"/>
    </w:p>
    <w:p>
      <w:pPr>
        <w:spacing w:line="360" w:lineRule="auto"/>
        <w:ind w:firstLine="420" w:firstLineChars="200"/>
        <w:rPr>
          <w:color w:val="auto"/>
          <w:highlight w:val="none"/>
        </w:rPr>
      </w:pPr>
      <w:r>
        <w:rPr>
          <w:color w:val="auto"/>
          <w:highlight w:val="none"/>
        </w:rPr>
        <w:t xml:space="preserve">3.2.1 </w:t>
      </w:r>
      <w:r>
        <w:rPr>
          <w:rFonts w:hint="eastAsia" w:cs="宋体"/>
          <w:color w:val="auto"/>
          <w:highlight w:val="none"/>
        </w:rPr>
        <w:t>评标委员会按照本章</w:t>
      </w:r>
      <w:r>
        <w:rPr>
          <w:color w:val="auto"/>
          <w:highlight w:val="none"/>
        </w:rPr>
        <w:t>“</w:t>
      </w:r>
      <w:r>
        <w:rPr>
          <w:rFonts w:hint="eastAsia" w:cs="宋体"/>
          <w:color w:val="auto"/>
          <w:highlight w:val="none"/>
        </w:rPr>
        <w:t>评标办法前附表</w:t>
      </w:r>
      <w:r>
        <w:rPr>
          <w:color w:val="auto"/>
          <w:highlight w:val="none"/>
        </w:rPr>
        <w:t>”</w:t>
      </w:r>
      <w:r>
        <w:rPr>
          <w:rFonts w:hint="eastAsia" w:cs="宋体"/>
          <w:color w:val="auto"/>
          <w:highlight w:val="none"/>
        </w:rPr>
        <w:t>第</w:t>
      </w:r>
      <w:r>
        <w:rPr>
          <w:color w:val="auto"/>
          <w:highlight w:val="none"/>
        </w:rPr>
        <w:t>2.2</w:t>
      </w:r>
      <w:r>
        <w:rPr>
          <w:rFonts w:hint="eastAsia" w:cs="宋体"/>
          <w:color w:val="auto"/>
          <w:highlight w:val="none"/>
        </w:rPr>
        <w:t>款规定的量化因素和分值进行打分，并计算出综合评估得分。</w:t>
      </w:r>
    </w:p>
    <w:p>
      <w:pPr>
        <w:spacing w:line="360" w:lineRule="auto"/>
        <w:ind w:firstLine="420" w:firstLineChars="200"/>
        <w:rPr>
          <w:color w:val="auto"/>
          <w:highlight w:val="none"/>
        </w:rPr>
      </w:pPr>
      <w:r>
        <w:rPr>
          <w:color w:val="auto"/>
          <w:highlight w:val="none"/>
        </w:rPr>
        <w:t xml:space="preserve">3.2.2 </w:t>
      </w:r>
      <w:r>
        <w:rPr>
          <w:rFonts w:hint="eastAsia"/>
          <w:color w:val="auto"/>
          <w:highlight w:val="none"/>
        </w:rPr>
        <w:t>所</w:t>
      </w:r>
      <w:r>
        <w:rPr>
          <w:color w:val="auto"/>
          <w:highlight w:val="none"/>
        </w:rPr>
        <w:t>有过程</w:t>
      </w:r>
      <w:r>
        <w:rPr>
          <w:rFonts w:hint="eastAsia" w:cs="宋体"/>
          <w:color w:val="auto"/>
          <w:highlight w:val="none"/>
        </w:rPr>
        <w:t>评分分值计算保留小数点后四位，投标人汇总得分保留小数点后两位，小数点后第三位</w:t>
      </w:r>
      <w:r>
        <w:rPr>
          <w:color w:val="auto"/>
          <w:highlight w:val="none"/>
        </w:rPr>
        <w:t>“</w:t>
      </w:r>
      <w:r>
        <w:rPr>
          <w:rFonts w:hint="eastAsia" w:cs="宋体"/>
          <w:color w:val="auto"/>
          <w:highlight w:val="none"/>
        </w:rPr>
        <w:t>四舍五入</w:t>
      </w:r>
      <w:r>
        <w:rPr>
          <w:color w:val="auto"/>
          <w:highlight w:val="none"/>
        </w:rPr>
        <w:t>”</w:t>
      </w:r>
      <w:r>
        <w:rPr>
          <w:rFonts w:hint="eastAsia" w:cs="宋体"/>
          <w:color w:val="auto"/>
          <w:highlight w:val="none"/>
        </w:rPr>
        <w:t>。</w:t>
      </w:r>
    </w:p>
    <w:p>
      <w:pPr>
        <w:spacing w:line="360" w:lineRule="auto"/>
        <w:ind w:firstLine="420" w:firstLineChars="200"/>
        <w:rPr>
          <w:color w:val="auto"/>
          <w:highlight w:val="none"/>
        </w:rPr>
      </w:pPr>
      <w:r>
        <w:rPr>
          <w:color w:val="auto"/>
          <w:highlight w:val="none"/>
        </w:rPr>
        <w:t xml:space="preserve">3.2.3 </w:t>
      </w:r>
      <w:r>
        <w:rPr>
          <w:rFonts w:hint="eastAsia" w:cs="宋体"/>
          <w:color w:val="auto"/>
          <w:highlight w:val="none"/>
        </w:rPr>
        <w:t>投标人汇总得分（满分</w:t>
      </w:r>
      <w:r>
        <w:rPr>
          <w:color w:val="auto"/>
          <w:highlight w:val="none"/>
        </w:rPr>
        <w:t>100</w:t>
      </w:r>
      <w:r>
        <w:rPr>
          <w:rFonts w:hint="eastAsia" w:cs="宋体"/>
          <w:color w:val="auto"/>
          <w:highlight w:val="none"/>
        </w:rPr>
        <w:t>分）</w:t>
      </w:r>
      <w:r>
        <w:rPr>
          <w:color w:val="auto"/>
          <w:highlight w:val="none"/>
        </w:rPr>
        <w:t>=</w:t>
      </w:r>
      <w:r>
        <w:rPr>
          <w:rFonts w:hint="eastAsia" w:cs="宋体"/>
          <w:color w:val="auto"/>
          <w:highlight w:val="none"/>
        </w:rPr>
        <w:t>商务标得分</w:t>
      </w:r>
      <w:r>
        <w:rPr>
          <w:color w:val="auto"/>
          <w:highlight w:val="none"/>
        </w:rPr>
        <w:t>+</w:t>
      </w:r>
      <w:r>
        <w:rPr>
          <w:rFonts w:hint="eastAsia" w:cs="宋体"/>
          <w:color w:val="auto"/>
          <w:highlight w:val="none"/>
        </w:rPr>
        <w:t>技术标加权得分。</w:t>
      </w:r>
    </w:p>
    <w:p>
      <w:pPr>
        <w:pStyle w:val="5"/>
        <w:ind w:firstLine="420"/>
        <w:rPr>
          <w:color w:val="auto"/>
          <w:highlight w:val="none"/>
        </w:rPr>
      </w:pPr>
      <w:bookmarkStart w:id="361" w:name="_Toc5884"/>
      <w:bookmarkStart w:id="362" w:name="_Toc389065248"/>
      <w:bookmarkStart w:id="363" w:name="_Toc407135178"/>
      <w:bookmarkStart w:id="364" w:name="_Toc66186380"/>
      <w:r>
        <w:rPr>
          <w:color w:val="auto"/>
          <w:highlight w:val="none"/>
        </w:rPr>
        <w:t xml:space="preserve">3.3 </w:t>
      </w:r>
      <w:r>
        <w:rPr>
          <w:rFonts w:hint="eastAsia" w:cs="黑体"/>
          <w:color w:val="auto"/>
          <w:highlight w:val="none"/>
        </w:rPr>
        <w:t>投标文件的澄清和补正</w:t>
      </w:r>
      <w:bookmarkEnd w:id="361"/>
      <w:bookmarkEnd w:id="362"/>
      <w:bookmarkEnd w:id="363"/>
      <w:bookmarkEnd w:id="364"/>
    </w:p>
    <w:p>
      <w:pPr>
        <w:spacing w:line="360" w:lineRule="auto"/>
        <w:ind w:firstLine="420" w:firstLineChars="200"/>
        <w:rPr>
          <w:color w:val="auto"/>
          <w:highlight w:val="none"/>
        </w:rPr>
      </w:pPr>
      <w:r>
        <w:rPr>
          <w:color w:val="auto"/>
          <w:highlight w:val="none"/>
        </w:rPr>
        <w:t xml:space="preserve">3.3.1 </w:t>
      </w:r>
      <w:r>
        <w:rPr>
          <w:rFonts w:hint="eastAsia" w:cs="宋体"/>
          <w:color w:val="auto"/>
          <w:highlight w:val="none"/>
        </w:rPr>
        <w:t>在评标过程中，评标委员会可以书面形式要求投标人对所提交的投标文件中不明确的内容进行书面澄清或说明，也可以要求投标人对细微偏差进行补正。澄清、说明和补正必须由评标委员会书面提出、投标人书面答复，否则无效。评标委员会不接受投标人主动提出的澄清、说明或补正。</w:t>
      </w:r>
    </w:p>
    <w:p>
      <w:pPr>
        <w:spacing w:line="360" w:lineRule="auto"/>
        <w:ind w:firstLine="420" w:firstLineChars="200"/>
        <w:rPr>
          <w:color w:val="auto"/>
          <w:highlight w:val="none"/>
        </w:rPr>
      </w:pPr>
      <w:r>
        <w:rPr>
          <w:color w:val="auto"/>
          <w:highlight w:val="none"/>
        </w:rPr>
        <w:t xml:space="preserve">3.3.2 </w:t>
      </w:r>
      <w:r>
        <w:rPr>
          <w:rFonts w:hint="eastAsia" w:cs="宋体"/>
          <w:color w:val="auto"/>
          <w:highlight w:val="none"/>
        </w:rPr>
        <w:t>澄清、说明和补正不得改变投标文件的实质性内容（算术性错误修正的除外）。投标人的书面澄清、说明和补正属于投标文件的组成部分。</w:t>
      </w:r>
    </w:p>
    <w:p>
      <w:pPr>
        <w:spacing w:line="360" w:lineRule="auto"/>
        <w:ind w:firstLine="420" w:firstLineChars="200"/>
        <w:rPr>
          <w:color w:val="auto"/>
          <w:highlight w:val="none"/>
        </w:rPr>
      </w:pPr>
      <w:r>
        <w:rPr>
          <w:color w:val="auto"/>
          <w:highlight w:val="none"/>
        </w:rPr>
        <w:t xml:space="preserve">3.3.3 </w:t>
      </w:r>
      <w:r>
        <w:rPr>
          <w:rFonts w:hint="eastAsia" w:cs="宋体"/>
          <w:color w:val="auto"/>
          <w:highlight w:val="none"/>
        </w:rPr>
        <w:t>评标委员会对投标人提交的澄清、说明或补正有疑问的，可以要求投标人进一步澄清、说明或补正，直至满足评标委员会的要求。</w:t>
      </w:r>
    </w:p>
    <w:p>
      <w:pPr>
        <w:spacing w:line="360" w:lineRule="auto"/>
        <w:ind w:firstLine="420" w:firstLineChars="200"/>
        <w:rPr>
          <w:color w:val="auto"/>
          <w:highlight w:val="none"/>
        </w:rPr>
      </w:pPr>
      <w:r>
        <w:rPr>
          <w:color w:val="auto"/>
          <w:highlight w:val="none"/>
        </w:rPr>
        <w:t xml:space="preserve">3.3.4 </w:t>
      </w:r>
      <w:r>
        <w:rPr>
          <w:rFonts w:hint="eastAsia" w:cs="宋体"/>
          <w:color w:val="auto"/>
          <w:highlight w:val="none"/>
        </w:rPr>
        <w:t>对投标文件进行澄清、说明和补正时来往的书面材料传递，必须由交易中心的工作人员进行。</w:t>
      </w:r>
    </w:p>
    <w:p>
      <w:pPr>
        <w:pStyle w:val="5"/>
        <w:ind w:firstLine="420"/>
        <w:rPr>
          <w:color w:val="auto"/>
          <w:highlight w:val="none"/>
        </w:rPr>
      </w:pPr>
      <w:bookmarkStart w:id="365" w:name="_Toc389065249"/>
      <w:bookmarkStart w:id="366" w:name="_Toc407135179"/>
      <w:bookmarkStart w:id="367" w:name="_Toc66186381"/>
      <w:bookmarkStart w:id="368" w:name="_Toc30781"/>
      <w:r>
        <w:rPr>
          <w:color w:val="auto"/>
          <w:highlight w:val="none"/>
        </w:rPr>
        <w:t xml:space="preserve">3.4 </w:t>
      </w:r>
      <w:r>
        <w:rPr>
          <w:rFonts w:hint="eastAsia" w:cs="黑体"/>
          <w:color w:val="auto"/>
          <w:highlight w:val="none"/>
        </w:rPr>
        <w:t>评标结果</w:t>
      </w:r>
      <w:bookmarkEnd w:id="365"/>
      <w:bookmarkEnd w:id="366"/>
      <w:bookmarkEnd w:id="367"/>
      <w:bookmarkEnd w:id="368"/>
    </w:p>
    <w:p>
      <w:pPr>
        <w:spacing w:line="360" w:lineRule="auto"/>
        <w:ind w:firstLine="420" w:firstLineChars="200"/>
        <w:rPr>
          <w:color w:val="auto"/>
          <w:highlight w:val="none"/>
        </w:rPr>
      </w:pPr>
      <w:r>
        <w:rPr>
          <w:color w:val="auto"/>
          <w:highlight w:val="none"/>
        </w:rPr>
        <w:t xml:space="preserve">3.4.1 </w:t>
      </w:r>
      <w:r>
        <w:rPr>
          <w:rFonts w:hint="eastAsia" w:cs="宋体"/>
          <w:color w:val="auto"/>
          <w:highlight w:val="none"/>
        </w:rPr>
        <w:t>除第二章</w:t>
      </w:r>
      <w:r>
        <w:rPr>
          <w:color w:val="auto"/>
          <w:highlight w:val="none"/>
        </w:rPr>
        <w:t>“</w:t>
      </w:r>
      <w:r>
        <w:rPr>
          <w:rFonts w:hint="eastAsia" w:cs="宋体"/>
          <w:color w:val="auto"/>
          <w:highlight w:val="none"/>
        </w:rPr>
        <w:t>投标人须知前附表</w:t>
      </w:r>
      <w:r>
        <w:rPr>
          <w:color w:val="auto"/>
          <w:highlight w:val="none"/>
        </w:rPr>
        <w:t>”</w:t>
      </w:r>
      <w:r>
        <w:rPr>
          <w:rFonts w:hint="eastAsia" w:cs="宋体"/>
          <w:color w:val="auto"/>
          <w:highlight w:val="none"/>
        </w:rPr>
        <w:t>授权直接确定中标人外，评标委员会按照本章规定的顺序推荐中标候选人。</w:t>
      </w:r>
    </w:p>
    <w:p>
      <w:pPr>
        <w:spacing w:line="360" w:lineRule="auto"/>
        <w:ind w:firstLine="420" w:firstLineChars="200"/>
        <w:rPr>
          <w:color w:val="auto"/>
          <w:highlight w:val="none"/>
        </w:rPr>
      </w:pPr>
      <w:r>
        <w:rPr>
          <w:color w:val="auto"/>
          <w:highlight w:val="none"/>
        </w:rPr>
        <w:t xml:space="preserve">3.4.2 </w:t>
      </w:r>
      <w:r>
        <w:rPr>
          <w:rFonts w:hint="eastAsia" w:cs="宋体"/>
          <w:color w:val="auto"/>
          <w:highlight w:val="none"/>
        </w:rPr>
        <w:t>评标委员会完成评标后，由应当向招标人提交书面评标报告。</w:t>
      </w:r>
    </w:p>
    <w:p>
      <w:pPr>
        <w:spacing w:line="360" w:lineRule="auto"/>
        <w:ind w:firstLine="424" w:firstLineChars="202"/>
        <w:rPr>
          <w:color w:val="auto"/>
          <w:highlight w:val="none"/>
        </w:rPr>
      </w:pPr>
      <w:r>
        <w:rPr>
          <w:color w:val="auto"/>
          <w:highlight w:val="none"/>
        </w:rPr>
        <w:t xml:space="preserve">3.4.3 </w:t>
      </w:r>
      <w:r>
        <w:rPr>
          <w:rFonts w:hint="eastAsia" w:cs="宋体"/>
          <w:color w:val="auto"/>
          <w:highlight w:val="none"/>
        </w:rPr>
        <w:t>评标委员会应将评标过程中使用的文件、表格以及其他材料</w:t>
      </w:r>
      <w:r>
        <w:rPr>
          <w:rFonts w:hint="eastAsia" w:cs="宋体"/>
          <w:color w:val="auto"/>
          <w:highlight w:val="none"/>
          <w:lang w:eastAsia="zh-CN"/>
        </w:rPr>
        <w:t>及时</w:t>
      </w:r>
      <w:r>
        <w:rPr>
          <w:rFonts w:hint="eastAsia" w:cs="宋体"/>
          <w:color w:val="auto"/>
          <w:highlight w:val="none"/>
        </w:rPr>
        <w:t>归还招标人。招标人应当按照“投标人须知前附表”规定的封存方式封存评标资料。</w:t>
      </w:r>
    </w:p>
    <w:p>
      <w:pPr>
        <w:spacing w:line="360" w:lineRule="auto"/>
        <w:rPr>
          <w:color w:val="auto"/>
          <w:highlight w:val="none"/>
        </w:rPr>
        <w:sectPr>
          <w:pgSz w:w="11907" w:h="16840"/>
          <w:pgMar w:top="1440" w:right="1440" w:bottom="1440" w:left="1797" w:header="851" w:footer="851" w:gutter="0"/>
          <w:cols w:space="720" w:num="1"/>
          <w:docGrid w:linePitch="312" w:charSpace="0"/>
        </w:sectPr>
      </w:pPr>
    </w:p>
    <w:p>
      <w:pPr>
        <w:pStyle w:val="3"/>
        <w:jc w:val="center"/>
        <w:rPr>
          <w:color w:val="auto"/>
          <w:highlight w:val="none"/>
        </w:rPr>
      </w:pPr>
      <w:bookmarkStart w:id="369" w:name="_Toc389065250"/>
      <w:bookmarkStart w:id="370" w:name="_Toc407135180"/>
      <w:bookmarkStart w:id="371" w:name="_Toc66186382"/>
      <w:bookmarkStart w:id="372" w:name="_Toc11981"/>
      <w:r>
        <w:rPr>
          <w:rFonts w:hint="eastAsia" w:cs="黑体"/>
          <w:color w:val="auto"/>
          <w:highlight w:val="none"/>
        </w:rPr>
        <w:t>附件</w:t>
      </w:r>
      <w:r>
        <w:rPr>
          <w:color w:val="auto"/>
          <w:highlight w:val="none"/>
        </w:rPr>
        <w:t>A</w:t>
      </w:r>
      <w:bookmarkEnd w:id="369"/>
      <w:r>
        <w:rPr>
          <w:color w:val="auto"/>
          <w:highlight w:val="none"/>
        </w:rPr>
        <w:t xml:space="preserve">  </w:t>
      </w:r>
      <w:r>
        <w:rPr>
          <w:rFonts w:hint="eastAsia" w:cs="黑体"/>
          <w:color w:val="auto"/>
          <w:highlight w:val="none"/>
        </w:rPr>
        <w:t>评标详细程序</w:t>
      </w:r>
      <w:bookmarkEnd w:id="370"/>
      <w:bookmarkEnd w:id="371"/>
      <w:bookmarkEnd w:id="372"/>
      <w:bookmarkStart w:id="373" w:name="_Toc389065251"/>
    </w:p>
    <w:p>
      <w:pPr>
        <w:pStyle w:val="4"/>
        <w:rPr>
          <w:color w:val="auto"/>
          <w:highlight w:val="none"/>
        </w:rPr>
      </w:pPr>
      <w:bookmarkStart w:id="374" w:name="_Toc66186383"/>
      <w:bookmarkStart w:id="375" w:name="_Toc26136"/>
      <w:bookmarkStart w:id="376" w:name="_Toc407135181"/>
      <w:r>
        <w:rPr>
          <w:color w:val="auto"/>
          <w:highlight w:val="none"/>
        </w:rPr>
        <w:t xml:space="preserve">A0 </w:t>
      </w:r>
      <w:r>
        <w:rPr>
          <w:rFonts w:hint="eastAsia" w:cs="黑体"/>
          <w:color w:val="auto"/>
          <w:highlight w:val="none"/>
        </w:rPr>
        <w:t>总</w:t>
      </w:r>
      <w:r>
        <w:rPr>
          <w:color w:val="auto"/>
          <w:highlight w:val="none"/>
        </w:rPr>
        <w:t xml:space="preserve">  </w:t>
      </w:r>
      <w:r>
        <w:rPr>
          <w:rFonts w:hint="eastAsia" w:cs="黑体"/>
          <w:color w:val="auto"/>
          <w:highlight w:val="none"/>
        </w:rPr>
        <w:t>则</w:t>
      </w:r>
      <w:bookmarkEnd w:id="373"/>
      <w:bookmarkEnd w:id="374"/>
      <w:bookmarkEnd w:id="375"/>
      <w:bookmarkEnd w:id="376"/>
    </w:p>
    <w:p>
      <w:pPr>
        <w:rPr>
          <w:b/>
          <w:color w:val="auto"/>
          <w:highlight w:val="none"/>
        </w:rPr>
      </w:pPr>
      <w:bookmarkStart w:id="377" w:name="_Toc389065252"/>
      <w:r>
        <w:rPr>
          <w:rFonts w:hint="eastAsia" w:cs="宋体"/>
          <w:color w:val="auto"/>
          <w:highlight w:val="none"/>
        </w:rPr>
        <w:t>本附件是本章</w:t>
      </w:r>
      <w:r>
        <w:rPr>
          <w:color w:val="auto"/>
          <w:highlight w:val="none"/>
        </w:rPr>
        <w:t>“</w:t>
      </w:r>
      <w:r>
        <w:rPr>
          <w:rFonts w:hint="eastAsia" w:cs="宋体"/>
          <w:color w:val="auto"/>
          <w:highlight w:val="none"/>
        </w:rPr>
        <w:t>评标办法</w:t>
      </w:r>
      <w:r>
        <w:rPr>
          <w:color w:val="auto"/>
          <w:highlight w:val="none"/>
        </w:rPr>
        <w:t>”</w:t>
      </w:r>
      <w:r>
        <w:rPr>
          <w:rFonts w:hint="eastAsia" w:cs="宋体"/>
          <w:color w:val="auto"/>
          <w:highlight w:val="none"/>
        </w:rPr>
        <w:t>的组成部分，是对本章第</w:t>
      </w:r>
      <w:r>
        <w:rPr>
          <w:color w:val="auto"/>
          <w:highlight w:val="none"/>
        </w:rPr>
        <w:t>3</w:t>
      </w:r>
      <w:r>
        <w:rPr>
          <w:rFonts w:hint="eastAsia" w:cs="宋体"/>
          <w:color w:val="auto"/>
          <w:highlight w:val="none"/>
        </w:rPr>
        <w:t>条所规定的评标程序的进一步细化，评标委员会应当按照本附件所规定的详细程序开展并完成评标工作。</w:t>
      </w:r>
      <w:bookmarkEnd w:id="377"/>
    </w:p>
    <w:p>
      <w:pPr>
        <w:pStyle w:val="4"/>
        <w:rPr>
          <w:color w:val="auto"/>
          <w:highlight w:val="none"/>
        </w:rPr>
      </w:pPr>
      <w:bookmarkStart w:id="378" w:name="_Toc407135182"/>
      <w:bookmarkStart w:id="379" w:name="_Toc66186384"/>
      <w:bookmarkStart w:id="380" w:name="_Toc389065253"/>
      <w:bookmarkStart w:id="381" w:name="_Toc12663"/>
      <w:r>
        <w:rPr>
          <w:color w:val="auto"/>
          <w:highlight w:val="none"/>
        </w:rPr>
        <w:t xml:space="preserve">A1 </w:t>
      </w:r>
      <w:r>
        <w:rPr>
          <w:rFonts w:hint="eastAsia" w:cs="黑体"/>
          <w:color w:val="auto"/>
          <w:highlight w:val="none"/>
        </w:rPr>
        <w:t>基本程序</w:t>
      </w:r>
      <w:bookmarkEnd w:id="378"/>
      <w:bookmarkEnd w:id="379"/>
      <w:bookmarkEnd w:id="380"/>
      <w:bookmarkEnd w:id="381"/>
    </w:p>
    <w:p>
      <w:pPr>
        <w:spacing w:line="360" w:lineRule="auto"/>
        <w:ind w:firstLine="420" w:firstLineChars="200"/>
        <w:rPr>
          <w:color w:val="auto"/>
          <w:highlight w:val="none"/>
        </w:rPr>
      </w:pPr>
      <w:r>
        <w:rPr>
          <w:rFonts w:hint="eastAsia" w:cs="宋体"/>
          <w:color w:val="auto"/>
          <w:highlight w:val="none"/>
        </w:rPr>
        <w:t>评标活动将按以下五个步骤进行：</w:t>
      </w:r>
    </w:p>
    <w:p>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）评标准备；</w:t>
      </w:r>
    </w:p>
    <w:p>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）初步评审；</w:t>
      </w:r>
    </w:p>
    <w:p>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）详细评审；</w:t>
      </w:r>
    </w:p>
    <w:p>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）澄清、说明或补正；</w:t>
      </w:r>
    </w:p>
    <w:p>
      <w:pPr>
        <w:spacing w:line="360" w:lineRule="auto"/>
        <w:ind w:firstLine="420" w:firstLineChars="200"/>
        <w:rPr>
          <w:b/>
          <w:color w:val="auto"/>
          <w:highlight w:val="none"/>
        </w:rPr>
      </w:pPr>
      <w:r>
        <w:rPr>
          <w:rFonts w:hint="eastAsia" w:cs="宋体"/>
          <w:color w:val="auto"/>
          <w:highlight w:val="none"/>
        </w:rPr>
        <w:t>（</w:t>
      </w:r>
      <w:r>
        <w:rPr>
          <w:color w:val="auto"/>
          <w:highlight w:val="none"/>
        </w:rPr>
        <w:t>5</w:t>
      </w:r>
      <w:r>
        <w:rPr>
          <w:rFonts w:hint="eastAsia" w:cs="宋体"/>
          <w:color w:val="auto"/>
          <w:highlight w:val="none"/>
        </w:rPr>
        <w:t>）推荐中标候选人或者直接确定中标人及提交评标报告。</w:t>
      </w:r>
    </w:p>
    <w:p>
      <w:pPr>
        <w:pStyle w:val="4"/>
        <w:rPr>
          <w:color w:val="auto"/>
          <w:highlight w:val="none"/>
        </w:rPr>
      </w:pPr>
      <w:bookmarkStart w:id="382" w:name="_Toc407135183"/>
      <w:bookmarkStart w:id="383" w:name="_Toc13578"/>
      <w:bookmarkStart w:id="384" w:name="_Toc66186385"/>
      <w:r>
        <w:rPr>
          <w:color w:val="auto"/>
          <w:highlight w:val="none"/>
        </w:rPr>
        <w:t xml:space="preserve">A2 </w:t>
      </w:r>
      <w:r>
        <w:rPr>
          <w:rFonts w:hint="eastAsia" w:cs="黑体"/>
          <w:color w:val="auto"/>
          <w:highlight w:val="none"/>
        </w:rPr>
        <w:t>评标准备</w:t>
      </w:r>
      <w:bookmarkEnd w:id="382"/>
      <w:bookmarkEnd w:id="383"/>
      <w:bookmarkEnd w:id="384"/>
    </w:p>
    <w:p>
      <w:pPr>
        <w:rPr>
          <w:color w:val="auto"/>
          <w:highlight w:val="none"/>
        </w:rPr>
      </w:pPr>
      <w:r>
        <w:rPr>
          <w:color w:val="auto"/>
          <w:highlight w:val="none"/>
        </w:rPr>
        <w:t xml:space="preserve">A2.1 </w:t>
      </w:r>
      <w:r>
        <w:rPr>
          <w:rFonts w:hint="eastAsia" w:cs="宋体"/>
          <w:color w:val="auto"/>
          <w:highlight w:val="none"/>
        </w:rPr>
        <w:t>评标委员会成员签到</w:t>
      </w:r>
    </w:p>
    <w:p>
      <w:pPr>
        <w:rPr>
          <w:color w:val="auto"/>
          <w:highlight w:val="none"/>
        </w:rPr>
      </w:pPr>
      <w:r>
        <w:rPr>
          <w:rFonts w:hint="eastAsia" w:cs="宋体"/>
          <w:color w:val="auto"/>
          <w:highlight w:val="none"/>
        </w:rPr>
        <w:t>评标委员会成员到达评标现场时应在签到表上签到以证明其出席。</w:t>
      </w:r>
    </w:p>
    <w:p>
      <w:pPr>
        <w:rPr>
          <w:color w:val="auto"/>
          <w:highlight w:val="none"/>
        </w:rPr>
      </w:pPr>
      <w:r>
        <w:rPr>
          <w:color w:val="auto"/>
          <w:highlight w:val="none"/>
        </w:rPr>
        <w:t xml:space="preserve">A2.2 </w:t>
      </w:r>
      <w:r>
        <w:rPr>
          <w:rFonts w:hint="eastAsia" w:cs="宋体"/>
          <w:color w:val="auto"/>
          <w:highlight w:val="none"/>
        </w:rPr>
        <w:t>评标委员会的组建和分工</w:t>
      </w:r>
    </w:p>
    <w:p>
      <w:pPr>
        <w:rPr>
          <w:color w:val="auto"/>
          <w:highlight w:val="none"/>
        </w:rPr>
      </w:pPr>
      <w:r>
        <w:rPr>
          <w:rFonts w:hint="eastAsia" w:cs="宋体"/>
          <w:color w:val="auto"/>
          <w:highlight w:val="none"/>
        </w:rPr>
        <w:t>评标委员会应按照投标人须知前附表第</w:t>
      </w:r>
      <w:r>
        <w:rPr>
          <w:color w:val="auto"/>
          <w:highlight w:val="none"/>
        </w:rPr>
        <w:t>6.1</w:t>
      </w:r>
      <w:r>
        <w:rPr>
          <w:rFonts w:hint="eastAsia" w:cs="宋体"/>
          <w:color w:val="auto"/>
          <w:highlight w:val="none"/>
        </w:rPr>
        <w:t>条的规定组建。首先通过以记名方式推选一名评标委员会主任。评标委员会主任负责评标活动的组织工作。当需要划分技术类、经济类评委时，应按照规定组建为技术组评委和经济组评委。招标人代表参加评标委员会的，应明确参加类别。</w:t>
      </w:r>
    </w:p>
    <w:p>
      <w:pPr>
        <w:rPr>
          <w:color w:val="auto"/>
          <w:highlight w:val="none"/>
        </w:rPr>
      </w:pPr>
      <w:r>
        <w:rPr>
          <w:rFonts w:hint="eastAsia" w:cs="宋体"/>
          <w:color w:val="auto"/>
          <w:highlight w:val="none"/>
        </w:rPr>
        <w:t>在本附件的表述中，当评委划分为技术类、经济类时，除标明由技术类或经济类评委实施评审外，其余由评标委员会全体委员进行。</w:t>
      </w:r>
    </w:p>
    <w:p>
      <w:pPr>
        <w:rPr>
          <w:color w:val="auto"/>
          <w:highlight w:val="none"/>
        </w:rPr>
      </w:pPr>
      <w:r>
        <w:rPr>
          <w:color w:val="auto"/>
          <w:highlight w:val="none"/>
        </w:rPr>
        <w:t xml:space="preserve">A2.3 </w:t>
      </w:r>
      <w:r>
        <w:rPr>
          <w:rFonts w:hint="eastAsia" w:cs="宋体"/>
          <w:color w:val="auto"/>
          <w:highlight w:val="none"/>
        </w:rPr>
        <w:t>熟悉文件资料</w:t>
      </w:r>
    </w:p>
    <w:p>
      <w:pPr>
        <w:rPr>
          <w:color w:val="auto"/>
          <w:highlight w:val="none"/>
        </w:rPr>
      </w:pPr>
      <w:r>
        <w:rPr>
          <w:color w:val="auto"/>
          <w:highlight w:val="none"/>
        </w:rPr>
        <w:t xml:space="preserve">A2.3.1 </w:t>
      </w:r>
      <w:r>
        <w:rPr>
          <w:rFonts w:hint="eastAsia" w:cs="宋体"/>
          <w:color w:val="auto"/>
          <w:highlight w:val="none"/>
        </w:rPr>
        <w:t>评标委员会主任应组织评标委员会成员认真研究招标文件，了解和熟悉招标目的、招标范围、主要合同条件、技术标准和要求、质量标准和工期要求，掌握评标标准和方法，熟悉本章及附件中包括的评标表格的使用。</w:t>
      </w:r>
    </w:p>
    <w:p>
      <w:pPr>
        <w:rPr>
          <w:b/>
          <w:color w:val="auto"/>
          <w:highlight w:val="none"/>
        </w:rPr>
      </w:pPr>
      <w:r>
        <w:rPr>
          <w:color w:val="auto"/>
          <w:highlight w:val="none"/>
        </w:rPr>
        <w:t xml:space="preserve">A2.3.2 </w:t>
      </w:r>
      <w:r>
        <w:rPr>
          <w:rFonts w:hint="eastAsia" w:cs="宋体"/>
          <w:color w:val="auto"/>
          <w:highlight w:val="none"/>
        </w:rPr>
        <w:t>招标人或招标代理机构应向评标委员会提供评标所需的信息和数据，包括招标文件、未在开标会上当场拒绝的各投标文件、开标会记录、招标控制价、工程所在地工程造价管理部门颁布的工程造价信息、定额（如作为计价依据时）、有关的法律、法规、规章、国家标准以及招标人或评标委员会认为必要的其他信息和数据。</w:t>
      </w:r>
    </w:p>
    <w:p>
      <w:pPr>
        <w:pStyle w:val="4"/>
        <w:rPr>
          <w:color w:val="auto"/>
          <w:highlight w:val="none"/>
        </w:rPr>
      </w:pPr>
      <w:bookmarkStart w:id="385" w:name="_Toc407135184"/>
      <w:bookmarkStart w:id="386" w:name="_Toc3310"/>
      <w:bookmarkStart w:id="387" w:name="_Toc66186386"/>
      <w:r>
        <w:rPr>
          <w:color w:val="auto"/>
          <w:highlight w:val="none"/>
        </w:rPr>
        <w:t xml:space="preserve">A3 </w:t>
      </w:r>
      <w:r>
        <w:rPr>
          <w:rFonts w:hint="eastAsia" w:cs="黑体"/>
          <w:color w:val="auto"/>
          <w:highlight w:val="none"/>
        </w:rPr>
        <w:t>初步评审</w:t>
      </w:r>
      <w:bookmarkEnd w:id="385"/>
      <w:bookmarkEnd w:id="386"/>
      <w:bookmarkEnd w:id="387"/>
    </w:p>
    <w:p>
      <w:pPr>
        <w:rPr>
          <w:color w:val="auto"/>
          <w:spacing w:val="-2"/>
          <w:highlight w:val="none"/>
        </w:rPr>
      </w:pPr>
      <w:r>
        <w:rPr>
          <w:color w:val="auto"/>
          <w:highlight w:val="none"/>
        </w:rPr>
        <w:t xml:space="preserve">A3.1 </w:t>
      </w:r>
      <w:r>
        <w:rPr>
          <w:rFonts w:hint="eastAsia" w:cs="宋体"/>
          <w:color w:val="auto"/>
          <w:highlight w:val="none"/>
        </w:rPr>
        <w:t>资格评审</w:t>
      </w:r>
    </w:p>
    <w:p>
      <w:pPr>
        <w:rPr>
          <w:color w:val="auto"/>
          <w:highlight w:val="none"/>
        </w:rPr>
      </w:pPr>
      <w:r>
        <w:rPr>
          <w:rFonts w:hint="eastAsia" w:cs="宋体"/>
          <w:color w:val="auto"/>
          <w:spacing w:val="-2"/>
          <w:highlight w:val="none"/>
        </w:rPr>
        <w:t>评标委员会根据</w:t>
      </w:r>
      <w:r>
        <w:rPr>
          <w:color w:val="auto"/>
          <w:spacing w:val="-2"/>
          <w:highlight w:val="none"/>
        </w:rPr>
        <w:t>“</w:t>
      </w:r>
      <w:r>
        <w:rPr>
          <w:rFonts w:hint="eastAsia" w:cs="宋体"/>
          <w:color w:val="auto"/>
          <w:spacing w:val="-2"/>
          <w:highlight w:val="none"/>
        </w:rPr>
        <w:t>评标办法前附表</w:t>
      </w:r>
      <w:r>
        <w:rPr>
          <w:color w:val="auto"/>
          <w:spacing w:val="-2"/>
          <w:highlight w:val="none"/>
        </w:rPr>
        <w:t>”</w:t>
      </w:r>
      <w:r>
        <w:rPr>
          <w:rFonts w:hint="eastAsia" w:cs="宋体"/>
          <w:color w:val="auto"/>
          <w:spacing w:val="-2"/>
          <w:highlight w:val="none"/>
        </w:rPr>
        <w:t>中规定的评审因素和评审标准，对投标人的投标文件进行资格评审。</w:t>
      </w:r>
    </w:p>
    <w:p>
      <w:pPr>
        <w:rPr>
          <w:color w:val="auto"/>
          <w:spacing w:val="-2"/>
          <w:highlight w:val="none"/>
        </w:rPr>
      </w:pPr>
      <w:r>
        <w:rPr>
          <w:color w:val="auto"/>
          <w:highlight w:val="none"/>
        </w:rPr>
        <w:t>A3.2</w:t>
      </w:r>
      <w:r>
        <w:rPr>
          <w:rFonts w:hint="eastAsia" w:cs="宋体"/>
          <w:color w:val="auto"/>
          <w:highlight w:val="none"/>
        </w:rPr>
        <w:t>形式评审</w:t>
      </w:r>
    </w:p>
    <w:p>
      <w:pPr>
        <w:rPr>
          <w:color w:val="auto"/>
          <w:highlight w:val="none"/>
        </w:rPr>
      </w:pPr>
      <w:r>
        <w:rPr>
          <w:rFonts w:hint="eastAsia" w:cs="宋体"/>
          <w:color w:val="auto"/>
          <w:spacing w:val="-2"/>
          <w:highlight w:val="none"/>
        </w:rPr>
        <w:t>评标委员会根据</w:t>
      </w:r>
      <w:r>
        <w:rPr>
          <w:color w:val="auto"/>
          <w:spacing w:val="-2"/>
          <w:highlight w:val="none"/>
        </w:rPr>
        <w:t>“</w:t>
      </w:r>
      <w:r>
        <w:rPr>
          <w:rFonts w:hint="eastAsia" w:cs="宋体"/>
          <w:color w:val="auto"/>
          <w:spacing w:val="-2"/>
          <w:highlight w:val="none"/>
        </w:rPr>
        <w:t>评标办法前附表</w:t>
      </w:r>
      <w:r>
        <w:rPr>
          <w:color w:val="auto"/>
          <w:spacing w:val="-2"/>
          <w:highlight w:val="none"/>
        </w:rPr>
        <w:t>”</w:t>
      </w:r>
      <w:r>
        <w:rPr>
          <w:rFonts w:hint="eastAsia" w:cs="宋体"/>
          <w:color w:val="auto"/>
          <w:spacing w:val="-2"/>
          <w:highlight w:val="none"/>
        </w:rPr>
        <w:t>中规定的评审因素和评审标准，对投标人的投标文件进行形式评审。</w:t>
      </w:r>
    </w:p>
    <w:p>
      <w:pPr>
        <w:rPr>
          <w:color w:val="auto"/>
          <w:highlight w:val="none"/>
        </w:rPr>
      </w:pPr>
      <w:r>
        <w:rPr>
          <w:color w:val="auto"/>
          <w:highlight w:val="none"/>
        </w:rPr>
        <w:t xml:space="preserve">A3.3 </w:t>
      </w:r>
      <w:r>
        <w:rPr>
          <w:rFonts w:hint="eastAsia" w:cs="宋体"/>
          <w:color w:val="auto"/>
          <w:highlight w:val="none"/>
        </w:rPr>
        <w:t>响应性评审</w:t>
      </w:r>
    </w:p>
    <w:p>
      <w:pPr>
        <w:rPr>
          <w:color w:val="auto"/>
          <w:highlight w:val="none"/>
        </w:rPr>
      </w:pPr>
      <w:r>
        <w:rPr>
          <w:color w:val="auto"/>
          <w:highlight w:val="none"/>
        </w:rPr>
        <w:t xml:space="preserve">A3.3.1 </w:t>
      </w:r>
      <w:r>
        <w:rPr>
          <w:rFonts w:hint="eastAsia" w:cs="宋体"/>
          <w:color w:val="auto"/>
          <w:highlight w:val="none"/>
        </w:rPr>
        <w:t>评标委员会根据</w:t>
      </w:r>
      <w:r>
        <w:rPr>
          <w:color w:val="auto"/>
          <w:highlight w:val="none"/>
        </w:rPr>
        <w:t>“</w:t>
      </w:r>
      <w:r>
        <w:rPr>
          <w:rFonts w:hint="eastAsia" w:cs="宋体"/>
          <w:color w:val="auto"/>
          <w:highlight w:val="none"/>
        </w:rPr>
        <w:t>评标办法前附表</w:t>
      </w:r>
      <w:r>
        <w:rPr>
          <w:color w:val="auto"/>
          <w:highlight w:val="none"/>
        </w:rPr>
        <w:t>”</w:t>
      </w:r>
      <w:r>
        <w:rPr>
          <w:rFonts w:hint="eastAsia" w:cs="宋体"/>
          <w:color w:val="auto"/>
          <w:highlight w:val="none"/>
        </w:rPr>
        <w:t>中规定的评审因素和评审标准，对投标人的投标文件进行响应性评审。</w:t>
      </w:r>
    </w:p>
    <w:p>
      <w:pPr>
        <w:rPr>
          <w:color w:val="auto"/>
          <w:highlight w:val="none"/>
        </w:rPr>
      </w:pPr>
      <w:r>
        <w:rPr>
          <w:color w:val="auto"/>
          <w:highlight w:val="none"/>
        </w:rPr>
        <w:t xml:space="preserve">A3.3.2 </w:t>
      </w:r>
      <w:r>
        <w:rPr>
          <w:rFonts w:hint="eastAsia" w:cs="宋体"/>
          <w:color w:val="auto"/>
          <w:highlight w:val="none"/>
        </w:rPr>
        <w:t>投标人投标总价不得超出（不含等于）招标人公布的招标控制价，凡投标人的投标总价超出招标控制价的，该投标人的投标文件不能通过响应性评审。</w:t>
      </w:r>
    </w:p>
    <w:p>
      <w:pPr>
        <w:rPr>
          <w:color w:val="auto"/>
          <w:highlight w:val="none"/>
        </w:rPr>
      </w:pPr>
      <w:r>
        <w:rPr>
          <w:color w:val="auto"/>
          <w:highlight w:val="none"/>
        </w:rPr>
        <w:t xml:space="preserve">A3.4 </w:t>
      </w:r>
      <w:r>
        <w:rPr>
          <w:rFonts w:hint="eastAsia" w:cs="宋体"/>
          <w:color w:val="auto"/>
          <w:highlight w:val="none"/>
        </w:rPr>
        <w:t>判断投标是否为否决投标</w:t>
      </w:r>
    </w:p>
    <w:p>
      <w:pPr>
        <w:rPr>
          <w:color w:val="auto"/>
          <w:highlight w:val="none"/>
        </w:rPr>
      </w:pPr>
      <w:r>
        <w:rPr>
          <w:color w:val="auto"/>
          <w:highlight w:val="none"/>
        </w:rPr>
        <w:t xml:space="preserve">A3.4.1 </w:t>
      </w:r>
      <w:r>
        <w:rPr>
          <w:rFonts w:hint="eastAsia" w:cs="宋体"/>
          <w:color w:val="auto"/>
          <w:highlight w:val="none"/>
        </w:rPr>
        <w:t>判断投标人的投标是否为否决投标的全部条件（包括本章第</w:t>
      </w:r>
      <w:r>
        <w:rPr>
          <w:color w:val="auto"/>
          <w:highlight w:val="none"/>
        </w:rPr>
        <w:t>3.1.2</w:t>
      </w:r>
      <w:r>
        <w:rPr>
          <w:rFonts w:hint="eastAsia" w:cs="宋体"/>
          <w:color w:val="auto"/>
          <w:highlight w:val="none"/>
        </w:rPr>
        <w:t>项中规定的条件），在本章附件</w:t>
      </w:r>
      <w:r>
        <w:rPr>
          <w:color w:val="auto"/>
          <w:highlight w:val="none"/>
        </w:rPr>
        <w:t>B</w:t>
      </w:r>
      <w:r>
        <w:rPr>
          <w:rFonts w:hint="eastAsia" w:cs="宋体"/>
          <w:color w:val="auto"/>
          <w:highlight w:val="none"/>
        </w:rPr>
        <w:t>中集中列示。</w:t>
      </w:r>
    </w:p>
    <w:p>
      <w:pPr>
        <w:rPr>
          <w:color w:val="auto"/>
          <w:highlight w:val="none"/>
        </w:rPr>
      </w:pPr>
      <w:r>
        <w:rPr>
          <w:color w:val="auto"/>
          <w:highlight w:val="none"/>
        </w:rPr>
        <w:t xml:space="preserve">A3.4.2 </w:t>
      </w:r>
      <w:r>
        <w:rPr>
          <w:rFonts w:hint="eastAsia" w:cs="宋体"/>
          <w:color w:val="auto"/>
          <w:highlight w:val="none"/>
        </w:rPr>
        <w:t>本章附件</w:t>
      </w:r>
      <w:r>
        <w:rPr>
          <w:color w:val="auto"/>
          <w:highlight w:val="none"/>
        </w:rPr>
        <w:t>B</w:t>
      </w:r>
      <w:r>
        <w:rPr>
          <w:rFonts w:hint="eastAsia" w:cs="宋体"/>
          <w:color w:val="auto"/>
          <w:highlight w:val="none"/>
        </w:rPr>
        <w:t>集中列示的否决投标条件不应与第二章</w:t>
      </w:r>
      <w:r>
        <w:rPr>
          <w:color w:val="auto"/>
          <w:highlight w:val="none"/>
        </w:rPr>
        <w:t>“</w:t>
      </w:r>
      <w:r>
        <w:rPr>
          <w:rFonts w:hint="eastAsia" w:cs="宋体"/>
          <w:color w:val="auto"/>
          <w:highlight w:val="none"/>
        </w:rPr>
        <w:t>投标人须知</w:t>
      </w:r>
      <w:r>
        <w:rPr>
          <w:color w:val="auto"/>
          <w:highlight w:val="none"/>
        </w:rPr>
        <w:t>”</w:t>
      </w:r>
      <w:r>
        <w:rPr>
          <w:rFonts w:hint="eastAsia" w:cs="宋体"/>
          <w:color w:val="auto"/>
          <w:highlight w:val="none"/>
        </w:rPr>
        <w:t>和本章正文部分包括的否决投标条件抵触，如果出现相互矛盾的情况，以第二章</w:t>
      </w:r>
      <w:r>
        <w:rPr>
          <w:color w:val="auto"/>
          <w:highlight w:val="none"/>
        </w:rPr>
        <w:t>“</w:t>
      </w:r>
      <w:r>
        <w:rPr>
          <w:rFonts w:hint="eastAsia" w:cs="宋体"/>
          <w:color w:val="auto"/>
          <w:highlight w:val="none"/>
        </w:rPr>
        <w:t>投标人须知</w:t>
      </w:r>
      <w:r>
        <w:rPr>
          <w:color w:val="auto"/>
          <w:highlight w:val="none"/>
        </w:rPr>
        <w:t>”</w:t>
      </w:r>
      <w:r>
        <w:rPr>
          <w:rFonts w:hint="eastAsia" w:cs="宋体"/>
          <w:color w:val="auto"/>
          <w:highlight w:val="none"/>
        </w:rPr>
        <w:t>和本章正文部分的规定为准。</w:t>
      </w:r>
    </w:p>
    <w:p>
      <w:pPr>
        <w:rPr>
          <w:color w:val="auto"/>
          <w:highlight w:val="none"/>
        </w:rPr>
      </w:pPr>
      <w:r>
        <w:rPr>
          <w:color w:val="auto"/>
          <w:highlight w:val="none"/>
        </w:rPr>
        <w:t xml:space="preserve">A3.4.3 </w:t>
      </w:r>
      <w:r>
        <w:rPr>
          <w:rFonts w:hint="eastAsia" w:cs="宋体"/>
          <w:color w:val="auto"/>
          <w:highlight w:val="none"/>
        </w:rPr>
        <w:t>评标委员会在评标过程中，依据本章附件</w:t>
      </w:r>
      <w:r>
        <w:rPr>
          <w:color w:val="auto"/>
          <w:highlight w:val="none"/>
        </w:rPr>
        <w:t>B</w:t>
      </w:r>
      <w:r>
        <w:rPr>
          <w:rFonts w:hint="eastAsia" w:cs="宋体"/>
          <w:color w:val="auto"/>
          <w:highlight w:val="none"/>
        </w:rPr>
        <w:t>中规定的否决投标条件判断投标人的投标是否为否决投标。</w:t>
      </w:r>
    </w:p>
    <w:p>
      <w:pPr>
        <w:rPr>
          <w:color w:val="auto"/>
          <w:highlight w:val="none"/>
        </w:rPr>
      </w:pPr>
      <w:r>
        <w:rPr>
          <w:color w:val="auto"/>
          <w:highlight w:val="none"/>
        </w:rPr>
        <w:t xml:space="preserve">A3.5 </w:t>
      </w:r>
      <w:r>
        <w:rPr>
          <w:rFonts w:hint="eastAsia" w:cs="宋体"/>
          <w:color w:val="auto"/>
          <w:highlight w:val="none"/>
        </w:rPr>
        <w:t>澄清、说明或补正</w:t>
      </w:r>
    </w:p>
    <w:p>
      <w:pPr>
        <w:rPr>
          <w:color w:val="auto"/>
          <w:highlight w:val="none"/>
        </w:rPr>
      </w:pPr>
      <w:r>
        <w:rPr>
          <w:rFonts w:hint="eastAsia" w:cs="宋体"/>
          <w:color w:val="auto"/>
          <w:highlight w:val="none"/>
        </w:rPr>
        <w:t>在初步评审过程中，评标委员会应当就投标文件中不明确的内容要求投标人进行澄清、说明或者补正。投标人应当根据问题澄清通知要求，以书面形式予以澄清、说明或者补正。澄清、说明或补正根据本章第</w:t>
      </w:r>
      <w:r>
        <w:rPr>
          <w:color w:val="auto"/>
          <w:highlight w:val="none"/>
        </w:rPr>
        <w:t>3.3</w:t>
      </w:r>
      <w:r>
        <w:rPr>
          <w:rFonts w:hint="eastAsia" w:cs="宋体"/>
          <w:color w:val="auto"/>
          <w:highlight w:val="none"/>
        </w:rPr>
        <w:t>款的规定进行。</w:t>
      </w:r>
    </w:p>
    <w:p>
      <w:pPr>
        <w:pStyle w:val="4"/>
        <w:rPr>
          <w:color w:val="auto"/>
          <w:highlight w:val="none"/>
        </w:rPr>
      </w:pPr>
      <w:bookmarkStart w:id="388" w:name="_Toc66186387"/>
      <w:bookmarkStart w:id="389" w:name="_Toc407135185"/>
      <w:bookmarkStart w:id="390" w:name="_Toc25179"/>
      <w:r>
        <w:rPr>
          <w:color w:val="auto"/>
          <w:highlight w:val="none"/>
        </w:rPr>
        <w:t xml:space="preserve">A4 </w:t>
      </w:r>
      <w:r>
        <w:rPr>
          <w:rFonts w:hint="eastAsia" w:cs="黑体"/>
          <w:color w:val="auto"/>
          <w:highlight w:val="none"/>
        </w:rPr>
        <w:t>详细评审</w:t>
      </w:r>
      <w:bookmarkEnd w:id="388"/>
      <w:bookmarkEnd w:id="389"/>
      <w:bookmarkEnd w:id="390"/>
    </w:p>
    <w:p>
      <w:pPr>
        <w:spacing w:line="360" w:lineRule="auto"/>
        <w:ind w:firstLine="420" w:firstLineChars="200"/>
        <w:rPr>
          <w:color w:val="auto"/>
          <w:highlight w:val="none"/>
        </w:rPr>
      </w:pPr>
      <w:r>
        <w:rPr>
          <w:rFonts w:hint="eastAsia" w:cs="宋体"/>
          <w:color w:val="auto"/>
          <w:highlight w:val="none"/>
        </w:rPr>
        <w:t>只有通过了初步评审、被判定为合格的投标方可进入详细评审。</w:t>
      </w:r>
    </w:p>
    <w:p>
      <w:pPr>
        <w:spacing w:line="360" w:lineRule="auto"/>
        <w:ind w:firstLine="420" w:firstLineChars="200"/>
        <w:rPr>
          <w:color w:val="auto"/>
          <w:highlight w:val="none"/>
        </w:rPr>
      </w:pPr>
      <w:r>
        <w:rPr>
          <w:color w:val="auto"/>
          <w:highlight w:val="none"/>
        </w:rPr>
        <w:t xml:space="preserve">A4.1 </w:t>
      </w:r>
      <w:r>
        <w:rPr>
          <w:rFonts w:hint="eastAsia" w:cs="宋体"/>
          <w:color w:val="auto"/>
          <w:highlight w:val="none"/>
        </w:rPr>
        <w:t>对投标文件进行基础性数据分析和整理工作（清标）</w:t>
      </w:r>
    </w:p>
    <w:p>
      <w:pPr>
        <w:spacing w:line="360" w:lineRule="auto"/>
        <w:ind w:firstLine="420" w:firstLineChars="200"/>
        <w:rPr>
          <w:rFonts w:eastAsia="楷体_GB2312"/>
          <w:color w:val="auto"/>
          <w:highlight w:val="none"/>
        </w:rPr>
      </w:pPr>
      <w:r>
        <w:rPr>
          <w:rFonts w:hint="eastAsia" w:eastAsia="楷体_GB2312" w:cs="楷体_GB2312"/>
          <w:color w:val="auto"/>
          <w:highlight w:val="none"/>
        </w:rPr>
        <w:t>【备注：根据项目情况进行设置】</w:t>
      </w:r>
    </w:p>
    <w:p>
      <w:pPr>
        <w:spacing w:line="360" w:lineRule="auto"/>
        <w:ind w:firstLine="420" w:firstLineChars="200"/>
        <w:rPr>
          <w:color w:val="auto"/>
          <w:highlight w:val="none"/>
        </w:rPr>
      </w:pPr>
      <w:r>
        <w:rPr>
          <w:color w:val="auto"/>
          <w:highlight w:val="none"/>
        </w:rPr>
        <w:t xml:space="preserve">A4.2 </w:t>
      </w:r>
      <w:r>
        <w:rPr>
          <w:rFonts w:hint="eastAsia" w:cs="宋体"/>
          <w:color w:val="auto"/>
          <w:highlight w:val="none"/>
        </w:rPr>
        <w:t>算术错误修正</w:t>
      </w:r>
    </w:p>
    <w:p>
      <w:pPr>
        <w:spacing w:line="360" w:lineRule="auto"/>
        <w:ind w:firstLine="420" w:firstLineChars="200"/>
        <w:rPr>
          <w:color w:val="auto"/>
          <w:highlight w:val="none"/>
        </w:rPr>
      </w:pPr>
      <w:r>
        <w:rPr>
          <w:rFonts w:hint="eastAsia" w:cs="宋体"/>
          <w:color w:val="auto"/>
          <w:highlight w:val="none"/>
        </w:rPr>
        <w:t>评标委员会</w:t>
      </w:r>
      <w:r>
        <w:rPr>
          <w:rFonts w:hint="eastAsia" w:cs="宋体"/>
          <w:color w:val="auto"/>
          <w:spacing w:val="-2"/>
          <w:highlight w:val="none"/>
        </w:rPr>
        <w:t>经济组评委</w:t>
      </w:r>
      <w:r>
        <w:rPr>
          <w:rFonts w:hint="eastAsia" w:cs="宋体"/>
          <w:color w:val="auto"/>
          <w:highlight w:val="none"/>
        </w:rPr>
        <w:t>依据本章中规定的相关原则对投标报价中存在的算术错误进行修正，并根据算术错误修正结果计算评标基准价。</w:t>
      </w:r>
    </w:p>
    <w:p>
      <w:pPr>
        <w:spacing w:line="360" w:lineRule="auto"/>
        <w:ind w:firstLine="420" w:firstLineChars="200"/>
        <w:rPr>
          <w:color w:val="auto"/>
          <w:highlight w:val="none"/>
        </w:rPr>
      </w:pPr>
      <w:r>
        <w:rPr>
          <w:color w:val="auto"/>
          <w:highlight w:val="none"/>
        </w:rPr>
        <w:t xml:space="preserve">A4.3 </w:t>
      </w:r>
      <w:r>
        <w:rPr>
          <w:rFonts w:hint="eastAsia" w:cs="宋体"/>
          <w:color w:val="auto"/>
          <w:highlight w:val="none"/>
        </w:rPr>
        <w:t>详细评审的程序</w:t>
      </w:r>
    </w:p>
    <w:p>
      <w:pPr>
        <w:spacing w:line="360" w:lineRule="auto"/>
        <w:ind w:firstLine="420" w:firstLineChars="200"/>
        <w:rPr>
          <w:color w:val="auto"/>
          <w:highlight w:val="none"/>
        </w:rPr>
      </w:pPr>
      <w:r>
        <w:rPr>
          <w:color w:val="auto"/>
          <w:highlight w:val="none"/>
        </w:rPr>
        <w:t xml:space="preserve">A4.3.1 </w:t>
      </w:r>
      <w:r>
        <w:rPr>
          <w:rFonts w:hint="eastAsia" w:cs="宋体"/>
          <w:color w:val="auto"/>
          <w:highlight w:val="none"/>
        </w:rPr>
        <w:t>评标委员会按照本章第</w:t>
      </w:r>
      <w:r>
        <w:rPr>
          <w:color w:val="auto"/>
          <w:highlight w:val="none"/>
        </w:rPr>
        <w:t>3.2</w:t>
      </w:r>
      <w:r>
        <w:rPr>
          <w:rFonts w:hint="eastAsia" w:cs="宋体"/>
          <w:color w:val="auto"/>
          <w:highlight w:val="none"/>
        </w:rPr>
        <w:t>款中规定的程序进行详细评审：</w:t>
      </w:r>
    </w:p>
    <w:p>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）技术标评审和评分；</w:t>
      </w:r>
    </w:p>
    <w:p>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）商务标评审和评分；</w:t>
      </w:r>
    </w:p>
    <w:p>
      <w:pPr>
        <w:spacing w:line="360" w:lineRule="auto"/>
        <w:ind w:firstLine="945" w:firstLineChars="450"/>
        <w:rPr>
          <w:rFonts w:cs="宋体"/>
          <w:color w:val="auto"/>
          <w:highlight w:val="none"/>
        </w:rPr>
      </w:pPr>
      <w:r>
        <w:rPr>
          <w:rFonts w:hint="eastAsia" w:cs="宋体"/>
          <w:color w:val="auto"/>
          <w:highlight w:val="none"/>
        </w:rPr>
        <w:t>①企业信誉实力评审和评分；</w:t>
      </w:r>
    </w:p>
    <w:p>
      <w:pPr>
        <w:spacing w:line="360" w:lineRule="auto"/>
        <w:ind w:firstLine="945" w:firstLineChars="450"/>
        <w:rPr>
          <w:color w:val="auto"/>
          <w:highlight w:val="none"/>
        </w:rPr>
      </w:pPr>
      <w:r>
        <w:rPr>
          <w:rFonts w:hint="eastAsia" w:cs="宋体"/>
          <w:color w:val="auto"/>
          <w:highlight w:val="none"/>
        </w:rPr>
        <w:t>②报价分评审和评分</w:t>
      </w:r>
    </w:p>
    <w:p>
      <w:pPr>
        <w:spacing w:line="360" w:lineRule="auto"/>
        <w:ind w:firstLine="420" w:firstLineChars="200"/>
        <w:rPr>
          <w:color w:val="auto"/>
          <w:highlight w:val="none"/>
        </w:rPr>
      </w:pPr>
      <w:r>
        <w:rPr>
          <w:rFonts w:hint="eastAsia" w:cs="宋体"/>
          <w:color w:val="auto"/>
          <w:highlight w:val="none"/>
        </w:rPr>
        <w:t>（</w:t>
      </w:r>
      <w:r>
        <w:rPr>
          <w:rFonts w:hint="eastAsia"/>
          <w:color w:val="auto"/>
          <w:highlight w:val="none"/>
        </w:rPr>
        <w:t>3</w:t>
      </w:r>
      <w:r>
        <w:rPr>
          <w:rFonts w:hint="eastAsia" w:cs="宋体"/>
          <w:color w:val="auto"/>
          <w:highlight w:val="none"/>
        </w:rPr>
        <w:t>）汇总评分结果。</w:t>
      </w:r>
    </w:p>
    <w:p>
      <w:pPr>
        <w:spacing w:line="360" w:lineRule="auto"/>
        <w:ind w:firstLine="420" w:firstLineChars="200"/>
        <w:rPr>
          <w:color w:val="auto"/>
          <w:highlight w:val="none"/>
        </w:rPr>
      </w:pPr>
      <w:r>
        <w:rPr>
          <w:color w:val="auto"/>
          <w:highlight w:val="none"/>
        </w:rPr>
        <w:t xml:space="preserve">A4.4 </w:t>
      </w:r>
      <w:r>
        <w:rPr>
          <w:rFonts w:hint="eastAsia" w:cs="宋体"/>
          <w:color w:val="auto"/>
          <w:highlight w:val="none"/>
        </w:rPr>
        <w:t>技术标评审和评分</w:t>
      </w:r>
    </w:p>
    <w:p>
      <w:pPr>
        <w:spacing w:line="360" w:lineRule="auto"/>
        <w:ind w:firstLine="420" w:firstLineChars="200"/>
        <w:rPr>
          <w:color w:val="auto"/>
          <w:highlight w:val="none"/>
        </w:rPr>
      </w:pPr>
      <w:r>
        <w:rPr>
          <w:rFonts w:hint="eastAsia" w:cs="宋体"/>
          <w:color w:val="auto"/>
          <w:highlight w:val="none"/>
        </w:rPr>
        <w:t>按照</w:t>
      </w:r>
      <w:r>
        <w:rPr>
          <w:color w:val="auto"/>
          <w:highlight w:val="none"/>
        </w:rPr>
        <w:t>“</w:t>
      </w:r>
      <w:r>
        <w:rPr>
          <w:rFonts w:hint="eastAsia" w:cs="宋体"/>
          <w:color w:val="auto"/>
          <w:highlight w:val="none"/>
        </w:rPr>
        <w:t>评标办法前附表</w:t>
      </w:r>
      <w:r>
        <w:rPr>
          <w:color w:val="auto"/>
          <w:highlight w:val="none"/>
        </w:rPr>
        <w:t>”</w:t>
      </w:r>
      <w:r>
        <w:rPr>
          <w:rFonts w:hint="eastAsia" w:cs="宋体"/>
          <w:color w:val="auto"/>
          <w:highlight w:val="none"/>
        </w:rPr>
        <w:t>中规定的分值设定、各项评分因素、评分标准，由</w:t>
      </w:r>
      <w:r>
        <w:rPr>
          <w:rFonts w:hint="eastAsia" w:cs="宋体"/>
          <w:color w:val="auto"/>
          <w:spacing w:val="-2"/>
          <w:highlight w:val="none"/>
        </w:rPr>
        <w:t>评标委员会的技术组评委</w:t>
      </w:r>
      <w:r>
        <w:rPr>
          <w:rFonts w:hint="eastAsia" w:cs="宋体"/>
          <w:color w:val="auto"/>
          <w:highlight w:val="none"/>
        </w:rPr>
        <w:t>进行评审和评分。</w:t>
      </w:r>
    </w:p>
    <w:p>
      <w:pPr>
        <w:spacing w:line="360" w:lineRule="auto"/>
        <w:ind w:firstLine="420" w:firstLineChars="200"/>
        <w:rPr>
          <w:color w:val="auto"/>
          <w:highlight w:val="none"/>
        </w:rPr>
      </w:pPr>
      <w:r>
        <w:rPr>
          <w:color w:val="auto"/>
          <w:highlight w:val="none"/>
        </w:rPr>
        <w:t xml:space="preserve">A4.5 </w:t>
      </w:r>
      <w:r>
        <w:rPr>
          <w:rFonts w:hint="eastAsia" w:cs="宋体"/>
          <w:color w:val="auto"/>
          <w:highlight w:val="none"/>
        </w:rPr>
        <w:t>报价分评审和评分</w:t>
      </w:r>
    </w:p>
    <w:p>
      <w:pPr>
        <w:spacing w:line="360" w:lineRule="auto"/>
        <w:ind w:firstLine="420" w:firstLineChars="200"/>
        <w:rPr>
          <w:color w:val="auto"/>
          <w:highlight w:val="none"/>
        </w:rPr>
      </w:pPr>
      <w:r>
        <w:rPr>
          <w:color w:val="auto"/>
          <w:highlight w:val="none"/>
        </w:rPr>
        <w:t>A4.5.1</w:t>
      </w:r>
      <w:r>
        <w:rPr>
          <w:rFonts w:hint="eastAsia" w:cs="宋体"/>
          <w:color w:val="auto"/>
          <w:spacing w:val="-2"/>
          <w:highlight w:val="none"/>
        </w:rPr>
        <w:t>评标委员会的经济组评委</w:t>
      </w:r>
      <w:r>
        <w:rPr>
          <w:rFonts w:hint="eastAsia" w:cs="宋体"/>
          <w:color w:val="auto"/>
          <w:highlight w:val="none"/>
        </w:rPr>
        <w:t>按照</w:t>
      </w:r>
      <w:r>
        <w:rPr>
          <w:color w:val="auto"/>
          <w:highlight w:val="none"/>
        </w:rPr>
        <w:t>“</w:t>
      </w:r>
      <w:r>
        <w:rPr>
          <w:rFonts w:hint="eastAsia" w:cs="宋体"/>
          <w:color w:val="auto"/>
          <w:highlight w:val="none"/>
        </w:rPr>
        <w:t>评标办法前附表</w:t>
      </w:r>
      <w:r>
        <w:rPr>
          <w:color w:val="auto"/>
          <w:highlight w:val="none"/>
        </w:rPr>
        <w:t>”</w:t>
      </w:r>
      <w:r>
        <w:rPr>
          <w:rFonts w:hint="eastAsia" w:cs="宋体"/>
          <w:color w:val="auto"/>
          <w:highlight w:val="none"/>
        </w:rPr>
        <w:t>中规定的方法计算</w:t>
      </w:r>
      <w:r>
        <w:rPr>
          <w:color w:val="auto"/>
          <w:highlight w:val="none"/>
        </w:rPr>
        <w:t>“</w:t>
      </w:r>
      <w:r>
        <w:rPr>
          <w:rFonts w:hint="eastAsia" w:cs="宋体"/>
          <w:color w:val="auto"/>
          <w:highlight w:val="none"/>
        </w:rPr>
        <w:t>评标基准价</w:t>
      </w:r>
      <w:r>
        <w:rPr>
          <w:color w:val="auto"/>
          <w:highlight w:val="none"/>
        </w:rPr>
        <w:t>”</w:t>
      </w:r>
      <w:r>
        <w:rPr>
          <w:rFonts w:hint="eastAsia" w:cs="宋体"/>
          <w:color w:val="auto"/>
          <w:highlight w:val="none"/>
        </w:rPr>
        <w:t>。</w:t>
      </w:r>
    </w:p>
    <w:p>
      <w:pPr>
        <w:spacing w:line="360" w:lineRule="auto"/>
        <w:ind w:firstLine="420" w:firstLineChars="200"/>
        <w:rPr>
          <w:color w:val="auto"/>
          <w:highlight w:val="none"/>
        </w:rPr>
      </w:pPr>
      <w:r>
        <w:rPr>
          <w:color w:val="auto"/>
          <w:highlight w:val="none"/>
        </w:rPr>
        <w:t>A4.5.2</w:t>
      </w:r>
      <w:r>
        <w:rPr>
          <w:rFonts w:hint="eastAsia" w:cs="宋体"/>
          <w:color w:val="auto"/>
          <w:spacing w:val="-2"/>
          <w:highlight w:val="none"/>
        </w:rPr>
        <w:t>评标委员会的经济组评委</w:t>
      </w:r>
      <w:r>
        <w:rPr>
          <w:rFonts w:hint="eastAsia" w:cs="宋体"/>
          <w:color w:val="auto"/>
          <w:highlight w:val="none"/>
        </w:rPr>
        <w:t>按照</w:t>
      </w:r>
      <w:r>
        <w:rPr>
          <w:color w:val="auto"/>
          <w:highlight w:val="none"/>
        </w:rPr>
        <w:t>“</w:t>
      </w:r>
      <w:r>
        <w:rPr>
          <w:rFonts w:hint="eastAsia" w:cs="宋体"/>
          <w:color w:val="auto"/>
          <w:highlight w:val="none"/>
        </w:rPr>
        <w:t>评标办法前附表</w:t>
      </w:r>
      <w:r>
        <w:rPr>
          <w:color w:val="auto"/>
          <w:highlight w:val="none"/>
        </w:rPr>
        <w:t>”</w:t>
      </w:r>
      <w:r>
        <w:rPr>
          <w:rFonts w:hint="eastAsia" w:cs="宋体"/>
          <w:color w:val="auto"/>
          <w:highlight w:val="none"/>
        </w:rPr>
        <w:t>中规定的方法，计算各个已通过了初步评审和技术标评审的报价分得分。</w:t>
      </w:r>
    </w:p>
    <w:p>
      <w:pPr>
        <w:spacing w:line="360" w:lineRule="auto"/>
        <w:ind w:firstLine="420" w:firstLineChars="200"/>
        <w:rPr>
          <w:color w:val="auto"/>
          <w:highlight w:val="none"/>
        </w:rPr>
      </w:pPr>
      <w:r>
        <w:rPr>
          <w:color w:val="auto"/>
          <w:highlight w:val="none"/>
        </w:rPr>
        <w:t xml:space="preserve">A4.6 </w:t>
      </w:r>
      <w:r>
        <w:rPr>
          <w:rFonts w:hint="eastAsia" w:cs="宋体"/>
          <w:color w:val="auto"/>
          <w:highlight w:val="none"/>
        </w:rPr>
        <w:t>企业信誉实力评审和评分</w:t>
      </w:r>
    </w:p>
    <w:p>
      <w:pPr>
        <w:spacing w:line="360" w:lineRule="auto"/>
        <w:ind w:firstLine="412" w:firstLineChars="200"/>
        <w:rPr>
          <w:color w:val="auto"/>
          <w:highlight w:val="none"/>
        </w:rPr>
      </w:pPr>
      <w:r>
        <w:rPr>
          <w:rFonts w:hint="eastAsia" w:cs="宋体"/>
          <w:color w:val="auto"/>
          <w:spacing w:val="-2"/>
          <w:highlight w:val="none"/>
        </w:rPr>
        <w:t>评标委员会</w:t>
      </w:r>
      <w:r>
        <w:rPr>
          <w:rFonts w:hint="eastAsia" w:cs="宋体"/>
          <w:color w:val="auto"/>
          <w:highlight w:val="none"/>
        </w:rPr>
        <w:t>根据</w:t>
      </w:r>
      <w:r>
        <w:rPr>
          <w:color w:val="auto"/>
          <w:highlight w:val="none"/>
        </w:rPr>
        <w:t>“</w:t>
      </w:r>
      <w:r>
        <w:rPr>
          <w:rFonts w:hint="eastAsia" w:cs="宋体"/>
          <w:color w:val="auto"/>
          <w:highlight w:val="none"/>
        </w:rPr>
        <w:t>评标办法前附表</w:t>
      </w:r>
      <w:r>
        <w:rPr>
          <w:color w:val="auto"/>
          <w:highlight w:val="none"/>
        </w:rPr>
        <w:t>”</w:t>
      </w:r>
      <w:r>
        <w:rPr>
          <w:rFonts w:hint="eastAsia" w:cs="宋体"/>
          <w:color w:val="auto"/>
          <w:highlight w:val="none"/>
        </w:rPr>
        <w:t>中规定的分值设定、各项评分因素和相应的评分标准进行评审和评分。</w:t>
      </w:r>
    </w:p>
    <w:p>
      <w:pPr>
        <w:spacing w:line="360" w:lineRule="auto"/>
        <w:ind w:firstLine="420" w:firstLineChars="200"/>
        <w:rPr>
          <w:color w:val="auto"/>
          <w:highlight w:val="none"/>
        </w:rPr>
      </w:pPr>
      <w:r>
        <w:rPr>
          <w:color w:val="auto"/>
          <w:highlight w:val="none"/>
        </w:rPr>
        <w:t xml:space="preserve">A4.7 </w:t>
      </w:r>
      <w:r>
        <w:rPr>
          <w:rFonts w:hint="eastAsia" w:cs="宋体"/>
          <w:color w:val="auto"/>
          <w:highlight w:val="none"/>
        </w:rPr>
        <w:t>判断投标报价是否低于成本</w:t>
      </w:r>
    </w:p>
    <w:p>
      <w:pPr>
        <w:spacing w:line="360" w:lineRule="auto"/>
        <w:ind w:firstLine="420" w:firstLineChars="200"/>
        <w:rPr>
          <w:color w:val="auto"/>
          <w:highlight w:val="none"/>
        </w:rPr>
      </w:pPr>
      <w:r>
        <w:rPr>
          <w:rFonts w:hint="eastAsia" w:cs="宋体"/>
          <w:color w:val="auto"/>
          <w:highlight w:val="none"/>
        </w:rPr>
        <w:t>由评标委员会的经济组评委认定投标人是否以低于成本竞标。</w:t>
      </w:r>
    </w:p>
    <w:p>
      <w:pPr>
        <w:spacing w:line="360" w:lineRule="auto"/>
        <w:ind w:firstLine="420" w:firstLineChars="200"/>
        <w:rPr>
          <w:color w:val="auto"/>
          <w:highlight w:val="none"/>
        </w:rPr>
      </w:pPr>
      <w:r>
        <w:rPr>
          <w:color w:val="auto"/>
          <w:highlight w:val="none"/>
        </w:rPr>
        <w:t xml:space="preserve">A4.8 </w:t>
      </w:r>
      <w:r>
        <w:rPr>
          <w:rFonts w:hint="eastAsia" w:cs="宋体"/>
          <w:color w:val="auto"/>
          <w:highlight w:val="none"/>
        </w:rPr>
        <w:t>澄清、说明或补正</w:t>
      </w:r>
    </w:p>
    <w:p>
      <w:pPr>
        <w:spacing w:line="360" w:lineRule="auto"/>
        <w:ind w:firstLine="420" w:firstLineChars="200"/>
        <w:rPr>
          <w:color w:val="auto"/>
          <w:highlight w:val="none"/>
        </w:rPr>
      </w:pPr>
      <w:r>
        <w:rPr>
          <w:rFonts w:hint="eastAsia" w:cs="宋体"/>
          <w:color w:val="auto"/>
          <w:highlight w:val="none"/>
        </w:rPr>
        <w:t>在评审过程中，评标委员会应当就投标文件中不明确的内容要求投标人进行澄清、说明或者补正。投标人对此以书面形式予以澄清、说明或者补正。澄清、说明或补正根据本章第</w:t>
      </w:r>
      <w:r>
        <w:rPr>
          <w:color w:val="auto"/>
          <w:highlight w:val="none"/>
        </w:rPr>
        <w:t>3.3</w:t>
      </w:r>
      <w:r>
        <w:rPr>
          <w:rFonts w:hint="eastAsia" w:cs="宋体"/>
          <w:color w:val="auto"/>
          <w:highlight w:val="none"/>
        </w:rPr>
        <w:t>款的规定执行。</w:t>
      </w:r>
    </w:p>
    <w:p>
      <w:pPr>
        <w:spacing w:line="360" w:lineRule="auto"/>
        <w:ind w:firstLine="420" w:firstLineChars="200"/>
        <w:rPr>
          <w:color w:val="auto"/>
          <w:highlight w:val="none"/>
        </w:rPr>
      </w:pPr>
      <w:r>
        <w:rPr>
          <w:color w:val="auto"/>
          <w:highlight w:val="none"/>
        </w:rPr>
        <w:t xml:space="preserve">A4.9 </w:t>
      </w:r>
      <w:r>
        <w:rPr>
          <w:rFonts w:hint="eastAsia" w:cs="宋体"/>
          <w:color w:val="auto"/>
          <w:highlight w:val="none"/>
        </w:rPr>
        <w:t>汇总评分结果</w:t>
      </w:r>
    </w:p>
    <w:p>
      <w:pPr>
        <w:spacing w:line="360" w:lineRule="auto"/>
        <w:ind w:firstLine="420" w:firstLineChars="200"/>
        <w:rPr>
          <w:rFonts w:cs="宋体"/>
          <w:color w:val="auto"/>
          <w:highlight w:val="none"/>
        </w:rPr>
      </w:pPr>
      <w:r>
        <w:rPr>
          <w:rFonts w:hint="eastAsia" w:cs="宋体"/>
          <w:color w:val="auto"/>
          <w:highlight w:val="none"/>
        </w:rPr>
        <w:t>详细评审工作全部结束后，汇总评标委员会各成员的详细评审评分结果，并按照详细评审最终得分由高至低的次序对投标人进行排序。</w:t>
      </w:r>
    </w:p>
    <w:p>
      <w:pPr>
        <w:spacing w:line="360" w:lineRule="auto"/>
        <w:ind w:firstLine="420" w:firstLineChars="200"/>
        <w:rPr>
          <w:rFonts w:cs="宋体"/>
          <w:color w:val="auto"/>
          <w:highlight w:val="none"/>
        </w:rPr>
      </w:pPr>
      <w:r>
        <w:rPr>
          <w:rFonts w:hint="eastAsia" w:cs="宋体"/>
          <w:color w:val="auto"/>
          <w:highlight w:val="none"/>
        </w:rPr>
        <w:t>评标委员会评审评分结果统计应遵循下列原则：</w:t>
      </w:r>
    </w:p>
    <w:p>
      <w:pPr>
        <w:spacing w:line="360" w:lineRule="auto"/>
        <w:ind w:firstLine="420" w:firstLineChars="200"/>
        <w:rPr>
          <w:rFonts w:cs="宋体"/>
          <w:color w:val="auto"/>
          <w:highlight w:val="none"/>
        </w:rPr>
      </w:pPr>
      <w:r>
        <w:rPr>
          <w:rFonts w:hint="eastAsia" w:cs="宋体"/>
          <w:color w:val="auto"/>
          <w:highlight w:val="none"/>
        </w:rPr>
        <w:t>（1）</w:t>
      </w:r>
      <w:r>
        <w:rPr>
          <w:rFonts w:cs="宋体"/>
          <w:color w:val="auto"/>
          <w:highlight w:val="none"/>
        </w:rPr>
        <w:t>每个评分项目（单项）的评分基准值为评标委员会成员评分的算术平均值。</w:t>
      </w:r>
    </w:p>
    <w:p>
      <w:pPr>
        <w:spacing w:line="360" w:lineRule="auto"/>
        <w:ind w:firstLine="420" w:firstLineChars="200"/>
        <w:rPr>
          <w:color w:val="auto"/>
          <w:highlight w:val="none"/>
        </w:rPr>
      </w:pPr>
      <w:r>
        <w:rPr>
          <w:rFonts w:hint="eastAsia"/>
          <w:color w:val="auto"/>
          <w:highlight w:val="none"/>
        </w:rPr>
        <w:t>（2）每个评分项目</w:t>
      </w:r>
      <w:r>
        <w:rPr>
          <w:color w:val="auto"/>
          <w:highlight w:val="none"/>
        </w:rPr>
        <w:t>（单项）超出</w:t>
      </w:r>
      <w:r>
        <w:rPr>
          <w:rFonts w:hint="eastAsia"/>
          <w:color w:val="auto"/>
          <w:highlight w:val="none"/>
        </w:rPr>
        <w:t>该评分项目</w:t>
      </w:r>
      <w:r>
        <w:rPr>
          <w:color w:val="auto"/>
          <w:highlight w:val="none"/>
        </w:rPr>
        <w:t>评分基准值</w:t>
      </w:r>
      <w:r>
        <w:rPr>
          <w:rFonts w:hint="eastAsia"/>
          <w:color w:val="auto"/>
          <w:highlight w:val="none"/>
        </w:rPr>
        <w:t>±</w:t>
      </w:r>
      <w:r>
        <w:rPr>
          <w:color w:val="auto"/>
          <w:highlight w:val="none"/>
        </w:rPr>
        <w:t>30%（含30%）范围的评分为无效评分。</w:t>
      </w:r>
    </w:p>
    <w:p>
      <w:pPr>
        <w:spacing w:line="360" w:lineRule="auto"/>
        <w:ind w:firstLine="420" w:firstLineChars="200"/>
        <w:rPr>
          <w:color w:val="auto"/>
          <w:highlight w:val="none"/>
        </w:rPr>
      </w:pPr>
      <w:r>
        <w:rPr>
          <w:rFonts w:hint="eastAsia"/>
          <w:color w:val="auto"/>
          <w:highlight w:val="none"/>
        </w:rPr>
        <w:t>（3）投</w:t>
      </w:r>
      <w:r>
        <w:rPr>
          <w:color w:val="auto"/>
          <w:highlight w:val="none"/>
        </w:rPr>
        <w:t>标人每个评分项目（单项）的最终得分为评标委员会成员有效评分的算术平均值</w:t>
      </w:r>
      <w:r>
        <w:rPr>
          <w:rFonts w:hint="eastAsia"/>
          <w:color w:val="auto"/>
          <w:highlight w:val="none"/>
        </w:rPr>
        <w:t>；全部评委</w:t>
      </w:r>
      <w:r>
        <w:rPr>
          <w:color w:val="auto"/>
          <w:highlight w:val="none"/>
        </w:rPr>
        <w:t>评分</w:t>
      </w:r>
      <w:r>
        <w:rPr>
          <w:rFonts w:hint="eastAsia"/>
          <w:color w:val="auto"/>
          <w:highlight w:val="none"/>
        </w:rPr>
        <w:t>均</w:t>
      </w:r>
      <w:r>
        <w:rPr>
          <w:color w:val="auto"/>
          <w:highlight w:val="none"/>
        </w:rPr>
        <w:t>超出评分基准值</w:t>
      </w:r>
      <w:r>
        <w:rPr>
          <w:rFonts w:hint="eastAsia"/>
          <w:color w:val="auto"/>
          <w:highlight w:val="none"/>
        </w:rPr>
        <w:t>±</w:t>
      </w:r>
      <w:r>
        <w:rPr>
          <w:color w:val="auto"/>
          <w:highlight w:val="none"/>
        </w:rPr>
        <w:t>30%（含30%）范围</w:t>
      </w:r>
      <w:r>
        <w:rPr>
          <w:rFonts w:hint="eastAsia"/>
          <w:color w:val="auto"/>
          <w:highlight w:val="none"/>
        </w:rPr>
        <w:t>时，投</w:t>
      </w:r>
      <w:r>
        <w:rPr>
          <w:color w:val="auto"/>
          <w:highlight w:val="none"/>
        </w:rPr>
        <w:t>标人</w:t>
      </w:r>
      <w:r>
        <w:rPr>
          <w:rFonts w:hint="eastAsia"/>
          <w:color w:val="auto"/>
          <w:highlight w:val="none"/>
        </w:rPr>
        <w:t>该</w:t>
      </w:r>
      <w:r>
        <w:rPr>
          <w:color w:val="auto"/>
          <w:highlight w:val="none"/>
        </w:rPr>
        <w:t>评分项目（单项）的最终得分为评分基准值。</w:t>
      </w:r>
    </w:p>
    <w:p>
      <w:pPr>
        <w:spacing w:line="360" w:lineRule="auto"/>
        <w:ind w:firstLine="420" w:firstLineChars="200"/>
        <w:rPr>
          <w:b/>
          <w:color w:val="auto"/>
          <w:highlight w:val="none"/>
        </w:rPr>
      </w:pPr>
      <w:r>
        <w:rPr>
          <w:rFonts w:hint="eastAsia"/>
          <w:color w:val="auto"/>
          <w:highlight w:val="none"/>
        </w:rPr>
        <w:t>（4）综合评估法资格评审也按上述原则统计分数。</w:t>
      </w:r>
    </w:p>
    <w:p>
      <w:pPr>
        <w:pStyle w:val="4"/>
        <w:rPr>
          <w:color w:val="auto"/>
          <w:highlight w:val="none"/>
        </w:rPr>
      </w:pPr>
      <w:bookmarkStart w:id="391" w:name="_Toc31733"/>
      <w:bookmarkStart w:id="392" w:name="_Toc66186388"/>
      <w:bookmarkStart w:id="393" w:name="_Toc407135186"/>
      <w:r>
        <w:rPr>
          <w:color w:val="auto"/>
          <w:highlight w:val="none"/>
        </w:rPr>
        <w:t xml:space="preserve">A5 </w:t>
      </w:r>
      <w:r>
        <w:rPr>
          <w:rFonts w:hint="eastAsia" w:cs="黑体"/>
          <w:color w:val="auto"/>
          <w:highlight w:val="none"/>
        </w:rPr>
        <w:t>推荐中标候选人或者直接确定中标人</w:t>
      </w:r>
      <w:bookmarkEnd w:id="391"/>
      <w:bookmarkEnd w:id="392"/>
      <w:bookmarkEnd w:id="393"/>
    </w:p>
    <w:p>
      <w:pPr>
        <w:rPr>
          <w:color w:val="auto"/>
          <w:highlight w:val="none"/>
        </w:rPr>
      </w:pPr>
      <w:r>
        <w:rPr>
          <w:color w:val="auto"/>
          <w:highlight w:val="none"/>
        </w:rPr>
        <w:t xml:space="preserve">A5.1 </w:t>
      </w:r>
      <w:r>
        <w:rPr>
          <w:rFonts w:hint="eastAsia" w:cs="宋体"/>
          <w:color w:val="auto"/>
          <w:highlight w:val="none"/>
        </w:rPr>
        <w:t>推荐中标候选人</w:t>
      </w:r>
    </w:p>
    <w:p>
      <w:pPr>
        <w:spacing w:line="360" w:lineRule="auto"/>
        <w:ind w:left="-2" w:leftChars="-1" w:firstLine="420" w:firstLineChars="200"/>
        <w:rPr>
          <w:color w:val="auto"/>
          <w:highlight w:val="none"/>
        </w:rPr>
      </w:pPr>
      <w:r>
        <w:rPr>
          <w:color w:val="auto"/>
          <w:highlight w:val="none"/>
        </w:rPr>
        <w:t xml:space="preserve">A5.1.1 </w:t>
      </w:r>
      <w:r>
        <w:rPr>
          <w:rFonts w:hint="eastAsia" w:cs="宋体"/>
          <w:color w:val="auto"/>
          <w:highlight w:val="none"/>
        </w:rPr>
        <w:t>除第二章</w:t>
      </w:r>
      <w:r>
        <w:rPr>
          <w:color w:val="auto"/>
          <w:highlight w:val="none"/>
        </w:rPr>
        <w:t>“</w:t>
      </w:r>
      <w:r>
        <w:rPr>
          <w:rFonts w:hint="eastAsia" w:cs="宋体"/>
          <w:color w:val="auto"/>
          <w:highlight w:val="none"/>
        </w:rPr>
        <w:t>投标人须知</w:t>
      </w:r>
      <w:r>
        <w:rPr>
          <w:color w:val="auto"/>
          <w:highlight w:val="none"/>
        </w:rPr>
        <w:t>”</w:t>
      </w:r>
      <w:r>
        <w:rPr>
          <w:rFonts w:hint="eastAsia" w:cs="宋体"/>
          <w:color w:val="auto"/>
          <w:highlight w:val="none"/>
        </w:rPr>
        <w:t>前附表第</w:t>
      </w:r>
      <w:r>
        <w:rPr>
          <w:color w:val="auto"/>
          <w:highlight w:val="none"/>
        </w:rPr>
        <w:t>7.1</w:t>
      </w:r>
      <w:r>
        <w:rPr>
          <w:rFonts w:hint="eastAsia" w:cs="宋体"/>
          <w:color w:val="auto"/>
          <w:highlight w:val="none"/>
        </w:rPr>
        <w:t>款授权直接确定中标人外，评标委员会在推荐中标候选人时，应遵照以下原则：</w:t>
      </w:r>
    </w:p>
    <w:p>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）评标委员会按照最终得分由高至低的次序排列，并根据第二章</w:t>
      </w:r>
      <w:r>
        <w:rPr>
          <w:color w:val="auto"/>
          <w:highlight w:val="none"/>
        </w:rPr>
        <w:t>“</w:t>
      </w:r>
      <w:r>
        <w:rPr>
          <w:rFonts w:hint="eastAsia" w:cs="宋体"/>
          <w:color w:val="auto"/>
          <w:highlight w:val="none"/>
        </w:rPr>
        <w:t>投标人须知</w:t>
      </w:r>
      <w:r>
        <w:rPr>
          <w:color w:val="auto"/>
          <w:highlight w:val="none"/>
        </w:rPr>
        <w:t>”</w:t>
      </w:r>
      <w:r>
        <w:rPr>
          <w:rFonts w:hint="eastAsia" w:cs="宋体"/>
          <w:color w:val="auto"/>
          <w:highlight w:val="none"/>
        </w:rPr>
        <w:t>前附表第</w:t>
      </w:r>
      <w:r>
        <w:rPr>
          <w:color w:val="auto"/>
          <w:highlight w:val="none"/>
        </w:rPr>
        <w:t>7.1</w:t>
      </w:r>
      <w:r>
        <w:rPr>
          <w:rFonts w:hint="eastAsia" w:cs="宋体"/>
          <w:color w:val="auto"/>
          <w:highlight w:val="none"/>
        </w:rPr>
        <w:t>款规定及本章的规定推荐中标候选人。</w:t>
      </w:r>
    </w:p>
    <w:p>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）如果评标委员会根据本章的规定作否决投标处理后，有效投标不足三个，且少于第二章</w:t>
      </w:r>
      <w:r>
        <w:rPr>
          <w:color w:val="auto"/>
          <w:highlight w:val="none"/>
        </w:rPr>
        <w:t>“</w:t>
      </w:r>
      <w:r>
        <w:rPr>
          <w:rFonts w:hint="eastAsia" w:cs="宋体"/>
          <w:color w:val="auto"/>
          <w:highlight w:val="none"/>
        </w:rPr>
        <w:t>投标人须知</w:t>
      </w:r>
      <w:r>
        <w:rPr>
          <w:color w:val="auto"/>
          <w:highlight w:val="none"/>
        </w:rPr>
        <w:t>”</w:t>
      </w:r>
      <w:r>
        <w:rPr>
          <w:rFonts w:hint="eastAsia" w:cs="宋体"/>
          <w:color w:val="auto"/>
          <w:highlight w:val="none"/>
        </w:rPr>
        <w:t>前附表第</w:t>
      </w:r>
      <w:r>
        <w:rPr>
          <w:color w:val="auto"/>
          <w:highlight w:val="none"/>
        </w:rPr>
        <w:t>7.1</w:t>
      </w:r>
      <w:r>
        <w:rPr>
          <w:rFonts w:hint="eastAsia" w:cs="宋体"/>
          <w:color w:val="auto"/>
          <w:highlight w:val="none"/>
        </w:rPr>
        <w:t>款规定的中标候选人数量的，如经评标委员会评定仍具备竞争性的，可以将所有有效投标按最终得分由高至低的次序作为中标候选人向招标人推荐。如果因评标委员会否决投标后有效投标不足三个且评标委员会评定投标明显缺乏竞争的，评标委员会可以否决所有投标。</w:t>
      </w:r>
    </w:p>
    <w:p>
      <w:pPr>
        <w:spacing w:line="360" w:lineRule="auto"/>
        <w:ind w:left="-2" w:leftChars="-1" w:firstLine="420" w:firstLineChars="200"/>
        <w:rPr>
          <w:color w:val="auto"/>
          <w:highlight w:val="none"/>
        </w:rPr>
      </w:pPr>
      <w:r>
        <w:rPr>
          <w:color w:val="auto"/>
          <w:highlight w:val="none"/>
        </w:rPr>
        <w:t xml:space="preserve">A5.1.2 </w:t>
      </w:r>
      <w:r>
        <w:rPr>
          <w:rFonts w:hint="eastAsia" w:cs="宋体"/>
          <w:color w:val="auto"/>
          <w:highlight w:val="none"/>
        </w:rPr>
        <w:t>投标截止时间前递交投标文件的投标人数量少于三个或者所有投标被否决的，招标人应当依法重新招标。</w:t>
      </w:r>
    </w:p>
    <w:p>
      <w:pPr>
        <w:spacing w:line="360" w:lineRule="auto"/>
        <w:ind w:left="-2" w:leftChars="-1" w:firstLine="420" w:firstLineChars="200"/>
        <w:rPr>
          <w:color w:val="auto"/>
          <w:highlight w:val="none"/>
        </w:rPr>
      </w:pPr>
      <w:r>
        <w:rPr>
          <w:color w:val="auto"/>
          <w:highlight w:val="none"/>
        </w:rPr>
        <w:t xml:space="preserve">A5.2 </w:t>
      </w:r>
      <w:r>
        <w:rPr>
          <w:rFonts w:hint="eastAsia" w:cs="宋体"/>
          <w:color w:val="auto"/>
          <w:highlight w:val="none"/>
        </w:rPr>
        <w:t>直接确定中标人</w:t>
      </w:r>
    </w:p>
    <w:p>
      <w:pPr>
        <w:spacing w:line="360" w:lineRule="auto"/>
        <w:ind w:left="-2" w:leftChars="-1" w:firstLine="420" w:firstLineChars="200"/>
        <w:rPr>
          <w:color w:val="auto"/>
          <w:highlight w:val="none"/>
        </w:rPr>
      </w:pPr>
      <w:r>
        <w:rPr>
          <w:rFonts w:hint="eastAsia" w:cs="宋体"/>
          <w:color w:val="auto"/>
          <w:highlight w:val="none"/>
        </w:rPr>
        <w:t>第二章</w:t>
      </w:r>
      <w:r>
        <w:rPr>
          <w:color w:val="auto"/>
          <w:highlight w:val="none"/>
        </w:rPr>
        <w:t>“</w:t>
      </w:r>
      <w:r>
        <w:rPr>
          <w:rFonts w:hint="eastAsia" w:cs="宋体"/>
          <w:color w:val="auto"/>
          <w:highlight w:val="none"/>
        </w:rPr>
        <w:t>投标人须知</w:t>
      </w:r>
      <w:r>
        <w:rPr>
          <w:color w:val="auto"/>
          <w:highlight w:val="none"/>
        </w:rPr>
        <w:t>”</w:t>
      </w:r>
      <w:r>
        <w:rPr>
          <w:rFonts w:hint="eastAsia" w:cs="宋体"/>
          <w:color w:val="auto"/>
          <w:highlight w:val="none"/>
        </w:rPr>
        <w:t>前附表授权评标委员会直接确定中标人的，评标委员会按照最终得分由高至低的次序排列，按照本章的规定直接确定中标人。</w:t>
      </w:r>
    </w:p>
    <w:p>
      <w:pPr>
        <w:spacing w:line="360" w:lineRule="auto"/>
        <w:ind w:left="-2" w:leftChars="-1" w:firstLine="420" w:firstLineChars="200"/>
        <w:rPr>
          <w:color w:val="auto"/>
          <w:highlight w:val="none"/>
        </w:rPr>
      </w:pPr>
      <w:r>
        <w:rPr>
          <w:color w:val="auto"/>
          <w:highlight w:val="none"/>
        </w:rPr>
        <w:t xml:space="preserve">A5.3 </w:t>
      </w:r>
      <w:r>
        <w:rPr>
          <w:rFonts w:hint="eastAsia" w:cs="宋体"/>
          <w:color w:val="auto"/>
          <w:highlight w:val="none"/>
        </w:rPr>
        <w:t>编制评标报告</w:t>
      </w:r>
    </w:p>
    <w:p>
      <w:pPr>
        <w:spacing w:line="360" w:lineRule="auto"/>
        <w:ind w:left="-2" w:leftChars="-1" w:firstLine="420" w:firstLineChars="200"/>
        <w:rPr>
          <w:color w:val="auto"/>
          <w:highlight w:val="none"/>
        </w:rPr>
      </w:pPr>
      <w:r>
        <w:rPr>
          <w:rFonts w:hint="eastAsia" w:cs="宋体"/>
          <w:color w:val="auto"/>
          <w:highlight w:val="none"/>
        </w:rPr>
        <w:t>评标委员会向招标人提交评标报告。评标报告应当由全体评标委员会成员签字。评标报告应当包括但不限于以下内容：</w:t>
      </w:r>
    </w:p>
    <w:p>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）基本情况和数据表；</w:t>
      </w:r>
    </w:p>
    <w:p>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）评标委员会成员名单；</w:t>
      </w:r>
    </w:p>
    <w:p>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）开标记录；</w:t>
      </w:r>
    </w:p>
    <w:p>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）符合要求的投标一览表；</w:t>
      </w:r>
    </w:p>
    <w:p>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）否决投标情况说明；</w:t>
      </w:r>
    </w:p>
    <w:p>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6</w:t>
      </w:r>
      <w:r>
        <w:rPr>
          <w:rFonts w:hint="eastAsia" w:cs="宋体"/>
          <w:color w:val="auto"/>
          <w:highlight w:val="none"/>
        </w:rPr>
        <w:t>）评标标准、评标方法或者评标因素一览表；</w:t>
      </w:r>
    </w:p>
    <w:p>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7</w:t>
      </w:r>
      <w:r>
        <w:rPr>
          <w:rFonts w:hint="eastAsia" w:cs="宋体"/>
          <w:color w:val="auto"/>
          <w:highlight w:val="none"/>
        </w:rPr>
        <w:t>）经评审的价格一览表（包括评标委员会在评标过程中所形成的所有记载评标结果、结论的表格、说明、记录等文件）；</w:t>
      </w:r>
    </w:p>
    <w:p>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8</w:t>
      </w:r>
      <w:r>
        <w:rPr>
          <w:rFonts w:hint="eastAsia" w:cs="宋体"/>
          <w:color w:val="auto"/>
          <w:highlight w:val="none"/>
        </w:rPr>
        <w:t>）经评审的投标人排序；</w:t>
      </w:r>
    </w:p>
    <w:p>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9</w:t>
      </w:r>
      <w:r>
        <w:rPr>
          <w:rFonts w:hint="eastAsia" w:cs="宋体"/>
          <w:color w:val="auto"/>
          <w:highlight w:val="none"/>
        </w:rPr>
        <w:t>）推荐的中标候选人名单（如果第二章</w:t>
      </w:r>
      <w:r>
        <w:rPr>
          <w:color w:val="auto"/>
          <w:highlight w:val="none"/>
        </w:rPr>
        <w:t>“</w:t>
      </w:r>
      <w:r>
        <w:rPr>
          <w:rFonts w:hint="eastAsia" w:cs="宋体"/>
          <w:color w:val="auto"/>
          <w:highlight w:val="none"/>
        </w:rPr>
        <w:t>投标人须知</w:t>
      </w:r>
      <w:r>
        <w:rPr>
          <w:color w:val="auto"/>
          <w:highlight w:val="none"/>
        </w:rPr>
        <w:t>”</w:t>
      </w:r>
      <w:r>
        <w:rPr>
          <w:rFonts w:hint="eastAsia" w:cs="宋体"/>
          <w:color w:val="auto"/>
          <w:highlight w:val="none"/>
        </w:rPr>
        <w:t>前附表授权评标委员会直接确定中标人，则为</w:t>
      </w:r>
      <w:r>
        <w:rPr>
          <w:color w:val="auto"/>
          <w:highlight w:val="none"/>
        </w:rPr>
        <w:t>“</w:t>
      </w:r>
      <w:r>
        <w:rPr>
          <w:rFonts w:hint="eastAsia" w:cs="宋体"/>
          <w:color w:val="auto"/>
          <w:highlight w:val="none"/>
        </w:rPr>
        <w:t>确定的中标人</w:t>
      </w:r>
      <w:r>
        <w:rPr>
          <w:color w:val="auto"/>
          <w:highlight w:val="none"/>
        </w:rPr>
        <w:t>”</w:t>
      </w:r>
      <w:r>
        <w:rPr>
          <w:rFonts w:hint="eastAsia" w:cs="宋体"/>
          <w:color w:val="auto"/>
          <w:highlight w:val="none"/>
        </w:rPr>
        <w:t>）与签订合同前要处理的事宜；</w:t>
      </w:r>
    </w:p>
    <w:p>
      <w:pPr>
        <w:spacing w:line="360" w:lineRule="auto"/>
        <w:ind w:left="-2" w:leftChars="-1" w:firstLine="420" w:firstLineChars="200"/>
        <w:rPr>
          <w:b/>
          <w:color w:val="auto"/>
          <w:highlight w:val="none"/>
        </w:rPr>
      </w:pPr>
      <w:r>
        <w:rPr>
          <w:rFonts w:hint="eastAsia" w:cs="宋体"/>
          <w:color w:val="auto"/>
          <w:highlight w:val="none"/>
        </w:rPr>
        <w:t>（</w:t>
      </w:r>
      <w:r>
        <w:rPr>
          <w:color w:val="auto"/>
          <w:highlight w:val="none"/>
        </w:rPr>
        <w:t>10</w:t>
      </w:r>
      <w:r>
        <w:rPr>
          <w:rFonts w:hint="eastAsia" w:cs="宋体"/>
          <w:color w:val="auto"/>
          <w:highlight w:val="none"/>
        </w:rPr>
        <w:t>）澄清、说明、补正事项纪要。</w:t>
      </w:r>
    </w:p>
    <w:p>
      <w:pPr>
        <w:pStyle w:val="4"/>
        <w:rPr>
          <w:color w:val="auto"/>
          <w:highlight w:val="none"/>
        </w:rPr>
      </w:pPr>
      <w:bookmarkStart w:id="394" w:name="_Toc66186389"/>
      <w:bookmarkStart w:id="395" w:name="_Toc407135187"/>
      <w:bookmarkStart w:id="396" w:name="_Toc3575"/>
      <w:r>
        <w:rPr>
          <w:color w:val="auto"/>
          <w:highlight w:val="none"/>
        </w:rPr>
        <w:t xml:space="preserve">A6 </w:t>
      </w:r>
      <w:r>
        <w:rPr>
          <w:rFonts w:hint="eastAsia" w:cs="黑体"/>
          <w:color w:val="auto"/>
          <w:highlight w:val="none"/>
        </w:rPr>
        <w:t>特殊情况的处置程序</w:t>
      </w:r>
      <w:bookmarkEnd w:id="394"/>
      <w:bookmarkEnd w:id="395"/>
      <w:bookmarkEnd w:id="396"/>
    </w:p>
    <w:p>
      <w:pPr>
        <w:spacing w:line="360" w:lineRule="auto"/>
        <w:ind w:firstLine="420" w:firstLineChars="200"/>
        <w:rPr>
          <w:color w:val="auto"/>
          <w:highlight w:val="none"/>
        </w:rPr>
      </w:pPr>
      <w:r>
        <w:rPr>
          <w:color w:val="auto"/>
          <w:highlight w:val="none"/>
        </w:rPr>
        <w:t xml:space="preserve">A6.1 </w:t>
      </w:r>
      <w:r>
        <w:rPr>
          <w:rFonts w:hint="eastAsia" w:cs="宋体"/>
          <w:color w:val="auto"/>
          <w:highlight w:val="none"/>
        </w:rPr>
        <w:t>关于评标活动暂停</w:t>
      </w:r>
    </w:p>
    <w:p>
      <w:pPr>
        <w:spacing w:line="360" w:lineRule="auto"/>
        <w:ind w:left="-2" w:leftChars="-1" w:firstLine="420" w:firstLineChars="200"/>
        <w:rPr>
          <w:color w:val="auto"/>
          <w:highlight w:val="none"/>
        </w:rPr>
      </w:pPr>
      <w:r>
        <w:rPr>
          <w:color w:val="auto"/>
          <w:highlight w:val="none"/>
        </w:rPr>
        <w:t xml:space="preserve">A6.1.1 </w:t>
      </w:r>
      <w:r>
        <w:rPr>
          <w:rFonts w:hint="eastAsia" w:cs="宋体"/>
          <w:color w:val="auto"/>
          <w:highlight w:val="none"/>
        </w:rPr>
        <w:t>评标委员会应当执行连续评标的原则，按评标办法中规定的程序、内容、方法、标准完成全部评标工作。只有发生不可抗力导致评标工作无法继续时，评标活动方可暂停。</w:t>
      </w:r>
    </w:p>
    <w:p>
      <w:pPr>
        <w:spacing w:line="360" w:lineRule="auto"/>
        <w:ind w:left="-2" w:leftChars="-1" w:firstLine="420" w:firstLineChars="200"/>
        <w:rPr>
          <w:color w:val="auto"/>
          <w:highlight w:val="none"/>
        </w:rPr>
      </w:pPr>
      <w:r>
        <w:rPr>
          <w:color w:val="auto"/>
          <w:highlight w:val="none"/>
        </w:rPr>
        <w:t xml:space="preserve">A6.1.2 </w:t>
      </w:r>
      <w:r>
        <w:rPr>
          <w:rFonts w:hint="eastAsia" w:cs="宋体"/>
          <w:color w:val="auto"/>
          <w:highlight w:val="none"/>
        </w:rPr>
        <w:t>发生评标暂停情况时，评标委员会应当封存全部投标文件和评标记录，待不可抗力的影响结束且具备继续评标的条件时，由原评标委员会继续评标。</w:t>
      </w:r>
    </w:p>
    <w:p>
      <w:pPr>
        <w:rPr>
          <w:color w:val="auto"/>
          <w:highlight w:val="none"/>
        </w:rPr>
      </w:pPr>
      <w:r>
        <w:rPr>
          <w:color w:val="auto"/>
          <w:highlight w:val="none"/>
        </w:rPr>
        <w:t xml:space="preserve">A6.2 </w:t>
      </w:r>
      <w:r>
        <w:rPr>
          <w:rFonts w:hint="eastAsia" w:cs="宋体"/>
          <w:color w:val="auto"/>
          <w:highlight w:val="none"/>
        </w:rPr>
        <w:t>关于评标中途更换评委</w:t>
      </w:r>
    </w:p>
    <w:p>
      <w:pPr>
        <w:spacing w:line="360" w:lineRule="auto"/>
        <w:ind w:firstLine="420" w:firstLineChars="200"/>
        <w:rPr>
          <w:color w:val="auto"/>
          <w:highlight w:val="none"/>
        </w:rPr>
      </w:pPr>
      <w:r>
        <w:rPr>
          <w:color w:val="auto"/>
          <w:highlight w:val="none"/>
        </w:rPr>
        <w:t xml:space="preserve">A6.2.1 </w:t>
      </w:r>
      <w:r>
        <w:rPr>
          <w:rFonts w:hint="eastAsia" w:cs="宋体"/>
          <w:color w:val="auto"/>
          <w:highlight w:val="none"/>
        </w:rPr>
        <w:t>除非发生下列情况之一，评标委员会成员不得在评标中途更换：</w:t>
      </w:r>
    </w:p>
    <w:p>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）因不可抗拒的客观原因，不能到场或需在评标中途退出评标活动。</w:t>
      </w:r>
    </w:p>
    <w:p>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）根据法律法规规定，某个或某几个评标委员会成员需要回避。</w:t>
      </w:r>
    </w:p>
    <w:p>
      <w:pPr>
        <w:spacing w:line="360" w:lineRule="auto"/>
        <w:ind w:left="-2" w:leftChars="-1" w:firstLine="420" w:firstLineChars="200"/>
        <w:rPr>
          <w:color w:val="auto"/>
          <w:highlight w:val="none"/>
        </w:rPr>
      </w:pPr>
      <w:r>
        <w:rPr>
          <w:color w:val="auto"/>
          <w:highlight w:val="none"/>
        </w:rPr>
        <w:t xml:space="preserve">A6.2.2 </w:t>
      </w:r>
      <w:r>
        <w:rPr>
          <w:rFonts w:hint="eastAsia" w:cs="宋体"/>
          <w:color w:val="auto"/>
          <w:highlight w:val="none"/>
        </w:rPr>
        <w:t>退出评标的评标委员会成员，其已完成的评标行为无效。由招标人根据本招标文件规定的评标委员会成员生产方式另行确定替代者进行评标。</w:t>
      </w:r>
    </w:p>
    <w:p>
      <w:pPr>
        <w:spacing w:line="360" w:lineRule="auto"/>
        <w:ind w:firstLine="420" w:firstLineChars="200"/>
        <w:rPr>
          <w:color w:val="auto"/>
          <w:highlight w:val="none"/>
        </w:rPr>
      </w:pPr>
      <w:r>
        <w:rPr>
          <w:color w:val="auto"/>
          <w:highlight w:val="none"/>
        </w:rPr>
        <w:t xml:space="preserve">A6.3 </w:t>
      </w:r>
      <w:r>
        <w:rPr>
          <w:rFonts w:hint="eastAsia" w:cs="宋体"/>
          <w:color w:val="auto"/>
          <w:highlight w:val="none"/>
        </w:rPr>
        <w:t>记名投票</w:t>
      </w:r>
    </w:p>
    <w:p>
      <w:pPr>
        <w:spacing w:line="360" w:lineRule="auto"/>
        <w:ind w:left="-2" w:leftChars="-1" w:firstLine="420" w:firstLineChars="200"/>
        <w:rPr>
          <w:b/>
          <w:color w:val="auto"/>
          <w:highlight w:val="none"/>
        </w:rPr>
      </w:pPr>
      <w:r>
        <w:rPr>
          <w:rFonts w:hint="eastAsia" w:cs="宋体"/>
          <w:color w:val="auto"/>
          <w:highlight w:val="none"/>
        </w:rPr>
        <w:t>需评标委员会就某项定性的评审结论做出表决的，由评标委员会全体成员按照少数服从多数的原则，以记名投票方式表决。</w:t>
      </w:r>
    </w:p>
    <w:p>
      <w:pPr>
        <w:pStyle w:val="4"/>
        <w:rPr>
          <w:color w:val="auto"/>
          <w:highlight w:val="none"/>
        </w:rPr>
      </w:pPr>
      <w:bookmarkStart w:id="397" w:name="_Toc407135188"/>
      <w:bookmarkStart w:id="398" w:name="_Toc66186390"/>
      <w:bookmarkStart w:id="399" w:name="_Toc30260"/>
      <w:r>
        <w:rPr>
          <w:color w:val="auto"/>
          <w:highlight w:val="none"/>
        </w:rPr>
        <w:t xml:space="preserve">A7 </w:t>
      </w:r>
      <w:r>
        <w:rPr>
          <w:rFonts w:hint="eastAsia" w:cs="黑体"/>
          <w:color w:val="auto"/>
          <w:highlight w:val="none"/>
        </w:rPr>
        <w:t>补充条款</w:t>
      </w:r>
      <w:bookmarkEnd w:id="397"/>
      <w:bookmarkEnd w:id="398"/>
      <w:bookmarkEnd w:id="399"/>
    </w:p>
    <w:p>
      <w:pPr>
        <w:spacing w:line="360" w:lineRule="auto"/>
        <w:ind w:left="-2" w:leftChars="-1" w:firstLine="420" w:firstLineChars="200"/>
        <w:rPr>
          <w:rFonts w:cs="宋体"/>
          <w:color w:val="auto"/>
          <w:highlight w:val="none"/>
        </w:rPr>
      </w:pPr>
      <w:r>
        <w:rPr>
          <w:rFonts w:hint="eastAsia" w:cs="宋体"/>
          <w:color w:val="auto"/>
          <w:highlight w:val="none"/>
        </w:rPr>
        <w:t>根据《评标委员会和评标方法暂行规定》《评标专家和评标专家库管理暂行办法》等相关规定，评标委员会不得透露对投标文件的评审和比较、中标候选人的推荐情况以及与评标有关的其他情况。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pPr>
        <w:spacing w:line="360" w:lineRule="auto"/>
        <w:rPr>
          <w:color w:val="auto"/>
          <w:highlight w:val="none"/>
        </w:rPr>
      </w:pPr>
    </w:p>
    <w:p>
      <w:pPr>
        <w:spacing w:line="360" w:lineRule="auto"/>
        <w:ind w:left="-2" w:leftChars="-1" w:firstLine="420" w:firstLineChars="200"/>
        <w:rPr>
          <w:color w:val="auto"/>
          <w:highlight w:val="none"/>
        </w:rPr>
      </w:pPr>
    </w:p>
    <w:p>
      <w:pPr>
        <w:spacing w:line="360" w:lineRule="auto"/>
        <w:ind w:left="-2" w:leftChars="-1" w:firstLine="420" w:firstLineChars="200"/>
        <w:rPr>
          <w:color w:val="auto"/>
          <w:highlight w:val="none"/>
        </w:rPr>
      </w:pPr>
    </w:p>
    <w:p>
      <w:pPr>
        <w:spacing w:line="360" w:lineRule="auto"/>
        <w:rPr>
          <w:color w:val="auto"/>
          <w:highlight w:val="none"/>
        </w:rPr>
        <w:sectPr>
          <w:pgSz w:w="11907" w:h="16840"/>
          <w:pgMar w:top="1440" w:right="1440" w:bottom="1440" w:left="1797" w:header="851" w:footer="851" w:gutter="0"/>
          <w:cols w:space="720" w:num="1"/>
          <w:docGrid w:linePitch="312" w:charSpace="0"/>
        </w:sectPr>
      </w:pPr>
    </w:p>
    <w:p>
      <w:pPr>
        <w:pStyle w:val="3"/>
        <w:jc w:val="center"/>
        <w:rPr>
          <w:color w:val="auto"/>
          <w:sz w:val="28"/>
          <w:szCs w:val="28"/>
          <w:highlight w:val="none"/>
        </w:rPr>
      </w:pPr>
      <w:bookmarkStart w:id="400" w:name="_Toc29346"/>
      <w:bookmarkStart w:id="401" w:name="_Toc407135189"/>
      <w:bookmarkStart w:id="402" w:name="_Toc66186391"/>
      <w:r>
        <w:rPr>
          <w:rFonts w:hint="eastAsia" w:cs="黑体"/>
          <w:color w:val="auto"/>
          <w:highlight w:val="none"/>
        </w:rPr>
        <w:t>附件</w:t>
      </w:r>
      <w:r>
        <w:rPr>
          <w:color w:val="auto"/>
          <w:highlight w:val="none"/>
        </w:rPr>
        <w:t xml:space="preserve">B  </w:t>
      </w:r>
      <w:r>
        <w:rPr>
          <w:rFonts w:hint="eastAsia" w:cs="黑体"/>
          <w:color w:val="auto"/>
          <w:highlight w:val="none"/>
        </w:rPr>
        <w:t>否决投标条件</w:t>
      </w:r>
      <w:bookmarkEnd w:id="400"/>
      <w:bookmarkEnd w:id="401"/>
      <w:bookmarkEnd w:id="402"/>
    </w:p>
    <w:p>
      <w:pPr>
        <w:adjustRightInd w:val="0"/>
        <w:snapToGrid w:val="0"/>
        <w:spacing w:line="440" w:lineRule="exact"/>
        <w:rPr>
          <w:b/>
          <w:color w:val="auto"/>
          <w:highlight w:val="none"/>
        </w:rPr>
      </w:pPr>
    </w:p>
    <w:p>
      <w:pPr>
        <w:pStyle w:val="4"/>
        <w:rPr>
          <w:color w:val="auto"/>
          <w:highlight w:val="none"/>
        </w:rPr>
      </w:pPr>
      <w:bookmarkStart w:id="403" w:name="_Toc28182"/>
      <w:bookmarkStart w:id="404" w:name="_Toc407135166"/>
      <w:bookmarkStart w:id="405" w:name="_Toc66186392"/>
      <w:bookmarkStart w:id="406" w:name="_Toc389065231"/>
      <w:r>
        <w:rPr>
          <w:color w:val="auto"/>
          <w:highlight w:val="none"/>
        </w:rPr>
        <w:t xml:space="preserve">B0 </w:t>
      </w:r>
      <w:r>
        <w:rPr>
          <w:rFonts w:hint="eastAsia" w:cs="黑体"/>
          <w:color w:val="auto"/>
          <w:highlight w:val="none"/>
        </w:rPr>
        <w:t>总</w:t>
      </w:r>
      <w:r>
        <w:rPr>
          <w:color w:val="auto"/>
          <w:highlight w:val="none"/>
        </w:rPr>
        <w:t xml:space="preserve">  </w:t>
      </w:r>
      <w:r>
        <w:rPr>
          <w:rFonts w:hint="eastAsia" w:cs="黑体"/>
          <w:color w:val="auto"/>
          <w:highlight w:val="none"/>
        </w:rPr>
        <w:t>则</w:t>
      </w:r>
      <w:bookmarkEnd w:id="403"/>
      <w:bookmarkEnd w:id="404"/>
      <w:bookmarkEnd w:id="405"/>
    </w:p>
    <w:p>
      <w:pPr>
        <w:spacing w:line="360" w:lineRule="auto"/>
        <w:ind w:firstLine="420" w:firstLineChars="200"/>
        <w:rPr>
          <w:color w:val="auto"/>
          <w:highlight w:val="none"/>
        </w:rPr>
      </w:pPr>
      <w:r>
        <w:rPr>
          <w:rFonts w:hint="eastAsia" w:cs="宋体"/>
          <w:color w:val="auto"/>
          <w:highlight w:val="none"/>
        </w:rPr>
        <w:t>本附件所集中列示的否决投标条件，是本章</w:t>
      </w:r>
      <w:r>
        <w:rPr>
          <w:color w:val="auto"/>
          <w:highlight w:val="none"/>
        </w:rPr>
        <w:t>“</w:t>
      </w:r>
      <w:r>
        <w:rPr>
          <w:rFonts w:hint="eastAsia" w:cs="宋体"/>
          <w:color w:val="auto"/>
          <w:highlight w:val="none"/>
        </w:rPr>
        <w:t>评标办法</w:t>
      </w:r>
      <w:r>
        <w:rPr>
          <w:color w:val="auto"/>
          <w:highlight w:val="none"/>
        </w:rPr>
        <w:t>”</w:t>
      </w:r>
      <w:r>
        <w:rPr>
          <w:rFonts w:hint="eastAsia" w:cs="宋体"/>
          <w:color w:val="auto"/>
          <w:highlight w:val="none"/>
        </w:rPr>
        <w:t>的组成部分，是对第二章</w:t>
      </w:r>
      <w:r>
        <w:rPr>
          <w:color w:val="auto"/>
          <w:highlight w:val="none"/>
        </w:rPr>
        <w:t>“</w:t>
      </w:r>
      <w:r>
        <w:rPr>
          <w:rFonts w:hint="eastAsia" w:cs="宋体"/>
          <w:color w:val="auto"/>
          <w:highlight w:val="none"/>
        </w:rPr>
        <w:t>投标人须知</w:t>
      </w:r>
      <w:r>
        <w:rPr>
          <w:color w:val="auto"/>
          <w:highlight w:val="none"/>
        </w:rPr>
        <w:t>”</w:t>
      </w:r>
      <w:r>
        <w:rPr>
          <w:rFonts w:hint="eastAsia" w:cs="宋体"/>
          <w:color w:val="auto"/>
          <w:highlight w:val="none"/>
        </w:rPr>
        <w:t>和本章正文部分所规定的否决投标条件的总结和补充，如果出现相互矛盾的情况，以第二章</w:t>
      </w:r>
      <w:r>
        <w:rPr>
          <w:color w:val="auto"/>
          <w:highlight w:val="none"/>
        </w:rPr>
        <w:t>“</w:t>
      </w:r>
      <w:r>
        <w:rPr>
          <w:rFonts w:hint="eastAsia" w:cs="宋体"/>
          <w:color w:val="auto"/>
          <w:highlight w:val="none"/>
        </w:rPr>
        <w:t>投标人须知</w:t>
      </w:r>
      <w:r>
        <w:rPr>
          <w:color w:val="auto"/>
          <w:highlight w:val="none"/>
        </w:rPr>
        <w:t>”</w:t>
      </w:r>
      <w:r>
        <w:rPr>
          <w:rFonts w:hint="eastAsia" w:cs="宋体"/>
          <w:color w:val="auto"/>
          <w:highlight w:val="none"/>
        </w:rPr>
        <w:t>和本章正文部分的规定为准。</w:t>
      </w:r>
    </w:p>
    <w:p>
      <w:pPr>
        <w:pStyle w:val="4"/>
        <w:rPr>
          <w:color w:val="auto"/>
          <w:highlight w:val="none"/>
        </w:rPr>
      </w:pPr>
      <w:bookmarkStart w:id="407" w:name="_Toc66186393"/>
      <w:bookmarkStart w:id="408" w:name="_Toc407135167"/>
      <w:bookmarkStart w:id="409" w:name="_Toc14577"/>
      <w:r>
        <w:rPr>
          <w:color w:val="auto"/>
          <w:highlight w:val="none"/>
        </w:rPr>
        <w:t xml:space="preserve">B1 </w:t>
      </w:r>
      <w:r>
        <w:rPr>
          <w:rFonts w:hint="eastAsia" w:cs="黑体"/>
          <w:color w:val="auto"/>
          <w:highlight w:val="none"/>
        </w:rPr>
        <w:t>否决投标条件</w:t>
      </w:r>
      <w:bookmarkEnd w:id="407"/>
      <w:bookmarkEnd w:id="408"/>
      <w:bookmarkEnd w:id="409"/>
    </w:p>
    <w:p>
      <w:pPr>
        <w:spacing w:line="360" w:lineRule="auto"/>
        <w:ind w:firstLine="420" w:firstLineChars="200"/>
        <w:rPr>
          <w:color w:val="auto"/>
          <w:highlight w:val="none"/>
        </w:rPr>
      </w:pPr>
      <w:r>
        <w:rPr>
          <w:rFonts w:hint="eastAsia" w:cs="宋体"/>
          <w:color w:val="auto"/>
          <w:highlight w:val="none"/>
        </w:rPr>
        <w:t>投标人或其投标文件有下列情形之一的，其投标作否决投标处理：</w:t>
      </w:r>
    </w:p>
    <w:p>
      <w:pPr>
        <w:spacing w:line="360" w:lineRule="auto"/>
        <w:ind w:firstLine="420" w:firstLineChars="200"/>
        <w:rPr>
          <w:color w:val="auto"/>
          <w:highlight w:val="none"/>
        </w:rPr>
      </w:pPr>
      <w:r>
        <w:rPr>
          <w:color w:val="auto"/>
          <w:highlight w:val="none"/>
        </w:rPr>
        <w:t xml:space="preserve">B1.1 </w:t>
      </w:r>
      <w:r>
        <w:rPr>
          <w:rFonts w:hint="eastAsia" w:cs="宋体"/>
          <w:color w:val="auto"/>
          <w:highlight w:val="none"/>
        </w:rPr>
        <w:t>有第二章</w:t>
      </w:r>
      <w:r>
        <w:rPr>
          <w:color w:val="auto"/>
          <w:highlight w:val="none"/>
        </w:rPr>
        <w:t>“</w:t>
      </w:r>
      <w:r>
        <w:rPr>
          <w:rFonts w:hint="eastAsia" w:cs="宋体"/>
          <w:color w:val="auto"/>
          <w:highlight w:val="none"/>
        </w:rPr>
        <w:t>投标人须知</w:t>
      </w:r>
      <w:r>
        <w:rPr>
          <w:color w:val="auto"/>
          <w:highlight w:val="none"/>
        </w:rPr>
        <w:t>”</w:t>
      </w:r>
      <w:r>
        <w:rPr>
          <w:rFonts w:hint="eastAsia" w:cs="宋体"/>
          <w:color w:val="auto"/>
          <w:highlight w:val="none"/>
        </w:rPr>
        <w:t>第</w:t>
      </w:r>
      <w:r>
        <w:rPr>
          <w:color w:val="auto"/>
          <w:highlight w:val="none"/>
        </w:rPr>
        <w:t>1.4.3</w:t>
      </w:r>
      <w:r>
        <w:rPr>
          <w:rFonts w:hint="eastAsia"/>
          <w:color w:val="auto"/>
          <w:highlight w:val="none"/>
        </w:rPr>
        <w:t>、1.4.4</w:t>
      </w:r>
      <w:r>
        <w:rPr>
          <w:rFonts w:hint="eastAsia" w:cs="宋体"/>
          <w:color w:val="auto"/>
          <w:highlight w:val="none"/>
        </w:rPr>
        <w:t>项规定的任何一种情形的；</w:t>
      </w:r>
    </w:p>
    <w:p>
      <w:pPr>
        <w:spacing w:line="360" w:lineRule="auto"/>
        <w:ind w:firstLine="420" w:firstLineChars="200"/>
        <w:rPr>
          <w:color w:val="auto"/>
          <w:highlight w:val="none"/>
        </w:rPr>
      </w:pPr>
      <w:r>
        <w:rPr>
          <w:color w:val="auto"/>
          <w:highlight w:val="none"/>
        </w:rPr>
        <w:t xml:space="preserve">B1.2 </w:t>
      </w:r>
      <w:r>
        <w:rPr>
          <w:rFonts w:hint="eastAsia" w:cs="宋体"/>
          <w:color w:val="auto"/>
          <w:highlight w:val="none"/>
        </w:rPr>
        <w:t>有串通投标或弄虚作假或有其他违法行为的；</w:t>
      </w:r>
    </w:p>
    <w:p>
      <w:pPr>
        <w:spacing w:line="360" w:lineRule="auto"/>
        <w:ind w:firstLine="420" w:firstLineChars="200"/>
        <w:rPr>
          <w:color w:val="auto"/>
          <w:highlight w:val="none"/>
        </w:rPr>
      </w:pPr>
      <w:r>
        <w:rPr>
          <w:color w:val="auto"/>
          <w:highlight w:val="none"/>
        </w:rPr>
        <w:t xml:space="preserve">B1.3 </w:t>
      </w:r>
      <w:r>
        <w:rPr>
          <w:rFonts w:hint="eastAsia" w:cs="宋体"/>
          <w:color w:val="auto"/>
          <w:highlight w:val="none"/>
        </w:rPr>
        <w:t>不按评标委员会要求澄清、说明或补正的；</w:t>
      </w:r>
    </w:p>
    <w:p>
      <w:pPr>
        <w:spacing w:line="360" w:lineRule="auto"/>
        <w:ind w:firstLine="420" w:firstLineChars="200"/>
        <w:rPr>
          <w:color w:val="auto"/>
          <w:highlight w:val="none"/>
        </w:rPr>
      </w:pPr>
      <w:r>
        <w:rPr>
          <w:color w:val="auto"/>
          <w:highlight w:val="none"/>
        </w:rPr>
        <w:t xml:space="preserve">B1.4 </w:t>
      </w:r>
      <w:r>
        <w:rPr>
          <w:rFonts w:hint="eastAsia" w:cs="宋体"/>
          <w:color w:val="auto"/>
          <w:highlight w:val="none"/>
        </w:rPr>
        <w:t>在资格评审、形式评审、响应性评审中，评标委员会认定投标人的投标文件不符合</w:t>
      </w:r>
      <w:r>
        <w:rPr>
          <w:color w:val="auto"/>
          <w:highlight w:val="none"/>
        </w:rPr>
        <w:t>“</w:t>
      </w:r>
      <w:r>
        <w:rPr>
          <w:rFonts w:hint="eastAsia" w:cs="宋体"/>
          <w:color w:val="auto"/>
          <w:highlight w:val="none"/>
        </w:rPr>
        <w:t>评标办法前附表</w:t>
      </w:r>
      <w:r>
        <w:rPr>
          <w:color w:val="auto"/>
          <w:highlight w:val="none"/>
        </w:rPr>
        <w:t>”</w:t>
      </w:r>
      <w:r>
        <w:rPr>
          <w:rFonts w:hint="eastAsia" w:cs="宋体"/>
          <w:color w:val="auto"/>
          <w:highlight w:val="none"/>
        </w:rPr>
        <w:t>中规定的任何一项评审标准的【备注：如资格审查采用有限数量制时，资格审查的评审内容按打分制给予对应分值，无相关证明材料的给予</w:t>
      </w:r>
      <w:r>
        <w:rPr>
          <w:color w:val="auto"/>
          <w:highlight w:val="none"/>
        </w:rPr>
        <w:t>0</w:t>
      </w:r>
      <w:r>
        <w:rPr>
          <w:rFonts w:hint="eastAsia" w:cs="宋体"/>
          <w:color w:val="auto"/>
          <w:highlight w:val="none"/>
        </w:rPr>
        <w:t>分，但不做否决投标处理。】；</w:t>
      </w:r>
    </w:p>
    <w:p>
      <w:pPr>
        <w:spacing w:line="360" w:lineRule="auto"/>
        <w:ind w:firstLine="420" w:firstLineChars="200"/>
        <w:rPr>
          <w:color w:val="auto"/>
          <w:highlight w:val="none"/>
        </w:rPr>
      </w:pPr>
      <w:r>
        <w:rPr>
          <w:color w:val="auto"/>
          <w:highlight w:val="none"/>
        </w:rPr>
        <w:t xml:space="preserve">B1.5 </w:t>
      </w:r>
      <w:r>
        <w:rPr>
          <w:rFonts w:hint="eastAsia" w:cs="宋体"/>
          <w:color w:val="auto"/>
          <w:highlight w:val="none"/>
        </w:rPr>
        <w:t>在技术标评审中，评标委员会认定投标人的投标未能通过此项评审的；</w:t>
      </w:r>
    </w:p>
    <w:p>
      <w:pPr>
        <w:spacing w:line="360" w:lineRule="auto"/>
        <w:ind w:firstLine="420" w:firstLineChars="200"/>
        <w:rPr>
          <w:color w:val="auto"/>
          <w:highlight w:val="none"/>
        </w:rPr>
      </w:pPr>
      <w:r>
        <w:rPr>
          <w:color w:val="auto"/>
          <w:highlight w:val="none"/>
        </w:rPr>
        <w:t xml:space="preserve">B1.6 </w:t>
      </w:r>
      <w:r>
        <w:rPr>
          <w:rFonts w:hint="eastAsia" w:cs="宋体"/>
          <w:color w:val="auto"/>
          <w:highlight w:val="none"/>
        </w:rPr>
        <w:t>不按第二章投标须知前附表第</w:t>
      </w:r>
      <w:r>
        <w:rPr>
          <w:color w:val="auto"/>
          <w:highlight w:val="none"/>
        </w:rPr>
        <w:t>3.1.1</w:t>
      </w:r>
      <w:r>
        <w:rPr>
          <w:rFonts w:hint="eastAsia" w:cs="宋体"/>
          <w:color w:val="auto"/>
          <w:highlight w:val="none"/>
        </w:rPr>
        <w:t>条内容提供资料的；</w:t>
      </w:r>
    </w:p>
    <w:p>
      <w:pPr>
        <w:spacing w:line="360" w:lineRule="auto"/>
        <w:ind w:firstLine="420" w:firstLineChars="200"/>
        <w:rPr>
          <w:color w:val="auto"/>
          <w:highlight w:val="none"/>
        </w:rPr>
      </w:pPr>
      <w:r>
        <w:rPr>
          <w:color w:val="auto"/>
          <w:highlight w:val="none"/>
        </w:rPr>
        <w:t xml:space="preserve">B1.7 </w:t>
      </w:r>
      <w:r>
        <w:rPr>
          <w:rFonts w:hint="eastAsia" w:cs="宋体"/>
          <w:color w:val="auto"/>
          <w:highlight w:val="none"/>
        </w:rPr>
        <w:t>没有在招标文件规定的投标文件相关位置加盖投标人法人单位及法定代表人签章的；</w:t>
      </w:r>
    </w:p>
    <w:p>
      <w:pPr>
        <w:spacing w:line="360" w:lineRule="auto"/>
        <w:ind w:firstLine="420" w:firstLineChars="200"/>
        <w:rPr>
          <w:color w:val="auto"/>
          <w:highlight w:val="none"/>
        </w:rPr>
      </w:pPr>
      <w:r>
        <w:rPr>
          <w:color w:val="auto"/>
          <w:highlight w:val="none"/>
        </w:rPr>
        <w:t xml:space="preserve">B1.8 </w:t>
      </w:r>
      <w:r>
        <w:rPr>
          <w:rFonts w:hint="eastAsia" w:cs="宋体"/>
          <w:color w:val="auto"/>
          <w:highlight w:val="none"/>
        </w:rPr>
        <w:t>投标文件的关键内容字迹模糊、辨认不清的；</w:t>
      </w:r>
    </w:p>
    <w:p>
      <w:pPr>
        <w:spacing w:line="360" w:lineRule="auto"/>
        <w:ind w:firstLine="420" w:firstLineChars="200"/>
        <w:rPr>
          <w:color w:val="auto"/>
          <w:highlight w:val="none"/>
        </w:rPr>
      </w:pPr>
      <w:r>
        <w:rPr>
          <w:color w:val="auto"/>
          <w:highlight w:val="none"/>
        </w:rPr>
        <w:t>B1.9</w:t>
      </w:r>
      <w:r>
        <w:rPr>
          <w:rFonts w:hint="eastAsia" w:cs="宋体"/>
          <w:color w:val="auto"/>
          <w:highlight w:val="none"/>
        </w:rPr>
        <w:t>投标人不接受评标委员会按第三章</w:t>
      </w:r>
      <w:r>
        <w:rPr>
          <w:color w:val="auto"/>
          <w:highlight w:val="none"/>
        </w:rPr>
        <w:t>“</w:t>
      </w:r>
      <w:r>
        <w:rPr>
          <w:rFonts w:hint="eastAsia" w:cs="宋体"/>
          <w:color w:val="auto"/>
          <w:highlight w:val="none"/>
        </w:rPr>
        <w:t>评标办法</w:t>
      </w:r>
      <w:r>
        <w:rPr>
          <w:color w:val="auto"/>
          <w:highlight w:val="none"/>
        </w:rPr>
        <w:t>”</w:t>
      </w:r>
      <w:r>
        <w:rPr>
          <w:rFonts w:hint="eastAsia" w:cs="宋体"/>
          <w:color w:val="auto"/>
          <w:highlight w:val="none"/>
        </w:rPr>
        <w:t>第</w:t>
      </w:r>
      <w:r>
        <w:rPr>
          <w:color w:val="auto"/>
          <w:highlight w:val="none"/>
        </w:rPr>
        <w:t>3.1.3</w:t>
      </w:r>
      <w:r>
        <w:rPr>
          <w:rFonts w:hint="eastAsia" w:cs="宋体"/>
          <w:color w:val="auto"/>
          <w:highlight w:val="none"/>
        </w:rPr>
        <w:t>条的原则对投标报价进行修正的；</w:t>
      </w:r>
    </w:p>
    <w:p>
      <w:pPr>
        <w:spacing w:line="360" w:lineRule="auto"/>
        <w:ind w:firstLine="420" w:firstLineChars="200"/>
        <w:rPr>
          <w:color w:val="auto"/>
          <w:highlight w:val="none"/>
        </w:rPr>
      </w:pPr>
      <w:r>
        <w:rPr>
          <w:color w:val="auto"/>
          <w:highlight w:val="none"/>
        </w:rPr>
        <w:t xml:space="preserve">B1.10 </w:t>
      </w:r>
      <w:r>
        <w:rPr>
          <w:rFonts w:hint="eastAsia" w:cs="宋体"/>
          <w:color w:val="auto"/>
          <w:highlight w:val="none"/>
        </w:rPr>
        <w:t>投标人不具备独立法人资格或作为独立法人资格但就本工程提交一个以上的投标文件的；</w:t>
      </w:r>
    </w:p>
    <w:p>
      <w:pPr>
        <w:spacing w:line="360" w:lineRule="auto"/>
        <w:ind w:firstLine="420" w:firstLineChars="200"/>
        <w:rPr>
          <w:color w:val="auto"/>
          <w:highlight w:val="none"/>
        </w:rPr>
      </w:pPr>
      <w:r>
        <w:rPr>
          <w:color w:val="auto"/>
          <w:highlight w:val="none"/>
        </w:rPr>
        <w:t>B1.11</w:t>
      </w:r>
      <w:bookmarkStart w:id="410" w:name="_Hlk15999624"/>
      <w:r>
        <w:rPr>
          <w:rFonts w:hint="eastAsia" w:cs="宋体"/>
          <w:color w:val="auto"/>
          <w:highlight w:val="none"/>
        </w:rPr>
        <w:t>在单价合同工程中投标人采用总价优惠或以总价百分比优惠的方式进行投标报价的；</w:t>
      </w:r>
      <w:bookmarkEnd w:id="410"/>
    </w:p>
    <w:p>
      <w:pPr>
        <w:spacing w:line="360" w:lineRule="auto"/>
        <w:ind w:firstLine="420" w:firstLineChars="200"/>
        <w:rPr>
          <w:color w:val="auto"/>
          <w:highlight w:val="none"/>
        </w:rPr>
      </w:pPr>
      <w:r>
        <w:rPr>
          <w:color w:val="auto"/>
          <w:highlight w:val="none"/>
        </w:rPr>
        <w:t xml:space="preserve">B1.12 </w:t>
      </w:r>
      <w:r>
        <w:rPr>
          <w:rFonts w:hint="eastAsia" w:cs="宋体"/>
          <w:color w:val="auto"/>
          <w:highlight w:val="none"/>
        </w:rPr>
        <w:t>安全文明施工费和规费、增值税不按我区费用定额及造价管理相关文件规定报价的；</w:t>
      </w:r>
    </w:p>
    <w:p>
      <w:pPr>
        <w:spacing w:line="360" w:lineRule="auto"/>
        <w:ind w:firstLine="420" w:firstLineChars="200"/>
        <w:rPr>
          <w:color w:val="auto"/>
          <w:highlight w:val="none"/>
        </w:rPr>
      </w:pPr>
      <w:r>
        <w:rPr>
          <w:color w:val="auto"/>
          <w:highlight w:val="none"/>
        </w:rPr>
        <w:t xml:space="preserve">B1.13 </w:t>
      </w:r>
      <w:r>
        <w:rPr>
          <w:rFonts w:hint="eastAsia" w:cs="宋体"/>
          <w:color w:val="auto"/>
          <w:highlight w:val="none"/>
        </w:rPr>
        <w:t>投标人已标价工程量清单的项目编码（12位）、计量单位、工程量任何一处与招标工程量清单不一致的；</w:t>
      </w:r>
    </w:p>
    <w:p>
      <w:pPr>
        <w:spacing w:line="360" w:lineRule="auto"/>
        <w:ind w:firstLine="420" w:firstLineChars="200"/>
        <w:rPr>
          <w:color w:val="auto"/>
          <w:highlight w:val="none"/>
        </w:rPr>
      </w:pPr>
      <w:r>
        <w:rPr>
          <w:color w:val="auto"/>
          <w:highlight w:val="none"/>
        </w:rPr>
        <w:t xml:space="preserve">B1.14 </w:t>
      </w:r>
      <w:r>
        <w:rPr>
          <w:rFonts w:hint="eastAsia" w:cs="宋体"/>
          <w:color w:val="auto"/>
          <w:highlight w:val="none"/>
        </w:rPr>
        <w:t>投标人已标价工程量清单的项目名称或项目特征与招标工程量清单不一致，评标委员会要求澄清、说明或补正，但投标人拒绝澄清、说明或补正的；</w:t>
      </w:r>
    </w:p>
    <w:p>
      <w:pPr>
        <w:spacing w:line="360" w:lineRule="auto"/>
        <w:ind w:firstLine="420" w:firstLineChars="200"/>
        <w:rPr>
          <w:color w:val="auto"/>
          <w:highlight w:val="none"/>
        </w:rPr>
      </w:pPr>
      <w:r>
        <w:rPr>
          <w:color w:val="auto"/>
          <w:highlight w:val="none"/>
        </w:rPr>
        <w:t xml:space="preserve">B1.15 </w:t>
      </w:r>
      <w:r>
        <w:rPr>
          <w:rFonts w:hint="eastAsia" w:cs="宋体"/>
          <w:color w:val="auto"/>
          <w:highlight w:val="none"/>
        </w:rPr>
        <w:t>投标函中的报价与已标价的工程量清单汇总表不一致的；</w:t>
      </w:r>
    </w:p>
    <w:p>
      <w:pPr>
        <w:spacing w:line="360" w:lineRule="auto"/>
        <w:ind w:firstLine="420" w:firstLineChars="200"/>
        <w:rPr>
          <w:color w:val="auto"/>
          <w:highlight w:val="none"/>
        </w:rPr>
      </w:pPr>
      <w:r>
        <w:rPr>
          <w:color w:val="auto"/>
          <w:highlight w:val="none"/>
        </w:rPr>
        <w:t xml:space="preserve">B1.16 </w:t>
      </w:r>
      <w:r>
        <w:rPr>
          <w:rFonts w:hint="eastAsia" w:cs="宋体"/>
          <w:color w:val="auto"/>
          <w:highlight w:val="none"/>
        </w:rPr>
        <w:t>设有暂估价、暂列金额的，投标时未按招标人工程量清单给出的暂估价总价、暂列金额总价计入投标总报价中的；</w:t>
      </w:r>
    </w:p>
    <w:p>
      <w:pPr>
        <w:spacing w:line="360" w:lineRule="auto"/>
        <w:ind w:firstLine="420" w:firstLineChars="200"/>
        <w:rPr>
          <w:rFonts w:cs="宋体"/>
          <w:color w:val="auto"/>
          <w:highlight w:val="none"/>
        </w:rPr>
      </w:pPr>
      <w:r>
        <w:rPr>
          <w:color w:val="auto"/>
          <w:highlight w:val="none"/>
        </w:rPr>
        <w:t>B1.17</w:t>
      </w:r>
      <w:r>
        <w:rPr>
          <w:rFonts w:hint="eastAsia" w:cs="宋体"/>
          <w:color w:val="auto"/>
          <w:highlight w:val="none"/>
        </w:rPr>
        <w:t>投标文件实质上没有响应招标文件的要求的(包括</w:t>
      </w:r>
      <w:r>
        <w:rPr>
          <w:rFonts w:cs="宋体"/>
          <w:color w:val="auto"/>
          <w:highlight w:val="none"/>
        </w:rPr>
        <w:t>：质量要求、工期、技术标准和要求、合同</w:t>
      </w:r>
      <w:r>
        <w:rPr>
          <w:rFonts w:hint="eastAsia" w:cs="宋体"/>
          <w:color w:val="auto"/>
          <w:highlight w:val="none"/>
        </w:rPr>
        <w:t>价款</w:t>
      </w:r>
      <w:r>
        <w:rPr>
          <w:rFonts w:cs="宋体"/>
          <w:color w:val="auto"/>
          <w:highlight w:val="none"/>
        </w:rPr>
        <w:t>主要条款、投标有效期等</w:t>
      </w:r>
      <w:r>
        <w:rPr>
          <w:rFonts w:hint="eastAsia" w:cs="宋体"/>
          <w:color w:val="auto"/>
          <w:highlight w:val="none"/>
        </w:rPr>
        <w:t>)；</w:t>
      </w:r>
    </w:p>
    <w:bookmarkEnd w:id="406"/>
    <w:p>
      <w:pPr>
        <w:spacing w:line="360" w:lineRule="auto"/>
        <w:ind w:firstLine="420" w:firstLineChars="200"/>
        <w:rPr>
          <w:color w:val="auto"/>
          <w:highlight w:val="none"/>
        </w:rPr>
      </w:pPr>
      <w:r>
        <w:rPr>
          <w:color w:val="auto"/>
          <w:highlight w:val="none"/>
        </w:rPr>
        <w:t xml:space="preserve">B1.18 </w:t>
      </w:r>
      <w:r>
        <w:rPr>
          <w:rFonts w:hint="eastAsia" w:cs="宋体"/>
          <w:color w:val="auto"/>
          <w:highlight w:val="none"/>
        </w:rPr>
        <w:t>投标人未按照招标文件第二章投标人须知第</w:t>
      </w:r>
      <w:r>
        <w:rPr>
          <w:color w:val="auto"/>
          <w:highlight w:val="none"/>
        </w:rPr>
        <w:t>3.4</w:t>
      </w:r>
      <w:r>
        <w:rPr>
          <w:rFonts w:hint="eastAsia" w:cs="宋体"/>
          <w:color w:val="auto"/>
          <w:highlight w:val="none"/>
        </w:rPr>
        <w:t>条的要求提供投标保证金的或未按规定提交投标保证金证明材料的；</w:t>
      </w:r>
    </w:p>
    <w:p>
      <w:pPr>
        <w:spacing w:line="360" w:lineRule="auto"/>
        <w:ind w:firstLine="420" w:firstLineChars="200"/>
        <w:rPr>
          <w:color w:val="auto"/>
          <w:highlight w:val="none"/>
        </w:rPr>
      </w:pPr>
      <w:r>
        <w:rPr>
          <w:color w:val="auto"/>
          <w:highlight w:val="none"/>
        </w:rPr>
        <w:t>B1.19</w:t>
      </w:r>
      <w:r>
        <w:rPr>
          <w:rFonts w:hint="eastAsia" w:cs="宋体"/>
          <w:color w:val="auto"/>
          <w:highlight w:val="none"/>
        </w:rPr>
        <w:t>（</w:t>
      </w:r>
      <w:r>
        <w:rPr>
          <w:color w:val="auto"/>
          <w:highlight w:val="none"/>
        </w:rPr>
        <w:t>1</w:t>
      </w:r>
      <w:r>
        <w:rPr>
          <w:rFonts w:hint="eastAsia" w:cs="宋体"/>
          <w:color w:val="auto"/>
          <w:highlight w:val="none"/>
        </w:rPr>
        <w:t>）</w:t>
      </w:r>
      <w:bookmarkStart w:id="411" w:name="_Hlk15999787"/>
      <w:r>
        <w:rPr>
          <w:rFonts w:hint="eastAsia" w:cs="宋体"/>
          <w:color w:val="auto"/>
          <w:highlight w:val="none"/>
        </w:rPr>
        <w:t>投标人拟投入本工程的项目经理在在建项目或已中标未开工项目中任项目经理的（符合法规规定的特殊情况和桂建管﹝</w:t>
      </w:r>
      <w:r>
        <w:rPr>
          <w:color w:val="auto"/>
          <w:highlight w:val="none"/>
        </w:rPr>
        <w:t>2013</w:t>
      </w:r>
      <w:r>
        <w:rPr>
          <w:rFonts w:hint="eastAsia" w:cs="宋体"/>
          <w:color w:val="auto"/>
          <w:highlight w:val="none"/>
        </w:rPr>
        <w:t>﹞</w:t>
      </w:r>
      <w:r>
        <w:rPr>
          <w:color w:val="auto"/>
          <w:highlight w:val="none"/>
        </w:rPr>
        <w:t>17</w:t>
      </w:r>
      <w:r>
        <w:rPr>
          <w:rFonts w:hint="eastAsia" w:cs="宋体"/>
          <w:color w:val="auto"/>
          <w:highlight w:val="none"/>
        </w:rPr>
        <w:t>号文要求的除外）或已列为其他项目中标候选人第一名的项目经理或无有效安全生产考核合格证（</w:t>
      </w:r>
      <w:r>
        <w:rPr>
          <w:color w:val="auto"/>
          <w:highlight w:val="none"/>
        </w:rPr>
        <w:t>B</w:t>
      </w:r>
      <w:r>
        <w:rPr>
          <w:rFonts w:hint="eastAsia" w:cs="宋体"/>
          <w:color w:val="auto"/>
          <w:highlight w:val="none"/>
        </w:rPr>
        <w:t>类）的</w:t>
      </w:r>
      <w:bookmarkEnd w:id="411"/>
      <w:r>
        <w:rPr>
          <w:rFonts w:hint="eastAsia" w:cs="宋体"/>
          <w:color w:val="auto"/>
          <w:highlight w:val="none"/>
        </w:rPr>
        <w:t>；</w:t>
      </w:r>
    </w:p>
    <w:p>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）投标人拟投入本工程的项目专职安全人员在在建项目中任专职安全员的（符合法规规定的特殊情况和桂建管﹝</w:t>
      </w:r>
      <w:r>
        <w:rPr>
          <w:color w:val="auto"/>
          <w:highlight w:val="none"/>
        </w:rPr>
        <w:t>2013</w:t>
      </w:r>
      <w:r>
        <w:rPr>
          <w:rFonts w:hint="eastAsia" w:cs="宋体"/>
          <w:color w:val="auto"/>
          <w:highlight w:val="none"/>
        </w:rPr>
        <w:t>﹞</w:t>
      </w:r>
      <w:r>
        <w:rPr>
          <w:color w:val="auto"/>
          <w:highlight w:val="none"/>
        </w:rPr>
        <w:t>17</w:t>
      </w:r>
      <w:r>
        <w:rPr>
          <w:rFonts w:hint="eastAsia" w:cs="宋体"/>
          <w:color w:val="auto"/>
          <w:highlight w:val="none"/>
        </w:rPr>
        <w:t>号文要求的除外）或无有效安全生产考核合格证（</w:t>
      </w:r>
      <w:r>
        <w:rPr>
          <w:color w:val="auto"/>
          <w:highlight w:val="none"/>
        </w:rPr>
        <w:t>C</w:t>
      </w:r>
      <w:r>
        <w:rPr>
          <w:rFonts w:hint="eastAsia" w:cs="宋体"/>
          <w:color w:val="auto"/>
          <w:highlight w:val="none"/>
        </w:rPr>
        <w:t>类）的；</w:t>
      </w:r>
    </w:p>
    <w:p>
      <w:pPr>
        <w:pStyle w:val="154"/>
        <w:spacing w:line="360" w:lineRule="auto"/>
        <w:ind w:firstLine="420" w:firstLineChars="200"/>
        <w:rPr>
          <w:color w:val="auto"/>
          <w:highlight w:val="none"/>
        </w:rPr>
      </w:pPr>
      <w:r>
        <w:rPr>
          <w:color w:val="auto"/>
          <w:highlight w:val="none"/>
        </w:rPr>
        <w:t>B1.20</w:t>
      </w:r>
      <w:r>
        <w:rPr>
          <w:rFonts w:hint="eastAsia" w:cs="宋体"/>
          <w:color w:val="auto"/>
          <w:highlight w:val="none"/>
        </w:rPr>
        <w:t>组成联合体投标的，投标文件未附联合体各方共同投标协议书的；</w:t>
      </w:r>
    </w:p>
    <w:p>
      <w:pPr>
        <w:pStyle w:val="154"/>
        <w:spacing w:line="360" w:lineRule="auto"/>
        <w:ind w:firstLine="420" w:firstLineChars="200"/>
        <w:rPr>
          <w:color w:val="auto"/>
          <w:highlight w:val="none"/>
        </w:rPr>
      </w:pPr>
      <w:r>
        <w:rPr>
          <w:color w:val="auto"/>
          <w:highlight w:val="none"/>
        </w:rPr>
        <w:t>B1.21</w:t>
      </w:r>
      <w:r>
        <w:rPr>
          <w:rFonts w:hint="eastAsia" w:cs="宋体"/>
          <w:color w:val="auto"/>
          <w:highlight w:val="none"/>
        </w:rPr>
        <w:t>投标人的投标总价超出招标控制价的；</w:t>
      </w:r>
    </w:p>
    <w:p>
      <w:pPr>
        <w:spacing w:after="100" w:afterAutospacing="1"/>
        <w:ind w:firstLine="420" w:firstLineChars="200"/>
        <w:rPr>
          <w:color w:val="auto"/>
          <w:highlight w:val="none"/>
        </w:rPr>
      </w:pPr>
      <w:r>
        <w:rPr>
          <w:color w:val="auto"/>
          <w:highlight w:val="none"/>
        </w:rPr>
        <w:t>B1.22</w:t>
      </w:r>
      <w:r>
        <w:rPr>
          <w:rFonts w:hint="eastAsia" w:cs="宋体"/>
          <w:color w:val="auto"/>
          <w:highlight w:val="none"/>
        </w:rPr>
        <w:t>投标人对招标工程量清单内容进行增减或对招标范围进行调整的；</w:t>
      </w:r>
    </w:p>
    <w:p>
      <w:pPr>
        <w:pStyle w:val="154"/>
        <w:spacing w:line="360" w:lineRule="auto"/>
        <w:ind w:firstLine="420" w:firstLineChars="200"/>
        <w:rPr>
          <w:color w:val="auto"/>
          <w:highlight w:val="none"/>
        </w:rPr>
      </w:pPr>
      <w:r>
        <w:rPr>
          <w:color w:val="auto"/>
          <w:highlight w:val="none"/>
        </w:rPr>
        <w:t>B1.23</w:t>
      </w:r>
      <w:bookmarkStart w:id="412" w:name="_Hlk15999837"/>
      <w:r>
        <w:rPr>
          <w:rFonts w:hint="eastAsia" w:cs="宋体"/>
          <w:color w:val="auto"/>
          <w:highlight w:val="none"/>
        </w:rPr>
        <w:t>法规规定的其他否决投标条款。</w:t>
      </w:r>
      <w:bookmarkEnd w:id="412"/>
    </w:p>
    <w:p>
      <w:pPr>
        <w:pStyle w:val="146"/>
        <w:spacing w:line="360" w:lineRule="auto"/>
        <w:rPr>
          <w:b/>
          <w:color w:val="auto"/>
          <w:highlight w:val="none"/>
        </w:rPr>
      </w:pPr>
      <w:r>
        <w:rPr>
          <w:rFonts w:hint="eastAsia" w:cs="宋体"/>
          <w:b/>
          <w:color w:val="auto"/>
          <w:highlight w:val="none"/>
        </w:rPr>
        <w:t>备注：</w:t>
      </w:r>
    </w:p>
    <w:p>
      <w:pPr>
        <w:pStyle w:val="146"/>
        <w:spacing w:line="360" w:lineRule="auto"/>
        <w:ind w:firstLine="420" w:firstLineChars="200"/>
        <w:rPr>
          <w:color w:val="auto"/>
          <w:highlight w:val="none"/>
        </w:rPr>
      </w:pPr>
      <w:r>
        <w:rPr>
          <w:color w:val="auto"/>
          <w:highlight w:val="none"/>
        </w:rPr>
        <w:t>1</w:t>
      </w:r>
      <w:r>
        <w:rPr>
          <w:rFonts w:hint="eastAsia" w:cs="宋体"/>
          <w:color w:val="auto"/>
          <w:highlight w:val="none"/>
        </w:rPr>
        <w:t>、如果工程所在地招投标监督管理部门要求评标委员会对判定为否决投标的投标文件说明否决投标情况的，应增加</w:t>
      </w:r>
      <w:r>
        <w:rPr>
          <w:color w:val="auto"/>
          <w:highlight w:val="none"/>
        </w:rPr>
        <w:t>“</w:t>
      </w:r>
      <w:r>
        <w:rPr>
          <w:rFonts w:hint="eastAsia" w:cs="宋体"/>
          <w:color w:val="auto"/>
          <w:highlight w:val="none"/>
        </w:rPr>
        <w:t>否决投标情况说明表</w:t>
      </w:r>
      <w:r>
        <w:rPr>
          <w:color w:val="auto"/>
          <w:highlight w:val="none"/>
        </w:rPr>
        <w:t>”</w:t>
      </w:r>
      <w:r>
        <w:rPr>
          <w:rFonts w:hint="eastAsia" w:cs="宋体"/>
          <w:color w:val="auto"/>
          <w:highlight w:val="none"/>
        </w:rPr>
        <w:t>格式，否决投标情况说明应当对照招标文件规定的否决投标条件以及投标文件存在的具体问题，并在中标候选人公示时予以公开。</w:t>
      </w:r>
    </w:p>
    <w:p>
      <w:pPr>
        <w:pStyle w:val="146"/>
        <w:spacing w:line="360" w:lineRule="auto"/>
        <w:ind w:firstLine="420" w:firstLineChars="200"/>
        <w:rPr>
          <w:color w:val="auto"/>
          <w:highlight w:val="none"/>
        </w:rPr>
      </w:pPr>
      <w:r>
        <w:rPr>
          <w:color w:val="auto"/>
          <w:highlight w:val="none"/>
        </w:rPr>
        <w:t>2</w:t>
      </w:r>
      <w:r>
        <w:rPr>
          <w:rFonts w:hint="eastAsia" w:cs="宋体"/>
          <w:color w:val="auto"/>
          <w:highlight w:val="none"/>
        </w:rPr>
        <w:t>、招标人可根据招标项目实际情况对上述否决投标情况进行调整，但不应与第二章</w:t>
      </w:r>
      <w:r>
        <w:rPr>
          <w:color w:val="auto"/>
          <w:highlight w:val="none"/>
        </w:rPr>
        <w:t>“</w:t>
      </w:r>
      <w:r>
        <w:rPr>
          <w:rFonts w:hint="eastAsia" w:cs="宋体"/>
          <w:color w:val="auto"/>
          <w:highlight w:val="none"/>
        </w:rPr>
        <w:t>投标人须知</w:t>
      </w:r>
      <w:r>
        <w:rPr>
          <w:color w:val="auto"/>
          <w:highlight w:val="none"/>
        </w:rPr>
        <w:t>”</w:t>
      </w:r>
      <w:r>
        <w:rPr>
          <w:rFonts w:hint="eastAsia" w:cs="宋体"/>
          <w:color w:val="auto"/>
          <w:highlight w:val="none"/>
        </w:rPr>
        <w:t>和本章正文部分包括的否决投标条件抵触，如果出现相互矛盾的情况，以第二章</w:t>
      </w:r>
      <w:r>
        <w:rPr>
          <w:color w:val="auto"/>
          <w:highlight w:val="none"/>
        </w:rPr>
        <w:t>“</w:t>
      </w:r>
      <w:r>
        <w:rPr>
          <w:rFonts w:hint="eastAsia" w:cs="宋体"/>
          <w:color w:val="auto"/>
          <w:highlight w:val="none"/>
        </w:rPr>
        <w:t>投标人须知</w:t>
      </w:r>
      <w:r>
        <w:rPr>
          <w:color w:val="auto"/>
          <w:highlight w:val="none"/>
        </w:rPr>
        <w:t>”</w:t>
      </w:r>
      <w:r>
        <w:rPr>
          <w:rFonts w:hint="eastAsia" w:cs="宋体"/>
          <w:color w:val="auto"/>
          <w:highlight w:val="none"/>
        </w:rPr>
        <w:t>和本章正文部分的规定为准。</w:t>
      </w:r>
    </w:p>
    <w:p>
      <w:pPr>
        <w:spacing w:line="360" w:lineRule="auto"/>
        <w:ind w:firstLine="450"/>
        <w:rPr>
          <w:color w:val="auto"/>
          <w:highlight w:val="none"/>
        </w:rPr>
      </w:pPr>
    </w:p>
    <w:p>
      <w:pPr>
        <w:spacing w:line="360" w:lineRule="auto"/>
        <w:ind w:firstLine="450"/>
        <w:rPr>
          <w:color w:val="auto"/>
          <w:highlight w:val="none"/>
        </w:rPr>
      </w:pPr>
    </w:p>
    <w:p>
      <w:pPr>
        <w:spacing w:line="360" w:lineRule="auto"/>
        <w:ind w:firstLine="450"/>
        <w:rPr>
          <w:color w:val="auto"/>
          <w:highlight w:val="none"/>
        </w:rPr>
      </w:pPr>
    </w:p>
    <w:p>
      <w:pPr>
        <w:spacing w:line="420" w:lineRule="exact"/>
        <w:jc w:val="center"/>
        <w:rPr>
          <w:color w:val="auto"/>
          <w:highlight w:val="none"/>
        </w:rPr>
      </w:pPr>
    </w:p>
    <w:p>
      <w:pPr>
        <w:spacing w:line="420" w:lineRule="exact"/>
        <w:jc w:val="center"/>
        <w:rPr>
          <w:color w:val="auto"/>
          <w:highlight w:val="none"/>
        </w:rPr>
      </w:pPr>
    </w:p>
    <w:p>
      <w:pPr>
        <w:spacing w:line="420" w:lineRule="exact"/>
        <w:jc w:val="center"/>
        <w:rPr>
          <w:color w:val="auto"/>
          <w:highlight w:val="none"/>
        </w:rPr>
      </w:pPr>
    </w:p>
    <w:p>
      <w:pPr>
        <w:spacing w:line="420" w:lineRule="exact"/>
        <w:jc w:val="center"/>
        <w:rPr>
          <w:color w:val="auto"/>
          <w:highlight w:val="none"/>
        </w:rPr>
      </w:pPr>
    </w:p>
    <w:p>
      <w:pPr>
        <w:spacing w:line="420" w:lineRule="exact"/>
        <w:rPr>
          <w:color w:val="auto"/>
          <w:highlight w:val="none"/>
        </w:rPr>
      </w:pPr>
    </w:p>
    <w:p>
      <w:pPr>
        <w:pStyle w:val="146"/>
        <w:spacing w:line="360" w:lineRule="auto"/>
        <w:ind w:firstLine="308" w:firstLineChars="147"/>
        <w:jc w:val="left"/>
        <w:rPr>
          <w:color w:val="auto"/>
          <w:highlight w:val="none"/>
        </w:rPr>
      </w:pPr>
    </w:p>
    <w:p>
      <w:pPr>
        <w:pStyle w:val="146"/>
        <w:spacing w:line="360" w:lineRule="auto"/>
        <w:ind w:firstLine="308" w:firstLineChars="147"/>
        <w:jc w:val="left"/>
        <w:rPr>
          <w:color w:val="auto"/>
          <w:highlight w:val="none"/>
        </w:rPr>
      </w:pPr>
    </w:p>
    <w:p>
      <w:pPr>
        <w:pStyle w:val="146"/>
        <w:spacing w:line="360" w:lineRule="auto"/>
        <w:ind w:firstLine="308" w:firstLineChars="147"/>
        <w:jc w:val="left"/>
        <w:rPr>
          <w:color w:val="auto"/>
          <w:highlight w:val="none"/>
        </w:rPr>
        <w:sectPr>
          <w:pgSz w:w="11907" w:h="16840"/>
          <w:pgMar w:top="1440" w:right="1440" w:bottom="1440" w:left="1797" w:header="851" w:footer="851" w:gutter="0"/>
          <w:cols w:space="720" w:num="1"/>
          <w:docGrid w:linePitch="312" w:charSpace="0"/>
        </w:sectPr>
      </w:pPr>
    </w:p>
    <w:p>
      <w:pPr>
        <w:spacing w:line="440" w:lineRule="exact"/>
        <w:rPr>
          <w:b/>
          <w:color w:val="auto"/>
          <w:highlight w:val="none"/>
        </w:rPr>
      </w:pPr>
      <w:r>
        <w:rPr>
          <w:rFonts w:hint="eastAsia" w:cs="宋体"/>
          <w:b/>
          <w:color w:val="auto"/>
          <w:highlight w:val="none"/>
        </w:rPr>
        <w:t>附表</w:t>
      </w:r>
      <w:r>
        <w:rPr>
          <w:b/>
          <w:color w:val="auto"/>
          <w:highlight w:val="none"/>
        </w:rPr>
        <w:t>A</w:t>
      </w:r>
      <w:r>
        <w:rPr>
          <w:rFonts w:hint="eastAsia" w:cs="宋体"/>
          <w:b/>
          <w:color w:val="auto"/>
          <w:highlight w:val="none"/>
        </w:rPr>
        <w:t>－</w:t>
      </w:r>
      <w:r>
        <w:rPr>
          <w:b/>
          <w:color w:val="auto"/>
          <w:highlight w:val="none"/>
        </w:rPr>
        <w:t>1</w:t>
      </w:r>
      <w:r>
        <w:rPr>
          <w:rFonts w:hint="eastAsia" w:cs="宋体"/>
          <w:b/>
          <w:color w:val="auto"/>
          <w:highlight w:val="none"/>
        </w:rPr>
        <w:t>：开标记录表</w:t>
      </w:r>
    </w:p>
    <w:p>
      <w:pPr>
        <w:adjustRightInd w:val="0"/>
        <w:snapToGrid w:val="0"/>
        <w:spacing w:line="420" w:lineRule="exact"/>
        <w:jc w:val="center"/>
        <w:rPr>
          <w:rFonts w:eastAsia="黑体"/>
          <w:color w:val="auto"/>
          <w:sz w:val="28"/>
          <w:szCs w:val="28"/>
          <w:highlight w:val="none"/>
        </w:rPr>
      </w:pPr>
      <w:r>
        <w:rPr>
          <w:rFonts w:hint="eastAsia" w:eastAsia="黑体" w:cs="黑体"/>
          <w:color w:val="auto"/>
          <w:sz w:val="28"/>
          <w:szCs w:val="28"/>
          <w:highlight w:val="none"/>
        </w:rPr>
        <w:t>开标记录表</w:t>
      </w:r>
    </w:p>
    <w:p>
      <w:pPr>
        <w:adjustRightInd w:val="0"/>
        <w:snapToGrid w:val="0"/>
        <w:spacing w:line="420" w:lineRule="exact"/>
        <w:jc w:val="center"/>
        <w:rPr>
          <w:rFonts w:eastAsia="黑体"/>
          <w:color w:val="auto"/>
          <w:sz w:val="28"/>
          <w:szCs w:val="28"/>
          <w:highlight w:val="none"/>
        </w:rPr>
      </w:pPr>
    </w:p>
    <w:p>
      <w:pPr>
        <w:spacing w:afterLines="30"/>
        <w:rPr>
          <w:color w:val="auto"/>
          <w:highlight w:val="none"/>
        </w:rPr>
      </w:pPr>
      <w:r>
        <w:rPr>
          <w:rFonts w:hint="eastAsia" w:cs="宋体"/>
          <w:color w:val="auto"/>
          <w:highlight w:val="none"/>
        </w:rPr>
        <w:t>项目名称：</w:t>
      </w:r>
      <w:r>
        <w:rPr>
          <w:color w:val="auto"/>
          <w:highlight w:val="none"/>
          <w:u w:val="single"/>
        </w:rPr>
        <w:t xml:space="preserve">             </w:t>
      </w:r>
      <w:r>
        <w:rPr>
          <w:rFonts w:hint="eastAsia" w:cs="宋体"/>
          <w:color w:val="auto"/>
          <w:highlight w:val="none"/>
        </w:rPr>
        <w:t>（项目名称）</w:t>
      </w:r>
      <w:r>
        <w:rPr>
          <w:color w:val="auto"/>
          <w:highlight w:val="none"/>
        </w:rPr>
        <w:t xml:space="preserve">       </w:t>
      </w:r>
      <w:r>
        <w:rPr>
          <w:rFonts w:hint="eastAsia" w:cs="宋体"/>
          <w:color w:val="auto"/>
          <w:highlight w:val="none"/>
        </w:rPr>
        <w:t>项目招标编号：</w:t>
      </w:r>
      <w:r>
        <w:rPr>
          <w:color w:val="auto"/>
          <w:highlight w:val="none"/>
          <w:u w:val="single"/>
        </w:rPr>
        <w:t xml:space="preserve">               </w:t>
      </w:r>
      <w:r>
        <w:rPr>
          <w:color w:val="auto"/>
          <w:highlight w:val="none"/>
        </w:rPr>
        <w:t xml:space="preserve">         </w:t>
      </w:r>
      <w:r>
        <w:rPr>
          <w:rFonts w:hint="eastAsia" w:cs="宋体"/>
          <w:color w:val="auto"/>
          <w:highlight w:val="none"/>
        </w:rPr>
        <w:t>开标时间：</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pPr>
        <w:adjustRightInd w:val="0"/>
        <w:snapToGrid w:val="0"/>
        <w:spacing w:line="420" w:lineRule="exact"/>
        <w:rPr>
          <w:color w:val="auto"/>
          <w:highlight w:val="none"/>
        </w:rPr>
      </w:pPr>
      <w:r>
        <w:rPr>
          <w:rFonts w:hint="eastAsia" w:cs="宋体"/>
          <w:color w:val="auto"/>
          <w:highlight w:val="none"/>
        </w:rPr>
        <w:t>招标人：</w:t>
      </w:r>
      <w:r>
        <w:rPr>
          <w:color w:val="auto"/>
          <w:highlight w:val="none"/>
          <w:u w:val="single"/>
        </w:rPr>
        <w:t xml:space="preserve">                                                         </w:t>
      </w:r>
      <w:r>
        <w:rPr>
          <w:color w:val="auto"/>
          <w:highlight w:val="none"/>
        </w:rPr>
        <w:t xml:space="preserve">         </w:t>
      </w:r>
      <w:r>
        <w:rPr>
          <w:rFonts w:hint="eastAsia" w:cs="宋体"/>
          <w:color w:val="auto"/>
          <w:highlight w:val="none"/>
        </w:rPr>
        <w:t>招标代理机构：</w:t>
      </w:r>
      <w:r>
        <w:rPr>
          <w:color w:val="auto"/>
          <w:highlight w:val="none"/>
          <w:u w:val="single"/>
        </w:rPr>
        <w:t xml:space="preserve">                         </w:t>
      </w:r>
    </w:p>
    <w:tbl>
      <w:tblPr>
        <w:tblStyle w:val="42"/>
        <w:tblW w:w="135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1980"/>
        <w:gridCol w:w="900"/>
        <w:gridCol w:w="1080"/>
        <w:gridCol w:w="900"/>
        <w:gridCol w:w="1260"/>
        <w:gridCol w:w="1080"/>
        <w:gridCol w:w="1060"/>
        <w:gridCol w:w="1064"/>
        <w:gridCol w:w="720"/>
        <w:gridCol w:w="1236"/>
        <w:gridCol w:w="814"/>
        <w:gridCol w:w="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5" w:hRule="exact"/>
          <w:jc w:val="center"/>
        </w:trPr>
        <w:tc>
          <w:tcPr>
            <w:tcW w:w="497" w:type="dxa"/>
            <w:shd w:val="clear" w:color="auto" w:fill="auto"/>
            <w:vAlign w:val="center"/>
          </w:tcPr>
          <w:p>
            <w:pPr>
              <w:spacing w:line="280" w:lineRule="exact"/>
              <w:jc w:val="center"/>
              <w:rPr>
                <w:color w:val="auto"/>
                <w:highlight w:val="none"/>
              </w:rPr>
            </w:pPr>
            <w:r>
              <w:rPr>
                <w:rFonts w:hint="eastAsia" w:cs="宋体"/>
                <w:color w:val="auto"/>
                <w:highlight w:val="none"/>
              </w:rPr>
              <w:t>序号</w:t>
            </w:r>
          </w:p>
        </w:tc>
        <w:tc>
          <w:tcPr>
            <w:tcW w:w="1980" w:type="dxa"/>
            <w:shd w:val="clear" w:color="auto" w:fill="auto"/>
            <w:vAlign w:val="center"/>
          </w:tcPr>
          <w:p>
            <w:pPr>
              <w:spacing w:line="280" w:lineRule="exact"/>
              <w:jc w:val="center"/>
              <w:rPr>
                <w:color w:val="auto"/>
                <w:highlight w:val="none"/>
              </w:rPr>
            </w:pPr>
            <w:r>
              <w:rPr>
                <w:rFonts w:hint="eastAsia" w:cs="宋体"/>
                <w:color w:val="auto"/>
                <w:highlight w:val="none"/>
              </w:rPr>
              <w:t>投标单位</w:t>
            </w:r>
          </w:p>
        </w:tc>
        <w:tc>
          <w:tcPr>
            <w:tcW w:w="900" w:type="dxa"/>
            <w:shd w:val="clear" w:color="auto" w:fill="auto"/>
            <w:vAlign w:val="center"/>
          </w:tcPr>
          <w:p>
            <w:pPr>
              <w:spacing w:line="280" w:lineRule="exact"/>
              <w:jc w:val="center"/>
              <w:rPr>
                <w:color w:val="auto"/>
                <w:highlight w:val="none"/>
              </w:rPr>
            </w:pPr>
            <w:r>
              <w:rPr>
                <w:rFonts w:hint="eastAsia" w:cs="宋体"/>
                <w:color w:val="auto"/>
                <w:highlight w:val="none"/>
              </w:rPr>
              <w:t>是否按时递交投标文件</w:t>
            </w:r>
          </w:p>
        </w:tc>
        <w:tc>
          <w:tcPr>
            <w:tcW w:w="1080" w:type="dxa"/>
            <w:shd w:val="clear" w:color="auto" w:fill="auto"/>
            <w:vAlign w:val="center"/>
          </w:tcPr>
          <w:p>
            <w:pPr>
              <w:spacing w:line="280" w:lineRule="exact"/>
              <w:jc w:val="center"/>
              <w:rPr>
                <w:color w:val="auto"/>
                <w:highlight w:val="none"/>
              </w:rPr>
            </w:pPr>
            <w:r>
              <w:rPr>
                <w:rFonts w:hint="eastAsia" w:cs="宋体"/>
                <w:color w:val="auto"/>
                <w:highlight w:val="none"/>
              </w:rPr>
              <w:t>投标文件密封性</w:t>
            </w:r>
          </w:p>
        </w:tc>
        <w:tc>
          <w:tcPr>
            <w:tcW w:w="900" w:type="dxa"/>
            <w:shd w:val="clear" w:color="auto" w:fill="auto"/>
            <w:vAlign w:val="center"/>
          </w:tcPr>
          <w:p>
            <w:pPr>
              <w:spacing w:line="280" w:lineRule="exact"/>
              <w:jc w:val="center"/>
              <w:rPr>
                <w:color w:val="auto"/>
                <w:highlight w:val="none"/>
              </w:rPr>
            </w:pPr>
            <w:r>
              <w:rPr>
                <w:rFonts w:hint="eastAsia" w:cs="宋体"/>
                <w:color w:val="auto"/>
                <w:highlight w:val="none"/>
              </w:rPr>
              <w:t>资格证件是否有效</w:t>
            </w:r>
          </w:p>
        </w:tc>
        <w:tc>
          <w:tcPr>
            <w:tcW w:w="1260" w:type="dxa"/>
            <w:shd w:val="clear" w:color="auto" w:fill="auto"/>
            <w:vAlign w:val="center"/>
          </w:tcPr>
          <w:p>
            <w:pPr>
              <w:spacing w:line="280" w:lineRule="exact"/>
              <w:jc w:val="center"/>
              <w:rPr>
                <w:color w:val="auto"/>
                <w:highlight w:val="none"/>
              </w:rPr>
            </w:pPr>
            <w:r>
              <w:rPr>
                <w:rFonts w:hint="eastAsia" w:cs="宋体"/>
                <w:color w:val="auto"/>
                <w:highlight w:val="none"/>
              </w:rPr>
              <w:t>投标文件是否有效</w:t>
            </w:r>
          </w:p>
        </w:tc>
        <w:tc>
          <w:tcPr>
            <w:tcW w:w="1080" w:type="dxa"/>
            <w:shd w:val="clear" w:color="auto" w:fill="auto"/>
            <w:vAlign w:val="center"/>
          </w:tcPr>
          <w:p>
            <w:pPr>
              <w:spacing w:line="280" w:lineRule="exact"/>
              <w:jc w:val="center"/>
              <w:rPr>
                <w:color w:val="auto"/>
                <w:highlight w:val="none"/>
              </w:rPr>
            </w:pPr>
            <w:r>
              <w:rPr>
                <w:rFonts w:hint="eastAsia" w:cs="宋体"/>
                <w:color w:val="auto"/>
                <w:highlight w:val="none"/>
              </w:rPr>
              <w:t>提交的投标保证金（万元）</w:t>
            </w:r>
          </w:p>
        </w:tc>
        <w:tc>
          <w:tcPr>
            <w:tcW w:w="1060" w:type="dxa"/>
            <w:shd w:val="clear" w:color="auto" w:fill="auto"/>
            <w:vAlign w:val="center"/>
          </w:tcPr>
          <w:p>
            <w:pPr>
              <w:spacing w:line="280" w:lineRule="exact"/>
              <w:jc w:val="center"/>
              <w:rPr>
                <w:color w:val="auto"/>
                <w:highlight w:val="none"/>
              </w:rPr>
            </w:pPr>
            <w:r>
              <w:rPr>
                <w:rFonts w:hint="eastAsia" w:cs="宋体"/>
                <w:color w:val="auto"/>
                <w:highlight w:val="none"/>
              </w:rPr>
              <w:t>投标总报价（元）</w:t>
            </w:r>
          </w:p>
        </w:tc>
        <w:tc>
          <w:tcPr>
            <w:tcW w:w="1064" w:type="dxa"/>
            <w:shd w:val="clear" w:color="auto" w:fill="auto"/>
            <w:vAlign w:val="center"/>
          </w:tcPr>
          <w:p>
            <w:pPr>
              <w:spacing w:line="280" w:lineRule="exact"/>
              <w:jc w:val="center"/>
              <w:rPr>
                <w:color w:val="auto"/>
                <w:highlight w:val="none"/>
              </w:rPr>
            </w:pPr>
            <w:r>
              <w:rPr>
                <w:rFonts w:hint="eastAsia" w:cs="宋体"/>
                <w:color w:val="auto"/>
                <w:highlight w:val="none"/>
              </w:rPr>
              <w:t>自报工期（日历天）</w:t>
            </w:r>
          </w:p>
        </w:tc>
        <w:tc>
          <w:tcPr>
            <w:tcW w:w="720" w:type="dxa"/>
            <w:shd w:val="clear" w:color="auto" w:fill="auto"/>
            <w:vAlign w:val="center"/>
          </w:tcPr>
          <w:p>
            <w:pPr>
              <w:spacing w:line="280" w:lineRule="exact"/>
              <w:jc w:val="center"/>
              <w:rPr>
                <w:color w:val="auto"/>
                <w:highlight w:val="none"/>
              </w:rPr>
            </w:pPr>
            <w:r>
              <w:rPr>
                <w:rFonts w:hint="eastAsia" w:cs="宋体"/>
                <w:color w:val="auto"/>
                <w:highlight w:val="none"/>
              </w:rPr>
              <w:t>自报质量等级</w:t>
            </w:r>
          </w:p>
        </w:tc>
        <w:tc>
          <w:tcPr>
            <w:tcW w:w="1236" w:type="dxa"/>
            <w:shd w:val="clear" w:color="auto" w:fill="auto"/>
            <w:vAlign w:val="center"/>
          </w:tcPr>
          <w:p>
            <w:pPr>
              <w:spacing w:line="280" w:lineRule="exact"/>
              <w:jc w:val="center"/>
              <w:rPr>
                <w:rFonts w:ascii="宋体"/>
                <w:color w:val="auto"/>
                <w:highlight w:val="none"/>
              </w:rPr>
            </w:pPr>
            <w:r>
              <w:rPr>
                <w:rFonts w:ascii="宋体" w:cs="宋体"/>
                <w:color w:val="auto"/>
                <w:highlight w:val="none"/>
              </w:rPr>
              <w:t>....</w:t>
            </w:r>
            <w:r>
              <w:rPr>
                <w:rFonts w:hint="eastAsia" w:ascii="宋体" w:hAnsi="宋体" w:cs="宋体"/>
                <w:color w:val="auto"/>
                <w:highlight w:val="none"/>
              </w:rPr>
              <w:t>（根据投标报价表内容增减）</w:t>
            </w:r>
          </w:p>
        </w:tc>
        <w:tc>
          <w:tcPr>
            <w:tcW w:w="814" w:type="dxa"/>
            <w:shd w:val="clear" w:color="auto" w:fill="auto"/>
            <w:vAlign w:val="center"/>
          </w:tcPr>
          <w:p>
            <w:pPr>
              <w:spacing w:line="280" w:lineRule="exact"/>
              <w:jc w:val="center"/>
              <w:rPr>
                <w:color w:val="auto"/>
                <w:highlight w:val="none"/>
              </w:rPr>
            </w:pPr>
            <w:r>
              <w:rPr>
                <w:rFonts w:hint="eastAsia" w:cs="宋体"/>
                <w:color w:val="auto"/>
                <w:highlight w:val="none"/>
              </w:rPr>
              <w:t>备注</w:t>
            </w:r>
          </w:p>
        </w:tc>
        <w:tc>
          <w:tcPr>
            <w:tcW w:w="974" w:type="dxa"/>
            <w:shd w:val="clear" w:color="auto" w:fill="auto"/>
            <w:vAlign w:val="center"/>
          </w:tcPr>
          <w:p>
            <w:pPr>
              <w:spacing w:line="280" w:lineRule="exact"/>
              <w:jc w:val="center"/>
              <w:rPr>
                <w:color w:val="auto"/>
                <w:highlight w:val="none"/>
              </w:rPr>
            </w:pPr>
            <w:r>
              <w:rPr>
                <w:rFonts w:hint="eastAsia" w:cs="宋体"/>
                <w:color w:val="auto"/>
                <w:highlight w:val="none"/>
              </w:rPr>
              <w:t>投标人专职投标员签字确认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jc w:val="center"/>
        </w:trPr>
        <w:tc>
          <w:tcPr>
            <w:tcW w:w="497" w:type="dxa"/>
            <w:shd w:val="clear" w:color="auto" w:fill="auto"/>
            <w:vAlign w:val="center"/>
          </w:tcPr>
          <w:p>
            <w:pPr>
              <w:spacing w:line="440" w:lineRule="exact"/>
              <w:jc w:val="center"/>
              <w:rPr>
                <w:rFonts w:eastAsia="黑体"/>
                <w:color w:val="auto"/>
                <w:highlight w:val="none"/>
              </w:rPr>
            </w:pPr>
            <w:r>
              <w:rPr>
                <w:rFonts w:eastAsia="黑体"/>
                <w:color w:val="auto"/>
                <w:highlight w:val="none"/>
              </w:rPr>
              <w:t>1</w:t>
            </w:r>
          </w:p>
        </w:tc>
        <w:tc>
          <w:tcPr>
            <w:tcW w:w="1980" w:type="dxa"/>
            <w:shd w:val="clear" w:color="auto" w:fill="auto"/>
            <w:vAlign w:val="center"/>
          </w:tcPr>
          <w:p>
            <w:pPr>
              <w:spacing w:line="440" w:lineRule="exact"/>
              <w:jc w:val="center"/>
              <w:rPr>
                <w:color w:val="auto"/>
                <w:highlight w:val="none"/>
              </w:rPr>
            </w:pPr>
          </w:p>
        </w:tc>
        <w:tc>
          <w:tcPr>
            <w:tcW w:w="900" w:type="dxa"/>
            <w:shd w:val="clear" w:color="auto" w:fill="auto"/>
            <w:vAlign w:val="center"/>
          </w:tcPr>
          <w:p>
            <w:pPr>
              <w:spacing w:line="440" w:lineRule="exact"/>
              <w:jc w:val="center"/>
              <w:rPr>
                <w:color w:val="auto"/>
                <w:highlight w:val="none"/>
              </w:rPr>
            </w:pPr>
          </w:p>
        </w:tc>
        <w:tc>
          <w:tcPr>
            <w:tcW w:w="1080" w:type="dxa"/>
            <w:shd w:val="clear" w:color="auto" w:fill="auto"/>
            <w:vAlign w:val="center"/>
          </w:tcPr>
          <w:p>
            <w:pPr>
              <w:spacing w:line="440" w:lineRule="exact"/>
              <w:jc w:val="center"/>
              <w:rPr>
                <w:color w:val="auto"/>
                <w:highlight w:val="none"/>
              </w:rPr>
            </w:pPr>
          </w:p>
        </w:tc>
        <w:tc>
          <w:tcPr>
            <w:tcW w:w="900" w:type="dxa"/>
            <w:shd w:val="clear" w:color="auto" w:fill="auto"/>
            <w:vAlign w:val="center"/>
          </w:tcPr>
          <w:p>
            <w:pPr>
              <w:spacing w:line="440" w:lineRule="exact"/>
              <w:jc w:val="center"/>
              <w:rPr>
                <w:color w:val="auto"/>
                <w:highlight w:val="none"/>
              </w:rPr>
            </w:pPr>
          </w:p>
        </w:tc>
        <w:tc>
          <w:tcPr>
            <w:tcW w:w="1260" w:type="dxa"/>
            <w:shd w:val="clear" w:color="auto" w:fill="auto"/>
            <w:vAlign w:val="center"/>
          </w:tcPr>
          <w:p>
            <w:pPr>
              <w:spacing w:line="440" w:lineRule="exact"/>
              <w:jc w:val="center"/>
              <w:rPr>
                <w:color w:val="auto"/>
                <w:highlight w:val="none"/>
              </w:rPr>
            </w:pPr>
          </w:p>
        </w:tc>
        <w:tc>
          <w:tcPr>
            <w:tcW w:w="1080" w:type="dxa"/>
            <w:shd w:val="clear" w:color="auto" w:fill="auto"/>
            <w:vAlign w:val="center"/>
          </w:tcPr>
          <w:p>
            <w:pPr>
              <w:spacing w:line="440" w:lineRule="exact"/>
              <w:jc w:val="center"/>
              <w:rPr>
                <w:color w:val="auto"/>
                <w:highlight w:val="none"/>
              </w:rPr>
            </w:pPr>
          </w:p>
        </w:tc>
        <w:tc>
          <w:tcPr>
            <w:tcW w:w="1060" w:type="dxa"/>
            <w:shd w:val="clear" w:color="auto" w:fill="auto"/>
            <w:vAlign w:val="center"/>
          </w:tcPr>
          <w:p>
            <w:pPr>
              <w:spacing w:line="440" w:lineRule="exact"/>
              <w:jc w:val="center"/>
              <w:rPr>
                <w:color w:val="auto"/>
                <w:highlight w:val="none"/>
              </w:rPr>
            </w:pPr>
          </w:p>
        </w:tc>
        <w:tc>
          <w:tcPr>
            <w:tcW w:w="1064" w:type="dxa"/>
            <w:shd w:val="clear" w:color="auto" w:fill="auto"/>
            <w:vAlign w:val="center"/>
          </w:tcPr>
          <w:p>
            <w:pPr>
              <w:spacing w:line="440" w:lineRule="exact"/>
              <w:jc w:val="center"/>
              <w:rPr>
                <w:color w:val="auto"/>
                <w:highlight w:val="none"/>
              </w:rPr>
            </w:pPr>
          </w:p>
        </w:tc>
        <w:tc>
          <w:tcPr>
            <w:tcW w:w="720" w:type="dxa"/>
            <w:shd w:val="clear" w:color="auto" w:fill="auto"/>
            <w:vAlign w:val="center"/>
          </w:tcPr>
          <w:p>
            <w:pPr>
              <w:spacing w:line="440" w:lineRule="exact"/>
              <w:jc w:val="center"/>
              <w:rPr>
                <w:color w:val="auto"/>
                <w:highlight w:val="none"/>
              </w:rPr>
            </w:pPr>
          </w:p>
        </w:tc>
        <w:tc>
          <w:tcPr>
            <w:tcW w:w="1236" w:type="dxa"/>
            <w:shd w:val="clear" w:color="auto" w:fill="auto"/>
            <w:vAlign w:val="center"/>
          </w:tcPr>
          <w:p>
            <w:pPr>
              <w:spacing w:line="440" w:lineRule="exact"/>
              <w:jc w:val="center"/>
              <w:rPr>
                <w:color w:val="auto"/>
                <w:highlight w:val="none"/>
              </w:rPr>
            </w:pPr>
          </w:p>
        </w:tc>
        <w:tc>
          <w:tcPr>
            <w:tcW w:w="814" w:type="dxa"/>
            <w:shd w:val="clear" w:color="auto" w:fill="auto"/>
            <w:vAlign w:val="center"/>
          </w:tcPr>
          <w:p>
            <w:pPr>
              <w:spacing w:line="440" w:lineRule="exact"/>
              <w:jc w:val="center"/>
              <w:rPr>
                <w:color w:val="auto"/>
                <w:highlight w:val="none"/>
              </w:rPr>
            </w:pPr>
          </w:p>
        </w:tc>
        <w:tc>
          <w:tcPr>
            <w:tcW w:w="974" w:type="dxa"/>
            <w:shd w:val="clear" w:color="auto" w:fill="auto"/>
            <w:vAlign w:val="center"/>
          </w:tcPr>
          <w:p>
            <w:pPr>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jc w:val="center"/>
        </w:trPr>
        <w:tc>
          <w:tcPr>
            <w:tcW w:w="497" w:type="dxa"/>
            <w:shd w:val="clear" w:color="auto" w:fill="auto"/>
            <w:vAlign w:val="center"/>
          </w:tcPr>
          <w:p>
            <w:pPr>
              <w:spacing w:line="440" w:lineRule="exact"/>
              <w:jc w:val="center"/>
              <w:rPr>
                <w:rFonts w:eastAsia="黑体"/>
                <w:color w:val="auto"/>
                <w:highlight w:val="none"/>
              </w:rPr>
            </w:pPr>
            <w:r>
              <w:rPr>
                <w:rFonts w:eastAsia="黑体"/>
                <w:color w:val="auto"/>
                <w:highlight w:val="none"/>
              </w:rPr>
              <w:t>2</w:t>
            </w:r>
          </w:p>
        </w:tc>
        <w:tc>
          <w:tcPr>
            <w:tcW w:w="1980" w:type="dxa"/>
            <w:shd w:val="clear" w:color="auto" w:fill="auto"/>
            <w:vAlign w:val="center"/>
          </w:tcPr>
          <w:p>
            <w:pPr>
              <w:spacing w:line="440" w:lineRule="exact"/>
              <w:jc w:val="center"/>
              <w:rPr>
                <w:color w:val="auto"/>
                <w:highlight w:val="none"/>
              </w:rPr>
            </w:pPr>
          </w:p>
        </w:tc>
        <w:tc>
          <w:tcPr>
            <w:tcW w:w="900" w:type="dxa"/>
            <w:shd w:val="clear" w:color="auto" w:fill="auto"/>
            <w:vAlign w:val="center"/>
          </w:tcPr>
          <w:p>
            <w:pPr>
              <w:spacing w:line="440" w:lineRule="exact"/>
              <w:jc w:val="center"/>
              <w:rPr>
                <w:color w:val="auto"/>
                <w:highlight w:val="none"/>
              </w:rPr>
            </w:pPr>
          </w:p>
        </w:tc>
        <w:tc>
          <w:tcPr>
            <w:tcW w:w="1080" w:type="dxa"/>
            <w:shd w:val="clear" w:color="auto" w:fill="auto"/>
            <w:vAlign w:val="center"/>
          </w:tcPr>
          <w:p>
            <w:pPr>
              <w:spacing w:line="440" w:lineRule="exact"/>
              <w:jc w:val="center"/>
              <w:rPr>
                <w:color w:val="auto"/>
                <w:highlight w:val="none"/>
              </w:rPr>
            </w:pPr>
          </w:p>
        </w:tc>
        <w:tc>
          <w:tcPr>
            <w:tcW w:w="900" w:type="dxa"/>
            <w:shd w:val="clear" w:color="auto" w:fill="auto"/>
            <w:vAlign w:val="center"/>
          </w:tcPr>
          <w:p>
            <w:pPr>
              <w:spacing w:line="440" w:lineRule="exact"/>
              <w:jc w:val="center"/>
              <w:rPr>
                <w:color w:val="auto"/>
                <w:highlight w:val="none"/>
              </w:rPr>
            </w:pPr>
          </w:p>
        </w:tc>
        <w:tc>
          <w:tcPr>
            <w:tcW w:w="1260" w:type="dxa"/>
            <w:shd w:val="clear" w:color="auto" w:fill="auto"/>
            <w:vAlign w:val="center"/>
          </w:tcPr>
          <w:p>
            <w:pPr>
              <w:spacing w:line="440" w:lineRule="exact"/>
              <w:jc w:val="center"/>
              <w:rPr>
                <w:color w:val="auto"/>
                <w:highlight w:val="none"/>
              </w:rPr>
            </w:pPr>
          </w:p>
        </w:tc>
        <w:tc>
          <w:tcPr>
            <w:tcW w:w="1080" w:type="dxa"/>
            <w:shd w:val="clear" w:color="auto" w:fill="auto"/>
            <w:vAlign w:val="center"/>
          </w:tcPr>
          <w:p>
            <w:pPr>
              <w:spacing w:line="440" w:lineRule="exact"/>
              <w:jc w:val="center"/>
              <w:rPr>
                <w:color w:val="auto"/>
                <w:highlight w:val="none"/>
              </w:rPr>
            </w:pPr>
          </w:p>
        </w:tc>
        <w:tc>
          <w:tcPr>
            <w:tcW w:w="1060" w:type="dxa"/>
            <w:shd w:val="clear" w:color="auto" w:fill="auto"/>
            <w:vAlign w:val="center"/>
          </w:tcPr>
          <w:p>
            <w:pPr>
              <w:spacing w:line="440" w:lineRule="exact"/>
              <w:jc w:val="center"/>
              <w:rPr>
                <w:color w:val="auto"/>
                <w:highlight w:val="none"/>
              </w:rPr>
            </w:pPr>
          </w:p>
        </w:tc>
        <w:tc>
          <w:tcPr>
            <w:tcW w:w="1064" w:type="dxa"/>
            <w:shd w:val="clear" w:color="auto" w:fill="auto"/>
            <w:vAlign w:val="center"/>
          </w:tcPr>
          <w:p>
            <w:pPr>
              <w:spacing w:line="440" w:lineRule="exact"/>
              <w:jc w:val="center"/>
              <w:rPr>
                <w:color w:val="auto"/>
                <w:highlight w:val="none"/>
              </w:rPr>
            </w:pPr>
          </w:p>
        </w:tc>
        <w:tc>
          <w:tcPr>
            <w:tcW w:w="720" w:type="dxa"/>
            <w:shd w:val="clear" w:color="auto" w:fill="auto"/>
            <w:vAlign w:val="center"/>
          </w:tcPr>
          <w:p>
            <w:pPr>
              <w:spacing w:line="440" w:lineRule="exact"/>
              <w:jc w:val="center"/>
              <w:rPr>
                <w:color w:val="auto"/>
                <w:highlight w:val="none"/>
              </w:rPr>
            </w:pPr>
          </w:p>
        </w:tc>
        <w:tc>
          <w:tcPr>
            <w:tcW w:w="1236" w:type="dxa"/>
            <w:shd w:val="clear" w:color="auto" w:fill="auto"/>
            <w:vAlign w:val="center"/>
          </w:tcPr>
          <w:p>
            <w:pPr>
              <w:spacing w:line="440" w:lineRule="exact"/>
              <w:jc w:val="center"/>
              <w:rPr>
                <w:color w:val="auto"/>
                <w:highlight w:val="none"/>
              </w:rPr>
            </w:pPr>
          </w:p>
        </w:tc>
        <w:tc>
          <w:tcPr>
            <w:tcW w:w="814" w:type="dxa"/>
            <w:shd w:val="clear" w:color="auto" w:fill="auto"/>
            <w:vAlign w:val="center"/>
          </w:tcPr>
          <w:p>
            <w:pPr>
              <w:spacing w:line="440" w:lineRule="exact"/>
              <w:jc w:val="center"/>
              <w:rPr>
                <w:color w:val="auto"/>
                <w:highlight w:val="none"/>
              </w:rPr>
            </w:pPr>
          </w:p>
        </w:tc>
        <w:tc>
          <w:tcPr>
            <w:tcW w:w="974" w:type="dxa"/>
            <w:shd w:val="clear" w:color="auto" w:fill="auto"/>
            <w:vAlign w:val="center"/>
          </w:tcPr>
          <w:p>
            <w:pPr>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jc w:val="center"/>
        </w:trPr>
        <w:tc>
          <w:tcPr>
            <w:tcW w:w="497" w:type="dxa"/>
            <w:shd w:val="clear" w:color="auto" w:fill="auto"/>
            <w:vAlign w:val="center"/>
          </w:tcPr>
          <w:p>
            <w:pPr>
              <w:spacing w:line="440" w:lineRule="exact"/>
              <w:jc w:val="center"/>
              <w:rPr>
                <w:rFonts w:eastAsia="黑体"/>
                <w:color w:val="auto"/>
                <w:highlight w:val="none"/>
              </w:rPr>
            </w:pPr>
            <w:r>
              <w:rPr>
                <w:rFonts w:eastAsia="黑体"/>
                <w:color w:val="auto"/>
                <w:highlight w:val="none"/>
              </w:rPr>
              <w:t>3</w:t>
            </w:r>
          </w:p>
        </w:tc>
        <w:tc>
          <w:tcPr>
            <w:tcW w:w="1980" w:type="dxa"/>
            <w:shd w:val="clear" w:color="auto" w:fill="auto"/>
            <w:vAlign w:val="center"/>
          </w:tcPr>
          <w:p>
            <w:pPr>
              <w:spacing w:line="440" w:lineRule="exact"/>
              <w:jc w:val="center"/>
              <w:rPr>
                <w:color w:val="auto"/>
                <w:highlight w:val="none"/>
              </w:rPr>
            </w:pPr>
          </w:p>
        </w:tc>
        <w:tc>
          <w:tcPr>
            <w:tcW w:w="900" w:type="dxa"/>
            <w:shd w:val="clear" w:color="auto" w:fill="auto"/>
            <w:vAlign w:val="center"/>
          </w:tcPr>
          <w:p>
            <w:pPr>
              <w:spacing w:line="440" w:lineRule="exact"/>
              <w:jc w:val="center"/>
              <w:rPr>
                <w:color w:val="auto"/>
                <w:highlight w:val="none"/>
              </w:rPr>
            </w:pPr>
          </w:p>
        </w:tc>
        <w:tc>
          <w:tcPr>
            <w:tcW w:w="1080" w:type="dxa"/>
            <w:shd w:val="clear" w:color="auto" w:fill="auto"/>
            <w:vAlign w:val="center"/>
          </w:tcPr>
          <w:p>
            <w:pPr>
              <w:spacing w:line="440" w:lineRule="exact"/>
              <w:jc w:val="center"/>
              <w:rPr>
                <w:color w:val="auto"/>
                <w:highlight w:val="none"/>
              </w:rPr>
            </w:pPr>
          </w:p>
        </w:tc>
        <w:tc>
          <w:tcPr>
            <w:tcW w:w="900" w:type="dxa"/>
            <w:shd w:val="clear" w:color="auto" w:fill="auto"/>
            <w:vAlign w:val="center"/>
          </w:tcPr>
          <w:p>
            <w:pPr>
              <w:spacing w:line="440" w:lineRule="exact"/>
              <w:jc w:val="center"/>
              <w:rPr>
                <w:color w:val="auto"/>
                <w:highlight w:val="none"/>
              </w:rPr>
            </w:pPr>
          </w:p>
        </w:tc>
        <w:tc>
          <w:tcPr>
            <w:tcW w:w="1260" w:type="dxa"/>
            <w:shd w:val="clear" w:color="auto" w:fill="auto"/>
            <w:vAlign w:val="center"/>
          </w:tcPr>
          <w:p>
            <w:pPr>
              <w:spacing w:line="440" w:lineRule="exact"/>
              <w:jc w:val="center"/>
              <w:rPr>
                <w:color w:val="auto"/>
                <w:highlight w:val="none"/>
              </w:rPr>
            </w:pPr>
          </w:p>
        </w:tc>
        <w:tc>
          <w:tcPr>
            <w:tcW w:w="1080" w:type="dxa"/>
            <w:shd w:val="clear" w:color="auto" w:fill="auto"/>
            <w:vAlign w:val="center"/>
          </w:tcPr>
          <w:p>
            <w:pPr>
              <w:spacing w:line="440" w:lineRule="exact"/>
              <w:jc w:val="center"/>
              <w:rPr>
                <w:color w:val="auto"/>
                <w:highlight w:val="none"/>
              </w:rPr>
            </w:pPr>
          </w:p>
        </w:tc>
        <w:tc>
          <w:tcPr>
            <w:tcW w:w="1060" w:type="dxa"/>
            <w:shd w:val="clear" w:color="auto" w:fill="auto"/>
            <w:vAlign w:val="center"/>
          </w:tcPr>
          <w:p>
            <w:pPr>
              <w:spacing w:line="440" w:lineRule="exact"/>
              <w:jc w:val="center"/>
              <w:rPr>
                <w:color w:val="auto"/>
                <w:highlight w:val="none"/>
              </w:rPr>
            </w:pPr>
          </w:p>
        </w:tc>
        <w:tc>
          <w:tcPr>
            <w:tcW w:w="1064" w:type="dxa"/>
            <w:shd w:val="clear" w:color="auto" w:fill="auto"/>
            <w:vAlign w:val="center"/>
          </w:tcPr>
          <w:p>
            <w:pPr>
              <w:spacing w:line="440" w:lineRule="exact"/>
              <w:jc w:val="center"/>
              <w:rPr>
                <w:color w:val="auto"/>
                <w:highlight w:val="none"/>
              </w:rPr>
            </w:pPr>
          </w:p>
        </w:tc>
        <w:tc>
          <w:tcPr>
            <w:tcW w:w="720" w:type="dxa"/>
            <w:shd w:val="clear" w:color="auto" w:fill="auto"/>
            <w:vAlign w:val="center"/>
          </w:tcPr>
          <w:p>
            <w:pPr>
              <w:spacing w:line="440" w:lineRule="exact"/>
              <w:jc w:val="center"/>
              <w:rPr>
                <w:color w:val="auto"/>
                <w:highlight w:val="none"/>
              </w:rPr>
            </w:pPr>
          </w:p>
        </w:tc>
        <w:tc>
          <w:tcPr>
            <w:tcW w:w="1236" w:type="dxa"/>
            <w:shd w:val="clear" w:color="auto" w:fill="auto"/>
            <w:vAlign w:val="center"/>
          </w:tcPr>
          <w:p>
            <w:pPr>
              <w:spacing w:line="440" w:lineRule="exact"/>
              <w:jc w:val="center"/>
              <w:rPr>
                <w:color w:val="auto"/>
                <w:highlight w:val="none"/>
              </w:rPr>
            </w:pPr>
          </w:p>
        </w:tc>
        <w:tc>
          <w:tcPr>
            <w:tcW w:w="814" w:type="dxa"/>
            <w:shd w:val="clear" w:color="auto" w:fill="auto"/>
            <w:vAlign w:val="center"/>
          </w:tcPr>
          <w:p>
            <w:pPr>
              <w:spacing w:line="440" w:lineRule="exact"/>
              <w:jc w:val="center"/>
              <w:rPr>
                <w:color w:val="auto"/>
                <w:highlight w:val="none"/>
              </w:rPr>
            </w:pPr>
          </w:p>
        </w:tc>
        <w:tc>
          <w:tcPr>
            <w:tcW w:w="974" w:type="dxa"/>
            <w:shd w:val="clear" w:color="auto" w:fill="auto"/>
            <w:vAlign w:val="center"/>
          </w:tcPr>
          <w:p>
            <w:pPr>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jc w:val="center"/>
        </w:trPr>
        <w:tc>
          <w:tcPr>
            <w:tcW w:w="497" w:type="dxa"/>
            <w:shd w:val="clear" w:color="auto" w:fill="auto"/>
            <w:vAlign w:val="center"/>
          </w:tcPr>
          <w:p>
            <w:pPr>
              <w:spacing w:line="440" w:lineRule="exact"/>
              <w:jc w:val="center"/>
              <w:rPr>
                <w:rFonts w:eastAsia="黑体"/>
                <w:color w:val="auto"/>
                <w:highlight w:val="none"/>
              </w:rPr>
            </w:pPr>
            <w:r>
              <w:rPr>
                <w:rFonts w:eastAsia="黑体"/>
                <w:color w:val="auto"/>
                <w:highlight w:val="none"/>
              </w:rPr>
              <w:t>4</w:t>
            </w:r>
          </w:p>
        </w:tc>
        <w:tc>
          <w:tcPr>
            <w:tcW w:w="1980" w:type="dxa"/>
            <w:shd w:val="clear" w:color="auto" w:fill="auto"/>
            <w:vAlign w:val="center"/>
          </w:tcPr>
          <w:p>
            <w:pPr>
              <w:spacing w:line="440" w:lineRule="exact"/>
              <w:jc w:val="center"/>
              <w:rPr>
                <w:color w:val="auto"/>
                <w:highlight w:val="none"/>
              </w:rPr>
            </w:pPr>
          </w:p>
        </w:tc>
        <w:tc>
          <w:tcPr>
            <w:tcW w:w="900" w:type="dxa"/>
            <w:shd w:val="clear" w:color="auto" w:fill="auto"/>
            <w:vAlign w:val="center"/>
          </w:tcPr>
          <w:p>
            <w:pPr>
              <w:spacing w:line="440" w:lineRule="exact"/>
              <w:jc w:val="center"/>
              <w:rPr>
                <w:color w:val="auto"/>
                <w:highlight w:val="none"/>
              </w:rPr>
            </w:pPr>
          </w:p>
        </w:tc>
        <w:tc>
          <w:tcPr>
            <w:tcW w:w="1080" w:type="dxa"/>
            <w:shd w:val="clear" w:color="auto" w:fill="auto"/>
            <w:vAlign w:val="center"/>
          </w:tcPr>
          <w:p>
            <w:pPr>
              <w:spacing w:line="440" w:lineRule="exact"/>
              <w:jc w:val="center"/>
              <w:rPr>
                <w:color w:val="auto"/>
                <w:highlight w:val="none"/>
              </w:rPr>
            </w:pPr>
          </w:p>
        </w:tc>
        <w:tc>
          <w:tcPr>
            <w:tcW w:w="900" w:type="dxa"/>
            <w:shd w:val="clear" w:color="auto" w:fill="auto"/>
            <w:vAlign w:val="center"/>
          </w:tcPr>
          <w:p>
            <w:pPr>
              <w:spacing w:line="440" w:lineRule="exact"/>
              <w:jc w:val="center"/>
              <w:rPr>
                <w:color w:val="auto"/>
                <w:highlight w:val="none"/>
              </w:rPr>
            </w:pPr>
          </w:p>
        </w:tc>
        <w:tc>
          <w:tcPr>
            <w:tcW w:w="1260" w:type="dxa"/>
            <w:shd w:val="clear" w:color="auto" w:fill="auto"/>
            <w:vAlign w:val="center"/>
          </w:tcPr>
          <w:p>
            <w:pPr>
              <w:spacing w:line="440" w:lineRule="exact"/>
              <w:jc w:val="center"/>
              <w:rPr>
                <w:color w:val="auto"/>
                <w:highlight w:val="none"/>
              </w:rPr>
            </w:pPr>
          </w:p>
        </w:tc>
        <w:tc>
          <w:tcPr>
            <w:tcW w:w="1080" w:type="dxa"/>
            <w:shd w:val="clear" w:color="auto" w:fill="auto"/>
            <w:vAlign w:val="center"/>
          </w:tcPr>
          <w:p>
            <w:pPr>
              <w:spacing w:line="440" w:lineRule="exact"/>
              <w:jc w:val="center"/>
              <w:rPr>
                <w:color w:val="auto"/>
                <w:highlight w:val="none"/>
              </w:rPr>
            </w:pPr>
          </w:p>
        </w:tc>
        <w:tc>
          <w:tcPr>
            <w:tcW w:w="1060" w:type="dxa"/>
            <w:shd w:val="clear" w:color="auto" w:fill="auto"/>
            <w:vAlign w:val="center"/>
          </w:tcPr>
          <w:p>
            <w:pPr>
              <w:spacing w:line="440" w:lineRule="exact"/>
              <w:jc w:val="center"/>
              <w:rPr>
                <w:color w:val="auto"/>
                <w:highlight w:val="none"/>
              </w:rPr>
            </w:pPr>
          </w:p>
        </w:tc>
        <w:tc>
          <w:tcPr>
            <w:tcW w:w="1064" w:type="dxa"/>
            <w:shd w:val="clear" w:color="auto" w:fill="auto"/>
            <w:vAlign w:val="center"/>
          </w:tcPr>
          <w:p>
            <w:pPr>
              <w:spacing w:line="440" w:lineRule="exact"/>
              <w:jc w:val="center"/>
              <w:rPr>
                <w:color w:val="auto"/>
                <w:highlight w:val="none"/>
              </w:rPr>
            </w:pPr>
          </w:p>
        </w:tc>
        <w:tc>
          <w:tcPr>
            <w:tcW w:w="720" w:type="dxa"/>
            <w:shd w:val="clear" w:color="auto" w:fill="auto"/>
            <w:vAlign w:val="center"/>
          </w:tcPr>
          <w:p>
            <w:pPr>
              <w:spacing w:line="440" w:lineRule="exact"/>
              <w:jc w:val="center"/>
              <w:rPr>
                <w:color w:val="auto"/>
                <w:highlight w:val="none"/>
              </w:rPr>
            </w:pPr>
          </w:p>
        </w:tc>
        <w:tc>
          <w:tcPr>
            <w:tcW w:w="1236" w:type="dxa"/>
            <w:shd w:val="clear" w:color="auto" w:fill="auto"/>
            <w:vAlign w:val="center"/>
          </w:tcPr>
          <w:p>
            <w:pPr>
              <w:spacing w:line="440" w:lineRule="exact"/>
              <w:jc w:val="center"/>
              <w:rPr>
                <w:color w:val="auto"/>
                <w:highlight w:val="none"/>
              </w:rPr>
            </w:pPr>
          </w:p>
        </w:tc>
        <w:tc>
          <w:tcPr>
            <w:tcW w:w="814" w:type="dxa"/>
            <w:shd w:val="clear" w:color="auto" w:fill="auto"/>
            <w:vAlign w:val="center"/>
          </w:tcPr>
          <w:p>
            <w:pPr>
              <w:spacing w:line="440" w:lineRule="exact"/>
              <w:jc w:val="center"/>
              <w:rPr>
                <w:color w:val="auto"/>
                <w:highlight w:val="none"/>
              </w:rPr>
            </w:pPr>
          </w:p>
        </w:tc>
        <w:tc>
          <w:tcPr>
            <w:tcW w:w="974" w:type="dxa"/>
            <w:shd w:val="clear" w:color="auto" w:fill="auto"/>
            <w:vAlign w:val="center"/>
          </w:tcPr>
          <w:p>
            <w:pPr>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jc w:val="center"/>
        </w:trPr>
        <w:tc>
          <w:tcPr>
            <w:tcW w:w="497" w:type="dxa"/>
            <w:shd w:val="clear" w:color="auto" w:fill="auto"/>
            <w:vAlign w:val="center"/>
          </w:tcPr>
          <w:p>
            <w:pPr>
              <w:spacing w:line="440" w:lineRule="exact"/>
              <w:jc w:val="center"/>
              <w:rPr>
                <w:rFonts w:eastAsia="黑体"/>
                <w:color w:val="auto"/>
                <w:highlight w:val="none"/>
              </w:rPr>
            </w:pPr>
            <w:r>
              <w:rPr>
                <w:rFonts w:eastAsia="黑体"/>
                <w:color w:val="auto"/>
                <w:highlight w:val="none"/>
              </w:rPr>
              <w:t>5</w:t>
            </w:r>
          </w:p>
        </w:tc>
        <w:tc>
          <w:tcPr>
            <w:tcW w:w="1980" w:type="dxa"/>
            <w:shd w:val="clear" w:color="auto" w:fill="auto"/>
            <w:vAlign w:val="center"/>
          </w:tcPr>
          <w:p>
            <w:pPr>
              <w:spacing w:line="440" w:lineRule="exact"/>
              <w:jc w:val="center"/>
              <w:rPr>
                <w:color w:val="auto"/>
                <w:highlight w:val="none"/>
              </w:rPr>
            </w:pPr>
          </w:p>
        </w:tc>
        <w:tc>
          <w:tcPr>
            <w:tcW w:w="900" w:type="dxa"/>
            <w:shd w:val="clear" w:color="auto" w:fill="auto"/>
            <w:vAlign w:val="center"/>
          </w:tcPr>
          <w:p>
            <w:pPr>
              <w:spacing w:line="440" w:lineRule="exact"/>
              <w:jc w:val="center"/>
              <w:rPr>
                <w:color w:val="auto"/>
                <w:highlight w:val="none"/>
              </w:rPr>
            </w:pPr>
          </w:p>
        </w:tc>
        <w:tc>
          <w:tcPr>
            <w:tcW w:w="1080" w:type="dxa"/>
            <w:shd w:val="clear" w:color="auto" w:fill="auto"/>
            <w:vAlign w:val="center"/>
          </w:tcPr>
          <w:p>
            <w:pPr>
              <w:spacing w:line="440" w:lineRule="exact"/>
              <w:jc w:val="center"/>
              <w:rPr>
                <w:color w:val="auto"/>
                <w:highlight w:val="none"/>
              </w:rPr>
            </w:pPr>
          </w:p>
        </w:tc>
        <w:tc>
          <w:tcPr>
            <w:tcW w:w="900" w:type="dxa"/>
            <w:shd w:val="clear" w:color="auto" w:fill="auto"/>
            <w:vAlign w:val="center"/>
          </w:tcPr>
          <w:p>
            <w:pPr>
              <w:spacing w:line="440" w:lineRule="exact"/>
              <w:jc w:val="center"/>
              <w:rPr>
                <w:color w:val="auto"/>
                <w:highlight w:val="none"/>
              </w:rPr>
            </w:pPr>
          </w:p>
        </w:tc>
        <w:tc>
          <w:tcPr>
            <w:tcW w:w="1260" w:type="dxa"/>
            <w:shd w:val="clear" w:color="auto" w:fill="auto"/>
            <w:vAlign w:val="center"/>
          </w:tcPr>
          <w:p>
            <w:pPr>
              <w:spacing w:line="440" w:lineRule="exact"/>
              <w:jc w:val="center"/>
              <w:rPr>
                <w:color w:val="auto"/>
                <w:highlight w:val="none"/>
              </w:rPr>
            </w:pPr>
          </w:p>
        </w:tc>
        <w:tc>
          <w:tcPr>
            <w:tcW w:w="1080" w:type="dxa"/>
            <w:shd w:val="clear" w:color="auto" w:fill="auto"/>
            <w:vAlign w:val="center"/>
          </w:tcPr>
          <w:p>
            <w:pPr>
              <w:spacing w:line="440" w:lineRule="exact"/>
              <w:jc w:val="center"/>
              <w:rPr>
                <w:color w:val="auto"/>
                <w:highlight w:val="none"/>
              </w:rPr>
            </w:pPr>
          </w:p>
        </w:tc>
        <w:tc>
          <w:tcPr>
            <w:tcW w:w="1060" w:type="dxa"/>
            <w:shd w:val="clear" w:color="auto" w:fill="auto"/>
            <w:vAlign w:val="center"/>
          </w:tcPr>
          <w:p>
            <w:pPr>
              <w:spacing w:line="440" w:lineRule="exact"/>
              <w:jc w:val="center"/>
              <w:rPr>
                <w:color w:val="auto"/>
                <w:highlight w:val="none"/>
              </w:rPr>
            </w:pPr>
          </w:p>
        </w:tc>
        <w:tc>
          <w:tcPr>
            <w:tcW w:w="1064" w:type="dxa"/>
            <w:shd w:val="clear" w:color="auto" w:fill="auto"/>
            <w:vAlign w:val="center"/>
          </w:tcPr>
          <w:p>
            <w:pPr>
              <w:spacing w:line="440" w:lineRule="exact"/>
              <w:jc w:val="center"/>
              <w:rPr>
                <w:color w:val="auto"/>
                <w:highlight w:val="none"/>
              </w:rPr>
            </w:pPr>
          </w:p>
        </w:tc>
        <w:tc>
          <w:tcPr>
            <w:tcW w:w="720" w:type="dxa"/>
            <w:shd w:val="clear" w:color="auto" w:fill="auto"/>
            <w:vAlign w:val="center"/>
          </w:tcPr>
          <w:p>
            <w:pPr>
              <w:spacing w:line="440" w:lineRule="exact"/>
              <w:jc w:val="center"/>
              <w:rPr>
                <w:color w:val="auto"/>
                <w:highlight w:val="none"/>
              </w:rPr>
            </w:pPr>
          </w:p>
        </w:tc>
        <w:tc>
          <w:tcPr>
            <w:tcW w:w="1236" w:type="dxa"/>
            <w:shd w:val="clear" w:color="auto" w:fill="auto"/>
            <w:vAlign w:val="center"/>
          </w:tcPr>
          <w:p>
            <w:pPr>
              <w:spacing w:line="440" w:lineRule="exact"/>
              <w:jc w:val="center"/>
              <w:rPr>
                <w:color w:val="auto"/>
                <w:highlight w:val="none"/>
              </w:rPr>
            </w:pPr>
          </w:p>
        </w:tc>
        <w:tc>
          <w:tcPr>
            <w:tcW w:w="814" w:type="dxa"/>
            <w:shd w:val="clear" w:color="auto" w:fill="auto"/>
            <w:vAlign w:val="center"/>
          </w:tcPr>
          <w:p>
            <w:pPr>
              <w:spacing w:line="440" w:lineRule="exact"/>
              <w:jc w:val="center"/>
              <w:rPr>
                <w:color w:val="auto"/>
                <w:highlight w:val="none"/>
              </w:rPr>
            </w:pPr>
          </w:p>
        </w:tc>
        <w:tc>
          <w:tcPr>
            <w:tcW w:w="974" w:type="dxa"/>
            <w:shd w:val="clear" w:color="auto" w:fill="auto"/>
            <w:vAlign w:val="center"/>
          </w:tcPr>
          <w:p>
            <w:pPr>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jc w:val="center"/>
        </w:trPr>
        <w:tc>
          <w:tcPr>
            <w:tcW w:w="497" w:type="dxa"/>
            <w:shd w:val="clear" w:color="auto" w:fill="auto"/>
            <w:vAlign w:val="center"/>
          </w:tcPr>
          <w:p>
            <w:pPr>
              <w:spacing w:line="440" w:lineRule="exact"/>
              <w:jc w:val="center"/>
              <w:rPr>
                <w:rFonts w:eastAsia="黑体"/>
                <w:color w:val="auto"/>
                <w:highlight w:val="none"/>
              </w:rPr>
            </w:pPr>
            <w:r>
              <w:rPr>
                <w:rFonts w:eastAsia="黑体"/>
                <w:color w:val="auto"/>
                <w:highlight w:val="none"/>
              </w:rPr>
              <w:t>6</w:t>
            </w:r>
          </w:p>
        </w:tc>
        <w:tc>
          <w:tcPr>
            <w:tcW w:w="1980" w:type="dxa"/>
            <w:shd w:val="clear" w:color="auto" w:fill="auto"/>
            <w:vAlign w:val="center"/>
          </w:tcPr>
          <w:p>
            <w:pPr>
              <w:spacing w:line="440" w:lineRule="exact"/>
              <w:jc w:val="center"/>
              <w:rPr>
                <w:color w:val="auto"/>
                <w:highlight w:val="none"/>
              </w:rPr>
            </w:pPr>
          </w:p>
        </w:tc>
        <w:tc>
          <w:tcPr>
            <w:tcW w:w="900" w:type="dxa"/>
            <w:shd w:val="clear" w:color="auto" w:fill="auto"/>
            <w:vAlign w:val="center"/>
          </w:tcPr>
          <w:p>
            <w:pPr>
              <w:spacing w:line="440" w:lineRule="exact"/>
              <w:jc w:val="center"/>
              <w:rPr>
                <w:color w:val="auto"/>
                <w:highlight w:val="none"/>
              </w:rPr>
            </w:pPr>
          </w:p>
        </w:tc>
        <w:tc>
          <w:tcPr>
            <w:tcW w:w="1080" w:type="dxa"/>
            <w:shd w:val="clear" w:color="auto" w:fill="auto"/>
            <w:vAlign w:val="center"/>
          </w:tcPr>
          <w:p>
            <w:pPr>
              <w:spacing w:line="440" w:lineRule="exact"/>
              <w:jc w:val="center"/>
              <w:rPr>
                <w:color w:val="auto"/>
                <w:highlight w:val="none"/>
              </w:rPr>
            </w:pPr>
          </w:p>
        </w:tc>
        <w:tc>
          <w:tcPr>
            <w:tcW w:w="900" w:type="dxa"/>
            <w:shd w:val="clear" w:color="auto" w:fill="auto"/>
            <w:vAlign w:val="center"/>
          </w:tcPr>
          <w:p>
            <w:pPr>
              <w:spacing w:line="440" w:lineRule="exact"/>
              <w:jc w:val="center"/>
              <w:rPr>
                <w:color w:val="auto"/>
                <w:highlight w:val="none"/>
              </w:rPr>
            </w:pPr>
          </w:p>
        </w:tc>
        <w:tc>
          <w:tcPr>
            <w:tcW w:w="1260" w:type="dxa"/>
            <w:shd w:val="clear" w:color="auto" w:fill="auto"/>
            <w:vAlign w:val="center"/>
          </w:tcPr>
          <w:p>
            <w:pPr>
              <w:spacing w:line="440" w:lineRule="exact"/>
              <w:jc w:val="center"/>
              <w:rPr>
                <w:color w:val="auto"/>
                <w:highlight w:val="none"/>
              </w:rPr>
            </w:pPr>
          </w:p>
        </w:tc>
        <w:tc>
          <w:tcPr>
            <w:tcW w:w="1080" w:type="dxa"/>
            <w:shd w:val="clear" w:color="auto" w:fill="auto"/>
            <w:vAlign w:val="center"/>
          </w:tcPr>
          <w:p>
            <w:pPr>
              <w:spacing w:line="440" w:lineRule="exact"/>
              <w:jc w:val="center"/>
              <w:rPr>
                <w:color w:val="auto"/>
                <w:highlight w:val="none"/>
              </w:rPr>
            </w:pPr>
          </w:p>
        </w:tc>
        <w:tc>
          <w:tcPr>
            <w:tcW w:w="1060" w:type="dxa"/>
            <w:shd w:val="clear" w:color="auto" w:fill="auto"/>
            <w:vAlign w:val="center"/>
          </w:tcPr>
          <w:p>
            <w:pPr>
              <w:spacing w:line="440" w:lineRule="exact"/>
              <w:jc w:val="center"/>
              <w:rPr>
                <w:color w:val="auto"/>
                <w:highlight w:val="none"/>
              </w:rPr>
            </w:pPr>
          </w:p>
        </w:tc>
        <w:tc>
          <w:tcPr>
            <w:tcW w:w="1064" w:type="dxa"/>
            <w:shd w:val="clear" w:color="auto" w:fill="auto"/>
            <w:vAlign w:val="center"/>
          </w:tcPr>
          <w:p>
            <w:pPr>
              <w:spacing w:line="440" w:lineRule="exact"/>
              <w:jc w:val="center"/>
              <w:rPr>
                <w:color w:val="auto"/>
                <w:highlight w:val="none"/>
              </w:rPr>
            </w:pPr>
          </w:p>
        </w:tc>
        <w:tc>
          <w:tcPr>
            <w:tcW w:w="720" w:type="dxa"/>
            <w:shd w:val="clear" w:color="auto" w:fill="auto"/>
            <w:vAlign w:val="center"/>
          </w:tcPr>
          <w:p>
            <w:pPr>
              <w:spacing w:line="440" w:lineRule="exact"/>
              <w:jc w:val="center"/>
              <w:rPr>
                <w:color w:val="auto"/>
                <w:highlight w:val="none"/>
              </w:rPr>
            </w:pPr>
          </w:p>
        </w:tc>
        <w:tc>
          <w:tcPr>
            <w:tcW w:w="1236" w:type="dxa"/>
            <w:shd w:val="clear" w:color="auto" w:fill="auto"/>
            <w:vAlign w:val="center"/>
          </w:tcPr>
          <w:p>
            <w:pPr>
              <w:spacing w:line="440" w:lineRule="exact"/>
              <w:jc w:val="center"/>
              <w:rPr>
                <w:color w:val="auto"/>
                <w:highlight w:val="none"/>
              </w:rPr>
            </w:pPr>
          </w:p>
        </w:tc>
        <w:tc>
          <w:tcPr>
            <w:tcW w:w="814" w:type="dxa"/>
            <w:shd w:val="clear" w:color="auto" w:fill="auto"/>
            <w:vAlign w:val="center"/>
          </w:tcPr>
          <w:p>
            <w:pPr>
              <w:spacing w:line="440" w:lineRule="exact"/>
              <w:jc w:val="center"/>
              <w:rPr>
                <w:color w:val="auto"/>
                <w:highlight w:val="none"/>
              </w:rPr>
            </w:pPr>
          </w:p>
        </w:tc>
        <w:tc>
          <w:tcPr>
            <w:tcW w:w="974" w:type="dxa"/>
            <w:shd w:val="clear" w:color="auto" w:fill="auto"/>
            <w:vAlign w:val="center"/>
          </w:tcPr>
          <w:p>
            <w:pPr>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7" w:hRule="atLeast"/>
          <w:jc w:val="center"/>
        </w:trPr>
        <w:tc>
          <w:tcPr>
            <w:tcW w:w="497" w:type="dxa"/>
            <w:shd w:val="clear" w:color="auto" w:fill="auto"/>
            <w:vAlign w:val="center"/>
          </w:tcPr>
          <w:p>
            <w:pPr>
              <w:spacing w:line="440" w:lineRule="exact"/>
              <w:jc w:val="center"/>
              <w:rPr>
                <w:rFonts w:eastAsia="黑体"/>
                <w:color w:val="auto"/>
                <w:highlight w:val="none"/>
              </w:rPr>
            </w:pPr>
            <w:r>
              <w:rPr>
                <w:rFonts w:eastAsia="黑体"/>
                <w:color w:val="auto"/>
                <w:highlight w:val="none"/>
              </w:rPr>
              <w:t>7</w:t>
            </w:r>
          </w:p>
        </w:tc>
        <w:tc>
          <w:tcPr>
            <w:tcW w:w="1980" w:type="dxa"/>
            <w:shd w:val="clear" w:color="auto" w:fill="auto"/>
            <w:vAlign w:val="center"/>
          </w:tcPr>
          <w:p>
            <w:pPr>
              <w:spacing w:line="440" w:lineRule="exact"/>
              <w:jc w:val="center"/>
              <w:rPr>
                <w:color w:val="auto"/>
                <w:highlight w:val="none"/>
              </w:rPr>
            </w:pPr>
          </w:p>
        </w:tc>
        <w:tc>
          <w:tcPr>
            <w:tcW w:w="900" w:type="dxa"/>
            <w:shd w:val="clear" w:color="auto" w:fill="auto"/>
            <w:vAlign w:val="center"/>
          </w:tcPr>
          <w:p>
            <w:pPr>
              <w:spacing w:line="440" w:lineRule="exact"/>
              <w:jc w:val="center"/>
              <w:rPr>
                <w:color w:val="auto"/>
                <w:highlight w:val="none"/>
              </w:rPr>
            </w:pPr>
          </w:p>
        </w:tc>
        <w:tc>
          <w:tcPr>
            <w:tcW w:w="1080" w:type="dxa"/>
            <w:shd w:val="clear" w:color="auto" w:fill="auto"/>
            <w:vAlign w:val="center"/>
          </w:tcPr>
          <w:p>
            <w:pPr>
              <w:spacing w:line="440" w:lineRule="exact"/>
              <w:jc w:val="center"/>
              <w:rPr>
                <w:color w:val="auto"/>
                <w:highlight w:val="none"/>
              </w:rPr>
            </w:pPr>
          </w:p>
        </w:tc>
        <w:tc>
          <w:tcPr>
            <w:tcW w:w="900" w:type="dxa"/>
            <w:shd w:val="clear" w:color="auto" w:fill="auto"/>
            <w:vAlign w:val="center"/>
          </w:tcPr>
          <w:p>
            <w:pPr>
              <w:spacing w:line="440" w:lineRule="exact"/>
              <w:jc w:val="center"/>
              <w:rPr>
                <w:color w:val="auto"/>
                <w:highlight w:val="none"/>
              </w:rPr>
            </w:pPr>
          </w:p>
        </w:tc>
        <w:tc>
          <w:tcPr>
            <w:tcW w:w="1260" w:type="dxa"/>
            <w:shd w:val="clear" w:color="auto" w:fill="auto"/>
            <w:vAlign w:val="center"/>
          </w:tcPr>
          <w:p>
            <w:pPr>
              <w:spacing w:line="440" w:lineRule="exact"/>
              <w:jc w:val="center"/>
              <w:rPr>
                <w:color w:val="auto"/>
                <w:highlight w:val="none"/>
              </w:rPr>
            </w:pPr>
          </w:p>
        </w:tc>
        <w:tc>
          <w:tcPr>
            <w:tcW w:w="1080" w:type="dxa"/>
            <w:shd w:val="clear" w:color="auto" w:fill="auto"/>
            <w:vAlign w:val="center"/>
          </w:tcPr>
          <w:p>
            <w:pPr>
              <w:spacing w:line="440" w:lineRule="exact"/>
              <w:jc w:val="center"/>
              <w:rPr>
                <w:color w:val="auto"/>
                <w:highlight w:val="none"/>
              </w:rPr>
            </w:pPr>
          </w:p>
        </w:tc>
        <w:tc>
          <w:tcPr>
            <w:tcW w:w="1060" w:type="dxa"/>
            <w:shd w:val="clear" w:color="auto" w:fill="auto"/>
            <w:vAlign w:val="center"/>
          </w:tcPr>
          <w:p>
            <w:pPr>
              <w:spacing w:line="440" w:lineRule="exact"/>
              <w:jc w:val="center"/>
              <w:rPr>
                <w:color w:val="auto"/>
                <w:highlight w:val="none"/>
              </w:rPr>
            </w:pPr>
          </w:p>
        </w:tc>
        <w:tc>
          <w:tcPr>
            <w:tcW w:w="1064" w:type="dxa"/>
            <w:shd w:val="clear" w:color="auto" w:fill="auto"/>
            <w:vAlign w:val="center"/>
          </w:tcPr>
          <w:p>
            <w:pPr>
              <w:spacing w:line="440" w:lineRule="exact"/>
              <w:jc w:val="center"/>
              <w:rPr>
                <w:color w:val="auto"/>
                <w:highlight w:val="none"/>
              </w:rPr>
            </w:pPr>
          </w:p>
        </w:tc>
        <w:tc>
          <w:tcPr>
            <w:tcW w:w="720" w:type="dxa"/>
            <w:shd w:val="clear" w:color="auto" w:fill="auto"/>
            <w:vAlign w:val="center"/>
          </w:tcPr>
          <w:p>
            <w:pPr>
              <w:spacing w:line="440" w:lineRule="exact"/>
              <w:jc w:val="center"/>
              <w:rPr>
                <w:color w:val="auto"/>
                <w:highlight w:val="none"/>
              </w:rPr>
            </w:pPr>
          </w:p>
        </w:tc>
        <w:tc>
          <w:tcPr>
            <w:tcW w:w="1236" w:type="dxa"/>
            <w:shd w:val="clear" w:color="auto" w:fill="auto"/>
            <w:vAlign w:val="center"/>
          </w:tcPr>
          <w:p>
            <w:pPr>
              <w:spacing w:line="440" w:lineRule="exact"/>
              <w:jc w:val="center"/>
              <w:rPr>
                <w:color w:val="auto"/>
                <w:highlight w:val="none"/>
              </w:rPr>
            </w:pPr>
          </w:p>
        </w:tc>
        <w:tc>
          <w:tcPr>
            <w:tcW w:w="814" w:type="dxa"/>
            <w:shd w:val="clear" w:color="auto" w:fill="auto"/>
            <w:vAlign w:val="center"/>
          </w:tcPr>
          <w:p>
            <w:pPr>
              <w:spacing w:line="440" w:lineRule="exact"/>
              <w:jc w:val="center"/>
              <w:rPr>
                <w:color w:val="auto"/>
                <w:highlight w:val="none"/>
              </w:rPr>
            </w:pPr>
          </w:p>
        </w:tc>
        <w:tc>
          <w:tcPr>
            <w:tcW w:w="974" w:type="dxa"/>
            <w:shd w:val="clear" w:color="auto" w:fill="auto"/>
            <w:vAlign w:val="center"/>
          </w:tcPr>
          <w:p>
            <w:pPr>
              <w:spacing w:line="440" w:lineRule="exact"/>
              <w:jc w:val="center"/>
              <w:rPr>
                <w:color w:val="auto"/>
                <w:highlight w:val="none"/>
              </w:rPr>
            </w:pPr>
          </w:p>
        </w:tc>
      </w:tr>
    </w:tbl>
    <w:p>
      <w:pPr>
        <w:rPr>
          <w:rFonts w:ascii="宋体"/>
          <w:color w:val="auto"/>
          <w:highlight w:val="none"/>
        </w:rPr>
      </w:pPr>
      <w:r>
        <w:rPr>
          <w:rFonts w:hint="eastAsia" w:ascii="宋体" w:hAnsi="宋体" w:cs="宋体"/>
          <w:color w:val="auto"/>
          <w:highlight w:val="none"/>
        </w:rPr>
        <w:t>招标人授权代表（签字）：</w:t>
      </w:r>
      <w:r>
        <w:rPr>
          <w:rFonts w:ascii="宋体" w:hAnsi="宋体" w:cs="宋体"/>
          <w:color w:val="auto"/>
          <w:highlight w:val="none"/>
        </w:rPr>
        <w:t xml:space="preserve">                            </w:t>
      </w:r>
      <w:r>
        <w:rPr>
          <w:rFonts w:hint="eastAsia" w:ascii="宋体" w:hAnsi="宋体" w:cs="宋体"/>
          <w:color w:val="auto"/>
          <w:highlight w:val="none"/>
        </w:rPr>
        <w:t>记录人（签字）：</w:t>
      </w:r>
      <w:r>
        <w:rPr>
          <w:rFonts w:ascii="宋体" w:hAnsi="宋体" w:cs="宋体"/>
          <w:color w:val="auto"/>
          <w:highlight w:val="none"/>
        </w:rPr>
        <w:t xml:space="preserve">                             </w:t>
      </w:r>
      <w:r>
        <w:rPr>
          <w:rFonts w:hint="eastAsia" w:ascii="宋体" w:hAnsi="宋体" w:cs="宋体"/>
          <w:color w:val="auto"/>
          <w:highlight w:val="none"/>
        </w:rPr>
        <w:t>监督人员（签字）：</w:t>
      </w:r>
    </w:p>
    <w:p>
      <w:pPr>
        <w:rPr>
          <w:rFonts w:ascii="宋体"/>
          <w:color w:val="auto"/>
          <w:highlight w:val="none"/>
        </w:rPr>
      </w:pPr>
    </w:p>
    <w:p>
      <w:pPr>
        <w:rPr>
          <w:rFonts w:ascii="宋体"/>
          <w:color w:val="auto"/>
          <w:highlight w:val="none"/>
        </w:rPr>
        <w:sectPr>
          <w:pgSz w:w="16838" w:h="11906" w:orient="landscape"/>
          <w:pgMar w:top="1440" w:right="1440" w:bottom="1440" w:left="1797" w:header="851" w:footer="851" w:gutter="0"/>
          <w:cols w:space="720" w:num="1"/>
          <w:docGrid w:linePitch="312" w:charSpace="0"/>
        </w:sectPr>
      </w:pPr>
      <w:r>
        <w:rPr>
          <w:rFonts w:hint="eastAsia" w:ascii="宋体"/>
          <w:color w:val="auto"/>
          <w:highlight w:val="none"/>
        </w:rPr>
        <w:t>见证人员</w:t>
      </w:r>
      <w:r>
        <w:rPr>
          <w:rFonts w:hint="eastAsia" w:ascii="宋体" w:hAnsi="宋体" w:cs="宋体"/>
          <w:color w:val="auto"/>
          <w:highlight w:val="none"/>
        </w:rPr>
        <w:t>（签字）：</w:t>
      </w:r>
    </w:p>
    <w:p>
      <w:pPr>
        <w:rPr>
          <w:rFonts w:ascii="宋体"/>
          <w:color w:val="auto"/>
          <w:highlight w:val="none"/>
        </w:rPr>
      </w:pPr>
      <w:r>
        <w:rPr>
          <w:rFonts w:hint="eastAsia" w:ascii="宋体" w:hAnsi="宋体" w:cs="宋体"/>
          <w:color w:val="auto"/>
          <w:highlight w:val="none"/>
        </w:rPr>
        <w:t>附表</w:t>
      </w:r>
      <w:r>
        <w:rPr>
          <w:rFonts w:ascii="宋体" w:hAnsi="宋体" w:cs="宋体"/>
          <w:color w:val="auto"/>
          <w:highlight w:val="none"/>
        </w:rPr>
        <w:t>A</w:t>
      </w:r>
      <w:r>
        <w:rPr>
          <w:rFonts w:hint="eastAsia" w:ascii="宋体" w:hAnsi="宋体" w:cs="宋体"/>
          <w:color w:val="auto"/>
          <w:highlight w:val="none"/>
        </w:rPr>
        <w:t>－</w:t>
      </w:r>
      <w:r>
        <w:rPr>
          <w:rFonts w:ascii="宋体" w:hAnsi="宋体" w:cs="宋体"/>
          <w:color w:val="auto"/>
          <w:highlight w:val="none"/>
        </w:rPr>
        <w:t>1-1</w:t>
      </w:r>
      <w:r>
        <w:rPr>
          <w:rFonts w:hint="eastAsia" w:ascii="宋体" w:hAnsi="宋体" w:cs="宋体"/>
          <w:color w:val="auto"/>
          <w:highlight w:val="none"/>
        </w:rPr>
        <w:t>：开标会异常记录表（如有）</w:t>
      </w:r>
    </w:p>
    <w:p>
      <w:pPr>
        <w:rPr>
          <w:rFonts w:ascii="宋体"/>
          <w:color w:val="auto"/>
          <w:highlight w:val="none"/>
        </w:rPr>
      </w:pPr>
    </w:p>
    <w:p>
      <w:pPr>
        <w:jc w:val="center"/>
        <w:rPr>
          <w:rFonts w:ascii="宋体"/>
          <w:b/>
          <w:color w:val="auto"/>
          <w:highlight w:val="none"/>
        </w:rPr>
      </w:pPr>
      <w:r>
        <w:rPr>
          <w:rFonts w:hint="eastAsia" w:ascii="宋体" w:hAnsi="宋体" w:cs="宋体"/>
          <w:b/>
          <w:color w:val="auto"/>
          <w:highlight w:val="none"/>
        </w:rPr>
        <w:t>开标会异常记录表（如有）</w:t>
      </w:r>
    </w:p>
    <w:p>
      <w:pPr>
        <w:rPr>
          <w:rFonts w:ascii="宋体"/>
          <w:color w:val="auto"/>
          <w:highlight w:val="none"/>
        </w:rPr>
      </w:pPr>
    </w:p>
    <w:p>
      <w:pPr>
        <w:rPr>
          <w:color w:val="auto"/>
          <w:highlight w:val="none"/>
        </w:rPr>
      </w:pPr>
      <w:r>
        <w:rPr>
          <w:rFonts w:hint="eastAsia" w:cs="宋体"/>
          <w:color w:val="auto"/>
          <w:highlight w:val="none"/>
        </w:rPr>
        <w:t>工程名称：</w:t>
      </w:r>
      <w:r>
        <w:rPr>
          <w:color w:val="auto"/>
          <w:highlight w:val="none"/>
          <w:u w:val="single"/>
        </w:rPr>
        <w:t xml:space="preserve">             </w:t>
      </w:r>
      <w:r>
        <w:rPr>
          <w:rFonts w:hint="eastAsia" w:cs="宋体"/>
          <w:color w:val="auto"/>
          <w:highlight w:val="none"/>
        </w:rPr>
        <w:t>（项目名称）</w:t>
      </w:r>
      <w:r>
        <w:rPr>
          <w:color w:val="auto"/>
          <w:highlight w:val="none"/>
        </w:rPr>
        <w:t xml:space="preserve">       </w:t>
      </w:r>
      <w:r>
        <w:rPr>
          <w:rFonts w:hint="eastAsia" w:cs="宋体"/>
          <w:color w:val="auto"/>
          <w:highlight w:val="none"/>
        </w:rPr>
        <w:t>项目招标编号：</w:t>
      </w:r>
      <w:r>
        <w:rPr>
          <w:color w:val="auto"/>
          <w:highlight w:val="none"/>
          <w:u w:val="single"/>
        </w:rPr>
        <w:t xml:space="preserve">               </w:t>
      </w:r>
      <w:r>
        <w:rPr>
          <w:color w:val="auto"/>
          <w:highlight w:val="none"/>
        </w:rPr>
        <w:t xml:space="preserve">         </w:t>
      </w:r>
    </w:p>
    <w:p>
      <w:pPr>
        <w:rPr>
          <w:color w:val="auto"/>
          <w:highlight w:val="none"/>
        </w:rPr>
      </w:pPr>
      <w:r>
        <w:rPr>
          <w:rFonts w:hint="eastAsia" w:cs="宋体"/>
          <w:color w:val="auto"/>
          <w:highlight w:val="none"/>
        </w:rPr>
        <w:t>开标时间：</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pPr>
        <w:adjustRightInd w:val="0"/>
        <w:snapToGrid w:val="0"/>
        <w:rPr>
          <w:color w:val="auto"/>
          <w:highlight w:val="none"/>
        </w:rPr>
      </w:pPr>
      <w:r>
        <w:rPr>
          <w:rFonts w:hint="eastAsia" w:cs="宋体"/>
          <w:color w:val="auto"/>
          <w:highlight w:val="none"/>
        </w:rPr>
        <w:t>建设单位：</w:t>
      </w:r>
      <w:r>
        <w:rPr>
          <w:color w:val="auto"/>
          <w:highlight w:val="none"/>
          <w:u w:val="single"/>
        </w:rPr>
        <w:t xml:space="preserve">                                                         </w:t>
      </w:r>
      <w:r>
        <w:rPr>
          <w:color w:val="auto"/>
          <w:highlight w:val="none"/>
        </w:rPr>
        <w:t xml:space="preserve">         </w:t>
      </w:r>
    </w:p>
    <w:p>
      <w:pPr>
        <w:adjustRightInd w:val="0"/>
        <w:snapToGrid w:val="0"/>
        <w:rPr>
          <w:color w:val="auto"/>
          <w:highlight w:val="none"/>
          <w:u w:val="single"/>
        </w:rPr>
      </w:pPr>
      <w:r>
        <w:rPr>
          <w:rFonts w:hint="eastAsia" w:cs="宋体"/>
          <w:color w:val="auto"/>
          <w:highlight w:val="none"/>
        </w:rPr>
        <w:t>招标代理机构：</w:t>
      </w:r>
      <w:r>
        <w:rPr>
          <w:color w:val="auto"/>
          <w:highlight w:val="none"/>
          <w:u w:val="single"/>
        </w:rPr>
        <w:t xml:space="preserve">                         </w:t>
      </w:r>
    </w:p>
    <w:p>
      <w:pPr>
        <w:adjustRightInd w:val="0"/>
        <w:snapToGrid w:val="0"/>
        <w:rPr>
          <w:color w:val="auto"/>
          <w:highlight w:val="none"/>
          <w:u w:val="single"/>
        </w:rPr>
      </w:pPr>
    </w:p>
    <w:p>
      <w:pPr>
        <w:adjustRightInd w:val="0"/>
        <w:snapToGrid w:val="0"/>
        <w:rPr>
          <w:color w:val="auto"/>
          <w:highlight w:val="none"/>
          <w:u w:val="single"/>
        </w:rPr>
      </w:pPr>
    </w:p>
    <w:p>
      <w:pPr>
        <w:adjustRightInd w:val="0"/>
        <w:snapToGrid w:val="0"/>
        <w:rPr>
          <w:color w:val="auto"/>
          <w:highlight w:val="none"/>
          <w:u w:val="single"/>
        </w:rPr>
      </w:pPr>
    </w:p>
    <w:p>
      <w:pPr>
        <w:rPr>
          <w:rFonts w:ascii="宋体"/>
          <w:color w:val="auto"/>
          <w:highlight w:val="none"/>
        </w:rPr>
      </w:pPr>
      <w:r>
        <w:rPr>
          <w:rFonts w:hint="eastAsia" w:ascii="宋体" w:hAnsi="宋体" w:cs="宋体"/>
          <w:color w:val="auto"/>
          <w:highlight w:val="none"/>
        </w:rPr>
        <w:t>开标会异常情况记录：</w:t>
      </w:r>
      <w:r>
        <w:rPr>
          <w:rFonts w:ascii="宋体" w:hAnsi="宋体" w:cs="宋体"/>
          <w:color w:val="auto"/>
          <w:highlight w:val="none"/>
        </w:rPr>
        <w:t xml:space="preserve">  </w:t>
      </w:r>
      <w:r>
        <w:rPr>
          <w:rFonts w:hint="eastAsia" w:ascii="宋体" w:hAnsi="宋体" w:cs="宋体"/>
          <w:color w:val="auto"/>
          <w:highlight w:val="none"/>
        </w:rPr>
        <w:t>投标人</w:t>
      </w:r>
      <w:r>
        <w:rPr>
          <w:rFonts w:ascii="宋体" w:hAnsi="宋体" w:cs="宋体"/>
          <w:color w:val="auto"/>
          <w:highlight w:val="none"/>
        </w:rPr>
        <w:t>****</w:t>
      </w:r>
      <w:r>
        <w:rPr>
          <w:rFonts w:hint="eastAsia" w:ascii="宋体" w:hAnsi="宋体" w:cs="宋体"/>
          <w:color w:val="auto"/>
          <w:highlight w:val="none"/>
        </w:rPr>
        <w:t>质疑</w:t>
      </w:r>
      <w:r>
        <w:rPr>
          <w:rFonts w:ascii="宋体" w:hAnsi="宋体" w:cs="宋体"/>
          <w:color w:val="auto"/>
          <w:highlight w:val="none"/>
        </w:rPr>
        <w:t xml:space="preserve">*************                                                                </w:t>
      </w:r>
    </w:p>
    <w:p>
      <w:pPr>
        <w:rPr>
          <w:rFonts w:ascii="宋体"/>
          <w:color w:val="auto"/>
          <w:highlight w:val="none"/>
        </w:rPr>
      </w:pPr>
    </w:p>
    <w:p>
      <w:pPr>
        <w:rPr>
          <w:rFonts w:ascii="宋体"/>
          <w:color w:val="auto"/>
          <w:highlight w:val="none"/>
        </w:rPr>
      </w:pPr>
    </w:p>
    <w:p>
      <w:pPr>
        <w:rPr>
          <w:rFonts w:ascii="宋体"/>
          <w:color w:val="auto"/>
          <w:highlight w:val="none"/>
        </w:rPr>
      </w:pPr>
    </w:p>
    <w:p>
      <w:pPr>
        <w:rPr>
          <w:rFonts w:ascii="宋体"/>
          <w:color w:val="auto"/>
          <w:highlight w:val="none"/>
        </w:rPr>
      </w:pPr>
      <w:r>
        <w:rPr>
          <w:rFonts w:hint="eastAsia" w:ascii="宋体" w:hAnsi="宋体" w:cs="宋体"/>
          <w:color w:val="auto"/>
          <w:highlight w:val="none"/>
        </w:rPr>
        <w:t>开标现场质疑人：</w:t>
      </w:r>
      <w:r>
        <w:rPr>
          <w:rFonts w:ascii="宋体" w:hAnsi="宋体" w:cs="宋体"/>
          <w:color w:val="auto"/>
          <w:highlight w:val="none"/>
        </w:rPr>
        <w:t xml:space="preserve">             ***</w:t>
      </w:r>
      <w:r>
        <w:rPr>
          <w:rFonts w:hint="eastAsia" w:ascii="宋体" w:hAnsi="宋体" w:cs="宋体"/>
          <w:color w:val="auto"/>
          <w:highlight w:val="none"/>
        </w:rPr>
        <w:t>公司</w:t>
      </w:r>
      <w:r>
        <w:rPr>
          <w:rFonts w:ascii="宋体" w:hAnsi="宋体" w:cs="宋体"/>
          <w:color w:val="auto"/>
          <w:highlight w:val="none"/>
        </w:rPr>
        <w:t xml:space="preserve">         </w:t>
      </w:r>
      <w:r>
        <w:rPr>
          <w:rFonts w:hint="eastAsia" w:ascii="宋体" w:hAnsi="宋体" w:cs="宋体"/>
          <w:color w:val="auto"/>
          <w:highlight w:val="none"/>
        </w:rPr>
        <w:t>授权代表签字：</w:t>
      </w:r>
      <w:r>
        <w:rPr>
          <w:rFonts w:ascii="宋体" w:hAnsi="宋体" w:cs="宋体"/>
          <w:color w:val="auto"/>
          <w:highlight w:val="none"/>
        </w:rPr>
        <w:t xml:space="preserve">           </w:t>
      </w:r>
      <w:r>
        <w:rPr>
          <w:rFonts w:hint="eastAsia" w:ascii="宋体" w:hAnsi="宋体" w:cs="宋体"/>
          <w:color w:val="auto"/>
          <w:highlight w:val="none"/>
        </w:rPr>
        <w:t>日期</w:t>
      </w:r>
    </w:p>
    <w:p>
      <w:pPr>
        <w:rPr>
          <w:rFonts w:ascii="宋体"/>
          <w:color w:val="auto"/>
          <w:highlight w:val="none"/>
        </w:rPr>
      </w:pPr>
    </w:p>
    <w:p>
      <w:pPr>
        <w:rPr>
          <w:rFonts w:ascii="宋体"/>
          <w:color w:val="auto"/>
          <w:highlight w:val="none"/>
        </w:rPr>
      </w:pPr>
    </w:p>
    <w:p>
      <w:pPr>
        <w:rPr>
          <w:rFonts w:ascii="宋体"/>
          <w:color w:val="auto"/>
          <w:highlight w:val="none"/>
        </w:rPr>
      </w:pPr>
      <w:r>
        <w:rPr>
          <w:rFonts w:hint="eastAsia" w:ascii="宋体" w:hAnsi="宋体" w:cs="宋体"/>
          <w:color w:val="auto"/>
          <w:highlight w:val="none"/>
        </w:rPr>
        <w:t>招标人代表：</w:t>
      </w:r>
    </w:p>
    <w:p>
      <w:pPr>
        <w:rPr>
          <w:rFonts w:ascii="宋体"/>
          <w:color w:val="auto"/>
          <w:highlight w:val="none"/>
        </w:rPr>
      </w:pPr>
      <w:r>
        <w:rPr>
          <w:rFonts w:hint="eastAsia" w:ascii="宋体" w:hAnsi="宋体" w:cs="宋体"/>
          <w:color w:val="auto"/>
          <w:highlight w:val="none"/>
        </w:rPr>
        <w:t>（情况属实</w:t>
      </w:r>
      <w:r>
        <w:rPr>
          <w:rFonts w:ascii="宋体" w:cs="宋体"/>
          <w:color w:val="auto"/>
          <w:highlight w:val="none"/>
        </w:rPr>
        <w:t>.....</w:t>
      </w:r>
      <w:r>
        <w:rPr>
          <w:rFonts w:hint="eastAsia" w:ascii="宋体" w:hAnsi="宋体" w:cs="宋体"/>
          <w:color w:val="auto"/>
          <w:highlight w:val="none"/>
        </w:rPr>
        <w:t>）、（招标人简单答复：</w:t>
      </w:r>
      <w:r>
        <w:rPr>
          <w:rFonts w:ascii="宋体" w:cs="宋体"/>
          <w:color w:val="auto"/>
          <w:highlight w:val="none"/>
        </w:rPr>
        <w:t>........</w:t>
      </w:r>
      <w:r>
        <w:rPr>
          <w:rFonts w:hint="eastAsia" w:ascii="宋体" w:hAnsi="宋体" w:cs="宋体"/>
          <w:color w:val="auto"/>
          <w:highlight w:val="none"/>
        </w:rPr>
        <w:t>）等</w:t>
      </w:r>
      <w:r>
        <w:rPr>
          <w:rFonts w:ascii="宋体" w:hAnsi="宋体" w:cs="宋体"/>
          <w:color w:val="auto"/>
          <w:highlight w:val="none"/>
        </w:rPr>
        <w:t xml:space="preserve">                     </w:t>
      </w:r>
    </w:p>
    <w:p>
      <w:pPr>
        <w:rPr>
          <w:rFonts w:ascii="宋体"/>
          <w:color w:val="auto"/>
          <w:highlight w:val="none"/>
        </w:rPr>
      </w:pPr>
      <w:r>
        <w:rPr>
          <w:rFonts w:ascii="宋体" w:hAnsi="宋体" w:cs="宋体"/>
          <w:color w:val="auto"/>
          <w:highlight w:val="none"/>
        </w:rPr>
        <w:t xml:space="preserve">                         </w:t>
      </w:r>
      <w:r>
        <w:rPr>
          <w:rFonts w:hint="eastAsia" w:ascii="宋体" w:hAnsi="宋体" w:cs="宋体"/>
          <w:color w:val="auto"/>
          <w:highlight w:val="none"/>
        </w:rPr>
        <w:t>签字：</w:t>
      </w:r>
      <w:r>
        <w:rPr>
          <w:rFonts w:ascii="宋体" w:hAnsi="宋体" w:cs="宋体"/>
          <w:color w:val="auto"/>
          <w:highlight w:val="none"/>
        </w:rPr>
        <w:t xml:space="preserve">           </w:t>
      </w:r>
      <w:r>
        <w:rPr>
          <w:rFonts w:hint="eastAsia" w:ascii="宋体" w:hAnsi="宋体" w:cs="宋体"/>
          <w:color w:val="auto"/>
          <w:highlight w:val="none"/>
        </w:rPr>
        <w:t>日期：</w:t>
      </w:r>
      <w:r>
        <w:rPr>
          <w:rFonts w:ascii="宋体" w:hAnsi="宋体" w:cs="宋体"/>
          <w:color w:val="auto"/>
          <w:highlight w:val="none"/>
        </w:rPr>
        <w:t xml:space="preserve">                        </w:t>
      </w:r>
    </w:p>
    <w:p>
      <w:pPr>
        <w:rPr>
          <w:rFonts w:ascii="宋体"/>
          <w:color w:val="auto"/>
          <w:highlight w:val="none"/>
        </w:rPr>
      </w:pPr>
      <w:r>
        <w:rPr>
          <w:rFonts w:hint="eastAsia" w:ascii="宋体" w:hAnsi="宋体" w:cs="宋体"/>
          <w:color w:val="auto"/>
          <w:highlight w:val="none"/>
        </w:rPr>
        <w:t>招标代理机构项目负责人：</w:t>
      </w:r>
      <w:r>
        <w:rPr>
          <w:rFonts w:ascii="宋体" w:hAnsi="宋体" w:cs="宋体"/>
          <w:color w:val="auto"/>
          <w:highlight w:val="none"/>
        </w:rPr>
        <w:t xml:space="preserve"> </w:t>
      </w:r>
      <w:r>
        <w:rPr>
          <w:rFonts w:hint="eastAsia" w:ascii="宋体" w:hAnsi="宋体" w:cs="宋体"/>
          <w:color w:val="auto"/>
          <w:highlight w:val="none"/>
        </w:rPr>
        <w:t>（情况属实</w:t>
      </w:r>
      <w:r>
        <w:rPr>
          <w:rFonts w:ascii="宋体" w:cs="宋体"/>
          <w:color w:val="auto"/>
          <w:highlight w:val="none"/>
        </w:rPr>
        <w:t>.....</w:t>
      </w:r>
      <w:r>
        <w:rPr>
          <w:rFonts w:hint="eastAsia" w:ascii="宋体" w:hAnsi="宋体" w:cs="宋体"/>
          <w:color w:val="auto"/>
          <w:highlight w:val="none"/>
        </w:rPr>
        <w:t>）、（招标代理机构简单答复：</w:t>
      </w:r>
      <w:r>
        <w:rPr>
          <w:rFonts w:ascii="宋体" w:cs="宋体"/>
          <w:color w:val="auto"/>
          <w:highlight w:val="none"/>
        </w:rPr>
        <w:t>........</w:t>
      </w:r>
      <w:r>
        <w:rPr>
          <w:rFonts w:hint="eastAsia" w:ascii="宋体" w:hAnsi="宋体" w:cs="宋体"/>
          <w:color w:val="auto"/>
          <w:highlight w:val="none"/>
        </w:rPr>
        <w:t>）等</w:t>
      </w:r>
      <w:r>
        <w:rPr>
          <w:rFonts w:ascii="宋体" w:hAnsi="宋体" w:cs="宋体"/>
          <w:color w:val="auto"/>
          <w:highlight w:val="none"/>
        </w:rPr>
        <w:t xml:space="preserve">                     </w:t>
      </w:r>
    </w:p>
    <w:p>
      <w:pPr>
        <w:rPr>
          <w:rFonts w:ascii="宋体"/>
          <w:color w:val="auto"/>
          <w:highlight w:val="none"/>
        </w:rPr>
      </w:pPr>
      <w:r>
        <w:rPr>
          <w:rFonts w:ascii="宋体" w:hAnsi="宋体" w:cs="宋体"/>
          <w:color w:val="auto"/>
          <w:highlight w:val="none"/>
        </w:rPr>
        <w:t xml:space="preserve">                         </w:t>
      </w:r>
      <w:r>
        <w:rPr>
          <w:rFonts w:hint="eastAsia" w:ascii="宋体" w:hAnsi="宋体" w:cs="宋体"/>
          <w:color w:val="auto"/>
          <w:highlight w:val="none"/>
        </w:rPr>
        <w:t>签字：</w:t>
      </w:r>
      <w:r>
        <w:rPr>
          <w:rFonts w:ascii="宋体" w:hAnsi="宋体" w:cs="宋体"/>
          <w:color w:val="auto"/>
          <w:highlight w:val="none"/>
        </w:rPr>
        <w:t xml:space="preserve">           </w:t>
      </w:r>
      <w:r>
        <w:rPr>
          <w:rFonts w:hint="eastAsia" w:ascii="宋体" w:hAnsi="宋体" w:cs="宋体"/>
          <w:color w:val="auto"/>
          <w:highlight w:val="none"/>
        </w:rPr>
        <w:t>日期：</w:t>
      </w:r>
      <w:r>
        <w:rPr>
          <w:rFonts w:ascii="宋体" w:hAnsi="宋体" w:cs="宋体"/>
          <w:color w:val="auto"/>
          <w:highlight w:val="none"/>
        </w:rPr>
        <w:t xml:space="preserve">                        </w:t>
      </w:r>
    </w:p>
    <w:p>
      <w:pPr>
        <w:rPr>
          <w:rFonts w:ascii="宋体"/>
          <w:color w:val="auto"/>
          <w:highlight w:val="none"/>
        </w:rPr>
      </w:pPr>
    </w:p>
    <w:p>
      <w:pPr>
        <w:rPr>
          <w:rFonts w:ascii="宋体"/>
          <w:color w:val="auto"/>
          <w:highlight w:val="none"/>
        </w:rPr>
      </w:pPr>
    </w:p>
    <w:p>
      <w:pPr>
        <w:rPr>
          <w:rFonts w:ascii="宋体"/>
          <w:color w:val="auto"/>
          <w:highlight w:val="none"/>
        </w:rPr>
      </w:pPr>
    </w:p>
    <w:p>
      <w:pPr>
        <w:rPr>
          <w:rFonts w:ascii="宋体"/>
          <w:color w:val="auto"/>
          <w:highlight w:val="none"/>
        </w:rPr>
      </w:pPr>
      <w:r>
        <w:rPr>
          <w:rFonts w:hint="eastAsia" w:ascii="宋体" w:hAnsi="宋体" w:cs="宋体"/>
          <w:color w:val="auto"/>
          <w:highlight w:val="none"/>
        </w:rPr>
        <w:t>开标现场其余投标人授权代表签字：</w:t>
      </w:r>
    </w:p>
    <w:p>
      <w:pPr>
        <w:rPr>
          <w:rFonts w:ascii="宋体"/>
          <w:color w:val="auto"/>
          <w:highlight w:val="none"/>
        </w:rPr>
      </w:pPr>
    </w:p>
    <w:p>
      <w:pPr>
        <w:rPr>
          <w:rFonts w:ascii="宋体"/>
          <w:color w:val="auto"/>
          <w:highlight w:val="none"/>
        </w:rPr>
      </w:pPr>
    </w:p>
    <w:p>
      <w:pPr>
        <w:rPr>
          <w:rFonts w:ascii="宋体"/>
          <w:color w:val="auto"/>
          <w:highlight w:val="none"/>
        </w:rPr>
      </w:pPr>
    </w:p>
    <w:p>
      <w:pPr>
        <w:rPr>
          <w:rFonts w:ascii="宋体"/>
          <w:color w:val="auto"/>
          <w:highlight w:val="none"/>
        </w:rPr>
      </w:pPr>
    </w:p>
    <w:p>
      <w:pPr>
        <w:rPr>
          <w:rFonts w:ascii="宋体"/>
          <w:color w:val="auto"/>
          <w:highlight w:val="none"/>
        </w:rPr>
      </w:pPr>
    </w:p>
    <w:p>
      <w:pPr>
        <w:rPr>
          <w:rFonts w:ascii="宋体"/>
          <w:color w:val="auto"/>
          <w:highlight w:val="none"/>
        </w:rPr>
      </w:pPr>
    </w:p>
    <w:p>
      <w:pPr>
        <w:rPr>
          <w:b/>
          <w:color w:val="auto"/>
          <w:highlight w:val="none"/>
        </w:rPr>
      </w:pPr>
      <w:r>
        <w:rPr>
          <w:rFonts w:hint="eastAsia" w:cs="宋体"/>
          <w:b/>
          <w:color w:val="auto"/>
          <w:highlight w:val="none"/>
        </w:rPr>
        <w:t>附表</w:t>
      </w:r>
      <w:r>
        <w:rPr>
          <w:b/>
          <w:color w:val="auto"/>
          <w:highlight w:val="none"/>
        </w:rPr>
        <w:t>A</w:t>
      </w:r>
      <w:r>
        <w:rPr>
          <w:rFonts w:hint="eastAsia" w:cs="宋体"/>
          <w:b/>
          <w:color w:val="auto"/>
          <w:highlight w:val="none"/>
        </w:rPr>
        <w:t>－</w:t>
      </w:r>
      <w:r>
        <w:rPr>
          <w:b/>
          <w:color w:val="auto"/>
          <w:highlight w:val="none"/>
        </w:rPr>
        <w:t>2</w:t>
      </w:r>
      <w:r>
        <w:rPr>
          <w:rFonts w:hint="eastAsia" w:cs="宋体"/>
          <w:b/>
          <w:color w:val="auto"/>
          <w:highlight w:val="none"/>
        </w:rPr>
        <w:t>：评标委员会签到表</w:t>
      </w:r>
    </w:p>
    <w:p>
      <w:pPr>
        <w:spacing w:line="440" w:lineRule="exact"/>
        <w:jc w:val="center"/>
        <w:rPr>
          <w:rFonts w:eastAsia="黑体"/>
          <w:color w:val="auto"/>
          <w:sz w:val="28"/>
          <w:szCs w:val="28"/>
          <w:highlight w:val="none"/>
        </w:rPr>
      </w:pPr>
      <w:r>
        <w:rPr>
          <w:rFonts w:hint="eastAsia" w:eastAsia="黑体" w:cs="黑体"/>
          <w:color w:val="auto"/>
          <w:sz w:val="28"/>
          <w:szCs w:val="28"/>
          <w:highlight w:val="none"/>
        </w:rPr>
        <w:t>评标委员会签到表</w:t>
      </w:r>
    </w:p>
    <w:p>
      <w:pPr>
        <w:spacing w:afterLines="30" w:line="440" w:lineRule="exact"/>
        <w:rPr>
          <w:color w:val="auto"/>
          <w:highlight w:val="none"/>
        </w:rPr>
      </w:pPr>
      <w:r>
        <w:rPr>
          <w:rFonts w:hint="eastAsia" w:cs="宋体"/>
          <w:color w:val="auto"/>
          <w:highlight w:val="none"/>
        </w:rPr>
        <w:t>项目名称及项目招标编号：</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2"/>
        <w:tblW w:w="1334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624"/>
        <w:gridCol w:w="1624"/>
        <w:gridCol w:w="3501"/>
        <w:gridCol w:w="1980"/>
        <w:gridCol w:w="1912"/>
        <w:gridCol w:w="1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1014" w:type="dxa"/>
            <w:shd w:val="clear" w:color="auto" w:fill="auto"/>
            <w:vAlign w:val="center"/>
          </w:tcPr>
          <w:p>
            <w:pPr>
              <w:spacing w:line="440" w:lineRule="exact"/>
              <w:jc w:val="center"/>
              <w:rPr>
                <w:color w:val="auto"/>
                <w:highlight w:val="none"/>
              </w:rPr>
            </w:pPr>
            <w:r>
              <w:rPr>
                <w:rFonts w:hint="eastAsia" w:cs="宋体"/>
                <w:color w:val="auto"/>
                <w:highlight w:val="none"/>
              </w:rPr>
              <w:t>序号</w:t>
            </w:r>
          </w:p>
        </w:tc>
        <w:tc>
          <w:tcPr>
            <w:tcW w:w="1624" w:type="dxa"/>
            <w:shd w:val="clear" w:color="auto" w:fill="auto"/>
            <w:vAlign w:val="center"/>
          </w:tcPr>
          <w:p>
            <w:pPr>
              <w:spacing w:line="440" w:lineRule="exact"/>
              <w:jc w:val="center"/>
              <w:rPr>
                <w:color w:val="auto"/>
                <w:highlight w:val="none"/>
              </w:rPr>
            </w:pPr>
            <w:r>
              <w:rPr>
                <w:rFonts w:hint="eastAsia" w:cs="宋体"/>
                <w:color w:val="auto"/>
                <w:highlight w:val="none"/>
              </w:rPr>
              <w:t>姓名</w:t>
            </w:r>
          </w:p>
        </w:tc>
        <w:tc>
          <w:tcPr>
            <w:tcW w:w="1624" w:type="dxa"/>
            <w:shd w:val="clear" w:color="auto" w:fill="auto"/>
            <w:vAlign w:val="center"/>
          </w:tcPr>
          <w:p>
            <w:pPr>
              <w:spacing w:line="440" w:lineRule="exact"/>
              <w:jc w:val="center"/>
              <w:rPr>
                <w:color w:val="auto"/>
                <w:highlight w:val="none"/>
              </w:rPr>
            </w:pPr>
            <w:r>
              <w:rPr>
                <w:rFonts w:hint="eastAsia" w:cs="宋体"/>
                <w:color w:val="auto"/>
                <w:highlight w:val="none"/>
              </w:rPr>
              <w:t>职称</w:t>
            </w:r>
          </w:p>
        </w:tc>
        <w:tc>
          <w:tcPr>
            <w:tcW w:w="3501" w:type="dxa"/>
            <w:shd w:val="clear" w:color="auto" w:fill="auto"/>
            <w:vAlign w:val="center"/>
          </w:tcPr>
          <w:p>
            <w:pPr>
              <w:spacing w:line="440" w:lineRule="exact"/>
              <w:jc w:val="center"/>
              <w:rPr>
                <w:color w:val="auto"/>
                <w:highlight w:val="none"/>
              </w:rPr>
            </w:pPr>
            <w:r>
              <w:rPr>
                <w:rFonts w:hint="eastAsia" w:cs="宋体"/>
                <w:color w:val="auto"/>
                <w:highlight w:val="none"/>
              </w:rPr>
              <w:t>工作单位</w:t>
            </w:r>
          </w:p>
        </w:tc>
        <w:tc>
          <w:tcPr>
            <w:tcW w:w="1980" w:type="dxa"/>
            <w:shd w:val="clear" w:color="auto" w:fill="auto"/>
            <w:vAlign w:val="center"/>
          </w:tcPr>
          <w:p>
            <w:pPr>
              <w:spacing w:line="440" w:lineRule="exact"/>
              <w:jc w:val="center"/>
              <w:rPr>
                <w:color w:val="auto"/>
                <w:highlight w:val="none"/>
              </w:rPr>
            </w:pPr>
            <w:r>
              <w:rPr>
                <w:rFonts w:hint="eastAsia" w:cs="宋体"/>
                <w:color w:val="auto"/>
                <w:highlight w:val="none"/>
              </w:rPr>
              <w:t>身份证号码</w:t>
            </w:r>
          </w:p>
        </w:tc>
        <w:tc>
          <w:tcPr>
            <w:tcW w:w="1912" w:type="dxa"/>
            <w:shd w:val="clear" w:color="auto" w:fill="auto"/>
            <w:vAlign w:val="center"/>
          </w:tcPr>
          <w:p>
            <w:pPr>
              <w:spacing w:line="440" w:lineRule="exact"/>
              <w:jc w:val="center"/>
              <w:rPr>
                <w:color w:val="auto"/>
                <w:highlight w:val="none"/>
              </w:rPr>
            </w:pPr>
            <w:r>
              <w:rPr>
                <w:rFonts w:hint="eastAsia" w:cs="宋体"/>
                <w:color w:val="auto"/>
                <w:highlight w:val="none"/>
              </w:rPr>
              <w:t>联系电话</w:t>
            </w:r>
          </w:p>
        </w:tc>
        <w:tc>
          <w:tcPr>
            <w:tcW w:w="1688" w:type="dxa"/>
            <w:shd w:val="clear" w:color="auto" w:fill="auto"/>
            <w:vAlign w:val="center"/>
          </w:tcPr>
          <w:p>
            <w:pPr>
              <w:spacing w:line="440" w:lineRule="exact"/>
              <w:jc w:val="center"/>
              <w:rPr>
                <w:color w:val="auto"/>
                <w:highlight w:val="none"/>
              </w:rPr>
            </w:pPr>
            <w:r>
              <w:rPr>
                <w:rFonts w:hint="eastAsia" w:cs="宋体"/>
                <w:color w:val="auto"/>
                <w:highlight w:val="none"/>
              </w:rPr>
              <w:t>签到时间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1014" w:type="dxa"/>
            <w:shd w:val="clear" w:color="auto" w:fill="auto"/>
            <w:vAlign w:val="center"/>
          </w:tcPr>
          <w:p>
            <w:pPr>
              <w:spacing w:line="440" w:lineRule="exact"/>
              <w:jc w:val="center"/>
              <w:rPr>
                <w:rFonts w:eastAsia="黑体"/>
                <w:color w:val="auto"/>
                <w:highlight w:val="none"/>
              </w:rPr>
            </w:pPr>
            <w:r>
              <w:rPr>
                <w:rFonts w:eastAsia="黑体"/>
                <w:color w:val="auto"/>
                <w:highlight w:val="none"/>
              </w:rPr>
              <w:t>1</w:t>
            </w:r>
          </w:p>
        </w:tc>
        <w:tc>
          <w:tcPr>
            <w:tcW w:w="1624" w:type="dxa"/>
            <w:shd w:val="clear" w:color="auto" w:fill="auto"/>
            <w:vAlign w:val="center"/>
          </w:tcPr>
          <w:p>
            <w:pPr>
              <w:spacing w:line="440" w:lineRule="exact"/>
              <w:jc w:val="center"/>
              <w:rPr>
                <w:color w:val="auto"/>
                <w:highlight w:val="none"/>
              </w:rPr>
            </w:pPr>
          </w:p>
        </w:tc>
        <w:tc>
          <w:tcPr>
            <w:tcW w:w="1624" w:type="dxa"/>
            <w:shd w:val="clear" w:color="auto" w:fill="auto"/>
            <w:vAlign w:val="center"/>
          </w:tcPr>
          <w:p>
            <w:pPr>
              <w:spacing w:line="440" w:lineRule="exact"/>
              <w:jc w:val="center"/>
              <w:rPr>
                <w:color w:val="auto"/>
                <w:highlight w:val="none"/>
              </w:rPr>
            </w:pPr>
          </w:p>
        </w:tc>
        <w:tc>
          <w:tcPr>
            <w:tcW w:w="3501" w:type="dxa"/>
            <w:shd w:val="clear" w:color="auto" w:fill="auto"/>
            <w:vAlign w:val="center"/>
          </w:tcPr>
          <w:p>
            <w:pPr>
              <w:spacing w:line="440" w:lineRule="exact"/>
              <w:jc w:val="center"/>
              <w:rPr>
                <w:color w:val="auto"/>
                <w:highlight w:val="none"/>
              </w:rPr>
            </w:pPr>
          </w:p>
        </w:tc>
        <w:tc>
          <w:tcPr>
            <w:tcW w:w="1980" w:type="dxa"/>
            <w:shd w:val="clear" w:color="auto" w:fill="auto"/>
            <w:vAlign w:val="center"/>
          </w:tcPr>
          <w:p>
            <w:pPr>
              <w:spacing w:line="440" w:lineRule="exact"/>
              <w:jc w:val="center"/>
              <w:rPr>
                <w:color w:val="auto"/>
                <w:highlight w:val="none"/>
              </w:rPr>
            </w:pPr>
          </w:p>
        </w:tc>
        <w:tc>
          <w:tcPr>
            <w:tcW w:w="1912" w:type="dxa"/>
            <w:shd w:val="clear" w:color="auto" w:fill="auto"/>
            <w:vAlign w:val="center"/>
          </w:tcPr>
          <w:p>
            <w:pPr>
              <w:spacing w:line="440" w:lineRule="exact"/>
              <w:jc w:val="center"/>
              <w:rPr>
                <w:color w:val="auto"/>
                <w:highlight w:val="none"/>
              </w:rPr>
            </w:pPr>
          </w:p>
        </w:tc>
        <w:tc>
          <w:tcPr>
            <w:tcW w:w="1688" w:type="dxa"/>
            <w:shd w:val="clear" w:color="auto" w:fill="auto"/>
            <w:vAlign w:val="center"/>
          </w:tcPr>
          <w:p>
            <w:pPr>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1014" w:type="dxa"/>
            <w:shd w:val="clear" w:color="auto" w:fill="auto"/>
            <w:vAlign w:val="center"/>
          </w:tcPr>
          <w:p>
            <w:pPr>
              <w:spacing w:line="440" w:lineRule="exact"/>
              <w:jc w:val="center"/>
              <w:rPr>
                <w:rFonts w:eastAsia="黑体"/>
                <w:color w:val="auto"/>
                <w:highlight w:val="none"/>
              </w:rPr>
            </w:pPr>
            <w:r>
              <w:rPr>
                <w:rFonts w:eastAsia="黑体"/>
                <w:color w:val="auto"/>
                <w:highlight w:val="none"/>
              </w:rPr>
              <w:t>2</w:t>
            </w:r>
          </w:p>
        </w:tc>
        <w:tc>
          <w:tcPr>
            <w:tcW w:w="1624" w:type="dxa"/>
            <w:shd w:val="clear" w:color="auto" w:fill="auto"/>
            <w:vAlign w:val="center"/>
          </w:tcPr>
          <w:p>
            <w:pPr>
              <w:spacing w:line="440" w:lineRule="exact"/>
              <w:jc w:val="center"/>
              <w:rPr>
                <w:color w:val="auto"/>
                <w:highlight w:val="none"/>
              </w:rPr>
            </w:pPr>
          </w:p>
        </w:tc>
        <w:tc>
          <w:tcPr>
            <w:tcW w:w="1624" w:type="dxa"/>
            <w:shd w:val="clear" w:color="auto" w:fill="auto"/>
            <w:vAlign w:val="center"/>
          </w:tcPr>
          <w:p>
            <w:pPr>
              <w:spacing w:line="440" w:lineRule="exact"/>
              <w:jc w:val="center"/>
              <w:rPr>
                <w:color w:val="auto"/>
                <w:highlight w:val="none"/>
              </w:rPr>
            </w:pPr>
          </w:p>
        </w:tc>
        <w:tc>
          <w:tcPr>
            <w:tcW w:w="3501" w:type="dxa"/>
            <w:shd w:val="clear" w:color="auto" w:fill="auto"/>
            <w:vAlign w:val="center"/>
          </w:tcPr>
          <w:p>
            <w:pPr>
              <w:spacing w:line="440" w:lineRule="exact"/>
              <w:jc w:val="center"/>
              <w:rPr>
                <w:color w:val="auto"/>
                <w:highlight w:val="none"/>
              </w:rPr>
            </w:pPr>
          </w:p>
        </w:tc>
        <w:tc>
          <w:tcPr>
            <w:tcW w:w="1980" w:type="dxa"/>
            <w:shd w:val="clear" w:color="auto" w:fill="auto"/>
            <w:vAlign w:val="center"/>
          </w:tcPr>
          <w:p>
            <w:pPr>
              <w:spacing w:line="440" w:lineRule="exact"/>
              <w:jc w:val="center"/>
              <w:rPr>
                <w:color w:val="auto"/>
                <w:highlight w:val="none"/>
              </w:rPr>
            </w:pPr>
          </w:p>
        </w:tc>
        <w:tc>
          <w:tcPr>
            <w:tcW w:w="1912" w:type="dxa"/>
            <w:shd w:val="clear" w:color="auto" w:fill="auto"/>
            <w:vAlign w:val="center"/>
          </w:tcPr>
          <w:p>
            <w:pPr>
              <w:spacing w:line="440" w:lineRule="exact"/>
              <w:jc w:val="center"/>
              <w:rPr>
                <w:color w:val="auto"/>
                <w:highlight w:val="none"/>
              </w:rPr>
            </w:pPr>
          </w:p>
        </w:tc>
        <w:tc>
          <w:tcPr>
            <w:tcW w:w="1688" w:type="dxa"/>
            <w:shd w:val="clear" w:color="auto" w:fill="auto"/>
            <w:vAlign w:val="center"/>
          </w:tcPr>
          <w:p>
            <w:pPr>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1014" w:type="dxa"/>
            <w:shd w:val="clear" w:color="auto" w:fill="auto"/>
            <w:vAlign w:val="center"/>
          </w:tcPr>
          <w:p>
            <w:pPr>
              <w:spacing w:line="440" w:lineRule="exact"/>
              <w:jc w:val="center"/>
              <w:rPr>
                <w:rFonts w:eastAsia="黑体"/>
                <w:color w:val="auto"/>
                <w:highlight w:val="none"/>
              </w:rPr>
            </w:pPr>
            <w:r>
              <w:rPr>
                <w:rFonts w:eastAsia="黑体"/>
                <w:color w:val="auto"/>
                <w:highlight w:val="none"/>
              </w:rPr>
              <w:t>3</w:t>
            </w:r>
          </w:p>
        </w:tc>
        <w:tc>
          <w:tcPr>
            <w:tcW w:w="1624" w:type="dxa"/>
            <w:shd w:val="clear" w:color="auto" w:fill="auto"/>
            <w:vAlign w:val="center"/>
          </w:tcPr>
          <w:p>
            <w:pPr>
              <w:spacing w:line="440" w:lineRule="exact"/>
              <w:jc w:val="center"/>
              <w:rPr>
                <w:color w:val="auto"/>
                <w:highlight w:val="none"/>
              </w:rPr>
            </w:pPr>
          </w:p>
        </w:tc>
        <w:tc>
          <w:tcPr>
            <w:tcW w:w="1624" w:type="dxa"/>
            <w:shd w:val="clear" w:color="auto" w:fill="auto"/>
            <w:vAlign w:val="center"/>
          </w:tcPr>
          <w:p>
            <w:pPr>
              <w:spacing w:line="440" w:lineRule="exact"/>
              <w:jc w:val="center"/>
              <w:rPr>
                <w:color w:val="auto"/>
                <w:highlight w:val="none"/>
              </w:rPr>
            </w:pPr>
          </w:p>
        </w:tc>
        <w:tc>
          <w:tcPr>
            <w:tcW w:w="3501" w:type="dxa"/>
            <w:shd w:val="clear" w:color="auto" w:fill="auto"/>
            <w:vAlign w:val="center"/>
          </w:tcPr>
          <w:p>
            <w:pPr>
              <w:spacing w:line="440" w:lineRule="exact"/>
              <w:jc w:val="center"/>
              <w:rPr>
                <w:color w:val="auto"/>
                <w:highlight w:val="none"/>
              </w:rPr>
            </w:pPr>
          </w:p>
        </w:tc>
        <w:tc>
          <w:tcPr>
            <w:tcW w:w="1980" w:type="dxa"/>
            <w:shd w:val="clear" w:color="auto" w:fill="auto"/>
            <w:vAlign w:val="center"/>
          </w:tcPr>
          <w:p>
            <w:pPr>
              <w:spacing w:line="440" w:lineRule="exact"/>
              <w:jc w:val="center"/>
              <w:rPr>
                <w:color w:val="auto"/>
                <w:highlight w:val="none"/>
              </w:rPr>
            </w:pPr>
          </w:p>
        </w:tc>
        <w:tc>
          <w:tcPr>
            <w:tcW w:w="1912" w:type="dxa"/>
            <w:shd w:val="clear" w:color="auto" w:fill="auto"/>
            <w:vAlign w:val="center"/>
          </w:tcPr>
          <w:p>
            <w:pPr>
              <w:spacing w:line="440" w:lineRule="exact"/>
              <w:jc w:val="center"/>
              <w:rPr>
                <w:color w:val="auto"/>
                <w:highlight w:val="none"/>
              </w:rPr>
            </w:pPr>
          </w:p>
        </w:tc>
        <w:tc>
          <w:tcPr>
            <w:tcW w:w="1688" w:type="dxa"/>
            <w:shd w:val="clear" w:color="auto" w:fill="auto"/>
            <w:vAlign w:val="center"/>
          </w:tcPr>
          <w:p>
            <w:pPr>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1014" w:type="dxa"/>
            <w:shd w:val="clear" w:color="auto" w:fill="auto"/>
            <w:vAlign w:val="center"/>
          </w:tcPr>
          <w:p>
            <w:pPr>
              <w:spacing w:line="440" w:lineRule="exact"/>
              <w:jc w:val="center"/>
              <w:rPr>
                <w:rFonts w:eastAsia="黑体"/>
                <w:color w:val="auto"/>
                <w:highlight w:val="none"/>
              </w:rPr>
            </w:pPr>
            <w:r>
              <w:rPr>
                <w:rFonts w:eastAsia="黑体"/>
                <w:color w:val="auto"/>
                <w:highlight w:val="none"/>
              </w:rPr>
              <w:t>4</w:t>
            </w:r>
          </w:p>
        </w:tc>
        <w:tc>
          <w:tcPr>
            <w:tcW w:w="1624" w:type="dxa"/>
            <w:shd w:val="clear" w:color="auto" w:fill="auto"/>
            <w:vAlign w:val="center"/>
          </w:tcPr>
          <w:p>
            <w:pPr>
              <w:spacing w:line="440" w:lineRule="exact"/>
              <w:jc w:val="center"/>
              <w:rPr>
                <w:color w:val="auto"/>
                <w:highlight w:val="none"/>
              </w:rPr>
            </w:pPr>
          </w:p>
        </w:tc>
        <w:tc>
          <w:tcPr>
            <w:tcW w:w="1624" w:type="dxa"/>
            <w:shd w:val="clear" w:color="auto" w:fill="auto"/>
            <w:vAlign w:val="center"/>
          </w:tcPr>
          <w:p>
            <w:pPr>
              <w:spacing w:line="440" w:lineRule="exact"/>
              <w:jc w:val="center"/>
              <w:rPr>
                <w:color w:val="auto"/>
                <w:highlight w:val="none"/>
              </w:rPr>
            </w:pPr>
          </w:p>
        </w:tc>
        <w:tc>
          <w:tcPr>
            <w:tcW w:w="3501" w:type="dxa"/>
            <w:shd w:val="clear" w:color="auto" w:fill="auto"/>
            <w:vAlign w:val="center"/>
          </w:tcPr>
          <w:p>
            <w:pPr>
              <w:spacing w:line="440" w:lineRule="exact"/>
              <w:jc w:val="center"/>
              <w:rPr>
                <w:color w:val="auto"/>
                <w:highlight w:val="none"/>
              </w:rPr>
            </w:pPr>
          </w:p>
        </w:tc>
        <w:tc>
          <w:tcPr>
            <w:tcW w:w="1980" w:type="dxa"/>
            <w:shd w:val="clear" w:color="auto" w:fill="auto"/>
            <w:vAlign w:val="center"/>
          </w:tcPr>
          <w:p>
            <w:pPr>
              <w:spacing w:line="440" w:lineRule="exact"/>
              <w:jc w:val="center"/>
              <w:rPr>
                <w:color w:val="auto"/>
                <w:highlight w:val="none"/>
              </w:rPr>
            </w:pPr>
          </w:p>
        </w:tc>
        <w:tc>
          <w:tcPr>
            <w:tcW w:w="1912" w:type="dxa"/>
            <w:shd w:val="clear" w:color="auto" w:fill="auto"/>
            <w:vAlign w:val="center"/>
          </w:tcPr>
          <w:p>
            <w:pPr>
              <w:spacing w:line="440" w:lineRule="exact"/>
              <w:jc w:val="center"/>
              <w:rPr>
                <w:color w:val="auto"/>
                <w:highlight w:val="none"/>
              </w:rPr>
            </w:pPr>
          </w:p>
        </w:tc>
        <w:tc>
          <w:tcPr>
            <w:tcW w:w="1688" w:type="dxa"/>
            <w:shd w:val="clear" w:color="auto" w:fill="auto"/>
            <w:vAlign w:val="center"/>
          </w:tcPr>
          <w:p>
            <w:pPr>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1014" w:type="dxa"/>
            <w:shd w:val="clear" w:color="auto" w:fill="auto"/>
            <w:vAlign w:val="center"/>
          </w:tcPr>
          <w:p>
            <w:pPr>
              <w:spacing w:line="440" w:lineRule="exact"/>
              <w:jc w:val="center"/>
              <w:rPr>
                <w:rFonts w:eastAsia="黑体"/>
                <w:color w:val="auto"/>
                <w:highlight w:val="none"/>
              </w:rPr>
            </w:pPr>
            <w:r>
              <w:rPr>
                <w:rFonts w:eastAsia="黑体"/>
                <w:color w:val="auto"/>
                <w:highlight w:val="none"/>
              </w:rPr>
              <w:t>5</w:t>
            </w:r>
          </w:p>
        </w:tc>
        <w:tc>
          <w:tcPr>
            <w:tcW w:w="1624" w:type="dxa"/>
            <w:shd w:val="clear" w:color="auto" w:fill="auto"/>
            <w:vAlign w:val="center"/>
          </w:tcPr>
          <w:p>
            <w:pPr>
              <w:spacing w:line="440" w:lineRule="exact"/>
              <w:jc w:val="center"/>
              <w:rPr>
                <w:color w:val="auto"/>
                <w:highlight w:val="none"/>
              </w:rPr>
            </w:pPr>
          </w:p>
        </w:tc>
        <w:tc>
          <w:tcPr>
            <w:tcW w:w="1624" w:type="dxa"/>
            <w:shd w:val="clear" w:color="auto" w:fill="auto"/>
            <w:vAlign w:val="center"/>
          </w:tcPr>
          <w:p>
            <w:pPr>
              <w:spacing w:line="440" w:lineRule="exact"/>
              <w:jc w:val="center"/>
              <w:rPr>
                <w:color w:val="auto"/>
                <w:highlight w:val="none"/>
              </w:rPr>
            </w:pPr>
          </w:p>
        </w:tc>
        <w:tc>
          <w:tcPr>
            <w:tcW w:w="3501" w:type="dxa"/>
            <w:shd w:val="clear" w:color="auto" w:fill="auto"/>
            <w:vAlign w:val="center"/>
          </w:tcPr>
          <w:p>
            <w:pPr>
              <w:spacing w:line="440" w:lineRule="exact"/>
              <w:jc w:val="center"/>
              <w:rPr>
                <w:color w:val="auto"/>
                <w:highlight w:val="none"/>
              </w:rPr>
            </w:pPr>
          </w:p>
        </w:tc>
        <w:tc>
          <w:tcPr>
            <w:tcW w:w="1980" w:type="dxa"/>
            <w:shd w:val="clear" w:color="auto" w:fill="auto"/>
            <w:vAlign w:val="center"/>
          </w:tcPr>
          <w:p>
            <w:pPr>
              <w:spacing w:line="440" w:lineRule="exact"/>
              <w:jc w:val="center"/>
              <w:rPr>
                <w:color w:val="auto"/>
                <w:highlight w:val="none"/>
              </w:rPr>
            </w:pPr>
          </w:p>
        </w:tc>
        <w:tc>
          <w:tcPr>
            <w:tcW w:w="1912" w:type="dxa"/>
            <w:shd w:val="clear" w:color="auto" w:fill="auto"/>
            <w:vAlign w:val="center"/>
          </w:tcPr>
          <w:p>
            <w:pPr>
              <w:spacing w:line="440" w:lineRule="exact"/>
              <w:jc w:val="center"/>
              <w:rPr>
                <w:color w:val="auto"/>
                <w:highlight w:val="none"/>
              </w:rPr>
            </w:pPr>
          </w:p>
        </w:tc>
        <w:tc>
          <w:tcPr>
            <w:tcW w:w="1688" w:type="dxa"/>
            <w:shd w:val="clear" w:color="auto" w:fill="auto"/>
            <w:vAlign w:val="center"/>
          </w:tcPr>
          <w:p>
            <w:pPr>
              <w:spacing w:line="440" w:lineRule="exact"/>
              <w:jc w:val="center"/>
              <w:rPr>
                <w:color w:val="auto"/>
                <w:highlight w:val="none"/>
              </w:rPr>
            </w:pPr>
          </w:p>
        </w:tc>
      </w:tr>
    </w:tbl>
    <w:p>
      <w:pPr>
        <w:spacing w:line="440" w:lineRule="exact"/>
        <w:rPr>
          <w:color w:val="auto"/>
          <w:highlight w:val="none"/>
        </w:rPr>
      </w:pPr>
    </w:p>
    <w:p>
      <w:pPr>
        <w:spacing w:line="440" w:lineRule="exact"/>
        <w:rPr>
          <w:rFonts w:eastAsia="黑体"/>
          <w:color w:val="auto"/>
          <w:highlight w:val="none"/>
        </w:rPr>
        <w:sectPr>
          <w:pgSz w:w="16838" w:h="11906" w:orient="landscape"/>
          <w:pgMar w:top="1440" w:right="1440" w:bottom="1440" w:left="1797" w:header="851" w:footer="851" w:gutter="0"/>
          <w:cols w:space="720" w:num="1"/>
          <w:docGrid w:linePitch="312" w:charSpace="0"/>
        </w:sectPr>
      </w:pPr>
    </w:p>
    <w:p>
      <w:pPr>
        <w:spacing w:line="440" w:lineRule="exact"/>
        <w:jc w:val="left"/>
        <w:rPr>
          <w:rFonts w:eastAsia="黑体"/>
          <w:color w:val="auto"/>
          <w:sz w:val="28"/>
          <w:szCs w:val="28"/>
          <w:highlight w:val="none"/>
        </w:rPr>
      </w:pPr>
      <w:r>
        <w:rPr>
          <w:rFonts w:hint="eastAsia" w:cs="宋体"/>
          <w:b/>
          <w:color w:val="auto"/>
          <w:highlight w:val="none"/>
        </w:rPr>
        <w:t>附表</w:t>
      </w:r>
      <w:r>
        <w:rPr>
          <w:b/>
          <w:color w:val="auto"/>
          <w:highlight w:val="none"/>
        </w:rPr>
        <w:t>A-3</w:t>
      </w:r>
      <w:r>
        <w:rPr>
          <w:rFonts w:hint="eastAsia" w:cs="宋体"/>
          <w:b/>
          <w:color w:val="auto"/>
          <w:highlight w:val="none"/>
        </w:rPr>
        <w:t>：资格审查评审记录表</w:t>
      </w:r>
    </w:p>
    <w:tbl>
      <w:tblPr>
        <w:tblStyle w:val="42"/>
        <w:tblpPr w:leftFromText="180" w:rightFromText="180" w:horzAnchor="margin" w:tblpY="495"/>
        <w:tblW w:w="13572" w:type="dxa"/>
        <w:tblInd w:w="0" w:type="dxa"/>
        <w:tblLayout w:type="fixed"/>
        <w:tblCellMar>
          <w:top w:w="15" w:type="dxa"/>
          <w:left w:w="15" w:type="dxa"/>
          <w:bottom w:w="15" w:type="dxa"/>
          <w:right w:w="15" w:type="dxa"/>
        </w:tblCellMar>
      </w:tblPr>
      <w:tblGrid>
        <w:gridCol w:w="724"/>
        <w:gridCol w:w="356"/>
        <w:gridCol w:w="2479"/>
        <w:gridCol w:w="1002"/>
        <w:gridCol w:w="1002"/>
        <w:gridCol w:w="1002"/>
        <w:gridCol w:w="1002"/>
        <w:gridCol w:w="1002"/>
        <w:gridCol w:w="1002"/>
        <w:gridCol w:w="1002"/>
        <w:gridCol w:w="1003"/>
        <w:gridCol w:w="851"/>
        <w:gridCol w:w="1134"/>
        <w:gridCol w:w="11"/>
      </w:tblGrid>
      <w:tr>
        <w:tblPrEx>
          <w:tblLayout w:type="fixed"/>
          <w:tblCellMar>
            <w:top w:w="15" w:type="dxa"/>
            <w:left w:w="15" w:type="dxa"/>
            <w:bottom w:w="15" w:type="dxa"/>
            <w:right w:w="15" w:type="dxa"/>
          </w:tblCellMar>
        </w:tblPrEx>
        <w:trPr>
          <w:trHeight w:val="316" w:hRule="atLeast"/>
        </w:trPr>
        <w:tc>
          <w:tcPr>
            <w:tcW w:w="1080" w:type="dxa"/>
            <w:gridSpan w:val="2"/>
            <w:shd w:val="clear" w:color="auto" w:fill="auto"/>
          </w:tcPr>
          <w:p>
            <w:pPr>
              <w:widowControl/>
              <w:jc w:val="center"/>
              <w:rPr>
                <w:rFonts w:eastAsia="黑体" w:cs="黑体"/>
                <w:color w:val="auto"/>
                <w:sz w:val="28"/>
                <w:szCs w:val="28"/>
                <w:highlight w:val="none"/>
              </w:rPr>
            </w:pPr>
          </w:p>
        </w:tc>
        <w:tc>
          <w:tcPr>
            <w:tcW w:w="12492" w:type="dxa"/>
            <w:gridSpan w:val="12"/>
            <w:shd w:val="clear" w:color="auto" w:fill="auto"/>
            <w:vAlign w:val="center"/>
          </w:tcPr>
          <w:p>
            <w:pPr>
              <w:widowControl/>
              <w:jc w:val="center"/>
              <w:rPr>
                <w:rFonts w:eastAsia="黑体" w:cs="黑体"/>
                <w:color w:val="auto"/>
                <w:sz w:val="28"/>
                <w:szCs w:val="28"/>
                <w:highlight w:val="none"/>
              </w:rPr>
            </w:pPr>
          </w:p>
          <w:p>
            <w:pPr>
              <w:widowControl/>
              <w:jc w:val="center"/>
              <w:rPr>
                <w:rFonts w:ascii="宋体" w:hAnsi="宋体" w:cs="宋体"/>
                <w:color w:val="auto"/>
                <w:kern w:val="0"/>
                <w:sz w:val="22"/>
                <w:szCs w:val="22"/>
                <w:highlight w:val="none"/>
              </w:rPr>
            </w:pPr>
            <w:r>
              <w:rPr>
                <w:rFonts w:hint="eastAsia" w:eastAsia="黑体" w:cs="黑体"/>
                <w:color w:val="auto"/>
                <w:sz w:val="28"/>
                <w:szCs w:val="28"/>
                <w:highlight w:val="none"/>
              </w:rPr>
              <w:t>资格审查评审记录表一（有限数量制）</w:t>
            </w:r>
          </w:p>
        </w:tc>
      </w:tr>
      <w:tr>
        <w:tblPrEx>
          <w:tblLayout w:type="fixed"/>
          <w:tblCellMar>
            <w:top w:w="15" w:type="dxa"/>
            <w:left w:w="15" w:type="dxa"/>
            <w:bottom w:w="15" w:type="dxa"/>
            <w:right w:w="15" w:type="dxa"/>
          </w:tblCellMar>
        </w:tblPrEx>
        <w:trPr>
          <w:trHeight w:val="330" w:hRule="atLeast"/>
        </w:trPr>
        <w:tc>
          <w:tcPr>
            <w:tcW w:w="1080" w:type="dxa"/>
            <w:gridSpan w:val="2"/>
            <w:shd w:val="clear" w:color="auto" w:fill="auto"/>
          </w:tcPr>
          <w:p>
            <w:pPr>
              <w:spacing w:afterLines="30" w:line="440" w:lineRule="exact"/>
              <w:rPr>
                <w:rFonts w:cs="宋体"/>
                <w:color w:val="auto"/>
                <w:highlight w:val="none"/>
              </w:rPr>
            </w:pPr>
          </w:p>
        </w:tc>
        <w:tc>
          <w:tcPr>
            <w:tcW w:w="12492" w:type="dxa"/>
            <w:gridSpan w:val="12"/>
            <w:shd w:val="clear" w:color="auto" w:fill="auto"/>
            <w:vAlign w:val="center"/>
          </w:tcPr>
          <w:p>
            <w:pPr>
              <w:spacing w:afterLines="30" w:line="440" w:lineRule="exact"/>
              <w:jc w:val="left"/>
              <w:rPr>
                <w:color w:val="auto"/>
                <w:highlight w:val="none"/>
              </w:rPr>
            </w:pPr>
            <w:r>
              <w:rPr>
                <w:rFonts w:hint="eastAsia" w:cs="宋体"/>
                <w:color w:val="auto"/>
                <w:highlight w:val="none"/>
              </w:rPr>
              <w:t>项目名称及项目招标编号：</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c>
      </w:tr>
      <w:tr>
        <w:tblPrEx>
          <w:tblLayout w:type="fixed"/>
          <w:tblCellMar>
            <w:top w:w="15" w:type="dxa"/>
            <w:left w:w="15" w:type="dxa"/>
            <w:bottom w:w="15" w:type="dxa"/>
            <w:right w:w="15" w:type="dxa"/>
          </w:tblCellMar>
        </w:tblPrEx>
        <w:trPr>
          <w:gridAfter w:val="1"/>
          <w:wAfter w:w="11" w:type="dxa"/>
          <w:trHeight w:val="900" w:hRule="atLeast"/>
        </w:trPr>
        <w:tc>
          <w:tcPr>
            <w:tcW w:w="724" w:type="dxa"/>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center"/>
              <w:rPr>
                <w:rFonts w:ascii="宋体" w:hAnsi="宋体" w:cs="宋体"/>
                <w:color w:val="auto"/>
                <w:kern w:val="0"/>
                <w:highlight w:val="none"/>
              </w:rPr>
            </w:pPr>
            <w:r>
              <w:rPr>
                <w:rFonts w:hint="eastAsia" w:ascii="宋体" w:hAnsi="宋体" w:cs="宋体"/>
                <w:color w:val="auto"/>
                <w:kern w:val="0"/>
                <w:highlight w:val="none"/>
              </w:rPr>
              <w:t>序号</w:t>
            </w:r>
          </w:p>
        </w:tc>
        <w:tc>
          <w:tcPr>
            <w:tcW w:w="2835"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auto"/>
                <w:kern w:val="0"/>
                <w:highlight w:val="none"/>
              </w:rPr>
            </w:pPr>
            <w:r>
              <w:rPr>
                <w:rFonts w:hint="eastAsia" w:ascii="宋体" w:hAnsi="宋体" w:cs="宋体"/>
                <w:color w:val="auto"/>
                <w:kern w:val="0"/>
                <w:highlight w:val="none"/>
              </w:rPr>
              <w:t>投标人名称</w:t>
            </w:r>
          </w:p>
        </w:tc>
        <w:tc>
          <w:tcPr>
            <w:tcW w:w="8017" w:type="dxa"/>
            <w:gridSpan w:val="8"/>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合格标准：投标人符合第二章“投标人须知”第1.4项规定的，且按规定提交了第二章“投标人须知前附表”3.1.1项资格审查部分（</w:t>
            </w:r>
            <w:r>
              <w:rPr>
                <w:rFonts w:ascii="宋体" w:hAnsi="宋体" w:cs="宋体"/>
                <w:color w:val="auto"/>
                <w:kern w:val="0"/>
                <w:sz w:val="24"/>
                <w:highlight w:val="none"/>
              </w:rPr>
              <w:t>1</w:t>
            </w:r>
            <w:r>
              <w:rPr>
                <w:rFonts w:hint="eastAsia" w:ascii="宋体" w:hAnsi="宋体" w:cs="宋体"/>
                <w:color w:val="auto"/>
                <w:kern w:val="0"/>
                <w:sz w:val="24"/>
                <w:highlight w:val="none"/>
              </w:rPr>
              <w:t>）～（</w:t>
            </w:r>
            <w:r>
              <w:rPr>
                <w:rFonts w:ascii="宋体" w:hAnsi="宋体" w:cs="宋体"/>
                <w:color w:val="auto"/>
                <w:kern w:val="0"/>
                <w:sz w:val="24"/>
                <w:highlight w:val="none"/>
              </w:rPr>
              <w:t>8</w:t>
            </w:r>
            <w:r>
              <w:rPr>
                <w:rFonts w:hint="eastAsia" w:ascii="宋体" w:hAnsi="宋体" w:cs="宋体"/>
                <w:color w:val="auto"/>
                <w:kern w:val="0"/>
                <w:sz w:val="24"/>
                <w:highlight w:val="none"/>
              </w:rPr>
              <w:t>）项内容的，方可进行资格审查评分。</w:t>
            </w:r>
          </w:p>
        </w:tc>
        <w:tc>
          <w:tcPr>
            <w:tcW w:w="851"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备注</w:t>
            </w:r>
          </w:p>
        </w:tc>
        <w:tc>
          <w:tcPr>
            <w:tcW w:w="11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auto"/>
                <w:kern w:val="0"/>
                <w:highlight w:val="none"/>
              </w:rPr>
            </w:pPr>
            <w:r>
              <w:rPr>
                <w:rFonts w:hint="eastAsia" w:ascii="宋体" w:hAnsi="宋体" w:cs="宋体"/>
                <w:color w:val="auto"/>
                <w:kern w:val="0"/>
                <w:sz w:val="24"/>
                <w:highlight w:val="none"/>
              </w:rPr>
              <w:t>可</w:t>
            </w:r>
            <w:r>
              <w:rPr>
                <w:rFonts w:hint="eastAsia" w:ascii="宋体" w:hAnsi="宋体" w:cs="宋体"/>
                <w:color w:val="auto"/>
                <w:kern w:val="0"/>
                <w:sz w:val="24"/>
                <w:szCs w:val="24"/>
                <w:highlight w:val="none"/>
              </w:rPr>
              <w:t>否进行</w:t>
            </w:r>
            <w:r>
              <w:rPr>
                <w:rFonts w:hint="eastAsia" w:ascii="宋体" w:hAnsi="宋体" w:cs="宋体"/>
                <w:color w:val="auto"/>
                <w:kern w:val="0"/>
                <w:sz w:val="24"/>
                <w:highlight w:val="none"/>
              </w:rPr>
              <w:t>资格审查评分</w:t>
            </w:r>
          </w:p>
        </w:tc>
      </w:tr>
      <w:tr>
        <w:tblPrEx>
          <w:tblLayout w:type="fixed"/>
          <w:tblCellMar>
            <w:top w:w="15" w:type="dxa"/>
            <w:left w:w="15" w:type="dxa"/>
            <w:bottom w:w="15" w:type="dxa"/>
            <w:right w:w="15" w:type="dxa"/>
          </w:tblCellMar>
        </w:tblPrEx>
        <w:trPr>
          <w:gridAfter w:val="1"/>
          <w:wAfter w:w="11" w:type="dxa"/>
          <w:trHeight w:val="443" w:hRule="atLeast"/>
        </w:trPr>
        <w:tc>
          <w:tcPr>
            <w:tcW w:w="724"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left"/>
              <w:rPr>
                <w:rFonts w:ascii="宋体" w:hAnsi="宋体" w:cs="宋体"/>
                <w:color w:val="auto"/>
                <w:kern w:val="0"/>
                <w:highlight w:val="none"/>
              </w:rPr>
            </w:pPr>
          </w:p>
        </w:tc>
        <w:tc>
          <w:tcPr>
            <w:tcW w:w="2835"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auto"/>
                <w:kern w:val="0"/>
                <w:highlight w:val="none"/>
              </w:rPr>
            </w:pPr>
          </w:p>
        </w:tc>
        <w:tc>
          <w:tcPr>
            <w:tcW w:w="10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auto"/>
                <w:kern w:val="0"/>
                <w:highlight w:val="none"/>
              </w:rPr>
            </w:pPr>
            <w:r>
              <w:rPr>
                <w:rFonts w:hint="eastAsia" w:ascii="宋体" w:hAnsi="宋体" w:cs="宋体"/>
                <w:color w:val="auto"/>
                <w:kern w:val="0"/>
                <w:highlight w:val="none"/>
              </w:rPr>
              <w:t>(1)</w:t>
            </w:r>
          </w:p>
        </w:tc>
        <w:tc>
          <w:tcPr>
            <w:tcW w:w="10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auto"/>
                <w:kern w:val="0"/>
                <w:highlight w:val="none"/>
              </w:rPr>
            </w:pPr>
            <w:r>
              <w:rPr>
                <w:rFonts w:hint="eastAsia" w:ascii="宋体" w:hAnsi="宋体" w:cs="宋体"/>
                <w:color w:val="auto"/>
                <w:kern w:val="0"/>
                <w:highlight w:val="none"/>
              </w:rPr>
              <w:t>(2)</w:t>
            </w:r>
          </w:p>
        </w:tc>
        <w:tc>
          <w:tcPr>
            <w:tcW w:w="1002"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auto"/>
                <w:kern w:val="0"/>
                <w:highlight w:val="none"/>
              </w:rPr>
            </w:pPr>
            <w:r>
              <w:rPr>
                <w:rFonts w:hint="eastAsia" w:ascii="宋体" w:hAnsi="宋体" w:cs="宋体"/>
                <w:color w:val="auto"/>
                <w:kern w:val="0"/>
                <w:highlight w:val="none"/>
              </w:rPr>
              <w:t>(3)</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auto"/>
                <w:kern w:val="0"/>
                <w:highlight w:val="none"/>
              </w:rPr>
            </w:pPr>
            <w:r>
              <w:rPr>
                <w:rFonts w:hint="eastAsia" w:ascii="宋体" w:hAnsi="宋体" w:cs="宋体"/>
                <w:color w:val="auto"/>
                <w:kern w:val="0"/>
                <w:highlight w:val="none"/>
              </w:rPr>
              <w:t>(4)</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auto"/>
                <w:kern w:val="0"/>
                <w:highlight w:val="none"/>
              </w:rPr>
            </w:pPr>
            <w:r>
              <w:rPr>
                <w:rFonts w:hint="eastAsia" w:ascii="宋体" w:hAnsi="宋体" w:cs="宋体"/>
                <w:color w:val="auto"/>
                <w:kern w:val="0"/>
                <w:highlight w:val="none"/>
              </w:rPr>
              <w:t>(5)</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auto"/>
                <w:kern w:val="0"/>
                <w:highlight w:val="none"/>
              </w:rPr>
            </w:pPr>
            <w:r>
              <w:rPr>
                <w:rFonts w:hint="eastAsia" w:ascii="宋体" w:hAnsi="宋体" w:cs="宋体"/>
                <w:color w:val="auto"/>
                <w:kern w:val="0"/>
                <w:highlight w:val="none"/>
              </w:rPr>
              <w:t>(6)</w:t>
            </w:r>
          </w:p>
        </w:tc>
        <w:tc>
          <w:tcPr>
            <w:tcW w:w="1002" w:type="dxa"/>
            <w:tcBorders>
              <w:top w:val="single" w:color="000000" w:sz="4" w:space="0"/>
              <w:left w:val="single" w:color="000000" w:sz="4" w:space="0"/>
              <w:bottom w:val="single" w:color="000000" w:sz="4" w:space="0"/>
            </w:tcBorders>
            <w:shd w:val="clear" w:color="auto" w:fill="auto"/>
            <w:vAlign w:val="center"/>
          </w:tcPr>
          <w:p>
            <w:pPr>
              <w:widowControl/>
              <w:jc w:val="center"/>
              <w:rPr>
                <w:rFonts w:ascii="宋体" w:hAnsi="宋体" w:cs="宋体"/>
                <w:color w:val="auto"/>
                <w:kern w:val="0"/>
                <w:highlight w:val="none"/>
              </w:rPr>
            </w:pPr>
            <w:r>
              <w:rPr>
                <w:rFonts w:hint="eastAsia" w:ascii="宋体" w:hAnsi="宋体" w:cs="宋体"/>
                <w:color w:val="auto"/>
                <w:kern w:val="0"/>
                <w:highlight w:val="none"/>
              </w:rPr>
              <w:t>(7)</w:t>
            </w:r>
          </w:p>
        </w:tc>
        <w:tc>
          <w:tcPr>
            <w:tcW w:w="1003" w:type="dxa"/>
            <w:tcBorders>
              <w:top w:val="single" w:color="000000" w:sz="4" w:space="0"/>
              <w:left w:val="single" w:color="000000" w:sz="4" w:space="0"/>
              <w:bottom w:val="single" w:color="000000" w:sz="4" w:space="0"/>
            </w:tcBorders>
            <w:shd w:val="clear" w:color="auto" w:fill="auto"/>
            <w:vAlign w:val="center"/>
          </w:tcPr>
          <w:p>
            <w:pPr>
              <w:widowControl/>
              <w:adjustRightInd w:val="0"/>
              <w:snapToGrid w:val="0"/>
              <w:jc w:val="center"/>
              <w:rPr>
                <w:rFonts w:ascii="宋体" w:hAnsi="宋体" w:cs="宋体"/>
                <w:color w:val="auto"/>
                <w:kern w:val="0"/>
                <w:highlight w:val="none"/>
              </w:rPr>
            </w:pPr>
            <w:r>
              <w:rPr>
                <w:rFonts w:hint="eastAsia" w:ascii="宋体" w:hAnsi="宋体" w:cs="宋体"/>
                <w:color w:val="auto"/>
                <w:kern w:val="0"/>
                <w:highlight w:val="none"/>
              </w:rPr>
              <w:t>(</w:t>
            </w:r>
            <w:r>
              <w:rPr>
                <w:rFonts w:ascii="宋体" w:hAnsi="宋体" w:cs="宋体"/>
                <w:color w:val="auto"/>
                <w:kern w:val="0"/>
                <w:highlight w:val="none"/>
              </w:rPr>
              <w:t>8</w:t>
            </w:r>
            <w:r>
              <w:rPr>
                <w:rFonts w:hint="eastAsia" w:ascii="宋体" w:hAnsi="宋体" w:cs="宋体"/>
                <w:color w:val="auto"/>
                <w:kern w:val="0"/>
                <w:highlight w:val="none"/>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auto"/>
                <w:kern w:val="0"/>
                <w:highlight w:val="none"/>
              </w:rPr>
            </w:pPr>
          </w:p>
        </w:tc>
        <w:tc>
          <w:tcPr>
            <w:tcW w:w="11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auto"/>
                <w:kern w:val="0"/>
                <w:highlight w:val="none"/>
              </w:rPr>
            </w:pPr>
          </w:p>
        </w:tc>
      </w:tr>
      <w:tr>
        <w:tblPrEx>
          <w:tblLayout w:type="fixed"/>
          <w:tblCellMar>
            <w:top w:w="15" w:type="dxa"/>
            <w:left w:w="15" w:type="dxa"/>
            <w:bottom w:w="15" w:type="dxa"/>
            <w:right w:w="15" w:type="dxa"/>
          </w:tblCellMar>
        </w:tblPrEx>
        <w:trPr>
          <w:gridAfter w:val="1"/>
          <w:wAfter w:w="11" w:type="dxa"/>
          <w:trHeight w:val="360" w:hRule="atLeast"/>
        </w:trPr>
        <w:tc>
          <w:tcPr>
            <w:tcW w:w="724" w:type="dxa"/>
            <w:tcBorders>
              <w:top w:val="single" w:color="000000" w:sz="4" w:space="0"/>
              <w:left w:val="single" w:color="000000" w:sz="4" w:space="0"/>
              <w:bottom w:val="single" w:color="000000" w:sz="4" w:space="0"/>
            </w:tcBorders>
            <w:shd w:val="clear" w:color="auto" w:fill="auto"/>
            <w:vAlign w:val="center"/>
          </w:tcPr>
          <w:p>
            <w:pPr>
              <w:widowControl/>
              <w:jc w:val="center"/>
              <w:rPr>
                <w:rFonts w:ascii="宋体" w:hAnsi="宋体" w:cs="宋体"/>
                <w:color w:val="auto"/>
                <w:kern w:val="0"/>
                <w:highlight w:val="none"/>
              </w:rPr>
            </w:pPr>
            <w:r>
              <w:rPr>
                <w:rFonts w:hint="eastAsia" w:ascii="宋体" w:hAnsi="宋体" w:cs="宋体"/>
                <w:color w:val="auto"/>
                <w:kern w:val="0"/>
                <w:highlight w:val="none"/>
              </w:rPr>
              <w:t>1</w:t>
            </w:r>
          </w:p>
        </w:tc>
        <w:tc>
          <w:tcPr>
            <w:tcW w:w="2835"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auto"/>
                <w:kern w:val="0"/>
                <w:highlight w:val="none"/>
              </w:rPr>
            </w:pPr>
          </w:p>
        </w:tc>
        <w:tc>
          <w:tcPr>
            <w:tcW w:w="1002"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r>
      <w:tr>
        <w:tblPrEx>
          <w:tblLayout w:type="fixed"/>
          <w:tblCellMar>
            <w:top w:w="15" w:type="dxa"/>
            <w:left w:w="15" w:type="dxa"/>
            <w:bottom w:w="15" w:type="dxa"/>
            <w:right w:w="15" w:type="dxa"/>
          </w:tblCellMar>
        </w:tblPrEx>
        <w:trPr>
          <w:gridAfter w:val="1"/>
          <w:wAfter w:w="11" w:type="dxa"/>
          <w:trHeight w:val="360" w:hRule="atLeast"/>
        </w:trPr>
        <w:tc>
          <w:tcPr>
            <w:tcW w:w="724" w:type="dxa"/>
            <w:tcBorders>
              <w:top w:val="single" w:color="000000" w:sz="4" w:space="0"/>
              <w:left w:val="single" w:color="000000" w:sz="4" w:space="0"/>
              <w:bottom w:val="single" w:color="000000" w:sz="4" w:space="0"/>
            </w:tcBorders>
            <w:shd w:val="clear" w:color="auto" w:fill="auto"/>
            <w:vAlign w:val="center"/>
          </w:tcPr>
          <w:p>
            <w:pPr>
              <w:widowControl/>
              <w:jc w:val="center"/>
              <w:rPr>
                <w:rFonts w:ascii="宋体" w:hAnsi="宋体" w:cs="宋体"/>
                <w:color w:val="auto"/>
                <w:kern w:val="0"/>
                <w:highlight w:val="none"/>
              </w:rPr>
            </w:pPr>
            <w:r>
              <w:rPr>
                <w:rFonts w:hint="eastAsia" w:ascii="宋体" w:hAnsi="宋体" w:cs="宋体"/>
                <w:color w:val="auto"/>
                <w:kern w:val="0"/>
                <w:highlight w:val="none"/>
              </w:rPr>
              <w:t>2</w:t>
            </w:r>
          </w:p>
        </w:tc>
        <w:tc>
          <w:tcPr>
            <w:tcW w:w="2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auto"/>
                <w:kern w:val="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r>
      <w:tr>
        <w:tblPrEx>
          <w:tblLayout w:type="fixed"/>
          <w:tblCellMar>
            <w:top w:w="15" w:type="dxa"/>
            <w:left w:w="15" w:type="dxa"/>
            <w:bottom w:w="15" w:type="dxa"/>
            <w:right w:w="15" w:type="dxa"/>
          </w:tblCellMar>
        </w:tblPrEx>
        <w:trPr>
          <w:gridAfter w:val="1"/>
          <w:wAfter w:w="11" w:type="dxa"/>
          <w:trHeight w:val="360" w:hRule="atLeast"/>
        </w:trPr>
        <w:tc>
          <w:tcPr>
            <w:tcW w:w="724" w:type="dxa"/>
            <w:tcBorders>
              <w:top w:val="single" w:color="000000" w:sz="4" w:space="0"/>
              <w:left w:val="single" w:color="000000" w:sz="4" w:space="0"/>
              <w:bottom w:val="single" w:color="000000" w:sz="4" w:space="0"/>
            </w:tcBorders>
            <w:shd w:val="clear" w:color="auto" w:fill="auto"/>
            <w:vAlign w:val="center"/>
          </w:tcPr>
          <w:p>
            <w:pPr>
              <w:widowControl/>
              <w:jc w:val="center"/>
              <w:rPr>
                <w:rFonts w:ascii="宋体" w:hAnsi="宋体" w:cs="宋体"/>
                <w:color w:val="auto"/>
                <w:kern w:val="0"/>
                <w:highlight w:val="none"/>
              </w:rPr>
            </w:pPr>
            <w:r>
              <w:rPr>
                <w:rFonts w:hint="eastAsia" w:ascii="宋体" w:hAnsi="宋体" w:cs="宋体"/>
                <w:color w:val="auto"/>
                <w:kern w:val="0"/>
                <w:highlight w:val="none"/>
              </w:rPr>
              <w:t>3</w:t>
            </w:r>
          </w:p>
        </w:tc>
        <w:tc>
          <w:tcPr>
            <w:tcW w:w="2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auto"/>
                <w:kern w:val="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r>
      <w:tr>
        <w:tblPrEx>
          <w:tblLayout w:type="fixed"/>
          <w:tblCellMar>
            <w:top w:w="15" w:type="dxa"/>
            <w:left w:w="15" w:type="dxa"/>
            <w:bottom w:w="15" w:type="dxa"/>
            <w:right w:w="15" w:type="dxa"/>
          </w:tblCellMar>
        </w:tblPrEx>
        <w:trPr>
          <w:gridAfter w:val="1"/>
          <w:wAfter w:w="11" w:type="dxa"/>
          <w:trHeight w:val="360" w:hRule="atLeast"/>
        </w:trPr>
        <w:tc>
          <w:tcPr>
            <w:tcW w:w="724" w:type="dxa"/>
            <w:tcBorders>
              <w:top w:val="single" w:color="000000" w:sz="4" w:space="0"/>
              <w:left w:val="single" w:color="000000" w:sz="4" w:space="0"/>
              <w:bottom w:val="single" w:color="000000" w:sz="4" w:space="0"/>
            </w:tcBorders>
            <w:shd w:val="clear" w:color="auto" w:fill="auto"/>
            <w:vAlign w:val="center"/>
          </w:tcPr>
          <w:p>
            <w:pPr>
              <w:widowControl/>
              <w:jc w:val="center"/>
              <w:rPr>
                <w:rFonts w:ascii="宋体" w:hAnsi="宋体" w:cs="宋体"/>
                <w:color w:val="auto"/>
                <w:kern w:val="0"/>
                <w:highlight w:val="none"/>
              </w:rPr>
            </w:pPr>
            <w:r>
              <w:rPr>
                <w:rFonts w:hint="eastAsia" w:ascii="宋体" w:hAnsi="宋体" w:cs="宋体"/>
                <w:color w:val="auto"/>
                <w:kern w:val="0"/>
                <w:highlight w:val="none"/>
              </w:rPr>
              <w:t>4</w:t>
            </w:r>
          </w:p>
        </w:tc>
        <w:tc>
          <w:tcPr>
            <w:tcW w:w="2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auto"/>
                <w:kern w:val="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r>
      <w:tr>
        <w:tblPrEx>
          <w:tblLayout w:type="fixed"/>
          <w:tblCellMar>
            <w:top w:w="15" w:type="dxa"/>
            <w:left w:w="15" w:type="dxa"/>
            <w:bottom w:w="15" w:type="dxa"/>
            <w:right w:w="15" w:type="dxa"/>
          </w:tblCellMar>
        </w:tblPrEx>
        <w:trPr>
          <w:gridAfter w:val="1"/>
          <w:wAfter w:w="11" w:type="dxa"/>
          <w:trHeight w:val="360" w:hRule="atLeast"/>
        </w:trPr>
        <w:tc>
          <w:tcPr>
            <w:tcW w:w="724" w:type="dxa"/>
            <w:tcBorders>
              <w:top w:val="single" w:color="000000" w:sz="4" w:space="0"/>
              <w:left w:val="single" w:color="000000" w:sz="4" w:space="0"/>
              <w:bottom w:val="single" w:color="000000" w:sz="4" w:space="0"/>
            </w:tcBorders>
            <w:shd w:val="clear" w:color="auto" w:fill="auto"/>
            <w:vAlign w:val="center"/>
          </w:tcPr>
          <w:p>
            <w:pPr>
              <w:widowControl/>
              <w:jc w:val="center"/>
              <w:rPr>
                <w:rFonts w:ascii="宋体" w:hAnsi="宋体" w:cs="宋体"/>
                <w:color w:val="auto"/>
                <w:kern w:val="0"/>
                <w:highlight w:val="none"/>
              </w:rPr>
            </w:pPr>
            <w:r>
              <w:rPr>
                <w:rFonts w:hint="eastAsia" w:ascii="宋体" w:hAnsi="宋体" w:cs="宋体"/>
                <w:color w:val="auto"/>
                <w:kern w:val="0"/>
                <w:highlight w:val="none"/>
              </w:rPr>
              <w:t>5</w:t>
            </w:r>
          </w:p>
        </w:tc>
        <w:tc>
          <w:tcPr>
            <w:tcW w:w="2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auto"/>
                <w:kern w:val="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r>
      <w:tr>
        <w:tblPrEx>
          <w:tblLayout w:type="fixed"/>
          <w:tblCellMar>
            <w:top w:w="15" w:type="dxa"/>
            <w:left w:w="15" w:type="dxa"/>
            <w:bottom w:w="15" w:type="dxa"/>
            <w:right w:w="15" w:type="dxa"/>
          </w:tblCellMar>
        </w:tblPrEx>
        <w:trPr>
          <w:gridAfter w:val="1"/>
          <w:wAfter w:w="11" w:type="dxa"/>
          <w:trHeight w:val="360" w:hRule="atLeast"/>
        </w:trPr>
        <w:tc>
          <w:tcPr>
            <w:tcW w:w="724" w:type="dxa"/>
            <w:tcBorders>
              <w:top w:val="single" w:color="000000" w:sz="4" w:space="0"/>
              <w:left w:val="single" w:color="000000" w:sz="4" w:space="0"/>
              <w:bottom w:val="single" w:color="000000" w:sz="4" w:space="0"/>
            </w:tcBorders>
            <w:shd w:val="clear" w:color="auto" w:fill="auto"/>
            <w:vAlign w:val="center"/>
          </w:tcPr>
          <w:p>
            <w:pPr>
              <w:widowControl/>
              <w:jc w:val="center"/>
              <w:rPr>
                <w:rFonts w:ascii="宋体" w:hAnsi="宋体" w:cs="宋体"/>
                <w:color w:val="auto"/>
                <w:kern w:val="0"/>
                <w:highlight w:val="none"/>
              </w:rPr>
            </w:pPr>
            <w:r>
              <w:rPr>
                <w:rFonts w:hint="eastAsia" w:ascii="宋体" w:hAnsi="宋体" w:cs="宋体"/>
                <w:color w:val="auto"/>
                <w:kern w:val="0"/>
                <w:highlight w:val="none"/>
              </w:rPr>
              <w:t>6</w:t>
            </w:r>
          </w:p>
        </w:tc>
        <w:tc>
          <w:tcPr>
            <w:tcW w:w="2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auto"/>
                <w:kern w:val="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r>
      <w:tr>
        <w:tblPrEx>
          <w:tblLayout w:type="fixed"/>
          <w:tblCellMar>
            <w:top w:w="15" w:type="dxa"/>
            <w:left w:w="15" w:type="dxa"/>
            <w:bottom w:w="15" w:type="dxa"/>
            <w:right w:w="15" w:type="dxa"/>
          </w:tblCellMar>
        </w:tblPrEx>
        <w:trPr>
          <w:gridAfter w:val="1"/>
          <w:wAfter w:w="11" w:type="dxa"/>
          <w:trHeight w:val="360" w:hRule="atLeast"/>
        </w:trPr>
        <w:tc>
          <w:tcPr>
            <w:tcW w:w="724" w:type="dxa"/>
            <w:tcBorders>
              <w:top w:val="single" w:color="000000" w:sz="4" w:space="0"/>
              <w:left w:val="single" w:color="000000" w:sz="4" w:space="0"/>
              <w:bottom w:val="single" w:color="000000" w:sz="4" w:space="0"/>
            </w:tcBorders>
            <w:shd w:val="clear" w:color="auto" w:fill="auto"/>
            <w:vAlign w:val="center"/>
          </w:tcPr>
          <w:p>
            <w:pPr>
              <w:widowControl/>
              <w:jc w:val="center"/>
              <w:rPr>
                <w:rFonts w:ascii="宋体" w:hAnsi="宋体" w:cs="宋体"/>
                <w:color w:val="auto"/>
                <w:kern w:val="0"/>
                <w:highlight w:val="none"/>
              </w:rPr>
            </w:pPr>
            <w:r>
              <w:rPr>
                <w:rFonts w:hint="eastAsia" w:ascii="宋体" w:hAnsi="宋体" w:cs="宋体"/>
                <w:color w:val="auto"/>
                <w:kern w:val="0"/>
                <w:highlight w:val="none"/>
              </w:rPr>
              <w:t>7</w:t>
            </w:r>
          </w:p>
        </w:tc>
        <w:tc>
          <w:tcPr>
            <w:tcW w:w="2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auto"/>
                <w:kern w:val="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r>
      <w:tr>
        <w:tblPrEx>
          <w:tblLayout w:type="fixed"/>
          <w:tblCellMar>
            <w:top w:w="15" w:type="dxa"/>
            <w:left w:w="15" w:type="dxa"/>
            <w:bottom w:w="15" w:type="dxa"/>
            <w:right w:w="15" w:type="dxa"/>
          </w:tblCellMar>
        </w:tblPrEx>
        <w:trPr>
          <w:gridAfter w:val="1"/>
          <w:wAfter w:w="11" w:type="dxa"/>
          <w:trHeight w:val="360" w:hRule="atLeast"/>
        </w:trPr>
        <w:tc>
          <w:tcPr>
            <w:tcW w:w="724" w:type="dxa"/>
            <w:tcBorders>
              <w:top w:val="single" w:color="000000" w:sz="4" w:space="0"/>
              <w:left w:val="single" w:color="000000" w:sz="4" w:space="0"/>
              <w:bottom w:val="single" w:color="000000" w:sz="4" w:space="0"/>
            </w:tcBorders>
            <w:shd w:val="clear" w:color="auto" w:fill="auto"/>
            <w:vAlign w:val="center"/>
          </w:tcPr>
          <w:p>
            <w:pPr>
              <w:widowControl/>
              <w:jc w:val="center"/>
              <w:rPr>
                <w:rFonts w:ascii="宋体" w:hAnsi="宋体" w:cs="宋体"/>
                <w:color w:val="auto"/>
                <w:kern w:val="0"/>
                <w:highlight w:val="none"/>
              </w:rPr>
            </w:pPr>
            <w:r>
              <w:rPr>
                <w:rFonts w:hint="eastAsia" w:ascii="宋体" w:hAnsi="宋体" w:cs="宋体"/>
                <w:color w:val="auto"/>
                <w:kern w:val="0"/>
                <w:highlight w:val="none"/>
              </w:rPr>
              <w:t>8</w:t>
            </w:r>
          </w:p>
        </w:tc>
        <w:tc>
          <w:tcPr>
            <w:tcW w:w="2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auto"/>
                <w:kern w:val="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r>
      <w:tr>
        <w:tblPrEx>
          <w:tblLayout w:type="fixed"/>
          <w:tblCellMar>
            <w:top w:w="15" w:type="dxa"/>
            <w:left w:w="15" w:type="dxa"/>
            <w:bottom w:w="15" w:type="dxa"/>
            <w:right w:w="15" w:type="dxa"/>
          </w:tblCellMar>
        </w:tblPrEx>
        <w:trPr>
          <w:gridAfter w:val="1"/>
          <w:wAfter w:w="11" w:type="dxa"/>
          <w:trHeight w:val="360" w:hRule="atLeast"/>
        </w:trPr>
        <w:tc>
          <w:tcPr>
            <w:tcW w:w="724" w:type="dxa"/>
            <w:tcBorders>
              <w:top w:val="single" w:color="000000" w:sz="4" w:space="0"/>
              <w:left w:val="single" w:color="000000" w:sz="4" w:space="0"/>
              <w:bottom w:val="single" w:color="000000" w:sz="4" w:space="0"/>
            </w:tcBorders>
            <w:shd w:val="clear" w:color="auto" w:fill="auto"/>
            <w:vAlign w:val="center"/>
          </w:tcPr>
          <w:p>
            <w:pPr>
              <w:widowControl/>
              <w:jc w:val="center"/>
              <w:rPr>
                <w:rFonts w:ascii="宋体" w:hAnsi="宋体" w:cs="宋体"/>
                <w:color w:val="auto"/>
                <w:kern w:val="0"/>
                <w:highlight w:val="none"/>
              </w:rPr>
            </w:pPr>
            <w:r>
              <w:rPr>
                <w:rFonts w:hint="eastAsia" w:ascii="宋体" w:hAnsi="宋体" w:cs="宋体"/>
                <w:color w:val="auto"/>
                <w:kern w:val="0"/>
                <w:highlight w:val="none"/>
              </w:rPr>
              <w:t>9</w:t>
            </w:r>
          </w:p>
        </w:tc>
        <w:tc>
          <w:tcPr>
            <w:tcW w:w="2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auto"/>
                <w:kern w:val="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r>
      <w:tr>
        <w:tblPrEx>
          <w:tblLayout w:type="fixed"/>
          <w:tblCellMar>
            <w:top w:w="15" w:type="dxa"/>
            <w:left w:w="15" w:type="dxa"/>
            <w:bottom w:w="15" w:type="dxa"/>
            <w:right w:w="15" w:type="dxa"/>
          </w:tblCellMar>
        </w:tblPrEx>
        <w:trPr>
          <w:gridAfter w:val="1"/>
          <w:wAfter w:w="11" w:type="dxa"/>
          <w:trHeight w:val="360" w:hRule="atLeast"/>
        </w:trPr>
        <w:tc>
          <w:tcPr>
            <w:tcW w:w="724" w:type="dxa"/>
            <w:tcBorders>
              <w:top w:val="single" w:color="000000" w:sz="4" w:space="0"/>
              <w:left w:val="single" w:color="000000" w:sz="4" w:space="0"/>
              <w:bottom w:val="single" w:color="000000" w:sz="4" w:space="0"/>
            </w:tcBorders>
            <w:shd w:val="clear" w:color="auto" w:fill="auto"/>
            <w:vAlign w:val="center"/>
          </w:tcPr>
          <w:p>
            <w:pPr>
              <w:widowControl/>
              <w:jc w:val="center"/>
              <w:rPr>
                <w:rFonts w:ascii="宋体" w:hAnsi="宋体" w:cs="宋体"/>
                <w:color w:val="auto"/>
                <w:kern w:val="0"/>
                <w:highlight w:val="none"/>
              </w:rPr>
            </w:pPr>
            <w:r>
              <w:rPr>
                <w:rFonts w:hint="eastAsia" w:ascii="宋体" w:hAnsi="宋体" w:cs="宋体"/>
                <w:color w:val="auto"/>
                <w:kern w:val="0"/>
                <w:highlight w:val="none"/>
              </w:rPr>
              <w:t>10</w:t>
            </w:r>
          </w:p>
        </w:tc>
        <w:tc>
          <w:tcPr>
            <w:tcW w:w="2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auto"/>
                <w:kern w:val="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Times New Roman"/>
                <w:color w:val="auto"/>
                <w:kern w:val="0"/>
                <w:sz w:val="20"/>
                <w:szCs w:val="20"/>
                <w:highlight w:val="none"/>
              </w:rPr>
            </w:pPr>
          </w:p>
        </w:tc>
      </w:tr>
      <w:tr>
        <w:tblPrEx>
          <w:tblLayout w:type="fixed"/>
          <w:tblCellMar>
            <w:top w:w="15" w:type="dxa"/>
            <w:left w:w="15" w:type="dxa"/>
            <w:bottom w:w="15" w:type="dxa"/>
            <w:right w:w="15" w:type="dxa"/>
          </w:tblCellMar>
        </w:tblPrEx>
        <w:trPr>
          <w:trHeight w:val="510" w:hRule="atLeast"/>
        </w:trPr>
        <w:tc>
          <w:tcPr>
            <w:tcW w:w="13572" w:type="dxa"/>
            <w:gridSpan w:val="14"/>
            <w:shd w:val="clear" w:color="auto" w:fill="auto"/>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评标委员会全体成员签名：</w:t>
            </w:r>
            <w:r>
              <w:rPr>
                <w:color w:val="auto"/>
                <w:kern w:val="0"/>
                <w:sz w:val="24"/>
                <w:highlight w:val="none"/>
              </w:rPr>
              <w:t xml:space="preserve">                                                                                                                                                                   </w:t>
            </w:r>
          </w:p>
        </w:tc>
      </w:tr>
    </w:tbl>
    <w:p>
      <w:pPr>
        <w:widowControl/>
        <w:jc w:val="left"/>
        <w:rPr>
          <w:rFonts w:ascii="宋体" w:hAnsi="宋体" w:cs="宋体"/>
          <w:color w:val="auto"/>
          <w:kern w:val="0"/>
          <w:sz w:val="24"/>
          <w:highlight w:val="none"/>
        </w:rPr>
        <w:sectPr>
          <w:pgSz w:w="16840" w:h="11907" w:orient="landscape"/>
          <w:pgMar w:top="1440" w:right="1440" w:bottom="1440" w:left="1797" w:header="851" w:footer="851" w:gutter="0"/>
          <w:cols w:space="720" w:num="1"/>
          <w:docGrid w:linePitch="312" w:charSpace="0"/>
        </w:sectPr>
      </w:pPr>
    </w:p>
    <w:tbl>
      <w:tblPr>
        <w:tblStyle w:val="42"/>
        <w:tblpPr w:leftFromText="180" w:rightFromText="180" w:horzAnchor="margin" w:tblpY="495"/>
        <w:tblW w:w="13561" w:type="dxa"/>
        <w:tblInd w:w="0" w:type="dxa"/>
        <w:tblLayout w:type="fixed"/>
        <w:tblCellMar>
          <w:top w:w="15" w:type="dxa"/>
          <w:left w:w="15" w:type="dxa"/>
          <w:bottom w:w="15" w:type="dxa"/>
          <w:right w:w="15" w:type="dxa"/>
        </w:tblCellMar>
      </w:tblPr>
      <w:tblGrid>
        <w:gridCol w:w="449"/>
        <w:gridCol w:w="3110"/>
        <w:gridCol w:w="780"/>
        <w:gridCol w:w="930"/>
        <w:gridCol w:w="810"/>
        <w:gridCol w:w="820"/>
        <w:gridCol w:w="850"/>
        <w:gridCol w:w="851"/>
        <w:gridCol w:w="992"/>
        <w:gridCol w:w="992"/>
        <w:gridCol w:w="992"/>
        <w:gridCol w:w="851"/>
        <w:gridCol w:w="1134"/>
      </w:tblGrid>
      <w:tr>
        <w:tblPrEx>
          <w:tblLayout w:type="fixed"/>
          <w:tblCellMar>
            <w:top w:w="15" w:type="dxa"/>
            <w:left w:w="15" w:type="dxa"/>
            <w:bottom w:w="15" w:type="dxa"/>
            <w:right w:w="15" w:type="dxa"/>
          </w:tblCellMar>
        </w:tblPrEx>
        <w:trPr>
          <w:trHeight w:val="285" w:hRule="atLeast"/>
        </w:trPr>
        <w:tc>
          <w:tcPr>
            <w:tcW w:w="449" w:type="dxa"/>
            <w:shd w:val="clear" w:color="auto" w:fill="auto"/>
            <w:vAlign w:val="bottom"/>
          </w:tcPr>
          <w:p>
            <w:pPr>
              <w:widowControl/>
              <w:jc w:val="left"/>
              <w:rPr>
                <w:rFonts w:ascii="宋体" w:hAnsi="宋体" w:cs="宋体"/>
                <w:color w:val="auto"/>
                <w:kern w:val="0"/>
                <w:sz w:val="24"/>
                <w:highlight w:val="none"/>
              </w:rPr>
            </w:pPr>
          </w:p>
        </w:tc>
        <w:tc>
          <w:tcPr>
            <w:tcW w:w="3110" w:type="dxa"/>
            <w:shd w:val="clear" w:color="auto" w:fill="auto"/>
            <w:vAlign w:val="bottom"/>
          </w:tcPr>
          <w:p>
            <w:pPr>
              <w:widowControl/>
              <w:jc w:val="left"/>
              <w:rPr>
                <w:rFonts w:eastAsia="Times New Roman"/>
                <w:color w:val="auto"/>
                <w:kern w:val="0"/>
                <w:sz w:val="20"/>
                <w:szCs w:val="20"/>
                <w:highlight w:val="none"/>
              </w:rPr>
            </w:pPr>
          </w:p>
        </w:tc>
        <w:tc>
          <w:tcPr>
            <w:tcW w:w="780" w:type="dxa"/>
            <w:shd w:val="clear" w:color="auto" w:fill="auto"/>
            <w:vAlign w:val="bottom"/>
          </w:tcPr>
          <w:p>
            <w:pPr>
              <w:widowControl/>
              <w:jc w:val="left"/>
              <w:rPr>
                <w:rFonts w:eastAsia="Times New Roman"/>
                <w:color w:val="auto"/>
                <w:kern w:val="0"/>
                <w:sz w:val="20"/>
                <w:szCs w:val="20"/>
                <w:highlight w:val="none"/>
              </w:rPr>
            </w:pPr>
          </w:p>
        </w:tc>
        <w:tc>
          <w:tcPr>
            <w:tcW w:w="930" w:type="dxa"/>
            <w:shd w:val="clear" w:color="auto" w:fill="auto"/>
            <w:vAlign w:val="bottom"/>
          </w:tcPr>
          <w:p>
            <w:pPr>
              <w:widowControl/>
              <w:jc w:val="left"/>
              <w:rPr>
                <w:rFonts w:eastAsia="Times New Roman"/>
                <w:color w:val="auto"/>
                <w:kern w:val="0"/>
                <w:sz w:val="20"/>
                <w:szCs w:val="20"/>
                <w:highlight w:val="none"/>
              </w:rPr>
            </w:pPr>
          </w:p>
        </w:tc>
        <w:tc>
          <w:tcPr>
            <w:tcW w:w="810" w:type="dxa"/>
            <w:shd w:val="clear" w:color="auto" w:fill="auto"/>
            <w:vAlign w:val="bottom"/>
          </w:tcPr>
          <w:p>
            <w:pPr>
              <w:widowControl/>
              <w:jc w:val="left"/>
              <w:rPr>
                <w:rFonts w:eastAsia="Times New Roman"/>
                <w:color w:val="auto"/>
                <w:kern w:val="0"/>
                <w:sz w:val="20"/>
                <w:szCs w:val="20"/>
                <w:highlight w:val="none"/>
              </w:rPr>
            </w:pPr>
          </w:p>
        </w:tc>
        <w:tc>
          <w:tcPr>
            <w:tcW w:w="820" w:type="dxa"/>
            <w:shd w:val="clear" w:color="auto" w:fill="auto"/>
            <w:vAlign w:val="bottom"/>
          </w:tcPr>
          <w:p>
            <w:pPr>
              <w:widowControl/>
              <w:jc w:val="left"/>
              <w:rPr>
                <w:rFonts w:eastAsia="Times New Roman"/>
                <w:color w:val="auto"/>
                <w:kern w:val="0"/>
                <w:sz w:val="20"/>
                <w:szCs w:val="20"/>
                <w:highlight w:val="none"/>
              </w:rPr>
            </w:pPr>
          </w:p>
        </w:tc>
        <w:tc>
          <w:tcPr>
            <w:tcW w:w="850" w:type="dxa"/>
            <w:shd w:val="clear" w:color="auto" w:fill="auto"/>
            <w:vAlign w:val="bottom"/>
          </w:tcPr>
          <w:p>
            <w:pPr>
              <w:widowControl/>
              <w:jc w:val="left"/>
              <w:rPr>
                <w:rFonts w:eastAsia="Times New Roman"/>
                <w:color w:val="auto"/>
                <w:kern w:val="0"/>
                <w:sz w:val="20"/>
                <w:szCs w:val="20"/>
                <w:highlight w:val="none"/>
              </w:rPr>
            </w:pPr>
          </w:p>
        </w:tc>
        <w:tc>
          <w:tcPr>
            <w:tcW w:w="851" w:type="dxa"/>
            <w:shd w:val="clear" w:color="auto" w:fill="auto"/>
            <w:vAlign w:val="bottom"/>
          </w:tcPr>
          <w:p>
            <w:pPr>
              <w:widowControl/>
              <w:jc w:val="left"/>
              <w:rPr>
                <w:rFonts w:eastAsia="Times New Roman"/>
                <w:color w:val="auto"/>
                <w:kern w:val="0"/>
                <w:sz w:val="20"/>
                <w:szCs w:val="20"/>
                <w:highlight w:val="none"/>
              </w:rPr>
            </w:pPr>
          </w:p>
        </w:tc>
        <w:tc>
          <w:tcPr>
            <w:tcW w:w="992" w:type="dxa"/>
            <w:shd w:val="clear" w:color="auto" w:fill="auto"/>
            <w:vAlign w:val="bottom"/>
          </w:tcPr>
          <w:p>
            <w:pPr>
              <w:widowControl/>
              <w:jc w:val="left"/>
              <w:rPr>
                <w:rFonts w:eastAsia="Times New Roman"/>
                <w:color w:val="auto"/>
                <w:kern w:val="0"/>
                <w:sz w:val="20"/>
                <w:szCs w:val="20"/>
                <w:highlight w:val="none"/>
              </w:rPr>
            </w:pPr>
          </w:p>
        </w:tc>
        <w:tc>
          <w:tcPr>
            <w:tcW w:w="992" w:type="dxa"/>
            <w:shd w:val="clear" w:color="auto" w:fill="auto"/>
          </w:tcPr>
          <w:p>
            <w:pPr>
              <w:widowControl/>
              <w:jc w:val="left"/>
              <w:rPr>
                <w:rFonts w:eastAsia="Times New Roman"/>
                <w:color w:val="auto"/>
                <w:kern w:val="0"/>
                <w:sz w:val="20"/>
                <w:szCs w:val="20"/>
                <w:highlight w:val="none"/>
              </w:rPr>
            </w:pPr>
          </w:p>
        </w:tc>
        <w:tc>
          <w:tcPr>
            <w:tcW w:w="992" w:type="dxa"/>
            <w:shd w:val="clear" w:color="auto" w:fill="auto"/>
            <w:vAlign w:val="bottom"/>
          </w:tcPr>
          <w:p>
            <w:pPr>
              <w:widowControl/>
              <w:jc w:val="left"/>
              <w:rPr>
                <w:rFonts w:eastAsia="Times New Roman"/>
                <w:color w:val="auto"/>
                <w:kern w:val="0"/>
                <w:sz w:val="20"/>
                <w:szCs w:val="20"/>
                <w:highlight w:val="none"/>
              </w:rPr>
            </w:pPr>
          </w:p>
        </w:tc>
        <w:tc>
          <w:tcPr>
            <w:tcW w:w="851" w:type="dxa"/>
            <w:shd w:val="clear" w:color="auto" w:fill="auto"/>
            <w:vAlign w:val="bottom"/>
          </w:tcPr>
          <w:p>
            <w:pPr>
              <w:widowControl/>
              <w:jc w:val="left"/>
              <w:rPr>
                <w:rFonts w:eastAsia="Times New Roman"/>
                <w:color w:val="auto"/>
                <w:kern w:val="0"/>
                <w:sz w:val="20"/>
                <w:szCs w:val="20"/>
                <w:highlight w:val="none"/>
              </w:rPr>
            </w:pPr>
          </w:p>
        </w:tc>
        <w:tc>
          <w:tcPr>
            <w:tcW w:w="1134" w:type="dxa"/>
            <w:shd w:val="clear" w:color="auto" w:fill="auto"/>
            <w:vAlign w:val="bottom"/>
          </w:tcPr>
          <w:p>
            <w:pPr>
              <w:widowControl/>
              <w:jc w:val="left"/>
              <w:rPr>
                <w:rFonts w:eastAsia="Times New Roman"/>
                <w:color w:val="auto"/>
                <w:kern w:val="0"/>
                <w:sz w:val="20"/>
                <w:szCs w:val="20"/>
                <w:highlight w:val="none"/>
              </w:rPr>
            </w:pPr>
          </w:p>
        </w:tc>
      </w:tr>
    </w:tbl>
    <w:p>
      <w:pPr>
        <w:spacing w:line="440" w:lineRule="exact"/>
        <w:rPr>
          <w:rFonts w:cs="宋体"/>
          <w:b/>
          <w:color w:val="auto"/>
          <w:highlight w:val="none"/>
        </w:rPr>
      </w:pPr>
      <w:r>
        <w:rPr>
          <w:rFonts w:hint="eastAsia" w:cs="宋体"/>
          <w:b/>
          <w:color w:val="auto"/>
          <w:highlight w:val="none"/>
        </w:rPr>
        <w:t>附表</w:t>
      </w:r>
      <w:r>
        <w:rPr>
          <w:b/>
          <w:color w:val="auto"/>
          <w:highlight w:val="none"/>
        </w:rPr>
        <w:t>A-3</w:t>
      </w:r>
      <w:r>
        <w:rPr>
          <w:rFonts w:hint="eastAsia" w:cs="宋体"/>
          <w:b/>
          <w:color w:val="auto"/>
          <w:highlight w:val="none"/>
        </w:rPr>
        <w:t>：资格审查评审记录表</w:t>
      </w:r>
    </w:p>
    <w:p>
      <w:pPr>
        <w:spacing w:line="440" w:lineRule="exact"/>
        <w:jc w:val="center"/>
        <w:rPr>
          <w:color w:val="auto"/>
          <w:highlight w:val="none"/>
        </w:rPr>
      </w:pPr>
      <w:r>
        <w:rPr>
          <w:rFonts w:hint="eastAsia" w:eastAsia="黑体" w:cs="黑体"/>
          <w:color w:val="auto"/>
          <w:sz w:val="28"/>
          <w:szCs w:val="28"/>
          <w:highlight w:val="none"/>
        </w:rPr>
        <w:t>资格审查评审记录表二（有限数量制）</w:t>
      </w:r>
    </w:p>
    <w:p>
      <w:pPr>
        <w:spacing w:afterLines="30" w:line="440" w:lineRule="exact"/>
        <w:rPr>
          <w:color w:val="auto"/>
          <w:highlight w:val="none"/>
        </w:rPr>
      </w:pPr>
      <w:r>
        <w:rPr>
          <w:rFonts w:hint="eastAsia" w:cs="宋体"/>
          <w:color w:val="auto"/>
          <w:highlight w:val="none"/>
        </w:rPr>
        <w:t>项目名称及项目招标编号：</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2"/>
        <w:tblW w:w="144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3360"/>
        <w:gridCol w:w="1005"/>
        <w:gridCol w:w="993"/>
        <w:gridCol w:w="992"/>
        <w:gridCol w:w="1134"/>
        <w:gridCol w:w="1134"/>
        <w:gridCol w:w="1134"/>
        <w:gridCol w:w="1134"/>
        <w:gridCol w:w="1134"/>
        <w:gridCol w:w="850"/>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738" w:type="dxa"/>
            <w:shd w:val="clear" w:color="auto" w:fill="auto"/>
            <w:vAlign w:val="center"/>
          </w:tcPr>
          <w:p>
            <w:pPr>
              <w:spacing w:line="440" w:lineRule="atLeast"/>
              <w:jc w:val="center"/>
              <w:rPr>
                <w:color w:val="auto"/>
                <w:highlight w:val="none"/>
              </w:rPr>
            </w:pPr>
            <w:r>
              <w:rPr>
                <w:rFonts w:hint="eastAsia" w:cs="宋体"/>
                <w:color w:val="auto"/>
                <w:highlight w:val="none"/>
              </w:rPr>
              <w:t>序号</w:t>
            </w:r>
          </w:p>
        </w:tc>
        <w:tc>
          <w:tcPr>
            <w:tcW w:w="3360" w:type="dxa"/>
            <w:shd w:val="clear" w:color="auto" w:fill="auto"/>
            <w:vAlign w:val="center"/>
          </w:tcPr>
          <w:p>
            <w:pPr>
              <w:spacing w:line="440" w:lineRule="atLeast"/>
              <w:jc w:val="center"/>
              <w:rPr>
                <w:color w:val="auto"/>
                <w:highlight w:val="none"/>
              </w:rPr>
            </w:pPr>
            <w:r>
              <w:rPr>
                <w:rFonts w:hint="eastAsia" w:cs="宋体"/>
                <w:color w:val="auto"/>
                <w:highlight w:val="none"/>
              </w:rPr>
              <w:t>评审因素</w:t>
            </w:r>
          </w:p>
        </w:tc>
        <w:tc>
          <w:tcPr>
            <w:tcW w:w="9510" w:type="dxa"/>
            <w:gridSpan w:val="9"/>
            <w:shd w:val="clear" w:color="auto" w:fill="auto"/>
            <w:vAlign w:val="center"/>
          </w:tcPr>
          <w:p>
            <w:pPr>
              <w:spacing w:line="440" w:lineRule="atLeast"/>
              <w:jc w:val="center"/>
              <w:rPr>
                <w:color w:val="auto"/>
                <w:highlight w:val="none"/>
              </w:rPr>
            </w:pPr>
            <w:r>
              <w:rPr>
                <w:rFonts w:hint="eastAsia" w:cs="宋体"/>
                <w:color w:val="auto"/>
                <w:highlight w:val="none"/>
              </w:rPr>
              <w:t>投标人名称及评审意见</w:t>
            </w:r>
          </w:p>
        </w:tc>
        <w:tc>
          <w:tcPr>
            <w:tcW w:w="851" w:type="dxa"/>
            <w:shd w:val="clear" w:color="auto" w:fill="auto"/>
          </w:tcPr>
          <w:p>
            <w:pPr>
              <w:spacing w:line="440" w:lineRule="atLeast"/>
              <w:jc w:val="center"/>
              <w:rPr>
                <w:rFonts w:cs="宋体"/>
                <w:color w:val="auto"/>
                <w:highlight w:val="none"/>
              </w:rPr>
            </w:pPr>
            <w:r>
              <w:rPr>
                <w:rFonts w:hint="eastAsia" w:cs="宋体"/>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738" w:type="dxa"/>
            <w:shd w:val="clear" w:color="auto" w:fill="auto"/>
            <w:vAlign w:val="center"/>
          </w:tcPr>
          <w:p>
            <w:pPr>
              <w:spacing w:line="380" w:lineRule="atLeast"/>
              <w:jc w:val="center"/>
              <w:rPr>
                <w:color w:val="auto"/>
                <w:highlight w:val="none"/>
              </w:rPr>
            </w:pPr>
            <w:r>
              <w:rPr>
                <w:color w:val="auto"/>
                <w:highlight w:val="none"/>
              </w:rPr>
              <w:t>1</w:t>
            </w:r>
          </w:p>
        </w:tc>
        <w:tc>
          <w:tcPr>
            <w:tcW w:w="3360" w:type="dxa"/>
            <w:shd w:val="clear" w:color="auto" w:fill="auto"/>
          </w:tcPr>
          <w:p>
            <w:pPr>
              <w:spacing w:line="380" w:lineRule="atLeast"/>
              <w:jc w:val="center"/>
              <w:rPr>
                <w:rFonts w:cs="宋体"/>
                <w:color w:val="auto"/>
                <w:highlight w:val="none"/>
              </w:rPr>
            </w:pPr>
            <w:r>
              <w:rPr>
                <w:rFonts w:hint="eastAsia" w:cs="宋体"/>
                <w:color w:val="auto"/>
                <w:highlight w:val="none"/>
              </w:rPr>
              <w:t>（一）企业基本情况</w:t>
            </w:r>
          </w:p>
          <w:p>
            <w:pPr>
              <w:spacing w:line="380" w:lineRule="atLeast"/>
              <w:jc w:val="center"/>
              <w:rPr>
                <w:color w:val="auto"/>
                <w:highlight w:val="none"/>
                <w:u w:val="single"/>
              </w:rPr>
            </w:pPr>
            <w:r>
              <w:rPr>
                <w:rFonts w:hint="eastAsia" w:cs="宋体"/>
                <w:color w:val="auto"/>
                <w:highlight w:val="none"/>
              </w:rPr>
              <w:t>（满分</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u w:val="single"/>
              </w:rPr>
              <w:t xml:space="preserve"> </w:t>
            </w:r>
            <w:r>
              <w:rPr>
                <w:rFonts w:hint="eastAsia" w:cs="宋体"/>
                <w:color w:val="auto"/>
                <w:highlight w:val="none"/>
              </w:rPr>
              <w:t>分）</w:t>
            </w:r>
          </w:p>
        </w:tc>
        <w:tc>
          <w:tcPr>
            <w:tcW w:w="1005" w:type="dxa"/>
            <w:shd w:val="clear" w:color="auto" w:fill="auto"/>
            <w:vAlign w:val="center"/>
          </w:tcPr>
          <w:p>
            <w:pPr>
              <w:spacing w:line="380" w:lineRule="atLeast"/>
              <w:jc w:val="center"/>
              <w:rPr>
                <w:color w:val="auto"/>
                <w:highlight w:val="none"/>
                <w:u w:val="single"/>
              </w:rPr>
            </w:pPr>
          </w:p>
        </w:tc>
        <w:tc>
          <w:tcPr>
            <w:tcW w:w="993" w:type="dxa"/>
            <w:shd w:val="clear" w:color="auto" w:fill="auto"/>
            <w:vAlign w:val="center"/>
          </w:tcPr>
          <w:p>
            <w:pPr>
              <w:spacing w:line="380" w:lineRule="atLeast"/>
              <w:jc w:val="center"/>
              <w:rPr>
                <w:color w:val="auto"/>
                <w:highlight w:val="none"/>
                <w:u w:val="single"/>
              </w:rPr>
            </w:pPr>
          </w:p>
        </w:tc>
        <w:tc>
          <w:tcPr>
            <w:tcW w:w="992" w:type="dxa"/>
            <w:shd w:val="clear" w:color="auto" w:fill="auto"/>
            <w:vAlign w:val="center"/>
          </w:tcPr>
          <w:p>
            <w:pPr>
              <w:spacing w:line="380" w:lineRule="atLeast"/>
              <w:jc w:val="center"/>
              <w:rPr>
                <w:color w:val="auto"/>
                <w:highlight w:val="none"/>
                <w:u w:val="single"/>
              </w:rPr>
            </w:pPr>
          </w:p>
        </w:tc>
        <w:tc>
          <w:tcPr>
            <w:tcW w:w="1134" w:type="dxa"/>
            <w:shd w:val="clear" w:color="auto" w:fill="auto"/>
            <w:vAlign w:val="center"/>
          </w:tcPr>
          <w:p>
            <w:pPr>
              <w:spacing w:line="380" w:lineRule="atLeast"/>
              <w:jc w:val="center"/>
              <w:rPr>
                <w:color w:val="auto"/>
                <w:highlight w:val="none"/>
                <w:u w:val="single"/>
              </w:rPr>
            </w:pPr>
          </w:p>
        </w:tc>
        <w:tc>
          <w:tcPr>
            <w:tcW w:w="1134" w:type="dxa"/>
            <w:shd w:val="clear" w:color="auto" w:fill="auto"/>
            <w:vAlign w:val="center"/>
          </w:tcPr>
          <w:p>
            <w:pPr>
              <w:spacing w:line="380" w:lineRule="atLeast"/>
              <w:jc w:val="center"/>
              <w:rPr>
                <w:color w:val="auto"/>
                <w:highlight w:val="none"/>
                <w:u w:val="single"/>
              </w:rPr>
            </w:pPr>
          </w:p>
        </w:tc>
        <w:tc>
          <w:tcPr>
            <w:tcW w:w="1134" w:type="dxa"/>
            <w:shd w:val="clear" w:color="auto" w:fill="auto"/>
            <w:vAlign w:val="center"/>
          </w:tcPr>
          <w:p>
            <w:pPr>
              <w:spacing w:line="380" w:lineRule="atLeast"/>
              <w:jc w:val="center"/>
              <w:rPr>
                <w:color w:val="auto"/>
                <w:highlight w:val="none"/>
                <w:u w:val="single"/>
              </w:rPr>
            </w:pPr>
          </w:p>
        </w:tc>
        <w:tc>
          <w:tcPr>
            <w:tcW w:w="1134" w:type="dxa"/>
            <w:shd w:val="clear" w:color="auto" w:fill="auto"/>
            <w:vAlign w:val="center"/>
          </w:tcPr>
          <w:p>
            <w:pPr>
              <w:spacing w:line="380" w:lineRule="atLeast"/>
              <w:jc w:val="center"/>
              <w:rPr>
                <w:color w:val="auto"/>
                <w:highlight w:val="none"/>
                <w:u w:val="single"/>
              </w:rPr>
            </w:pPr>
          </w:p>
        </w:tc>
        <w:tc>
          <w:tcPr>
            <w:tcW w:w="1134" w:type="dxa"/>
            <w:shd w:val="clear" w:color="auto" w:fill="auto"/>
            <w:vAlign w:val="center"/>
          </w:tcPr>
          <w:p>
            <w:pPr>
              <w:spacing w:line="380" w:lineRule="atLeast"/>
              <w:jc w:val="center"/>
              <w:rPr>
                <w:color w:val="auto"/>
                <w:highlight w:val="none"/>
                <w:u w:val="single"/>
              </w:rPr>
            </w:pPr>
          </w:p>
        </w:tc>
        <w:tc>
          <w:tcPr>
            <w:tcW w:w="850" w:type="dxa"/>
            <w:shd w:val="clear" w:color="auto" w:fill="auto"/>
            <w:vAlign w:val="center"/>
          </w:tcPr>
          <w:p>
            <w:pPr>
              <w:spacing w:line="380" w:lineRule="atLeast"/>
              <w:jc w:val="center"/>
              <w:rPr>
                <w:color w:val="auto"/>
                <w:highlight w:val="none"/>
                <w:u w:val="single"/>
              </w:rPr>
            </w:pPr>
          </w:p>
        </w:tc>
        <w:tc>
          <w:tcPr>
            <w:tcW w:w="851" w:type="dxa"/>
            <w:shd w:val="clear" w:color="auto" w:fill="auto"/>
          </w:tcPr>
          <w:p>
            <w:pPr>
              <w:spacing w:line="380" w:lineRule="atLeast"/>
              <w:jc w:val="center"/>
              <w:rPr>
                <w:color w:val="auto"/>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rPr>
        <w:tc>
          <w:tcPr>
            <w:tcW w:w="738" w:type="dxa"/>
            <w:shd w:val="clear" w:color="auto" w:fill="auto"/>
            <w:vAlign w:val="center"/>
          </w:tcPr>
          <w:p>
            <w:pPr>
              <w:spacing w:line="380" w:lineRule="atLeast"/>
              <w:jc w:val="center"/>
              <w:rPr>
                <w:color w:val="auto"/>
                <w:highlight w:val="none"/>
              </w:rPr>
            </w:pPr>
            <w:r>
              <w:rPr>
                <w:color w:val="auto"/>
                <w:highlight w:val="none"/>
              </w:rPr>
              <w:t>2</w:t>
            </w:r>
          </w:p>
        </w:tc>
        <w:tc>
          <w:tcPr>
            <w:tcW w:w="3360" w:type="dxa"/>
            <w:shd w:val="clear" w:color="auto" w:fill="auto"/>
          </w:tcPr>
          <w:p>
            <w:pPr>
              <w:spacing w:line="380" w:lineRule="atLeast"/>
              <w:jc w:val="center"/>
              <w:rPr>
                <w:rFonts w:cs="宋体"/>
                <w:color w:val="auto"/>
                <w:highlight w:val="none"/>
              </w:rPr>
            </w:pPr>
            <w:r>
              <w:rPr>
                <w:rFonts w:hint="eastAsia" w:cs="宋体"/>
                <w:color w:val="auto"/>
                <w:highlight w:val="none"/>
              </w:rPr>
              <w:t>（二）企业诚信情况</w:t>
            </w:r>
          </w:p>
          <w:p>
            <w:pPr>
              <w:spacing w:line="380" w:lineRule="atLeast"/>
              <w:jc w:val="center"/>
              <w:rPr>
                <w:color w:val="auto"/>
                <w:highlight w:val="none"/>
                <w:u w:val="single"/>
              </w:rPr>
            </w:pPr>
            <w:r>
              <w:rPr>
                <w:rFonts w:hint="eastAsia" w:cs="宋体"/>
                <w:color w:val="auto"/>
                <w:highlight w:val="none"/>
              </w:rPr>
              <w:t>（满分</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u w:val="single"/>
              </w:rPr>
              <w:t xml:space="preserve"> </w:t>
            </w:r>
            <w:r>
              <w:rPr>
                <w:rFonts w:hint="eastAsia" w:cs="宋体"/>
                <w:color w:val="auto"/>
                <w:highlight w:val="none"/>
              </w:rPr>
              <w:t>分）</w:t>
            </w:r>
          </w:p>
        </w:tc>
        <w:tc>
          <w:tcPr>
            <w:tcW w:w="1005" w:type="dxa"/>
            <w:shd w:val="clear" w:color="auto" w:fill="auto"/>
            <w:vAlign w:val="center"/>
          </w:tcPr>
          <w:p>
            <w:pPr>
              <w:spacing w:line="380" w:lineRule="atLeast"/>
              <w:jc w:val="center"/>
              <w:rPr>
                <w:color w:val="auto"/>
                <w:highlight w:val="none"/>
                <w:u w:val="single"/>
              </w:rPr>
            </w:pPr>
          </w:p>
        </w:tc>
        <w:tc>
          <w:tcPr>
            <w:tcW w:w="993" w:type="dxa"/>
            <w:shd w:val="clear" w:color="auto" w:fill="auto"/>
            <w:vAlign w:val="center"/>
          </w:tcPr>
          <w:p>
            <w:pPr>
              <w:spacing w:line="380" w:lineRule="atLeast"/>
              <w:jc w:val="center"/>
              <w:rPr>
                <w:color w:val="auto"/>
                <w:highlight w:val="none"/>
                <w:u w:val="single"/>
              </w:rPr>
            </w:pPr>
          </w:p>
        </w:tc>
        <w:tc>
          <w:tcPr>
            <w:tcW w:w="992" w:type="dxa"/>
            <w:shd w:val="clear" w:color="auto" w:fill="auto"/>
            <w:vAlign w:val="center"/>
          </w:tcPr>
          <w:p>
            <w:pPr>
              <w:spacing w:line="380" w:lineRule="atLeast"/>
              <w:jc w:val="center"/>
              <w:rPr>
                <w:color w:val="auto"/>
                <w:highlight w:val="none"/>
                <w:u w:val="single"/>
              </w:rPr>
            </w:pPr>
          </w:p>
        </w:tc>
        <w:tc>
          <w:tcPr>
            <w:tcW w:w="1134" w:type="dxa"/>
            <w:shd w:val="clear" w:color="auto" w:fill="auto"/>
            <w:vAlign w:val="center"/>
          </w:tcPr>
          <w:p>
            <w:pPr>
              <w:spacing w:line="380" w:lineRule="atLeast"/>
              <w:jc w:val="center"/>
              <w:rPr>
                <w:color w:val="auto"/>
                <w:highlight w:val="none"/>
                <w:u w:val="single"/>
              </w:rPr>
            </w:pPr>
          </w:p>
        </w:tc>
        <w:tc>
          <w:tcPr>
            <w:tcW w:w="1134" w:type="dxa"/>
            <w:shd w:val="clear" w:color="auto" w:fill="auto"/>
            <w:vAlign w:val="center"/>
          </w:tcPr>
          <w:p>
            <w:pPr>
              <w:spacing w:line="380" w:lineRule="atLeast"/>
              <w:jc w:val="center"/>
              <w:rPr>
                <w:color w:val="auto"/>
                <w:highlight w:val="none"/>
                <w:u w:val="single"/>
              </w:rPr>
            </w:pPr>
          </w:p>
        </w:tc>
        <w:tc>
          <w:tcPr>
            <w:tcW w:w="1134" w:type="dxa"/>
            <w:shd w:val="clear" w:color="auto" w:fill="auto"/>
            <w:vAlign w:val="center"/>
          </w:tcPr>
          <w:p>
            <w:pPr>
              <w:spacing w:line="380" w:lineRule="atLeast"/>
              <w:jc w:val="center"/>
              <w:rPr>
                <w:color w:val="auto"/>
                <w:highlight w:val="none"/>
                <w:u w:val="single"/>
              </w:rPr>
            </w:pPr>
          </w:p>
        </w:tc>
        <w:tc>
          <w:tcPr>
            <w:tcW w:w="1134" w:type="dxa"/>
            <w:shd w:val="clear" w:color="auto" w:fill="auto"/>
            <w:vAlign w:val="center"/>
          </w:tcPr>
          <w:p>
            <w:pPr>
              <w:spacing w:line="380" w:lineRule="atLeast"/>
              <w:jc w:val="center"/>
              <w:rPr>
                <w:color w:val="auto"/>
                <w:highlight w:val="none"/>
                <w:u w:val="single"/>
              </w:rPr>
            </w:pPr>
          </w:p>
        </w:tc>
        <w:tc>
          <w:tcPr>
            <w:tcW w:w="1134" w:type="dxa"/>
            <w:shd w:val="clear" w:color="auto" w:fill="auto"/>
            <w:vAlign w:val="center"/>
          </w:tcPr>
          <w:p>
            <w:pPr>
              <w:spacing w:line="380" w:lineRule="atLeast"/>
              <w:jc w:val="center"/>
              <w:rPr>
                <w:color w:val="auto"/>
                <w:highlight w:val="none"/>
                <w:u w:val="single"/>
              </w:rPr>
            </w:pPr>
          </w:p>
        </w:tc>
        <w:tc>
          <w:tcPr>
            <w:tcW w:w="850" w:type="dxa"/>
            <w:shd w:val="clear" w:color="auto" w:fill="auto"/>
            <w:vAlign w:val="center"/>
          </w:tcPr>
          <w:p>
            <w:pPr>
              <w:spacing w:line="380" w:lineRule="atLeast"/>
              <w:jc w:val="center"/>
              <w:rPr>
                <w:color w:val="auto"/>
                <w:highlight w:val="none"/>
                <w:u w:val="single"/>
              </w:rPr>
            </w:pPr>
          </w:p>
        </w:tc>
        <w:tc>
          <w:tcPr>
            <w:tcW w:w="851" w:type="dxa"/>
            <w:shd w:val="clear" w:color="auto" w:fill="auto"/>
          </w:tcPr>
          <w:p>
            <w:pPr>
              <w:spacing w:line="380" w:lineRule="atLeast"/>
              <w:jc w:val="center"/>
              <w:rPr>
                <w:color w:val="auto"/>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8" w:type="dxa"/>
            <w:shd w:val="clear" w:color="auto" w:fill="auto"/>
            <w:vAlign w:val="center"/>
          </w:tcPr>
          <w:p>
            <w:pPr>
              <w:spacing w:line="380" w:lineRule="atLeast"/>
              <w:jc w:val="center"/>
              <w:rPr>
                <w:color w:val="auto"/>
                <w:highlight w:val="none"/>
              </w:rPr>
            </w:pPr>
            <w:r>
              <w:rPr>
                <w:color w:val="auto"/>
                <w:highlight w:val="none"/>
              </w:rPr>
              <w:t>3</w:t>
            </w:r>
          </w:p>
        </w:tc>
        <w:tc>
          <w:tcPr>
            <w:tcW w:w="3360" w:type="dxa"/>
            <w:shd w:val="clear" w:color="auto" w:fill="auto"/>
          </w:tcPr>
          <w:p>
            <w:pPr>
              <w:spacing w:line="380" w:lineRule="atLeast"/>
              <w:jc w:val="center"/>
              <w:rPr>
                <w:color w:val="auto"/>
                <w:highlight w:val="none"/>
              </w:rPr>
            </w:pPr>
            <w:r>
              <w:rPr>
                <w:rFonts w:hint="eastAsia" w:cs="宋体"/>
                <w:color w:val="auto"/>
                <w:highlight w:val="none"/>
              </w:rPr>
              <w:t>（三）项目经理情况</w:t>
            </w:r>
          </w:p>
          <w:p>
            <w:pPr>
              <w:spacing w:line="380" w:lineRule="atLeast"/>
              <w:jc w:val="center"/>
              <w:rPr>
                <w:color w:val="auto"/>
                <w:highlight w:val="none"/>
                <w:u w:val="single"/>
              </w:rPr>
            </w:pPr>
            <w:r>
              <w:rPr>
                <w:rFonts w:hint="eastAsia" w:cs="宋体"/>
                <w:color w:val="auto"/>
                <w:highlight w:val="none"/>
              </w:rPr>
              <w:t>（满分</w:t>
            </w:r>
            <w:r>
              <w:rPr>
                <w:color w:val="auto"/>
                <w:highlight w:val="none"/>
                <w:u w:val="single"/>
              </w:rPr>
              <w:t xml:space="preserve"> </w:t>
            </w:r>
            <w:r>
              <w:rPr>
                <w:rFonts w:hint="eastAsia"/>
                <w:color w:val="auto"/>
                <w:highlight w:val="none"/>
                <w:u w:val="single"/>
                <w:lang w:val="en-US" w:eastAsia="zh-CN"/>
              </w:rPr>
              <w:t xml:space="preserve">  </w:t>
            </w:r>
            <w:r>
              <w:rPr>
                <w:rFonts w:hint="eastAsia" w:cs="宋体"/>
                <w:color w:val="auto"/>
                <w:highlight w:val="none"/>
              </w:rPr>
              <w:t>分）</w:t>
            </w:r>
          </w:p>
        </w:tc>
        <w:tc>
          <w:tcPr>
            <w:tcW w:w="1005" w:type="dxa"/>
            <w:shd w:val="clear" w:color="auto" w:fill="auto"/>
            <w:vAlign w:val="center"/>
          </w:tcPr>
          <w:p>
            <w:pPr>
              <w:spacing w:line="380" w:lineRule="atLeast"/>
              <w:jc w:val="center"/>
              <w:rPr>
                <w:color w:val="auto"/>
                <w:highlight w:val="none"/>
                <w:u w:val="single"/>
              </w:rPr>
            </w:pPr>
          </w:p>
        </w:tc>
        <w:tc>
          <w:tcPr>
            <w:tcW w:w="993" w:type="dxa"/>
            <w:shd w:val="clear" w:color="auto" w:fill="auto"/>
            <w:vAlign w:val="center"/>
          </w:tcPr>
          <w:p>
            <w:pPr>
              <w:spacing w:line="380" w:lineRule="atLeast"/>
              <w:jc w:val="center"/>
              <w:rPr>
                <w:color w:val="auto"/>
                <w:highlight w:val="none"/>
                <w:u w:val="single"/>
              </w:rPr>
            </w:pPr>
          </w:p>
        </w:tc>
        <w:tc>
          <w:tcPr>
            <w:tcW w:w="992" w:type="dxa"/>
            <w:shd w:val="clear" w:color="auto" w:fill="auto"/>
            <w:vAlign w:val="center"/>
          </w:tcPr>
          <w:p>
            <w:pPr>
              <w:spacing w:line="380" w:lineRule="atLeast"/>
              <w:jc w:val="center"/>
              <w:rPr>
                <w:color w:val="auto"/>
                <w:highlight w:val="none"/>
                <w:u w:val="single"/>
              </w:rPr>
            </w:pPr>
          </w:p>
        </w:tc>
        <w:tc>
          <w:tcPr>
            <w:tcW w:w="1134" w:type="dxa"/>
            <w:shd w:val="clear" w:color="auto" w:fill="auto"/>
            <w:vAlign w:val="center"/>
          </w:tcPr>
          <w:p>
            <w:pPr>
              <w:spacing w:line="380" w:lineRule="atLeast"/>
              <w:jc w:val="center"/>
              <w:rPr>
                <w:color w:val="auto"/>
                <w:highlight w:val="none"/>
                <w:u w:val="single"/>
              </w:rPr>
            </w:pPr>
          </w:p>
        </w:tc>
        <w:tc>
          <w:tcPr>
            <w:tcW w:w="1134" w:type="dxa"/>
            <w:shd w:val="clear" w:color="auto" w:fill="auto"/>
            <w:vAlign w:val="center"/>
          </w:tcPr>
          <w:p>
            <w:pPr>
              <w:spacing w:line="380" w:lineRule="atLeast"/>
              <w:jc w:val="center"/>
              <w:rPr>
                <w:color w:val="auto"/>
                <w:highlight w:val="none"/>
                <w:u w:val="single"/>
              </w:rPr>
            </w:pPr>
          </w:p>
        </w:tc>
        <w:tc>
          <w:tcPr>
            <w:tcW w:w="1134" w:type="dxa"/>
            <w:shd w:val="clear" w:color="auto" w:fill="auto"/>
            <w:vAlign w:val="center"/>
          </w:tcPr>
          <w:p>
            <w:pPr>
              <w:spacing w:line="380" w:lineRule="atLeast"/>
              <w:jc w:val="center"/>
              <w:rPr>
                <w:color w:val="auto"/>
                <w:highlight w:val="none"/>
                <w:u w:val="single"/>
              </w:rPr>
            </w:pPr>
          </w:p>
        </w:tc>
        <w:tc>
          <w:tcPr>
            <w:tcW w:w="1134" w:type="dxa"/>
            <w:shd w:val="clear" w:color="auto" w:fill="auto"/>
            <w:vAlign w:val="center"/>
          </w:tcPr>
          <w:p>
            <w:pPr>
              <w:spacing w:line="380" w:lineRule="atLeast"/>
              <w:jc w:val="center"/>
              <w:rPr>
                <w:color w:val="auto"/>
                <w:highlight w:val="none"/>
                <w:u w:val="single"/>
              </w:rPr>
            </w:pPr>
          </w:p>
        </w:tc>
        <w:tc>
          <w:tcPr>
            <w:tcW w:w="1134" w:type="dxa"/>
            <w:shd w:val="clear" w:color="auto" w:fill="auto"/>
            <w:vAlign w:val="center"/>
          </w:tcPr>
          <w:p>
            <w:pPr>
              <w:spacing w:line="380" w:lineRule="atLeast"/>
              <w:jc w:val="center"/>
              <w:rPr>
                <w:color w:val="auto"/>
                <w:highlight w:val="none"/>
                <w:u w:val="single"/>
              </w:rPr>
            </w:pPr>
          </w:p>
        </w:tc>
        <w:tc>
          <w:tcPr>
            <w:tcW w:w="850" w:type="dxa"/>
            <w:shd w:val="clear" w:color="auto" w:fill="auto"/>
            <w:vAlign w:val="center"/>
          </w:tcPr>
          <w:p>
            <w:pPr>
              <w:spacing w:line="380" w:lineRule="atLeast"/>
              <w:jc w:val="center"/>
              <w:rPr>
                <w:color w:val="auto"/>
                <w:highlight w:val="none"/>
                <w:u w:val="single"/>
              </w:rPr>
            </w:pPr>
          </w:p>
        </w:tc>
        <w:tc>
          <w:tcPr>
            <w:tcW w:w="851" w:type="dxa"/>
            <w:shd w:val="clear" w:color="auto" w:fill="auto"/>
          </w:tcPr>
          <w:p>
            <w:pPr>
              <w:spacing w:line="380" w:lineRule="atLeast"/>
              <w:jc w:val="center"/>
              <w:rPr>
                <w:color w:val="auto"/>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8" w:type="dxa"/>
            <w:shd w:val="clear" w:color="auto" w:fill="auto"/>
            <w:vAlign w:val="center"/>
          </w:tcPr>
          <w:p>
            <w:pPr>
              <w:spacing w:line="380" w:lineRule="atLeast"/>
              <w:jc w:val="center"/>
              <w:rPr>
                <w:color w:val="auto"/>
                <w:highlight w:val="none"/>
              </w:rPr>
            </w:pPr>
            <w:r>
              <w:rPr>
                <w:color w:val="auto"/>
                <w:highlight w:val="none"/>
              </w:rPr>
              <w:t>4</w:t>
            </w:r>
          </w:p>
        </w:tc>
        <w:tc>
          <w:tcPr>
            <w:tcW w:w="3360" w:type="dxa"/>
            <w:shd w:val="clear" w:color="auto" w:fill="auto"/>
          </w:tcPr>
          <w:p>
            <w:pPr>
              <w:spacing w:line="380" w:lineRule="atLeast"/>
              <w:jc w:val="center"/>
              <w:rPr>
                <w:color w:val="auto"/>
                <w:highlight w:val="none"/>
              </w:rPr>
            </w:pPr>
            <w:r>
              <w:rPr>
                <w:rFonts w:hint="eastAsia" w:cs="宋体"/>
                <w:color w:val="auto"/>
                <w:highlight w:val="none"/>
              </w:rPr>
              <w:t>（四）技术负责人情况</w:t>
            </w:r>
          </w:p>
          <w:p>
            <w:pPr>
              <w:spacing w:line="380" w:lineRule="atLeast"/>
              <w:jc w:val="center"/>
              <w:rPr>
                <w:color w:val="auto"/>
                <w:highlight w:val="none"/>
                <w:u w:val="single"/>
              </w:rPr>
            </w:pPr>
            <w:r>
              <w:rPr>
                <w:rFonts w:hint="eastAsia" w:cs="宋体"/>
                <w:color w:val="auto"/>
                <w:highlight w:val="none"/>
              </w:rPr>
              <w:t>（满分</w:t>
            </w:r>
            <w:r>
              <w:rPr>
                <w:color w:val="auto"/>
                <w:highlight w:val="none"/>
                <w:u w:val="single"/>
              </w:rPr>
              <w:t xml:space="preserve"> </w:t>
            </w:r>
            <w:r>
              <w:rPr>
                <w:rFonts w:hint="eastAsia"/>
                <w:color w:val="auto"/>
                <w:highlight w:val="none"/>
                <w:u w:val="single"/>
                <w:lang w:val="en-US" w:eastAsia="zh-CN"/>
              </w:rPr>
              <w:t xml:space="preserve">  </w:t>
            </w:r>
            <w:r>
              <w:rPr>
                <w:rFonts w:hint="eastAsia" w:cs="宋体"/>
                <w:color w:val="auto"/>
                <w:highlight w:val="none"/>
              </w:rPr>
              <w:t>分）</w:t>
            </w:r>
          </w:p>
        </w:tc>
        <w:tc>
          <w:tcPr>
            <w:tcW w:w="1005" w:type="dxa"/>
            <w:shd w:val="clear" w:color="auto" w:fill="auto"/>
            <w:vAlign w:val="center"/>
          </w:tcPr>
          <w:p>
            <w:pPr>
              <w:spacing w:line="380" w:lineRule="atLeast"/>
              <w:jc w:val="center"/>
              <w:rPr>
                <w:color w:val="auto"/>
                <w:highlight w:val="none"/>
                <w:u w:val="single"/>
              </w:rPr>
            </w:pPr>
          </w:p>
        </w:tc>
        <w:tc>
          <w:tcPr>
            <w:tcW w:w="993" w:type="dxa"/>
            <w:shd w:val="clear" w:color="auto" w:fill="auto"/>
            <w:vAlign w:val="center"/>
          </w:tcPr>
          <w:p>
            <w:pPr>
              <w:spacing w:line="380" w:lineRule="atLeast"/>
              <w:jc w:val="center"/>
              <w:rPr>
                <w:color w:val="auto"/>
                <w:highlight w:val="none"/>
                <w:u w:val="single"/>
              </w:rPr>
            </w:pPr>
          </w:p>
        </w:tc>
        <w:tc>
          <w:tcPr>
            <w:tcW w:w="992" w:type="dxa"/>
            <w:shd w:val="clear" w:color="auto" w:fill="auto"/>
            <w:vAlign w:val="center"/>
          </w:tcPr>
          <w:p>
            <w:pPr>
              <w:spacing w:line="380" w:lineRule="atLeast"/>
              <w:jc w:val="center"/>
              <w:rPr>
                <w:color w:val="auto"/>
                <w:highlight w:val="none"/>
                <w:u w:val="single"/>
              </w:rPr>
            </w:pPr>
          </w:p>
        </w:tc>
        <w:tc>
          <w:tcPr>
            <w:tcW w:w="1134" w:type="dxa"/>
            <w:shd w:val="clear" w:color="auto" w:fill="auto"/>
            <w:vAlign w:val="center"/>
          </w:tcPr>
          <w:p>
            <w:pPr>
              <w:spacing w:line="380" w:lineRule="atLeast"/>
              <w:jc w:val="center"/>
              <w:rPr>
                <w:color w:val="auto"/>
                <w:highlight w:val="none"/>
                <w:u w:val="single"/>
              </w:rPr>
            </w:pPr>
          </w:p>
        </w:tc>
        <w:tc>
          <w:tcPr>
            <w:tcW w:w="1134" w:type="dxa"/>
            <w:shd w:val="clear" w:color="auto" w:fill="auto"/>
            <w:vAlign w:val="center"/>
          </w:tcPr>
          <w:p>
            <w:pPr>
              <w:spacing w:line="380" w:lineRule="atLeast"/>
              <w:jc w:val="center"/>
              <w:rPr>
                <w:color w:val="auto"/>
                <w:highlight w:val="none"/>
                <w:u w:val="single"/>
              </w:rPr>
            </w:pPr>
          </w:p>
        </w:tc>
        <w:tc>
          <w:tcPr>
            <w:tcW w:w="1134" w:type="dxa"/>
            <w:shd w:val="clear" w:color="auto" w:fill="auto"/>
            <w:vAlign w:val="center"/>
          </w:tcPr>
          <w:p>
            <w:pPr>
              <w:spacing w:line="380" w:lineRule="atLeast"/>
              <w:jc w:val="center"/>
              <w:rPr>
                <w:color w:val="auto"/>
                <w:highlight w:val="none"/>
                <w:u w:val="single"/>
              </w:rPr>
            </w:pPr>
          </w:p>
        </w:tc>
        <w:tc>
          <w:tcPr>
            <w:tcW w:w="1134" w:type="dxa"/>
            <w:shd w:val="clear" w:color="auto" w:fill="auto"/>
            <w:vAlign w:val="center"/>
          </w:tcPr>
          <w:p>
            <w:pPr>
              <w:spacing w:line="380" w:lineRule="atLeast"/>
              <w:jc w:val="center"/>
              <w:rPr>
                <w:color w:val="auto"/>
                <w:highlight w:val="none"/>
                <w:u w:val="single"/>
              </w:rPr>
            </w:pPr>
          </w:p>
        </w:tc>
        <w:tc>
          <w:tcPr>
            <w:tcW w:w="1134" w:type="dxa"/>
            <w:shd w:val="clear" w:color="auto" w:fill="auto"/>
            <w:vAlign w:val="center"/>
          </w:tcPr>
          <w:p>
            <w:pPr>
              <w:spacing w:line="380" w:lineRule="atLeast"/>
              <w:jc w:val="center"/>
              <w:rPr>
                <w:color w:val="auto"/>
                <w:highlight w:val="none"/>
                <w:u w:val="single"/>
              </w:rPr>
            </w:pPr>
          </w:p>
        </w:tc>
        <w:tc>
          <w:tcPr>
            <w:tcW w:w="850" w:type="dxa"/>
            <w:shd w:val="clear" w:color="auto" w:fill="auto"/>
            <w:vAlign w:val="center"/>
          </w:tcPr>
          <w:p>
            <w:pPr>
              <w:spacing w:line="380" w:lineRule="atLeast"/>
              <w:jc w:val="center"/>
              <w:rPr>
                <w:color w:val="auto"/>
                <w:highlight w:val="none"/>
                <w:u w:val="single"/>
              </w:rPr>
            </w:pPr>
          </w:p>
        </w:tc>
        <w:tc>
          <w:tcPr>
            <w:tcW w:w="851" w:type="dxa"/>
            <w:shd w:val="clear" w:color="auto" w:fill="auto"/>
          </w:tcPr>
          <w:p>
            <w:pPr>
              <w:spacing w:line="380" w:lineRule="atLeast"/>
              <w:jc w:val="center"/>
              <w:rPr>
                <w:color w:val="auto"/>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8" w:type="dxa"/>
            <w:shd w:val="clear" w:color="auto" w:fill="auto"/>
            <w:vAlign w:val="center"/>
          </w:tcPr>
          <w:p>
            <w:pPr>
              <w:spacing w:line="380" w:lineRule="atLeast"/>
              <w:jc w:val="center"/>
              <w:rPr>
                <w:color w:val="auto"/>
                <w:highlight w:val="none"/>
              </w:rPr>
            </w:pPr>
            <w:r>
              <w:rPr>
                <w:color w:val="auto"/>
                <w:highlight w:val="none"/>
              </w:rPr>
              <w:t>5</w:t>
            </w:r>
          </w:p>
        </w:tc>
        <w:tc>
          <w:tcPr>
            <w:tcW w:w="3360" w:type="dxa"/>
            <w:shd w:val="clear" w:color="auto" w:fill="auto"/>
          </w:tcPr>
          <w:p>
            <w:pPr>
              <w:spacing w:line="380" w:lineRule="atLeast"/>
              <w:jc w:val="center"/>
              <w:rPr>
                <w:color w:val="auto"/>
                <w:highlight w:val="none"/>
                <w:u w:val="single"/>
              </w:rPr>
            </w:pPr>
            <w:r>
              <w:rPr>
                <w:rFonts w:hint="eastAsia" w:cs="宋体"/>
                <w:color w:val="auto"/>
                <w:highlight w:val="none"/>
              </w:rPr>
              <w:t>（五）拟投入本工程管理人员情况（满分</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u w:val="single"/>
              </w:rPr>
              <w:t xml:space="preserve"> </w:t>
            </w:r>
            <w:r>
              <w:rPr>
                <w:rFonts w:hint="eastAsia" w:cs="宋体"/>
                <w:color w:val="auto"/>
                <w:highlight w:val="none"/>
              </w:rPr>
              <w:t>分）</w:t>
            </w:r>
          </w:p>
        </w:tc>
        <w:tc>
          <w:tcPr>
            <w:tcW w:w="1005" w:type="dxa"/>
            <w:shd w:val="clear" w:color="auto" w:fill="auto"/>
            <w:vAlign w:val="center"/>
          </w:tcPr>
          <w:p>
            <w:pPr>
              <w:spacing w:line="380" w:lineRule="atLeast"/>
              <w:jc w:val="center"/>
              <w:rPr>
                <w:color w:val="auto"/>
                <w:highlight w:val="none"/>
                <w:u w:val="single"/>
              </w:rPr>
            </w:pPr>
          </w:p>
        </w:tc>
        <w:tc>
          <w:tcPr>
            <w:tcW w:w="993" w:type="dxa"/>
            <w:shd w:val="clear" w:color="auto" w:fill="auto"/>
            <w:vAlign w:val="center"/>
          </w:tcPr>
          <w:p>
            <w:pPr>
              <w:spacing w:line="380" w:lineRule="atLeast"/>
              <w:jc w:val="center"/>
              <w:rPr>
                <w:color w:val="auto"/>
                <w:highlight w:val="none"/>
                <w:u w:val="single"/>
              </w:rPr>
            </w:pPr>
          </w:p>
        </w:tc>
        <w:tc>
          <w:tcPr>
            <w:tcW w:w="992" w:type="dxa"/>
            <w:shd w:val="clear" w:color="auto" w:fill="auto"/>
            <w:vAlign w:val="center"/>
          </w:tcPr>
          <w:p>
            <w:pPr>
              <w:spacing w:line="380" w:lineRule="atLeast"/>
              <w:jc w:val="center"/>
              <w:rPr>
                <w:color w:val="auto"/>
                <w:highlight w:val="none"/>
                <w:u w:val="single"/>
              </w:rPr>
            </w:pPr>
          </w:p>
        </w:tc>
        <w:tc>
          <w:tcPr>
            <w:tcW w:w="1134" w:type="dxa"/>
            <w:shd w:val="clear" w:color="auto" w:fill="auto"/>
            <w:vAlign w:val="center"/>
          </w:tcPr>
          <w:p>
            <w:pPr>
              <w:spacing w:line="380" w:lineRule="atLeast"/>
              <w:jc w:val="center"/>
              <w:rPr>
                <w:color w:val="auto"/>
                <w:highlight w:val="none"/>
                <w:u w:val="single"/>
              </w:rPr>
            </w:pPr>
          </w:p>
        </w:tc>
        <w:tc>
          <w:tcPr>
            <w:tcW w:w="1134" w:type="dxa"/>
            <w:shd w:val="clear" w:color="auto" w:fill="auto"/>
            <w:vAlign w:val="center"/>
          </w:tcPr>
          <w:p>
            <w:pPr>
              <w:spacing w:line="380" w:lineRule="atLeast"/>
              <w:jc w:val="center"/>
              <w:rPr>
                <w:color w:val="auto"/>
                <w:highlight w:val="none"/>
                <w:u w:val="single"/>
              </w:rPr>
            </w:pPr>
          </w:p>
        </w:tc>
        <w:tc>
          <w:tcPr>
            <w:tcW w:w="1134" w:type="dxa"/>
            <w:shd w:val="clear" w:color="auto" w:fill="auto"/>
            <w:vAlign w:val="center"/>
          </w:tcPr>
          <w:p>
            <w:pPr>
              <w:spacing w:line="380" w:lineRule="atLeast"/>
              <w:jc w:val="center"/>
              <w:rPr>
                <w:color w:val="auto"/>
                <w:highlight w:val="none"/>
                <w:u w:val="single"/>
              </w:rPr>
            </w:pPr>
          </w:p>
        </w:tc>
        <w:tc>
          <w:tcPr>
            <w:tcW w:w="1134" w:type="dxa"/>
            <w:shd w:val="clear" w:color="auto" w:fill="auto"/>
            <w:vAlign w:val="center"/>
          </w:tcPr>
          <w:p>
            <w:pPr>
              <w:spacing w:line="380" w:lineRule="atLeast"/>
              <w:jc w:val="center"/>
              <w:rPr>
                <w:color w:val="auto"/>
                <w:highlight w:val="none"/>
                <w:u w:val="single"/>
              </w:rPr>
            </w:pPr>
          </w:p>
        </w:tc>
        <w:tc>
          <w:tcPr>
            <w:tcW w:w="1134" w:type="dxa"/>
            <w:shd w:val="clear" w:color="auto" w:fill="auto"/>
            <w:vAlign w:val="center"/>
          </w:tcPr>
          <w:p>
            <w:pPr>
              <w:spacing w:line="380" w:lineRule="atLeast"/>
              <w:jc w:val="center"/>
              <w:rPr>
                <w:color w:val="auto"/>
                <w:highlight w:val="none"/>
                <w:u w:val="single"/>
              </w:rPr>
            </w:pPr>
          </w:p>
        </w:tc>
        <w:tc>
          <w:tcPr>
            <w:tcW w:w="850" w:type="dxa"/>
            <w:shd w:val="clear" w:color="auto" w:fill="auto"/>
            <w:vAlign w:val="center"/>
          </w:tcPr>
          <w:p>
            <w:pPr>
              <w:spacing w:line="380" w:lineRule="atLeast"/>
              <w:jc w:val="center"/>
              <w:rPr>
                <w:color w:val="auto"/>
                <w:highlight w:val="none"/>
                <w:u w:val="single"/>
              </w:rPr>
            </w:pPr>
          </w:p>
        </w:tc>
        <w:tc>
          <w:tcPr>
            <w:tcW w:w="851" w:type="dxa"/>
            <w:shd w:val="clear" w:color="auto" w:fill="auto"/>
          </w:tcPr>
          <w:p>
            <w:pPr>
              <w:spacing w:line="380" w:lineRule="atLeast"/>
              <w:jc w:val="center"/>
              <w:rPr>
                <w:color w:val="auto"/>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8" w:type="dxa"/>
            <w:shd w:val="clear" w:color="auto" w:fill="auto"/>
            <w:vAlign w:val="center"/>
          </w:tcPr>
          <w:p>
            <w:pPr>
              <w:spacing w:line="380" w:lineRule="atLeast"/>
              <w:jc w:val="center"/>
              <w:rPr>
                <w:color w:val="auto"/>
                <w:highlight w:val="none"/>
              </w:rPr>
            </w:pPr>
            <w:r>
              <w:rPr>
                <w:color w:val="auto"/>
                <w:highlight w:val="none"/>
              </w:rPr>
              <w:t>6</w:t>
            </w:r>
          </w:p>
        </w:tc>
        <w:tc>
          <w:tcPr>
            <w:tcW w:w="3360" w:type="dxa"/>
            <w:shd w:val="clear" w:color="auto" w:fill="auto"/>
          </w:tcPr>
          <w:p>
            <w:pPr>
              <w:spacing w:line="380" w:lineRule="atLeast"/>
              <w:jc w:val="center"/>
              <w:rPr>
                <w:color w:val="auto"/>
                <w:highlight w:val="none"/>
              </w:rPr>
            </w:pPr>
            <w:r>
              <w:rPr>
                <w:rFonts w:hint="eastAsia" w:cs="宋体"/>
                <w:color w:val="auto"/>
                <w:highlight w:val="none"/>
              </w:rPr>
              <w:t>（六）拟投入施工机械设备情况</w:t>
            </w:r>
          </w:p>
          <w:p>
            <w:pPr>
              <w:spacing w:line="380" w:lineRule="atLeast"/>
              <w:jc w:val="center"/>
              <w:rPr>
                <w:color w:val="auto"/>
                <w:highlight w:val="none"/>
                <w:u w:val="single"/>
              </w:rPr>
            </w:pPr>
            <w:r>
              <w:rPr>
                <w:rFonts w:hint="eastAsia" w:cs="宋体"/>
                <w:color w:val="auto"/>
                <w:highlight w:val="none"/>
              </w:rPr>
              <w:t>（满分</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u w:val="single"/>
              </w:rPr>
              <w:t xml:space="preserve">  </w:t>
            </w:r>
            <w:r>
              <w:rPr>
                <w:rFonts w:hint="eastAsia" w:cs="宋体"/>
                <w:color w:val="auto"/>
                <w:highlight w:val="none"/>
              </w:rPr>
              <w:t>分）</w:t>
            </w:r>
          </w:p>
        </w:tc>
        <w:tc>
          <w:tcPr>
            <w:tcW w:w="1005" w:type="dxa"/>
            <w:shd w:val="clear" w:color="auto" w:fill="auto"/>
            <w:vAlign w:val="center"/>
          </w:tcPr>
          <w:p>
            <w:pPr>
              <w:spacing w:line="380" w:lineRule="atLeast"/>
              <w:jc w:val="center"/>
              <w:rPr>
                <w:color w:val="auto"/>
                <w:highlight w:val="none"/>
                <w:u w:val="single"/>
              </w:rPr>
            </w:pPr>
          </w:p>
        </w:tc>
        <w:tc>
          <w:tcPr>
            <w:tcW w:w="993" w:type="dxa"/>
            <w:shd w:val="clear" w:color="auto" w:fill="auto"/>
            <w:vAlign w:val="center"/>
          </w:tcPr>
          <w:p>
            <w:pPr>
              <w:spacing w:line="380" w:lineRule="atLeast"/>
              <w:jc w:val="center"/>
              <w:rPr>
                <w:color w:val="auto"/>
                <w:highlight w:val="none"/>
                <w:u w:val="single"/>
              </w:rPr>
            </w:pPr>
          </w:p>
        </w:tc>
        <w:tc>
          <w:tcPr>
            <w:tcW w:w="992" w:type="dxa"/>
            <w:shd w:val="clear" w:color="auto" w:fill="auto"/>
            <w:vAlign w:val="center"/>
          </w:tcPr>
          <w:p>
            <w:pPr>
              <w:spacing w:line="380" w:lineRule="atLeast"/>
              <w:jc w:val="center"/>
              <w:rPr>
                <w:color w:val="auto"/>
                <w:highlight w:val="none"/>
                <w:u w:val="single"/>
              </w:rPr>
            </w:pPr>
          </w:p>
        </w:tc>
        <w:tc>
          <w:tcPr>
            <w:tcW w:w="1134" w:type="dxa"/>
            <w:shd w:val="clear" w:color="auto" w:fill="auto"/>
            <w:vAlign w:val="center"/>
          </w:tcPr>
          <w:p>
            <w:pPr>
              <w:spacing w:line="380" w:lineRule="atLeast"/>
              <w:jc w:val="center"/>
              <w:rPr>
                <w:color w:val="auto"/>
                <w:highlight w:val="none"/>
                <w:u w:val="single"/>
              </w:rPr>
            </w:pPr>
          </w:p>
        </w:tc>
        <w:tc>
          <w:tcPr>
            <w:tcW w:w="1134" w:type="dxa"/>
            <w:shd w:val="clear" w:color="auto" w:fill="auto"/>
            <w:vAlign w:val="center"/>
          </w:tcPr>
          <w:p>
            <w:pPr>
              <w:spacing w:line="380" w:lineRule="atLeast"/>
              <w:jc w:val="center"/>
              <w:rPr>
                <w:color w:val="auto"/>
                <w:highlight w:val="none"/>
                <w:u w:val="single"/>
              </w:rPr>
            </w:pPr>
          </w:p>
        </w:tc>
        <w:tc>
          <w:tcPr>
            <w:tcW w:w="1134" w:type="dxa"/>
            <w:shd w:val="clear" w:color="auto" w:fill="auto"/>
            <w:vAlign w:val="center"/>
          </w:tcPr>
          <w:p>
            <w:pPr>
              <w:spacing w:line="380" w:lineRule="atLeast"/>
              <w:jc w:val="center"/>
              <w:rPr>
                <w:color w:val="auto"/>
                <w:highlight w:val="none"/>
                <w:u w:val="single"/>
              </w:rPr>
            </w:pPr>
          </w:p>
        </w:tc>
        <w:tc>
          <w:tcPr>
            <w:tcW w:w="1134" w:type="dxa"/>
            <w:shd w:val="clear" w:color="auto" w:fill="auto"/>
            <w:vAlign w:val="center"/>
          </w:tcPr>
          <w:p>
            <w:pPr>
              <w:spacing w:line="380" w:lineRule="atLeast"/>
              <w:jc w:val="center"/>
              <w:rPr>
                <w:color w:val="auto"/>
                <w:highlight w:val="none"/>
                <w:u w:val="single"/>
              </w:rPr>
            </w:pPr>
          </w:p>
        </w:tc>
        <w:tc>
          <w:tcPr>
            <w:tcW w:w="1134" w:type="dxa"/>
            <w:shd w:val="clear" w:color="auto" w:fill="auto"/>
            <w:vAlign w:val="center"/>
          </w:tcPr>
          <w:p>
            <w:pPr>
              <w:spacing w:line="380" w:lineRule="atLeast"/>
              <w:jc w:val="center"/>
              <w:rPr>
                <w:color w:val="auto"/>
                <w:highlight w:val="none"/>
                <w:u w:val="single"/>
              </w:rPr>
            </w:pPr>
          </w:p>
        </w:tc>
        <w:tc>
          <w:tcPr>
            <w:tcW w:w="850" w:type="dxa"/>
            <w:shd w:val="clear" w:color="auto" w:fill="auto"/>
            <w:vAlign w:val="center"/>
          </w:tcPr>
          <w:p>
            <w:pPr>
              <w:spacing w:line="380" w:lineRule="atLeast"/>
              <w:jc w:val="center"/>
              <w:rPr>
                <w:color w:val="auto"/>
                <w:highlight w:val="none"/>
                <w:u w:val="single"/>
              </w:rPr>
            </w:pPr>
          </w:p>
        </w:tc>
        <w:tc>
          <w:tcPr>
            <w:tcW w:w="851" w:type="dxa"/>
            <w:shd w:val="clear" w:color="auto" w:fill="auto"/>
          </w:tcPr>
          <w:p>
            <w:pPr>
              <w:spacing w:line="380" w:lineRule="atLeast"/>
              <w:jc w:val="center"/>
              <w:rPr>
                <w:color w:val="auto"/>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8" w:type="dxa"/>
            <w:shd w:val="clear" w:color="auto" w:fill="auto"/>
            <w:vAlign w:val="center"/>
          </w:tcPr>
          <w:p>
            <w:pPr>
              <w:spacing w:line="380" w:lineRule="atLeast"/>
              <w:jc w:val="center"/>
              <w:rPr>
                <w:color w:val="auto"/>
                <w:highlight w:val="none"/>
              </w:rPr>
            </w:pPr>
            <w:r>
              <w:rPr>
                <w:color w:val="auto"/>
                <w:highlight w:val="none"/>
              </w:rPr>
              <w:t>7</w:t>
            </w:r>
          </w:p>
        </w:tc>
        <w:tc>
          <w:tcPr>
            <w:tcW w:w="3360" w:type="dxa"/>
            <w:shd w:val="clear" w:color="auto" w:fill="auto"/>
          </w:tcPr>
          <w:p>
            <w:pPr>
              <w:spacing w:line="380" w:lineRule="atLeast"/>
              <w:jc w:val="center"/>
              <w:rPr>
                <w:color w:val="auto"/>
                <w:highlight w:val="none"/>
              </w:rPr>
            </w:pPr>
            <w:r>
              <w:rPr>
                <w:rFonts w:hint="eastAsia" w:cs="宋体"/>
                <w:color w:val="auto"/>
                <w:highlight w:val="none"/>
              </w:rPr>
              <w:t>（七）企业财务状况</w:t>
            </w:r>
          </w:p>
          <w:p>
            <w:pPr>
              <w:spacing w:line="380" w:lineRule="atLeast"/>
              <w:jc w:val="center"/>
              <w:rPr>
                <w:color w:val="auto"/>
                <w:highlight w:val="none"/>
                <w:u w:val="single"/>
              </w:rPr>
            </w:pPr>
            <w:r>
              <w:rPr>
                <w:rFonts w:hint="eastAsia" w:cs="宋体"/>
                <w:color w:val="auto"/>
                <w:highlight w:val="none"/>
              </w:rPr>
              <w:t>（满分</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u w:val="single"/>
              </w:rPr>
              <w:t xml:space="preserve">  </w:t>
            </w:r>
            <w:r>
              <w:rPr>
                <w:rFonts w:hint="eastAsia" w:cs="宋体"/>
                <w:color w:val="auto"/>
                <w:highlight w:val="none"/>
              </w:rPr>
              <w:t>分）</w:t>
            </w:r>
          </w:p>
        </w:tc>
        <w:tc>
          <w:tcPr>
            <w:tcW w:w="1005" w:type="dxa"/>
            <w:shd w:val="clear" w:color="auto" w:fill="auto"/>
            <w:vAlign w:val="center"/>
          </w:tcPr>
          <w:p>
            <w:pPr>
              <w:spacing w:line="380" w:lineRule="atLeast"/>
              <w:jc w:val="center"/>
              <w:rPr>
                <w:color w:val="auto"/>
                <w:highlight w:val="none"/>
                <w:u w:val="single"/>
              </w:rPr>
            </w:pPr>
          </w:p>
        </w:tc>
        <w:tc>
          <w:tcPr>
            <w:tcW w:w="993" w:type="dxa"/>
            <w:shd w:val="clear" w:color="auto" w:fill="auto"/>
            <w:vAlign w:val="center"/>
          </w:tcPr>
          <w:p>
            <w:pPr>
              <w:spacing w:line="380" w:lineRule="atLeast"/>
              <w:jc w:val="center"/>
              <w:rPr>
                <w:color w:val="auto"/>
                <w:highlight w:val="none"/>
                <w:u w:val="single"/>
              </w:rPr>
            </w:pPr>
          </w:p>
        </w:tc>
        <w:tc>
          <w:tcPr>
            <w:tcW w:w="992" w:type="dxa"/>
            <w:shd w:val="clear" w:color="auto" w:fill="auto"/>
            <w:vAlign w:val="center"/>
          </w:tcPr>
          <w:p>
            <w:pPr>
              <w:spacing w:line="380" w:lineRule="atLeast"/>
              <w:jc w:val="center"/>
              <w:rPr>
                <w:color w:val="auto"/>
                <w:highlight w:val="none"/>
                <w:u w:val="single"/>
              </w:rPr>
            </w:pPr>
          </w:p>
        </w:tc>
        <w:tc>
          <w:tcPr>
            <w:tcW w:w="1134" w:type="dxa"/>
            <w:shd w:val="clear" w:color="auto" w:fill="auto"/>
            <w:vAlign w:val="center"/>
          </w:tcPr>
          <w:p>
            <w:pPr>
              <w:spacing w:line="380" w:lineRule="atLeast"/>
              <w:jc w:val="center"/>
              <w:rPr>
                <w:color w:val="auto"/>
                <w:highlight w:val="none"/>
                <w:u w:val="single"/>
              </w:rPr>
            </w:pPr>
          </w:p>
        </w:tc>
        <w:tc>
          <w:tcPr>
            <w:tcW w:w="1134" w:type="dxa"/>
            <w:shd w:val="clear" w:color="auto" w:fill="auto"/>
            <w:vAlign w:val="center"/>
          </w:tcPr>
          <w:p>
            <w:pPr>
              <w:spacing w:line="380" w:lineRule="atLeast"/>
              <w:jc w:val="center"/>
              <w:rPr>
                <w:color w:val="auto"/>
                <w:highlight w:val="none"/>
                <w:u w:val="single"/>
              </w:rPr>
            </w:pPr>
          </w:p>
        </w:tc>
        <w:tc>
          <w:tcPr>
            <w:tcW w:w="1134" w:type="dxa"/>
            <w:shd w:val="clear" w:color="auto" w:fill="auto"/>
            <w:vAlign w:val="center"/>
          </w:tcPr>
          <w:p>
            <w:pPr>
              <w:spacing w:line="380" w:lineRule="atLeast"/>
              <w:jc w:val="center"/>
              <w:rPr>
                <w:color w:val="auto"/>
                <w:highlight w:val="none"/>
                <w:u w:val="single"/>
              </w:rPr>
            </w:pPr>
          </w:p>
        </w:tc>
        <w:tc>
          <w:tcPr>
            <w:tcW w:w="1134" w:type="dxa"/>
            <w:shd w:val="clear" w:color="auto" w:fill="auto"/>
            <w:vAlign w:val="center"/>
          </w:tcPr>
          <w:p>
            <w:pPr>
              <w:spacing w:line="380" w:lineRule="atLeast"/>
              <w:jc w:val="center"/>
              <w:rPr>
                <w:color w:val="auto"/>
                <w:highlight w:val="none"/>
                <w:u w:val="single"/>
              </w:rPr>
            </w:pPr>
          </w:p>
        </w:tc>
        <w:tc>
          <w:tcPr>
            <w:tcW w:w="1134" w:type="dxa"/>
            <w:shd w:val="clear" w:color="auto" w:fill="auto"/>
            <w:vAlign w:val="center"/>
          </w:tcPr>
          <w:p>
            <w:pPr>
              <w:spacing w:line="380" w:lineRule="atLeast"/>
              <w:jc w:val="center"/>
              <w:rPr>
                <w:color w:val="auto"/>
                <w:highlight w:val="none"/>
                <w:u w:val="single"/>
              </w:rPr>
            </w:pPr>
          </w:p>
        </w:tc>
        <w:tc>
          <w:tcPr>
            <w:tcW w:w="850" w:type="dxa"/>
            <w:shd w:val="clear" w:color="auto" w:fill="auto"/>
            <w:vAlign w:val="center"/>
          </w:tcPr>
          <w:p>
            <w:pPr>
              <w:spacing w:line="380" w:lineRule="atLeast"/>
              <w:jc w:val="center"/>
              <w:rPr>
                <w:color w:val="auto"/>
                <w:highlight w:val="none"/>
                <w:u w:val="single"/>
              </w:rPr>
            </w:pPr>
          </w:p>
        </w:tc>
        <w:tc>
          <w:tcPr>
            <w:tcW w:w="851" w:type="dxa"/>
            <w:shd w:val="clear" w:color="auto" w:fill="auto"/>
          </w:tcPr>
          <w:p>
            <w:pPr>
              <w:spacing w:line="380" w:lineRule="atLeast"/>
              <w:jc w:val="center"/>
              <w:rPr>
                <w:color w:val="auto"/>
                <w:highlight w:val="none"/>
                <w:u w:val="single"/>
              </w:rPr>
            </w:pPr>
          </w:p>
        </w:tc>
      </w:tr>
    </w:tbl>
    <w:p>
      <w:pPr>
        <w:spacing w:line="380" w:lineRule="atLeast"/>
        <w:rPr>
          <w:color w:val="auto"/>
          <w:highlight w:val="none"/>
        </w:rPr>
      </w:pPr>
      <w:r>
        <w:rPr>
          <w:rFonts w:hint="eastAsia" w:eastAsia="楷体_GB2312" w:cs="楷体_GB2312"/>
          <w:color w:val="auto"/>
          <w:highlight w:val="none"/>
        </w:rPr>
        <w:t>【备注：根据评分办法的资格审查标准调整本表】</w:t>
      </w:r>
    </w:p>
    <w:p>
      <w:pPr>
        <w:spacing w:line="380" w:lineRule="atLeast"/>
        <w:rPr>
          <w:rFonts w:cs="宋体"/>
          <w:color w:val="auto"/>
          <w:highlight w:val="none"/>
        </w:rPr>
      </w:pPr>
      <w:r>
        <w:rPr>
          <w:rFonts w:hint="eastAsia" w:cs="宋体"/>
          <w:color w:val="auto"/>
          <w:highlight w:val="none"/>
        </w:rPr>
        <w:t>评标委员会全体成员签名：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pPr>
        <w:spacing w:line="380" w:lineRule="atLeast"/>
        <w:rPr>
          <w:color w:val="auto"/>
          <w:highlight w:val="none"/>
        </w:rPr>
      </w:pPr>
    </w:p>
    <w:p>
      <w:pPr>
        <w:spacing w:line="440" w:lineRule="exact"/>
        <w:rPr>
          <w:b/>
          <w:color w:val="auto"/>
          <w:highlight w:val="none"/>
        </w:rPr>
      </w:pPr>
      <w:r>
        <w:rPr>
          <w:rFonts w:eastAsia="黑体"/>
          <w:color w:val="auto"/>
          <w:highlight w:val="none"/>
        </w:rPr>
        <w:br w:type="page"/>
      </w:r>
      <w:r>
        <w:rPr>
          <w:rFonts w:hint="eastAsia" w:cs="宋体"/>
          <w:b/>
          <w:color w:val="auto"/>
          <w:highlight w:val="none"/>
        </w:rPr>
        <w:t>附表</w:t>
      </w:r>
      <w:r>
        <w:rPr>
          <w:b/>
          <w:color w:val="auto"/>
          <w:highlight w:val="none"/>
        </w:rPr>
        <w:t>A-4</w:t>
      </w:r>
      <w:r>
        <w:rPr>
          <w:rFonts w:hint="eastAsia" w:cs="宋体"/>
          <w:b/>
          <w:color w:val="auto"/>
          <w:highlight w:val="none"/>
        </w:rPr>
        <w:t>：形式评审记录表</w:t>
      </w:r>
    </w:p>
    <w:p>
      <w:pPr>
        <w:spacing w:line="440" w:lineRule="exact"/>
        <w:jc w:val="center"/>
        <w:rPr>
          <w:color w:val="auto"/>
          <w:highlight w:val="none"/>
        </w:rPr>
      </w:pPr>
      <w:r>
        <w:rPr>
          <w:rFonts w:hint="eastAsia" w:eastAsia="黑体" w:cs="黑体"/>
          <w:color w:val="auto"/>
          <w:sz w:val="28"/>
          <w:szCs w:val="28"/>
          <w:highlight w:val="none"/>
        </w:rPr>
        <w:t>形式评审记录表</w:t>
      </w:r>
    </w:p>
    <w:p>
      <w:pPr>
        <w:spacing w:afterLines="30" w:line="440" w:lineRule="exact"/>
        <w:rPr>
          <w:color w:val="auto"/>
          <w:highlight w:val="none"/>
        </w:rPr>
      </w:pPr>
      <w:r>
        <w:rPr>
          <w:rFonts w:hint="eastAsia" w:cs="宋体"/>
          <w:color w:val="auto"/>
          <w:highlight w:val="none"/>
        </w:rPr>
        <w:t>项目名称及项目招标编号：</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2"/>
        <w:tblW w:w="138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156"/>
        <w:gridCol w:w="1197"/>
        <w:gridCol w:w="1197"/>
        <w:gridCol w:w="1198"/>
        <w:gridCol w:w="1197"/>
        <w:gridCol w:w="1197"/>
        <w:gridCol w:w="1198"/>
        <w:gridCol w:w="1197"/>
        <w:gridCol w:w="1197"/>
        <w:gridCol w:w="1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jc w:val="center"/>
        </w:trPr>
        <w:tc>
          <w:tcPr>
            <w:tcW w:w="912" w:type="dxa"/>
            <w:shd w:val="clear" w:color="auto" w:fill="auto"/>
            <w:vAlign w:val="center"/>
          </w:tcPr>
          <w:p>
            <w:pPr>
              <w:spacing w:afterLines="30" w:line="440" w:lineRule="exact"/>
              <w:rPr>
                <w:color w:val="auto"/>
                <w:highlight w:val="none"/>
              </w:rPr>
            </w:pPr>
            <w:r>
              <w:rPr>
                <w:rFonts w:hint="eastAsia" w:cs="宋体"/>
                <w:color w:val="auto"/>
                <w:highlight w:val="none"/>
              </w:rPr>
              <w:t>序号</w:t>
            </w:r>
          </w:p>
        </w:tc>
        <w:tc>
          <w:tcPr>
            <w:tcW w:w="2156" w:type="dxa"/>
            <w:shd w:val="clear" w:color="auto" w:fill="auto"/>
            <w:vAlign w:val="center"/>
          </w:tcPr>
          <w:p>
            <w:pPr>
              <w:spacing w:line="440" w:lineRule="exact"/>
              <w:jc w:val="center"/>
              <w:rPr>
                <w:color w:val="auto"/>
                <w:highlight w:val="none"/>
              </w:rPr>
            </w:pPr>
            <w:r>
              <w:rPr>
                <w:rFonts w:hint="eastAsia" w:cs="宋体"/>
                <w:color w:val="auto"/>
                <w:highlight w:val="none"/>
              </w:rPr>
              <w:t>评审因素</w:t>
            </w:r>
          </w:p>
        </w:tc>
        <w:tc>
          <w:tcPr>
            <w:tcW w:w="10776" w:type="dxa"/>
            <w:gridSpan w:val="9"/>
            <w:shd w:val="clear" w:color="auto" w:fill="auto"/>
            <w:vAlign w:val="center"/>
          </w:tcPr>
          <w:p>
            <w:pPr>
              <w:spacing w:line="440" w:lineRule="exact"/>
              <w:jc w:val="center"/>
              <w:rPr>
                <w:color w:val="auto"/>
                <w:highlight w:val="none"/>
              </w:rPr>
            </w:pPr>
            <w:r>
              <w:rPr>
                <w:rFonts w:hint="eastAsia" w:cs="宋体"/>
                <w:color w:val="auto"/>
                <w:highlight w:val="none"/>
              </w:rPr>
              <w:t>投标人名称及评审意见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912" w:type="dxa"/>
            <w:shd w:val="clear" w:color="auto" w:fill="auto"/>
            <w:vAlign w:val="center"/>
          </w:tcPr>
          <w:p>
            <w:pPr>
              <w:spacing w:line="440" w:lineRule="exact"/>
              <w:jc w:val="center"/>
              <w:rPr>
                <w:rFonts w:eastAsia="黑体"/>
                <w:color w:val="auto"/>
                <w:highlight w:val="none"/>
              </w:rPr>
            </w:pPr>
            <w:r>
              <w:rPr>
                <w:rFonts w:eastAsia="黑体"/>
                <w:color w:val="auto"/>
                <w:highlight w:val="none"/>
              </w:rPr>
              <w:t>1</w:t>
            </w:r>
          </w:p>
        </w:tc>
        <w:tc>
          <w:tcPr>
            <w:tcW w:w="2156" w:type="dxa"/>
            <w:shd w:val="clear" w:color="auto" w:fill="auto"/>
            <w:vAlign w:val="center"/>
          </w:tcPr>
          <w:p>
            <w:pPr>
              <w:spacing w:line="440" w:lineRule="exact"/>
              <w:jc w:val="center"/>
              <w:rPr>
                <w:color w:val="auto"/>
                <w:highlight w:val="none"/>
              </w:rPr>
            </w:pPr>
            <w:r>
              <w:rPr>
                <w:rFonts w:hint="eastAsia" w:cs="宋体"/>
                <w:color w:val="auto"/>
                <w:highlight w:val="none"/>
              </w:rPr>
              <w:t>投标人名称</w:t>
            </w:r>
          </w:p>
        </w:tc>
        <w:tc>
          <w:tcPr>
            <w:tcW w:w="1197" w:type="dxa"/>
            <w:shd w:val="clear" w:color="auto" w:fill="auto"/>
            <w:vAlign w:val="center"/>
          </w:tcPr>
          <w:p>
            <w:pPr>
              <w:spacing w:line="440" w:lineRule="exact"/>
              <w:jc w:val="center"/>
              <w:rPr>
                <w:color w:val="auto"/>
                <w:highlight w:val="none"/>
              </w:rPr>
            </w:pPr>
          </w:p>
        </w:tc>
        <w:tc>
          <w:tcPr>
            <w:tcW w:w="1197" w:type="dxa"/>
            <w:shd w:val="clear" w:color="auto" w:fill="auto"/>
            <w:vAlign w:val="center"/>
          </w:tcPr>
          <w:p>
            <w:pPr>
              <w:spacing w:line="440" w:lineRule="exact"/>
              <w:jc w:val="center"/>
              <w:rPr>
                <w:color w:val="auto"/>
                <w:highlight w:val="none"/>
              </w:rPr>
            </w:pPr>
          </w:p>
        </w:tc>
        <w:tc>
          <w:tcPr>
            <w:tcW w:w="1198" w:type="dxa"/>
            <w:shd w:val="clear" w:color="auto" w:fill="auto"/>
            <w:vAlign w:val="center"/>
          </w:tcPr>
          <w:p>
            <w:pPr>
              <w:spacing w:line="440" w:lineRule="exact"/>
              <w:jc w:val="center"/>
              <w:rPr>
                <w:color w:val="auto"/>
                <w:highlight w:val="none"/>
              </w:rPr>
            </w:pPr>
          </w:p>
        </w:tc>
        <w:tc>
          <w:tcPr>
            <w:tcW w:w="1197" w:type="dxa"/>
            <w:shd w:val="clear" w:color="auto" w:fill="auto"/>
            <w:vAlign w:val="center"/>
          </w:tcPr>
          <w:p>
            <w:pPr>
              <w:spacing w:line="440" w:lineRule="exact"/>
              <w:jc w:val="center"/>
              <w:rPr>
                <w:color w:val="auto"/>
                <w:highlight w:val="none"/>
              </w:rPr>
            </w:pPr>
          </w:p>
        </w:tc>
        <w:tc>
          <w:tcPr>
            <w:tcW w:w="1197" w:type="dxa"/>
            <w:shd w:val="clear" w:color="auto" w:fill="auto"/>
            <w:vAlign w:val="center"/>
          </w:tcPr>
          <w:p>
            <w:pPr>
              <w:spacing w:line="440" w:lineRule="exact"/>
              <w:jc w:val="center"/>
              <w:rPr>
                <w:color w:val="auto"/>
                <w:highlight w:val="none"/>
              </w:rPr>
            </w:pPr>
          </w:p>
        </w:tc>
        <w:tc>
          <w:tcPr>
            <w:tcW w:w="1198" w:type="dxa"/>
            <w:shd w:val="clear" w:color="auto" w:fill="auto"/>
            <w:vAlign w:val="center"/>
          </w:tcPr>
          <w:p>
            <w:pPr>
              <w:spacing w:line="440" w:lineRule="exact"/>
              <w:jc w:val="center"/>
              <w:rPr>
                <w:color w:val="auto"/>
                <w:highlight w:val="none"/>
              </w:rPr>
            </w:pPr>
          </w:p>
        </w:tc>
        <w:tc>
          <w:tcPr>
            <w:tcW w:w="1197" w:type="dxa"/>
            <w:shd w:val="clear" w:color="auto" w:fill="auto"/>
            <w:vAlign w:val="center"/>
          </w:tcPr>
          <w:p>
            <w:pPr>
              <w:spacing w:line="440" w:lineRule="exact"/>
              <w:jc w:val="center"/>
              <w:rPr>
                <w:color w:val="auto"/>
                <w:highlight w:val="none"/>
              </w:rPr>
            </w:pPr>
          </w:p>
        </w:tc>
        <w:tc>
          <w:tcPr>
            <w:tcW w:w="1197" w:type="dxa"/>
            <w:shd w:val="clear" w:color="auto" w:fill="auto"/>
            <w:vAlign w:val="center"/>
          </w:tcPr>
          <w:p>
            <w:pPr>
              <w:spacing w:line="440" w:lineRule="exact"/>
              <w:jc w:val="center"/>
              <w:rPr>
                <w:color w:val="auto"/>
                <w:highlight w:val="none"/>
              </w:rPr>
            </w:pPr>
          </w:p>
        </w:tc>
        <w:tc>
          <w:tcPr>
            <w:tcW w:w="1198" w:type="dxa"/>
            <w:shd w:val="clear" w:color="auto" w:fill="auto"/>
            <w:vAlign w:val="center"/>
          </w:tcPr>
          <w:p>
            <w:pPr>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912" w:type="dxa"/>
            <w:shd w:val="clear" w:color="auto" w:fill="auto"/>
            <w:vAlign w:val="center"/>
          </w:tcPr>
          <w:p>
            <w:pPr>
              <w:spacing w:line="440" w:lineRule="exact"/>
              <w:jc w:val="center"/>
              <w:rPr>
                <w:rFonts w:eastAsia="黑体"/>
                <w:color w:val="auto"/>
                <w:highlight w:val="none"/>
              </w:rPr>
            </w:pPr>
            <w:r>
              <w:rPr>
                <w:rFonts w:eastAsia="黑体"/>
                <w:color w:val="auto"/>
                <w:highlight w:val="none"/>
              </w:rPr>
              <w:t>2</w:t>
            </w:r>
          </w:p>
        </w:tc>
        <w:tc>
          <w:tcPr>
            <w:tcW w:w="2156" w:type="dxa"/>
            <w:shd w:val="clear" w:color="auto" w:fill="auto"/>
            <w:vAlign w:val="center"/>
          </w:tcPr>
          <w:p>
            <w:pPr>
              <w:spacing w:line="440" w:lineRule="exact"/>
              <w:jc w:val="center"/>
              <w:rPr>
                <w:color w:val="auto"/>
                <w:highlight w:val="none"/>
              </w:rPr>
            </w:pPr>
            <w:r>
              <w:rPr>
                <w:rFonts w:hint="eastAsia" w:cs="宋体"/>
                <w:color w:val="auto"/>
                <w:highlight w:val="none"/>
              </w:rPr>
              <w:t>投标函签字盖章</w:t>
            </w:r>
          </w:p>
        </w:tc>
        <w:tc>
          <w:tcPr>
            <w:tcW w:w="1197" w:type="dxa"/>
            <w:shd w:val="clear" w:color="auto" w:fill="auto"/>
            <w:vAlign w:val="center"/>
          </w:tcPr>
          <w:p>
            <w:pPr>
              <w:spacing w:line="440" w:lineRule="exact"/>
              <w:jc w:val="center"/>
              <w:rPr>
                <w:color w:val="auto"/>
                <w:highlight w:val="none"/>
              </w:rPr>
            </w:pPr>
          </w:p>
        </w:tc>
        <w:tc>
          <w:tcPr>
            <w:tcW w:w="1197" w:type="dxa"/>
            <w:shd w:val="clear" w:color="auto" w:fill="auto"/>
            <w:vAlign w:val="center"/>
          </w:tcPr>
          <w:p>
            <w:pPr>
              <w:spacing w:line="440" w:lineRule="exact"/>
              <w:jc w:val="center"/>
              <w:rPr>
                <w:color w:val="auto"/>
                <w:highlight w:val="none"/>
              </w:rPr>
            </w:pPr>
          </w:p>
        </w:tc>
        <w:tc>
          <w:tcPr>
            <w:tcW w:w="1198" w:type="dxa"/>
            <w:shd w:val="clear" w:color="auto" w:fill="auto"/>
            <w:vAlign w:val="center"/>
          </w:tcPr>
          <w:p>
            <w:pPr>
              <w:spacing w:line="440" w:lineRule="exact"/>
              <w:jc w:val="center"/>
              <w:rPr>
                <w:color w:val="auto"/>
                <w:highlight w:val="none"/>
              </w:rPr>
            </w:pPr>
          </w:p>
        </w:tc>
        <w:tc>
          <w:tcPr>
            <w:tcW w:w="1197" w:type="dxa"/>
            <w:shd w:val="clear" w:color="auto" w:fill="auto"/>
            <w:vAlign w:val="center"/>
          </w:tcPr>
          <w:p>
            <w:pPr>
              <w:spacing w:line="440" w:lineRule="exact"/>
              <w:jc w:val="center"/>
              <w:rPr>
                <w:color w:val="auto"/>
                <w:highlight w:val="none"/>
              </w:rPr>
            </w:pPr>
          </w:p>
        </w:tc>
        <w:tc>
          <w:tcPr>
            <w:tcW w:w="1197" w:type="dxa"/>
            <w:shd w:val="clear" w:color="auto" w:fill="auto"/>
            <w:vAlign w:val="center"/>
          </w:tcPr>
          <w:p>
            <w:pPr>
              <w:spacing w:line="440" w:lineRule="exact"/>
              <w:jc w:val="center"/>
              <w:rPr>
                <w:color w:val="auto"/>
                <w:highlight w:val="none"/>
              </w:rPr>
            </w:pPr>
          </w:p>
        </w:tc>
        <w:tc>
          <w:tcPr>
            <w:tcW w:w="1198" w:type="dxa"/>
            <w:shd w:val="clear" w:color="auto" w:fill="auto"/>
            <w:vAlign w:val="center"/>
          </w:tcPr>
          <w:p>
            <w:pPr>
              <w:spacing w:line="440" w:lineRule="exact"/>
              <w:jc w:val="center"/>
              <w:rPr>
                <w:color w:val="auto"/>
                <w:highlight w:val="none"/>
              </w:rPr>
            </w:pPr>
          </w:p>
        </w:tc>
        <w:tc>
          <w:tcPr>
            <w:tcW w:w="1197" w:type="dxa"/>
            <w:shd w:val="clear" w:color="auto" w:fill="auto"/>
            <w:vAlign w:val="center"/>
          </w:tcPr>
          <w:p>
            <w:pPr>
              <w:spacing w:line="440" w:lineRule="exact"/>
              <w:jc w:val="center"/>
              <w:rPr>
                <w:color w:val="auto"/>
                <w:highlight w:val="none"/>
              </w:rPr>
            </w:pPr>
          </w:p>
        </w:tc>
        <w:tc>
          <w:tcPr>
            <w:tcW w:w="1197" w:type="dxa"/>
            <w:shd w:val="clear" w:color="auto" w:fill="auto"/>
            <w:vAlign w:val="center"/>
          </w:tcPr>
          <w:p>
            <w:pPr>
              <w:spacing w:line="440" w:lineRule="exact"/>
              <w:jc w:val="center"/>
              <w:rPr>
                <w:color w:val="auto"/>
                <w:highlight w:val="none"/>
              </w:rPr>
            </w:pPr>
          </w:p>
        </w:tc>
        <w:tc>
          <w:tcPr>
            <w:tcW w:w="1198" w:type="dxa"/>
            <w:shd w:val="clear" w:color="auto" w:fill="auto"/>
            <w:vAlign w:val="center"/>
          </w:tcPr>
          <w:p>
            <w:pPr>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912" w:type="dxa"/>
            <w:shd w:val="clear" w:color="auto" w:fill="auto"/>
            <w:vAlign w:val="center"/>
          </w:tcPr>
          <w:p>
            <w:pPr>
              <w:spacing w:line="440" w:lineRule="exact"/>
              <w:jc w:val="center"/>
              <w:rPr>
                <w:rFonts w:eastAsia="黑体"/>
                <w:color w:val="auto"/>
                <w:highlight w:val="none"/>
              </w:rPr>
            </w:pPr>
            <w:r>
              <w:rPr>
                <w:rFonts w:eastAsia="黑体"/>
                <w:color w:val="auto"/>
                <w:highlight w:val="none"/>
              </w:rPr>
              <w:t>3</w:t>
            </w:r>
          </w:p>
        </w:tc>
        <w:tc>
          <w:tcPr>
            <w:tcW w:w="2156" w:type="dxa"/>
            <w:shd w:val="clear" w:color="auto" w:fill="auto"/>
            <w:vAlign w:val="center"/>
          </w:tcPr>
          <w:p>
            <w:pPr>
              <w:spacing w:line="440" w:lineRule="exact"/>
              <w:jc w:val="center"/>
              <w:rPr>
                <w:color w:val="auto"/>
                <w:highlight w:val="none"/>
              </w:rPr>
            </w:pPr>
            <w:r>
              <w:rPr>
                <w:rFonts w:hint="eastAsia" w:cs="宋体"/>
                <w:color w:val="auto"/>
                <w:highlight w:val="none"/>
              </w:rPr>
              <w:t>投标文件格式</w:t>
            </w:r>
          </w:p>
        </w:tc>
        <w:tc>
          <w:tcPr>
            <w:tcW w:w="1197" w:type="dxa"/>
            <w:shd w:val="clear" w:color="auto" w:fill="auto"/>
            <w:vAlign w:val="center"/>
          </w:tcPr>
          <w:p>
            <w:pPr>
              <w:spacing w:line="440" w:lineRule="exact"/>
              <w:jc w:val="center"/>
              <w:rPr>
                <w:color w:val="auto"/>
                <w:highlight w:val="none"/>
              </w:rPr>
            </w:pPr>
          </w:p>
        </w:tc>
        <w:tc>
          <w:tcPr>
            <w:tcW w:w="1197" w:type="dxa"/>
            <w:shd w:val="clear" w:color="auto" w:fill="auto"/>
            <w:vAlign w:val="center"/>
          </w:tcPr>
          <w:p>
            <w:pPr>
              <w:spacing w:line="440" w:lineRule="exact"/>
              <w:jc w:val="center"/>
              <w:rPr>
                <w:color w:val="auto"/>
                <w:highlight w:val="none"/>
              </w:rPr>
            </w:pPr>
          </w:p>
        </w:tc>
        <w:tc>
          <w:tcPr>
            <w:tcW w:w="1198" w:type="dxa"/>
            <w:shd w:val="clear" w:color="auto" w:fill="auto"/>
            <w:vAlign w:val="center"/>
          </w:tcPr>
          <w:p>
            <w:pPr>
              <w:spacing w:line="440" w:lineRule="exact"/>
              <w:jc w:val="center"/>
              <w:rPr>
                <w:color w:val="auto"/>
                <w:highlight w:val="none"/>
              </w:rPr>
            </w:pPr>
          </w:p>
        </w:tc>
        <w:tc>
          <w:tcPr>
            <w:tcW w:w="1197" w:type="dxa"/>
            <w:shd w:val="clear" w:color="auto" w:fill="auto"/>
            <w:vAlign w:val="center"/>
          </w:tcPr>
          <w:p>
            <w:pPr>
              <w:spacing w:line="440" w:lineRule="exact"/>
              <w:jc w:val="center"/>
              <w:rPr>
                <w:color w:val="auto"/>
                <w:highlight w:val="none"/>
              </w:rPr>
            </w:pPr>
          </w:p>
        </w:tc>
        <w:tc>
          <w:tcPr>
            <w:tcW w:w="1197" w:type="dxa"/>
            <w:shd w:val="clear" w:color="auto" w:fill="auto"/>
            <w:vAlign w:val="center"/>
          </w:tcPr>
          <w:p>
            <w:pPr>
              <w:spacing w:line="440" w:lineRule="exact"/>
              <w:jc w:val="center"/>
              <w:rPr>
                <w:color w:val="auto"/>
                <w:highlight w:val="none"/>
              </w:rPr>
            </w:pPr>
          </w:p>
        </w:tc>
        <w:tc>
          <w:tcPr>
            <w:tcW w:w="1198" w:type="dxa"/>
            <w:shd w:val="clear" w:color="auto" w:fill="auto"/>
            <w:vAlign w:val="center"/>
          </w:tcPr>
          <w:p>
            <w:pPr>
              <w:spacing w:line="440" w:lineRule="exact"/>
              <w:jc w:val="center"/>
              <w:rPr>
                <w:color w:val="auto"/>
                <w:highlight w:val="none"/>
              </w:rPr>
            </w:pPr>
          </w:p>
        </w:tc>
        <w:tc>
          <w:tcPr>
            <w:tcW w:w="1197" w:type="dxa"/>
            <w:shd w:val="clear" w:color="auto" w:fill="auto"/>
            <w:vAlign w:val="center"/>
          </w:tcPr>
          <w:p>
            <w:pPr>
              <w:spacing w:line="440" w:lineRule="exact"/>
              <w:jc w:val="center"/>
              <w:rPr>
                <w:color w:val="auto"/>
                <w:highlight w:val="none"/>
              </w:rPr>
            </w:pPr>
          </w:p>
        </w:tc>
        <w:tc>
          <w:tcPr>
            <w:tcW w:w="1197" w:type="dxa"/>
            <w:shd w:val="clear" w:color="auto" w:fill="auto"/>
            <w:vAlign w:val="center"/>
          </w:tcPr>
          <w:p>
            <w:pPr>
              <w:spacing w:line="440" w:lineRule="exact"/>
              <w:jc w:val="center"/>
              <w:rPr>
                <w:color w:val="auto"/>
                <w:highlight w:val="none"/>
              </w:rPr>
            </w:pPr>
          </w:p>
        </w:tc>
        <w:tc>
          <w:tcPr>
            <w:tcW w:w="1198" w:type="dxa"/>
            <w:shd w:val="clear" w:color="auto" w:fill="auto"/>
            <w:vAlign w:val="center"/>
          </w:tcPr>
          <w:p>
            <w:pPr>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912" w:type="dxa"/>
            <w:shd w:val="clear" w:color="auto" w:fill="auto"/>
            <w:vAlign w:val="center"/>
          </w:tcPr>
          <w:p>
            <w:pPr>
              <w:spacing w:line="440" w:lineRule="exact"/>
              <w:jc w:val="center"/>
              <w:rPr>
                <w:rFonts w:eastAsia="黑体"/>
                <w:color w:val="auto"/>
                <w:highlight w:val="none"/>
              </w:rPr>
            </w:pPr>
            <w:r>
              <w:rPr>
                <w:rFonts w:eastAsia="黑体"/>
                <w:color w:val="auto"/>
                <w:highlight w:val="none"/>
              </w:rPr>
              <w:t>4</w:t>
            </w:r>
          </w:p>
        </w:tc>
        <w:tc>
          <w:tcPr>
            <w:tcW w:w="2156" w:type="dxa"/>
            <w:shd w:val="clear" w:color="auto" w:fill="auto"/>
            <w:vAlign w:val="center"/>
          </w:tcPr>
          <w:p>
            <w:pPr>
              <w:spacing w:line="440" w:lineRule="exact"/>
              <w:jc w:val="center"/>
              <w:rPr>
                <w:color w:val="auto"/>
                <w:highlight w:val="none"/>
              </w:rPr>
            </w:pPr>
            <w:r>
              <w:rPr>
                <w:rFonts w:hint="eastAsia" w:cs="宋体"/>
                <w:color w:val="auto"/>
                <w:highlight w:val="none"/>
              </w:rPr>
              <w:t>联合体投标人（如有）</w:t>
            </w:r>
          </w:p>
        </w:tc>
        <w:tc>
          <w:tcPr>
            <w:tcW w:w="1197" w:type="dxa"/>
            <w:shd w:val="clear" w:color="auto" w:fill="auto"/>
            <w:vAlign w:val="center"/>
          </w:tcPr>
          <w:p>
            <w:pPr>
              <w:spacing w:line="440" w:lineRule="exact"/>
              <w:jc w:val="center"/>
              <w:rPr>
                <w:color w:val="auto"/>
                <w:highlight w:val="none"/>
              </w:rPr>
            </w:pPr>
          </w:p>
        </w:tc>
        <w:tc>
          <w:tcPr>
            <w:tcW w:w="1197" w:type="dxa"/>
            <w:shd w:val="clear" w:color="auto" w:fill="auto"/>
            <w:vAlign w:val="center"/>
          </w:tcPr>
          <w:p>
            <w:pPr>
              <w:spacing w:line="440" w:lineRule="exact"/>
              <w:jc w:val="center"/>
              <w:rPr>
                <w:color w:val="auto"/>
                <w:highlight w:val="none"/>
              </w:rPr>
            </w:pPr>
          </w:p>
        </w:tc>
        <w:tc>
          <w:tcPr>
            <w:tcW w:w="1198" w:type="dxa"/>
            <w:shd w:val="clear" w:color="auto" w:fill="auto"/>
            <w:vAlign w:val="center"/>
          </w:tcPr>
          <w:p>
            <w:pPr>
              <w:spacing w:line="440" w:lineRule="exact"/>
              <w:jc w:val="center"/>
              <w:rPr>
                <w:color w:val="auto"/>
                <w:highlight w:val="none"/>
              </w:rPr>
            </w:pPr>
          </w:p>
        </w:tc>
        <w:tc>
          <w:tcPr>
            <w:tcW w:w="1197" w:type="dxa"/>
            <w:shd w:val="clear" w:color="auto" w:fill="auto"/>
            <w:vAlign w:val="center"/>
          </w:tcPr>
          <w:p>
            <w:pPr>
              <w:spacing w:line="440" w:lineRule="exact"/>
              <w:jc w:val="center"/>
              <w:rPr>
                <w:color w:val="auto"/>
                <w:highlight w:val="none"/>
              </w:rPr>
            </w:pPr>
          </w:p>
        </w:tc>
        <w:tc>
          <w:tcPr>
            <w:tcW w:w="1197" w:type="dxa"/>
            <w:shd w:val="clear" w:color="auto" w:fill="auto"/>
            <w:vAlign w:val="center"/>
          </w:tcPr>
          <w:p>
            <w:pPr>
              <w:spacing w:line="440" w:lineRule="exact"/>
              <w:jc w:val="center"/>
              <w:rPr>
                <w:color w:val="auto"/>
                <w:highlight w:val="none"/>
              </w:rPr>
            </w:pPr>
          </w:p>
        </w:tc>
        <w:tc>
          <w:tcPr>
            <w:tcW w:w="1198" w:type="dxa"/>
            <w:shd w:val="clear" w:color="auto" w:fill="auto"/>
            <w:vAlign w:val="center"/>
          </w:tcPr>
          <w:p>
            <w:pPr>
              <w:spacing w:line="440" w:lineRule="exact"/>
              <w:jc w:val="center"/>
              <w:rPr>
                <w:color w:val="auto"/>
                <w:highlight w:val="none"/>
              </w:rPr>
            </w:pPr>
          </w:p>
        </w:tc>
        <w:tc>
          <w:tcPr>
            <w:tcW w:w="1197" w:type="dxa"/>
            <w:shd w:val="clear" w:color="auto" w:fill="auto"/>
            <w:vAlign w:val="center"/>
          </w:tcPr>
          <w:p>
            <w:pPr>
              <w:spacing w:line="440" w:lineRule="exact"/>
              <w:jc w:val="center"/>
              <w:rPr>
                <w:color w:val="auto"/>
                <w:highlight w:val="none"/>
              </w:rPr>
            </w:pPr>
          </w:p>
        </w:tc>
        <w:tc>
          <w:tcPr>
            <w:tcW w:w="1197" w:type="dxa"/>
            <w:shd w:val="clear" w:color="auto" w:fill="auto"/>
            <w:vAlign w:val="center"/>
          </w:tcPr>
          <w:p>
            <w:pPr>
              <w:spacing w:line="440" w:lineRule="exact"/>
              <w:jc w:val="center"/>
              <w:rPr>
                <w:color w:val="auto"/>
                <w:highlight w:val="none"/>
              </w:rPr>
            </w:pPr>
          </w:p>
        </w:tc>
        <w:tc>
          <w:tcPr>
            <w:tcW w:w="1198" w:type="dxa"/>
            <w:shd w:val="clear" w:color="auto" w:fill="auto"/>
            <w:vAlign w:val="center"/>
          </w:tcPr>
          <w:p>
            <w:pPr>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912" w:type="dxa"/>
            <w:shd w:val="clear" w:color="auto" w:fill="auto"/>
            <w:vAlign w:val="center"/>
          </w:tcPr>
          <w:p>
            <w:pPr>
              <w:spacing w:line="440" w:lineRule="exact"/>
              <w:jc w:val="center"/>
              <w:rPr>
                <w:rFonts w:eastAsia="黑体"/>
                <w:color w:val="auto"/>
                <w:highlight w:val="none"/>
              </w:rPr>
            </w:pPr>
            <w:r>
              <w:rPr>
                <w:rFonts w:eastAsia="黑体"/>
                <w:color w:val="auto"/>
                <w:highlight w:val="none"/>
              </w:rPr>
              <w:t>5</w:t>
            </w:r>
          </w:p>
        </w:tc>
        <w:tc>
          <w:tcPr>
            <w:tcW w:w="2156" w:type="dxa"/>
            <w:shd w:val="clear" w:color="auto" w:fill="auto"/>
            <w:vAlign w:val="center"/>
          </w:tcPr>
          <w:p>
            <w:pPr>
              <w:spacing w:line="440" w:lineRule="exact"/>
              <w:jc w:val="center"/>
              <w:rPr>
                <w:color w:val="auto"/>
                <w:highlight w:val="none"/>
              </w:rPr>
            </w:pPr>
            <w:r>
              <w:rPr>
                <w:rFonts w:hint="eastAsia" w:cs="宋体"/>
                <w:color w:val="auto"/>
                <w:highlight w:val="none"/>
              </w:rPr>
              <w:t>报价唯一</w:t>
            </w:r>
          </w:p>
        </w:tc>
        <w:tc>
          <w:tcPr>
            <w:tcW w:w="1197" w:type="dxa"/>
            <w:shd w:val="clear" w:color="auto" w:fill="auto"/>
            <w:vAlign w:val="center"/>
          </w:tcPr>
          <w:p>
            <w:pPr>
              <w:spacing w:line="440" w:lineRule="exact"/>
              <w:jc w:val="center"/>
              <w:rPr>
                <w:color w:val="auto"/>
                <w:highlight w:val="none"/>
              </w:rPr>
            </w:pPr>
          </w:p>
        </w:tc>
        <w:tc>
          <w:tcPr>
            <w:tcW w:w="1197" w:type="dxa"/>
            <w:shd w:val="clear" w:color="auto" w:fill="auto"/>
            <w:vAlign w:val="center"/>
          </w:tcPr>
          <w:p>
            <w:pPr>
              <w:spacing w:line="440" w:lineRule="exact"/>
              <w:jc w:val="center"/>
              <w:rPr>
                <w:color w:val="auto"/>
                <w:highlight w:val="none"/>
              </w:rPr>
            </w:pPr>
          </w:p>
        </w:tc>
        <w:tc>
          <w:tcPr>
            <w:tcW w:w="1198" w:type="dxa"/>
            <w:shd w:val="clear" w:color="auto" w:fill="auto"/>
            <w:vAlign w:val="center"/>
          </w:tcPr>
          <w:p>
            <w:pPr>
              <w:spacing w:line="440" w:lineRule="exact"/>
              <w:jc w:val="center"/>
              <w:rPr>
                <w:color w:val="auto"/>
                <w:highlight w:val="none"/>
              </w:rPr>
            </w:pPr>
          </w:p>
        </w:tc>
        <w:tc>
          <w:tcPr>
            <w:tcW w:w="1197" w:type="dxa"/>
            <w:shd w:val="clear" w:color="auto" w:fill="auto"/>
            <w:vAlign w:val="center"/>
          </w:tcPr>
          <w:p>
            <w:pPr>
              <w:spacing w:line="440" w:lineRule="exact"/>
              <w:jc w:val="center"/>
              <w:rPr>
                <w:color w:val="auto"/>
                <w:highlight w:val="none"/>
              </w:rPr>
            </w:pPr>
          </w:p>
        </w:tc>
        <w:tc>
          <w:tcPr>
            <w:tcW w:w="1197" w:type="dxa"/>
            <w:shd w:val="clear" w:color="auto" w:fill="auto"/>
            <w:vAlign w:val="center"/>
          </w:tcPr>
          <w:p>
            <w:pPr>
              <w:spacing w:line="440" w:lineRule="exact"/>
              <w:jc w:val="center"/>
              <w:rPr>
                <w:color w:val="auto"/>
                <w:highlight w:val="none"/>
              </w:rPr>
            </w:pPr>
          </w:p>
        </w:tc>
        <w:tc>
          <w:tcPr>
            <w:tcW w:w="1198" w:type="dxa"/>
            <w:shd w:val="clear" w:color="auto" w:fill="auto"/>
            <w:vAlign w:val="center"/>
          </w:tcPr>
          <w:p>
            <w:pPr>
              <w:spacing w:line="440" w:lineRule="exact"/>
              <w:jc w:val="center"/>
              <w:rPr>
                <w:color w:val="auto"/>
                <w:highlight w:val="none"/>
              </w:rPr>
            </w:pPr>
          </w:p>
        </w:tc>
        <w:tc>
          <w:tcPr>
            <w:tcW w:w="1197" w:type="dxa"/>
            <w:shd w:val="clear" w:color="auto" w:fill="auto"/>
            <w:vAlign w:val="center"/>
          </w:tcPr>
          <w:p>
            <w:pPr>
              <w:spacing w:line="440" w:lineRule="exact"/>
              <w:jc w:val="center"/>
              <w:rPr>
                <w:color w:val="auto"/>
                <w:highlight w:val="none"/>
              </w:rPr>
            </w:pPr>
          </w:p>
        </w:tc>
        <w:tc>
          <w:tcPr>
            <w:tcW w:w="1197" w:type="dxa"/>
            <w:shd w:val="clear" w:color="auto" w:fill="auto"/>
            <w:vAlign w:val="center"/>
          </w:tcPr>
          <w:p>
            <w:pPr>
              <w:spacing w:line="440" w:lineRule="exact"/>
              <w:jc w:val="center"/>
              <w:rPr>
                <w:color w:val="auto"/>
                <w:highlight w:val="none"/>
              </w:rPr>
            </w:pPr>
          </w:p>
        </w:tc>
        <w:tc>
          <w:tcPr>
            <w:tcW w:w="1198" w:type="dxa"/>
            <w:shd w:val="clear" w:color="auto" w:fill="auto"/>
            <w:vAlign w:val="center"/>
          </w:tcPr>
          <w:p>
            <w:pPr>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3068" w:type="dxa"/>
            <w:gridSpan w:val="2"/>
            <w:shd w:val="clear" w:color="auto" w:fill="auto"/>
            <w:vAlign w:val="center"/>
          </w:tcPr>
          <w:p>
            <w:pPr>
              <w:spacing w:line="440" w:lineRule="exact"/>
              <w:jc w:val="center"/>
              <w:rPr>
                <w:color w:val="auto"/>
                <w:highlight w:val="none"/>
              </w:rPr>
            </w:pPr>
            <w:r>
              <w:rPr>
                <w:rFonts w:hint="eastAsia" w:cs="宋体"/>
                <w:color w:val="auto"/>
                <w:highlight w:val="none"/>
              </w:rPr>
              <w:t>是否通过评审</w:t>
            </w:r>
          </w:p>
        </w:tc>
        <w:tc>
          <w:tcPr>
            <w:tcW w:w="1197" w:type="dxa"/>
            <w:shd w:val="clear" w:color="auto" w:fill="auto"/>
            <w:vAlign w:val="center"/>
          </w:tcPr>
          <w:p>
            <w:pPr>
              <w:spacing w:line="440" w:lineRule="exact"/>
              <w:jc w:val="center"/>
              <w:rPr>
                <w:color w:val="auto"/>
                <w:highlight w:val="none"/>
              </w:rPr>
            </w:pPr>
          </w:p>
        </w:tc>
        <w:tc>
          <w:tcPr>
            <w:tcW w:w="1197" w:type="dxa"/>
            <w:shd w:val="clear" w:color="auto" w:fill="auto"/>
            <w:vAlign w:val="center"/>
          </w:tcPr>
          <w:p>
            <w:pPr>
              <w:spacing w:line="440" w:lineRule="exact"/>
              <w:jc w:val="center"/>
              <w:rPr>
                <w:color w:val="auto"/>
                <w:highlight w:val="none"/>
              </w:rPr>
            </w:pPr>
          </w:p>
        </w:tc>
        <w:tc>
          <w:tcPr>
            <w:tcW w:w="1198" w:type="dxa"/>
            <w:shd w:val="clear" w:color="auto" w:fill="auto"/>
            <w:vAlign w:val="center"/>
          </w:tcPr>
          <w:p>
            <w:pPr>
              <w:spacing w:line="440" w:lineRule="exact"/>
              <w:jc w:val="center"/>
              <w:rPr>
                <w:color w:val="auto"/>
                <w:highlight w:val="none"/>
              </w:rPr>
            </w:pPr>
          </w:p>
        </w:tc>
        <w:tc>
          <w:tcPr>
            <w:tcW w:w="1197" w:type="dxa"/>
            <w:shd w:val="clear" w:color="auto" w:fill="auto"/>
            <w:vAlign w:val="center"/>
          </w:tcPr>
          <w:p>
            <w:pPr>
              <w:spacing w:line="440" w:lineRule="exact"/>
              <w:jc w:val="center"/>
              <w:rPr>
                <w:color w:val="auto"/>
                <w:highlight w:val="none"/>
              </w:rPr>
            </w:pPr>
          </w:p>
        </w:tc>
        <w:tc>
          <w:tcPr>
            <w:tcW w:w="1197" w:type="dxa"/>
            <w:shd w:val="clear" w:color="auto" w:fill="auto"/>
            <w:vAlign w:val="center"/>
          </w:tcPr>
          <w:p>
            <w:pPr>
              <w:spacing w:line="440" w:lineRule="exact"/>
              <w:jc w:val="center"/>
              <w:rPr>
                <w:color w:val="auto"/>
                <w:highlight w:val="none"/>
              </w:rPr>
            </w:pPr>
          </w:p>
        </w:tc>
        <w:tc>
          <w:tcPr>
            <w:tcW w:w="1198" w:type="dxa"/>
            <w:shd w:val="clear" w:color="auto" w:fill="auto"/>
            <w:vAlign w:val="center"/>
          </w:tcPr>
          <w:p>
            <w:pPr>
              <w:spacing w:line="440" w:lineRule="exact"/>
              <w:jc w:val="center"/>
              <w:rPr>
                <w:color w:val="auto"/>
                <w:highlight w:val="none"/>
              </w:rPr>
            </w:pPr>
          </w:p>
        </w:tc>
        <w:tc>
          <w:tcPr>
            <w:tcW w:w="1197" w:type="dxa"/>
            <w:shd w:val="clear" w:color="auto" w:fill="auto"/>
            <w:vAlign w:val="center"/>
          </w:tcPr>
          <w:p>
            <w:pPr>
              <w:spacing w:line="440" w:lineRule="exact"/>
              <w:jc w:val="center"/>
              <w:rPr>
                <w:color w:val="auto"/>
                <w:highlight w:val="none"/>
              </w:rPr>
            </w:pPr>
          </w:p>
        </w:tc>
        <w:tc>
          <w:tcPr>
            <w:tcW w:w="1197" w:type="dxa"/>
            <w:shd w:val="clear" w:color="auto" w:fill="auto"/>
            <w:vAlign w:val="center"/>
          </w:tcPr>
          <w:p>
            <w:pPr>
              <w:spacing w:line="440" w:lineRule="exact"/>
              <w:jc w:val="center"/>
              <w:rPr>
                <w:color w:val="auto"/>
                <w:highlight w:val="none"/>
              </w:rPr>
            </w:pPr>
          </w:p>
        </w:tc>
        <w:tc>
          <w:tcPr>
            <w:tcW w:w="1198" w:type="dxa"/>
            <w:shd w:val="clear" w:color="auto" w:fill="auto"/>
            <w:vAlign w:val="center"/>
          </w:tcPr>
          <w:p>
            <w:pPr>
              <w:spacing w:line="440" w:lineRule="exact"/>
              <w:jc w:val="center"/>
              <w:rPr>
                <w:color w:val="auto"/>
                <w:highlight w:val="none"/>
              </w:rPr>
            </w:pPr>
          </w:p>
        </w:tc>
      </w:tr>
    </w:tbl>
    <w:p>
      <w:pPr>
        <w:spacing w:line="440" w:lineRule="exact"/>
        <w:rPr>
          <w:rFonts w:eastAsia="楷体_GB2312"/>
          <w:color w:val="auto"/>
          <w:highlight w:val="none"/>
        </w:rPr>
      </w:pPr>
      <w:r>
        <w:rPr>
          <w:rFonts w:hint="eastAsia" w:eastAsia="楷体_GB2312" w:cs="楷体_GB2312"/>
          <w:color w:val="auto"/>
          <w:highlight w:val="none"/>
        </w:rPr>
        <w:t>【备注：本表可根据评分办法的需要进行调整】</w:t>
      </w:r>
    </w:p>
    <w:p>
      <w:pPr>
        <w:spacing w:line="440" w:lineRule="exact"/>
        <w:rPr>
          <w:color w:val="auto"/>
          <w:highlight w:val="none"/>
        </w:rPr>
      </w:pPr>
    </w:p>
    <w:p>
      <w:pPr>
        <w:spacing w:line="440" w:lineRule="exact"/>
        <w:rPr>
          <w:color w:val="auto"/>
          <w:highlight w:val="none"/>
        </w:rPr>
      </w:pPr>
      <w:r>
        <w:rPr>
          <w:rFonts w:hint="eastAsia" w:cs="宋体"/>
          <w:color w:val="auto"/>
          <w:highlight w:val="none"/>
        </w:rPr>
        <w:t>评标委员会全体成员签名：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pPr>
        <w:spacing w:line="440" w:lineRule="exact"/>
        <w:rPr>
          <w:b/>
          <w:color w:val="auto"/>
          <w:highlight w:val="none"/>
        </w:rPr>
      </w:pPr>
      <w:r>
        <w:rPr>
          <w:color w:val="auto"/>
          <w:highlight w:val="none"/>
        </w:rPr>
        <w:br w:type="page"/>
      </w:r>
      <w:r>
        <w:rPr>
          <w:rFonts w:hint="eastAsia" w:cs="宋体"/>
          <w:b/>
          <w:color w:val="auto"/>
          <w:highlight w:val="none"/>
        </w:rPr>
        <w:t>附表</w:t>
      </w:r>
      <w:r>
        <w:rPr>
          <w:b/>
          <w:color w:val="auto"/>
          <w:highlight w:val="none"/>
        </w:rPr>
        <w:t>A-5</w:t>
      </w:r>
      <w:r>
        <w:rPr>
          <w:rFonts w:hint="eastAsia" w:cs="宋体"/>
          <w:b/>
          <w:color w:val="auto"/>
          <w:highlight w:val="none"/>
        </w:rPr>
        <w:t>：响应性评审记录表</w:t>
      </w:r>
    </w:p>
    <w:p>
      <w:pPr>
        <w:spacing w:line="440" w:lineRule="exact"/>
        <w:jc w:val="center"/>
        <w:rPr>
          <w:color w:val="auto"/>
          <w:highlight w:val="none"/>
        </w:rPr>
      </w:pPr>
      <w:r>
        <w:rPr>
          <w:rFonts w:hint="eastAsia" w:eastAsia="黑体" w:cs="黑体"/>
          <w:color w:val="auto"/>
          <w:sz w:val="28"/>
          <w:szCs w:val="28"/>
          <w:highlight w:val="none"/>
        </w:rPr>
        <w:t>响应性评审记录表</w:t>
      </w:r>
    </w:p>
    <w:p>
      <w:pPr>
        <w:spacing w:afterLines="30" w:line="440" w:lineRule="exact"/>
        <w:rPr>
          <w:color w:val="auto"/>
          <w:highlight w:val="none"/>
        </w:rPr>
      </w:pPr>
      <w:r>
        <w:rPr>
          <w:rFonts w:hint="eastAsia" w:cs="宋体"/>
          <w:color w:val="auto"/>
          <w:highlight w:val="none"/>
        </w:rPr>
        <w:t>项目名称及项目招标编号：</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2"/>
        <w:tblW w:w="138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156"/>
        <w:gridCol w:w="1197"/>
        <w:gridCol w:w="1197"/>
        <w:gridCol w:w="1198"/>
        <w:gridCol w:w="1197"/>
        <w:gridCol w:w="1197"/>
        <w:gridCol w:w="1198"/>
        <w:gridCol w:w="1197"/>
        <w:gridCol w:w="1197"/>
        <w:gridCol w:w="1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12" w:type="dxa"/>
            <w:vMerge w:val="restart"/>
            <w:shd w:val="clear" w:color="auto" w:fill="auto"/>
            <w:vAlign w:val="center"/>
          </w:tcPr>
          <w:p>
            <w:pPr>
              <w:spacing w:afterLines="30" w:line="440" w:lineRule="exact"/>
              <w:jc w:val="center"/>
              <w:rPr>
                <w:color w:val="auto"/>
                <w:highlight w:val="none"/>
              </w:rPr>
            </w:pPr>
            <w:r>
              <w:rPr>
                <w:rFonts w:hint="eastAsia" w:cs="宋体"/>
                <w:color w:val="auto"/>
                <w:highlight w:val="none"/>
              </w:rPr>
              <w:t>序号</w:t>
            </w:r>
          </w:p>
        </w:tc>
        <w:tc>
          <w:tcPr>
            <w:tcW w:w="2156" w:type="dxa"/>
            <w:vMerge w:val="restart"/>
            <w:shd w:val="clear" w:color="auto" w:fill="auto"/>
            <w:vAlign w:val="center"/>
          </w:tcPr>
          <w:p>
            <w:pPr>
              <w:jc w:val="center"/>
              <w:rPr>
                <w:color w:val="auto"/>
                <w:highlight w:val="none"/>
              </w:rPr>
            </w:pPr>
            <w:r>
              <w:rPr>
                <w:rFonts w:hint="eastAsia" w:cs="宋体"/>
                <w:color w:val="auto"/>
                <w:highlight w:val="none"/>
              </w:rPr>
              <w:t>评审因素</w:t>
            </w:r>
          </w:p>
        </w:tc>
        <w:tc>
          <w:tcPr>
            <w:tcW w:w="10776" w:type="dxa"/>
            <w:gridSpan w:val="9"/>
            <w:shd w:val="clear" w:color="auto" w:fill="auto"/>
            <w:vAlign w:val="center"/>
          </w:tcPr>
          <w:p>
            <w:pPr>
              <w:jc w:val="center"/>
              <w:rPr>
                <w:color w:val="auto"/>
                <w:highlight w:val="none"/>
              </w:rPr>
            </w:pPr>
            <w:r>
              <w:rPr>
                <w:rFonts w:hint="eastAsia" w:cs="宋体"/>
                <w:color w:val="auto"/>
                <w:highlight w:val="none"/>
              </w:rPr>
              <w:t>投标人名称及评审意见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12" w:type="dxa"/>
            <w:vMerge w:val="continue"/>
            <w:shd w:val="clear" w:color="auto" w:fill="auto"/>
            <w:vAlign w:val="center"/>
          </w:tcPr>
          <w:p>
            <w:pPr>
              <w:jc w:val="center"/>
              <w:rPr>
                <w:rFonts w:eastAsia="黑体"/>
                <w:color w:val="auto"/>
                <w:highlight w:val="none"/>
              </w:rPr>
            </w:pPr>
          </w:p>
        </w:tc>
        <w:tc>
          <w:tcPr>
            <w:tcW w:w="2156" w:type="dxa"/>
            <w:vMerge w:val="continue"/>
            <w:shd w:val="clear" w:color="auto" w:fill="auto"/>
            <w:vAlign w:val="center"/>
          </w:tcPr>
          <w:p>
            <w:pPr>
              <w:jc w:val="center"/>
              <w:rPr>
                <w:color w:val="auto"/>
                <w:highlight w:val="none"/>
              </w:rPr>
            </w:pPr>
          </w:p>
        </w:tc>
        <w:tc>
          <w:tcPr>
            <w:tcW w:w="1197" w:type="dxa"/>
            <w:shd w:val="clear" w:color="auto" w:fill="auto"/>
            <w:vAlign w:val="center"/>
          </w:tcPr>
          <w:p>
            <w:pPr>
              <w:jc w:val="center"/>
              <w:rPr>
                <w:color w:val="auto"/>
                <w:highlight w:val="none"/>
              </w:rPr>
            </w:pPr>
          </w:p>
        </w:tc>
        <w:tc>
          <w:tcPr>
            <w:tcW w:w="1197" w:type="dxa"/>
            <w:shd w:val="clear" w:color="auto" w:fill="auto"/>
            <w:vAlign w:val="center"/>
          </w:tcPr>
          <w:p>
            <w:pPr>
              <w:jc w:val="center"/>
              <w:rPr>
                <w:color w:val="auto"/>
                <w:highlight w:val="none"/>
              </w:rPr>
            </w:pPr>
          </w:p>
        </w:tc>
        <w:tc>
          <w:tcPr>
            <w:tcW w:w="1198" w:type="dxa"/>
            <w:shd w:val="clear" w:color="auto" w:fill="auto"/>
            <w:vAlign w:val="center"/>
          </w:tcPr>
          <w:p>
            <w:pPr>
              <w:jc w:val="center"/>
              <w:rPr>
                <w:color w:val="auto"/>
                <w:highlight w:val="none"/>
              </w:rPr>
            </w:pPr>
          </w:p>
        </w:tc>
        <w:tc>
          <w:tcPr>
            <w:tcW w:w="1197" w:type="dxa"/>
            <w:shd w:val="clear" w:color="auto" w:fill="auto"/>
            <w:vAlign w:val="center"/>
          </w:tcPr>
          <w:p>
            <w:pPr>
              <w:jc w:val="center"/>
              <w:rPr>
                <w:color w:val="auto"/>
                <w:highlight w:val="none"/>
              </w:rPr>
            </w:pPr>
          </w:p>
        </w:tc>
        <w:tc>
          <w:tcPr>
            <w:tcW w:w="1197" w:type="dxa"/>
            <w:shd w:val="clear" w:color="auto" w:fill="auto"/>
            <w:vAlign w:val="center"/>
          </w:tcPr>
          <w:p>
            <w:pPr>
              <w:jc w:val="center"/>
              <w:rPr>
                <w:color w:val="auto"/>
                <w:highlight w:val="none"/>
              </w:rPr>
            </w:pPr>
          </w:p>
        </w:tc>
        <w:tc>
          <w:tcPr>
            <w:tcW w:w="1198" w:type="dxa"/>
            <w:shd w:val="clear" w:color="auto" w:fill="auto"/>
            <w:vAlign w:val="center"/>
          </w:tcPr>
          <w:p>
            <w:pPr>
              <w:jc w:val="center"/>
              <w:rPr>
                <w:color w:val="auto"/>
                <w:highlight w:val="none"/>
              </w:rPr>
            </w:pPr>
          </w:p>
        </w:tc>
        <w:tc>
          <w:tcPr>
            <w:tcW w:w="1197" w:type="dxa"/>
            <w:shd w:val="clear" w:color="auto" w:fill="auto"/>
            <w:vAlign w:val="center"/>
          </w:tcPr>
          <w:p>
            <w:pPr>
              <w:jc w:val="center"/>
              <w:rPr>
                <w:color w:val="auto"/>
                <w:highlight w:val="none"/>
              </w:rPr>
            </w:pPr>
          </w:p>
        </w:tc>
        <w:tc>
          <w:tcPr>
            <w:tcW w:w="1197" w:type="dxa"/>
            <w:shd w:val="clear" w:color="auto" w:fill="auto"/>
            <w:vAlign w:val="center"/>
          </w:tcPr>
          <w:p>
            <w:pPr>
              <w:jc w:val="center"/>
              <w:rPr>
                <w:color w:val="auto"/>
                <w:highlight w:val="none"/>
              </w:rPr>
            </w:pPr>
          </w:p>
        </w:tc>
        <w:tc>
          <w:tcPr>
            <w:tcW w:w="1198"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12" w:type="dxa"/>
            <w:shd w:val="clear" w:color="auto" w:fill="auto"/>
            <w:vAlign w:val="center"/>
          </w:tcPr>
          <w:p>
            <w:pPr>
              <w:spacing w:line="360" w:lineRule="atLeast"/>
              <w:jc w:val="center"/>
              <w:rPr>
                <w:rFonts w:eastAsia="黑体"/>
                <w:color w:val="auto"/>
                <w:highlight w:val="none"/>
              </w:rPr>
            </w:pPr>
            <w:r>
              <w:rPr>
                <w:rFonts w:eastAsia="黑体"/>
                <w:color w:val="auto"/>
                <w:highlight w:val="none"/>
              </w:rPr>
              <w:t>1</w:t>
            </w:r>
          </w:p>
        </w:tc>
        <w:tc>
          <w:tcPr>
            <w:tcW w:w="2156" w:type="dxa"/>
            <w:shd w:val="clear" w:color="auto" w:fill="auto"/>
            <w:vAlign w:val="center"/>
          </w:tcPr>
          <w:p>
            <w:pPr>
              <w:spacing w:line="360" w:lineRule="atLeast"/>
              <w:jc w:val="center"/>
              <w:rPr>
                <w:color w:val="auto"/>
                <w:highlight w:val="none"/>
              </w:rPr>
            </w:pPr>
            <w:r>
              <w:rPr>
                <w:rFonts w:hint="eastAsia" w:cs="宋体"/>
                <w:color w:val="auto"/>
                <w:highlight w:val="none"/>
              </w:rPr>
              <w:t>投标内容</w:t>
            </w:r>
          </w:p>
        </w:tc>
        <w:tc>
          <w:tcPr>
            <w:tcW w:w="1197"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8"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8"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8" w:type="dxa"/>
            <w:shd w:val="clear" w:color="auto" w:fill="auto"/>
            <w:vAlign w:val="center"/>
          </w:tcPr>
          <w:p>
            <w:pPr>
              <w:spacing w:line="360" w:lineRule="atLeas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12" w:type="dxa"/>
            <w:shd w:val="clear" w:color="auto" w:fill="auto"/>
            <w:vAlign w:val="center"/>
          </w:tcPr>
          <w:p>
            <w:pPr>
              <w:spacing w:line="360" w:lineRule="atLeast"/>
              <w:jc w:val="center"/>
              <w:rPr>
                <w:rFonts w:eastAsia="黑体"/>
                <w:color w:val="auto"/>
                <w:highlight w:val="none"/>
              </w:rPr>
            </w:pPr>
            <w:r>
              <w:rPr>
                <w:rFonts w:eastAsia="黑体"/>
                <w:color w:val="auto"/>
                <w:highlight w:val="none"/>
              </w:rPr>
              <w:t>2</w:t>
            </w:r>
          </w:p>
        </w:tc>
        <w:tc>
          <w:tcPr>
            <w:tcW w:w="2156" w:type="dxa"/>
            <w:shd w:val="clear" w:color="auto" w:fill="auto"/>
            <w:vAlign w:val="center"/>
          </w:tcPr>
          <w:p>
            <w:pPr>
              <w:spacing w:line="360" w:lineRule="atLeast"/>
              <w:jc w:val="center"/>
              <w:rPr>
                <w:color w:val="auto"/>
                <w:highlight w:val="none"/>
              </w:rPr>
            </w:pPr>
            <w:r>
              <w:rPr>
                <w:rFonts w:hint="eastAsia" w:cs="宋体"/>
                <w:color w:val="auto"/>
                <w:highlight w:val="none"/>
              </w:rPr>
              <w:t>工期</w:t>
            </w:r>
          </w:p>
        </w:tc>
        <w:tc>
          <w:tcPr>
            <w:tcW w:w="1197"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8"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8"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8" w:type="dxa"/>
            <w:shd w:val="clear" w:color="auto" w:fill="auto"/>
            <w:vAlign w:val="center"/>
          </w:tcPr>
          <w:p>
            <w:pPr>
              <w:spacing w:line="360" w:lineRule="atLeas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12" w:type="dxa"/>
            <w:shd w:val="clear" w:color="auto" w:fill="auto"/>
            <w:vAlign w:val="center"/>
          </w:tcPr>
          <w:p>
            <w:pPr>
              <w:spacing w:line="360" w:lineRule="atLeast"/>
              <w:jc w:val="center"/>
              <w:rPr>
                <w:rFonts w:eastAsia="黑体"/>
                <w:color w:val="auto"/>
                <w:highlight w:val="none"/>
              </w:rPr>
            </w:pPr>
            <w:r>
              <w:rPr>
                <w:rFonts w:eastAsia="黑体"/>
                <w:color w:val="auto"/>
                <w:highlight w:val="none"/>
              </w:rPr>
              <w:t>3</w:t>
            </w:r>
          </w:p>
        </w:tc>
        <w:tc>
          <w:tcPr>
            <w:tcW w:w="2156" w:type="dxa"/>
            <w:shd w:val="clear" w:color="auto" w:fill="auto"/>
            <w:vAlign w:val="center"/>
          </w:tcPr>
          <w:p>
            <w:pPr>
              <w:spacing w:line="360" w:lineRule="atLeast"/>
              <w:jc w:val="center"/>
              <w:rPr>
                <w:color w:val="auto"/>
                <w:highlight w:val="none"/>
              </w:rPr>
            </w:pPr>
            <w:r>
              <w:rPr>
                <w:rFonts w:hint="eastAsia" w:cs="宋体"/>
                <w:color w:val="auto"/>
                <w:highlight w:val="none"/>
              </w:rPr>
              <w:t>工程质量</w:t>
            </w:r>
          </w:p>
        </w:tc>
        <w:tc>
          <w:tcPr>
            <w:tcW w:w="1197"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8"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8"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8" w:type="dxa"/>
            <w:shd w:val="clear" w:color="auto" w:fill="auto"/>
            <w:vAlign w:val="center"/>
          </w:tcPr>
          <w:p>
            <w:pPr>
              <w:spacing w:line="360" w:lineRule="atLeas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12" w:type="dxa"/>
            <w:shd w:val="clear" w:color="auto" w:fill="auto"/>
            <w:vAlign w:val="center"/>
          </w:tcPr>
          <w:p>
            <w:pPr>
              <w:spacing w:line="360" w:lineRule="atLeast"/>
              <w:jc w:val="center"/>
              <w:rPr>
                <w:rFonts w:eastAsia="黑体"/>
                <w:color w:val="auto"/>
                <w:highlight w:val="none"/>
              </w:rPr>
            </w:pPr>
            <w:r>
              <w:rPr>
                <w:rFonts w:eastAsia="黑体"/>
                <w:color w:val="auto"/>
                <w:highlight w:val="none"/>
              </w:rPr>
              <w:t>4</w:t>
            </w:r>
          </w:p>
        </w:tc>
        <w:tc>
          <w:tcPr>
            <w:tcW w:w="2156" w:type="dxa"/>
            <w:shd w:val="clear" w:color="auto" w:fill="auto"/>
            <w:vAlign w:val="center"/>
          </w:tcPr>
          <w:p>
            <w:pPr>
              <w:spacing w:line="360" w:lineRule="atLeast"/>
              <w:jc w:val="center"/>
              <w:rPr>
                <w:color w:val="auto"/>
                <w:highlight w:val="none"/>
              </w:rPr>
            </w:pPr>
            <w:r>
              <w:rPr>
                <w:rFonts w:hint="eastAsia" w:cs="宋体"/>
                <w:color w:val="auto"/>
                <w:highlight w:val="none"/>
              </w:rPr>
              <w:t>投标有效期</w:t>
            </w:r>
          </w:p>
        </w:tc>
        <w:tc>
          <w:tcPr>
            <w:tcW w:w="1197"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8"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8"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8" w:type="dxa"/>
            <w:shd w:val="clear" w:color="auto" w:fill="auto"/>
            <w:vAlign w:val="center"/>
          </w:tcPr>
          <w:p>
            <w:pPr>
              <w:spacing w:line="360" w:lineRule="atLeas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12" w:type="dxa"/>
            <w:shd w:val="clear" w:color="auto" w:fill="auto"/>
            <w:vAlign w:val="center"/>
          </w:tcPr>
          <w:p>
            <w:pPr>
              <w:spacing w:line="360" w:lineRule="atLeast"/>
              <w:jc w:val="center"/>
              <w:rPr>
                <w:rFonts w:eastAsia="黑体"/>
                <w:color w:val="auto"/>
                <w:highlight w:val="none"/>
              </w:rPr>
            </w:pPr>
            <w:r>
              <w:rPr>
                <w:rFonts w:eastAsia="黑体"/>
                <w:color w:val="auto"/>
                <w:highlight w:val="none"/>
              </w:rPr>
              <w:t>5</w:t>
            </w:r>
          </w:p>
        </w:tc>
        <w:tc>
          <w:tcPr>
            <w:tcW w:w="2156" w:type="dxa"/>
            <w:shd w:val="clear" w:color="auto" w:fill="auto"/>
            <w:vAlign w:val="center"/>
          </w:tcPr>
          <w:p>
            <w:pPr>
              <w:spacing w:line="360" w:lineRule="atLeast"/>
              <w:jc w:val="center"/>
              <w:rPr>
                <w:color w:val="auto"/>
                <w:highlight w:val="none"/>
              </w:rPr>
            </w:pPr>
            <w:r>
              <w:rPr>
                <w:rFonts w:hint="eastAsia" w:cs="宋体"/>
                <w:color w:val="auto"/>
                <w:highlight w:val="none"/>
              </w:rPr>
              <w:t>权利义务</w:t>
            </w:r>
          </w:p>
        </w:tc>
        <w:tc>
          <w:tcPr>
            <w:tcW w:w="1197"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8"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8"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8" w:type="dxa"/>
            <w:shd w:val="clear" w:color="auto" w:fill="auto"/>
            <w:vAlign w:val="center"/>
          </w:tcPr>
          <w:p>
            <w:pPr>
              <w:spacing w:line="360" w:lineRule="atLeas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12" w:type="dxa"/>
            <w:shd w:val="clear" w:color="auto" w:fill="auto"/>
            <w:vAlign w:val="center"/>
          </w:tcPr>
          <w:p>
            <w:pPr>
              <w:spacing w:line="360" w:lineRule="atLeast"/>
              <w:jc w:val="center"/>
              <w:rPr>
                <w:rFonts w:eastAsia="黑体"/>
                <w:color w:val="auto"/>
                <w:highlight w:val="none"/>
              </w:rPr>
            </w:pPr>
            <w:r>
              <w:rPr>
                <w:rFonts w:eastAsia="黑体"/>
                <w:color w:val="auto"/>
                <w:highlight w:val="none"/>
              </w:rPr>
              <w:t>6</w:t>
            </w:r>
          </w:p>
        </w:tc>
        <w:tc>
          <w:tcPr>
            <w:tcW w:w="2156" w:type="dxa"/>
            <w:shd w:val="clear" w:color="auto" w:fill="auto"/>
            <w:vAlign w:val="center"/>
          </w:tcPr>
          <w:p>
            <w:pPr>
              <w:spacing w:line="360" w:lineRule="atLeast"/>
              <w:jc w:val="center"/>
              <w:rPr>
                <w:color w:val="auto"/>
                <w:highlight w:val="none"/>
              </w:rPr>
            </w:pPr>
            <w:r>
              <w:rPr>
                <w:rFonts w:hint="eastAsia" w:cs="宋体"/>
                <w:color w:val="auto"/>
                <w:highlight w:val="none"/>
              </w:rPr>
              <w:t>技术标准和要求</w:t>
            </w:r>
          </w:p>
        </w:tc>
        <w:tc>
          <w:tcPr>
            <w:tcW w:w="1197"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8"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8"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8" w:type="dxa"/>
            <w:shd w:val="clear" w:color="auto" w:fill="auto"/>
            <w:vAlign w:val="center"/>
          </w:tcPr>
          <w:p>
            <w:pPr>
              <w:spacing w:line="360" w:lineRule="atLeas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12" w:type="dxa"/>
            <w:shd w:val="clear" w:color="auto" w:fill="auto"/>
            <w:vAlign w:val="center"/>
          </w:tcPr>
          <w:p>
            <w:pPr>
              <w:spacing w:line="360" w:lineRule="atLeast"/>
              <w:jc w:val="center"/>
              <w:rPr>
                <w:rFonts w:eastAsia="黑体"/>
                <w:color w:val="auto"/>
                <w:highlight w:val="none"/>
              </w:rPr>
            </w:pPr>
            <w:r>
              <w:rPr>
                <w:rFonts w:eastAsia="黑体"/>
                <w:color w:val="auto"/>
                <w:highlight w:val="none"/>
              </w:rPr>
              <w:t>7</w:t>
            </w:r>
          </w:p>
        </w:tc>
        <w:tc>
          <w:tcPr>
            <w:tcW w:w="2156" w:type="dxa"/>
            <w:shd w:val="clear" w:color="auto" w:fill="auto"/>
            <w:vAlign w:val="center"/>
          </w:tcPr>
          <w:p>
            <w:pPr>
              <w:spacing w:line="360" w:lineRule="atLeast"/>
              <w:jc w:val="center"/>
              <w:rPr>
                <w:color w:val="auto"/>
                <w:highlight w:val="none"/>
              </w:rPr>
            </w:pPr>
            <w:r>
              <w:rPr>
                <w:rFonts w:hint="eastAsia" w:cs="宋体"/>
                <w:color w:val="auto"/>
                <w:highlight w:val="none"/>
              </w:rPr>
              <w:t>投标价格</w:t>
            </w:r>
          </w:p>
        </w:tc>
        <w:tc>
          <w:tcPr>
            <w:tcW w:w="1197"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8"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8"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8" w:type="dxa"/>
            <w:shd w:val="clear" w:color="auto" w:fill="auto"/>
            <w:vAlign w:val="center"/>
          </w:tcPr>
          <w:p>
            <w:pPr>
              <w:spacing w:line="360" w:lineRule="atLeas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12" w:type="dxa"/>
            <w:shd w:val="clear" w:color="auto" w:fill="auto"/>
            <w:vAlign w:val="center"/>
          </w:tcPr>
          <w:p>
            <w:pPr>
              <w:spacing w:line="360" w:lineRule="atLeast"/>
              <w:jc w:val="center"/>
              <w:rPr>
                <w:rFonts w:eastAsia="黑体"/>
                <w:color w:val="auto"/>
                <w:highlight w:val="none"/>
              </w:rPr>
            </w:pPr>
            <w:r>
              <w:rPr>
                <w:rFonts w:eastAsia="黑体"/>
                <w:color w:val="auto"/>
                <w:highlight w:val="none"/>
              </w:rPr>
              <w:t>8</w:t>
            </w:r>
          </w:p>
        </w:tc>
        <w:tc>
          <w:tcPr>
            <w:tcW w:w="2156" w:type="dxa"/>
            <w:shd w:val="clear" w:color="auto" w:fill="auto"/>
            <w:vAlign w:val="center"/>
          </w:tcPr>
          <w:p>
            <w:pPr>
              <w:spacing w:line="360" w:lineRule="atLeast"/>
              <w:jc w:val="center"/>
              <w:rPr>
                <w:color w:val="auto"/>
                <w:highlight w:val="none"/>
              </w:rPr>
            </w:pPr>
            <w:r>
              <w:rPr>
                <w:rFonts w:hint="eastAsia" w:cs="宋体"/>
                <w:color w:val="auto"/>
                <w:highlight w:val="none"/>
              </w:rPr>
              <w:t>分包计划（如有）</w:t>
            </w:r>
          </w:p>
        </w:tc>
        <w:tc>
          <w:tcPr>
            <w:tcW w:w="1197"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8"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8"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8" w:type="dxa"/>
            <w:shd w:val="clear" w:color="auto" w:fill="auto"/>
            <w:vAlign w:val="center"/>
          </w:tcPr>
          <w:p>
            <w:pPr>
              <w:spacing w:line="360" w:lineRule="atLeas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12" w:type="dxa"/>
            <w:shd w:val="clear" w:color="auto" w:fill="auto"/>
            <w:vAlign w:val="center"/>
          </w:tcPr>
          <w:p>
            <w:pPr>
              <w:spacing w:line="360" w:lineRule="atLeast"/>
              <w:jc w:val="center"/>
              <w:rPr>
                <w:rFonts w:eastAsia="黑体"/>
                <w:color w:val="auto"/>
                <w:highlight w:val="none"/>
              </w:rPr>
            </w:pPr>
            <w:r>
              <w:rPr>
                <w:rFonts w:eastAsia="黑体"/>
                <w:color w:val="auto"/>
                <w:highlight w:val="none"/>
              </w:rPr>
              <w:t>9</w:t>
            </w:r>
          </w:p>
        </w:tc>
        <w:tc>
          <w:tcPr>
            <w:tcW w:w="2156" w:type="dxa"/>
            <w:shd w:val="clear" w:color="auto" w:fill="auto"/>
            <w:vAlign w:val="center"/>
          </w:tcPr>
          <w:p>
            <w:pPr>
              <w:spacing w:line="360" w:lineRule="atLeast"/>
              <w:jc w:val="center"/>
              <w:rPr>
                <w:color w:val="auto"/>
                <w:highlight w:val="none"/>
              </w:rPr>
            </w:pPr>
            <w:r>
              <w:rPr>
                <w:rFonts w:hint="eastAsia" w:cs="宋体"/>
                <w:color w:val="auto"/>
                <w:highlight w:val="none"/>
              </w:rPr>
              <w:t>已标价工程量清单</w:t>
            </w:r>
          </w:p>
        </w:tc>
        <w:tc>
          <w:tcPr>
            <w:tcW w:w="1197"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8"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8"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8" w:type="dxa"/>
            <w:shd w:val="clear" w:color="auto" w:fill="auto"/>
            <w:vAlign w:val="center"/>
          </w:tcPr>
          <w:p>
            <w:pPr>
              <w:spacing w:line="360" w:lineRule="atLeas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068" w:type="dxa"/>
            <w:gridSpan w:val="2"/>
            <w:shd w:val="clear" w:color="auto" w:fill="auto"/>
            <w:vAlign w:val="center"/>
          </w:tcPr>
          <w:p>
            <w:pPr>
              <w:spacing w:line="360" w:lineRule="atLeast"/>
              <w:jc w:val="center"/>
              <w:rPr>
                <w:color w:val="auto"/>
                <w:highlight w:val="none"/>
              </w:rPr>
            </w:pPr>
            <w:r>
              <w:rPr>
                <w:rFonts w:hint="eastAsia" w:cs="宋体"/>
                <w:color w:val="auto"/>
                <w:highlight w:val="none"/>
              </w:rPr>
              <w:t>是否通过评审</w:t>
            </w:r>
          </w:p>
        </w:tc>
        <w:tc>
          <w:tcPr>
            <w:tcW w:w="1197"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8"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8"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7" w:type="dxa"/>
            <w:shd w:val="clear" w:color="auto" w:fill="auto"/>
            <w:vAlign w:val="center"/>
          </w:tcPr>
          <w:p>
            <w:pPr>
              <w:spacing w:line="360" w:lineRule="atLeast"/>
              <w:jc w:val="center"/>
              <w:rPr>
                <w:color w:val="auto"/>
                <w:highlight w:val="none"/>
              </w:rPr>
            </w:pPr>
          </w:p>
        </w:tc>
        <w:tc>
          <w:tcPr>
            <w:tcW w:w="1198" w:type="dxa"/>
            <w:shd w:val="clear" w:color="auto" w:fill="auto"/>
            <w:vAlign w:val="center"/>
          </w:tcPr>
          <w:p>
            <w:pPr>
              <w:spacing w:line="360" w:lineRule="atLeast"/>
              <w:jc w:val="center"/>
              <w:rPr>
                <w:color w:val="auto"/>
                <w:highlight w:val="none"/>
              </w:rPr>
            </w:pPr>
          </w:p>
        </w:tc>
      </w:tr>
    </w:tbl>
    <w:p>
      <w:pPr>
        <w:spacing w:line="360" w:lineRule="exact"/>
        <w:rPr>
          <w:rFonts w:eastAsia="楷体_GB2312"/>
          <w:color w:val="auto"/>
          <w:highlight w:val="none"/>
        </w:rPr>
      </w:pPr>
      <w:r>
        <w:rPr>
          <w:rFonts w:hint="eastAsia" w:eastAsia="楷体_GB2312" w:cs="楷体_GB2312"/>
          <w:color w:val="auto"/>
          <w:highlight w:val="none"/>
        </w:rPr>
        <w:t>【备注：本表可根据评分办法需要分为商务标响应性评审记录表和技术标响应性评审记录表】</w:t>
      </w:r>
    </w:p>
    <w:p>
      <w:pPr>
        <w:spacing w:line="360" w:lineRule="exact"/>
        <w:rPr>
          <w:color w:val="auto"/>
          <w:highlight w:val="none"/>
        </w:rPr>
      </w:pPr>
    </w:p>
    <w:p>
      <w:pPr>
        <w:spacing w:line="360" w:lineRule="exact"/>
        <w:rPr>
          <w:color w:val="auto"/>
          <w:highlight w:val="none"/>
        </w:rPr>
      </w:pPr>
      <w:r>
        <w:rPr>
          <w:rFonts w:hint="eastAsia" w:cs="宋体"/>
          <w:color w:val="auto"/>
          <w:highlight w:val="none"/>
        </w:rPr>
        <w:t>评标委员会全体成员签名：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pPr>
        <w:spacing w:line="440" w:lineRule="exact"/>
        <w:rPr>
          <w:b/>
          <w:color w:val="auto"/>
          <w:highlight w:val="none"/>
        </w:rPr>
      </w:pPr>
      <w:r>
        <w:rPr>
          <w:rFonts w:eastAsia="黑体"/>
          <w:color w:val="auto"/>
          <w:highlight w:val="none"/>
        </w:rPr>
        <w:br w:type="page"/>
      </w:r>
      <w:r>
        <w:rPr>
          <w:rFonts w:hint="eastAsia" w:cs="宋体"/>
          <w:b/>
          <w:color w:val="auto"/>
          <w:highlight w:val="none"/>
        </w:rPr>
        <w:t>附表</w:t>
      </w:r>
      <w:r>
        <w:rPr>
          <w:b/>
          <w:color w:val="auto"/>
          <w:highlight w:val="none"/>
        </w:rPr>
        <w:t>A-6</w:t>
      </w:r>
      <w:r>
        <w:rPr>
          <w:rFonts w:hint="eastAsia" w:cs="宋体"/>
          <w:b/>
          <w:color w:val="auto"/>
          <w:highlight w:val="none"/>
        </w:rPr>
        <w:t>：技术标评分记录表</w:t>
      </w:r>
    </w:p>
    <w:p>
      <w:pPr>
        <w:jc w:val="center"/>
        <w:rPr>
          <w:color w:val="auto"/>
          <w:highlight w:val="none"/>
        </w:rPr>
      </w:pPr>
      <w:r>
        <w:rPr>
          <w:rFonts w:hint="eastAsia" w:eastAsia="黑体" w:cs="黑体"/>
          <w:color w:val="auto"/>
          <w:sz w:val="28"/>
          <w:szCs w:val="28"/>
          <w:highlight w:val="none"/>
        </w:rPr>
        <w:t>（一）技术标评分记录表</w:t>
      </w:r>
    </w:p>
    <w:p>
      <w:pPr>
        <w:spacing w:afterLines="30" w:line="440" w:lineRule="exact"/>
        <w:rPr>
          <w:color w:val="auto"/>
          <w:highlight w:val="none"/>
        </w:rPr>
      </w:pPr>
      <w:r>
        <w:rPr>
          <w:rFonts w:hint="eastAsia" w:cs="宋体"/>
          <w:color w:val="auto"/>
          <w:highlight w:val="none"/>
        </w:rPr>
        <w:t>项目名称及项目招标编号：</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2"/>
        <w:tblW w:w="139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3375"/>
        <w:gridCol w:w="851"/>
        <w:gridCol w:w="992"/>
        <w:gridCol w:w="1134"/>
        <w:gridCol w:w="1134"/>
        <w:gridCol w:w="992"/>
        <w:gridCol w:w="992"/>
        <w:gridCol w:w="993"/>
        <w:gridCol w:w="1275"/>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912" w:type="dxa"/>
            <w:vMerge w:val="restart"/>
            <w:shd w:val="clear" w:color="auto" w:fill="auto"/>
            <w:vAlign w:val="center"/>
          </w:tcPr>
          <w:p>
            <w:pPr>
              <w:spacing w:line="360" w:lineRule="auto"/>
              <w:jc w:val="center"/>
              <w:rPr>
                <w:color w:val="auto"/>
                <w:highlight w:val="none"/>
              </w:rPr>
            </w:pPr>
            <w:r>
              <w:rPr>
                <w:rFonts w:hint="eastAsia" w:cs="宋体"/>
                <w:color w:val="auto"/>
                <w:highlight w:val="none"/>
              </w:rPr>
              <w:t>序号</w:t>
            </w:r>
          </w:p>
        </w:tc>
        <w:tc>
          <w:tcPr>
            <w:tcW w:w="3375" w:type="dxa"/>
            <w:vMerge w:val="restart"/>
            <w:shd w:val="clear" w:color="auto" w:fill="auto"/>
            <w:vAlign w:val="center"/>
          </w:tcPr>
          <w:p>
            <w:pPr>
              <w:spacing w:line="360" w:lineRule="auto"/>
              <w:jc w:val="center"/>
              <w:rPr>
                <w:color w:val="auto"/>
                <w:highlight w:val="none"/>
              </w:rPr>
            </w:pPr>
            <w:r>
              <w:rPr>
                <w:rFonts w:hint="eastAsia" w:cs="宋体"/>
                <w:color w:val="auto"/>
                <w:highlight w:val="none"/>
              </w:rPr>
              <w:t>评审因素</w:t>
            </w:r>
          </w:p>
        </w:tc>
        <w:tc>
          <w:tcPr>
            <w:tcW w:w="9668" w:type="dxa"/>
            <w:gridSpan w:val="9"/>
            <w:shd w:val="clear" w:color="auto" w:fill="auto"/>
            <w:vAlign w:val="center"/>
          </w:tcPr>
          <w:p>
            <w:pPr>
              <w:spacing w:line="360" w:lineRule="auto"/>
              <w:jc w:val="center"/>
              <w:rPr>
                <w:color w:val="auto"/>
                <w:highlight w:val="none"/>
              </w:rPr>
            </w:pPr>
            <w:r>
              <w:rPr>
                <w:rFonts w:hint="eastAsia" w:cs="宋体"/>
                <w:color w:val="auto"/>
                <w:highlight w:val="none"/>
              </w:rPr>
              <w:t>投标人名称及评审意见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912" w:type="dxa"/>
            <w:vMerge w:val="continue"/>
            <w:shd w:val="clear" w:color="auto" w:fill="auto"/>
            <w:vAlign w:val="center"/>
          </w:tcPr>
          <w:p>
            <w:pPr>
              <w:spacing w:line="360" w:lineRule="auto"/>
              <w:jc w:val="center"/>
              <w:rPr>
                <w:rFonts w:eastAsia="黑体"/>
                <w:color w:val="auto"/>
                <w:highlight w:val="none"/>
              </w:rPr>
            </w:pPr>
          </w:p>
        </w:tc>
        <w:tc>
          <w:tcPr>
            <w:tcW w:w="3375" w:type="dxa"/>
            <w:vMerge w:val="continue"/>
            <w:shd w:val="clear" w:color="auto" w:fill="auto"/>
            <w:vAlign w:val="center"/>
          </w:tcPr>
          <w:p>
            <w:pPr>
              <w:spacing w:line="360" w:lineRule="auto"/>
              <w:jc w:val="center"/>
              <w:rPr>
                <w:color w:val="auto"/>
                <w:kern w:val="0"/>
                <w:highlight w:val="none"/>
              </w:rPr>
            </w:pPr>
          </w:p>
        </w:tc>
        <w:tc>
          <w:tcPr>
            <w:tcW w:w="851"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1134" w:type="dxa"/>
            <w:shd w:val="clear" w:color="auto" w:fill="auto"/>
            <w:vAlign w:val="center"/>
          </w:tcPr>
          <w:p>
            <w:pPr>
              <w:spacing w:line="360" w:lineRule="auto"/>
              <w:jc w:val="center"/>
              <w:rPr>
                <w:color w:val="auto"/>
                <w:highlight w:val="none"/>
              </w:rPr>
            </w:pPr>
          </w:p>
        </w:tc>
        <w:tc>
          <w:tcPr>
            <w:tcW w:w="1134"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993" w:type="dxa"/>
            <w:shd w:val="clear" w:color="auto" w:fill="auto"/>
            <w:vAlign w:val="center"/>
          </w:tcPr>
          <w:p>
            <w:pPr>
              <w:spacing w:line="360" w:lineRule="auto"/>
              <w:jc w:val="center"/>
              <w:rPr>
                <w:color w:val="auto"/>
                <w:highlight w:val="none"/>
              </w:rPr>
            </w:pPr>
          </w:p>
        </w:tc>
        <w:tc>
          <w:tcPr>
            <w:tcW w:w="1275" w:type="dxa"/>
            <w:shd w:val="clear" w:color="auto" w:fill="auto"/>
            <w:vAlign w:val="center"/>
          </w:tcPr>
          <w:p>
            <w:pPr>
              <w:spacing w:line="360" w:lineRule="auto"/>
              <w:jc w:val="center"/>
              <w:rPr>
                <w:color w:val="auto"/>
                <w:highlight w:val="none"/>
              </w:rPr>
            </w:pPr>
          </w:p>
        </w:tc>
        <w:tc>
          <w:tcPr>
            <w:tcW w:w="1305" w:type="dxa"/>
            <w:shd w:val="clear" w:color="auto" w:fill="auto"/>
            <w:vAlign w:val="center"/>
          </w:tcPr>
          <w:p>
            <w:pPr>
              <w:spacing w:line="360" w:lineRule="auto"/>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4" w:hRule="atLeast"/>
          <w:jc w:val="center"/>
        </w:trPr>
        <w:tc>
          <w:tcPr>
            <w:tcW w:w="912" w:type="dxa"/>
            <w:vMerge w:val="restart"/>
            <w:shd w:val="clear" w:color="auto" w:fill="auto"/>
            <w:vAlign w:val="center"/>
          </w:tcPr>
          <w:p>
            <w:pPr>
              <w:spacing w:line="360" w:lineRule="auto"/>
              <w:jc w:val="center"/>
              <w:rPr>
                <w:rFonts w:eastAsia="黑体"/>
                <w:color w:val="auto"/>
                <w:highlight w:val="none"/>
              </w:rPr>
            </w:pPr>
            <w:r>
              <w:rPr>
                <w:rFonts w:eastAsia="黑体"/>
                <w:color w:val="auto"/>
                <w:highlight w:val="none"/>
              </w:rPr>
              <w:t>1</w:t>
            </w:r>
            <w:r>
              <w:rPr>
                <w:rFonts w:hint="eastAsia" w:eastAsia="黑体" w:cs="黑体"/>
                <w:color w:val="auto"/>
                <w:highlight w:val="none"/>
              </w:rPr>
              <w:t>、</w:t>
            </w:r>
            <w:r>
              <w:rPr>
                <w:rFonts w:hint="eastAsia" w:cs="宋体"/>
                <w:color w:val="auto"/>
                <w:highlight w:val="none"/>
              </w:rPr>
              <w:t>项目管理机构（满分</w:t>
            </w:r>
            <w:r>
              <w:rPr>
                <w:color w:val="auto"/>
                <w:highlight w:val="none"/>
              </w:rPr>
              <w:t>20</w:t>
            </w:r>
            <w:r>
              <w:rPr>
                <w:rFonts w:hint="eastAsia" w:cs="宋体"/>
                <w:color w:val="auto"/>
                <w:highlight w:val="none"/>
              </w:rPr>
              <w:t>）</w:t>
            </w:r>
          </w:p>
        </w:tc>
        <w:tc>
          <w:tcPr>
            <w:tcW w:w="3375" w:type="dxa"/>
            <w:shd w:val="clear" w:color="auto" w:fill="auto"/>
            <w:vAlign w:val="center"/>
          </w:tcPr>
          <w:p>
            <w:pPr>
              <w:spacing w:line="360" w:lineRule="auto"/>
              <w:jc w:val="left"/>
              <w:rPr>
                <w:color w:val="auto"/>
                <w:highlight w:val="none"/>
              </w:rPr>
            </w:pPr>
            <w:r>
              <w:rPr>
                <w:rFonts w:hint="eastAsia" w:cs="宋体"/>
                <w:color w:val="auto"/>
                <w:kern w:val="0"/>
                <w:highlight w:val="none"/>
              </w:rPr>
              <w:t>（</w:t>
            </w:r>
            <w:r>
              <w:rPr>
                <w:color w:val="auto"/>
                <w:kern w:val="0"/>
                <w:highlight w:val="none"/>
              </w:rPr>
              <w:t>1</w:t>
            </w:r>
            <w:r>
              <w:rPr>
                <w:rFonts w:hint="eastAsia" w:cs="宋体"/>
                <w:color w:val="auto"/>
                <w:kern w:val="0"/>
                <w:highlight w:val="none"/>
              </w:rPr>
              <w:t>）项目经理任职资格</w:t>
            </w:r>
          </w:p>
        </w:tc>
        <w:tc>
          <w:tcPr>
            <w:tcW w:w="851"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1134" w:type="dxa"/>
            <w:shd w:val="clear" w:color="auto" w:fill="auto"/>
            <w:vAlign w:val="center"/>
          </w:tcPr>
          <w:p>
            <w:pPr>
              <w:spacing w:line="360" w:lineRule="auto"/>
              <w:jc w:val="center"/>
              <w:rPr>
                <w:color w:val="auto"/>
                <w:highlight w:val="none"/>
              </w:rPr>
            </w:pPr>
          </w:p>
        </w:tc>
        <w:tc>
          <w:tcPr>
            <w:tcW w:w="1134"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993" w:type="dxa"/>
            <w:shd w:val="clear" w:color="auto" w:fill="auto"/>
            <w:vAlign w:val="center"/>
          </w:tcPr>
          <w:p>
            <w:pPr>
              <w:spacing w:line="360" w:lineRule="auto"/>
              <w:jc w:val="center"/>
              <w:rPr>
                <w:color w:val="auto"/>
                <w:highlight w:val="none"/>
              </w:rPr>
            </w:pPr>
          </w:p>
        </w:tc>
        <w:tc>
          <w:tcPr>
            <w:tcW w:w="1275" w:type="dxa"/>
            <w:shd w:val="clear" w:color="auto" w:fill="auto"/>
            <w:vAlign w:val="center"/>
          </w:tcPr>
          <w:p>
            <w:pPr>
              <w:spacing w:line="360" w:lineRule="auto"/>
              <w:jc w:val="center"/>
              <w:rPr>
                <w:color w:val="auto"/>
                <w:highlight w:val="none"/>
              </w:rPr>
            </w:pPr>
          </w:p>
        </w:tc>
        <w:tc>
          <w:tcPr>
            <w:tcW w:w="1305" w:type="dxa"/>
            <w:shd w:val="clear" w:color="auto" w:fill="auto"/>
            <w:vAlign w:val="center"/>
          </w:tcPr>
          <w:p>
            <w:pPr>
              <w:spacing w:line="360" w:lineRule="auto"/>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3" w:hRule="atLeast"/>
          <w:jc w:val="center"/>
        </w:trPr>
        <w:tc>
          <w:tcPr>
            <w:tcW w:w="912" w:type="dxa"/>
            <w:vMerge w:val="continue"/>
            <w:shd w:val="clear" w:color="auto" w:fill="auto"/>
            <w:vAlign w:val="center"/>
          </w:tcPr>
          <w:p>
            <w:pPr>
              <w:spacing w:line="360" w:lineRule="auto"/>
              <w:jc w:val="center"/>
              <w:rPr>
                <w:rFonts w:eastAsia="黑体"/>
                <w:color w:val="auto"/>
                <w:highlight w:val="none"/>
              </w:rPr>
            </w:pPr>
          </w:p>
        </w:tc>
        <w:tc>
          <w:tcPr>
            <w:tcW w:w="3375" w:type="dxa"/>
            <w:shd w:val="clear" w:color="auto" w:fill="auto"/>
            <w:vAlign w:val="center"/>
          </w:tcPr>
          <w:p>
            <w:pPr>
              <w:spacing w:line="360" w:lineRule="auto"/>
              <w:jc w:val="left"/>
              <w:rPr>
                <w:color w:val="auto"/>
                <w:highlight w:val="none"/>
              </w:rPr>
            </w:pPr>
            <w:r>
              <w:rPr>
                <w:rFonts w:hint="eastAsia" w:cs="宋体"/>
                <w:color w:val="auto"/>
                <w:kern w:val="0"/>
                <w:highlight w:val="none"/>
              </w:rPr>
              <w:t>（</w:t>
            </w:r>
            <w:r>
              <w:rPr>
                <w:color w:val="auto"/>
                <w:kern w:val="0"/>
                <w:highlight w:val="none"/>
              </w:rPr>
              <w:t>2</w:t>
            </w:r>
            <w:r>
              <w:rPr>
                <w:rFonts w:hint="eastAsia" w:cs="宋体"/>
                <w:color w:val="auto"/>
                <w:kern w:val="0"/>
                <w:highlight w:val="none"/>
              </w:rPr>
              <w:t>）其他主要人员</w:t>
            </w:r>
          </w:p>
        </w:tc>
        <w:tc>
          <w:tcPr>
            <w:tcW w:w="851"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1134" w:type="dxa"/>
            <w:shd w:val="clear" w:color="auto" w:fill="auto"/>
            <w:vAlign w:val="center"/>
          </w:tcPr>
          <w:p>
            <w:pPr>
              <w:spacing w:line="360" w:lineRule="auto"/>
              <w:jc w:val="center"/>
              <w:rPr>
                <w:color w:val="auto"/>
                <w:highlight w:val="none"/>
              </w:rPr>
            </w:pPr>
          </w:p>
        </w:tc>
        <w:tc>
          <w:tcPr>
            <w:tcW w:w="1134"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993" w:type="dxa"/>
            <w:shd w:val="clear" w:color="auto" w:fill="auto"/>
            <w:vAlign w:val="center"/>
          </w:tcPr>
          <w:p>
            <w:pPr>
              <w:spacing w:line="360" w:lineRule="auto"/>
              <w:jc w:val="center"/>
              <w:rPr>
                <w:color w:val="auto"/>
                <w:highlight w:val="none"/>
              </w:rPr>
            </w:pPr>
          </w:p>
        </w:tc>
        <w:tc>
          <w:tcPr>
            <w:tcW w:w="1275" w:type="dxa"/>
            <w:shd w:val="clear" w:color="auto" w:fill="auto"/>
            <w:vAlign w:val="center"/>
          </w:tcPr>
          <w:p>
            <w:pPr>
              <w:spacing w:line="360" w:lineRule="auto"/>
              <w:jc w:val="center"/>
              <w:rPr>
                <w:color w:val="auto"/>
                <w:highlight w:val="none"/>
              </w:rPr>
            </w:pPr>
          </w:p>
        </w:tc>
        <w:tc>
          <w:tcPr>
            <w:tcW w:w="1305" w:type="dxa"/>
            <w:shd w:val="clear" w:color="auto" w:fill="auto"/>
            <w:vAlign w:val="center"/>
          </w:tcPr>
          <w:p>
            <w:pPr>
              <w:spacing w:line="360" w:lineRule="auto"/>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4" w:hRule="atLeast"/>
          <w:jc w:val="center"/>
        </w:trPr>
        <w:tc>
          <w:tcPr>
            <w:tcW w:w="912" w:type="dxa"/>
            <w:vMerge w:val="restart"/>
            <w:shd w:val="clear" w:color="auto" w:fill="auto"/>
            <w:vAlign w:val="center"/>
          </w:tcPr>
          <w:p>
            <w:pPr>
              <w:spacing w:line="360" w:lineRule="auto"/>
              <w:jc w:val="center"/>
              <w:rPr>
                <w:rFonts w:eastAsia="黑体"/>
                <w:color w:val="auto"/>
                <w:highlight w:val="none"/>
              </w:rPr>
            </w:pPr>
            <w:r>
              <w:rPr>
                <w:color w:val="auto"/>
                <w:highlight w:val="none"/>
              </w:rPr>
              <w:t>2</w:t>
            </w:r>
            <w:r>
              <w:rPr>
                <w:rFonts w:hint="eastAsia" w:cs="宋体"/>
                <w:color w:val="auto"/>
                <w:highlight w:val="none"/>
              </w:rPr>
              <w:t>、施工组织设计（满分</w:t>
            </w:r>
            <w:r>
              <w:rPr>
                <w:color w:val="auto"/>
                <w:highlight w:val="none"/>
              </w:rPr>
              <w:t>80</w:t>
            </w:r>
            <w:r>
              <w:rPr>
                <w:rFonts w:hint="eastAsia" w:cs="宋体"/>
                <w:color w:val="auto"/>
                <w:highlight w:val="none"/>
              </w:rPr>
              <w:t>）</w:t>
            </w:r>
          </w:p>
        </w:tc>
        <w:tc>
          <w:tcPr>
            <w:tcW w:w="3375" w:type="dxa"/>
            <w:shd w:val="clear" w:color="auto" w:fill="auto"/>
            <w:vAlign w:val="center"/>
          </w:tcPr>
          <w:p>
            <w:pPr>
              <w:widowControl/>
              <w:spacing w:line="360" w:lineRule="auto"/>
              <w:jc w:val="left"/>
              <w:rPr>
                <w:color w:val="auto"/>
                <w:highlight w:val="none"/>
              </w:rPr>
            </w:pPr>
            <w:r>
              <w:rPr>
                <w:rFonts w:hint="eastAsia" w:cs="宋体"/>
                <w:color w:val="auto"/>
                <w:kern w:val="0"/>
                <w:highlight w:val="none"/>
              </w:rPr>
              <w:t>（</w:t>
            </w:r>
            <w:r>
              <w:rPr>
                <w:color w:val="auto"/>
                <w:kern w:val="0"/>
                <w:highlight w:val="none"/>
              </w:rPr>
              <w:t>1</w:t>
            </w:r>
            <w:r>
              <w:rPr>
                <w:rFonts w:hint="eastAsia" w:cs="宋体"/>
                <w:color w:val="auto"/>
                <w:kern w:val="0"/>
                <w:highlight w:val="none"/>
              </w:rPr>
              <w:t>）主要施工方法</w:t>
            </w:r>
          </w:p>
        </w:tc>
        <w:tc>
          <w:tcPr>
            <w:tcW w:w="851"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1134" w:type="dxa"/>
            <w:shd w:val="clear" w:color="auto" w:fill="auto"/>
            <w:vAlign w:val="center"/>
          </w:tcPr>
          <w:p>
            <w:pPr>
              <w:spacing w:line="360" w:lineRule="auto"/>
              <w:jc w:val="center"/>
              <w:rPr>
                <w:color w:val="auto"/>
                <w:highlight w:val="none"/>
              </w:rPr>
            </w:pPr>
          </w:p>
        </w:tc>
        <w:tc>
          <w:tcPr>
            <w:tcW w:w="1134"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993" w:type="dxa"/>
            <w:shd w:val="clear" w:color="auto" w:fill="auto"/>
            <w:vAlign w:val="center"/>
          </w:tcPr>
          <w:p>
            <w:pPr>
              <w:spacing w:line="360" w:lineRule="auto"/>
              <w:jc w:val="center"/>
              <w:rPr>
                <w:color w:val="auto"/>
                <w:highlight w:val="none"/>
              </w:rPr>
            </w:pPr>
          </w:p>
        </w:tc>
        <w:tc>
          <w:tcPr>
            <w:tcW w:w="1275" w:type="dxa"/>
            <w:shd w:val="clear" w:color="auto" w:fill="auto"/>
            <w:vAlign w:val="center"/>
          </w:tcPr>
          <w:p>
            <w:pPr>
              <w:spacing w:line="360" w:lineRule="auto"/>
              <w:jc w:val="center"/>
              <w:rPr>
                <w:color w:val="auto"/>
                <w:highlight w:val="none"/>
              </w:rPr>
            </w:pPr>
          </w:p>
        </w:tc>
        <w:tc>
          <w:tcPr>
            <w:tcW w:w="1305" w:type="dxa"/>
            <w:shd w:val="clear" w:color="auto" w:fill="auto"/>
            <w:vAlign w:val="center"/>
          </w:tcPr>
          <w:p>
            <w:pPr>
              <w:spacing w:line="360" w:lineRule="auto"/>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4" w:hRule="atLeast"/>
          <w:jc w:val="center"/>
        </w:trPr>
        <w:tc>
          <w:tcPr>
            <w:tcW w:w="912" w:type="dxa"/>
            <w:vMerge w:val="continue"/>
            <w:shd w:val="clear" w:color="auto" w:fill="auto"/>
            <w:vAlign w:val="center"/>
          </w:tcPr>
          <w:p>
            <w:pPr>
              <w:spacing w:line="360" w:lineRule="auto"/>
              <w:jc w:val="center"/>
              <w:rPr>
                <w:rFonts w:eastAsia="黑体"/>
                <w:color w:val="auto"/>
                <w:highlight w:val="none"/>
              </w:rPr>
            </w:pPr>
          </w:p>
        </w:tc>
        <w:tc>
          <w:tcPr>
            <w:tcW w:w="3375" w:type="dxa"/>
            <w:shd w:val="clear" w:color="auto" w:fill="auto"/>
            <w:vAlign w:val="center"/>
          </w:tcPr>
          <w:p>
            <w:pPr>
              <w:widowControl/>
              <w:spacing w:line="360" w:lineRule="auto"/>
              <w:rPr>
                <w:color w:val="auto"/>
                <w:highlight w:val="none"/>
              </w:rPr>
            </w:pPr>
            <w:r>
              <w:rPr>
                <w:rFonts w:hint="eastAsia" w:cs="宋体"/>
                <w:color w:val="auto"/>
                <w:kern w:val="0"/>
                <w:highlight w:val="none"/>
              </w:rPr>
              <w:t>（</w:t>
            </w:r>
            <w:r>
              <w:rPr>
                <w:color w:val="auto"/>
                <w:kern w:val="0"/>
                <w:highlight w:val="none"/>
              </w:rPr>
              <w:t>2</w:t>
            </w:r>
            <w:r>
              <w:rPr>
                <w:rFonts w:hint="eastAsia" w:cs="宋体"/>
                <w:color w:val="auto"/>
                <w:kern w:val="0"/>
                <w:highlight w:val="none"/>
              </w:rPr>
              <w:t>）拟投入的主要物资计划</w:t>
            </w:r>
          </w:p>
        </w:tc>
        <w:tc>
          <w:tcPr>
            <w:tcW w:w="851"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1134" w:type="dxa"/>
            <w:shd w:val="clear" w:color="auto" w:fill="auto"/>
            <w:vAlign w:val="center"/>
          </w:tcPr>
          <w:p>
            <w:pPr>
              <w:spacing w:line="360" w:lineRule="auto"/>
              <w:jc w:val="center"/>
              <w:rPr>
                <w:color w:val="auto"/>
                <w:highlight w:val="none"/>
              </w:rPr>
            </w:pPr>
          </w:p>
        </w:tc>
        <w:tc>
          <w:tcPr>
            <w:tcW w:w="1134"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993" w:type="dxa"/>
            <w:shd w:val="clear" w:color="auto" w:fill="auto"/>
            <w:vAlign w:val="center"/>
          </w:tcPr>
          <w:p>
            <w:pPr>
              <w:spacing w:line="360" w:lineRule="auto"/>
              <w:jc w:val="center"/>
              <w:rPr>
                <w:color w:val="auto"/>
                <w:highlight w:val="none"/>
              </w:rPr>
            </w:pPr>
          </w:p>
        </w:tc>
        <w:tc>
          <w:tcPr>
            <w:tcW w:w="1275" w:type="dxa"/>
            <w:shd w:val="clear" w:color="auto" w:fill="auto"/>
            <w:vAlign w:val="center"/>
          </w:tcPr>
          <w:p>
            <w:pPr>
              <w:spacing w:line="360" w:lineRule="auto"/>
              <w:jc w:val="center"/>
              <w:rPr>
                <w:color w:val="auto"/>
                <w:highlight w:val="none"/>
              </w:rPr>
            </w:pPr>
          </w:p>
        </w:tc>
        <w:tc>
          <w:tcPr>
            <w:tcW w:w="1305" w:type="dxa"/>
            <w:shd w:val="clear" w:color="auto" w:fill="auto"/>
            <w:vAlign w:val="center"/>
          </w:tcPr>
          <w:p>
            <w:pPr>
              <w:spacing w:line="360" w:lineRule="auto"/>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3" w:hRule="atLeast"/>
          <w:jc w:val="center"/>
        </w:trPr>
        <w:tc>
          <w:tcPr>
            <w:tcW w:w="912" w:type="dxa"/>
            <w:vMerge w:val="continue"/>
            <w:shd w:val="clear" w:color="auto" w:fill="auto"/>
            <w:vAlign w:val="center"/>
          </w:tcPr>
          <w:p>
            <w:pPr>
              <w:spacing w:line="360" w:lineRule="auto"/>
              <w:jc w:val="center"/>
              <w:rPr>
                <w:rFonts w:eastAsia="黑体"/>
                <w:color w:val="auto"/>
                <w:highlight w:val="none"/>
              </w:rPr>
            </w:pPr>
          </w:p>
        </w:tc>
        <w:tc>
          <w:tcPr>
            <w:tcW w:w="3375" w:type="dxa"/>
            <w:shd w:val="clear" w:color="auto" w:fill="auto"/>
            <w:vAlign w:val="center"/>
          </w:tcPr>
          <w:p>
            <w:pPr>
              <w:widowControl/>
              <w:spacing w:line="360" w:lineRule="auto"/>
              <w:jc w:val="left"/>
              <w:rPr>
                <w:color w:val="auto"/>
                <w:highlight w:val="none"/>
              </w:rPr>
            </w:pPr>
            <w:r>
              <w:rPr>
                <w:rFonts w:hint="eastAsia" w:cs="宋体"/>
                <w:color w:val="auto"/>
                <w:kern w:val="0"/>
                <w:highlight w:val="none"/>
              </w:rPr>
              <w:t>（</w:t>
            </w:r>
            <w:r>
              <w:rPr>
                <w:color w:val="auto"/>
                <w:kern w:val="0"/>
                <w:highlight w:val="none"/>
              </w:rPr>
              <w:t>3</w:t>
            </w:r>
            <w:r>
              <w:rPr>
                <w:rFonts w:hint="eastAsia" w:cs="宋体"/>
                <w:color w:val="auto"/>
                <w:kern w:val="0"/>
                <w:highlight w:val="none"/>
              </w:rPr>
              <w:t>）拟投入的主要施工机械、设备计划</w:t>
            </w:r>
          </w:p>
        </w:tc>
        <w:tc>
          <w:tcPr>
            <w:tcW w:w="851"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1134" w:type="dxa"/>
            <w:shd w:val="clear" w:color="auto" w:fill="auto"/>
            <w:vAlign w:val="center"/>
          </w:tcPr>
          <w:p>
            <w:pPr>
              <w:spacing w:line="360" w:lineRule="auto"/>
              <w:jc w:val="center"/>
              <w:rPr>
                <w:color w:val="auto"/>
                <w:highlight w:val="none"/>
              </w:rPr>
            </w:pPr>
          </w:p>
        </w:tc>
        <w:tc>
          <w:tcPr>
            <w:tcW w:w="1134"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993" w:type="dxa"/>
            <w:shd w:val="clear" w:color="auto" w:fill="auto"/>
            <w:vAlign w:val="center"/>
          </w:tcPr>
          <w:p>
            <w:pPr>
              <w:spacing w:line="360" w:lineRule="auto"/>
              <w:jc w:val="center"/>
              <w:rPr>
                <w:color w:val="auto"/>
                <w:highlight w:val="none"/>
              </w:rPr>
            </w:pPr>
          </w:p>
        </w:tc>
        <w:tc>
          <w:tcPr>
            <w:tcW w:w="1275" w:type="dxa"/>
            <w:shd w:val="clear" w:color="auto" w:fill="auto"/>
            <w:vAlign w:val="center"/>
          </w:tcPr>
          <w:p>
            <w:pPr>
              <w:spacing w:line="360" w:lineRule="auto"/>
              <w:jc w:val="center"/>
              <w:rPr>
                <w:color w:val="auto"/>
                <w:highlight w:val="none"/>
              </w:rPr>
            </w:pPr>
          </w:p>
        </w:tc>
        <w:tc>
          <w:tcPr>
            <w:tcW w:w="1305" w:type="dxa"/>
            <w:shd w:val="clear" w:color="auto" w:fill="auto"/>
            <w:vAlign w:val="center"/>
          </w:tcPr>
          <w:p>
            <w:pPr>
              <w:spacing w:line="360" w:lineRule="auto"/>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4" w:hRule="atLeast"/>
          <w:jc w:val="center"/>
        </w:trPr>
        <w:tc>
          <w:tcPr>
            <w:tcW w:w="912" w:type="dxa"/>
            <w:vMerge w:val="continue"/>
            <w:shd w:val="clear" w:color="auto" w:fill="auto"/>
            <w:vAlign w:val="center"/>
          </w:tcPr>
          <w:p>
            <w:pPr>
              <w:spacing w:line="360" w:lineRule="auto"/>
              <w:jc w:val="center"/>
              <w:rPr>
                <w:rFonts w:eastAsia="黑体"/>
                <w:color w:val="auto"/>
                <w:highlight w:val="none"/>
              </w:rPr>
            </w:pPr>
          </w:p>
        </w:tc>
        <w:tc>
          <w:tcPr>
            <w:tcW w:w="3375" w:type="dxa"/>
            <w:shd w:val="clear" w:color="auto" w:fill="auto"/>
            <w:vAlign w:val="center"/>
          </w:tcPr>
          <w:p>
            <w:pPr>
              <w:widowControl/>
              <w:spacing w:line="360" w:lineRule="auto"/>
              <w:jc w:val="left"/>
              <w:rPr>
                <w:color w:val="auto"/>
                <w:highlight w:val="none"/>
              </w:rPr>
            </w:pPr>
            <w:r>
              <w:rPr>
                <w:rFonts w:hint="eastAsia" w:cs="宋体"/>
                <w:color w:val="auto"/>
                <w:kern w:val="0"/>
                <w:highlight w:val="none"/>
              </w:rPr>
              <w:t>（</w:t>
            </w:r>
            <w:r>
              <w:rPr>
                <w:color w:val="auto"/>
                <w:kern w:val="0"/>
                <w:highlight w:val="none"/>
              </w:rPr>
              <w:t>4</w:t>
            </w:r>
            <w:r>
              <w:rPr>
                <w:rFonts w:hint="eastAsia" w:cs="宋体"/>
                <w:color w:val="auto"/>
                <w:kern w:val="0"/>
                <w:highlight w:val="none"/>
              </w:rPr>
              <w:t>）劳动力安排计划</w:t>
            </w:r>
          </w:p>
        </w:tc>
        <w:tc>
          <w:tcPr>
            <w:tcW w:w="851"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1134" w:type="dxa"/>
            <w:shd w:val="clear" w:color="auto" w:fill="auto"/>
            <w:vAlign w:val="center"/>
          </w:tcPr>
          <w:p>
            <w:pPr>
              <w:spacing w:line="360" w:lineRule="auto"/>
              <w:jc w:val="center"/>
              <w:rPr>
                <w:color w:val="auto"/>
                <w:highlight w:val="none"/>
              </w:rPr>
            </w:pPr>
          </w:p>
        </w:tc>
        <w:tc>
          <w:tcPr>
            <w:tcW w:w="1134"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993" w:type="dxa"/>
            <w:shd w:val="clear" w:color="auto" w:fill="auto"/>
            <w:vAlign w:val="center"/>
          </w:tcPr>
          <w:p>
            <w:pPr>
              <w:spacing w:line="360" w:lineRule="auto"/>
              <w:jc w:val="center"/>
              <w:rPr>
                <w:color w:val="auto"/>
                <w:highlight w:val="none"/>
              </w:rPr>
            </w:pPr>
          </w:p>
        </w:tc>
        <w:tc>
          <w:tcPr>
            <w:tcW w:w="1275" w:type="dxa"/>
            <w:shd w:val="clear" w:color="auto" w:fill="auto"/>
            <w:vAlign w:val="center"/>
          </w:tcPr>
          <w:p>
            <w:pPr>
              <w:spacing w:line="360" w:lineRule="auto"/>
              <w:jc w:val="center"/>
              <w:rPr>
                <w:color w:val="auto"/>
                <w:highlight w:val="none"/>
              </w:rPr>
            </w:pPr>
          </w:p>
        </w:tc>
        <w:tc>
          <w:tcPr>
            <w:tcW w:w="1305" w:type="dxa"/>
            <w:shd w:val="clear" w:color="auto" w:fill="auto"/>
            <w:vAlign w:val="center"/>
          </w:tcPr>
          <w:p>
            <w:pPr>
              <w:spacing w:line="360" w:lineRule="auto"/>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4" w:hRule="atLeast"/>
          <w:jc w:val="center"/>
        </w:trPr>
        <w:tc>
          <w:tcPr>
            <w:tcW w:w="912" w:type="dxa"/>
            <w:vMerge w:val="continue"/>
            <w:shd w:val="clear" w:color="auto" w:fill="auto"/>
            <w:vAlign w:val="center"/>
          </w:tcPr>
          <w:p>
            <w:pPr>
              <w:spacing w:line="360" w:lineRule="auto"/>
              <w:jc w:val="center"/>
              <w:rPr>
                <w:rFonts w:eastAsia="黑体"/>
                <w:color w:val="auto"/>
                <w:highlight w:val="none"/>
              </w:rPr>
            </w:pPr>
          </w:p>
        </w:tc>
        <w:tc>
          <w:tcPr>
            <w:tcW w:w="3375" w:type="dxa"/>
            <w:shd w:val="clear" w:color="auto" w:fill="auto"/>
            <w:vAlign w:val="center"/>
          </w:tcPr>
          <w:p>
            <w:pPr>
              <w:widowControl/>
              <w:spacing w:line="360" w:lineRule="auto"/>
              <w:jc w:val="left"/>
              <w:rPr>
                <w:color w:val="auto"/>
                <w:highlight w:val="none"/>
              </w:rPr>
            </w:pPr>
            <w:r>
              <w:rPr>
                <w:rFonts w:hint="eastAsia" w:cs="宋体"/>
                <w:color w:val="auto"/>
                <w:kern w:val="0"/>
                <w:highlight w:val="none"/>
              </w:rPr>
              <w:t>（</w:t>
            </w:r>
            <w:r>
              <w:rPr>
                <w:color w:val="auto"/>
                <w:kern w:val="0"/>
                <w:highlight w:val="none"/>
              </w:rPr>
              <w:t>5</w:t>
            </w:r>
            <w:r>
              <w:rPr>
                <w:rFonts w:hint="eastAsia" w:cs="宋体"/>
                <w:color w:val="auto"/>
                <w:kern w:val="0"/>
                <w:highlight w:val="none"/>
              </w:rPr>
              <w:t>）确保工程质量的技术组织措施</w:t>
            </w:r>
          </w:p>
        </w:tc>
        <w:tc>
          <w:tcPr>
            <w:tcW w:w="851"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1134" w:type="dxa"/>
            <w:shd w:val="clear" w:color="auto" w:fill="auto"/>
            <w:vAlign w:val="center"/>
          </w:tcPr>
          <w:p>
            <w:pPr>
              <w:spacing w:line="360" w:lineRule="auto"/>
              <w:jc w:val="center"/>
              <w:rPr>
                <w:color w:val="auto"/>
                <w:highlight w:val="none"/>
              </w:rPr>
            </w:pPr>
          </w:p>
        </w:tc>
        <w:tc>
          <w:tcPr>
            <w:tcW w:w="1134"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993" w:type="dxa"/>
            <w:shd w:val="clear" w:color="auto" w:fill="auto"/>
            <w:vAlign w:val="center"/>
          </w:tcPr>
          <w:p>
            <w:pPr>
              <w:spacing w:line="360" w:lineRule="auto"/>
              <w:jc w:val="center"/>
              <w:rPr>
                <w:color w:val="auto"/>
                <w:highlight w:val="none"/>
              </w:rPr>
            </w:pPr>
          </w:p>
        </w:tc>
        <w:tc>
          <w:tcPr>
            <w:tcW w:w="1275" w:type="dxa"/>
            <w:shd w:val="clear" w:color="auto" w:fill="auto"/>
            <w:vAlign w:val="center"/>
          </w:tcPr>
          <w:p>
            <w:pPr>
              <w:spacing w:line="360" w:lineRule="auto"/>
              <w:jc w:val="center"/>
              <w:rPr>
                <w:color w:val="auto"/>
                <w:highlight w:val="none"/>
              </w:rPr>
            </w:pPr>
          </w:p>
        </w:tc>
        <w:tc>
          <w:tcPr>
            <w:tcW w:w="1305" w:type="dxa"/>
            <w:shd w:val="clear" w:color="auto" w:fill="auto"/>
            <w:vAlign w:val="center"/>
          </w:tcPr>
          <w:p>
            <w:pPr>
              <w:spacing w:line="360" w:lineRule="auto"/>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7" w:hRule="atLeast"/>
          <w:jc w:val="center"/>
        </w:trPr>
        <w:tc>
          <w:tcPr>
            <w:tcW w:w="912" w:type="dxa"/>
            <w:vMerge w:val="continue"/>
            <w:shd w:val="clear" w:color="auto" w:fill="auto"/>
            <w:vAlign w:val="center"/>
          </w:tcPr>
          <w:p>
            <w:pPr>
              <w:spacing w:line="360" w:lineRule="auto"/>
              <w:jc w:val="center"/>
              <w:rPr>
                <w:rFonts w:eastAsia="黑体"/>
                <w:color w:val="auto"/>
                <w:highlight w:val="none"/>
              </w:rPr>
            </w:pPr>
          </w:p>
        </w:tc>
        <w:tc>
          <w:tcPr>
            <w:tcW w:w="3375" w:type="dxa"/>
            <w:shd w:val="clear" w:color="auto" w:fill="auto"/>
            <w:vAlign w:val="center"/>
          </w:tcPr>
          <w:p>
            <w:pPr>
              <w:widowControl/>
              <w:spacing w:line="360" w:lineRule="auto"/>
              <w:jc w:val="left"/>
              <w:rPr>
                <w:color w:val="auto"/>
                <w:highlight w:val="none"/>
              </w:rPr>
            </w:pPr>
            <w:r>
              <w:rPr>
                <w:rFonts w:hint="eastAsia" w:cs="宋体"/>
                <w:color w:val="auto"/>
                <w:kern w:val="0"/>
                <w:highlight w:val="none"/>
              </w:rPr>
              <w:t>（</w:t>
            </w:r>
            <w:r>
              <w:rPr>
                <w:color w:val="auto"/>
                <w:kern w:val="0"/>
                <w:highlight w:val="none"/>
              </w:rPr>
              <w:t>6</w:t>
            </w:r>
            <w:r>
              <w:rPr>
                <w:rFonts w:hint="eastAsia" w:cs="宋体"/>
                <w:color w:val="auto"/>
                <w:kern w:val="0"/>
                <w:highlight w:val="none"/>
              </w:rPr>
              <w:t>）确保安全生产的技术组织措施</w:t>
            </w:r>
          </w:p>
        </w:tc>
        <w:tc>
          <w:tcPr>
            <w:tcW w:w="851"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1134" w:type="dxa"/>
            <w:shd w:val="clear" w:color="auto" w:fill="auto"/>
            <w:vAlign w:val="center"/>
          </w:tcPr>
          <w:p>
            <w:pPr>
              <w:spacing w:line="360" w:lineRule="auto"/>
              <w:jc w:val="center"/>
              <w:rPr>
                <w:color w:val="auto"/>
                <w:highlight w:val="none"/>
              </w:rPr>
            </w:pPr>
          </w:p>
        </w:tc>
        <w:tc>
          <w:tcPr>
            <w:tcW w:w="1134"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993" w:type="dxa"/>
            <w:shd w:val="clear" w:color="auto" w:fill="auto"/>
            <w:vAlign w:val="center"/>
          </w:tcPr>
          <w:p>
            <w:pPr>
              <w:spacing w:line="360" w:lineRule="auto"/>
              <w:jc w:val="center"/>
              <w:rPr>
                <w:color w:val="auto"/>
                <w:highlight w:val="none"/>
              </w:rPr>
            </w:pPr>
          </w:p>
        </w:tc>
        <w:tc>
          <w:tcPr>
            <w:tcW w:w="1275" w:type="dxa"/>
            <w:shd w:val="clear" w:color="auto" w:fill="auto"/>
            <w:vAlign w:val="center"/>
          </w:tcPr>
          <w:p>
            <w:pPr>
              <w:spacing w:line="360" w:lineRule="auto"/>
              <w:jc w:val="center"/>
              <w:rPr>
                <w:color w:val="auto"/>
                <w:highlight w:val="none"/>
              </w:rPr>
            </w:pPr>
          </w:p>
        </w:tc>
        <w:tc>
          <w:tcPr>
            <w:tcW w:w="1305" w:type="dxa"/>
            <w:shd w:val="clear" w:color="auto" w:fill="auto"/>
            <w:vAlign w:val="center"/>
          </w:tcPr>
          <w:p>
            <w:pPr>
              <w:spacing w:line="360" w:lineRule="auto"/>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4" w:hRule="atLeast"/>
          <w:jc w:val="center"/>
        </w:trPr>
        <w:tc>
          <w:tcPr>
            <w:tcW w:w="912" w:type="dxa"/>
            <w:vMerge w:val="continue"/>
            <w:shd w:val="clear" w:color="auto" w:fill="auto"/>
            <w:vAlign w:val="center"/>
          </w:tcPr>
          <w:p>
            <w:pPr>
              <w:spacing w:line="360" w:lineRule="auto"/>
              <w:jc w:val="center"/>
              <w:rPr>
                <w:rFonts w:eastAsia="黑体"/>
                <w:color w:val="auto"/>
                <w:highlight w:val="none"/>
              </w:rPr>
            </w:pPr>
          </w:p>
        </w:tc>
        <w:tc>
          <w:tcPr>
            <w:tcW w:w="3375" w:type="dxa"/>
            <w:shd w:val="clear" w:color="auto" w:fill="auto"/>
            <w:vAlign w:val="center"/>
          </w:tcPr>
          <w:p>
            <w:pPr>
              <w:widowControl/>
              <w:spacing w:line="360" w:lineRule="auto"/>
              <w:jc w:val="left"/>
              <w:rPr>
                <w:color w:val="auto"/>
                <w:highlight w:val="none"/>
              </w:rPr>
            </w:pPr>
            <w:r>
              <w:rPr>
                <w:rFonts w:hint="eastAsia" w:cs="宋体"/>
                <w:color w:val="auto"/>
                <w:kern w:val="0"/>
                <w:highlight w:val="none"/>
              </w:rPr>
              <w:t>（</w:t>
            </w:r>
            <w:r>
              <w:rPr>
                <w:color w:val="auto"/>
                <w:kern w:val="0"/>
                <w:highlight w:val="none"/>
              </w:rPr>
              <w:t>7</w:t>
            </w:r>
            <w:r>
              <w:rPr>
                <w:rFonts w:hint="eastAsia" w:cs="宋体"/>
                <w:color w:val="auto"/>
                <w:kern w:val="0"/>
                <w:highlight w:val="none"/>
              </w:rPr>
              <w:t>）确保工期的技术组织措施</w:t>
            </w:r>
          </w:p>
        </w:tc>
        <w:tc>
          <w:tcPr>
            <w:tcW w:w="851"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1134" w:type="dxa"/>
            <w:shd w:val="clear" w:color="auto" w:fill="auto"/>
            <w:vAlign w:val="center"/>
          </w:tcPr>
          <w:p>
            <w:pPr>
              <w:spacing w:line="360" w:lineRule="auto"/>
              <w:jc w:val="center"/>
              <w:rPr>
                <w:color w:val="auto"/>
                <w:highlight w:val="none"/>
              </w:rPr>
            </w:pPr>
          </w:p>
        </w:tc>
        <w:tc>
          <w:tcPr>
            <w:tcW w:w="1134"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993" w:type="dxa"/>
            <w:shd w:val="clear" w:color="auto" w:fill="auto"/>
            <w:vAlign w:val="center"/>
          </w:tcPr>
          <w:p>
            <w:pPr>
              <w:spacing w:line="360" w:lineRule="auto"/>
              <w:jc w:val="center"/>
              <w:rPr>
                <w:color w:val="auto"/>
                <w:highlight w:val="none"/>
              </w:rPr>
            </w:pPr>
          </w:p>
        </w:tc>
        <w:tc>
          <w:tcPr>
            <w:tcW w:w="1275" w:type="dxa"/>
            <w:shd w:val="clear" w:color="auto" w:fill="auto"/>
            <w:vAlign w:val="center"/>
          </w:tcPr>
          <w:p>
            <w:pPr>
              <w:spacing w:line="360" w:lineRule="auto"/>
              <w:jc w:val="center"/>
              <w:rPr>
                <w:color w:val="auto"/>
                <w:highlight w:val="none"/>
              </w:rPr>
            </w:pPr>
          </w:p>
        </w:tc>
        <w:tc>
          <w:tcPr>
            <w:tcW w:w="1305" w:type="dxa"/>
            <w:shd w:val="clear" w:color="auto" w:fill="auto"/>
            <w:vAlign w:val="center"/>
          </w:tcPr>
          <w:p>
            <w:pPr>
              <w:spacing w:line="360" w:lineRule="auto"/>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4" w:hRule="atLeast"/>
          <w:jc w:val="center"/>
        </w:trPr>
        <w:tc>
          <w:tcPr>
            <w:tcW w:w="912" w:type="dxa"/>
            <w:vMerge w:val="continue"/>
            <w:shd w:val="clear" w:color="auto" w:fill="auto"/>
            <w:vAlign w:val="center"/>
          </w:tcPr>
          <w:p>
            <w:pPr>
              <w:spacing w:line="360" w:lineRule="auto"/>
              <w:jc w:val="center"/>
              <w:rPr>
                <w:rFonts w:eastAsia="黑体"/>
                <w:color w:val="auto"/>
                <w:highlight w:val="none"/>
              </w:rPr>
            </w:pPr>
          </w:p>
        </w:tc>
        <w:tc>
          <w:tcPr>
            <w:tcW w:w="3375" w:type="dxa"/>
            <w:shd w:val="clear" w:color="auto" w:fill="auto"/>
            <w:vAlign w:val="center"/>
          </w:tcPr>
          <w:p>
            <w:pPr>
              <w:widowControl/>
              <w:spacing w:line="360" w:lineRule="auto"/>
              <w:jc w:val="left"/>
              <w:rPr>
                <w:color w:val="auto"/>
                <w:highlight w:val="none"/>
              </w:rPr>
            </w:pPr>
            <w:r>
              <w:rPr>
                <w:rFonts w:hint="eastAsia" w:cs="宋体"/>
                <w:color w:val="auto"/>
                <w:kern w:val="0"/>
                <w:highlight w:val="none"/>
              </w:rPr>
              <w:t>（</w:t>
            </w:r>
            <w:r>
              <w:rPr>
                <w:color w:val="auto"/>
                <w:kern w:val="0"/>
                <w:highlight w:val="none"/>
              </w:rPr>
              <w:t>8</w:t>
            </w:r>
            <w:r>
              <w:rPr>
                <w:rFonts w:hint="eastAsia" w:cs="宋体"/>
                <w:color w:val="auto"/>
                <w:kern w:val="0"/>
                <w:highlight w:val="none"/>
              </w:rPr>
              <w:t>）确保文明施工的技术组织措施</w:t>
            </w:r>
          </w:p>
        </w:tc>
        <w:tc>
          <w:tcPr>
            <w:tcW w:w="851"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1134" w:type="dxa"/>
            <w:shd w:val="clear" w:color="auto" w:fill="auto"/>
            <w:vAlign w:val="center"/>
          </w:tcPr>
          <w:p>
            <w:pPr>
              <w:spacing w:line="360" w:lineRule="auto"/>
              <w:jc w:val="center"/>
              <w:rPr>
                <w:color w:val="auto"/>
                <w:highlight w:val="none"/>
              </w:rPr>
            </w:pPr>
          </w:p>
        </w:tc>
        <w:tc>
          <w:tcPr>
            <w:tcW w:w="1134"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993" w:type="dxa"/>
            <w:shd w:val="clear" w:color="auto" w:fill="auto"/>
            <w:vAlign w:val="center"/>
          </w:tcPr>
          <w:p>
            <w:pPr>
              <w:spacing w:line="360" w:lineRule="auto"/>
              <w:jc w:val="center"/>
              <w:rPr>
                <w:color w:val="auto"/>
                <w:highlight w:val="none"/>
              </w:rPr>
            </w:pPr>
          </w:p>
        </w:tc>
        <w:tc>
          <w:tcPr>
            <w:tcW w:w="1275" w:type="dxa"/>
            <w:shd w:val="clear" w:color="auto" w:fill="auto"/>
            <w:vAlign w:val="center"/>
          </w:tcPr>
          <w:p>
            <w:pPr>
              <w:spacing w:line="360" w:lineRule="auto"/>
              <w:jc w:val="center"/>
              <w:rPr>
                <w:color w:val="auto"/>
                <w:highlight w:val="none"/>
              </w:rPr>
            </w:pPr>
          </w:p>
        </w:tc>
        <w:tc>
          <w:tcPr>
            <w:tcW w:w="1305" w:type="dxa"/>
            <w:shd w:val="clear" w:color="auto" w:fill="auto"/>
            <w:vAlign w:val="center"/>
          </w:tcPr>
          <w:p>
            <w:pPr>
              <w:spacing w:line="360" w:lineRule="auto"/>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3" w:hRule="atLeast"/>
          <w:jc w:val="center"/>
        </w:trPr>
        <w:tc>
          <w:tcPr>
            <w:tcW w:w="912" w:type="dxa"/>
            <w:vMerge w:val="continue"/>
            <w:shd w:val="clear" w:color="auto" w:fill="auto"/>
            <w:vAlign w:val="center"/>
          </w:tcPr>
          <w:p>
            <w:pPr>
              <w:spacing w:line="360" w:lineRule="auto"/>
              <w:jc w:val="center"/>
              <w:rPr>
                <w:rFonts w:eastAsia="黑体"/>
                <w:color w:val="auto"/>
                <w:highlight w:val="none"/>
              </w:rPr>
            </w:pPr>
          </w:p>
        </w:tc>
        <w:tc>
          <w:tcPr>
            <w:tcW w:w="3375" w:type="dxa"/>
            <w:shd w:val="clear" w:color="auto" w:fill="auto"/>
            <w:vAlign w:val="center"/>
          </w:tcPr>
          <w:p>
            <w:pPr>
              <w:widowControl/>
              <w:spacing w:line="360" w:lineRule="auto"/>
              <w:jc w:val="left"/>
              <w:rPr>
                <w:color w:val="auto"/>
                <w:highlight w:val="none"/>
              </w:rPr>
            </w:pPr>
            <w:r>
              <w:rPr>
                <w:rFonts w:hint="eastAsia" w:cs="宋体"/>
                <w:color w:val="auto"/>
                <w:kern w:val="0"/>
                <w:highlight w:val="none"/>
              </w:rPr>
              <w:t>（</w:t>
            </w:r>
            <w:r>
              <w:rPr>
                <w:color w:val="auto"/>
                <w:kern w:val="0"/>
                <w:highlight w:val="none"/>
              </w:rPr>
              <w:t>9</w:t>
            </w:r>
            <w:r>
              <w:rPr>
                <w:rFonts w:hint="eastAsia" w:cs="宋体"/>
                <w:color w:val="auto"/>
                <w:kern w:val="0"/>
                <w:highlight w:val="none"/>
              </w:rPr>
              <w:t>）工程施工的重点和难点及保证措施</w:t>
            </w:r>
          </w:p>
        </w:tc>
        <w:tc>
          <w:tcPr>
            <w:tcW w:w="851"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1134" w:type="dxa"/>
            <w:shd w:val="clear" w:color="auto" w:fill="auto"/>
            <w:vAlign w:val="center"/>
          </w:tcPr>
          <w:p>
            <w:pPr>
              <w:spacing w:line="360" w:lineRule="auto"/>
              <w:jc w:val="center"/>
              <w:rPr>
                <w:color w:val="auto"/>
                <w:highlight w:val="none"/>
              </w:rPr>
            </w:pPr>
          </w:p>
        </w:tc>
        <w:tc>
          <w:tcPr>
            <w:tcW w:w="1134"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993" w:type="dxa"/>
            <w:shd w:val="clear" w:color="auto" w:fill="auto"/>
            <w:vAlign w:val="center"/>
          </w:tcPr>
          <w:p>
            <w:pPr>
              <w:spacing w:line="360" w:lineRule="auto"/>
              <w:jc w:val="center"/>
              <w:rPr>
                <w:color w:val="auto"/>
                <w:highlight w:val="none"/>
              </w:rPr>
            </w:pPr>
          </w:p>
        </w:tc>
        <w:tc>
          <w:tcPr>
            <w:tcW w:w="1275" w:type="dxa"/>
            <w:shd w:val="clear" w:color="auto" w:fill="auto"/>
            <w:vAlign w:val="center"/>
          </w:tcPr>
          <w:p>
            <w:pPr>
              <w:spacing w:line="360" w:lineRule="auto"/>
              <w:jc w:val="center"/>
              <w:rPr>
                <w:color w:val="auto"/>
                <w:highlight w:val="none"/>
              </w:rPr>
            </w:pPr>
          </w:p>
        </w:tc>
        <w:tc>
          <w:tcPr>
            <w:tcW w:w="1305" w:type="dxa"/>
            <w:shd w:val="clear" w:color="auto" w:fill="auto"/>
            <w:vAlign w:val="center"/>
          </w:tcPr>
          <w:p>
            <w:pPr>
              <w:spacing w:line="360" w:lineRule="auto"/>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3" w:hRule="atLeast"/>
          <w:jc w:val="center"/>
        </w:trPr>
        <w:tc>
          <w:tcPr>
            <w:tcW w:w="912" w:type="dxa"/>
            <w:vMerge w:val="continue"/>
            <w:shd w:val="clear" w:color="auto" w:fill="auto"/>
            <w:vAlign w:val="center"/>
          </w:tcPr>
          <w:p>
            <w:pPr>
              <w:spacing w:line="360" w:lineRule="auto"/>
              <w:jc w:val="center"/>
              <w:rPr>
                <w:rFonts w:eastAsia="黑体"/>
                <w:color w:val="auto"/>
                <w:highlight w:val="none"/>
              </w:rPr>
            </w:pPr>
          </w:p>
        </w:tc>
        <w:tc>
          <w:tcPr>
            <w:tcW w:w="3375" w:type="dxa"/>
            <w:shd w:val="clear" w:color="auto" w:fill="auto"/>
            <w:vAlign w:val="center"/>
          </w:tcPr>
          <w:p>
            <w:pPr>
              <w:widowControl/>
              <w:spacing w:line="360" w:lineRule="auto"/>
              <w:jc w:val="left"/>
              <w:rPr>
                <w:rFonts w:cs="宋体"/>
                <w:color w:val="auto"/>
                <w:kern w:val="0"/>
                <w:highlight w:val="none"/>
              </w:rPr>
            </w:pPr>
            <w:r>
              <w:rPr>
                <w:rFonts w:hint="eastAsia" w:cs="宋体"/>
                <w:color w:val="auto"/>
                <w:kern w:val="0"/>
                <w:highlight w:val="none"/>
              </w:rPr>
              <w:t>（</w:t>
            </w:r>
            <w:r>
              <w:rPr>
                <w:rFonts w:hint="eastAsia"/>
                <w:color w:val="auto"/>
                <w:kern w:val="0"/>
                <w:highlight w:val="none"/>
              </w:rPr>
              <w:t>10</w:t>
            </w:r>
            <w:r>
              <w:rPr>
                <w:rFonts w:hint="eastAsia" w:cs="宋体"/>
                <w:color w:val="auto"/>
                <w:kern w:val="0"/>
                <w:highlight w:val="none"/>
              </w:rPr>
              <w:t>）施工总平面布置图</w:t>
            </w:r>
          </w:p>
        </w:tc>
        <w:tc>
          <w:tcPr>
            <w:tcW w:w="851"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1134" w:type="dxa"/>
            <w:shd w:val="clear" w:color="auto" w:fill="auto"/>
            <w:vAlign w:val="center"/>
          </w:tcPr>
          <w:p>
            <w:pPr>
              <w:spacing w:line="360" w:lineRule="auto"/>
              <w:jc w:val="center"/>
              <w:rPr>
                <w:color w:val="auto"/>
                <w:highlight w:val="none"/>
              </w:rPr>
            </w:pPr>
          </w:p>
        </w:tc>
        <w:tc>
          <w:tcPr>
            <w:tcW w:w="1134"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993" w:type="dxa"/>
            <w:shd w:val="clear" w:color="auto" w:fill="auto"/>
            <w:vAlign w:val="center"/>
          </w:tcPr>
          <w:p>
            <w:pPr>
              <w:spacing w:line="360" w:lineRule="auto"/>
              <w:jc w:val="center"/>
              <w:rPr>
                <w:color w:val="auto"/>
                <w:highlight w:val="none"/>
              </w:rPr>
            </w:pPr>
          </w:p>
        </w:tc>
        <w:tc>
          <w:tcPr>
            <w:tcW w:w="1275" w:type="dxa"/>
            <w:shd w:val="clear" w:color="auto" w:fill="auto"/>
            <w:vAlign w:val="center"/>
          </w:tcPr>
          <w:p>
            <w:pPr>
              <w:spacing w:line="360" w:lineRule="auto"/>
              <w:jc w:val="center"/>
              <w:rPr>
                <w:color w:val="auto"/>
                <w:highlight w:val="none"/>
              </w:rPr>
            </w:pPr>
          </w:p>
        </w:tc>
        <w:tc>
          <w:tcPr>
            <w:tcW w:w="1305" w:type="dxa"/>
            <w:shd w:val="clear" w:color="auto" w:fill="auto"/>
            <w:vAlign w:val="center"/>
          </w:tcPr>
          <w:p>
            <w:pPr>
              <w:spacing w:line="360" w:lineRule="auto"/>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3" w:hRule="atLeast"/>
          <w:jc w:val="center"/>
        </w:trPr>
        <w:tc>
          <w:tcPr>
            <w:tcW w:w="4287" w:type="dxa"/>
            <w:gridSpan w:val="2"/>
            <w:shd w:val="clear" w:color="auto" w:fill="auto"/>
            <w:vAlign w:val="center"/>
          </w:tcPr>
          <w:p>
            <w:pPr>
              <w:spacing w:line="360" w:lineRule="auto"/>
              <w:jc w:val="center"/>
              <w:rPr>
                <w:color w:val="auto"/>
                <w:kern w:val="0"/>
                <w:highlight w:val="none"/>
              </w:rPr>
            </w:pPr>
            <w:r>
              <w:rPr>
                <w:rFonts w:hint="eastAsia" w:cs="宋体"/>
                <w:color w:val="auto"/>
                <w:kern w:val="0"/>
                <w:highlight w:val="none"/>
              </w:rPr>
              <w:t>技术标得分（满分100分）合计</w:t>
            </w:r>
          </w:p>
        </w:tc>
        <w:tc>
          <w:tcPr>
            <w:tcW w:w="851"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1134" w:type="dxa"/>
            <w:shd w:val="clear" w:color="auto" w:fill="auto"/>
            <w:vAlign w:val="center"/>
          </w:tcPr>
          <w:p>
            <w:pPr>
              <w:spacing w:line="360" w:lineRule="auto"/>
              <w:jc w:val="center"/>
              <w:rPr>
                <w:color w:val="auto"/>
                <w:highlight w:val="none"/>
              </w:rPr>
            </w:pPr>
          </w:p>
        </w:tc>
        <w:tc>
          <w:tcPr>
            <w:tcW w:w="1134"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993" w:type="dxa"/>
            <w:shd w:val="clear" w:color="auto" w:fill="auto"/>
            <w:vAlign w:val="center"/>
          </w:tcPr>
          <w:p>
            <w:pPr>
              <w:spacing w:line="360" w:lineRule="auto"/>
              <w:jc w:val="center"/>
              <w:rPr>
                <w:color w:val="auto"/>
                <w:highlight w:val="none"/>
              </w:rPr>
            </w:pPr>
          </w:p>
        </w:tc>
        <w:tc>
          <w:tcPr>
            <w:tcW w:w="1275" w:type="dxa"/>
            <w:shd w:val="clear" w:color="auto" w:fill="auto"/>
            <w:vAlign w:val="center"/>
          </w:tcPr>
          <w:p>
            <w:pPr>
              <w:spacing w:line="360" w:lineRule="auto"/>
              <w:jc w:val="center"/>
              <w:rPr>
                <w:color w:val="auto"/>
                <w:highlight w:val="none"/>
              </w:rPr>
            </w:pPr>
          </w:p>
        </w:tc>
        <w:tc>
          <w:tcPr>
            <w:tcW w:w="1305" w:type="dxa"/>
            <w:shd w:val="clear" w:color="auto" w:fill="auto"/>
            <w:vAlign w:val="center"/>
          </w:tcPr>
          <w:p>
            <w:pPr>
              <w:spacing w:line="360" w:lineRule="auto"/>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4" w:hRule="atLeast"/>
          <w:jc w:val="center"/>
        </w:trPr>
        <w:tc>
          <w:tcPr>
            <w:tcW w:w="4287" w:type="dxa"/>
            <w:gridSpan w:val="2"/>
            <w:shd w:val="clear" w:color="auto" w:fill="auto"/>
            <w:vAlign w:val="center"/>
          </w:tcPr>
          <w:p>
            <w:pPr>
              <w:spacing w:line="360" w:lineRule="auto"/>
              <w:jc w:val="center"/>
              <w:rPr>
                <w:color w:val="auto"/>
                <w:highlight w:val="none"/>
              </w:rPr>
            </w:pPr>
            <w:r>
              <w:rPr>
                <w:rFonts w:hint="eastAsia" w:cs="宋体"/>
                <w:color w:val="auto"/>
                <w:highlight w:val="none"/>
              </w:rPr>
              <w:t>技术标加权得分合计（满分</w:t>
            </w:r>
            <w:r>
              <w:rPr>
                <w:color w:val="auto"/>
                <w:highlight w:val="none"/>
                <w:u w:val="single"/>
              </w:rPr>
              <w:t xml:space="preserve">       </w:t>
            </w:r>
            <w:r>
              <w:rPr>
                <w:rFonts w:hint="eastAsia" w:cs="宋体"/>
                <w:color w:val="auto"/>
                <w:highlight w:val="none"/>
              </w:rPr>
              <w:t>）</w:t>
            </w:r>
          </w:p>
        </w:tc>
        <w:tc>
          <w:tcPr>
            <w:tcW w:w="851"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1134" w:type="dxa"/>
            <w:shd w:val="clear" w:color="auto" w:fill="auto"/>
            <w:vAlign w:val="center"/>
          </w:tcPr>
          <w:p>
            <w:pPr>
              <w:spacing w:line="360" w:lineRule="auto"/>
              <w:jc w:val="center"/>
              <w:rPr>
                <w:color w:val="auto"/>
                <w:highlight w:val="none"/>
              </w:rPr>
            </w:pPr>
          </w:p>
        </w:tc>
        <w:tc>
          <w:tcPr>
            <w:tcW w:w="1134"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993" w:type="dxa"/>
            <w:shd w:val="clear" w:color="auto" w:fill="auto"/>
            <w:vAlign w:val="center"/>
          </w:tcPr>
          <w:p>
            <w:pPr>
              <w:spacing w:line="360" w:lineRule="auto"/>
              <w:jc w:val="center"/>
              <w:rPr>
                <w:color w:val="auto"/>
                <w:highlight w:val="none"/>
              </w:rPr>
            </w:pPr>
          </w:p>
        </w:tc>
        <w:tc>
          <w:tcPr>
            <w:tcW w:w="1275" w:type="dxa"/>
            <w:shd w:val="clear" w:color="auto" w:fill="auto"/>
            <w:vAlign w:val="center"/>
          </w:tcPr>
          <w:p>
            <w:pPr>
              <w:spacing w:line="360" w:lineRule="auto"/>
              <w:jc w:val="center"/>
              <w:rPr>
                <w:color w:val="auto"/>
                <w:highlight w:val="none"/>
              </w:rPr>
            </w:pPr>
          </w:p>
        </w:tc>
        <w:tc>
          <w:tcPr>
            <w:tcW w:w="1305" w:type="dxa"/>
            <w:shd w:val="clear" w:color="auto" w:fill="auto"/>
            <w:vAlign w:val="center"/>
          </w:tcPr>
          <w:p>
            <w:pPr>
              <w:spacing w:line="360" w:lineRule="auto"/>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4" w:hRule="atLeast"/>
          <w:jc w:val="center"/>
        </w:trPr>
        <w:tc>
          <w:tcPr>
            <w:tcW w:w="4287" w:type="dxa"/>
            <w:gridSpan w:val="2"/>
            <w:shd w:val="clear" w:color="auto" w:fill="auto"/>
            <w:vAlign w:val="center"/>
          </w:tcPr>
          <w:p>
            <w:pPr>
              <w:spacing w:line="360" w:lineRule="auto"/>
              <w:jc w:val="center"/>
              <w:rPr>
                <w:color w:val="auto"/>
                <w:highlight w:val="none"/>
              </w:rPr>
            </w:pPr>
            <w:r>
              <w:rPr>
                <w:rFonts w:hint="eastAsia" w:cs="宋体"/>
                <w:color w:val="auto"/>
                <w:highlight w:val="none"/>
              </w:rPr>
              <w:t>技术标是否合格（技术标加权得分低于</w:t>
            </w:r>
            <w:r>
              <w:rPr>
                <w:rFonts w:hint="eastAsia"/>
                <w:color w:val="auto"/>
                <w:highlight w:val="none"/>
              </w:rPr>
              <w:t>技术标加权满分的60%的，技术标不合格</w:t>
            </w:r>
            <w:r>
              <w:rPr>
                <w:rFonts w:hint="eastAsia" w:cs="宋体"/>
                <w:color w:val="auto"/>
                <w:highlight w:val="none"/>
              </w:rPr>
              <w:t>）</w:t>
            </w:r>
          </w:p>
        </w:tc>
        <w:tc>
          <w:tcPr>
            <w:tcW w:w="851"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1134" w:type="dxa"/>
            <w:shd w:val="clear" w:color="auto" w:fill="auto"/>
            <w:vAlign w:val="center"/>
          </w:tcPr>
          <w:p>
            <w:pPr>
              <w:spacing w:line="360" w:lineRule="auto"/>
              <w:jc w:val="center"/>
              <w:rPr>
                <w:color w:val="auto"/>
                <w:highlight w:val="none"/>
              </w:rPr>
            </w:pPr>
          </w:p>
        </w:tc>
        <w:tc>
          <w:tcPr>
            <w:tcW w:w="1134"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992" w:type="dxa"/>
            <w:shd w:val="clear" w:color="auto" w:fill="auto"/>
            <w:vAlign w:val="center"/>
          </w:tcPr>
          <w:p>
            <w:pPr>
              <w:spacing w:line="360" w:lineRule="auto"/>
              <w:jc w:val="center"/>
              <w:rPr>
                <w:color w:val="auto"/>
                <w:highlight w:val="none"/>
              </w:rPr>
            </w:pPr>
          </w:p>
        </w:tc>
        <w:tc>
          <w:tcPr>
            <w:tcW w:w="993" w:type="dxa"/>
            <w:shd w:val="clear" w:color="auto" w:fill="auto"/>
            <w:vAlign w:val="center"/>
          </w:tcPr>
          <w:p>
            <w:pPr>
              <w:spacing w:line="360" w:lineRule="auto"/>
              <w:jc w:val="center"/>
              <w:rPr>
                <w:color w:val="auto"/>
                <w:highlight w:val="none"/>
              </w:rPr>
            </w:pPr>
          </w:p>
        </w:tc>
        <w:tc>
          <w:tcPr>
            <w:tcW w:w="1275" w:type="dxa"/>
            <w:shd w:val="clear" w:color="auto" w:fill="auto"/>
            <w:vAlign w:val="center"/>
          </w:tcPr>
          <w:p>
            <w:pPr>
              <w:spacing w:line="360" w:lineRule="auto"/>
              <w:jc w:val="center"/>
              <w:rPr>
                <w:color w:val="auto"/>
                <w:highlight w:val="none"/>
              </w:rPr>
            </w:pPr>
          </w:p>
        </w:tc>
        <w:tc>
          <w:tcPr>
            <w:tcW w:w="1305" w:type="dxa"/>
            <w:shd w:val="clear" w:color="auto" w:fill="auto"/>
            <w:vAlign w:val="center"/>
          </w:tcPr>
          <w:p>
            <w:pPr>
              <w:spacing w:line="360" w:lineRule="auto"/>
              <w:jc w:val="center"/>
              <w:rPr>
                <w:color w:val="auto"/>
                <w:highlight w:val="none"/>
              </w:rPr>
            </w:pPr>
          </w:p>
        </w:tc>
      </w:tr>
    </w:tbl>
    <w:p>
      <w:pPr>
        <w:rPr>
          <w:color w:val="auto"/>
          <w:highlight w:val="none"/>
        </w:rPr>
      </w:pPr>
      <w:r>
        <w:rPr>
          <w:rFonts w:hint="eastAsia" w:eastAsia="楷体_GB2312" w:cs="楷体_GB2312"/>
          <w:color w:val="auto"/>
          <w:highlight w:val="none"/>
        </w:rPr>
        <w:t>【备注：本表可根据评分办法的需要进行调整】</w:t>
      </w:r>
    </w:p>
    <w:p>
      <w:pPr>
        <w:spacing w:line="440" w:lineRule="exact"/>
        <w:rPr>
          <w:color w:val="auto"/>
          <w:highlight w:val="none"/>
        </w:rPr>
      </w:pPr>
      <w:r>
        <w:rPr>
          <w:rFonts w:hint="eastAsia" w:cs="宋体"/>
          <w:color w:val="auto"/>
          <w:highlight w:val="none"/>
        </w:rPr>
        <w:t>评标委员会技术评委签名：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pPr>
        <w:spacing w:afterLines="100"/>
        <w:rPr>
          <w:color w:val="auto"/>
          <w:highlight w:val="none"/>
        </w:rPr>
      </w:pPr>
    </w:p>
    <w:p>
      <w:pPr>
        <w:spacing w:afterLines="100"/>
        <w:rPr>
          <w:color w:val="auto"/>
          <w:highlight w:val="none"/>
        </w:rPr>
      </w:pPr>
    </w:p>
    <w:p>
      <w:pPr>
        <w:spacing w:afterLines="100"/>
        <w:rPr>
          <w:color w:val="auto"/>
          <w:highlight w:val="none"/>
        </w:rPr>
        <w:sectPr>
          <w:pgSz w:w="16840" w:h="11907" w:orient="landscape"/>
          <w:pgMar w:top="1440" w:right="1440" w:bottom="1440" w:left="1797" w:header="851" w:footer="851" w:gutter="0"/>
          <w:cols w:space="720" w:num="1"/>
          <w:docGrid w:linePitch="312" w:charSpace="0"/>
        </w:sectPr>
      </w:pPr>
    </w:p>
    <w:p>
      <w:pPr>
        <w:jc w:val="center"/>
        <w:rPr>
          <w:rFonts w:eastAsia="黑体"/>
          <w:color w:val="auto"/>
          <w:sz w:val="28"/>
          <w:szCs w:val="28"/>
          <w:highlight w:val="none"/>
        </w:rPr>
      </w:pPr>
      <w:r>
        <w:rPr>
          <w:rFonts w:hint="eastAsia" w:eastAsia="黑体" w:cs="黑体"/>
          <w:color w:val="auto"/>
          <w:sz w:val="28"/>
          <w:szCs w:val="28"/>
          <w:highlight w:val="none"/>
        </w:rPr>
        <w:t>（二）技术标评分汇总明细表</w:t>
      </w:r>
    </w:p>
    <w:p>
      <w:pPr>
        <w:spacing w:afterLines="30" w:line="440" w:lineRule="exact"/>
        <w:rPr>
          <w:color w:val="auto"/>
          <w:highlight w:val="none"/>
        </w:rPr>
      </w:pPr>
      <w:r>
        <w:rPr>
          <w:rFonts w:hint="eastAsia" w:cs="宋体"/>
          <w:color w:val="auto"/>
          <w:highlight w:val="none"/>
        </w:rPr>
        <w:t>项目名称及项目招标编号：</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2"/>
        <w:tblW w:w="1404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1418"/>
        <w:gridCol w:w="1559"/>
        <w:gridCol w:w="1470"/>
        <w:gridCol w:w="1691"/>
        <w:gridCol w:w="1692"/>
        <w:gridCol w:w="1691"/>
        <w:gridCol w:w="1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835" w:type="dxa"/>
            <w:vMerge w:val="restart"/>
            <w:shd w:val="clear" w:color="auto" w:fill="auto"/>
            <w:vAlign w:val="center"/>
          </w:tcPr>
          <w:p>
            <w:pPr>
              <w:jc w:val="center"/>
              <w:rPr>
                <w:color w:val="auto"/>
                <w:highlight w:val="none"/>
              </w:rPr>
            </w:pPr>
            <w:r>
              <w:rPr>
                <w:rFonts w:hint="eastAsia" w:cs="宋体"/>
                <w:color w:val="auto"/>
                <w:highlight w:val="none"/>
              </w:rPr>
              <w:t>评委序号和姓名</w:t>
            </w:r>
          </w:p>
        </w:tc>
        <w:tc>
          <w:tcPr>
            <w:tcW w:w="11213" w:type="dxa"/>
            <w:gridSpan w:val="7"/>
            <w:shd w:val="clear" w:color="auto" w:fill="auto"/>
            <w:vAlign w:val="center"/>
          </w:tcPr>
          <w:p>
            <w:pPr>
              <w:jc w:val="center"/>
              <w:rPr>
                <w:color w:val="auto"/>
                <w:highlight w:val="none"/>
              </w:rPr>
            </w:pPr>
            <w:r>
              <w:rPr>
                <w:rFonts w:hint="eastAsia" w:cs="宋体"/>
                <w:color w:val="auto"/>
                <w:highlight w:val="none"/>
              </w:rPr>
              <w:t>投标人名称及其得分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835" w:type="dxa"/>
            <w:vMerge w:val="continue"/>
            <w:shd w:val="clear" w:color="auto" w:fill="auto"/>
            <w:vAlign w:val="center"/>
          </w:tcPr>
          <w:p>
            <w:pPr>
              <w:jc w:val="center"/>
              <w:rPr>
                <w:color w:val="auto"/>
                <w:highlight w:val="none"/>
              </w:rPr>
            </w:pPr>
          </w:p>
        </w:tc>
        <w:tc>
          <w:tcPr>
            <w:tcW w:w="1418" w:type="dxa"/>
            <w:shd w:val="clear" w:color="auto" w:fill="auto"/>
            <w:vAlign w:val="center"/>
          </w:tcPr>
          <w:p>
            <w:pPr>
              <w:jc w:val="center"/>
              <w:rPr>
                <w:color w:val="auto"/>
                <w:highlight w:val="none"/>
              </w:rPr>
            </w:pPr>
          </w:p>
        </w:tc>
        <w:tc>
          <w:tcPr>
            <w:tcW w:w="1559" w:type="dxa"/>
            <w:shd w:val="clear" w:color="auto" w:fill="auto"/>
            <w:vAlign w:val="center"/>
          </w:tcPr>
          <w:p>
            <w:pPr>
              <w:jc w:val="center"/>
              <w:rPr>
                <w:color w:val="auto"/>
                <w:highlight w:val="none"/>
              </w:rPr>
            </w:pPr>
          </w:p>
        </w:tc>
        <w:tc>
          <w:tcPr>
            <w:tcW w:w="1470" w:type="dxa"/>
            <w:shd w:val="clear" w:color="auto" w:fill="auto"/>
            <w:vAlign w:val="center"/>
          </w:tcPr>
          <w:p>
            <w:pPr>
              <w:jc w:val="center"/>
              <w:rPr>
                <w:color w:val="auto"/>
                <w:highlight w:val="none"/>
              </w:rPr>
            </w:pPr>
          </w:p>
        </w:tc>
        <w:tc>
          <w:tcPr>
            <w:tcW w:w="1691" w:type="dxa"/>
            <w:shd w:val="clear" w:color="auto" w:fill="auto"/>
            <w:vAlign w:val="center"/>
          </w:tcPr>
          <w:p>
            <w:pPr>
              <w:jc w:val="center"/>
              <w:rPr>
                <w:color w:val="auto"/>
                <w:highlight w:val="none"/>
              </w:rPr>
            </w:pPr>
          </w:p>
        </w:tc>
        <w:tc>
          <w:tcPr>
            <w:tcW w:w="1692" w:type="dxa"/>
            <w:shd w:val="clear" w:color="auto" w:fill="auto"/>
            <w:vAlign w:val="center"/>
          </w:tcPr>
          <w:p>
            <w:pPr>
              <w:jc w:val="center"/>
              <w:rPr>
                <w:color w:val="auto"/>
                <w:highlight w:val="none"/>
              </w:rPr>
            </w:pPr>
          </w:p>
        </w:tc>
        <w:tc>
          <w:tcPr>
            <w:tcW w:w="1691" w:type="dxa"/>
            <w:shd w:val="clear" w:color="auto" w:fill="auto"/>
            <w:vAlign w:val="center"/>
          </w:tcPr>
          <w:p>
            <w:pPr>
              <w:jc w:val="center"/>
              <w:rPr>
                <w:color w:val="auto"/>
                <w:highlight w:val="none"/>
              </w:rPr>
            </w:pPr>
          </w:p>
        </w:tc>
        <w:tc>
          <w:tcPr>
            <w:tcW w:w="1692"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835" w:type="dxa"/>
            <w:shd w:val="clear" w:color="auto" w:fill="auto"/>
            <w:vAlign w:val="center"/>
          </w:tcPr>
          <w:p>
            <w:pPr>
              <w:jc w:val="left"/>
              <w:rPr>
                <w:color w:val="auto"/>
                <w:highlight w:val="none"/>
              </w:rPr>
            </w:pPr>
            <w:r>
              <w:rPr>
                <w:color w:val="auto"/>
                <w:highlight w:val="none"/>
              </w:rPr>
              <w:t>1:</w:t>
            </w:r>
          </w:p>
        </w:tc>
        <w:tc>
          <w:tcPr>
            <w:tcW w:w="1418" w:type="dxa"/>
            <w:shd w:val="clear" w:color="auto" w:fill="auto"/>
            <w:vAlign w:val="center"/>
          </w:tcPr>
          <w:p>
            <w:pPr>
              <w:jc w:val="center"/>
              <w:rPr>
                <w:color w:val="auto"/>
                <w:highlight w:val="none"/>
              </w:rPr>
            </w:pPr>
          </w:p>
        </w:tc>
        <w:tc>
          <w:tcPr>
            <w:tcW w:w="1559" w:type="dxa"/>
            <w:shd w:val="clear" w:color="auto" w:fill="auto"/>
            <w:vAlign w:val="center"/>
          </w:tcPr>
          <w:p>
            <w:pPr>
              <w:jc w:val="center"/>
              <w:rPr>
                <w:color w:val="auto"/>
                <w:highlight w:val="none"/>
              </w:rPr>
            </w:pPr>
          </w:p>
        </w:tc>
        <w:tc>
          <w:tcPr>
            <w:tcW w:w="1470" w:type="dxa"/>
            <w:shd w:val="clear" w:color="auto" w:fill="auto"/>
            <w:vAlign w:val="center"/>
          </w:tcPr>
          <w:p>
            <w:pPr>
              <w:jc w:val="center"/>
              <w:rPr>
                <w:color w:val="auto"/>
                <w:highlight w:val="none"/>
              </w:rPr>
            </w:pPr>
          </w:p>
        </w:tc>
        <w:tc>
          <w:tcPr>
            <w:tcW w:w="1691" w:type="dxa"/>
            <w:shd w:val="clear" w:color="auto" w:fill="auto"/>
            <w:vAlign w:val="center"/>
          </w:tcPr>
          <w:p>
            <w:pPr>
              <w:jc w:val="center"/>
              <w:rPr>
                <w:color w:val="auto"/>
                <w:highlight w:val="none"/>
              </w:rPr>
            </w:pPr>
          </w:p>
        </w:tc>
        <w:tc>
          <w:tcPr>
            <w:tcW w:w="1692" w:type="dxa"/>
            <w:shd w:val="clear" w:color="auto" w:fill="auto"/>
            <w:vAlign w:val="center"/>
          </w:tcPr>
          <w:p>
            <w:pPr>
              <w:jc w:val="center"/>
              <w:rPr>
                <w:color w:val="auto"/>
                <w:highlight w:val="none"/>
              </w:rPr>
            </w:pPr>
          </w:p>
        </w:tc>
        <w:tc>
          <w:tcPr>
            <w:tcW w:w="1691" w:type="dxa"/>
            <w:shd w:val="clear" w:color="auto" w:fill="auto"/>
            <w:vAlign w:val="center"/>
          </w:tcPr>
          <w:p>
            <w:pPr>
              <w:jc w:val="center"/>
              <w:rPr>
                <w:color w:val="auto"/>
                <w:highlight w:val="none"/>
              </w:rPr>
            </w:pPr>
          </w:p>
        </w:tc>
        <w:tc>
          <w:tcPr>
            <w:tcW w:w="1692"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835" w:type="dxa"/>
            <w:shd w:val="clear" w:color="auto" w:fill="auto"/>
            <w:vAlign w:val="center"/>
          </w:tcPr>
          <w:p>
            <w:pPr>
              <w:jc w:val="left"/>
              <w:rPr>
                <w:color w:val="auto"/>
                <w:highlight w:val="none"/>
              </w:rPr>
            </w:pPr>
            <w:r>
              <w:rPr>
                <w:color w:val="auto"/>
                <w:highlight w:val="none"/>
              </w:rPr>
              <w:t>2:</w:t>
            </w:r>
          </w:p>
        </w:tc>
        <w:tc>
          <w:tcPr>
            <w:tcW w:w="1418" w:type="dxa"/>
            <w:shd w:val="clear" w:color="auto" w:fill="auto"/>
            <w:vAlign w:val="center"/>
          </w:tcPr>
          <w:p>
            <w:pPr>
              <w:jc w:val="center"/>
              <w:rPr>
                <w:color w:val="auto"/>
                <w:highlight w:val="none"/>
              </w:rPr>
            </w:pPr>
          </w:p>
        </w:tc>
        <w:tc>
          <w:tcPr>
            <w:tcW w:w="1559" w:type="dxa"/>
            <w:shd w:val="clear" w:color="auto" w:fill="auto"/>
            <w:vAlign w:val="center"/>
          </w:tcPr>
          <w:p>
            <w:pPr>
              <w:jc w:val="center"/>
              <w:rPr>
                <w:color w:val="auto"/>
                <w:highlight w:val="none"/>
              </w:rPr>
            </w:pPr>
          </w:p>
        </w:tc>
        <w:tc>
          <w:tcPr>
            <w:tcW w:w="1470" w:type="dxa"/>
            <w:shd w:val="clear" w:color="auto" w:fill="auto"/>
            <w:vAlign w:val="center"/>
          </w:tcPr>
          <w:p>
            <w:pPr>
              <w:jc w:val="center"/>
              <w:rPr>
                <w:color w:val="auto"/>
                <w:highlight w:val="none"/>
              </w:rPr>
            </w:pPr>
          </w:p>
        </w:tc>
        <w:tc>
          <w:tcPr>
            <w:tcW w:w="1691" w:type="dxa"/>
            <w:shd w:val="clear" w:color="auto" w:fill="auto"/>
            <w:vAlign w:val="center"/>
          </w:tcPr>
          <w:p>
            <w:pPr>
              <w:jc w:val="center"/>
              <w:rPr>
                <w:color w:val="auto"/>
                <w:highlight w:val="none"/>
              </w:rPr>
            </w:pPr>
          </w:p>
        </w:tc>
        <w:tc>
          <w:tcPr>
            <w:tcW w:w="1692" w:type="dxa"/>
            <w:shd w:val="clear" w:color="auto" w:fill="auto"/>
            <w:vAlign w:val="center"/>
          </w:tcPr>
          <w:p>
            <w:pPr>
              <w:jc w:val="center"/>
              <w:rPr>
                <w:color w:val="auto"/>
                <w:highlight w:val="none"/>
              </w:rPr>
            </w:pPr>
          </w:p>
        </w:tc>
        <w:tc>
          <w:tcPr>
            <w:tcW w:w="1691" w:type="dxa"/>
            <w:shd w:val="clear" w:color="auto" w:fill="auto"/>
            <w:vAlign w:val="center"/>
          </w:tcPr>
          <w:p>
            <w:pPr>
              <w:jc w:val="center"/>
              <w:rPr>
                <w:color w:val="auto"/>
                <w:highlight w:val="none"/>
              </w:rPr>
            </w:pPr>
          </w:p>
        </w:tc>
        <w:tc>
          <w:tcPr>
            <w:tcW w:w="1692"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835" w:type="dxa"/>
            <w:shd w:val="clear" w:color="auto" w:fill="auto"/>
            <w:vAlign w:val="center"/>
          </w:tcPr>
          <w:p>
            <w:pPr>
              <w:jc w:val="left"/>
              <w:rPr>
                <w:color w:val="auto"/>
                <w:highlight w:val="none"/>
              </w:rPr>
            </w:pPr>
            <w:r>
              <w:rPr>
                <w:color w:val="auto"/>
                <w:highlight w:val="none"/>
              </w:rPr>
              <w:t>3:</w:t>
            </w:r>
          </w:p>
        </w:tc>
        <w:tc>
          <w:tcPr>
            <w:tcW w:w="1418" w:type="dxa"/>
            <w:shd w:val="clear" w:color="auto" w:fill="auto"/>
            <w:vAlign w:val="center"/>
          </w:tcPr>
          <w:p>
            <w:pPr>
              <w:jc w:val="center"/>
              <w:rPr>
                <w:color w:val="auto"/>
                <w:highlight w:val="none"/>
              </w:rPr>
            </w:pPr>
          </w:p>
        </w:tc>
        <w:tc>
          <w:tcPr>
            <w:tcW w:w="1559" w:type="dxa"/>
            <w:shd w:val="clear" w:color="auto" w:fill="auto"/>
            <w:vAlign w:val="center"/>
          </w:tcPr>
          <w:p>
            <w:pPr>
              <w:jc w:val="center"/>
              <w:rPr>
                <w:color w:val="auto"/>
                <w:highlight w:val="none"/>
              </w:rPr>
            </w:pPr>
          </w:p>
        </w:tc>
        <w:tc>
          <w:tcPr>
            <w:tcW w:w="1470" w:type="dxa"/>
            <w:shd w:val="clear" w:color="auto" w:fill="auto"/>
            <w:vAlign w:val="center"/>
          </w:tcPr>
          <w:p>
            <w:pPr>
              <w:jc w:val="center"/>
              <w:rPr>
                <w:color w:val="auto"/>
                <w:highlight w:val="none"/>
              </w:rPr>
            </w:pPr>
          </w:p>
        </w:tc>
        <w:tc>
          <w:tcPr>
            <w:tcW w:w="1691" w:type="dxa"/>
            <w:shd w:val="clear" w:color="auto" w:fill="auto"/>
            <w:vAlign w:val="center"/>
          </w:tcPr>
          <w:p>
            <w:pPr>
              <w:jc w:val="center"/>
              <w:rPr>
                <w:color w:val="auto"/>
                <w:highlight w:val="none"/>
              </w:rPr>
            </w:pPr>
          </w:p>
        </w:tc>
        <w:tc>
          <w:tcPr>
            <w:tcW w:w="1692" w:type="dxa"/>
            <w:shd w:val="clear" w:color="auto" w:fill="auto"/>
            <w:vAlign w:val="center"/>
          </w:tcPr>
          <w:p>
            <w:pPr>
              <w:jc w:val="center"/>
              <w:rPr>
                <w:color w:val="auto"/>
                <w:highlight w:val="none"/>
              </w:rPr>
            </w:pPr>
          </w:p>
        </w:tc>
        <w:tc>
          <w:tcPr>
            <w:tcW w:w="1691" w:type="dxa"/>
            <w:shd w:val="clear" w:color="auto" w:fill="auto"/>
            <w:vAlign w:val="center"/>
          </w:tcPr>
          <w:p>
            <w:pPr>
              <w:jc w:val="center"/>
              <w:rPr>
                <w:color w:val="auto"/>
                <w:highlight w:val="none"/>
              </w:rPr>
            </w:pPr>
          </w:p>
        </w:tc>
        <w:tc>
          <w:tcPr>
            <w:tcW w:w="1692"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835" w:type="dxa"/>
            <w:shd w:val="clear" w:color="auto" w:fill="auto"/>
            <w:vAlign w:val="center"/>
          </w:tcPr>
          <w:p>
            <w:pPr>
              <w:jc w:val="left"/>
              <w:rPr>
                <w:color w:val="auto"/>
                <w:highlight w:val="none"/>
              </w:rPr>
            </w:pPr>
            <w:r>
              <w:rPr>
                <w:color w:val="auto"/>
                <w:highlight w:val="none"/>
              </w:rPr>
              <w:t>4:</w:t>
            </w:r>
          </w:p>
        </w:tc>
        <w:tc>
          <w:tcPr>
            <w:tcW w:w="1418" w:type="dxa"/>
            <w:shd w:val="clear" w:color="auto" w:fill="auto"/>
            <w:vAlign w:val="center"/>
          </w:tcPr>
          <w:p>
            <w:pPr>
              <w:jc w:val="center"/>
              <w:rPr>
                <w:color w:val="auto"/>
                <w:highlight w:val="none"/>
              </w:rPr>
            </w:pPr>
          </w:p>
        </w:tc>
        <w:tc>
          <w:tcPr>
            <w:tcW w:w="1559" w:type="dxa"/>
            <w:shd w:val="clear" w:color="auto" w:fill="auto"/>
            <w:vAlign w:val="center"/>
          </w:tcPr>
          <w:p>
            <w:pPr>
              <w:jc w:val="center"/>
              <w:rPr>
                <w:color w:val="auto"/>
                <w:highlight w:val="none"/>
              </w:rPr>
            </w:pPr>
          </w:p>
        </w:tc>
        <w:tc>
          <w:tcPr>
            <w:tcW w:w="1470" w:type="dxa"/>
            <w:shd w:val="clear" w:color="auto" w:fill="auto"/>
            <w:vAlign w:val="center"/>
          </w:tcPr>
          <w:p>
            <w:pPr>
              <w:jc w:val="center"/>
              <w:rPr>
                <w:color w:val="auto"/>
                <w:highlight w:val="none"/>
              </w:rPr>
            </w:pPr>
          </w:p>
        </w:tc>
        <w:tc>
          <w:tcPr>
            <w:tcW w:w="1691" w:type="dxa"/>
            <w:shd w:val="clear" w:color="auto" w:fill="auto"/>
            <w:vAlign w:val="center"/>
          </w:tcPr>
          <w:p>
            <w:pPr>
              <w:jc w:val="center"/>
              <w:rPr>
                <w:color w:val="auto"/>
                <w:highlight w:val="none"/>
              </w:rPr>
            </w:pPr>
          </w:p>
        </w:tc>
        <w:tc>
          <w:tcPr>
            <w:tcW w:w="1692" w:type="dxa"/>
            <w:shd w:val="clear" w:color="auto" w:fill="auto"/>
            <w:vAlign w:val="center"/>
          </w:tcPr>
          <w:p>
            <w:pPr>
              <w:jc w:val="center"/>
              <w:rPr>
                <w:color w:val="auto"/>
                <w:highlight w:val="none"/>
              </w:rPr>
            </w:pPr>
          </w:p>
        </w:tc>
        <w:tc>
          <w:tcPr>
            <w:tcW w:w="1691" w:type="dxa"/>
            <w:shd w:val="clear" w:color="auto" w:fill="auto"/>
            <w:vAlign w:val="center"/>
          </w:tcPr>
          <w:p>
            <w:pPr>
              <w:jc w:val="center"/>
              <w:rPr>
                <w:color w:val="auto"/>
                <w:highlight w:val="none"/>
              </w:rPr>
            </w:pPr>
          </w:p>
        </w:tc>
        <w:tc>
          <w:tcPr>
            <w:tcW w:w="1692"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835" w:type="dxa"/>
            <w:shd w:val="clear" w:color="auto" w:fill="auto"/>
            <w:vAlign w:val="center"/>
          </w:tcPr>
          <w:p>
            <w:pPr>
              <w:jc w:val="left"/>
              <w:rPr>
                <w:color w:val="auto"/>
                <w:highlight w:val="none"/>
              </w:rPr>
            </w:pPr>
            <w:r>
              <w:rPr>
                <w:color w:val="auto"/>
                <w:highlight w:val="none"/>
              </w:rPr>
              <w:t>5:</w:t>
            </w:r>
          </w:p>
        </w:tc>
        <w:tc>
          <w:tcPr>
            <w:tcW w:w="1418" w:type="dxa"/>
            <w:shd w:val="clear" w:color="auto" w:fill="auto"/>
            <w:vAlign w:val="center"/>
          </w:tcPr>
          <w:p>
            <w:pPr>
              <w:jc w:val="center"/>
              <w:rPr>
                <w:color w:val="auto"/>
                <w:highlight w:val="none"/>
              </w:rPr>
            </w:pPr>
          </w:p>
        </w:tc>
        <w:tc>
          <w:tcPr>
            <w:tcW w:w="1559" w:type="dxa"/>
            <w:shd w:val="clear" w:color="auto" w:fill="auto"/>
            <w:vAlign w:val="center"/>
          </w:tcPr>
          <w:p>
            <w:pPr>
              <w:jc w:val="center"/>
              <w:rPr>
                <w:color w:val="auto"/>
                <w:highlight w:val="none"/>
              </w:rPr>
            </w:pPr>
          </w:p>
        </w:tc>
        <w:tc>
          <w:tcPr>
            <w:tcW w:w="1470" w:type="dxa"/>
            <w:shd w:val="clear" w:color="auto" w:fill="auto"/>
            <w:vAlign w:val="center"/>
          </w:tcPr>
          <w:p>
            <w:pPr>
              <w:jc w:val="center"/>
              <w:rPr>
                <w:color w:val="auto"/>
                <w:highlight w:val="none"/>
              </w:rPr>
            </w:pPr>
          </w:p>
        </w:tc>
        <w:tc>
          <w:tcPr>
            <w:tcW w:w="1691" w:type="dxa"/>
            <w:shd w:val="clear" w:color="auto" w:fill="auto"/>
            <w:vAlign w:val="center"/>
          </w:tcPr>
          <w:p>
            <w:pPr>
              <w:jc w:val="center"/>
              <w:rPr>
                <w:color w:val="auto"/>
                <w:highlight w:val="none"/>
              </w:rPr>
            </w:pPr>
          </w:p>
        </w:tc>
        <w:tc>
          <w:tcPr>
            <w:tcW w:w="1692" w:type="dxa"/>
            <w:shd w:val="clear" w:color="auto" w:fill="auto"/>
            <w:vAlign w:val="center"/>
          </w:tcPr>
          <w:p>
            <w:pPr>
              <w:jc w:val="center"/>
              <w:rPr>
                <w:color w:val="auto"/>
                <w:highlight w:val="none"/>
              </w:rPr>
            </w:pPr>
          </w:p>
        </w:tc>
        <w:tc>
          <w:tcPr>
            <w:tcW w:w="1691" w:type="dxa"/>
            <w:shd w:val="clear" w:color="auto" w:fill="auto"/>
            <w:vAlign w:val="center"/>
          </w:tcPr>
          <w:p>
            <w:pPr>
              <w:jc w:val="center"/>
              <w:rPr>
                <w:color w:val="auto"/>
                <w:highlight w:val="none"/>
              </w:rPr>
            </w:pPr>
          </w:p>
        </w:tc>
        <w:tc>
          <w:tcPr>
            <w:tcW w:w="1692"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835" w:type="dxa"/>
            <w:shd w:val="clear" w:color="auto" w:fill="auto"/>
            <w:vAlign w:val="center"/>
          </w:tcPr>
          <w:p>
            <w:pPr>
              <w:jc w:val="center"/>
              <w:rPr>
                <w:color w:val="auto"/>
                <w:highlight w:val="none"/>
              </w:rPr>
            </w:pPr>
            <w:r>
              <w:rPr>
                <w:rFonts w:hint="eastAsia" w:cs="宋体"/>
                <w:color w:val="auto"/>
                <w:highlight w:val="none"/>
              </w:rPr>
              <w:t>各评委评分合计</w:t>
            </w:r>
          </w:p>
        </w:tc>
        <w:tc>
          <w:tcPr>
            <w:tcW w:w="1418" w:type="dxa"/>
            <w:shd w:val="clear" w:color="auto" w:fill="auto"/>
            <w:vAlign w:val="center"/>
          </w:tcPr>
          <w:p>
            <w:pPr>
              <w:jc w:val="center"/>
              <w:rPr>
                <w:color w:val="auto"/>
                <w:highlight w:val="none"/>
              </w:rPr>
            </w:pPr>
          </w:p>
        </w:tc>
        <w:tc>
          <w:tcPr>
            <w:tcW w:w="1559" w:type="dxa"/>
            <w:shd w:val="clear" w:color="auto" w:fill="auto"/>
            <w:vAlign w:val="center"/>
          </w:tcPr>
          <w:p>
            <w:pPr>
              <w:jc w:val="center"/>
              <w:rPr>
                <w:color w:val="auto"/>
                <w:highlight w:val="none"/>
              </w:rPr>
            </w:pPr>
          </w:p>
        </w:tc>
        <w:tc>
          <w:tcPr>
            <w:tcW w:w="1470" w:type="dxa"/>
            <w:shd w:val="clear" w:color="auto" w:fill="auto"/>
            <w:vAlign w:val="center"/>
          </w:tcPr>
          <w:p>
            <w:pPr>
              <w:jc w:val="center"/>
              <w:rPr>
                <w:color w:val="auto"/>
                <w:highlight w:val="none"/>
              </w:rPr>
            </w:pPr>
          </w:p>
        </w:tc>
        <w:tc>
          <w:tcPr>
            <w:tcW w:w="1691" w:type="dxa"/>
            <w:shd w:val="clear" w:color="auto" w:fill="auto"/>
            <w:vAlign w:val="center"/>
          </w:tcPr>
          <w:p>
            <w:pPr>
              <w:jc w:val="center"/>
              <w:rPr>
                <w:color w:val="auto"/>
                <w:highlight w:val="none"/>
              </w:rPr>
            </w:pPr>
          </w:p>
        </w:tc>
        <w:tc>
          <w:tcPr>
            <w:tcW w:w="1692" w:type="dxa"/>
            <w:shd w:val="clear" w:color="auto" w:fill="auto"/>
            <w:vAlign w:val="center"/>
          </w:tcPr>
          <w:p>
            <w:pPr>
              <w:jc w:val="center"/>
              <w:rPr>
                <w:color w:val="auto"/>
                <w:highlight w:val="none"/>
              </w:rPr>
            </w:pPr>
          </w:p>
        </w:tc>
        <w:tc>
          <w:tcPr>
            <w:tcW w:w="1691" w:type="dxa"/>
            <w:shd w:val="clear" w:color="auto" w:fill="auto"/>
            <w:vAlign w:val="center"/>
          </w:tcPr>
          <w:p>
            <w:pPr>
              <w:jc w:val="center"/>
              <w:rPr>
                <w:color w:val="auto"/>
                <w:highlight w:val="none"/>
              </w:rPr>
            </w:pPr>
          </w:p>
        </w:tc>
        <w:tc>
          <w:tcPr>
            <w:tcW w:w="1692"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835" w:type="dxa"/>
            <w:shd w:val="clear" w:color="auto" w:fill="auto"/>
            <w:vAlign w:val="center"/>
          </w:tcPr>
          <w:p>
            <w:pPr>
              <w:jc w:val="center"/>
              <w:rPr>
                <w:color w:val="auto"/>
                <w:highlight w:val="none"/>
              </w:rPr>
            </w:pPr>
            <w:r>
              <w:rPr>
                <w:rFonts w:hint="eastAsia" w:cs="宋体"/>
                <w:color w:val="auto"/>
                <w:highlight w:val="none"/>
              </w:rPr>
              <w:t>各评委评分平均值</w:t>
            </w:r>
          </w:p>
        </w:tc>
        <w:tc>
          <w:tcPr>
            <w:tcW w:w="1418" w:type="dxa"/>
            <w:shd w:val="clear" w:color="auto" w:fill="auto"/>
            <w:vAlign w:val="center"/>
          </w:tcPr>
          <w:p>
            <w:pPr>
              <w:jc w:val="center"/>
              <w:rPr>
                <w:color w:val="auto"/>
                <w:highlight w:val="none"/>
              </w:rPr>
            </w:pPr>
          </w:p>
        </w:tc>
        <w:tc>
          <w:tcPr>
            <w:tcW w:w="1559" w:type="dxa"/>
            <w:shd w:val="clear" w:color="auto" w:fill="auto"/>
            <w:vAlign w:val="center"/>
          </w:tcPr>
          <w:p>
            <w:pPr>
              <w:jc w:val="center"/>
              <w:rPr>
                <w:color w:val="auto"/>
                <w:highlight w:val="none"/>
              </w:rPr>
            </w:pPr>
          </w:p>
        </w:tc>
        <w:tc>
          <w:tcPr>
            <w:tcW w:w="1470" w:type="dxa"/>
            <w:shd w:val="clear" w:color="auto" w:fill="auto"/>
            <w:vAlign w:val="center"/>
          </w:tcPr>
          <w:p>
            <w:pPr>
              <w:jc w:val="center"/>
              <w:rPr>
                <w:color w:val="auto"/>
                <w:highlight w:val="none"/>
              </w:rPr>
            </w:pPr>
          </w:p>
        </w:tc>
        <w:tc>
          <w:tcPr>
            <w:tcW w:w="1691" w:type="dxa"/>
            <w:shd w:val="clear" w:color="auto" w:fill="auto"/>
            <w:vAlign w:val="center"/>
          </w:tcPr>
          <w:p>
            <w:pPr>
              <w:jc w:val="center"/>
              <w:rPr>
                <w:color w:val="auto"/>
                <w:highlight w:val="none"/>
              </w:rPr>
            </w:pPr>
          </w:p>
        </w:tc>
        <w:tc>
          <w:tcPr>
            <w:tcW w:w="1692" w:type="dxa"/>
            <w:shd w:val="clear" w:color="auto" w:fill="auto"/>
            <w:vAlign w:val="center"/>
          </w:tcPr>
          <w:p>
            <w:pPr>
              <w:jc w:val="center"/>
              <w:rPr>
                <w:color w:val="auto"/>
                <w:highlight w:val="none"/>
              </w:rPr>
            </w:pPr>
          </w:p>
        </w:tc>
        <w:tc>
          <w:tcPr>
            <w:tcW w:w="1691" w:type="dxa"/>
            <w:shd w:val="clear" w:color="auto" w:fill="auto"/>
            <w:vAlign w:val="center"/>
          </w:tcPr>
          <w:p>
            <w:pPr>
              <w:jc w:val="center"/>
              <w:rPr>
                <w:color w:val="auto"/>
                <w:highlight w:val="none"/>
              </w:rPr>
            </w:pPr>
          </w:p>
        </w:tc>
        <w:tc>
          <w:tcPr>
            <w:tcW w:w="1692"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835" w:type="dxa"/>
            <w:shd w:val="clear" w:color="auto" w:fill="auto"/>
            <w:vAlign w:val="center"/>
          </w:tcPr>
          <w:p>
            <w:pPr>
              <w:jc w:val="center"/>
              <w:rPr>
                <w:color w:val="auto"/>
                <w:highlight w:val="none"/>
              </w:rPr>
            </w:pPr>
            <w:r>
              <w:rPr>
                <w:rFonts w:hint="eastAsia" w:cs="宋体"/>
                <w:color w:val="auto"/>
                <w:highlight w:val="none"/>
              </w:rPr>
              <w:t>投标人技术标加权平均得分</w:t>
            </w:r>
          </w:p>
        </w:tc>
        <w:tc>
          <w:tcPr>
            <w:tcW w:w="1418" w:type="dxa"/>
            <w:shd w:val="clear" w:color="auto" w:fill="auto"/>
            <w:vAlign w:val="center"/>
          </w:tcPr>
          <w:p>
            <w:pPr>
              <w:jc w:val="center"/>
              <w:rPr>
                <w:color w:val="auto"/>
                <w:highlight w:val="none"/>
              </w:rPr>
            </w:pPr>
          </w:p>
        </w:tc>
        <w:tc>
          <w:tcPr>
            <w:tcW w:w="1559" w:type="dxa"/>
            <w:shd w:val="clear" w:color="auto" w:fill="auto"/>
            <w:vAlign w:val="center"/>
          </w:tcPr>
          <w:p>
            <w:pPr>
              <w:jc w:val="center"/>
              <w:rPr>
                <w:color w:val="auto"/>
                <w:highlight w:val="none"/>
              </w:rPr>
            </w:pPr>
          </w:p>
        </w:tc>
        <w:tc>
          <w:tcPr>
            <w:tcW w:w="1470" w:type="dxa"/>
            <w:shd w:val="clear" w:color="auto" w:fill="auto"/>
            <w:vAlign w:val="center"/>
          </w:tcPr>
          <w:p>
            <w:pPr>
              <w:jc w:val="center"/>
              <w:rPr>
                <w:color w:val="auto"/>
                <w:highlight w:val="none"/>
              </w:rPr>
            </w:pPr>
          </w:p>
        </w:tc>
        <w:tc>
          <w:tcPr>
            <w:tcW w:w="1691" w:type="dxa"/>
            <w:shd w:val="clear" w:color="auto" w:fill="auto"/>
            <w:vAlign w:val="center"/>
          </w:tcPr>
          <w:p>
            <w:pPr>
              <w:jc w:val="center"/>
              <w:rPr>
                <w:color w:val="auto"/>
                <w:highlight w:val="none"/>
              </w:rPr>
            </w:pPr>
          </w:p>
        </w:tc>
        <w:tc>
          <w:tcPr>
            <w:tcW w:w="1692" w:type="dxa"/>
            <w:shd w:val="clear" w:color="auto" w:fill="auto"/>
            <w:vAlign w:val="center"/>
          </w:tcPr>
          <w:p>
            <w:pPr>
              <w:jc w:val="center"/>
              <w:rPr>
                <w:color w:val="auto"/>
                <w:highlight w:val="none"/>
              </w:rPr>
            </w:pPr>
          </w:p>
        </w:tc>
        <w:tc>
          <w:tcPr>
            <w:tcW w:w="1691" w:type="dxa"/>
            <w:shd w:val="clear" w:color="auto" w:fill="auto"/>
            <w:vAlign w:val="center"/>
          </w:tcPr>
          <w:p>
            <w:pPr>
              <w:jc w:val="center"/>
              <w:rPr>
                <w:color w:val="auto"/>
                <w:highlight w:val="none"/>
              </w:rPr>
            </w:pPr>
          </w:p>
        </w:tc>
        <w:tc>
          <w:tcPr>
            <w:tcW w:w="1692" w:type="dxa"/>
            <w:shd w:val="clear" w:color="auto" w:fill="auto"/>
            <w:vAlign w:val="center"/>
          </w:tcPr>
          <w:p>
            <w:pPr>
              <w:jc w:val="center"/>
              <w:rPr>
                <w:color w:val="auto"/>
                <w:highlight w:val="none"/>
              </w:rPr>
            </w:pPr>
          </w:p>
        </w:tc>
      </w:tr>
    </w:tbl>
    <w:p>
      <w:pPr>
        <w:spacing w:line="360" w:lineRule="exact"/>
        <w:rPr>
          <w:color w:val="auto"/>
          <w:highlight w:val="none"/>
        </w:rPr>
        <w:sectPr>
          <w:pgSz w:w="16840" w:h="11907" w:orient="landscape"/>
          <w:pgMar w:top="1440" w:right="1440" w:bottom="1440" w:left="1797" w:header="851" w:footer="851" w:gutter="0"/>
          <w:cols w:space="720" w:num="1"/>
          <w:docGrid w:linePitch="312" w:charSpace="0"/>
        </w:sectPr>
      </w:pPr>
      <w:r>
        <w:rPr>
          <w:rFonts w:hint="eastAsia" w:cs="宋体"/>
          <w:color w:val="auto"/>
          <w:highlight w:val="none"/>
        </w:rPr>
        <w:t>评标委员会技术组成员签名：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pPr>
        <w:spacing w:line="440" w:lineRule="exact"/>
        <w:rPr>
          <w:b/>
          <w:color w:val="auto"/>
          <w:highlight w:val="none"/>
        </w:rPr>
      </w:pPr>
      <w:r>
        <w:rPr>
          <w:rFonts w:hint="eastAsia" w:cs="宋体"/>
          <w:b/>
          <w:color w:val="auto"/>
          <w:highlight w:val="none"/>
        </w:rPr>
        <w:t>附表</w:t>
      </w:r>
      <w:r>
        <w:rPr>
          <w:b/>
          <w:color w:val="auto"/>
          <w:highlight w:val="none"/>
        </w:rPr>
        <w:t>A-7</w:t>
      </w:r>
      <w:r>
        <w:rPr>
          <w:rFonts w:hint="eastAsia" w:cs="宋体"/>
          <w:b/>
          <w:color w:val="auto"/>
          <w:highlight w:val="none"/>
        </w:rPr>
        <w:t>：报价</w:t>
      </w:r>
      <w:r>
        <w:rPr>
          <w:rFonts w:cs="宋体"/>
          <w:b/>
          <w:color w:val="auto"/>
          <w:highlight w:val="none"/>
        </w:rPr>
        <w:t>分</w:t>
      </w:r>
      <w:r>
        <w:rPr>
          <w:rFonts w:hint="eastAsia" w:cs="宋体"/>
          <w:b/>
          <w:color w:val="auto"/>
          <w:highlight w:val="none"/>
        </w:rPr>
        <w:t>评分记录表</w:t>
      </w:r>
    </w:p>
    <w:p>
      <w:pPr>
        <w:jc w:val="center"/>
        <w:rPr>
          <w:color w:val="auto"/>
          <w:highlight w:val="none"/>
        </w:rPr>
      </w:pPr>
      <w:r>
        <w:rPr>
          <w:rFonts w:hint="eastAsia" w:eastAsia="黑体" w:cs="黑体"/>
          <w:color w:val="auto"/>
          <w:sz w:val="28"/>
          <w:szCs w:val="28"/>
          <w:highlight w:val="none"/>
        </w:rPr>
        <w:t>报价分评分记录表</w:t>
      </w:r>
    </w:p>
    <w:p>
      <w:pPr>
        <w:spacing w:afterLines="30" w:line="440" w:lineRule="exact"/>
        <w:rPr>
          <w:color w:val="auto"/>
          <w:highlight w:val="none"/>
        </w:rPr>
      </w:pPr>
      <w:r>
        <w:rPr>
          <w:rFonts w:hint="eastAsia" w:cs="宋体"/>
          <w:color w:val="auto"/>
          <w:highlight w:val="none"/>
        </w:rPr>
        <w:t>项目名称及项目招标编号：</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2"/>
        <w:tblW w:w="1419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9"/>
        <w:gridCol w:w="1368"/>
        <w:gridCol w:w="1116"/>
        <w:gridCol w:w="1272"/>
        <w:gridCol w:w="1278"/>
        <w:gridCol w:w="1290"/>
        <w:gridCol w:w="1584"/>
        <w:gridCol w:w="1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759" w:type="dxa"/>
            <w:vMerge w:val="restart"/>
            <w:shd w:val="clear" w:color="auto" w:fill="auto"/>
            <w:vAlign w:val="center"/>
          </w:tcPr>
          <w:p>
            <w:pPr>
              <w:jc w:val="center"/>
              <w:rPr>
                <w:color w:val="auto"/>
                <w:highlight w:val="none"/>
              </w:rPr>
            </w:pPr>
            <w:r>
              <w:rPr>
                <w:rFonts w:hint="eastAsia" w:cs="宋体"/>
                <w:color w:val="auto"/>
                <w:highlight w:val="none"/>
              </w:rPr>
              <w:t>项目</w:t>
            </w:r>
          </w:p>
        </w:tc>
        <w:tc>
          <w:tcPr>
            <w:tcW w:w="9432" w:type="dxa"/>
            <w:gridSpan w:val="7"/>
            <w:shd w:val="clear" w:color="auto" w:fill="auto"/>
            <w:vAlign w:val="center"/>
          </w:tcPr>
          <w:p>
            <w:pPr>
              <w:jc w:val="center"/>
              <w:rPr>
                <w:color w:val="auto"/>
                <w:highlight w:val="none"/>
              </w:rPr>
            </w:pPr>
            <w:r>
              <w:rPr>
                <w:rFonts w:hint="eastAsia" w:cs="宋体"/>
                <w:color w:val="auto"/>
                <w:highlight w:val="none"/>
              </w:rPr>
              <w:t>投标人名称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759" w:type="dxa"/>
            <w:vMerge w:val="continue"/>
            <w:shd w:val="clear" w:color="auto" w:fill="auto"/>
            <w:vAlign w:val="center"/>
          </w:tcPr>
          <w:p>
            <w:pPr>
              <w:jc w:val="center"/>
              <w:rPr>
                <w:color w:val="auto"/>
                <w:highlight w:val="none"/>
              </w:rPr>
            </w:pPr>
          </w:p>
        </w:tc>
        <w:tc>
          <w:tcPr>
            <w:tcW w:w="1368" w:type="dxa"/>
            <w:shd w:val="clear" w:color="auto" w:fill="auto"/>
            <w:vAlign w:val="center"/>
          </w:tcPr>
          <w:p>
            <w:pPr>
              <w:jc w:val="center"/>
              <w:rPr>
                <w:color w:val="auto"/>
                <w:highlight w:val="none"/>
              </w:rPr>
            </w:pPr>
          </w:p>
        </w:tc>
        <w:tc>
          <w:tcPr>
            <w:tcW w:w="1116" w:type="dxa"/>
            <w:shd w:val="clear" w:color="auto" w:fill="auto"/>
            <w:vAlign w:val="center"/>
          </w:tcPr>
          <w:p>
            <w:pPr>
              <w:jc w:val="center"/>
              <w:rPr>
                <w:color w:val="auto"/>
                <w:highlight w:val="none"/>
              </w:rPr>
            </w:pPr>
          </w:p>
        </w:tc>
        <w:tc>
          <w:tcPr>
            <w:tcW w:w="1272" w:type="dxa"/>
            <w:shd w:val="clear" w:color="auto" w:fill="auto"/>
            <w:vAlign w:val="center"/>
          </w:tcPr>
          <w:p>
            <w:pPr>
              <w:jc w:val="center"/>
              <w:rPr>
                <w:color w:val="auto"/>
                <w:highlight w:val="none"/>
              </w:rPr>
            </w:pPr>
          </w:p>
        </w:tc>
        <w:tc>
          <w:tcPr>
            <w:tcW w:w="1278" w:type="dxa"/>
            <w:shd w:val="clear" w:color="auto" w:fill="auto"/>
            <w:vAlign w:val="center"/>
          </w:tcPr>
          <w:p>
            <w:pPr>
              <w:jc w:val="center"/>
              <w:rPr>
                <w:color w:val="auto"/>
                <w:highlight w:val="none"/>
              </w:rPr>
            </w:pPr>
          </w:p>
        </w:tc>
        <w:tc>
          <w:tcPr>
            <w:tcW w:w="1290" w:type="dxa"/>
            <w:shd w:val="clear" w:color="auto" w:fill="auto"/>
            <w:vAlign w:val="center"/>
          </w:tcPr>
          <w:p>
            <w:pPr>
              <w:jc w:val="center"/>
              <w:rPr>
                <w:color w:val="auto"/>
                <w:highlight w:val="none"/>
              </w:rPr>
            </w:pPr>
          </w:p>
        </w:tc>
        <w:tc>
          <w:tcPr>
            <w:tcW w:w="1584" w:type="dxa"/>
            <w:shd w:val="clear" w:color="auto" w:fill="auto"/>
            <w:vAlign w:val="center"/>
          </w:tcPr>
          <w:p>
            <w:pPr>
              <w:jc w:val="center"/>
              <w:rPr>
                <w:color w:val="auto"/>
                <w:highlight w:val="none"/>
              </w:rPr>
            </w:pPr>
          </w:p>
        </w:tc>
        <w:tc>
          <w:tcPr>
            <w:tcW w:w="1524"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759" w:type="dxa"/>
            <w:shd w:val="clear" w:color="auto" w:fill="auto"/>
            <w:vAlign w:val="center"/>
          </w:tcPr>
          <w:p>
            <w:pPr>
              <w:jc w:val="center"/>
              <w:rPr>
                <w:color w:val="auto"/>
                <w:highlight w:val="none"/>
              </w:rPr>
            </w:pPr>
            <w:r>
              <w:rPr>
                <w:rFonts w:hint="eastAsia" w:cs="宋体"/>
                <w:color w:val="auto"/>
                <w:highlight w:val="none"/>
              </w:rPr>
              <w:t>投标总价</w:t>
            </w:r>
          </w:p>
        </w:tc>
        <w:tc>
          <w:tcPr>
            <w:tcW w:w="1368" w:type="dxa"/>
            <w:shd w:val="clear" w:color="auto" w:fill="auto"/>
            <w:vAlign w:val="center"/>
          </w:tcPr>
          <w:p>
            <w:pPr>
              <w:jc w:val="center"/>
              <w:rPr>
                <w:color w:val="auto"/>
                <w:highlight w:val="none"/>
              </w:rPr>
            </w:pPr>
          </w:p>
        </w:tc>
        <w:tc>
          <w:tcPr>
            <w:tcW w:w="1116" w:type="dxa"/>
            <w:shd w:val="clear" w:color="auto" w:fill="auto"/>
            <w:vAlign w:val="center"/>
          </w:tcPr>
          <w:p>
            <w:pPr>
              <w:jc w:val="center"/>
              <w:rPr>
                <w:color w:val="auto"/>
                <w:highlight w:val="none"/>
              </w:rPr>
            </w:pPr>
          </w:p>
        </w:tc>
        <w:tc>
          <w:tcPr>
            <w:tcW w:w="1272" w:type="dxa"/>
            <w:shd w:val="clear" w:color="auto" w:fill="auto"/>
            <w:vAlign w:val="center"/>
          </w:tcPr>
          <w:p>
            <w:pPr>
              <w:jc w:val="center"/>
              <w:rPr>
                <w:color w:val="auto"/>
                <w:highlight w:val="none"/>
              </w:rPr>
            </w:pPr>
          </w:p>
        </w:tc>
        <w:tc>
          <w:tcPr>
            <w:tcW w:w="1278" w:type="dxa"/>
            <w:shd w:val="clear" w:color="auto" w:fill="auto"/>
            <w:vAlign w:val="center"/>
          </w:tcPr>
          <w:p>
            <w:pPr>
              <w:jc w:val="center"/>
              <w:rPr>
                <w:color w:val="auto"/>
                <w:highlight w:val="none"/>
              </w:rPr>
            </w:pPr>
          </w:p>
        </w:tc>
        <w:tc>
          <w:tcPr>
            <w:tcW w:w="1290" w:type="dxa"/>
            <w:shd w:val="clear" w:color="auto" w:fill="auto"/>
            <w:vAlign w:val="center"/>
          </w:tcPr>
          <w:p>
            <w:pPr>
              <w:jc w:val="center"/>
              <w:rPr>
                <w:color w:val="auto"/>
                <w:highlight w:val="none"/>
              </w:rPr>
            </w:pPr>
          </w:p>
        </w:tc>
        <w:tc>
          <w:tcPr>
            <w:tcW w:w="1584" w:type="dxa"/>
            <w:shd w:val="clear" w:color="auto" w:fill="auto"/>
            <w:vAlign w:val="center"/>
          </w:tcPr>
          <w:p>
            <w:pPr>
              <w:jc w:val="center"/>
              <w:rPr>
                <w:color w:val="auto"/>
                <w:highlight w:val="none"/>
              </w:rPr>
            </w:pPr>
          </w:p>
        </w:tc>
        <w:tc>
          <w:tcPr>
            <w:tcW w:w="1524"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759" w:type="dxa"/>
            <w:shd w:val="clear" w:color="auto" w:fill="auto"/>
            <w:vAlign w:val="center"/>
          </w:tcPr>
          <w:p>
            <w:pPr>
              <w:jc w:val="center"/>
              <w:rPr>
                <w:color w:val="auto"/>
                <w:highlight w:val="none"/>
              </w:rPr>
            </w:pPr>
            <w:r>
              <w:rPr>
                <w:rFonts w:hint="eastAsia" w:cs="宋体"/>
                <w:color w:val="auto"/>
                <w:highlight w:val="none"/>
              </w:rPr>
              <w:t>投标总价是否有效</w:t>
            </w:r>
          </w:p>
        </w:tc>
        <w:tc>
          <w:tcPr>
            <w:tcW w:w="1368" w:type="dxa"/>
            <w:shd w:val="clear" w:color="auto" w:fill="auto"/>
            <w:vAlign w:val="center"/>
          </w:tcPr>
          <w:p>
            <w:pPr>
              <w:jc w:val="center"/>
              <w:rPr>
                <w:color w:val="auto"/>
                <w:highlight w:val="none"/>
              </w:rPr>
            </w:pPr>
          </w:p>
        </w:tc>
        <w:tc>
          <w:tcPr>
            <w:tcW w:w="1116" w:type="dxa"/>
            <w:shd w:val="clear" w:color="auto" w:fill="auto"/>
            <w:vAlign w:val="center"/>
          </w:tcPr>
          <w:p>
            <w:pPr>
              <w:jc w:val="center"/>
              <w:rPr>
                <w:color w:val="auto"/>
                <w:highlight w:val="none"/>
              </w:rPr>
            </w:pPr>
          </w:p>
        </w:tc>
        <w:tc>
          <w:tcPr>
            <w:tcW w:w="1272" w:type="dxa"/>
            <w:shd w:val="clear" w:color="auto" w:fill="auto"/>
            <w:vAlign w:val="center"/>
          </w:tcPr>
          <w:p>
            <w:pPr>
              <w:jc w:val="center"/>
              <w:rPr>
                <w:color w:val="auto"/>
                <w:highlight w:val="none"/>
              </w:rPr>
            </w:pPr>
          </w:p>
        </w:tc>
        <w:tc>
          <w:tcPr>
            <w:tcW w:w="1278" w:type="dxa"/>
            <w:shd w:val="clear" w:color="auto" w:fill="auto"/>
            <w:vAlign w:val="center"/>
          </w:tcPr>
          <w:p>
            <w:pPr>
              <w:jc w:val="center"/>
              <w:rPr>
                <w:color w:val="auto"/>
                <w:highlight w:val="none"/>
              </w:rPr>
            </w:pPr>
          </w:p>
        </w:tc>
        <w:tc>
          <w:tcPr>
            <w:tcW w:w="1290" w:type="dxa"/>
            <w:shd w:val="clear" w:color="auto" w:fill="auto"/>
            <w:vAlign w:val="center"/>
          </w:tcPr>
          <w:p>
            <w:pPr>
              <w:jc w:val="center"/>
              <w:rPr>
                <w:color w:val="auto"/>
                <w:highlight w:val="none"/>
              </w:rPr>
            </w:pPr>
          </w:p>
        </w:tc>
        <w:tc>
          <w:tcPr>
            <w:tcW w:w="1584" w:type="dxa"/>
            <w:shd w:val="clear" w:color="auto" w:fill="auto"/>
            <w:vAlign w:val="center"/>
          </w:tcPr>
          <w:p>
            <w:pPr>
              <w:jc w:val="center"/>
              <w:rPr>
                <w:color w:val="auto"/>
                <w:highlight w:val="none"/>
              </w:rPr>
            </w:pPr>
          </w:p>
        </w:tc>
        <w:tc>
          <w:tcPr>
            <w:tcW w:w="1524"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759" w:type="dxa"/>
            <w:shd w:val="clear" w:color="auto" w:fill="auto"/>
            <w:vAlign w:val="center"/>
          </w:tcPr>
          <w:p>
            <w:pPr>
              <w:jc w:val="center"/>
              <w:rPr>
                <w:color w:val="auto"/>
                <w:highlight w:val="none"/>
              </w:rPr>
            </w:pPr>
            <w:r>
              <w:rPr>
                <w:rFonts w:hint="eastAsia" w:cs="宋体"/>
                <w:color w:val="auto"/>
                <w:highlight w:val="none"/>
              </w:rPr>
              <w:t>已标价工程量清单评审是否合格</w:t>
            </w:r>
          </w:p>
        </w:tc>
        <w:tc>
          <w:tcPr>
            <w:tcW w:w="1368" w:type="dxa"/>
            <w:shd w:val="clear" w:color="auto" w:fill="auto"/>
            <w:vAlign w:val="center"/>
          </w:tcPr>
          <w:p>
            <w:pPr>
              <w:jc w:val="center"/>
              <w:rPr>
                <w:color w:val="auto"/>
                <w:highlight w:val="none"/>
              </w:rPr>
            </w:pPr>
          </w:p>
        </w:tc>
        <w:tc>
          <w:tcPr>
            <w:tcW w:w="1116" w:type="dxa"/>
            <w:shd w:val="clear" w:color="auto" w:fill="auto"/>
            <w:vAlign w:val="center"/>
          </w:tcPr>
          <w:p>
            <w:pPr>
              <w:jc w:val="center"/>
              <w:rPr>
                <w:color w:val="auto"/>
                <w:highlight w:val="none"/>
              </w:rPr>
            </w:pPr>
          </w:p>
        </w:tc>
        <w:tc>
          <w:tcPr>
            <w:tcW w:w="1272" w:type="dxa"/>
            <w:shd w:val="clear" w:color="auto" w:fill="auto"/>
            <w:vAlign w:val="center"/>
          </w:tcPr>
          <w:p>
            <w:pPr>
              <w:jc w:val="center"/>
              <w:rPr>
                <w:color w:val="auto"/>
                <w:highlight w:val="none"/>
              </w:rPr>
            </w:pPr>
          </w:p>
        </w:tc>
        <w:tc>
          <w:tcPr>
            <w:tcW w:w="1278" w:type="dxa"/>
            <w:shd w:val="clear" w:color="auto" w:fill="auto"/>
            <w:vAlign w:val="center"/>
          </w:tcPr>
          <w:p>
            <w:pPr>
              <w:jc w:val="center"/>
              <w:rPr>
                <w:color w:val="auto"/>
                <w:highlight w:val="none"/>
              </w:rPr>
            </w:pPr>
          </w:p>
        </w:tc>
        <w:tc>
          <w:tcPr>
            <w:tcW w:w="1290" w:type="dxa"/>
            <w:shd w:val="clear" w:color="auto" w:fill="auto"/>
            <w:vAlign w:val="center"/>
          </w:tcPr>
          <w:p>
            <w:pPr>
              <w:jc w:val="center"/>
              <w:rPr>
                <w:color w:val="auto"/>
                <w:highlight w:val="none"/>
              </w:rPr>
            </w:pPr>
          </w:p>
        </w:tc>
        <w:tc>
          <w:tcPr>
            <w:tcW w:w="1584" w:type="dxa"/>
            <w:shd w:val="clear" w:color="auto" w:fill="auto"/>
            <w:vAlign w:val="center"/>
          </w:tcPr>
          <w:p>
            <w:pPr>
              <w:jc w:val="center"/>
              <w:rPr>
                <w:color w:val="auto"/>
                <w:highlight w:val="none"/>
              </w:rPr>
            </w:pPr>
          </w:p>
        </w:tc>
        <w:tc>
          <w:tcPr>
            <w:tcW w:w="1524"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759" w:type="dxa"/>
            <w:shd w:val="clear" w:color="auto" w:fill="auto"/>
            <w:vAlign w:val="center"/>
          </w:tcPr>
          <w:p>
            <w:pPr>
              <w:jc w:val="center"/>
              <w:rPr>
                <w:rFonts w:cs="宋体"/>
                <w:color w:val="auto"/>
                <w:highlight w:val="none"/>
              </w:rPr>
            </w:pPr>
            <w:r>
              <w:rPr>
                <w:rFonts w:hint="eastAsia" w:cs="宋体"/>
                <w:color w:val="auto"/>
                <w:highlight w:val="none"/>
              </w:rPr>
              <w:t>是否为小微企业</w:t>
            </w:r>
          </w:p>
        </w:tc>
        <w:tc>
          <w:tcPr>
            <w:tcW w:w="1368" w:type="dxa"/>
            <w:shd w:val="clear" w:color="auto" w:fill="auto"/>
            <w:vAlign w:val="center"/>
          </w:tcPr>
          <w:p>
            <w:pPr>
              <w:jc w:val="center"/>
              <w:rPr>
                <w:color w:val="auto"/>
                <w:highlight w:val="none"/>
              </w:rPr>
            </w:pPr>
          </w:p>
        </w:tc>
        <w:tc>
          <w:tcPr>
            <w:tcW w:w="1116" w:type="dxa"/>
            <w:shd w:val="clear" w:color="auto" w:fill="auto"/>
            <w:vAlign w:val="center"/>
          </w:tcPr>
          <w:p>
            <w:pPr>
              <w:jc w:val="center"/>
              <w:rPr>
                <w:color w:val="auto"/>
                <w:highlight w:val="none"/>
              </w:rPr>
            </w:pPr>
          </w:p>
        </w:tc>
        <w:tc>
          <w:tcPr>
            <w:tcW w:w="1272" w:type="dxa"/>
            <w:shd w:val="clear" w:color="auto" w:fill="auto"/>
            <w:vAlign w:val="center"/>
          </w:tcPr>
          <w:p>
            <w:pPr>
              <w:jc w:val="center"/>
              <w:rPr>
                <w:color w:val="auto"/>
                <w:highlight w:val="none"/>
              </w:rPr>
            </w:pPr>
          </w:p>
        </w:tc>
        <w:tc>
          <w:tcPr>
            <w:tcW w:w="1278" w:type="dxa"/>
            <w:shd w:val="clear" w:color="auto" w:fill="auto"/>
            <w:vAlign w:val="center"/>
          </w:tcPr>
          <w:p>
            <w:pPr>
              <w:jc w:val="center"/>
              <w:rPr>
                <w:color w:val="auto"/>
                <w:highlight w:val="none"/>
              </w:rPr>
            </w:pPr>
          </w:p>
        </w:tc>
        <w:tc>
          <w:tcPr>
            <w:tcW w:w="1290" w:type="dxa"/>
            <w:shd w:val="clear" w:color="auto" w:fill="auto"/>
            <w:vAlign w:val="center"/>
          </w:tcPr>
          <w:p>
            <w:pPr>
              <w:jc w:val="center"/>
              <w:rPr>
                <w:color w:val="auto"/>
                <w:highlight w:val="none"/>
              </w:rPr>
            </w:pPr>
          </w:p>
        </w:tc>
        <w:tc>
          <w:tcPr>
            <w:tcW w:w="1584" w:type="dxa"/>
            <w:shd w:val="clear" w:color="auto" w:fill="auto"/>
            <w:vAlign w:val="center"/>
          </w:tcPr>
          <w:p>
            <w:pPr>
              <w:jc w:val="center"/>
              <w:rPr>
                <w:color w:val="auto"/>
                <w:highlight w:val="none"/>
              </w:rPr>
            </w:pPr>
          </w:p>
        </w:tc>
        <w:tc>
          <w:tcPr>
            <w:tcW w:w="1524"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759" w:type="dxa"/>
            <w:shd w:val="clear" w:color="auto" w:fill="auto"/>
            <w:vAlign w:val="center"/>
          </w:tcPr>
          <w:p>
            <w:pPr>
              <w:jc w:val="center"/>
              <w:rPr>
                <w:color w:val="auto"/>
                <w:highlight w:val="none"/>
              </w:rPr>
            </w:pPr>
            <w:r>
              <w:rPr>
                <w:color w:val="auto"/>
                <w:highlight w:val="none"/>
              </w:rPr>
              <w:t>1</w:t>
            </w:r>
            <w:r>
              <w:rPr>
                <w:rFonts w:hint="eastAsia" w:cs="宋体"/>
                <w:color w:val="auto"/>
                <w:highlight w:val="none"/>
              </w:rPr>
              <w:t>、投标总价得分（满分</w:t>
            </w:r>
            <w:r>
              <w:rPr>
                <w:color w:val="auto"/>
                <w:highlight w:val="none"/>
                <w:u w:val="single"/>
              </w:rPr>
              <w:t>100</w:t>
            </w:r>
            <w:r>
              <w:rPr>
                <w:rFonts w:hint="eastAsia"/>
                <w:color w:val="auto"/>
                <w:highlight w:val="none"/>
                <w:u w:val="single"/>
              </w:rPr>
              <w:t>分</w:t>
            </w:r>
            <w:r>
              <w:rPr>
                <w:rFonts w:hint="eastAsia" w:cs="宋体"/>
                <w:color w:val="auto"/>
                <w:highlight w:val="none"/>
              </w:rPr>
              <w:t>）</w:t>
            </w:r>
          </w:p>
        </w:tc>
        <w:tc>
          <w:tcPr>
            <w:tcW w:w="1368" w:type="dxa"/>
            <w:shd w:val="clear" w:color="auto" w:fill="auto"/>
            <w:vAlign w:val="center"/>
          </w:tcPr>
          <w:p>
            <w:pPr>
              <w:jc w:val="center"/>
              <w:rPr>
                <w:color w:val="auto"/>
                <w:highlight w:val="none"/>
              </w:rPr>
            </w:pPr>
          </w:p>
        </w:tc>
        <w:tc>
          <w:tcPr>
            <w:tcW w:w="1116" w:type="dxa"/>
            <w:shd w:val="clear" w:color="auto" w:fill="auto"/>
            <w:vAlign w:val="center"/>
          </w:tcPr>
          <w:p>
            <w:pPr>
              <w:jc w:val="center"/>
              <w:rPr>
                <w:color w:val="auto"/>
                <w:highlight w:val="none"/>
              </w:rPr>
            </w:pPr>
          </w:p>
        </w:tc>
        <w:tc>
          <w:tcPr>
            <w:tcW w:w="1272" w:type="dxa"/>
            <w:shd w:val="clear" w:color="auto" w:fill="auto"/>
            <w:vAlign w:val="center"/>
          </w:tcPr>
          <w:p>
            <w:pPr>
              <w:jc w:val="center"/>
              <w:rPr>
                <w:color w:val="auto"/>
                <w:highlight w:val="none"/>
              </w:rPr>
            </w:pPr>
          </w:p>
        </w:tc>
        <w:tc>
          <w:tcPr>
            <w:tcW w:w="1278" w:type="dxa"/>
            <w:shd w:val="clear" w:color="auto" w:fill="auto"/>
            <w:vAlign w:val="center"/>
          </w:tcPr>
          <w:p>
            <w:pPr>
              <w:jc w:val="center"/>
              <w:rPr>
                <w:color w:val="auto"/>
                <w:highlight w:val="none"/>
              </w:rPr>
            </w:pPr>
          </w:p>
        </w:tc>
        <w:tc>
          <w:tcPr>
            <w:tcW w:w="1290" w:type="dxa"/>
            <w:shd w:val="clear" w:color="auto" w:fill="auto"/>
            <w:vAlign w:val="center"/>
          </w:tcPr>
          <w:p>
            <w:pPr>
              <w:jc w:val="center"/>
              <w:rPr>
                <w:color w:val="auto"/>
                <w:highlight w:val="none"/>
              </w:rPr>
            </w:pPr>
          </w:p>
        </w:tc>
        <w:tc>
          <w:tcPr>
            <w:tcW w:w="1584" w:type="dxa"/>
            <w:shd w:val="clear" w:color="auto" w:fill="auto"/>
            <w:vAlign w:val="center"/>
          </w:tcPr>
          <w:p>
            <w:pPr>
              <w:jc w:val="center"/>
              <w:rPr>
                <w:color w:val="auto"/>
                <w:highlight w:val="none"/>
              </w:rPr>
            </w:pPr>
          </w:p>
        </w:tc>
        <w:tc>
          <w:tcPr>
            <w:tcW w:w="1524"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759" w:type="dxa"/>
            <w:shd w:val="clear" w:color="auto" w:fill="auto"/>
            <w:vAlign w:val="center"/>
          </w:tcPr>
          <w:p>
            <w:pPr>
              <w:jc w:val="center"/>
              <w:rPr>
                <w:color w:val="auto"/>
                <w:highlight w:val="none"/>
              </w:rPr>
            </w:pPr>
            <w:r>
              <w:rPr>
                <w:color w:val="auto"/>
                <w:highlight w:val="none"/>
              </w:rPr>
              <w:t>2</w:t>
            </w:r>
            <w:r>
              <w:rPr>
                <w:rFonts w:hint="eastAsia"/>
                <w:color w:val="auto"/>
                <w:highlight w:val="none"/>
              </w:rPr>
              <w:t>、报价分加权得分</w:t>
            </w:r>
          </w:p>
        </w:tc>
        <w:tc>
          <w:tcPr>
            <w:tcW w:w="1368" w:type="dxa"/>
            <w:shd w:val="clear" w:color="auto" w:fill="auto"/>
            <w:vAlign w:val="center"/>
          </w:tcPr>
          <w:p>
            <w:pPr>
              <w:jc w:val="center"/>
              <w:rPr>
                <w:strike/>
                <w:color w:val="auto"/>
                <w:highlight w:val="none"/>
              </w:rPr>
            </w:pPr>
          </w:p>
        </w:tc>
        <w:tc>
          <w:tcPr>
            <w:tcW w:w="1116" w:type="dxa"/>
            <w:shd w:val="clear" w:color="auto" w:fill="auto"/>
            <w:vAlign w:val="center"/>
          </w:tcPr>
          <w:p>
            <w:pPr>
              <w:jc w:val="center"/>
              <w:rPr>
                <w:strike/>
                <w:color w:val="auto"/>
                <w:highlight w:val="none"/>
              </w:rPr>
            </w:pPr>
          </w:p>
        </w:tc>
        <w:tc>
          <w:tcPr>
            <w:tcW w:w="1272" w:type="dxa"/>
            <w:shd w:val="clear" w:color="auto" w:fill="auto"/>
            <w:vAlign w:val="center"/>
          </w:tcPr>
          <w:p>
            <w:pPr>
              <w:jc w:val="center"/>
              <w:rPr>
                <w:strike/>
                <w:color w:val="auto"/>
                <w:highlight w:val="none"/>
              </w:rPr>
            </w:pPr>
          </w:p>
        </w:tc>
        <w:tc>
          <w:tcPr>
            <w:tcW w:w="1278" w:type="dxa"/>
            <w:shd w:val="clear" w:color="auto" w:fill="auto"/>
            <w:vAlign w:val="center"/>
          </w:tcPr>
          <w:p>
            <w:pPr>
              <w:jc w:val="center"/>
              <w:rPr>
                <w:strike/>
                <w:color w:val="auto"/>
                <w:highlight w:val="none"/>
              </w:rPr>
            </w:pPr>
          </w:p>
        </w:tc>
        <w:tc>
          <w:tcPr>
            <w:tcW w:w="1290" w:type="dxa"/>
            <w:shd w:val="clear" w:color="auto" w:fill="auto"/>
            <w:vAlign w:val="center"/>
          </w:tcPr>
          <w:p>
            <w:pPr>
              <w:jc w:val="center"/>
              <w:rPr>
                <w:strike/>
                <w:color w:val="auto"/>
                <w:highlight w:val="none"/>
              </w:rPr>
            </w:pPr>
          </w:p>
        </w:tc>
        <w:tc>
          <w:tcPr>
            <w:tcW w:w="1584" w:type="dxa"/>
            <w:shd w:val="clear" w:color="auto" w:fill="auto"/>
            <w:vAlign w:val="center"/>
          </w:tcPr>
          <w:p>
            <w:pPr>
              <w:jc w:val="center"/>
              <w:rPr>
                <w:strike/>
                <w:color w:val="auto"/>
                <w:highlight w:val="none"/>
              </w:rPr>
            </w:pPr>
          </w:p>
        </w:tc>
        <w:tc>
          <w:tcPr>
            <w:tcW w:w="1524" w:type="dxa"/>
            <w:shd w:val="clear" w:color="auto" w:fill="auto"/>
            <w:vAlign w:val="center"/>
          </w:tcPr>
          <w:p>
            <w:pPr>
              <w:jc w:val="center"/>
              <w:rPr>
                <w: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759" w:type="dxa"/>
            <w:shd w:val="clear" w:color="auto" w:fill="auto"/>
            <w:vAlign w:val="center"/>
          </w:tcPr>
          <w:p>
            <w:pPr>
              <w:jc w:val="center"/>
              <w:rPr>
                <w:color w:val="auto"/>
                <w:highlight w:val="none"/>
              </w:rPr>
            </w:pPr>
            <w:r>
              <w:rPr>
                <w:color w:val="auto"/>
                <w:highlight w:val="none"/>
              </w:rPr>
              <w:t>3</w:t>
            </w:r>
            <w:r>
              <w:rPr>
                <w:rFonts w:hint="eastAsia"/>
                <w:color w:val="auto"/>
                <w:highlight w:val="none"/>
              </w:rPr>
              <w:t>、中小企业政策加分3%</w:t>
            </w:r>
          </w:p>
        </w:tc>
        <w:tc>
          <w:tcPr>
            <w:tcW w:w="1368" w:type="dxa"/>
            <w:shd w:val="clear" w:color="auto" w:fill="auto"/>
            <w:vAlign w:val="center"/>
          </w:tcPr>
          <w:p>
            <w:pPr>
              <w:jc w:val="center"/>
              <w:rPr>
                <w:strike/>
                <w:color w:val="auto"/>
                <w:highlight w:val="none"/>
              </w:rPr>
            </w:pPr>
          </w:p>
        </w:tc>
        <w:tc>
          <w:tcPr>
            <w:tcW w:w="1116" w:type="dxa"/>
            <w:shd w:val="clear" w:color="auto" w:fill="auto"/>
            <w:vAlign w:val="center"/>
          </w:tcPr>
          <w:p>
            <w:pPr>
              <w:jc w:val="center"/>
              <w:rPr>
                <w:strike/>
                <w:color w:val="auto"/>
                <w:highlight w:val="none"/>
              </w:rPr>
            </w:pPr>
          </w:p>
        </w:tc>
        <w:tc>
          <w:tcPr>
            <w:tcW w:w="1272" w:type="dxa"/>
            <w:shd w:val="clear" w:color="auto" w:fill="auto"/>
            <w:vAlign w:val="center"/>
          </w:tcPr>
          <w:p>
            <w:pPr>
              <w:jc w:val="center"/>
              <w:rPr>
                <w:strike/>
                <w:color w:val="auto"/>
                <w:highlight w:val="none"/>
              </w:rPr>
            </w:pPr>
          </w:p>
        </w:tc>
        <w:tc>
          <w:tcPr>
            <w:tcW w:w="1278" w:type="dxa"/>
            <w:shd w:val="clear" w:color="auto" w:fill="auto"/>
            <w:vAlign w:val="center"/>
          </w:tcPr>
          <w:p>
            <w:pPr>
              <w:jc w:val="center"/>
              <w:rPr>
                <w:strike/>
                <w:color w:val="auto"/>
                <w:highlight w:val="none"/>
              </w:rPr>
            </w:pPr>
          </w:p>
        </w:tc>
        <w:tc>
          <w:tcPr>
            <w:tcW w:w="1290" w:type="dxa"/>
            <w:shd w:val="clear" w:color="auto" w:fill="auto"/>
            <w:vAlign w:val="center"/>
          </w:tcPr>
          <w:p>
            <w:pPr>
              <w:jc w:val="center"/>
              <w:rPr>
                <w:strike/>
                <w:color w:val="auto"/>
                <w:highlight w:val="none"/>
              </w:rPr>
            </w:pPr>
          </w:p>
        </w:tc>
        <w:tc>
          <w:tcPr>
            <w:tcW w:w="1584" w:type="dxa"/>
            <w:shd w:val="clear" w:color="auto" w:fill="auto"/>
            <w:vAlign w:val="center"/>
          </w:tcPr>
          <w:p>
            <w:pPr>
              <w:jc w:val="center"/>
              <w:rPr>
                <w:strike/>
                <w:color w:val="auto"/>
                <w:highlight w:val="none"/>
              </w:rPr>
            </w:pPr>
          </w:p>
        </w:tc>
        <w:tc>
          <w:tcPr>
            <w:tcW w:w="1524" w:type="dxa"/>
            <w:shd w:val="clear" w:color="auto" w:fill="auto"/>
            <w:vAlign w:val="center"/>
          </w:tcPr>
          <w:p>
            <w:pPr>
              <w:jc w:val="center"/>
              <w:rPr>
                <w: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759" w:type="dxa"/>
            <w:shd w:val="clear" w:color="auto" w:fill="auto"/>
            <w:vAlign w:val="center"/>
          </w:tcPr>
          <w:p>
            <w:pPr>
              <w:jc w:val="center"/>
              <w:rPr>
                <w:color w:val="auto"/>
                <w:highlight w:val="none"/>
              </w:rPr>
            </w:pPr>
            <w:r>
              <w:rPr>
                <w:rFonts w:hint="eastAsia"/>
                <w:color w:val="auto"/>
                <w:highlight w:val="none"/>
              </w:rPr>
              <w:t>4、政策加分后报价得分</w:t>
            </w:r>
          </w:p>
        </w:tc>
        <w:tc>
          <w:tcPr>
            <w:tcW w:w="1368" w:type="dxa"/>
            <w:shd w:val="clear" w:color="auto" w:fill="auto"/>
            <w:vAlign w:val="center"/>
          </w:tcPr>
          <w:p>
            <w:pPr>
              <w:jc w:val="center"/>
              <w:rPr>
                <w:strike/>
                <w:color w:val="auto"/>
                <w:highlight w:val="none"/>
              </w:rPr>
            </w:pPr>
          </w:p>
        </w:tc>
        <w:tc>
          <w:tcPr>
            <w:tcW w:w="1116" w:type="dxa"/>
            <w:shd w:val="clear" w:color="auto" w:fill="auto"/>
            <w:vAlign w:val="center"/>
          </w:tcPr>
          <w:p>
            <w:pPr>
              <w:jc w:val="center"/>
              <w:rPr>
                <w:strike/>
                <w:color w:val="auto"/>
                <w:highlight w:val="none"/>
              </w:rPr>
            </w:pPr>
          </w:p>
        </w:tc>
        <w:tc>
          <w:tcPr>
            <w:tcW w:w="1272" w:type="dxa"/>
            <w:shd w:val="clear" w:color="auto" w:fill="auto"/>
            <w:vAlign w:val="center"/>
          </w:tcPr>
          <w:p>
            <w:pPr>
              <w:jc w:val="center"/>
              <w:rPr>
                <w:strike/>
                <w:color w:val="auto"/>
                <w:highlight w:val="none"/>
              </w:rPr>
            </w:pPr>
          </w:p>
        </w:tc>
        <w:tc>
          <w:tcPr>
            <w:tcW w:w="1278" w:type="dxa"/>
            <w:shd w:val="clear" w:color="auto" w:fill="auto"/>
            <w:vAlign w:val="center"/>
          </w:tcPr>
          <w:p>
            <w:pPr>
              <w:jc w:val="center"/>
              <w:rPr>
                <w:strike/>
                <w:color w:val="auto"/>
                <w:highlight w:val="none"/>
              </w:rPr>
            </w:pPr>
          </w:p>
        </w:tc>
        <w:tc>
          <w:tcPr>
            <w:tcW w:w="1290" w:type="dxa"/>
            <w:shd w:val="clear" w:color="auto" w:fill="auto"/>
            <w:vAlign w:val="center"/>
          </w:tcPr>
          <w:p>
            <w:pPr>
              <w:jc w:val="center"/>
              <w:rPr>
                <w:strike/>
                <w:color w:val="auto"/>
                <w:highlight w:val="none"/>
              </w:rPr>
            </w:pPr>
          </w:p>
        </w:tc>
        <w:tc>
          <w:tcPr>
            <w:tcW w:w="1584" w:type="dxa"/>
            <w:shd w:val="clear" w:color="auto" w:fill="auto"/>
            <w:vAlign w:val="center"/>
          </w:tcPr>
          <w:p>
            <w:pPr>
              <w:jc w:val="center"/>
              <w:rPr>
                <w:strike/>
                <w:color w:val="auto"/>
                <w:highlight w:val="none"/>
              </w:rPr>
            </w:pPr>
          </w:p>
        </w:tc>
        <w:tc>
          <w:tcPr>
            <w:tcW w:w="1524" w:type="dxa"/>
            <w:shd w:val="clear" w:color="auto" w:fill="auto"/>
            <w:vAlign w:val="center"/>
          </w:tcPr>
          <w:p>
            <w:pPr>
              <w:jc w:val="center"/>
              <w:rPr>
                <w: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759" w:type="dxa"/>
            <w:shd w:val="clear" w:color="auto" w:fill="auto"/>
            <w:vAlign w:val="center"/>
          </w:tcPr>
          <w:p>
            <w:pPr>
              <w:jc w:val="center"/>
              <w:rPr>
                <w:color w:val="auto"/>
                <w:highlight w:val="none"/>
              </w:rPr>
            </w:pPr>
            <w:r>
              <w:rPr>
                <w:rFonts w:hint="eastAsia" w:cs="宋体"/>
                <w:color w:val="auto"/>
                <w:highlight w:val="none"/>
              </w:rPr>
              <w:t>招标控制价</w:t>
            </w:r>
          </w:p>
        </w:tc>
        <w:tc>
          <w:tcPr>
            <w:tcW w:w="5034" w:type="dxa"/>
            <w:gridSpan w:val="4"/>
            <w:shd w:val="clear" w:color="auto" w:fill="auto"/>
            <w:vAlign w:val="center"/>
          </w:tcPr>
          <w:p>
            <w:pPr>
              <w:jc w:val="center"/>
              <w:rPr>
                <w:color w:val="auto"/>
                <w:highlight w:val="none"/>
              </w:rPr>
            </w:pPr>
          </w:p>
        </w:tc>
        <w:tc>
          <w:tcPr>
            <w:tcW w:w="4398" w:type="dxa"/>
            <w:gridSpan w:val="3"/>
            <w:shd w:val="clear" w:color="auto" w:fill="auto"/>
            <w:vAlign w:val="center"/>
          </w:tcPr>
          <w:p>
            <w:pPr>
              <w:jc w:val="left"/>
              <w:rPr>
                <w:color w:val="auto"/>
                <w:highlight w:val="none"/>
              </w:rPr>
            </w:pPr>
            <w:r>
              <w:rPr>
                <w:rFonts w:hint="eastAsia" w:cs="宋体"/>
                <w:color w:val="auto"/>
                <w:highlight w:val="none"/>
              </w:rPr>
              <w:t>评标基准价：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191" w:type="dxa"/>
            <w:gridSpan w:val="8"/>
            <w:shd w:val="clear" w:color="auto" w:fill="auto"/>
            <w:vAlign w:val="center"/>
          </w:tcPr>
          <w:p>
            <w:pPr>
              <w:rPr>
                <w:color w:val="auto"/>
                <w:highlight w:val="none"/>
              </w:rPr>
            </w:pPr>
            <w:r>
              <w:rPr>
                <w:rFonts w:hint="eastAsia" w:cs="宋体"/>
                <w:color w:val="auto"/>
                <w:highlight w:val="none"/>
              </w:rPr>
              <w:t>投标总价得分：以评标基准价为最高</w:t>
            </w:r>
            <w:r>
              <w:rPr>
                <w:rFonts w:cs="宋体"/>
                <w:color w:val="auto"/>
                <w:highlight w:val="none"/>
                <w:u w:val="thick"/>
              </w:rPr>
              <w:t>100</w:t>
            </w:r>
            <w:r>
              <w:rPr>
                <w:rFonts w:hint="eastAsia" w:cs="宋体"/>
                <w:color w:val="auto"/>
                <w:highlight w:val="none"/>
              </w:rPr>
              <w:t>分，采用内插法计算，投标人投标总价每高于评标基准价</w:t>
            </w:r>
            <w:r>
              <w:rPr>
                <w:color w:val="auto"/>
                <w:highlight w:val="none"/>
              </w:rPr>
              <w:t>1</w:t>
            </w:r>
            <w:r>
              <w:rPr>
                <w:rFonts w:hint="eastAsia" w:cs="宋体"/>
                <w:color w:val="auto"/>
                <w:highlight w:val="none"/>
              </w:rPr>
              <w:t>％的扣</w:t>
            </w:r>
            <w:r>
              <w:rPr>
                <w:color w:val="auto"/>
                <w:highlight w:val="none"/>
              </w:rPr>
              <w:t>1.5</w:t>
            </w:r>
            <w:r>
              <w:rPr>
                <w:rFonts w:hint="eastAsia" w:cs="宋体"/>
                <w:color w:val="auto"/>
                <w:highlight w:val="none"/>
              </w:rPr>
              <w:t>分，每低于经评标基准价</w:t>
            </w:r>
            <w:r>
              <w:rPr>
                <w:color w:val="auto"/>
                <w:highlight w:val="none"/>
              </w:rPr>
              <w:t>1</w:t>
            </w:r>
            <w:r>
              <w:rPr>
                <w:rFonts w:hint="eastAsia" w:cs="宋体"/>
                <w:color w:val="auto"/>
                <w:highlight w:val="none"/>
              </w:rPr>
              <w:t>％的扣</w:t>
            </w:r>
            <w:r>
              <w:rPr>
                <w:color w:val="auto"/>
                <w:highlight w:val="none"/>
              </w:rPr>
              <w:t>1</w:t>
            </w:r>
            <w:r>
              <w:rPr>
                <w:rFonts w:hint="eastAsia" w:cs="宋体"/>
                <w:color w:val="auto"/>
                <w:highlight w:val="none"/>
              </w:rPr>
              <w:t>分。报价分加权得分 = 报价分得分×</w:t>
            </w:r>
            <w:r>
              <w:rPr>
                <w:rFonts w:hint="eastAsia" w:ascii="宋体" w:hAnsi="宋体" w:cs="宋体"/>
                <w:color w:val="auto"/>
                <w:highlight w:val="none"/>
              </w:rPr>
              <w:t>报价分分值权重6</w:t>
            </w:r>
            <w:r>
              <w:rPr>
                <w:rFonts w:hint="eastAsia" w:ascii="宋体" w:hAnsi="宋体" w:cs="宋体"/>
                <w:color w:val="auto"/>
                <w:highlight w:val="none"/>
                <w:lang w:val="en-US" w:eastAsia="zh-CN"/>
              </w:rPr>
              <w:t>0</w:t>
            </w:r>
            <w:r>
              <w:rPr>
                <w:rFonts w:hint="eastAsia" w:ascii="宋体" w:hAnsi="宋体" w:cs="宋体"/>
                <w:color w:val="auto"/>
                <w:highlight w:val="none"/>
              </w:rPr>
              <w:t>%</w:t>
            </w:r>
          </w:p>
          <w:p>
            <w:pPr>
              <w:rPr>
                <w:rFonts w:cs="宋体"/>
                <w:color w:val="auto"/>
                <w:highlight w:val="none"/>
              </w:rPr>
            </w:pPr>
            <w:r>
              <w:rPr>
                <w:rFonts w:hint="eastAsia" w:cs="宋体"/>
                <w:color w:val="auto"/>
                <w:highlight w:val="none"/>
              </w:rPr>
              <w:t xml:space="preserve">适用招标投标法的政府采购工程建设项目，采用综合评估法但未采用低价优先法计算价格分的，评标时应当在采用原报价进行评分的基础上增加其价格得分的3%作为其价格分。 </w:t>
            </w:r>
            <w:r>
              <w:rPr>
                <w:rFonts w:cs="宋体"/>
                <w:color w:val="auto"/>
                <w:highlight w:val="none"/>
              </w:rPr>
              <w:t xml:space="preserve"> </w:t>
            </w:r>
          </w:p>
        </w:tc>
      </w:tr>
    </w:tbl>
    <w:p>
      <w:pPr>
        <w:rPr>
          <w:color w:val="auto"/>
          <w:highlight w:val="none"/>
        </w:rPr>
      </w:pPr>
      <w:r>
        <w:rPr>
          <w:rFonts w:hint="eastAsia" w:eastAsia="楷体_GB2312" w:cs="楷体_GB2312"/>
          <w:color w:val="auto"/>
          <w:highlight w:val="none"/>
        </w:rPr>
        <w:t>【备注：本表可根据评分办法的需要进行调整。投标报价单位：人民币元。】</w:t>
      </w:r>
    </w:p>
    <w:p>
      <w:pPr>
        <w:spacing w:line="360" w:lineRule="auto"/>
        <w:rPr>
          <w:color w:val="auto"/>
          <w:highlight w:val="none"/>
        </w:rPr>
      </w:pPr>
      <w:r>
        <w:rPr>
          <w:rFonts w:hint="eastAsia" w:cs="宋体"/>
          <w:color w:val="auto"/>
          <w:highlight w:val="none"/>
        </w:rPr>
        <w:t>评标委员会评委签名：</w:t>
      </w:r>
      <w:r>
        <w:rPr>
          <w:color w:val="auto"/>
          <w:highlight w:val="none"/>
        </w:rPr>
        <w:t xml:space="preserve">                                                                      </w:t>
      </w:r>
    </w:p>
    <w:p>
      <w:pPr>
        <w:spacing w:line="360" w:lineRule="auto"/>
        <w:rPr>
          <w:color w:val="auto"/>
          <w:highlight w:val="none"/>
        </w:rPr>
      </w:pPr>
    </w:p>
    <w:p>
      <w:pPr>
        <w:pStyle w:val="43"/>
        <w:rPr>
          <w:color w:val="auto"/>
          <w:highlight w:val="none"/>
        </w:rPr>
      </w:pPr>
    </w:p>
    <w:p>
      <w:pPr>
        <w:spacing w:line="440" w:lineRule="exact"/>
        <w:rPr>
          <w:rFonts w:cs="宋体"/>
          <w:b/>
          <w:color w:val="auto"/>
          <w:highlight w:val="none"/>
        </w:rPr>
      </w:pPr>
      <w:r>
        <w:rPr>
          <w:rFonts w:hint="eastAsia" w:cs="宋体"/>
          <w:b/>
          <w:color w:val="auto"/>
          <w:highlight w:val="none"/>
        </w:rPr>
        <w:t>附表</w:t>
      </w:r>
      <w:r>
        <w:rPr>
          <w:b/>
          <w:color w:val="auto"/>
          <w:highlight w:val="none"/>
        </w:rPr>
        <w:t>A-8</w:t>
      </w:r>
      <w:r>
        <w:rPr>
          <w:rFonts w:hint="eastAsia" w:cs="宋体"/>
          <w:b/>
          <w:color w:val="auto"/>
          <w:highlight w:val="none"/>
        </w:rPr>
        <w:t>：企业信誉实力评分记录表</w:t>
      </w:r>
    </w:p>
    <w:p>
      <w:pPr>
        <w:spacing w:line="440" w:lineRule="exact"/>
        <w:rPr>
          <w:rFonts w:cs="宋体"/>
          <w:b/>
          <w:color w:val="auto"/>
          <w:highlight w:val="none"/>
        </w:rPr>
      </w:pPr>
    </w:p>
    <w:p>
      <w:pPr>
        <w:jc w:val="center"/>
        <w:rPr>
          <w:rFonts w:eastAsia="黑体"/>
          <w:color w:val="auto"/>
          <w:sz w:val="28"/>
          <w:szCs w:val="28"/>
          <w:highlight w:val="none"/>
        </w:rPr>
      </w:pPr>
      <w:r>
        <w:rPr>
          <w:rFonts w:hint="eastAsia" w:eastAsia="黑体" w:cs="黑体"/>
          <w:color w:val="auto"/>
          <w:sz w:val="28"/>
          <w:szCs w:val="28"/>
          <w:highlight w:val="none"/>
        </w:rPr>
        <w:t>企业信誉实力评分记录表</w:t>
      </w:r>
    </w:p>
    <w:p>
      <w:pPr>
        <w:spacing w:afterLines="30" w:line="440" w:lineRule="exact"/>
        <w:rPr>
          <w:rFonts w:cs="宋体"/>
          <w:color w:val="auto"/>
          <w:highlight w:val="none"/>
        </w:rPr>
      </w:pPr>
    </w:p>
    <w:p>
      <w:pPr>
        <w:spacing w:afterLines="30" w:line="440" w:lineRule="exact"/>
        <w:rPr>
          <w:color w:val="auto"/>
          <w:highlight w:val="none"/>
        </w:rPr>
      </w:pPr>
      <w:r>
        <w:rPr>
          <w:rFonts w:hint="eastAsia" w:cs="宋体"/>
          <w:color w:val="auto"/>
          <w:highlight w:val="none"/>
        </w:rPr>
        <w:t>项目名称及项目招标编号：</w:t>
      </w:r>
      <w:r>
        <w:rPr>
          <w:color w:val="auto"/>
          <w:highlight w:val="none"/>
          <w:u w:val="single"/>
        </w:rPr>
        <w:t xml:space="preserve">                                           </w:t>
      </w:r>
      <w:r>
        <w:rPr>
          <w:rFonts w:hint="eastAsia" w:cs="宋体"/>
          <w:color w:val="auto"/>
          <w:highlight w:val="none"/>
        </w:rPr>
        <w:t>（项目名称）</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r>
        <w:rPr>
          <w:rFonts w:hint="eastAsia"/>
          <w:color w:val="auto"/>
          <w:highlight w:val="none"/>
        </w:rPr>
        <w:t xml:space="preserve"> </w:t>
      </w:r>
    </w:p>
    <w:tbl>
      <w:tblPr>
        <w:tblStyle w:val="42"/>
        <w:tblW w:w="1361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6402"/>
        <w:gridCol w:w="1274"/>
        <w:gridCol w:w="1273"/>
        <w:gridCol w:w="1274"/>
        <w:gridCol w:w="1273"/>
        <w:gridCol w:w="1277"/>
        <w:gridCol w:w="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gridAfter w:val="1"/>
          <w:wAfter w:w="11" w:type="dxa"/>
          <w:trHeight w:val="567" w:hRule="atLeast"/>
        </w:trPr>
        <w:tc>
          <w:tcPr>
            <w:tcW w:w="828" w:type="dxa"/>
            <w:vMerge w:val="restart"/>
            <w:shd w:val="clear" w:color="auto" w:fill="auto"/>
            <w:vAlign w:val="center"/>
          </w:tcPr>
          <w:p>
            <w:pPr>
              <w:jc w:val="center"/>
              <w:rPr>
                <w:color w:val="auto"/>
                <w:highlight w:val="none"/>
              </w:rPr>
            </w:pPr>
            <w:r>
              <w:rPr>
                <w:rFonts w:hint="eastAsia" w:cs="宋体"/>
                <w:color w:val="auto"/>
                <w:highlight w:val="none"/>
              </w:rPr>
              <w:t>序号</w:t>
            </w:r>
          </w:p>
        </w:tc>
        <w:tc>
          <w:tcPr>
            <w:tcW w:w="6402" w:type="dxa"/>
            <w:vMerge w:val="restart"/>
            <w:shd w:val="clear" w:color="auto" w:fill="auto"/>
            <w:vAlign w:val="center"/>
          </w:tcPr>
          <w:p>
            <w:pPr>
              <w:jc w:val="center"/>
              <w:rPr>
                <w:color w:val="auto"/>
                <w:highlight w:val="none"/>
              </w:rPr>
            </w:pPr>
            <w:r>
              <w:rPr>
                <w:rFonts w:hint="eastAsia" w:cs="宋体"/>
                <w:color w:val="auto"/>
                <w:highlight w:val="none"/>
              </w:rPr>
              <w:t>评分项目</w:t>
            </w:r>
          </w:p>
        </w:tc>
        <w:tc>
          <w:tcPr>
            <w:tcW w:w="6371" w:type="dxa"/>
            <w:gridSpan w:val="5"/>
            <w:shd w:val="clear" w:color="auto" w:fill="auto"/>
            <w:vAlign w:val="center"/>
          </w:tcPr>
          <w:p>
            <w:pPr>
              <w:jc w:val="center"/>
              <w:rPr>
                <w:color w:val="auto"/>
                <w:highlight w:val="none"/>
              </w:rPr>
            </w:pPr>
            <w:r>
              <w:rPr>
                <w:rFonts w:hint="eastAsia" w:cs="宋体"/>
                <w:color w:val="auto"/>
                <w:highlight w:val="none"/>
              </w:rPr>
              <w:t>投标人名称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gridAfter w:val="1"/>
          <w:wAfter w:w="11" w:type="dxa"/>
          <w:trHeight w:val="567" w:hRule="atLeast"/>
        </w:trPr>
        <w:tc>
          <w:tcPr>
            <w:tcW w:w="828" w:type="dxa"/>
            <w:vMerge w:val="continue"/>
            <w:shd w:val="clear" w:color="auto" w:fill="auto"/>
            <w:vAlign w:val="center"/>
          </w:tcPr>
          <w:p>
            <w:pPr>
              <w:jc w:val="center"/>
              <w:rPr>
                <w:color w:val="auto"/>
                <w:highlight w:val="none"/>
              </w:rPr>
            </w:pPr>
          </w:p>
        </w:tc>
        <w:tc>
          <w:tcPr>
            <w:tcW w:w="6402" w:type="dxa"/>
            <w:vMerge w:val="continue"/>
            <w:shd w:val="clear" w:color="auto" w:fill="auto"/>
            <w:vAlign w:val="center"/>
          </w:tcPr>
          <w:p>
            <w:pPr>
              <w:jc w:val="center"/>
              <w:rPr>
                <w:color w:val="auto"/>
                <w:highlight w:val="none"/>
              </w:rPr>
            </w:pPr>
          </w:p>
        </w:tc>
        <w:tc>
          <w:tcPr>
            <w:tcW w:w="1274" w:type="dxa"/>
            <w:shd w:val="clear" w:color="auto" w:fill="auto"/>
            <w:vAlign w:val="center"/>
          </w:tcPr>
          <w:p>
            <w:pPr>
              <w:jc w:val="center"/>
              <w:rPr>
                <w:color w:val="auto"/>
                <w:highlight w:val="none"/>
              </w:rPr>
            </w:pPr>
          </w:p>
        </w:tc>
        <w:tc>
          <w:tcPr>
            <w:tcW w:w="1273" w:type="dxa"/>
            <w:shd w:val="clear" w:color="auto" w:fill="auto"/>
            <w:vAlign w:val="center"/>
          </w:tcPr>
          <w:p>
            <w:pPr>
              <w:jc w:val="center"/>
              <w:rPr>
                <w:color w:val="auto"/>
                <w:highlight w:val="none"/>
              </w:rPr>
            </w:pPr>
          </w:p>
        </w:tc>
        <w:tc>
          <w:tcPr>
            <w:tcW w:w="1274" w:type="dxa"/>
            <w:shd w:val="clear" w:color="auto" w:fill="auto"/>
            <w:vAlign w:val="center"/>
          </w:tcPr>
          <w:p>
            <w:pPr>
              <w:jc w:val="center"/>
              <w:rPr>
                <w:color w:val="auto"/>
                <w:highlight w:val="none"/>
              </w:rPr>
            </w:pPr>
          </w:p>
        </w:tc>
        <w:tc>
          <w:tcPr>
            <w:tcW w:w="1273" w:type="dxa"/>
            <w:shd w:val="clear" w:color="auto" w:fill="auto"/>
            <w:vAlign w:val="center"/>
          </w:tcPr>
          <w:p>
            <w:pPr>
              <w:jc w:val="center"/>
              <w:rPr>
                <w:color w:val="auto"/>
                <w:highlight w:val="none"/>
              </w:rPr>
            </w:pPr>
          </w:p>
        </w:tc>
        <w:tc>
          <w:tcPr>
            <w:tcW w:w="1277"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567" w:hRule="atLeast"/>
        </w:trPr>
        <w:tc>
          <w:tcPr>
            <w:tcW w:w="828" w:type="dxa"/>
            <w:shd w:val="clear" w:color="auto" w:fill="auto"/>
            <w:vAlign w:val="center"/>
          </w:tcPr>
          <w:p>
            <w:pPr>
              <w:jc w:val="center"/>
              <w:rPr>
                <w:rFonts w:ascii="宋体" w:hAnsi="宋体"/>
                <w:color w:val="auto"/>
                <w:highlight w:val="none"/>
              </w:rPr>
            </w:pPr>
            <w:r>
              <w:rPr>
                <w:rFonts w:hint="eastAsia" w:ascii="宋体" w:hAnsi="宋体"/>
                <w:color w:val="auto"/>
                <w:highlight w:val="none"/>
              </w:rPr>
              <w:t>1</w:t>
            </w:r>
          </w:p>
        </w:tc>
        <w:tc>
          <w:tcPr>
            <w:tcW w:w="6402" w:type="dxa"/>
            <w:shd w:val="clear" w:color="auto" w:fill="auto"/>
            <w:vAlign w:val="center"/>
          </w:tcPr>
          <w:p>
            <w:pPr>
              <w:jc w:val="left"/>
              <w:rPr>
                <w:color w:val="auto"/>
                <w:highlight w:val="none"/>
              </w:rPr>
            </w:pPr>
          </w:p>
        </w:tc>
        <w:tc>
          <w:tcPr>
            <w:tcW w:w="1274" w:type="dxa"/>
            <w:shd w:val="clear" w:color="auto" w:fill="auto"/>
            <w:vAlign w:val="center"/>
          </w:tcPr>
          <w:p>
            <w:pPr>
              <w:jc w:val="center"/>
              <w:rPr>
                <w:dstrike/>
                <w:color w:val="auto"/>
                <w:highlight w:val="none"/>
              </w:rPr>
            </w:pPr>
          </w:p>
        </w:tc>
        <w:tc>
          <w:tcPr>
            <w:tcW w:w="1273" w:type="dxa"/>
            <w:shd w:val="clear" w:color="auto" w:fill="auto"/>
            <w:vAlign w:val="center"/>
          </w:tcPr>
          <w:p>
            <w:pPr>
              <w:jc w:val="center"/>
              <w:rPr>
                <w:dstrike/>
                <w:color w:val="auto"/>
                <w:highlight w:val="none"/>
              </w:rPr>
            </w:pPr>
          </w:p>
        </w:tc>
        <w:tc>
          <w:tcPr>
            <w:tcW w:w="1274" w:type="dxa"/>
            <w:shd w:val="clear" w:color="auto" w:fill="auto"/>
            <w:vAlign w:val="center"/>
          </w:tcPr>
          <w:p>
            <w:pPr>
              <w:jc w:val="center"/>
              <w:rPr>
                <w:dstrike/>
                <w:color w:val="auto"/>
                <w:highlight w:val="none"/>
              </w:rPr>
            </w:pPr>
          </w:p>
        </w:tc>
        <w:tc>
          <w:tcPr>
            <w:tcW w:w="1273" w:type="dxa"/>
            <w:shd w:val="clear" w:color="auto" w:fill="auto"/>
            <w:vAlign w:val="center"/>
          </w:tcPr>
          <w:p>
            <w:pPr>
              <w:jc w:val="center"/>
              <w:rPr>
                <w:dstrike/>
                <w:color w:val="auto"/>
                <w:highlight w:val="none"/>
              </w:rPr>
            </w:pPr>
          </w:p>
        </w:tc>
        <w:tc>
          <w:tcPr>
            <w:tcW w:w="1277" w:type="dxa"/>
            <w:shd w:val="clear" w:color="auto" w:fill="auto"/>
            <w:vAlign w:val="center"/>
          </w:tcPr>
          <w:p>
            <w:pPr>
              <w:jc w:val="center"/>
              <w:rPr>
                <w:d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567" w:hRule="atLeast"/>
        </w:trPr>
        <w:tc>
          <w:tcPr>
            <w:tcW w:w="828" w:type="dxa"/>
            <w:shd w:val="clear" w:color="auto" w:fill="auto"/>
            <w:vAlign w:val="center"/>
          </w:tcPr>
          <w:p>
            <w:pPr>
              <w:jc w:val="center"/>
              <w:rPr>
                <w:rFonts w:ascii="宋体" w:hAnsi="宋体"/>
                <w:color w:val="auto"/>
                <w:highlight w:val="none"/>
              </w:rPr>
            </w:pPr>
            <w:r>
              <w:rPr>
                <w:rFonts w:hint="eastAsia" w:ascii="宋体" w:hAnsi="宋体"/>
                <w:color w:val="auto"/>
                <w:highlight w:val="none"/>
              </w:rPr>
              <w:t>2</w:t>
            </w:r>
          </w:p>
        </w:tc>
        <w:tc>
          <w:tcPr>
            <w:tcW w:w="6402" w:type="dxa"/>
            <w:shd w:val="clear" w:color="auto" w:fill="auto"/>
            <w:vAlign w:val="center"/>
          </w:tcPr>
          <w:p>
            <w:pPr>
              <w:jc w:val="left"/>
              <w:rPr>
                <w:color w:val="auto"/>
                <w:highlight w:val="none"/>
              </w:rPr>
            </w:pPr>
          </w:p>
        </w:tc>
        <w:tc>
          <w:tcPr>
            <w:tcW w:w="1274" w:type="dxa"/>
            <w:shd w:val="clear" w:color="auto" w:fill="auto"/>
            <w:vAlign w:val="center"/>
          </w:tcPr>
          <w:p>
            <w:pPr>
              <w:jc w:val="center"/>
              <w:rPr>
                <w:dstrike/>
                <w:color w:val="auto"/>
                <w:highlight w:val="none"/>
              </w:rPr>
            </w:pPr>
          </w:p>
        </w:tc>
        <w:tc>
          <w:tcPr>
            <w:tcW w:w="1273" w:type="dxa"/>
            <w:shd w:val="clear" w:color="auto" w:fill="auto"/>
            <w:vAlign w:val="center"/>
          </w:tcPr>
          <w:p>
            <w:pPr>
              <w:jc w:val="center"/>
              <w:rPr>
                <w:dstrike/>
                <w:color w:val="auto"/>
                <w:highlight w:val="none"/>
              </w:rPr>
            </w:pPr>
          </w:p>
        </w:tc>
        <w:tc>
          <w:tcPr>
            <w:tcW w:w="1274" w:type="dxa"/>
            <w:shd w:val="clear" w:color="auto" w:fill="auto"/>
            <w:vAlign w:val="center"/>
          </w:tcPr>
          <w:p>
            <w:pPr>
              <w:jc w:val="center"/>
              <w:rPr>
                <w:dstrike/>
                <w:color w:val="auto"/>
                <w:highlight w:val="none"/>
              </w:rPr>
            </w:pPr>
          </w:p>
        </w:tc>
        <w:tc>
          <w:tcPr>
            <w:tcW w:w="1273" w:type="dxa"/>
            <w:shd w:val="clear" w:color="auto" w:fill="auto"/>
            <w:vAlign w:val="center"/>
          </w:tcPr>
          <w:p>
            <w:pPr>
              <w:jc w:val="center"/>
              <w:rPr>
                <w:dstrike/>
                <w:color w:val="auto"/>
                <w:highlight w:val="none"/>
              </w:rPr>
            </w:pPr>
          </w:p>
        </w:tc>
        <w:tc>
          <w:tcPr>
            <w:tcW w:w="1277" w:type="dxa"/>
            <w:shd w:val="clear" w:color="auto" w:fill="auto"/>
            <w:vAlign w:val="center"/>
          </w:tcPr>
          <w:p>
            <w:pPr>
              <w:jc w:val="center"/>
              <w:rPr>
                <w:d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567" w:hRule="atLeast"/>
        </w:trPr>
        <w:tc>
          <w:tcPr>
            <w:tcW w:w="828" w:type="dxa"/>
            <w:shd w:val="clear" w:color="auto" w:fill="auto"/>
            <w:vAlign w:val="center"/>
          </w:tcPr>
          <w:p>
            <w:pPr>
              <w:jc w:val="center"/>
              <w:rPr>
                <w:rFonts w:ascii="宋体" w:hAnsi="宋体"/>
                <w:color w:val="auto"/>
                <w:highlight w:val="none"/>
              </w:rPr>
            </w:pPr>
            <w:r>
              <w:rPr>
                <w:rFonts w:hint="eastAsia" w:ascii="宋体" w:hAnsi="宋体"/>
                <w:color w:val="auto"/>
                <w:highlight w:val="none"/>
              </w:rPr>
              <w:t>3</w:t>
            </w:r>
          </w:p>
        </w:tc>
        <w:tc>
          <w:tcPr>
            <w:tcW w:w="6402" w:type="dxa"/>
            <w:shd w:val="clear" w:color="auto" w:fill="auto"/>
            <w:vAlign w:val="center"/>
          </w:tcPr>
          <w:p>
            <w:pPr>
              <w:jc w:val="left"/>
              <w:rPr>
                <w:color w:val="auto"/>
                <w:highlight w:val="none"/>
              </w:rPr>
            </w:pPr>
          </w:p>
        </w:tc>
        <w:tc>
          <w:tcPr>
            <w:tcW w:w="1274" w:type="dxa"/>
            <w:shd w:val="clear" w:color="auto" w:fill="auto"/>
            <w:vAlign w:val="center"/>
          </w:tcPr>
          <w:p>
            <w:pPr>
              <w:jc w:val="center"/>
              <w:rPr>
                <w:dstrike/>
                <w:color w:val="auto"/>
                <w:highlight w:val="none"/>
              </w:rPr>
            </w:pPr>
          </w:p>
        </w:tc>
        <w:tc>
          <w:tcPr>
            <w:tcW w:w="1273" w:type="dxa"/>
            <w:shd w:val="clear" w:color="auto" w:fill="auto"/>
            <w:vAlign w:val="center"/>
          </w:tcPr>
          <w:p>
            <w:pPr>
              <w:jc w:val="center"/>
              <w:rPr>
                <w:dstrike/>
                <w:color w:val="auto"/>
                <w:highlight w:val="none"/>
              </w:rPr>
            </w:pPr>
          </w:p>
        </w:tc>
        <w:tc>
          <w:tcPr>
            <w:tcW w:w="1274" w:type="dxa"/>
            <w:shd w:val="clear" w:color="auto" w:fill="auto"/>
            <w:vAlign w:val="center"/>
          </w:tcPr>
          <w:p>
            <w:pPr>
              <w:jc w:val="center"/>
              <w:rPr>
                <w:dstrike/>
                <w:color w:val="auto"/>
                <w:highlight w:val="none"/>
              </w:rPr>
            </w:pPr>
          </w:p>
        </w:tc>
        <w:tc>
          <w:tcPr>
            <w:tcW w:w="1273" w:type="dxa"/>
            <w:shd w:val="clear" w:color="auto" w:fill="auto"/>
            <w:vAlign w:val="center"/>
          </w:tcPr>
          <w:p>
            <w:pPr>
              <w:jc w:val="center"/>
              <w:rPr>
                <w:dstrike/>
                <w:color w:val="auto"/>
                <w:highlight w:val="none"/>
              </w:rPr>
            </w:pPr>
          </w:p>
        </w:tc>
        <w:tc>
          <w:tcPr>
            <w:tcW w:w="1277" w:type="dxa"/>
            <w:shd w:val="clear" w:color="auto" w:fill="auto"/>
            <w:vAlign w:val="center"/>
          </w:tcPr>
          <w:p>
            <w:pPr>
              <w:jc w:val="center"/>
              <w:rPr>
                <w:d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567" w:hRule="atLeast"/>
        </w:trPr>
        <w:tc>
          <w:tcPr>
            <w:tcW w:w="828" w:type="dxa"/>
            <w:shd w:val="clear" w:color="auto" w:fill="auto"/>
            <w:vAlign w:val="center"/>
          </w:tcPr>
          <w:p>
            <w:pPr>
              <w:jc w:val="center"/>
              <w:rPr>
                <w:rFonts w:ascii="宋体" w:hAnsi="宋体"/>
                <w:color w:val="auto"/>
                <w:highlight w:val="none"/>
              </w:rPr>
            </w:pPr>
            <w:r>
              <w:rPr>
                <w:rFonts w:hint="eastAsia" w:ascii="宋体" w:hAnsi="宋体"/>
                <w:color w:val="auto"/>
                <w:highlight w:val="none"/>
              </w:rPr>
              <w:t>4</w:t>
            </w:r>
          </w:p>
        </w:tc>
        <w:tc>
          <w:tcPr>
            <w:tcW w:w="6402" w:type="dxa"/>
            <w:shd w:val="clear" w:color="auto" w:fill="auto"/>
            <w:vAlign w:val="center"/>
          </w:tcPr>
          <w:p>
            <w:pPr>
              <w:jc w:val="left"/>
              <w:rPr>
                <w:color w:val="auto"/>
                <w:highlight w:val="none"/>
              </w:rPr>
            </w:pPr>
          </w:p>
        </w:tc>
        <w:tc>
          <w:tcPr>
            <w:tcW w:w="1274" w:type="dxa"/>
            <w:shd w:val="clear" w:color="auto" w:fill="auto"/>
            <w:vAlign w:val="center"/>
          </w:tcPr>
          <w:p>
            <w:pPr>
              <w:jc w:val="center"/>
              <w:rPr>
                <w:dstrike/>
                <w:color w:val="auto"/>
                <w:highlight w:val="none"/>
              </w:rPr>
            </w:pPr>
          </w:p>
        </w:tc>
        <w:tc>
          <w:tcPr>
            <w:tcW w:w="1273" w:type="dxa"/>
            <w:shd w:val="clear" w:color="auto" w:fill="auto"/>
            <w:vAlign w:val="center"/>
          </w:tcPr>
          <w:p>
            <w:pPr>
              <w:jc w:val="center"/>
              <w:rPr>
                <w:dstrike/>
                <w:color w:val="auto"/>
                <w:highlight w:val="none"/>
              </w:rPr>
            </w:pPr>
          </w:p>
        </w:tc>
        <w:tc>
          <w:tcPr>
            <w:tcW w:w="1274" w:type="dxa"/>
            <w:shd w:val="clear" w:color="auto" w:fill="auto"/>
            <w:vAlign w:val="center"/>
          </w:tcPr>
          <w:p>
            <w:pPr>
              <w:jc w:val="center"/>
              <w:rPr>
                <w:dstrike/>
                <w:color w:val="auto"/>
                <w:highlight w:val="none"/>
              </w:rPr>
            </w:pPr>
          </w:p>
        </w:tc>
        <w:tc>
          <w:tcPr>
            <w:tcW w:w="1273" w:type="dxa"/>
            <w:shd w:val="clear" w:color="auto" w:fill="auto"/>
            <w:vAlign w:val="center"/>
          </w:tcPr>
          <w:p>
            <w:pPr>
              <w:jc w:val="center"/>
              <w:rPr>
                <w:dstrike/>
                <w:color w:val="auto"/>
                <w:highlight w:val="none"/>
              </w:rPr>
            </w:pPr>
          </w:p>
        </w:tc>
        <w:tc>
          <w:tcPr>
            <w:tcW w:w="1277" w:type="dxa"/>
            <w:shd w:val="clear" w:color="auto" w:fill="auto"/>
            <w:vAlign w:val="center"/>
          </w:tcPr>
          <w:p>
            <w:pPr>
              <w:jc w:val="center"/>
              <w:rPr>
                <w:dstrike/>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642" w:hRule="atLeast"/>
        </w:trPr>
        <w:tc>
          <w:tcPr>
            <w:tcW w:w="7230" w:type="dxa"/>
            <w:gridSpan w:val="2"/>
            <w:shd w:val="clear" w:color="auto" w:fill="auto"/>
            <w:vAlign w:val="center"/>
          </w:tcPr>
          <w:p>
            <w:pPr>
              <w:jc w:val="center"/>
              <w:rPr>
                <w:color w:val="auto"/>
                <w:highlight w:val="none"/>
              </w:rPr>
            </w:pPr>
            <w:r>
              <w:rPr>
                <w:rFonts w:hint="eastAsia" w:cs="宋体"/>
                <w:color w:val="auto"/>
                <w:highlight w:val="none"/>
              </w:rPr>
              <w:t>企业信誉实力得分合计（满分</w:t>
            </w:r>
            <w:r>
              <w:rPr>
                <w:color w:val="auto"/>
                <w:highlight w:val="none"/>
                <w:u w:val="single"/>
              </w:rPr>
              <w:t>100</w:t>
            </w:r>
            <w:r>
              <w:rPr>
                <w:rFonts w:hint="eastAsia"/>
                <w:color w:val="auto"/>
                <w:highlight w:val="none"/>
                <w:u w:val="single"/>
              </w:rPr>
              <w:t>分</w:t>
            </w:r>
            <w:r>
              <w:rPr>
                <w:rFonts w:hint="eastAsia" w:cs="宋体"/>
                <w:color w:val="auto"/>
                <w:highlight w:val="none"/>
              </w:rPr>
              <w:t>）</w:t>
            </w:r>
          </w:p>
        </w:tc>
        <w:tc>
          <w:tcPr>
            <w:tcW w:w="1274" w:type="dxa"/>
            <w:shd w:val="clear" w:color="auto" w:fill="auto"/>
            <w:vAlign w:val="center"/>
          </w:tcPr>
          <w:p>
            <w:pPr>
              <w:jc w:val="center"/>
              <w:rPr>
                <w:color w:val="auto"/>
                <w:highlight w:val="none"/>
              </w:rPr>
            </w:pPr>
          </w:p>
        </w:tc>
        <w:tc>
          <w:tcPr>
            <w:tcW w:w="1273" w:type="dxa"/>
            <w:shd w:val="clear" w:color="auto" w:fill="auto"/>
            <w:vAlign w:val="center"/>
          </w:tcPr>
          <w:p>
            <w:pPr>
              <w:jc w:val="center"/>
              <w:rPr>
                <w:color w:val="auto"/>
                <w:highlight w:val="none"/>
              </w:rPr>
            </w:pPr>
          </w:p>
        </w:tc>
        <w:tc>
          <w:tcPr>
            <w:tcW w:w="1274" w:type="dxa"/>
            <w:shd w:val="clear" w:color="auto" w:fill="auto"/>
            <w:vAlign w:val="center"/>
          </w:tcPr>
          <w:p>
            <w:pPr>
              <w:jc w:val="center"/>
              <w:rPr>
                <w:color w:val="auto"/>
                <w:highlight w:val="none"/>
              </w:rPr>
            </w:pPr>
          </w:p>
        </w:tc>
        <w:tc>
          <w:tcPr>
            <w:tcW w:w="1273" w:type="dxa"/>
            <w:shd w:val="clear" w:color="auto" w:fill="auto"/>
            <w:vAlign w:val="center"/>
          </w:tcPr>
          <w:p>
            <w:pPr>
              <w:jc w:val="center"/>
              <w:rPr>
                <w:color w:val="auto"/>
                <w:highlight w:val="none"/>
              </w:rPr>
            </w:pPr>
          </w:p>
        </w:tc>
        <w:tc>
          <w:tcPr>
            <w:tcW w:w="1277"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13612" w:type="dxa"/>
            <w:gridSpan w:val="8"/>
            <w:shd w:val="clear" w:color="auto" w:fill="auto"/>
            <w:vAlign w:val="center"/>
          </w:tcPr>
          <w:p>
            <w:pPr>
              <w:jc w:val="left"/>
              <w:rPr>
                <w:color w:val="auto"/>
                <w:highlight w:val="none"/>
              </w:rPr>
            </w:pPr>
            <w:r>
              <w:rPr>
                <w:rFonts w:hint="eastAsia" w:ascii="宋体" w:hAnsi="宋体" w:cs="宋体"/>
                <w:color w:val="auto"/>
                <w:highlight w:val="none"/>
              </w:rPr>
              <w:t>企业信誉实力加权得分=综合评价分（1</w:t>
            </w:r>
            <w:r>
              <w:rPr>
                <w:rFonts w:ascii="宋体" w:hAnsi="宋体" w:cs="宋体"/>
                <w:color w:val="auto"/>
                <w:highlight w:val="none"/>
              </w:rPr>
              <w:t>00</w:t>
            </w:r>
            <w:r>
              <w:rPr>
                <w:rFonts w:hint="eastAsia" w:ascii="宋体" w:hAnsi="宋体" w:cs="宋体"/>
                <w:color w:val="auto"/>
                <w:highlight w:val="none"/>
              </w:rPr>
              <w:t>分）×企业信誉实力分分值权重</w:t>
            </w:r>
            <w:r>
              <w:rPr>
                <w:rFonts w:hint="eastAsia" w:ascii="宋体" w:hAnsi="宋体" w:cs="宋体"/>
                <w:color w:val="auto"/>
                <w:highlight w:val="none"/>
                <w:lang w:val="en-US" w:eastAsia="zh-CN"/>
              </w:rPr>
              <w:t xml:space="preserve"> </w:t>
            </w:r>
            <w:r>
              <w:rPr>
                <w:rFonts w:hint="eastAsia" w:ascii="宋体" w:hAnsi="宋体" w:cs="宋体"/>
                <w:color w:val="auto"/>
                <w:highlight w:val="none"/>
              </w:rPr>
              <w:t>%</w:t>
            </w:r>
          </w:p>
        </w:tc>
      </w:tr>
    </w:tbl>
    <w:p>
      <w:pPr>
        <w:spacing w:line="440" w:lineRule="exact"/>
        <w:rPr>
          <w:color w:val="auto"/>
          <w:highlight w:val="none"/>
        </w:rPr>
      </w:pPr>
      <w:r>
        <w:rPr>
          <w:rFonts w:hint="eastAsia" w:cs="宋体"/>
          <w:color w:val="auto"/>
          <w:highlight w:val="none"/>
        </w:rPr>
        <w:t>评标委员会评委签名：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pPr>
        <w:spacing w:line="440" w:lineRule="exact"/>
        <w:rPr>
          <w:color w:val="auto"/>
          <w:highlight w:val="none"/>
        </w:rPr>
      </w:pPr>
    </w:p>
    <w:p>
      <w:pPr>
        <w:jc w:val="left"/>
        <w:rPr>
          <w:rFonts w:hint="eastAsia" w:cs="宋体"/>
          <w:b/>
          <w:color w:val="auto"/>
          <w:highlight w:val="none"/>
        </w:rPr>
      </w:pPr>
      <w:r>
        <w:rPr>
          <w:rFonts w:hint="eastAsia" w:cs="宋体"/>
          <w:b/>
          <w:color w:val="auto"/>
          <w:highlight w:val="none"/>
        </w:rPr>
        <w:br w:type="page"/>
      </w:r>
    </w:p>
    <w:p>
      <w:pPr>
        <w:jc w:val="left"/>
        <w:rPr>
          <w:rFonts w:eastAsia="黑体"/>
          <w:color w:val="auto"/>
          <w:sz w:val="24"/>
          <w:szCs w:val="24"/>
          <w:highlight w:val="none"/>
        </w:rPr>
      </w:pPr>
      <w:r>
        <w:rPr>
          <w:rFonts w:hint="eastAsia" w:cs="宋体"/>
          <w:b/>
          <w:color w:val="auto"/>
          <w:highlight w:val="none"/>
        </w:rPr>
        <w:t>附表</w:t>
      </w:r>
      <w:r>
        <w:rPr>
          <w:b/>
          <w:color w:val="auto"/>
          <w:highlight w:val="none"/>
        </w:rPr>
        <w:t>A-9</w:t>
      </w:r>
      <w:r>
        <w:rPr>
          <w:rFonts w:hint="eastAsia" w:cs="宋体"/>
          <w:b/>
          <w:color w:val="auto"/>
          <w:highlight w:val="none"/>
        </w:rPr>
        <w:t>：评标结果汇总表</w:t>
      </w:r>
    </w:p>
    <w:p>
      <w:pPr>
        <w:jc w:val="center"/>
        <w:rPr>
          <w:color w:val="auto"/>
          <w:sz w:val="28"/>
          <w:szCs w:val="28"/>
          <w:highlight w:val="none"/>
        </w:rPr>
      </w:pPr>
      <w:r>
        <w:rPr>
          <w:rFonts w:hint="eastAsia" w:eastAsia="黑体" w:cs="黑体"/>
          <w:color w:val="auto"/>
          <w:sz w:val="28"/>
          <w:szCs w:val="28"/>
          <w:highlight w:val="none"/>
        </w:rPr>
        <w:t>评标结果汇总表</w:t>
      </w:r>
    </w:p>
    <w:p>
      <w:pPr>
        <w:spacing w:afterLines="30" w:line="440" w:lineRule="exact"/>
        <w:rPr>
          <w:color w:val="auto"/>
          <w:highlight w:val="none"/>
        </w:rPr>
      </w:pPr>
      <w:r>
        <w:rPr>
          <w:rFonts w:hint="eastAsia" w:cs="宋体"/>
          <w:color w:val="auto"/>
          <w:highlight w:val="none"/>
        </w:rPr>
        <w:t>项目名称及项目招标编号：：</w:t>
      </w:r>
      <w:r>
        <w:rPr>
          <w:color w:val="auto"/>
          <w:highlight w:val="none"/>
          <w:u w:val="single"/>
        </w:rPr>
        <w:t xml:space="preserve">                                           </w:t>
      </w:r>
      <w:r>
        <w:rPr>
          <w:rFonts w:hint="eastAsia" w:cs="宋体"/>
          <w:color w:val="auto"/>
          <w:highlight w:val="none"/>
        </w:rPr>
        <w:t>（项目名称）</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r>
        <w:rPr>
          <w:color w:val="auto"/>
          <w:sz w:val="10"/>
          <w:szCs w:val="10"/>
          <w:highlight w:val="none"/>
        </w:rPr>
        <w:t xml:space="preserve"> </w:t>
      </w:r>
    </w:p>
    <w:tbl>
      <w:tblPr>
        <w:tblStyle w:val="42"/>
        <w:tblW w:w="1455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880"/>
        <w:gridCol w:w="1078"/>
        <w:gridCol w:w="992"/>
        <w:gridCol w:w="993"/>
        <w:gridCol w:w="992"/>
        <w:gridCol w:w="1559"/>
        <w:gridCol w:w="1701"/>
        <w:gridCol w:w="1701"/>
        <w:gridCol w:w="1069"/>
        <w:gridCol w:w="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720" w:type="dxa"/>
            <w:vMerge w:val="restart"/>
            <w:shd w:val="clear" w:color="auto" w:fill="auto"/>
            <w:vAlign w:val="center"/>
          </w:tcPr>
          <w:p>
            <w:pPr>
              <w:jc w:val="center"/>
              <w:rPr>
                <w:color w:val="auto"/>
                <w:sz w:val="18"/>
                <w:szCs w:val="18"/>
                <w:highlight w:val="none"/>
              </w:rPr>
            </w:pPr>
            <w:r>
              <w:rPr>
                <w:rFonts w:hint="eastAsia" w:cs="宋体"/>
                <w:color w:val="auto"/>
                <w:sz w:val="18"/>
                <w:szCs w:val="18"/>
                <w:highlight w:val="none"/>
              </w:rPr>
              <w:t>序号</w:t>
            </w:r>
          </w:p>
        </w:tc>
        <w:tc>
          <w:tcPr>
            <w:tcW w:w="2880" w:type="dxa"/>
            <w:vMerge w:val="restart"/>
            <w:shd w:val="clear" w:color="auto" w:fill="auto"/>
            <w:vAlign w:val="center"/>
          </w:tcPr>
          <w:p>
            <w:pPr>
              <w:jc w:val="center"/>
              <w:rPr>
                <w:color w:val="auto"/>
                <w:sz w:val="18"/>
                <w:szCs w:val="18"/>
                <w:highlight w:val="none"/>
              </w:rPr>
            </w:pPr>
            <w:r>
              <w:rPr>
                <w:rFonts w:hint="eastAsia" w:cs="宋体"/>
                <w:color w:val="auto"/>
                <w:sz w:val="18"/>
                <w:szCs w:val="18"/>
                <w:highlight w:val="none"/>
              </w:rPr>
              <w:t>投标人名称</w:t>
            </w:r>
          </w:p>
        </w:tc>
        <w:tc>
          <w:tcPr>
            <w:tcW w:w="1078" w:type="dxa"/>
            <w:vMerge w:val="restart"/>
            <w:shd w:val="clear" w:color="auto" w:fill="auto"/>
            <w:vAlign w:val="center"/>
          </w:tcPr>
          <w:p>
            <w:pPr>
              <w:jc w:val="center"/>
              <w:rPr>
                <w:color w:val="auto"/>
                <w:sz w:val="18"/>
                <w:szCs w:val="18"/>
                <w:highlight w:val="none"/>
              </w:rPr>
            </w:pPr>
            <w:r>
              <w:rPr>
                <w:rFonts w:hint="eastAsia" w:cs="宋体"/>
                <w:color w:val="auto"/>
                <w:sz w:val="18"/>
                <w:szCs w:val="18"/>
                <w:highlight w:val="none"/>
              </w:rPr>
              <w:t>投标</w:t>
            </w:r>
          </w:p>
          <w:p>
            <w:pPr>
              <w:jc w:val="center"/>
              <w:rPr>
                <w:color w:val="auto"/>
                <w:sz w:val="18"/>
                <w:szCs w:val="18"/>
                <w:highlight w:val="none"/>
              </w:rPr>
            </w:pPr>
            <w:r>
              <w:rPr>
                <w:rFonts w:hint="eastAsia" w:cs="宋体"/>
                <w:color w:val="auto"/>
                <w:sz w:val="18"/>
                <w:szCs w:val="18"/>
                <w:highlight w:val="none"/>
              </w:rPr>
              <w:t>总价（元）</w:t>
            </w:r>
          </w:p>
        </w:tc>
        <w:tc>
          <w:tcPr>
            <w:tcW w:w="2977" w:type="dxa"/>
            <w:gridSpan w:val="3"/>
            <w:vMerge w:val="restart"/>
            <w:shd w:val="clear" w:color="auto" w:fill="auto"/>
            <w:vAlign w:val="center"/>
          </w:tcPr>
          <w:p>
            <w:pPr>
              <w:jc w:val="center"/>
              <w:rPr>
                <w:color w:val="auto"/>
                <w:sz w:val="18"/>
                <w:szCs w:val="18"/>
                <w:highlight w:val="none"/>
              </w:rPr>
            </w:pPr>
            <w:r>
              <w:rPr>
                <w:rFonts w:hint="eastAsia" w:cs="宋体"/>
                <w:color w:val="auto"/>
                <w:sz w:val="18"/>
                <w:szCs w:val="18"/>
                <w:highlight w:val="none"/>
              </w:rPr>
              <w:t>初步评审</w:t>
            </w:r>
          </w:p>
        </w:tc>
        <w:tc>
          <w:tcPr>
            <w:tcW w:w="6030" w:type="dxa"/>
            <w:gridSpan w:val="4"/>
            <w:shd w:val="clear" w:color="auto" w:fill="auto"/>
            <w:vAlign w:val="center"/>
          </w:tcPr>
          <w:p>
            <w:pPr>
              <w:jc w:val="center"/>
              <w:rPr>
                <w:color w:val="auto"/>
                <w:sz w:val="18"/>
                <w:szCs w:val="18"/>
                <w:highlight w:val="none"/>
              </w:rPr>
            </w:pPr>
            <w:r>
              <w:rPr>
                <w:rFonts w:hint="eastAsia" w:cs="宋体"/>
                <w:color w:val="auto"/>
                <w:sz w:val="18"/>
                <w:szCs w:val="18"/>
                <w:highlight w:val="none"/>
              </w:rPr>
              <w:t>详细评审</w:t>
            </w:r>
          </w:p>
        </w:tc>
        <w:tc>
          <w:tcPr>
            <w:tcW w:w="866" w:type="dxa"/>
            <w:vMerge w:val="restart"/>
            <w:shd w:val="clear" w:color="auto" w:fill="auto"/>
            <w:vAlign w:val="center"/>
          </w:tcPr>
          <w:p>
            <w:pPr>
              <w:jc w:val="center"/>
              <w:rPr>
                <w:color w:val="auto"/>
                <w:highlight w:val="none"/>
              </w:rPr>
            </w:pPr>
            <w:r>
              <w:rPr>
                <w:rFonts w:hint="eastAsia" w:cs="宋体"/>
                <w:color w:val="auto"/>
                <w:highlight w:val="none"/>
              </w:rPr>
              <w:t>排序（由低至高）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720" w:type="dxa"/>
            <w:vMerge w:val="continue"/>
            <w:shd w:val="clear" w:color="auto" w:fill="auto"/>
            <w:vAlign w:val="center"/>
          </w:tcPr>
          <w:p>
            <w:pPr>
              <w:jc w:val="center"/>
              <w:rPr>
                <w:rFonts w:cs="宋体"/>
                <w:color w:val="auto"/>
                <w:sz w:val="18"/>
                <w:szCs w:val="18"/>
                <w:highlight w:val="none"/>
              </w:rPr>
            </w:pPr>
          </w:p>
        </w:tc>
        <w:tc>
          <w:tcPr>
            <w:tcW w:w="2880" w:type="dxa"/>
            <w:vMerge w:val="continue"/>
            <w:shd w:val="clear" w:color="auto" w:fill="auto"/>
            <w:vAlign w:val="center"/>
          </w:tcPr>
          <w:p>
            <w:pPr>
              <w:jc w:val="center"/>
              <w:rPr>
                <w:rFonts w:cs="宋体"/>
                <w:color w:val="auto"/>
                <w:sz w:val="18"/>
                <w:szCs w:val="18"/>
                <w:highlight w:val="none"/>
              </w:rPr>
            </w:pPr>
          </w:p>
        </w:tc>
        <w:tc>
          <w:tcPr>
            <w:tcW w:w="1078" w:type="dxa"/>
            <w:vMerge w:val="continue"/>
            <w:shd w:val="clear" w:color="auto" w:fill="auto"/>
            <w:vAlign w:val="center"/>
          </w:tcPr>
          <w:p>
            <w:pPr>
              <w:jc w:val="center"/>
              <w:rPr>
                <w:rFonts w:cs="宋体"/>
                <w:color w:val="auto"/>
                <w:sz w:val="18"/>
                <w:szCs w:val="18"/>
                <w:highlight w:val="none"/>
              </w:rPr>
            </w:pPr>
          </w:p>
        </w:tc>
        <w:tc>
          <w:tcPr>
            <w:tcW w:w="2977" w:type="dxa"/>
            <w:gridSpan w:val="3"/>
            <w:vMerge w:val="continue"/>
            <w:shd w:val="clear" w:color="auto" w:fill="auto"/>
            <w:vAlign w:val="center"/>
          </w:tcPr>
          <w:p>
            <w:pPr>
              <w:jc w:val="center"/>
              <w:rPr>
                <w:rFonts w:cs="宋体"/>
                <w:color w:val="auto"/>
                <w:sz w:val="18"/>
                <w:szCs w:val="18"/>
                <w:highlight w:val="none"/>
              </w:rPr>
            </w:pPr>
          </w:p>
        </w:tc>
        <w:tc>
          <w:tcPr>
            <w:tcW w:w="1559" w:type="dxa"/>
            <w:vMerge w:val="restart"/>
            <w:shd w:val="clear" w:color="auto" w:fill="auto"/>
            <w:vAlign w:val="center"/>
          </w:tcPr>
          <w:p>
            <w:pPr>
              <w:jc w:val="center"/>
              <w:rPr>
                <w:rFonts w:cs="宋体"/>
                <w:color w:val="auto"/>
                <w:sz w:val="18"/>
                <w:szCs w:val="18"/>
                <w:highlight w:val="none"/>
              </w:rPr>
            </w:pPr>
            <w:r>
              <w:rPr>
                <w:rFonts w:hint="eastAsia" w:cs="宋体"/>
                <w:color w:val="auto"/>
                <w:sz w:val="18"/>
                <w:szCs w:val="18"/>
                <w:highlight w:val="none"/>
              </w:rPr>
              <w:t>技术标加权平均得分</w:t>
            </w:r>
          </w:p>
          <w:p>
            <w:pPr>
              <w:jc w:val="center"/>
              <w:rPr>
                <w:rFonts w:cs="宋体"/>
                <w:color w:val="auto"/>
                <w:sz w:val="18"/>
                <w:szCs w:val="18"/>
                <w:highlight w:val="none"/>
              </w:rPr>
            </w:pPr>
            <w:r>
              <w:rPr>
                <w:rFonts w:hint="eastAsia" w:cs="宋体"/>
                <w:color w:val="auto"/>
                <w:sz w:val="18"/>
                <w:szCs w:val="18"/>
                <w:highlight w:val="none"/>
              </w:rPr>
              <w:t>（满分   分）</w:t>
            </w:r>
          </w:p>
        </w:tc>
        <w:tc>
          <w:tcPr>
            <w:tcW w:w="3402" w:type="dxa"/>
            <w:gridSpan w:val="2"/>
            <w:shd w:val="clear" w:color="auto" w:fill="auto"/>
            <w:vAlign w:val="center"/>
          </w:tcPr>
          <w:p>
            <w:pPr>
              <w:jc w:val="center"/>
              <w:rPr>
                <w:rFonts w:cs="宋体"/>
                <w:color w:val="auto"/>
                <w:sz w:val="18"/>
                <w:szCs w:val="18"/>
                <w:highlight w:val="none"/>
              </w:rPr>
            </w:pPr>
            <w:r>
              <w:rPr>
                <w:rFonts w:hint="eastAsia" w:cs="宋体"/>
                <w:color w:val="auto"/>
                <w:sz w:val="18"/>
                <w:szCs w:val="18"/>
                <w:highlight w:val="none"/>
              </w:rPr>
              <w:t>商务标得分</w:t>
            </w:r>
          </w:p>
        </w:tc>
        <w:tc>
          <w:tcPr>
            <w:tcW w:w="1069" w:type="dxa"/>
            <w:vMerge w:val="restart"/>
            <w:shd w:val="clear" w:color="auto" w:fill="auto"/>
            <w:vAlign w:val="center"/>
          </w:tcPr>
          <w:p>
            <w:pPr>
              <w:jc w:val="center"/>
              <w:rPr>
                <w:rFonts w:cs="宋体"/>
                <w:color w:val="auto"/>
                <w:highlight w:val="none"/>
              </w:rPr>
            </w:pPr>
            <w:r>
              <w:rPr>
                <w:rFonts w:hint="eastAsia" w:cs="宋体"/>
                <w:color w:val="auto"/>
                <w:highlight w:val="none"/>
              </w:rPr>
              <w:t>总得分（满分100分）</w:t>
            </w:r>
          </w:p>
        </w:tc>
        <w:tc>
          <w:tcPr>
            <w:tcW w:w="866" w:type="dxa"/>
            <w:vMerge w:val="continue"/>
            <w:shd w:val="clear" w:color="auto" w:fill="auto"/>
            <w:vAlign w:val="center"/>
          </w:tcPr>
          <w:p>
            <w:pPr>
              <w:jc w:val="center"/>
              <w:rPr>
                <w:rFonts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6" w:hRule="atLeast"/>
        </w:trPr>
        <w:tc>
          <w:tcPr>
            <w:tcW w:w="720" w:type="dxa"/>
            <w:vMerge w:val="continue"/>
            <w:shd w:val="clear" w:color="auto" w:fill="auto"/>
            <w:vAlign w:val="center"/>
          </w:tcPr>
          <w:p>
            <w:pPr>
              <w:jc w:val="center"/>
              <w:rPr>
                <w:color w:val="auto"/>
                <w:sz w:val="18"/>
                <w:szCs w:val="18"/>
                <w:highlight w:val="none"/>
              </w:rPr>
            </w:pPr>
          </w:p>
        </w:tc>
        <w:tc>
          <w:tcPr>
            <w:tcW w:w="2880" w:type="dxa"/>
            <w:vMerge w:val="continue"/>
            <w:shd w:val="clear" w:color="auto" w:fill="auto"/>
            <w:vAlign w:val="center"/>
          </w:tcPr>
          <w:p>
            <w:pPr>
              <w:jc w:val="center"/>
              <w:rPr>
                <w:color w:val="auto"/>
                <w:sz w:val="18"/>
                <w:szCs w:val="18"/>
                <w:highlight w:val="none"/>
              </w:rPr>
            </w:pPr>
          </w:p>
        </w:tc>
        <w:tc>
          <w:tcPr>
            <w:tcW w:w="1078" w:type="dxa"/>
            <w:vMerge w:val="continue"/>
            <w:shd w:val="clear" w:color="auto" w:fill="auto"/>
            <w:vAlign w:val="center"/>
          </w:tcPr>
          <w:p>
            <w:pPr>
              <w:jc w:val="center"/>
              <w:rPr>
                <w:color w:val="auto"/>
                <w:sz w:val="18"/>
                <w:szCs w:val="18"/>
                <w:highlight w:val="none"/>
              </w:rPr>
            </w:pPr>
          </w:p>
        </w:tc>
        <w:tc>
          <w:tcPr>
            <w:tcW w:w="992" w:type="dxa"/>
            <w:shd w:val="clear" w:color="auto" w:fill="auto"/>
            <w:vAlign w:val="center"/>
          </w:tcPr>
          <w:p>
            <w:pPr>
              <w:jc w:val="center"/>
              <w:rPr>
                <w:color w:val="auto"/>
                <w:sz w:val="18"/>
                <w:szCs w:val="18"/>
                <w:highlight w:val="none"/>
              </w:rPr>
            </w:pPr>
            <w:r>
              <w:rPr>
                <w:rFonts w:hint="eastAsia" w:cs="宋体"/>
                <w:color w:val="auto"/>
                <w:sz w:val="18"/>
                <w:szCs w:val="18"/>
                <w:highlight w:val="none"/>
              </w:rPr>
              <w:t>资格审查是否合格</w:t>
            </w:r>
          </w:p>
        </w:tc>
        <w:tc>
          <w:tcPr>
            <w:tcW w:w="993" w:type="dxa"/>
            <w:shd w:val="clear" w:color="auto" w:fill="auto"/>
            <w:vAlign w:val="center"/>
          </w:tcPr>
          <w:p>
            <w:pPr>
              <w:jc w:val="center"/>
              <w:rPr>
                <w:color w:val="auto"/>
                <w:sz w:val="18"/>
                <w:szCs w:val="18"/>
                <w:highlight w:val="none"/>
              </w:rPr>
            </w:pPr>
            <w:r>
              <w:rPr>
                <w:rFonts w:hint="eastAsia" w:cs="宋体"/>
                <w:color w:val="auto"/>
                <w:sz w:val="18"/>
                <w:szCs w:val="18"/>
                <w:highlight w:val="none"/>
              </w:rPr>
              <w:t>形式评审是否合格</w:t>
            </w:r>
          </w:p>
        </w:tc>
        <w:tc>
          <w:tcPr>
            <w:tcW w:w="992" w:type="dxa"/>
            <w:shd w:val="clear" w:color="auto" w:fill="auto"/>
            <w:vAlign w:val="center"/>
          </w:tcPr>
          <w:p>
            <w:pPr>
              <w:jc w:val="center"/>
              <w:rPr>
                <w:color w:val="auto"/>
                <w:sz w:val="18"/>
                <w:szCs w:val="18"/>
                <w:highlight w:val="none"/>
              </w:rPr>
            </w:pPr>
            <w:r>
              <w:rPr>
                <w:rFonts w:hint="eastAsia" w:cs="宋体"/>
                <w:color w:val="auto"/>
                <w:sz w:val="18"/>
                <w:szCs w:val="18"/>
                <w:highlight w:val="none"/>
              </w:rPr>
              <w:t>响应性评审是否合格</w:t>
            </w:r>
          </w:p>
        </w:tc>
        <w:tc>
          <w:tcPr>
            <w:tcW w:w="1559" w:type="dxa"/>
            <w:vMerge w:val="continue"/>
            <w:shd w:val="clear" w:color="auto" w:fill="auto"/>
            <w:vAlign w:val="center"/>
          </w:tcPr>
          <w:p>
            <w:pPr>
              <w:jc w:val="center"/>
              <w:rPr>
                <w:color w:val="auto"/>
                <w:sz w:val="18"/>
                <w:szCs w:val="18"/>
                <w:highlight w:val="none"/>
              </w:rPr>
            </w:pPr>
          </w:p>
        </w:tc>
        <w:tc>
          <w:tcPr>
            <w:tcW w:w="1701" w:type="dxa"/>
            <w:shd w:val="clear" w:color="auto" w:fill="auto"/>
            <w:vAlign w:val="center"/>
          </w:tcPr>
          <w:p>
            <w:pPr>
              <w:jc w:val="center"/>
              <w:rPr>
                <w:rFonts w:cs="宋体"/>
                <w:color w:val="auto"/>
                <w:sz w:val="18"/>
                <w:szCs w:val="18"/>
                <w:highlight w:val="none"/>
              </w:rPr>
            </w:pPr>
            <w:r>
              <w:rPr>
                <w:rFonts w:hint="eastAsia" w:cs="宋体"/>
                <w:color w:val="auto"/>
                <w:sz w:val="18"/>
                <w:szCs w:val="18"/>
                <w:highlight w:val="none"/>
              </w:rPr>
              <w:t>报价分加权得分（满分   分）</w:t>
            </w:r>
          </w:p>
          <w:p>
            <w:pPr>
              <w:jc w:val="center"/>
              <w:rPr>
                <w:color w:val="auto"/>
                <w:sz w:val="18"/>
                <w:szCs w:val="18"/>
                <w:highlight w:val="none"/>
              </w:rPr>
            </w:pPr>
          </w:p>
        </w:tc>
        <w:tc>
          <w:tcPr>
            <w:tcW w:w="1701" w:type="dxa"/>
            <w:shd w:val="clear" w:color="auto" w:fill="auto"/>
            <w:vAlign w:val="center"/>
          </w:tcPr>
          <w:p>
            <w:pPr>
              <w:jc w:val="center"/>
              <w:rPr>
                <w:rFonts w:cs="宋体"/>
                <w:color w:val="auto"/>
                <w:sz w:val="18"/>
                <w:szCs w:val="18"/>
                <w:highlight w:val="none"/>
              </w:rPr>
            </w:pPr>
            <w:r>
              <w:rPr>
                <w:rFonts w:hint="eastAsia" w:cs="宋体"/>
                <w:color w:val="auto"/>
                <w:sz w:val="18"/>
                <w:szCs w:val="18"/>
                <w:highlight w:val="none"/>
              </w:rPr>
              <w:t>企业信誉实力加权得分</w:t>
            </w:r>
          </w:p>
          <w:p>
            <w:pPr>
              <w:jc w:val="center"/>
              <w:rPr>
                <w:color w:val="auto"/>
                <w:sz w:val="18"/>
                <w:szCs w:val="18"/>
                <w:highlight w:val="none"/>
              </w:rPr>
            </w:pPr>
            <w:r>
              <w:rPr>
                <w:rFonts w:hint="eastAsia" w:cs="宋体"/>
                <w:color w:val="auto"/>
                <w:sz w:val="18"/>
                <w:szCs w:val="18"/>
                <w:highlight w:val="none"/>
              </w:rPr>
              <w:t>（满分    分）</w:t>
            </w:r>
          </w:p>
        </w:tc>
        <w:tc>
          <w:tcPr>
            <w:tcW w:w="1069" w:type="dxa"/>
            <w:vMerge w:val="continue"/>
            <w:shd w:val="clear" w:color="auto" w:fill="auto"/>
            <w:vAlign w:val="center"/>
          </w:tcPr>
          <w:p>
            <w:pPr>
              <w:jc w:val="center"/>
              <w:rPr>
                <w:color w:val="auto"/>
                <w:highlight w:val="none"/>
              </w:rPr>
            </w:pPr>
          </w:p>
        </w:tc>
        <w:tc>
          <w:tcPr>
            <w:tcW w:w="866" w:type="dxa"/>
            <w:vMerge w:val="continue"/>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720" w:type="dxa"/>
            <w:shd w:val="clear" w:color="auto" w:fill="auto"/>
            <w:vAlign w:val="center"/>
          </w:tcPr>
          <w:p>
            <w:pPr>
              <w:jc w:val="center"/>
              <w:rPr>
                <w:rFonts w:eastAsia="黑体"/>
                <w:color w:val="auto"/>
                <w:highlight w:val="none"/>
              </w:rPr>
            </w:pPr>
            <w:r>
              <w:rPr>
                <w:rFonts w:eastAsia="黑体"/>
                <w:color w:val="auto"/>
                <w:highlight w:val="none"/>
              </w:rPr>
              <w:t>1</w:t>
            </w:r>
          </w:p>
        </w:tc>
        <w:tc>
          <w:tcPr>
            <w:tcW w:w="2880" w:type="dxa"/>
            <w:shd w:val="clear" w:color="auto" w:fill="auto"/>
            <w:vAlign w:val="center"/>
          </w:tcPr>
          <w:p>
            <w:pPr>
              <w:jc w:val="center"/>
              <w:rPr>
                <w:color w:val="auto"/>
                <w:highlight w:val="none"/>
              </w:rPr>
            </w:pPr>
          </w:p>
        </w:tc>
        <w:tc>
          <w:tcPr>
            <w:tcW w:w="1078" w:type="dxa"/>
            <w:shd w:val="clear" w:color="auto" w:fill="auto"/>
            <w:vAlign w:val="center"/>
          </w:tcPr>
          <w:p>
            <w:pPr>
              <w:jc w:val="center"/>
              <w:rPr>
                <w:color w:val="auto"/>
                <w:highlight w:val="none"/>
              </w:rPr>
            </w:pPr>
          </w:p>
        </w:tc>
        <w:tc>
          <w:tcPr>
            <w:tcW w:w="992" w:type="dxa"/>
            <w:shd w:val="clear" w:color="auto" w:fill="auto"/>
            <w:vAlign w:val="center"/>
          </w:tcPr>
          <w:p>
            <w:pPr>
              <w:jc w:val="center"/>
              <w:rPr>
                <w:color w:val="auto"/>
                <w:highlight w:val="none"/>
              </w:rPr>
            </w:pPr>
          </w:p>
        </w:tc>
        <w:tc>
          <w:tcPr>
            <w:tcW w:w="993" w:type="dxa"/>
            <w:shd w:val="clear" w:color="auto" w:fill="auto"/>
            <w:vAlign w:val="center"/>
          </w:tcPr>
          <w:p>
            <w:pPr>
              <w:jc w:val="center"/>
              <w:rPr>
                <w:color w:val="auto"/>
                <w:highlight w:val="none"/>
              </w:rPr>
            </w:pPr>
          </w:p>
        </w:tc>
        <w:tc>
          <w:tcPr>
            <w:tcW w:w="992" w:type="dxa"/>
            <w:shd w:val="clear" w:color="auto" w:fill="auto"/>
            <w:vAlign w:val="center"/>
          </w:tcPr>
          <w:p>
            <w:pPr>
              <w:jc w:val="center"/>
              <w:rPr>
                <w:color w:val="auto"/>
                <w:highlight w:val="none"/>
              </w:rPr>
            </w:pPr>
          </w:p>
        </w:tc>
        <w:tc>
          <w:tcPr>
            <w:tcW w:w="1559" w:type="dxa"/>
            <w:shd w:val="clear" w:color="auto" w:fill="auto"/>
            <w:vAlign w:val="center"/>
          </w:tcPr>
          <w:p>
            <w:pPr>
              <w:jc w:val="center"/>
              <w:rPr>
                <w:color w:val="auto"/>
                <w:highlight w:val="none"/>
              </w:rPr>
            </w:pPr>
          </w:p>
        </w:tc>
        <w:tc>
          <w:tcPr>
            <w:tcW w:w="1701" w:type="dxa"/>
            <w:shd w:val="clear" w:color="auto" w:fill="auto"/>
            <w:vAlign w:val="center"/>
          </w:tcPr>
          <w:p>
            <w:pPr>
              <w:jc w:val="center"/>
              <w:rPr>
                <w:color w:val="auto"/>
                <w:highlight w:val="none"/>
              </w:rPr>
            </w:pPr>
          </w:p>
        </w:tc>
        <w:tc>
          <w:tcPr>
            <w:tcW w:w="1701" w:type="dxa"/>
            <w:shd w:val="clear" w:color="auto" w:fill="auto"/>
            <w:vAlign w:val="center"/>
          </w:tcPr>
          <w:p>
            <w:pPr>
              <w:jc w:val="center"/>
              <w:rPr>
                <w:color w:val="auto"/>
                <w:highlight w:val="none"/>
              </w:rPr>
            </w:pPr>
          </w:p>
        </w:tc>
        <w:tc>
          <w:tcPr>
            <w:tcW w:w="1069" w:type="dxa"/>
            <w:shd w:val="clear" w:color="auto" w:fill="auto"/>
            <w:vAlign w:val="center"/>
          </w:tcPr>
          <w:p>
            <w:pPr>
              <w:jc w:val="center"/>
              <w:rPr>
                <w:color w:val="auto"/>
                <w:highlight w:val="none"/>
              </w:rPr>
            </w:pPr>
          </w:p>
        </w:tc>
        <w:tc>
          <w:tcPr>
            <w:tcW w:w="866"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720" w:type="dxa"/>
            <w:shd w:val="clear" w:color="auto" w:fill="auto"/>
            <w:vAlign w:val="center"/>
          </w:tcPr>
          <w:p>
            <w:pPr>
              <w:jc w:val="center"/>
              <w:rPr>
                <w:rFonts w:eastAsia="黑体"/>
                <w:color w:val="auto"/>
                <w:highlight w:val="none"/>
              </w:rPr>
            </w:pPr>
            <w:r>
              <w:rPr>
                <w:rFonts w:eastAsia="黑体"/>
                <w:color w:val="auto"/>
                <w:highlight w:val="none"/>
              </w:rPr>
              <w:t>2</w:t>
            </w:r>
          </w:p>
        </w:tc>
        <w:tc>
          <w:tcPr>
            <w:tcW w:w="2880" w:type="dxa"/>
            <w:shd w:val="clear" w:color="auto" w:fill="auto"/>
            <w:vAlign w:val="center"/>
          </w:tcPr>
          <w:p>
            <w:pPr>
              <w:jc w:val="center"/>
              <w:rPr>
                <w:color w:val="auto"/>
                <w:highlight w:val="none"/>
              </w:rPr>
            </w:pPr>
          </w:p>
        </w:tc>
        <w:tc>
          <w:tcPr>
            <w:tcW w:w="1078" w:type="dxa"/>
            <w:shd w:val="clear" w:color="auto" w:fill="auto"/>
            <w:vAlign w:val="center"/>
          </w:tcPr>
          <w:p>
            <w:pPr>
              <w:jc w:val="center"/>
              <w:rPr>
                <w:color w:val="auto"/>
                <w:highlight w:val="none"/>
              </w:rPr>
            </w:pPr>
          </w:p>
        </w:tc>
        <w:tc>
          <w:tcPr>
            <w:tcW w:w="992" w:type="dxa"/>
            <w:shd w:val="clear" w:color="auto" w:fill="auto"/>
            <w:vAlign w:val="center"/>
          </w:tcPr>
          <w:p>
            <w:pPr>
              <w:jc w:val="center"/>
              <w:rPr>
                <w:color w:val="auto"/>
                <w:highlight w:val="none"/>
              </w:rPr>
            </w:pPr>
          </w:p>
        </w:tc>
        <w:tc>
          <w:tcPr>
            <w:tcW w:w="993" w:type="dxa"/>
            <w:shd w:val="clear" w:color="auto" w:fill="auto"/>
            <w:vAlign w:val="center"/>
          </w:tcPr>
          <w:p>
            <w:pPr>
              <w:jc w:val="center"/>
              <w:rPr>
                <w:color w:val="auto"/>
                <w:highlight w:val="none"/>
              </w:rPr>
            </w:pPr>
          </w:p>
        </w:tc>
        <w:tc>
          <w:tcPr>
            <w:tcW w:w="992" w:type="dxa"/>
            <w:shd w:val="clear" w:color="auto" w:fill="auto"/>
            <w:vAlign w:val="center"/>
          </w:tcPr>
          <w:p>
            <w:pPr>
              <w:jc w:val="center"/>
              <w:rPr>
                <w:color w:val="auto"/>
                <w:highlight w:val="none"/>
              </w:rPr>
            </w:pPr>
          </w:p>
        </w:tc>
        <w:tc>
          <w:tcPr>
            <w:tcW w:w="1559" w:type="dxa"/>
            <w:shd w:val="clear" w:color="auto" w:fill="auto"/>
            <w:vAlign w:val="center"/>
          </w:tcPr>
          <w:p>
            <w:pPr>
              <w:jc w:val="center"/>
              <w:rPr>
                <w:color w:val="auto"/>
                <w:highlight w:val="none"/>
              </w:rPr>
            </w:pPr>
          </w:p>
        </w:tc>
        <w:tc>
          <w:tcPr>
            <w:tcW w:w="1701" w:type="dxa"/>
            <w:shd w:val="clear" w:color="auto" w:fill="auto"/>
            <w:vAlign w:val="center"/>
          </w:tcPr>
          <w:p>
            <w:pPr>
              <w:jc w:val="center"/>
              <w:rPr>
                <w:color w:val="auto"/>
                <w:highlight w:val="none"/>
              </w:rPr>
            </w:pPr>
          </w:p>
        </w:tc>
        <w:tc>
          <w:tcPr>
            <w:tcW w:w="1701" w:type="dxa"/>
            <w:shd w:val="clear" w:color="auto" w:fill="auto"/>
            <w:vAlign w:val="center"/>
          </w:tcPr>
          <w:p>
            <w:pPr>
              <w:jc w:val="center"/>
              <w:rPr>
                <w:color w:val="auto"/>
                <w:highlight w:val="none"/>
              </w:rPr>
            </w:pPr>
          </w:p>
        </w:tc>
        <w:tc>
          <w:tcPr>
            <w:tcW w:w="1069" w:type="dxa"/>
            <w:shd w:val="clear" w:color="auto" w:fill="auto"/>
            <w:vAlign w:val="center"/>
          </w:tcPr>
          <w:p>
            <w:pPr>
              <w:jc w:val="center"/>
              <w:rPr>
                <w:color w:val="auto"/>
                <w:highlight w:val="none"/>
              </w:rPr>
            </w:pPr>
          </w:p>
        </w:tc>
        <w:tc>
          <w:tcPr>
            <w:tcW w:w="866"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720" w:type="dxa"/>
            <w:shd w:val="clear" w:color="auto" w:fill="auto"/>
            <w:vAlign w:val="center"/>
          </w:tcPr>
          <w:p>
            <w:pPr>
              <w:jc w:val="center"/>
              <w:rPr>
                <w:rFonts w:eastAsia="黑体"/>
                <w:color w:val="auto"/>
                <w:highlight w:val="none"/>
              </w:rPr>
            </w:pPr>
            <w:r>
              <w:rPr>
                <w:rFonts w:eastAsia="黑体"/>
                <w:color w:val="auto"/>
                <w:highlight w:val="none"/>
              </w:rPr>
              <w:t>3</w:t>
            </w:r>
          </w:p>
        </w:tc>
        <w:tc>
          <w:tcPr>
            <w:tcW w:w="2880" w:type="dxa"/>
            <w:shd w:val="clear" w:color="auto" w:fill="auto"/>
            <w:vAlign w:val="center"/>
          </w:tcPr>
          <w:p>
            <w:pPr>
              <w:jc w:val="center"/>
              <w:rPr>
                <w:color w:val="auto"/>
                <w:highlight w:val="none"/>
              </w:rPr>
            </w:pPr>
          </w:p>
        </w:tc>
        <w:tc>
          <w:tcPr>
            <w:tcW w:w="1078" w:type="dxa"/>
            <w:shd w:val="clear" w:color="auto" w:fill="auto"/>
            <w:vAlign w:val="center"/>
          </w:tcPr>
          <w:p>
            <w:pPr>
              <w:jc w:val="center"/>
              <w:rPr>
                <w:color w:val="auto"/>
                <w:highlight w:val="none"/>
              </w:rPr>
            </w:pPr>
          </w:p>
        </w:tc>
        <w:tc>
          <w:tcPr>
            <w:tcW w:w="992" w:type="dxa"/>
            <w:shd w:val="clear" w:color="auto" w:fill="auto"/>
            <w:vAlign w:val="center"/>
          </w:tcPr>
          <w:p>
            <w:pPr>
              <w:jc w:val="center"/>
              <w:rPr>
                <w:color w:val="auto"/>
                <w:highlight w:val="none"/>
              </w:rPr>
            </w:pPr>
          </w:p>
        </w:tc>
        <w:tc>
          <w:tcPr>
            <w:tcW w:w="993" w:type="dxa"/>
            <w:shd w:val="clear" w:color="auto" w:fill="auto"/>
            <w:vAlign w:val="center"/>
          </w:tcPr>
          <w:p>
            <w:pPr>
              <w:jc w:val="center"/>
              <w:rPr>
                <w:color w:val="auto"/>
                <w:highlight w:val="none"/>
              </w:rPr>
            </w:pPr>
          </w:p>
        </w:tc>
        <w:tc>
          <w:tcPr>
            <w:tcW w:w="992" w:type="dxa"/>
            <w:shd w:val="clear" w:color="auto" w:fill="auto"/>
            <w:vAlign w:val="center"/>
          </w:tcPr>
          <w:p>
            <w:pPr>
              <w:jc w:val="center"/>
              <w:rPr>
                <w:color w:val="auto"/>
                <w:highlight w:val="none"/>
              </w:rPr>
            </w:pPr>
          </w:p>
        </w:tc>
        <w:tc>
          <w:tcPr>
            <w:tcW w:w="1559" w:type="dxa"/>
            <w:shd w:val="clear" w:color="auto" w:fill="auto"/>
            <w:vAlign w:val="center"/>
          </w:tcPr>
          <w:p>
            <w:pPr>
              <w:jc w:val="center"/>
              <w:rPr>
                <w:color w:val="auto"/>
                <w:highlight w:val="none"/>
              </w:rPr>
            </w:pPr>
          </w:p>
        </w:tc>
        <w:tc>
          <w:tcPr>
            <w:tcW w:w="1701" w:type="dxa"/>
            <w:shd w:val="clear" w:color="auto" w:fill="auto"/>
            <w:vAlign w:val="center"/>
          </w:tcPr>
          <w:p>
            <w:pPr>
              <w:jc w:val="center"/>
              <w:rPr>
                <w:color w:val="auto"/>
                <w:highlight w:val="none"/>
              </w:rPr>
            </w:pPr>
          </w:p>
        </w:tc>
        <w:tc>
          <w:tcPr>
            <w:tcW w:w="1701" w:type="dxa"/>
            <w:shd w:val="clear" w:color="auto" w:fill="auto"/>
            <w:vAlign w:val="center"/>
          </w:tcPr>
          <w:p>
            <w:pPr>
              <w:jc w:val="center"/>
              <w:rPr>
                <w:color w:val="auto"/>
                <w:highlight w:val="none"/>
              </w:rPr>
            </w:pPr>
          </w:p>
        </w:tc>
        <w:tc>
          <w:tcPr>
            <w:tcW w:w="1069" w:type="dxa"/>
            <w:shd w:val="clear" w:color="auto" w:fill="auto"/>
            <w:vAlign w:val="center"/>
          </w:tcPr>
          <w:p>
            <w:pPr>
              <w:jc w:val="center"/>
              <w:rPr>
                <w:color w:val="auto"/>
                <w:highlight w:val="none"/>
              </w:rPr>
            </w:pPr>
          </w:p>
        </w:tc>
        <w:tc>
          <w:tcPr>
            <w:tcW w:w="866"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720" w:type="dxa"/>
            <w:shd w:val="clear" w:color="auto" w:fill="auto"/>
            <w:vAlign w:val="center"/>
          </w:tcPr>
          <w:p>
            <w:pPr>
              <w:jc w:val="center"/>
              <w:rPr>
                <w:rFonts w:eastAsia="黑体"/>
                <w:color w:val="auto"/>
                <w:highlight w:val="none"/>
              </w:rPr>
            </w:pPr>
            <w:r>
              <w:rPr>
                <w:rFonts w:eastAsia="黑体"/>
                <w:color w:val="auto"/>
                <w:highlight w:val="none"/>
              </w:rPr>
              <w:t>4</w:t>
            </w:r>
          </w:p>
        </w:tc>
        <w:tc>
          <w:tcPr>
            <w:tcW w:w="2880" w:type="dxa"/>
            <w:shd w:val="clear" w:color="auto" w:fill="auto"/>
            <w:vAlign w:val="center"/>
          </w:tcPr>
          <w:p>
            <w:pPr>
              <w:jc w:val="center"/>
              <w:rPr>
                <w:color w:val="auto"/>
                <w:highlight w:val="none"/>
              </w:rPr>
            </w:pPr>
          </w:p>
        </w:tc>
        <w:tc>
          <w:tcPr>
            <w:tcW w:w="1078" w:type="dxa"/>
            <w:shd w:val="clear" w:color="auto" w:fill="auto"/>
            <w:vAlign w:val="center"/>
          </w:tcPr>
          <w:p>
            <w:pPr>
              <w:jc w:val="center"/>
              <w:rPr>
                <w:color w:val="auto"/>
                <w:highlight w:val="none"/>
              </w:rPr>
            </w:pPr>
          </w:p>
        </w:tc>
        <w:tc>
          <w:tcPr>
            <w:tcW w:w="992" w:type="dxa"/>
            <w:shd w:val="clear" w:color="auto" w:fill="auto"/>
            <w:vAlign w:val="center"/>
          </w:tcPr>
          <w:p>
            <w:pPr>
              <w:jc w:val="center"/>
              <w:rPr>
                <w:color w:val="auto"/>
                <w:highlight w:val="none"/>
              </w:rPr>
            </w:pPr>
          </w:p>
        </w:tc>
        <w:tc>
          <w:tcPr>
            <w:tcW w:w="993" w:type="dxa"/>
            <w:shd w:val="clear" w:color="auto" w:fill="auto"/>
            <w:vAlign w:val="center"/>
          </w:tcPr>
          <w:p>
            <w:pPr>
              <w:jc w:val="center"/>
              <w:rPr>
                <w:color w:val="auto"/>
                <w:highlight w:val="none"/>
              </w:rPr>
            </w:pPr>
          </w:p>
        </w:tc>
        <w:tc>
          <w:tcPr>
            <w:tcW w:w="992" w:type="dxa"/>
            <w:shd w:val="clear" w:color="auto" w:fill="auto"/>
            <w:vAlign w:val="center"/>
          </w:tcPr>
          <w:p>
            <w:pPr>
              <w:jc w:val="center"/>
              <w:rPr>
                <w:color w:val="auto"/>
                <w:highlight w:val="none"/>
              </w:rPr>
            </w:pPr>
          </w:p>
        </w:tc>
        <w:tc>
          <w:tcPr>
            <w:tcW w:w="1559" w:type="dxa"/>
            <w:shd w:val="clear" w:color="auto" w:fill="auto"/>
            <w:vAlign w:val="center"/>
          </w:tcPr>
          <w:p>
            <w:pPr>
              <w:jc w:val="center"/>
              <w:rPr>
                <w:color w:val="auto"/>
                <w:highlight w:val="none"/>
              </w:rPr>
            </w:pPr>
          </w:p>
        </w:tc>
        <w:tc>
          <w:tcPr>
            <w:tcW w:w="1701" w:type="dxa"/>
            <w:shd w:val="clear" w:color="auto" w:fill="auto"/>
            <w:vAlign w:val="center"/>
          </w:tcPr>
          <w:p>
            <w:pPr>
              <w:jc w:val="center"/>
              <w:rPr>
                <w:color w:val="auto"/>
                <w:highlight w:val="none"/>
              </w:rPr>
            </w:pPr>
          </w:p>
        </w:tc>
        <w:tc>
          <w:tcPr>
            <w:tcW w:w="1701" w:type="dxa"/>
            <w:shd w:val="clear" w:color="auto" w:fill="auto"/>
            <w:vAlign w:val="center"/>
          </w:tcPr>
          <w:p>
            <w:pPr>
              <w:jc w:val="center"/>
              <w:rPr>
                <w:color w:val="auto"/>
                <w:highlight w:val="none"/>
              </w:rPr>
            </w:pPr>
          </w:p>
        </w:tc>
        <w:tc>
          <w:tcPr>
            <w:tcW w:w="1069" w:type="dxa"/>
            <w:shd w:val="clear" w:color="auto" w:fill="auto"/>
            <w:vAlign w:val="center"/>
          </w:tcPr>
          <w:p>
            <w:pPr>
              <w:jc w:val="center"/>
              <w:rPr>
                <w:color w:val="auto"/>
                <w:highlight w:val="none"/>
              </w:rPr>
            </w:pPr>
          </w:p>
        </w:tc>
        <w:tc>
          <w:tcPr>
            <w:tcW w:w="866"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720" w:type="dxa"/>
            <w:shd w:val="clear" w:color="auto" w:fill="auto"/>
            <w:vAlign w:val="center"/>
          </w:tcPr>
          <w:p>
            <w:pPr>
              <w:jc w:val="center"/>
              <w:rPr>
                <w:rFonts w:eastAsia="黑体"/>
                <w:color w:val="auto"/>
                <w:highlight w:val="none"/>
              </w:rPr>
            </w:pPr>
            <w:r>
              <w:rPr>
                <w:rFonts w:eastAsia="黑体"/>
                <w:color w:val="auto"/>
                <w:highlight w:val="none"/>
              </w:rPr>
              <w:t>5</w:t>
            </w:r>
          </w:p>
        </w:tc>
        <w:tc>
          <w:tcPr>
            <w:tcW w:w="2880" w:type="dxa"/>
            <w:shd w:val="clear" w:color="auto" w:fill="auto"/>
            <w:vAlign w:val="center"/>
          </w:tcPr>
          <w:p>
            <w:pPr>
              <w:jc w:val="center"/>
              <w:rPr>
                <w:color w:val="auto"/>
                <w:highlight w:val="none"/>
              </w:rPr>
            </w:pPr>
          </w:p>
        </w:tc>
        <w:tc>
          <w:tcPr>
            <w:tcW w:w="1078" w:type="dxa"/>
            <w:shd w:val="clear" w:color="auto" w:fill="auto"/>
            <w:vAlign w:val="center"/>
          </w:tcPr>
          <w:p>
            <w:pPr>
              <w:jc w:val="center"/>
              <w:rPr>
                <w:color w:val="auto"/>
                <w:highlight w:val="none"/>
              </w:rPr>
            </w:pPr>
          </w:p>
        </w:tc>
        <w:tc>
          <w:tcPr>
            <w:tcW w:w="992" w:type="dxa"/>
            <w:shd w:val="clear" w:color="auto" w:fill="auto"/>
            <w:vAlign w:val="center"/>
          </w:tcPr>
          <w:p>
            <w:pPr>
              <w:jc w:val="center"/>
              <w:rPr>
                <w:color w:val="auto"/>
                <w:highlight w:val="none"/>
              </w:rPr>
            </w:pPr>
          </w:p>
        </w:tc>
        <w:tc>
          <w:tcPr>
            <w:tcW w:w="993" w:type="dxa"/>
            <w:shd w:val="clear" w:color="auto" w:fill="auto"/>
            <w:vAlign w:val="center"/>
          </w:tcPr>
          <w:p>
            <w:pPr>
              <w:jc w:val="center"/>
              <w:rPr>
                <w:color w:val="auto"/>
                <w:highlight w:val="none"/>
              </w:rPr>
            </w:pPr>
          </w:p>
        </w:tc>
        <w:tc>
          <w:tcPr>
            <w:tcW w:w="992" w:type="dxa"/>
            <w:shd w:val="clear" w:color="auto" w:fill="auto"/>
            <w:vAlign w:val="center"/>
          </w:tcPr>
          <w:p>
            <w:pPr>
              <w:jc w:val="center"/>
              <w:rPr>
                <w:color w:val="auto"/>
                <w:highlight w:val="none"/>
              </w:rPr>
            </w:pPr>
          </w:p>
        </w:tc>
        <w:tc>
          <w:tcPr>
            <w:tcW w:w="1559" w:type="dxa"/>
            <w:shd w:val="clear" w:color="auto" w:fill="auto"/>
            <w:vAlign w:val="center"/>
          </w:tcPr>
          <w:p>
            <w:pPr>
              <w:jc w:val="center"/>
              <w:rPr>
                <w:color w:val="auto"/>
                <w:highlight w:val="none"/>
              </w:rPr>
            </w:pPr>
          </w:p>
        </w:tc>
        <w:tc>
          <w:tcPr>
            <w:tcW w:w="1701" w:type="dxa"/>
            <w:shd w:val="clear" w:color="auto" w:fill="auto"/>
            <w:vAlign w:val="center"/>
          </w:tcPr>
          <w:p>
            <w:pPr>
              <w:jc w:val="center"/>
              <w:rPr>
                <w:color w:val="auto"/>
                <w:highlight w:val="none"/>
              </w:rPr>
            </w:pPr>
          </w:p>
        </w:tc>
        <w:tc>
          <w:tcPr>
            <w:tcW w:w="1701" w:type="dxa"/>
            <w:shd w:val="clear" w:color="auto" w:fill="auto"/>
            <w:vAlign w:val="center"/>
          </w:tcPr>
          <w:p>
            <w:pPr>
              <w:jc w:val="center"/>
              <w:rPr>
                <w:color w:val="auto"/>
                <w:highlight w:val="none"/>
              </w:rPr>
            </w:pPr>
          </w:p>
        </w:tc>
        <w:tc>
          <w:tcPr>
            <w:tcW w:w="1069" w:type="dxa"/>
            <w:shd w:val="clear" w:color="auto" w:fill="auto"/>
            <w:vAlign w:val="center"/>
          </w:tcPr>
          <w:p>
            <w:pPr>
              <w:jc w:val="center"/>
              <w:rPr>
                <w:color w:val="auto"/>
                <w:highlight w:val="none"/>
              </w:rPr>
            </w:pPr>
          </w:p>
        </w:tc>
        <w:tc>
          <w:tcPr>
            <w:tcW w:w="866"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720" w:type="dxa"/>
            <w:shd w:val="clear" w:color="auto" w:fill="auto"/>
            <w:vAlign w:val="center"/>
          </w:tcPr>
          <w:p>
            <w:pPr>
              <w:jc w:val="center"/>
              <w:rPr>
                <w:rFonts w:eastAsia="黑体"/>
                <w:color w:val="auto"/>
                <w:highlight w:val="none"/>
              </w:rPr>
            </w:pPr>
            <w:r>
              <w:rPr>
                <w:rFonts w:eastAsia="黑体"/>
                <w:color w:val="auto"/>
                <w:highlight w:val="none"/>
              </w:rPr>
              <w:t>6</w:t>
            </w:r>
          </w:p>
        </w:tc>
        <w:tc>
          <w:tcPr>
            <w:tcW w:w="2880" w:type="dxa"/>
            <w:shd w:val="clear" w:color="auto" w:fill="auto"/>
            <w:vAlign w:val="center"/>
          </w:tcPr>
          <w:p>
            <w:pPr>
              <w:jc w:val="center"/>
              <w:rPr>
                <w:color w:val="auto"/>
                <w:highlight w:val="none"/>
              </w:rPr>
            </w:pPr>
          </w:p>
        </w:tc>
        <w:tc>
          <w:tcPr>
            <w:tcW w:w="1078" w:type="dxa"/>
            <w:shd w:val="clear" w:color="auto" w:fill="auto"/>
            <w:vAlign w:val="center"/>
          </w:tcPr>
          <w:p>
            <w:pPr>
              <w:jc w:val="center"/>
              <w:rPr>
                <w:color w:val="auto"/>
                <w:highlight w:val="none"/>
              </w:rPr>
            </w:pPr>
          </w:p>
        </w:tc>
        <w:tc>
          <w:tcPr>
            <w:tcW w:w="992" w:type="dxa"/>
            <w:shd w:val="clear" w:color="auto" w:fill="auto"/>
            <w:vAlign w:val="center"/>
          </w:tcPr>
          <w:p>
            <w:pPr>
              <w:jc w:val="center"/>
              <w:rPr>
                <w:color w:val="auto"/>
                <w:highlight w:val="none"/>
              </w:rPr>
            </w:pPr>
          </w:p>
        </w:tc>
        <w:tc>
          <w:tcPr>
            <w:tcW w:w="993" w:type="dxa"/>
            <w:shd w:val="clear" w:color="auto" w:fill="auto"/>
            <w:vAlign w:val="center"/>
          </w:tcPr>
          <w:p>
            <w:pPr>
              <w:jc w:val="center"/>
              <w:rPr>
                <w:color w:val="auto"/>
                <w:highlight w:val="none"/>
              </w:rPr>
            </w:pPr>
          </w:p>
        </w:tc>
        <w:tc>
          <w:tcPr>
            <w:tcW w:w="992" w:type="dxa"/>
            <w:shd w:val="clear" w:color="auto" w:fill="auto"/>
            <w:vAlign w:val="center"/>
          </w:tcPr>
          <w:p>
            <w:pPr>
              <w:jc w:val="center"/>
              <w:rPr>
                <w:color w:val="auto"/>
                <w:highlight w:val="none"/>
              </w:rPr>
            </w:pPr>
          </w:p>
        </w:tc>
        <w:tc>
          <w:tcPr>
            <w:tcW w:w="1559" w:type="dxa"/>
            <w:shd w:val="clear" w:color="auto" w:fill="auto"/>
            <w:vAlign w:val="center"/>
          </w:tcPr>
          <w:p>
            <w:pPr>
              <w:jc w:val="center"/>
              <w:rPr>
                <w:color w:val="auto"/>
                <w:highlight w:val="none"/>
              </w:rPr>
            </w:pPr>
          </w:p>
        </w:tc>
        <w:tc>
          <w:tcPr>
            <w:tcW w:w="1701" w:type="dxa"/>
            <w:shd w:val="clear" w:color="auto" w:fill="auto"/>
            <w:vAlign w:val="center"/>
          </w:tcPr>
          <w:p>
            <w:pPr>
              <w:jc w:val="center"/>
              <w:rPr>
                <w:color w:val="auto"/>
                <w:highlight w:val="none"/>
              </w:rPr>
            </w:pPr>
          </w:p>
        </w:tc>
        <w:tc>
          <w:tcPr>
            <w:tcW w:w="1701" w:type="dxa"/>
            <w:shd w:val="clear" w:color="auto" w:fill="auto"/>
            <w:vAlign w:val="center"/>
          </w:tcPr>
          <w:p>
            <w:pPr>
              <w:jc w:val="center"/>
              <w:rPr>
                <w:color w:val="auto"/>
                <w:highlight w:val="none"/>
              </w:rPr>
            </w:pPr>
          </w:p>
        </w:tc>
        <w:tc>
          <w:tcPr>
            <w:tcW w:w="1069" w:type="dxa"/>
            <w:shd w:val="clear" w:color="auto" w:fill="auto"/>
            <w:vAlign w:val="center"/>
          </w:tcPr>
          <w:p>
            <w:pPr>
              <w:jc w:val="center"/>
              <w:rPr>
                <w:color w:val="auto"/>
                <w:highlight w:val="none"/>
              </w:rPr>
            </w:pPr>
          </w:p>
        </w:tc>
        <w:tc>
          <w:tcPr>
            <w:tcW w:w="866"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720" w:type="dxa"/>
            <w:shd w:val="clear" w:color="auto" w:fill="auto"/>
            <w:vAlign w:val="center"/>
          </w:tcPr>
          <w:p>
            <w:pPr>
              <w:jc w:val="center"/>
              <w:rPr>
                <w:rFonts w:eastAsia="黑体"/>
                <w:color w:val="auto"/>
                <w:highlight w:val="none"/>
              </w:rPr>
            </w:pPr>
            <w:r>
              <w:rPr>
                <w:rFonts w:eastAsia="黑体"/>
                <w:color w:val="auto"/>
                <w:highlight w:val="none"/>
              </w:rPr>
              <w:t>7</w:t>
            </w:r>
          </w:p>
        </w:tc>
        <w:tc>
          <w:tcPr>
            <w:tcW w:w="2880" w:type="dxa"/>
            <w:shd w:val="clear" w:color="auto" w:fill="auto"/>
            <w:vAlign w:val="center"/>
          </w:tcPr>
          <w:p>
            <w:pPr>
              <w:jc w:val="center"/>
              <w:rPr>
                <w:color w:val="auto"/>
                <w:highlight w:val="none"/>
              </w:rPr>
            </w:pPr>
          </w:p>
        </w:tc>
        <w:tc>
          <w:tcPr>
            <w:tcW w:w="1078" w:type="dxa"/>
            <w:shd w:val="clear" w:color="auto" w:fill="auto"/>
            <w:vAlign w:val="center"/>
          </w:tcPr>
          <w:p>
            <w:pPr>
              <w:jc w:val="center"/>
              <w:rPr>
                <w:color w:val="auto"/>
                <w:highlight w:val="none"/>
              </w:rPr>
            </w:pPr>
          </w:p>
        </w:tc>
        <w:tc>
          <w:tcPr>
            <w:tcW w:w="992" w:type="dxa"/>
            <w:shd w:val="clear" w:color="auto" w:fill="auto"/>
            <w:vAlign w:val="center"/>
          </w:tcPr>
          <w:p>
            <w:pPr>
              <w:jc w:val="center"/>
              <w:rPr>
                <w:color w:val="auto"/>
                <w:highlight w:val="none"/>
              </w:rPr>
            </w:pPr>
          </w:p>
        </w:tc>
        <w:tc>
          <w:tcPr>
            <w:tcW w:w="993" w:type="dxa"/>
            <w:shd w:val="clear" w:color="auto" w:fill="auto"/>
            <w:vAlign w:val="center"/>
          </w:tcPr>
          <w:p>
            <w:pPr>
              <w:jc w:val="center"/>
              <w:rPr>
                <w:color w:val="auto"/>
                <w:highlight w:val="none"/>
              </w:rPr>
            </w:pPr>
          </w:p>
        </w:tc>
        <w:tc>
          <w:tcPr>
            <w:tcW w:w="992" w:type="dxa"/>
            <w:shd w:val="clear" w:color="auto" w:fill="auto"/>
            <w:vAlign w:val="center"/>
          </w:tcPr>
          <w:p>
            <w:pPr>
              <w:jc w:val="center"/>
              <w:rPr>
                <w:color w:val="auto"/>
                <w:highlight w:val="none"/>
              </w:rPr>
            </w:pPr>
          </w:p>
        </w:tc>
        <w:tc>
          <w:tcPr>
            <w:tcW w:w="1559" w:type="dxa"/>
            <w:shd w:val="clear" w:color="auto" w:fill="auto"/>
            <w:vAlign w:val="center"/>
          </w:tcPr>
          <w:p>
            <w:pPr>
              <w:jc w:val="center"/>
              <w:rPr>
                <w:color w:val="auto"/>
                <w:highlight w:val="none"/>
              </w:rPr>
            </w:pPr>
          </w:p>
        </w:tc>
        <w:tc>
          <w:tcPr>
            <w:tcW w:w="1701" w:type="dxa"/>
            <w:shd w:val="clear" w:color="auto" w:fill="auto"/>
            <w:vAlign w:val="center"/>
          </w:tcPr>
          <w:p>
            <w:pPr>
              <w:jc w:val="center"/>
              <w:rPr>
                <w:color w:val="auto"/>
                <w:highlight w:val="none"/>
              </w:rPr>
            </w:pPr>
          </w:p>
        </w:tc>
        <w:tc>
          <w:tcPr>
            <w:tcW w:w="1701" w:type="dxa"/>
            <w:shd w:val="clear" w:color="auto" w:fill="auto"/>
            <w:vAlign w:val="center"/>
          </w:tcPr>
          <w:p>
            <w:pPr>
              <w:jc w:val="center"/>
              <w:rPr>
                <w:color w:val="auto"/>
                <w:highlight w:val="none"/>
              </w:rPr>
            </w:pPr>
          </w:p>
        </w:tc>
        <w:tc>
          <w:tcPr>
            <w:tcW w:w="1069" w:type="dxa"/>
            <w:shd w:val="clear" w:color="auto" w:fill="auto"/>
            <w:vAlign w:val="center"/>
          </w:tcPr>
          <w:p>
            <w:pPr>
              <w:jc w:val="center"/>
              <w:rPr>
                <w:color w:val="auto"/>
                <w:highlight w:val="none"/>
              </w:rPr>
            </w:pPr>
          </w:p>
        </w:tc>
        <w:tc>
          <w:tcPr>
            <w:tcW w:w="866"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trPr>
        <w:tc>
          <w:tcPr>
            <w:tcW w:w="3600" w:type="dxa"/>
            <w:gridSpan w:val="2"/>
            <w:vMerge w:val="restart"/>
            <w:shd w:val="clear" w:color="auto" w:fill="auto"/>
            <w:vAlign w:val="center"/>
          </w:tcPr>
          <w:p>
            <w:pPr>
              <w:rPr>
                <w:color w:val="auto"/>
                <w:highlight w:val="none"/>
              </w:rPr>
            </w:pPr>
            <w:r>
              <w:rPr>
                <w:rFonts w:hint="eastAsia" w:cs="宋体"/>
                <w:color w:val="auto"/>
                <w:highlight w:val="none"/>
              </w:rPr>
              <w:t>最终推荐的中标候选人及其排序</w:t>
            </w:r>
          </w:p>
        </w:tc>
        <w:tc>
          <w:tcPr>
            <w:tcW w:w="10951" w:type="dxa"/>
            <w:gridSpan w:val="9"/>
            <w:shd w:val="clear" w:color="auto" w:fill="auto"/>
            <w:vAlign w:val="center"/>
          </w:tcPr>
          <w:p>
            <w:pPr>
              <w:rPr>
                <w:color w:val="auto"/>
                <w:highlight w:val="none"/>
              </w:rPr>
            </w:pPr>
            <w:r>
              <w:rPr>
                <w:rFonts w:hint="eastAsia" w:cs="宋体"/>
                <w:color w:val="auto"/>
                <w:highlight w:val="none"/>
              </w:rPr>
              <w:t>第一名：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trPr>
        <w:tc>
          <w:tcPr>
            <w:tcW w:w="3600" w:type="dxa"/>
            <w:gridSpan w:val="2"/>
            <w:vMerge w:val="continue"/>
            <w:shd w:val="clear" w:color="auto" w:fill="auto"/>
            <w:vAlign w:val="center"/>
          </w:tcPr>
          <w:p>
            <w:pPr>
              <w:jc w:val="center"/>
              <w:rPr>
                <w:color w:val="auto"/>
                <w:highlight w:val="none"/>
              </w:rPr>
            </w:pPr>
          </w:p>
        </w:tc>
        <w:tc>
          <w:tcPr>
            <w:tcW w:w="10951" w:type="dxa"/>
            <w:gridSpan w:val="9"/>
            <w:shd w:val="clear" w:color="auto" w:fill="auto"/>
            <w:vAlign w:val="center"/>
          </w:tcPr>
          <w:p>
            <w:pPr>
              <w:rPr>
                <w:color w:val="auto"/>
                <w:highlight w:val="none"/>
              </w:rPr>
            </w:pPr>
            <w:r>
              <w:rPr>
                <w:rFonts w:hint="eastAsia" w:cs="宋体"/>
                <w:color w:val="auto"/>
                <w:highlight w:val="none"/>
              </w:rPr>
              <w:t>第二名：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3600" w:type="dxa"/>
            <w:gridSpan w:val="2"/>
            <w:vMerge w:val="continue"/>
            <w:shd w:val="clear" w:color="auto" w:fill="auto"/>
            <w:vAlign w:val="center"/>
          </w:tcPr>
          <w:p>
            <w:pPr>
              <w:jc w:val="center"/>
              <w:rPr>
                <w:color w:val="auto"/>
                <w:highlight w:val="none"/>
              </w:rPr>
            </w:pPr>
          </w:p>
        </w:tc>
        <w:tc>
          <w:tcPr>
            <w:tcW w:w="10951" w:type="dxa"/>
            <w:gridSpan w:val="9"/>
            <w:shd w:val="clear" w:color="auto" w:fill="auto"/>
            <w:vAlign w:val="center"/>
          </w:tcPr>
          <w:p>
            <w:pPr>
              <w:rPr>
                <w:color w:val="auto"/>
                <w:highlight w:val="none"/>
              </w:rPr>
            </w:pPr>
            <w:r>
              <w:rPr>
                <w:rFonts w:hint="eastAsia" w:cs="宋体"/>
                <w:color w:val="auto"/>
                <w:highlight w:val="none"/>
              </w:rPr>
              <w:t>第三名：</w:t>
            </w:r>
          </w:p>
        </w:tc>
      </w:tr>
    </w:tbl>
    <w:p>
      <w:pPr>
        <w:rPr>
          <w:color w:val="auto"/>
          <w:highlight w:val="none"/>
        </w:rPr>
      </w:pPr>
      <w:r>
        <w:rPr>
          <w:rFonts w:hint="eastAsia" w:eastAsia="楷体_GB2312" w:cs="楷体_GB2312"/>
          <w:color w:val="auto"/>
          <w:highlight w:val="none"/>
        </w:rPr>
        <w:t>【备注：本表可根据第二章投标人须知确定的中标候选人推荐数量等实际情况进行调整】</w:t>
      </w:r>
    </w:p>
    <w:p>
      <w:pPr>
        <w:rPr>
          <w:color w:val="auto"/>
          <w:highlight w:val="none"/>
        </w:rPr>
      </w:pPr>
      <w:r>
        <w:rPr>
          <w:rFonts w:hint="eastAsia" w:cs="宋体"/>
          <w:color w:val="auto"/>
          <w:highlight w:val="none"/>
        </w:rPr>
        <w:t>评标委员会全体成员签名：</w:t>
      </w:r>
      <w:r>
        <w:rPr>
          <w:color w:val="auto"/>
          <w:highlight w:val="none"/>
        </w:rPr>
        <w:t xml:space="preserve">  </w:t>
      </w:r>
    </w:p>
    <w:p>
      <w:pPr>
        <w:spacing w:line="480" w:lineRule="auto"/>
        <w:rPr>
          <w:color w:val="auto"/>
          <w:highlight w:val="none"/>
        </w:rPr>
        <w:sectPr>
          <w:pgSz w:w="16840" w:h="11907" w:orient="landscape"/>
          <w:pgMar w:top="1440" w:right="1440" w:bottom="1440" w:left="1797" w:header="851" w:footer="851" w:gutter="0"/>
          <w:cols w:space="720" w:num="1"/>
          <w:docGrid w:linePitch="312" w:charSpace="0"/>
        </w:sectPr>
      </w:pPr>
    </w:p>
    <w:bookmarkEnd w:id="315"/>
    <w:p>
      <w:pPr>
        <w:pStyle w:val="3"/>
        <w:jc w:val="center"/>
        <w:rPr>
          <w:rFonts w:cs="黑体"/>
          <w:color w:val="auto"/>
          <w:highlight w:val="none"/>
        </w:rPr>
      </w:pPr>
      <w:bookmarkStart w:id="413" w:name="_Toc66186394"/>
      <w:bookmarkStart w:id="414" w:name="_Toc407135190"/>
      <w:bookmarkStart w:id="415" w:name="_Toc12904"/>
      <w:bookmarkStart w:id="416" w:name="_Toc358476596"/>
      <w:r>
        <w:rPr>
          <w:rFonts w:hint="eastAsia" w:cs="黑体"/>
          <w:color w:val="auto"/>
          <w:highlight w:val="none"/>
        </w:rPr>
        <w:t>第四章</w:t>
      </w:r>
      <w:r>
        <w:rPr>
          <w:rFonts w:cs="黑体"/>
          <w:color w:val="auto"/>
          <w:highlight w:val="none"/>
        </w:rPr>
        <w:t xml:space="preserve">  </w:t>
      </w:r>
      <w:r>
        <w:rPr>
          <w:rFonts w:hint="eastAsia" w:cs="黑体"/>
          <w:color w:val="auto"/>
          <w:highlight w:val="none"/>
        </w:rPr>
        <w:t>合同条款及格式</w:t>
      </w:r>
      <w:bookmarkEnd w:id="413"/>
      <w:bookmarkEnd w:id="414"/>
      <w:bookmarkEnd w:id="415"/>
    </w:p>
    <w:bookmarkEnd w:id="416"/>
    <w:p>
      <w:pPr>
        <w:pStyle w:val="3"/>
        <w:jc w:val="center"/>
        <w:rPr>
          <w:color w:val="auto"/>
          <w:highlight w:val="none"/>
        </w:rPr>
      </w:pPr>
      <w:bookmarkStart w:id="417" w:name="_Toc373227552"/>
      <w:bookmarkStart w:id="418" w:name="_Toc66186395"/>
      <w:bookmarkStart w:id="419" w:name="_Toc389065255"/>
      <w:bookmarkStart w:id="420" w:name="_Toc407135191"/>
      <w:bookmarkStart w:id="421" w:name="_Toc17122"/>
      <w:bookmarkStart w:id="422" w:name="_Toc373478199"/>
      <w:bookmarkStart w:id="423" w:name="_Toc351203480"/>
      <w:bookmarkStart w:id="424" w:name="_Toc296890982"/>
      <w:bookmarkStart w:id="425" w:name="_Toc296503025"/>
      <w:r>
        <w:rPr>
          <w:rFonts w:hint="eastAsia" w:cs="黑体"/>
          <w:color w:val="auto"/>
          <w:highlight w:val="none"/>
        </w:rPr>
        <w:t>第一部分</w:t>
      </w:r>
      <w:r>
        <w:rPr>
          <w:color w:val="auto"/>
          <w:highlight w:val="none"/>
        </w:rPr>
        <w:t xml:space="preserve"> </w:t>
      </w:r>
      <w:r>
        <w:rPr>
          <w:rFonts w:hint="eastAsia" w:cs="黑体"/>
          <w:color w:val="auto"/>
          <w:highlight w:val="none"/>
        </w:rPr>
        <w:t>合同协议书</w:t>
      </w:r>
      <w:bookmarkEnd w:id="417"/>
      <w:bookmarkEnd w:id="418"/>
      <w:bookmarkEnd w:id="419"/>
      <w:bookmarkEnd w:id="420"/>
      <w:bookmarkEnd w:id="421"/>
      <w:bookmarkEnd w:id="422"/>
      <w:bookmarkEnd w:id="423"/>
      <w:bookmarkEnd w:id="424"/>
      <w:bookmarkEnd w:id="425"/>
    </w:p>
    <w:p>
      <w:pPr>
        <w:spacing w:line="360" w:lineRule="auto"/>
        <w:rPr>
          <w:color w:val="auto"/>
          <w:highlight w:val="none"/>
          <w:u w:val="single"/>
        </w:rPr>
      </w:pPr>
      <w:r>
        <w:rPr>
          <w:rFonts w:hint="eastAsia" w:hAnsi="宋体" w:cs="宋体"/>
          <w:color w:val="auto"/>
          <w:highlight w:val="none"/>
        </w:rPr>
        <w:t>发包人（全称）：</w:t>
      </w:r>
      <w:r>
        <w:rPr>
          <w:rFonts w:hint="eastAsia" w:hAnsi="宋体"/>
          <w:color w:val="auto"/>
          <w:highlight w:val="none"/>
          <w:u w:val="single"/>
        </w:rPr>
        <w:t>广西医科大学</w:t>
      </w:r>
    </w:p>
    <w:p>
      <w:pPr>
        <w:spacing w:line="360" w:lineRule="auto"/>
        <w:rPr>
          <w:color w:val="auto"/>
          <w:highlight w:val="none"/>
          <w:u w:val="single"/>
        </w:rPr>
      </w:pPr>
      <w:r>
        <w:rPr>
          <w:rFonts w:hint="eastAsia" w:hAnsi="宋体" w:cs="宋体"/>
          <w:color w:val="auto"/>
          <w:highlight w:val="none"/>
        </w:rPr>
        <w:t>承包人（全称）：</w:t>
      </w:r>
      <w:r>
        <w:rPr>
          <w:rFonts w:hAnsi="宋体"/>
          <w:color w:val="auto"/>
          <w:highlight w:val="none"/>
          <w:u w:val="single"/>
        </w:rPr>
        <w:t xml:space="preserve">                              </w:t>
      </w:r>
    </w:p>
    <w:p>
      <w:pPr>
        <w:spacing w:line="360" w:lineRule="auto"/>
        <w:ind w:firstLine="420" w:firstLineChars="200"/>
        <w:rPr>
          <w:rFonts w:hAnsi="宋体"/>
          <w:color w:val="auto"/>
          <w:highlight w:val="none"/>
        </w:rPr>
      </w:pPr>
      <w:r>
        <w:rPr>
          <w:rFonts w:hint="eastAsia" w:hAnsi="宋体" w:cs="宋体"/>
          <w:color w:val="auto"/>
          <w:highlight w:val="none"/>
        </w:rPr>
        <w:t>根据《中华人民共和国民法典》、《中华人民共和国建筑法》及有关法律规定，遵循平等、自愿、公平和诚实信用的原则，双方就</w:t>
      </w:r>
      <w:r>
        <w:rPr>
          <w:color w:val="auto"/>
          <w:highlight w:val="none"/>
          <w:u w:val="single"/>
        </w:rPr>
        <w:t xml:space="preserve"> </w:t>
      </w:r>
      <w:r>
        <w:rPr>
          <w:rFonts w:hint="eastAsia"/>
          <w:color w:val="auto"/>
          <w:highlight w:val="none"/>
          <w:u w:val="single"/>
        </w:rPr>
        <w:t>广西医科大学武鸣校区图书馆报告厅、演讲厅二次装饰工程项目</w:t>
      </w:r>
      <w:r>
        <w:rPr>
          <w:rFonts w:hint="eastAsia" w:hAnsi="宋体" w:cs="宋体"/>
          <w:color w:val="auto"/>
          <w:highlight w:val="none"/>
          <w:u w:val="single"/>
        </w:rPr>
        <w:t xml:space="preserve"> </w:t>
      </w:r>
      <w:r>
        <w:rPr>
          <w:rFonts w:hint="eastAsia" w:hAnsi="宋体" w:cs="宋体"/>
          <w:color w:val="auto"/>
          <w:highlight w:val="none"/>
        </w:rPr>
        <w:t>施工及有关事项协商一致，共同达成如下协议：</w:t>
      </w:r>
      <w:bookmarkStart w:id="426" w:name="_Toc351203481"/>
    </w:p>
    <w:p>
      <w:pPr>
        <w:rPr>
          <w:b/>
          <w:color w:val="auto"/>
          <w:highlight w:val="none"/>
        </w:rPr>
      </w:pPr>
      <w:r>
        <w:rPr>
          <w:rFonts w:hint="eastAsia" w:hAnsi="宋体" w:cs="宋体"/>
          <w:b/>
          <w:color w:val="auto"/>
          <w:highlight w:val="none"/>
        </w:rPr>
        <w:t>一、工程概况</w:t>
      </w:r>
      <w:bookmarkEnd w:id="426"/>
    </w:p>
    <w:p>
      <w:pPr>
        <w:rPr>
          <w:color w:val="auto"/>
          <w:highlight w:val="none"/>
          <w:u w:val="single"/>
        </w:rPr>
      </w:pPr>
      <w:r>
        <w:rPr>
          <w:color w:val="auto"/>
          <w:highlight w:val="none"/>
        </w:rPr>
        <w:t xml:space="preserve">1. </w:t>
      </w:r>
      <w:r>
        <w:rPr>
          <w:rFonts w:hint="eastAsia" w:hAnsi="宋体" w:cs="宋体"/>
          <w:color w:val="auto"/>
          <w:highlight w:val="none"/>
        </w:rPr>
        <w:t>工程名称：</w:t>
      </w:r>
      <w:r>
        <w:rPr>
          <w:rFonts w:hint="eastAsia"/>
          <w:color w:val="auto"/>
          <w:highlight w:val="none"/>
          <w:u w:val="single"/>
        </w:rPr>
        <w:t>广西医科大学武鸣校区图书馆报告厅、演讲厅二次装饰工程项目</w:t>
      </w:r>
      <w:r>
        <w:rPr>
          <w:rFonts w:hint="eastAsia" w:hAnsi="宋体" w:cs="宋体"/>
          <w:color w:val="auto"/>
          <w:highlight w:val="none"/>
        </w:rPr>
        <w:t>。</w:t>
      </w:r>
    </w:p>
    <w:p>
      <w:pPr>
        <w:rPr>
          <w:color w:val="auto"/>
          <w:highlight w:val="none"/>
        </w:rPr>
      </w:pPr>
      <w:r>
        <w:rPr>
          <w:color w:val="auto"/>
          <w:highlight w:val="none"/>
        </w:rPr>
        <w:t xml:space="preserve">2. </w:t>
      </w:r>
      <w:r>
        <w:rPr>
          <w:rFonts w:hint="eastAsia" w:hAnsi="宋体" w:cs="宋体"/>
          <w:color w:val="auto"/>
          <w:highlight w:val="none"/>
        </w:rPr>
        <w:t>工程地点：</w:t>
      </w:r>
      <w:r>
        <w:rPr>
          <w:rFonts w:hint="eastAsia"/>
          <w:color w:val="auto"/>
          <w:highlight w:val="none"/>
          <w:u w:val="single"/>
        </w:rPr>
        <w:t>广西医科大学武鸣校区</w:t>
      </w:r>
      <w:r>
        <w:rPr>
          <w:rFonts w:hint="eastAsia" w:hAnsi="宋体" w:cs="宋体"/>
          <w:color w:val="auto"/>
          <w:highlight w:val="none"/>
        </w:rPr>
        <w:t>。</w:t>
      </w:r>
    </w:p>
    <w:p>
      <w:pPr>
        <w:rPr>
          <w:color w:val="auto"/>
          <w:highlight w:val="none"/>
        </w:rPr>
      </w:pPr>
      <w:r>
        <w:rPr>
          <w:color w:val="auto"/>
          <w:highlight w:val="none"/>
        </w:rPr>
        <w:t xml:space="preserve">3. </w:t>
      </w:r>
      <w:r>
        <w:rPr>
          <w:rFonts w:hint="eastAsia" w:hAnsi="宋体" w:cs="宋体"/>
          <w:color w:val="auto"/>
          <w:highlight w:val="none"/>
        </w:rPr>
        <w:t>资金来源：</w:t>
      </w:r>
      <w:r>
        <w:rPr>
          <w:rFonts w:hint="eastAsia"/>
          <w:color w:val="auto"/>
          <w:highlight w:val="none"/>
          <w:u w:val="single"/>
        </w:rPr>
        <w:t>财政资金</w:t>
      </w:r>
      <w:r>
        <w:rPr>
          <w:rFonts w:hint="eastAsia" w:hAnsi="宋体" w:cs="宋体"/>
          <w:color w:val="auto"/>
          <w:highlight w:val="none"/>
        </w:rPr>
        <w:t>。</w:t>
      </w:r>
    </w:p>
    <w:p>
      <w:pPr>
        <w:rPr>
          <w:color w:val="auto"/>
          <w:highlight w:val="none"/>
        </w:rPr>
      </w:pPr>
      <w:r>
        <w:rPr>
          <w:color w:val="auto"/>
          <w:highlight w:val="none"/>
        </w:rPr>
        <w:t xml:space="preserve">4. </w:t>
      </w:r>
      <w:r>
        <w:rPr>
          <w:rFonts w:hint="eastAsia" w:hAnsi="宋体" w:cs="宋体"/>
          <w:color w:val="auto"/>
          <w:highlight w:val="none"/>
        </w:rPr>
        <w:t>工程内容：</w:t>
      </w:r>
      <w:r>
        <w:rPr>
          <w:rFonts w:hint="eastAsia" w:cs="宋体"/>
          <w:color w:val="auto"/>
          <w:highlight w:val="none"/>
          <w:u w:val="single"/>
        </w:rPr>
        <w:t>本工程为广西医科大学武鸣校区图书馆报告厅、演讲厅二次装饰工程项目，包括广西医科大学武鸣校区项目图书馆一层、二层报告厅、图书馆负一层视频会议室、公共区域及配套用房，装修面积共3672㎡</w:t>
      </w:r>
      <w:r>
        <w:rPr>
          <w:rFonts w:hint="eastAsia"/>
          <w:color w:val="auto"/>
          <w:highlight w:val="none"/>
          <w:u w:val="single"/>
        </w:rPr>
        <w:t>。</w:t>
      </w:r>
    </w:p>
    <w:p>
      <w:pPr>
        <w:rPr>
          <w:color w:val="auto"/>
          <w:highlight w:val="none"/>
        </w:rPr>
      </w:pPr>
      <w:r>
        <w:rPr>
          <w:rFonts w:hint="eastAsia" w:hAnsi="宋体" w:cs="宋体"/>
          <w:color w:val="auto"/>
          <w:highlight w:val="none"/>
        </w:rPr>
        <w:t>群体工程应附《承包人承揽工程项目一览表》（附件</w:t>
      </w:r>
      <w:r>
        <w:rPr>
          <w:color w:val="auto"/>
          <w:highlight w:val="none"/>
        </w:rPr>
        <w:t>1</w:t>
      </w:r>
      <w:r>
        <w:rPr>
          <w:rFonts w:hint="eastAsia" w:hAnsi="宋体" w:cs="宋体"/>
          <w:color w:val="auto"/>
          <w:highlight w:val="none"/>
        </w:rPr>
        <w:t>）。</w:t>
      </w:r>
    </w:p>
    <w:p>
      <w:pPr>
        <w:rPr>
          <w:color w:val="auto"/>
          <w:highlight w:val="none"/>
        </w:rPr>
      </w:pPr>
      <w:r>
        <w:rPr>
          <w:color w:val="auto"/>
          <w:highlight w:val="none"/>
        </w:rPr>
        <w:t xml:space="preserve">5. </w:t>
      </w:r>
      <w:r>
        <w:rPr>
          <w:rFonts w:hint="eastAsia" w:hAnsi="宋体" w:cs="宋体"/>
          <w:color w:val="auto"/>
          <w:highlight w:val="none"/>
        </w:rPr>
        <w:t>工程承包范围：</w:t>
      </w:r>
    </w:p>
    <w:p>
      <w:pPr>
        <w:rPr>
          <w:rFonts w:hAnsi="宋体"/>
          <w:color w:val="auto"/>
          <w:highlight w:val="none"/>
          <w:u w:val="single"/>
        </w:rPr>
      </w:pPr>
      <w:r>
        <w:rPr>
          <w:rFonts w:hint="eastAsia"/>
          <w:color w:val="auto"/>
          <w:highlight w:val="none"/>
          <w:u w:val="single"/>
        </w:rPr>
        <w:t>广西医科大学武鸣校区图书馆报告厅、演讲厅二次装饰工程项目施工图范围内的建筑拆除工程、装饰装修工程（具体以施工图纸和工程量清单内容为准）。</w:t>
      </w:r>
    </w:p>
    <w:p>
      <w:pPr>
        <w:rPr>
          <w:b/>
          <w:color w:val="auto"/>
          <w:highlight w:val="none"/>
        </w:rPr>
      </w:pPr>
      <w:bookmarkStart w:id="427" w:name="_Toc351203482"/>
      <w:r>
        <w:rPr>
          <w:rFonts w:hint="eastAsia" w:hAnsi="宋体" w:cs="宋体"/>
          <w:b/>
          <w:color w:val="auto"/>
          <w:highlight w:val="none"/>
        </w:rPr>
        <w:t>二、合同工期</w:t>
      </w:r>
      <w:bookmarkEnd w:id="427"/>
    </w:p>
    <w:p>
      <w:pPr>
        <w:rPr>
          <w:color w:val="auto"/>
          <w:highlight w:val="none"/>
        </w:rPr>
      </w:pPr>
      <w:r>
        <w:rPr>
          <w:rFonts w:hint="eastAsia" w:hAnsi="宋体" w:cs="宋体"/>
          <w:color w:val="auto"/>
          <w:highlight w:val="none"/>
        </w:rPr>
        <w:t>计划开工日期：</w:t>
      </w:r>
      <w:r>
        <w:rPr>
          <w:rFonts w:hAnsi="宋体"/>
          <w:color w:val="auto"/>
          <w:highlight w:val="none"/>
          <w:u w:val="single"/>
        </w:rPr>
        <w:t></w:t>
      </w:r>
      <w:r>
        <w:rPr>
          <w:rFonts w:hAnsi="宋体"/>
          <w:color w:val="auto"/>
          <w:highlight w:val="none"/>
        </w:rPr>
        <w:t>年</w:t>
      </w:r>
      <w:r>
        <w:rPr>
          <w:rFonts w:hAnsi="宋体"/>
          <w:color w:val="auto"/>
          <w:highlight w:val="none"/>
          <w:u w:val="single"/>
        </w:rPr>
        <w:t></w:t>
      </w:r>
      <w:r>
        <w:rPr>
          <w:rFonts w:hAnsi="宋体"/>
          <w:color w:val="auto"/>
          <w:highlight w:val="none"/>
        </w:rPr>
        <w:t>月</w:t>
      </w:r>
      <w:r>
        <w:rPr>
          <w:rFonts w:hAnsi="宋体"/>
          <w:color w:val="auto"/>
          <w:highlight w:val="none"/>
          <w:u w:val="single"/>
        </w:rPr>
        <w:t></w:t>
      </w:r>
      <w:r>
        <w:rPr>
          <w:rFonts w:hAnsi="宋体"/>
          <w:color w:val="auto"/>
          <w:highlight w:val="none"/>
        </w:rPr>
        <w:t>日。</w:t>
      </w:r>
      <w:r>
        <w:rPr>
          <w:rFonts w:hint="eastAsia" w:hAnsi="宋体" w:cs="宋体"/>
          <w:color w:val="auto"/>
          <w:highlight w:val="none"/>
        </w:rPr>
        <w:t>（具体以发包人书面通知为准）</w:t>
      </w:r>
    </w:p>
    <w:p>
      <w:pPr>
        <w:rPr>
          <w:color w:val="auto"/>
          <w:highlight w:val="none"/>
        </w:rPr>
      </w:pPr>
      <w:r>
        <w:rPr>
          <w:rFonts w:hint="eastAsia" w:hAnsi="宋体" w:cs="宋体"/>
          <w:color w:val="auto"/>
          <w:highlight w:val="none"/>
        </w:rPr>
        <w:t>计划竣工日期：</w:t>
      </w:r>
      <w:r>
        <w:rPr>
          <w:rFonts w:hAnsi="宋体"/>
          <w:color w:val="auto"/>
          <w:highlight w:val="none"/>
          <w:u w:val="single"/>
        </w:rPr>
        <w:t></w:t>
      </w:r>
      <w:r>
        <w:rPr>
          <w:rFonts w:hAnsi="宋体"/>
          <w:color w:val="auto"/>
          <w:highlight w:val="none"/>
        </w:rPr>
        <w:t>年</w:t>
      </w:r>
      <w:r>
        <w:rPr>
          <w:rFonts w:hAnsi="宋体"/>
          <w:color w:val="auto"/>
          <w:highlight w:val="none"/>
          <w:u w:val="single"/>
        </w:rPr>
        <w:t></w:t>
      </w:r>
      <w:r>
        <w:rPr>
          <w:rFonts w:hAnsi="宋体"/>
          <w:color w:val="auto"/>
          <w:highlight w:val="none"/>
        </w:rPr>
        <w:t>月</w:t>
      </w:r>
      <w:r>
        <w:rPr>
          <w:rFonts w:hAnsi="宋体"/>
          <w:color w:val="auto"/>
          <w:highlight w:val="none"/>
          <w:u w:val="single"/>
        </w:rPr>
        <w:t></w:t>
      </w:r>
      <w:r>
        <w:rPr>
          <w:rFonts w:hAnsi="宋体"/>
          <w:color w:val="auto"/>
          <w:highlight w:val="none"/>
        </w:rPr>
        <w:t>日</w:t>
      </w:r>
      <w:r>
        <w:rPr>
          <w:rFonts w:hint="eastAsia" w:hAnsi="宋体" w:cs="宋体"/>
          <w:color w:val="auto"/>
          <w:highlight w:val="none"/>
        </w:rPr>
        <w:t>。</w:t>
      </w:r>
    </w:p>
    <w:p>
      <w:pPr>
        <w:rPr>
          <w:rFonts w:hAnsi="宋体" w:cs="宋体"/>
          <w:color w:val="auto"/>
          <w:highlight w:val="none"/>
        </w:rPr>
      </w:pPr>
      <w:r>
        <w:rPr>
          <w:rFonts w:hint="eastAsia" w:hAnsi="宋体" w:cs="宋体"/>
          <w:color w:val="auto"/>
          <w:highlight w:val="none"/>
        </w:rPr>
        <w:t>要求工期：180日历天</w:t>
      </w:r>
    </w:p>
    <w:p>
      <w:pPr>
        <w:rPr>
          <w:rFonts w:hAnsi="宋体"/>
          <w:color w:val="auto"/>
          <w:highlight w:val="none"/>
        </w:rPr>
      </w:pPr>
      <w:r>
        <w:rPr>
          <w:rFonts w:hint="eastAsia" w:hAnsi="宋体" w:cs="宋体"/>
          <w:color w:val="auto"/>
          <w:highlight w:val="none"/>
        </w:rPr>
        <w:t>工期总日历天数：</w:t>
      </w:r>
      <w:r>
        <w:rPr>
          <w:rFonts w:hint="eastAsia" w:hAnsi="宋体" w:cs="宋体"/>
          <w:color w:val="auto"/>
          <w:highlight w:val="none"/>
          <w:u w:val="single"/>
        </w:rPr>
        <w:t xml:space="preserve">      </w:t>
      </w:r>
      <w:r>
        <w:rPr>
          <w:rFonts w:hint="eastAsia" w:hAnsi="宋体" w:cs="宋体"/>
          <w:color w:val="auto"/>
          <w:highlight w:val="none"/>
        </w:rPr>
        <w:t>天。工期总日历天数与根据前述计划开竣工日期计算的工期天数不一致的，以工期总日历天数为准。（</w:t>
      </w:r>
      <w:r>
        <w:rPr>
          <w:rFonts w:hint="eastAsia" w:ascii="宋体" w:hAnsi="宋体"/>
          <w:color w:val="auto"/>
          <w:highlight w:val="none"/>
        </w:rPr>
        <w:t>若中标人工期承诺优于合同要求工期的，以中标人承诺执行）</w:t>
      </w:r>
    </w:p>
    <w:p>
      <w:pPr>
        <w:rPr>
          <w:b/>
          <w:color w:val="auto"/>
          <w:highlight w:val="none"/>
        </w:rPr>
      </w:pPr>
      <w:bookmarkStart w:id="428" w:name="_Toc351203483"/>
      <w:r>
        <w:rPr>
          <w:rFonts w:hint="eastAsia" w:hAnsi="宋体" w:cs="宋体"/>
          <w:b/>
          <w:color w:val="auto"/>
          <w:highlight w:val="none"/>
        </w:rPr>
        <w:t>三、质量标准</w:t>
      </w:r>
      <w:bookmarkEnd w:id="428"/>
    </w:p>
    <w:p>
      <w:pPr>
        <w:rPr>
          <w:rFonts w:hAnsi="宋体"/>
          <w:color w:val="auto"/>
          <w:highlight w:val="none"/>
        </w:rPr>
      </w:pPr>
      <w:r>
        <w:rPr>
          <w:rFonts w:hint="eastAsia" w:hAnsi="宋体" w:cs="宋体"/>
          <w:color w:val="auto"/>
          <w:highlight w:val="none"/>
        </w:rPr>
        <w:t>工程质量符合</w:t>
      </w:r>
      <w:r>
        <w:rPr>
          <w:rFonts w:hint="eastAsia"/>
          <w:color w:val="auto"/>
          <w:highlight w:val="none"/>
          <w:u w:val="single" w:color="000000"/>
        </w:rPr>
        <w:t>国家规定的标准、政策和现行技术规范、规程要求</w:t>
      </w:r>
      <w:r>
        <w:rPr>
          <w:rFonts w:hint="eastAsia" w:hAnsi="宋体" w:cs="宋体"/>
          <w:color w:val="auto"/>
          <w:highlight w:val="none"/>
        </w:rPr>
        <w:t>标准。</w:t>
      </w:r>
    </w:p>
    <w:p>
      <w:pPr>
        <w:rPr>
          <w:rFonts w:hAnsi="宋体"/>
          <w:b/>
          <w:color w:val="auto"/>
          <w:highlight w:val="none"/>
        </w:rPr>
      </w:pPr>
      <w:bookmarkStart w:id="429" w:name="_Toc351203484"/>
      <w:r>
        <w:rPr>
          <w:rFonts w:hint="eastAsia" w:hAnsi="宋体" w:cs="宋体"/>
          <w:b/>
          <w:color w:val="auto"/>
          <w:highlight w:val="none"/>
        </w:rPr>
        <w:t>四、签约合同价与合同价格形式</w:t>
      </w:r>
      <w:bookmarkEnd w:id="429"/>
    </w:p>
    <w:p>
      <w:pPr>
        <w:rPr>
          <w:color w:val="auto"/>
          <w:highlight w:val="none"/>
        </w:rPr>
      </w:pPr>
      <w:r>
        <w:rPr>
          <w:color w:val="auto"/>
          <w:highlight w:val="none"/>
        </w:rPr>
        <w:t xml:space="preserve">1. </w:t>
      </w:r>
      <w:r>
        <w:rPr>
          <w:rFonts w:hint="eastAsia" w:hAnsi="宋体" w:cs="宋体"/>
          <w:color w:val="auto"/>
          <w:highlight w:val="none"/>
        </w:rPr>
        <w:t>签约合同价为：</w:t>
      </w:r>
    </w:p>
    <w:p>
      <w:pPr>
        <w:rPr>
          <w:rFonts w:hAnsi="宋体"/>
          <w:color w:val="auto"/>
          <w:highlight w:val="none"/>
        </w:rPr>
      </w:pPr>
      <w:r>
        <w:rPr>
          <w:rFonts w:hint="eastAsia" w:hAnsi="宋体" w:cs="宋体"/>
          <w:color w:val="auto"/>
          <w:highlight w:val="none"/>
        </w:rPr>
        <w:t>人民币（大写）</w:t>
      </w:r>
      <w:r>
        <w:rPr>
          <w:color w:val="auto"/>
          <w:highlight w:val="none"/>
          <w:u w:val="single"/>
        </w:rPr>
        <w:t xml:space="preserve">                 </w:t>
      </w:r>
      <w:r>
        <w:rPr>
          <w:rFonts w:hint="eastAsia" w:cs="宋体"/>
          <w:color w:val="auto"/>
          <w:highlight w:val="none"/>
        </w:rPr>
        <w:t>（</w:t>
      </w:r>
      <w:r>
        <w:rPr>
          <w:color w:val="auto"/>
          <w:highlight w:val="none"/>
        </w:rPr>
        <w:t>¥</w:t>
      </w:r>
      <w:r>
        <w:rPr>
          <w:color w:val="auto"/>
          <w:highlight w:val="none"/>
          <w:u w:val="single"/>
        </w:rPr>
        <w:t xml:space="preserve">            </w:t>
      </w:r>
      <w:r>
        <w:rPr>
          <w:rFonts w:hint="eastAsia" w:hAnsi="宋体" w:cs="宋体"/>
          <w:color w:val="auto"/>
          <w:highlight w:val="none"/>
        </w:rPr>
        <w:t>元</w:t>
      </w:r>
      <w:r>
        <w:rPr>
          <w:rFonts w:hint="eastAsia" w:cs="宋体"/>
          <w:color w:val="auto"/>
          <w:highlight w:val="none"/>
        </w:rPr>
        <w:t>）</w:t>
      </w:r>
      <w:r>
        <w:rPr>
          <w:rFonts w:hint="eastAsia" w:hAnsi="宋体" w:cs="宋体"/>
          <w:color w:val="auto"/>
          <w:highlight w:val="none"/>
        </w:rPr>
        <w:t>；</w:t>
      </w:r>
    </w:p>
    <w:p>
      <w:pPr>
        <w:rPr>
          <w:rFonts w:hAnsi="宋体"/>
          <w:color w:val="auto"/>
          <w:highlight w:val="none"/>
        </w:rPr>
      </w:pPr>
      <w:r>
        <w:rPr>
          <w:rFonts w:hint="eastAsia" w:hAnsi="宋体" w:cs="宋体"/>
          <w:color w:val="auto"/>
          <w:highlight w:val="none"/>
        </w:rPr>
        <w:t>其中：</w:t>
      </w:r>
    </w:p>
    <w:p>
      <w:pPr>
        <w:rPr>
          <w:color w:val="auto"/>
          <w:highlight w:val="none"/>
        </w:rPr>
      </w:pPr>
      <w:r>
        <w:rPr>
          <w:rFonts w:hint="eastAsia" w:hAnsi="宋体" w:cs="宋体"/>
          <w:color w:val="auto"/>
          <w:highlight w:val="none"/>
        </w:rPr>
        <w:t>（</w:t>
      </w:r>
      <w:r>
        <w:rPr>
          <w:rFonts w:hAnsi="宋体"/>
          <w:color w:val="auto"/>
          <w:highlight w:val="none"/>
        </w:rPr>
        <w:t>1</w:t>
      </w:r>
      <w:r>
        <w:rPr>
          <w:rFonts w:hint="eastAsia" w:hAnsi="宋体" w:cs="宋体"/>
          <w:color w:val="auto"/>
          <w:highlight w:val="none"/>
        </w:rPr>
        <w:t>）安全文明施工费：</w:t>
      </w:r>
    </w:p>
    <w:p>
      <w:pPr>
        <w:rPr>
          <w:rFonts w:hAnsi="宋体"/>
          <w:color w:val="auto"/>
          <w:highlight w:val="none"/>
        </w:rPr>
      </w:pPr>
      <w:r>
        <w:rPr>
          <w:rFonts w:hint="eastAsia" w:hAnsi="宋体" w:cs="宋体"/>
          <w:color w:val="auto"/>
          <w:highlight w:val="none"/>
        </w:rPr>
        <w:t>人民币（大写）</w:t>
      </w:r>
      <w:r>
        <w:rPr>
          <w:color w:val="auto"/>
          <w:highlight w:val="none"/>
          <w:u w:val="single"/>
        </w:rPr>
        <w:t xml:space="preserve">              </w:t>
      </w:r>
      <w:r>
        <w:rPr>
          <w:color w:val="auto"/>
          <w:highlight w:val="none"/>
        </w:rPr>
        <w:t xml:space="preserve"> </w:t>
      </w:r>
      <w:r>
        <w:rPr>
          <w:rFonts w:hint="eastAsia" w:cs="宋体"/>
          <w:color w:val="auto"/>
          <w:highlight w:val="none"/>
        </w:rPr>
        <w:t>（</w:t>
      </w:r>
      <w:r>
        <w:rPr>
          <w:color w:val="auto"/>
          <w:highlight w:val="none"/>
        </w:rPr>
        <w:t>¥</w:t>
      </w:r>
      <w:r>
        <w:rPr>
          <w:color w:val="auto"/>
          <w:highlight w:val="none"/>
          <w:u w:val="single"/>
        </w:rPr>
        <w:t xml:space="preserve">          </w:t>
      </w:r>
      <w:r>
        <w:rPr>
          <w:rFonts w:hint="eastAsia" w:hAnsi="宋体" w:cs="宋体"/>
          <w:color w:val="auto"/>
          <w:highlight w:val="none"/>
        </w:rPr>
        <w:t>元</w:t>
      </w:r>
      <w:r>
        <w:rPr>
          <w:rFonts w:hint="eastAsia" w:cs="宋体"/>
          <w:color w:val="auto"/>
          <w:highlight w:val="none"/>
        </w:rPr>
        <w:t>）</w:t>
      </w:r>
      <w:r>
        <w:rPr>
          <w:rFonts w:hint="eastAsia" w:hAnsi="宋体" w:cs="宋体"/>
          <w:color w:val="auto"/>
          <w:highlight w:val="none"/>
        </w:rPr>
        <w:t>；</w:t>
      </w:r>
    </w:p>
    <w:p>
      <w:pPr>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）材料和工程设备暂估价金额：</w:t>
      </w:r>
    </w:p>
    <w:p>
      <w:pPr>
        <w:rPr>
          <w:color w:val="auto"/>
          <w:highlight w:val="none"/>
        </w:rPr>
      </w:pPr>
      <w:r>
        <w:rPr>
          <w:rFonts w:hint="eastAsia" w:hAnsi="宋体" w:cs="宋体"/>
          <w:color w:val="auto"/>
          <w:highlight w:val="none"/>
        </w:rPr>
        <w:t>人民币（大写）</w:t>
      </w:r>
      <w:r>
        <w:rPr>
          <w:color w:val="auto"/>
          <w:highlight w:val="none"/>
          <w:u w:val="single"/>
        </w:rPr>
        <w:t xml:space="preserve">              </w:t>
      </w:r>
      <w:r>
        <w:rPr>
          <w:color w:val="auto"/>
          <w:highlight w:val="none"/>
        </w:rPr>
        <w:t xml:space="preserve"> </w:t>
      </w:r>
      <w:r>
        <w:rPr>
          <w:rFonts w:hint="eastAsia" w:cs="宋体"/>
          <w:color w:val="auto"/>
          <w:highlight w:val="none"/>
        </w:rPr>
        <w:t>（</w:t>
      </w:r>
      <w:r>
        <w:rPr>
          <w:color w:val="auto"/>
          <w:highlight w:val="none"/>
        </w:rPr>
        <w:t>¥</w:t>
      </w:r>
      <w:r>
        <w:rPr>
          <w:color w:val="auto"/>
          <w:highlight w:val="none"/>
          <w:u w:val="single"/>
        </w:rPr>
        <w:t xml:space="preserve">          </w:t>
      </w:r>
      <w:r>
        <w:rPr>
          <w:rFonts w:hint="eastAsia" w:hAnsi="宋体" w:cs="宋体"/>
          <w:color w:val="auto"/>
          <w:highlight w:val="none"/>
        </w:rPr>
        <w:t>元</w:t>
      </w:r>
      <w:r>
        <w:rPr>
          <w:rFonts w:hint="eastAsia" w:cs="宋体"/>
          <w:color w:val="auto"/>
          <w:highlight w:val="none"/>
        </w:rPr>
        <w:t>）</w:t>
      </w:r>
      <w:r>
        <w:rPr>
          <w:rFonts w:hint="eastAsia" w:hAnsi="宋体" w:cs="宋体"/>
          <w:color w:val="auto"/>
          <w:highlight w:val="none"/>
        </w:rPr>
        <w:t>；</w:t>
      </w:r>
    </w:p>
    <w:p>
      <w:pPr>
        <w:rPr>
          <w:color w:val="auto"/>
          <w:highlight w:val="none"/>
        </w:rPr>
      </w:pPr>
      <w:r>
        <w:rPr>
          <w:rFonts w:hint="eastAsia" w:hAnsi="宋体" w:cs="宋体"/>
          <w:color w:val="auto"/>
          <w:highlight w:val="none"/>
        </w:rPr>
        <w:t>（</w:t>
      </w:r>
      <w:r>
        <w:rPr>
          <w:color w:val="auto"/>
          <w:highlight w:val="none"/>
        </w:rPr>
        <w:t>3</w:t>
      </w:r>
      <w:r>
        <w:rPr>
          <w:rFonts w:hint="eastAsia" w:hAnsi="宋体" w:cs="宋体"/>
          <w:color w:val="auto"/>
          <w:highlight w:val="none"/>
        </w:rPr>
        <w:t>）专业工程暂估价金额：</w:t>
      </w:r>
    </w:p>
    <w:p>
      <w:pPr>
        <w:rPr>
          <w:color w:val="auto"/>
          <w:highlight w:val="none"/>
        </w:rPr>
      </w:pPr>
      <w:r>
        <w:rPr>
          <w:rFonts w:hint="eastAsia" w:hAnsi="宋体" w:cs="宋体"/>
          <w:color w:val="auto"/>
          <w:highlight w:val="none"/>
        </w:rPr>
        <w:t>人民币（大写）</w:t>
      </w:r>
      <w:r>
        <w:rPr>
          <w:color w:val="auto"/>
          <w:highlight w:val="none"/>
          <w:u w:val="single"/>
        </w:rPr>
        <w:t xml:space="preserve">              </w:t>
      </w:r>
      <w:r>
        <w:rPr>
          <w:color w:val="auto"/>
          <w:highlight w:val="none"/>
        </w:rPr>
        <w:t xml:space="preserve"> </w:t>
      </w:r>
      <w:r>
        <w:rPr>
          <w:rFonts w:hint="eastAsia" w:cs="宋体"/>
          <w:color w:val="auto"/>
          <w:highlight w:val="none"/>
        </w:rPr>
        <w:t>（</w:t>
      </w:r>
      <w:r>
        <w:rPr>
          <w:color w:val="auto"/>
          <w:highlight w:val="none"/>
        </w:rPr>
        <w:t>¥</w:t>
      </w:r>
      <w:r>
        <w:rPr>
          <w:color w:val="auto"/>
          <w:highlight w:val="none"/>
          <w:u w:val="single"/>
        </w:rPr>
        <w:t xml:space="preserve">          </w:t>
      </w:r>
      <w:r>
        <w:rPr>
          <w:rFonts w:hint="eastAsia" w:hAnsi="宋体" w:cs="宋体"/>
          <w:color w:val="auto"/>
          <w:highlight w:val="none"/>
        </w:rPr>
        <w:t>元</w:t>
      </w:r>
      <w:r>
        <w:rPr>
          <w:rFonts w:hint="eastAsia" w:cs="宋体"/>
          <w:color w:val="auto"/>
          <w:highlight w:val="none"/>
        </w:rPr>
        <w:t>）</w:t>
      </w:r>
      <w:r>
        <w:rPr>
          <w:rFonts w:hint="eastAsia" w:hAnsi="宋体" w:cs="宋体"/>
          <w:color w:val="auto"/>
          <w:highlight w:val="none"/>
        </w:rPr>
        <w:t>；</w:t>
      </w:r>
    </w:p>
    <w:p>
      <w:pPr>
        <w:rPr>
          <w:color w:val="auto"/>
          <w:highlight w:val="none"/>
        </w:rPr>
      </w:pPr>
      <w:r>
        <w:rPr>
          <w:rFonts w:hint="eastAsia" w:hAnsi="宋体" w:cs="宋体"/>
          <w:color w:val="auto"/>
          <w:highlight w:val="none"/>
        </w:rPr>
        <w:t>（</w:t>
      </w:r>
      <w:r>
        <w:rPr>
          <w:color w:val="auto"/>
          <w:highlight w:val="none"/>
        </w:rPr>
        <w:t>4</w:t>
      </w:r>
      <w:r>
        <w:rPr>
          <w:rFonts w:hint="eastAsia" w:hAnsi="宋体" w:cs="宋体"/>
          <w:color w:val="auto"/>
          <w:highlight w:val="none"/>
        </w:rPr>
        <w:t>）暂列金额：</w:t>
      </w:r>
    </w:p>
    <w:p>
      <w:pPr>
        <w:rPr>
          <w:rFonts w:hAnsi="宋体"/>
          <w:color w:val="auto"/>
          <w:highlight w:val="none"/>
        </w:rPr>
      </w:pPr>
      <w:r>
        <w:rPr>
          <w:rFonts w:hint="eastAsia" w:hAnsi="宋体" w:cs="宋体"/>
          <w:color w:val="auto"/>
          <w:highlight w:val="none"/>
        </w:rPr>
        <w:t>人民币（大写）</w:t>
      </w:r>
      <w:r>
        <w:rPr>
          <w:color w:val="auto"/>
          <w:highlight w:val="none"/>
          <w:u w:val="single"/>
        </w:rPr>
        <w:t xml:space="preserve">              </w:t>
      </w:r>
      <w:r>
        <w:rPr>
          <w:color w:val="auto"/>
          <w:highlight w:val="none"/>
        </w:rPr>
        <w:t xml:space="preserve"> </w:t>
      </w:r>
      <w:r>
        <w:rPr>
          <w:rFonts w:hint="eastAsia" w:cs="宋体"/>
          <w:color w:val="auto"/>
          <w:highlight w:val="none"/>
        </w:rPr>
        <w:t>（</w:t>
      </w:r>
      <w:r>
        <w:rPr>
          <w:color w:val="auto"/>
          <w:highlight w:val="none"/>
        </w:rPr>
        <w:t>¥</w:t>
      </w:r>
      <w:r>
        <w:rPr>
          <w:color w:val="auto"/>
          <w:highlight w:val="none"/>
          <w:u w:val="single"/>
        </w:rPr>
        <w:t xml:space="preserve">          </w:t>
      </w:r>
      <w:r>
        <w:rPr>
          <w:rFonts w:hint="eastAsia" w:hAnsi="宋体" w:cs="宋体"/>
          <w:color w:val="auto"/>
          <w:highlight w:val="none"/>
        </w:rPr>
        <w:t>元</w:t>
      </w:r>
      <w:r>
        <w:rPr>
          <w:rFonts w:hint="eastAsia" w:cs="宋体"/>
          <w:color w:val="auto"/>
          <w:highlight w:val="none"/>
        </w:rPr>
        <w:t>）</w:t>
      </w:r>
      <w:r>
        <w:rPr>
          <w:rFonts w:hint="eastAsia" w:hAnsi="宋体" w:cs="宋体"/>
          <w:color w:val="auto"/>
          <w:highlight w:val="none"/>
        </w:rPr>
        <w:t>。</w:t>
      </w:r>
    </w:p>
    <w:p>
      <w:pPr>
        <w:rPr>
          <w:rFonts w:hAnsi="宋体"/>
          <w:color w:val="auto"/>
          <w:highlight w:val="none"/>
        </w:rPr>
      </w:pPr>
      <w:r>
        <w:rPr>
          <w:color w:val="auto"/>
          <w:highlight w:val="none"/>
        </w:rPr>
        <w:t xml:space="preserve">2. </w:t>
      </w:r>
      <w:r>
        <w:rPr>
          <w:rFonts w:hint="eastAsia" w:hAnsi="宋体" w:cs="宋体"/>
          <w:color w:val="auto"/>
          <w:highlight w:val="none"/>
        </w:rPr>
        <w:t>合同价格形式：</w:t>
      </w:r>
      <w:r>
        <w:rPr>
          <w:rFonts w:hint="eastAsia"/>
          <w:color w:val="auto"/>
          <w:highlight w:val="none"/>
          <w:u w:val="single"/>
        </w:rPr>
        <w:t>固定综合单价</w:t>
      </w:r>
      <w:r>
        <w:rPr>
          <w:rFonts w:hint="eastAsia" w:hAnsi="宋体" w:cs="宋体"/>
          <w:color w:val="auto"/>
          <w:highlight w:val="none"/>
        </w:rPr>
        <w:t>。</w:t>
      </w:r>
    </w:p>
    <w:p>
      <w:pPr>
        <w:rPr>
          <w:b/>
          <w:color w:val="auto"/>
          <w:highlight w:val="none"/>
        </w:rPr>
      </w:pPr>
      <w:bookmarkStart w:id="430" w:name="_Toc351203485"/>
      <w:r>
        <w:rPr>
          <w:rFonts w:hint="eastAsia" w:hAnsi="宋体" w:cs="宋体"/>
          <w:b/>
          <w:color w:val="auto"/>
          <w:highlight w:val="none"/>
        </w:rPr>
        <w:t>五、</w:t>
      </w:r>
      <w:bookmarkEnd w:id="430"/>
      <w:r>
        <w:rPr>
          <w:rFonts w:hint="eastAsia" w:hAnsi="宋体" w:cs="宋体"/>
          <w:b/>
          <w:color w:val="auto"/>
          <w:highlight w:val="none"/>
        </w:rPr>
        <w:t>项目经理</w:t>
      </w:r>
    </w:p>
    <w:p>
      <w:pPr>
        <w:rPr>
          <w:rFonts w:hAnsi="宋体"/>
          <w:color w:val="auto"/>
          <w:highlight w:val="none"/>
        </w:rPr>
      </w:pPr>
      <w:r>
        <w:rPr>
          <w:rFonts w:hint="eastAsia" w:hAnsi="宋体" w:cs="宋体"/>
          <w:color w:val="auto"/>
          <w:highlight w:val="none"/>
        </w:rPr>
        <w:t>承包人项目经理：</w:t>
      </w:r>
      <w:r>
        <w:rPr>
          <w:color w:val="auto"/>
          <w:highlight w:val="none"/>
          <w:u w:val="single"/>
        </w:rPr>
        <w:t xml:space="preserve">                     </w:t>
      </w:r>
      <w:r>
        <w:rPr>
          <w:rFonts w:hint="eastAsia" w:hAnsi="宋体" w:cs="宋体"/>
          <w:color w:val="auto"/>
          <w:highlight w:val="none"/>
        </w:rPr>
        <w:t>。</w:t>
      </w:r>
    </w:p>
    <w:p>
      <w:pPr>
        <w:rPr>
          <w:b/>
          <w:color w:val="auto"/>
          <w:highlight w:val="none"/>
        </w:rPr>
      </w:pPr>
      <w:bookmarkStart w:id="431" w:name="_Toc351203486"/>
      <w:r>
        <w:rPr>
          <w:rFonts w:hint="eastAsia" w:hAnsi="宋体" w:cs="宋体"/>
          <w:b/>
          <w:color w:val="auto"/>
          <w:highlight w:val="none"/>
        </w:rPr>
        <w:t>六、合同文件构成</w:t>
      </w:r>
      <w:bookmarkEnd w:id="431"/>
    </w:p>
    <w:p>
      <w:pPr>
        <w:rPr>
          <w:color w:val="auto"/>
          <w:highlight w:val="none"/>
        </w:rPr>
      </w:pPr>
      <w:r>
        <w:rPr>
          <w:rFonts w:hint="eastAsia" w:hAnsi="宋体" w:cs="宋体"/>
          <w:color w:val="auto"/>
          <w:highlight w:val="none"/>
        </w:rPr>
        <w:t>本协议书与下列文件一起构成合同文件：</w:t>
      </w:r>
    </w:p>
    <w:p>
      <w:pPr>
        <w:rPr>
          <w:color w:val="auto"/>
          <w:highlight w:val="none"/>
        </w:rPr>
      </w:pPr>
      <w:r>
        <w:rPr>
          <w:rFonts w:hint="eastAsia" w:hAnsi="宋体" w:cs="宋体"/>
          <w:color w:val="auto"/>
          <w:highlight w:val="none"/>
        </w:rPr>
        <w:t>（</w:t>
      </w:r>
      <w:r>
        <w:rPr>
          <w:color w:val="auto"/>
          <w:highlight w:val="none"/>
        </w:rPr>
        <w:t>1</w:t>
      </w:r>
      <w:r>
        <w:rPr>
          <w:rFonts w:hint="eastAsia" w:hAnsi="宋体" w:cs="宋体"/>
          <w:color w:val="auto"/>
          <w:highlight w:val="none"/>
        </w:rPr>
        <w:t>）中标通知书；</w:t>
      </w:r>
    </w:p>
    <w:p>
      <w:pPr>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）投标函及其附录；</w:t>
      </w:r>
      <w:r>
        <w:rPr>
          <w:color w:val="auto"/>
          <w:highlight w:val="none"/>
        </w:rPr>
        <w:t xml:space="preserve"> </w:t>
      </w:r>
    </w:p>
    <w:p>
      <w:pPr>
        <w:rPr>
          <w:color w:val="auto"/>
          <w:highlight w:val="none"/>
        </w:rPr>
      </w:pPr>
      <w:r>
        <w:rPr>
          <w:rFonts w:hint="eastAsia" w:hAnsi="宋体" w:cs="宋体"/>
          <w:color w:val="auto"/>
          <w:highlight w:val="none"/>
        </w:rPr>
        <w:t>（</w:t>
      </w:r>
      <w:r>
        <w:rPr>
          <w:color w:val="auto"/>
          <w:highlight w:val="none"/>
        </w:rPr>
        <w:t>3</w:t>
      </w:r>
      <w:r>
        <w:rPr>
          <w:rFonts w:hint="eastAsia" w:hAnsi="宋体" w:cs="宋体"/>
          <w:color w:val="auto"/>
          <w:highlight w:val="none"/>
        </w:rPr>
        <w:t>）专用合同条款及其附件；</w:t>
      </w:r>
    </w:p>
    <w:p>
      <w:pPr>
        <w:rPr>
          <w:color w:val="auto"/>
          <w:highlight w:val="none"/>
        </w:rPr>
      </w:pPr>
      <w:r>
        <w:rPr>
          <w:rFonts w:hint="eastAsia" w:hAnsi="宋体" w:cs="宋体"/>
          <w:color w:val="auto"/>
          <w:highlight w:val="none"/>
        </w:rPr>
        <w:t>（</w:t>
      </w:r>
      <w:r>
        <w:rPr>
          <w:color w:val="auto"/>
          <w:highlight w:val="none"/>
        </w:rPr>
        <w:t>4</w:t>
      </w:r>
      <w:r>
        <w:rPr>
          <w:rFonts w:hint="eastAsia" w:hAnsi="宋体" w:cs="宋体"/>
          <w:color w:val="auto"/>
          <w:highlight w:val="none"/>
        </w:rPr>
        <w:t>）通用合同条款；</w:t>
      </w:r>
    </w:p>
    <w:p>
      <w:pPr>
        <w:rPr>
          <w:color w:val="auto"/>
          <w:highlight w:val="none"/>
        </w:rPr>
      </w:pPr>
      <w:r>
        <w:rPr>
          <w:rFonts w:hint="eastAsia" w:hAnsi="宋体" w:cs="宋体"/>
          <w:color w:val="auto"/>
          <w:highlight w:val="none"/>
        </w:rPr>
        <w:t>（</w:t>
      </w:r>
      <w:r>
        <w:rPr>
          <w:color w:val="auto"/>
          <w:highlight w:val="none"/>
        </w:rPr>
        <w:t>5</w:t>
      </w:r>
      <w:r>
        <w:rPr>
          <w:rFonts w:hint="eastAsia" w:hAnsi="宋体" w:cs="宋体"/>
          <w:color w:val="auto"/>
          <w:highlight w:val="none"/>
        </w:rPr>
        <w:t>）</w:t>
      </w:r>
      <w:r>
        <w:rPr>
          <w:rFonts w:hint="eastAsia" w:hAnsi="宋体"/>
          <w:color w:val="auto"/>
          <w:highlight w:val="none"/>
        </w:rPr>
        <w:t>技术标准和要求</w:t>
      </w:r>
      <w:r>
        <w:rPr>
          <w:rFonts w:hint="eastAsia" w:hAnsi="宋体" w:cs="宋体"/>
          <w:color w:val="auto"/>
          <w:highlight w:val="none"/>
        </w:rPr>
        <w:t>；</w:t>
      </w:r>
    </w:p>
    <w:p>
      <w:pPr>
        <w:rPr>
          <w:color w:val="auto"/>
          <w:highlight w:val="none"/>
        </w:rPr>
      </w:pPr>
      <w:r>
        <w:rPr>
          <w:rFonts w:hint="eastAsia" w:hAnsi="宋体" w:cs="宋体"/>
          <w:color w:val="auto"/>
          <w:highlight w:val="none"/>
        </w:rPr>
        <w:t>（</w:t>
      </w:r>
      <w:r>
        <w:rPr>
          <w:color w:val="auto"/>
          <w:highlight w:val="none"/>
        </w:rPr>
        <w:t>6</w:t>
      </w:r>
      <w:r>
        <w:rPr>
          <w:rFonts w:hint="eastAsia" w:hAnsi="宋体" w:cs="宋体"/>
          <w:color w:val="auto"/>
          <w:highlight w:val="none"/>
        </w:rPr>
        <w:t>）</w:t>
      </w:r>
      <w:r>
        <w:rPr>
          <w:rFonts w:hint="eastAsia" w:hAnsi="宋体"/>
          <w:color w:val="auto"/>
          <w:highlight w:val="none"/>
        </w:rPr>
        <w:t>已标价工程量清单</w:t>
      </w:r>
      <w:r>
        <w:rPr>
          <w:rFonts w:hint="eastAsia" w:hAnsi="宋体" w:cs="宋体"/>
          <w:color w:val="auto"/>
          <w:highlight w:val="none"/>
        </w:rPr>
        <w:t>；</w:t>
      </w:r>
    </w:p>
    <w:p>
      <w:pPr>
        <w:rPr>
          <w:color w:val="auto"/>
          <w:highlight w:val="none"/>
        </w:rPr>
      </w:pPr>
      <w:r>
        <w:rPr>
          <w:rFonts w:hint="eastAsia" w:hAnsi="宋体" w:cs="宋体"/>
          <w:color w:val="auto"/>
          <w:highlight w:val="none"/>
        </w:rPr>
        <w:t>（</w:t>
      </w:r>
      <w:r>
        <w:rPr>
          <w:color w:val="auto"/>
          <w:highlight w:val="none"/>
        </w:rPr>
        <w:t>7</w:t>
      </w:r>
      <w:r>
        <w:rPr>
          <w:rFonts w:hint="eastAsia" w:hAnsi="宋体" w:cs="宋体"/>
          <w:color w:val="auto"/>
          <w:highlight w:val="none"/>
        </w:rPr>
        <w:t>）</w:t>
      </w:r>
      <w:r>
        <w:rPr>
          <w:rFonts w:hint="eastAsia" w:hAnsi="宋体"/>
          <w:color w:val="auto"/>
          <w:highlight w:val="none"/>
        </w:rPr>
        <w:t>图纸</w:t>
      </w:r>
      <w:r>
        <w:rPr>
          <w:rFonts w:hint="eastAsia" w:hAnsi="宋体" w:cs="宋体"/>
          <w:color w:val="auto"/>
          <w:highlight w:val="none"/>
        </w:rPr>
        <w:t>；</w:t>
      </w:r>
    </w:p>
    <w:p>
      <w:pPr>
        <w:rPr>
          <w:color w:val="auto"/>
          <w:highlight w:val="none"/>
        </w:rPr>
      </w:pPr>
      <w:r>
        <w:rPr>
          <w:rFonts w:hint="eastAsia" w:hAnsi="宋体" w:cs="宋体"/>
          <w:color w:val="auto"/>
          <w:highlight w:val="none"/>
        </w:rPr>
        <w:t>（</w:t>
      </w:r>
      <w:r>
        <w:rPr>
          <w:color w:val="auto"/>
          <w:highlight w:val="none"/>
        </w:rPr>
        <w:t>8</w:t>
      </w:r>
      <w:r>
        <w:rPr>
          <w:rFonts w:hint="eastAsia" w:hAnsi="宋体" w:cs="宋体"/>
          <w:color w:val="auto"/>
          <w:highlight w:val="none"/>
        </w:rPr>
        <w:t>）其他合同文件。</w:t>
      </w:r>
    </w:p>
    <w:p>
      <w:pPr>
        <w:rPr>
          <w:rFonts w:hAnsi="宋体"/>
          <w:color w:val="auto"/>
          <w:highlight w:val="none"/>
        </w:rPr>
      </w:pPr>
      <w:r>
        <w:rPr>
          <w:rFonts w:hint="eastAsia" w:hAnsi="宋体" w:cs="宋体"/>
          <w:color w:val="auto"/>
          <w:highlight w:val="none"/>
        </w:rPr>
        <w:t>上述各项合同文件包括合同当事人就该项合同文件所作出的补充和修改，属于同一类内容的文件，</w:t>
      </w:r>
      <w:bookmarkStart w:id="432" w:name="_Hlk16012092"/>
      <w:r>
        <w:rPr>
          <w:rFonts w:hint="eastAsia" w:hAnsi="宋体" w:cs="宋体"/>
          <w:color w:val="auto"/>
          <w:highlight w:val="none"/>
        </w:rPr>
        <w:t>应以最新签署的为准（违反招标文件</w:t>
      </w:r>
      <w:r>
        <w:rPr>
          <w:rFonts w:hAnsi="宋体" w:cs="宋体"/>
          <w:color w:val="auto"/>
          <w:highlight w:val="none"/>
        </w:rPr>
        <w:t>实质性内容的约定除外</w:t>
      </w:r>
      <w:r>
        <w:rPr>
          <w:rFonts w:hint="eastAsia" w:hAnsi="宋体" w:cs="宋体"/>
          <w:color w:val="auto"/>
          <w:highlight w:val="none"/>
        </w:rPr>
        <w:t>）</w:t>
      </w:r>
      <w:bookmarkEnd w:id="432"/>
      <w:r>
        <w:rPr>
          <w:rFonts w:hint="eastAsia" w:hAnsi="宋体" w:cs="宋体"/>
          <w:color w:val="auto"/>
          <w:highlight w:val="none"/>
        </w:rPr>
        <w:t>。专用合同条款及其附件须经合同当事人签字或盖章。</w:t>
      </w:r>
    </w:p>
    <w:p>
      <w:pPr>
        <w:rPr>
          <w:b/>
          <w:color w:val="auto"/>
          <w:highlight w:val="none"/>
        </w:rPr>
      </w:pPr>
      <w:bookmarkStart w:id="433" w:name="_Toc351203487"/>
      <w:r>
        <w:rPr>
          <w:rFonts w:hint="eastAsia" w:hAnsi="宋体" w:cs="宋体"/>
          <w:b/>
          <w:color w:val="auto"/>
          <w:highlight w:val="none"/>
        </w:rPr>
        <w:t>七、承诺</w:t>
      </w:r>
      <w:bookmarkEnd w:id="433"/>
    </w:p>
    <w:p>
      <w:pPr>
        <w:rPr>
          <w:color w:val="auto"/>
          <w:highlight w:val="none"/>
        </w:rPr>
      </w:pPr>
      <w:r>
        <w:rPr>
          <w:color w:val="auto"/>
          <w:highlight w:val="none"/>
        </w:rPr>
        <w:t xml:space="preserve">1. </w:t>
      </w:r>
      <w:r>
        <w:rPr>
          <w:rFonts w:hint="eastAsia" w:hAnsi="宋体" w:cs="宋体"/>
          <w:color w:val="auto"/>
          <w:highlight w:val="none"/>
        </w:rPr>
        <w:t>发包人承诺按照法律规定履行项目审批手续、筹集工程建设资金并按照合同约定的期限和方式支付合同价款。</w:t>
      </w:r>
    </w:p>
    <w:p>
      <w:pPr>
        <w:rPr>
          <w:color w:val="auto"/>
          <w:highlight w:val="none"/>
        </w:rPr>
      </w:pPr>
      <w:r>
        <w:rPr>
          <w:color w:val="auto"/>
          <w:highlight w:val="none"/>
        </w:rPr>
        <w:t xml:space="preserve">2. </w:t>
      </w:r>
      <w:r>
        <w:rPr>
          <w:rFonts w:hint="eastAsia" w:hAnsi="宋体" w:cs="宋体"/>
          <w:color w:val="auto"/>
          <w:highlight w:val="none"/>
        </w:rPr>
        <w:t>承包人承诺按照法律规定及合同约定组织完成工程施工，确保工程质量和安全，不进行转包及违法分包，并在缺陷责任期及保修期内承担相应的工程维修责任。</w:t>
      </w:r>
    </w:p>
    <w:p>
      <w:pPr>
        <w:rPr>
          <w:rFonts w:hAnsi="宋体"/>
          <w:color w:val="auto"/>
          <w:highlight w:val="none"/>
        </w:rPr>
      </w:pPr>
      <w:r>
        <w:rPr>
          <w:color w:val="auto"/>
          <w:highlight w:val="none"/>
        </w:rPr>
        <w:t xml:space="preserve">3. </w:t>
      </w:r>
      <w:r>
        <w:rPr>
          <w:rFonts w:hint="eastAsia" w:hAnsi="宋体" w:cs="宋体"/>
          <w:color w:val="auto"/>
          <w:highlight w:val="none"/>
        </w:rPr>
        <w:t>发包人和承包人通过招投标形式签订合同的，双方理解并承诺不再就同一工程另行签订与合同实质性内容相背离的协议。</w:t>
      </w:r>
      <w:bookmarkStart w:id="434" w:name="_Toc351203488"/>
    </w:p>
    <w:p>
      <w:pPr>
        <w:rPr>
          <w:b/>
          <w:color w:val="auto"/>
          <w:highlight w:val="none"/>
        </w:rPr>
      </w:pPr>
      <w:r>
        <w:rPr>
          <w:rFonts w:hint="eastAsia" w:hAnsi="宋体" w:cs="宋体"/>
          <w:b/>
          <w:color w:val="auto"/>
          <w:highlight w:val="none"/>
        </w:rPr>
        <w:t>八、词语含义</w:t>
      </w:r>
      <w:bookmarkEnd w:id="434"/>
    </w:p>
    <w:p>
      <w:pPr>
        <w:rPr>
          <w:rFonts w:hAnsi="宋体"/>
          <w:color w:val="auto"/>
          <w:highlight w:val="none"/>
        </w:rPr>
      </w:pPr>
      <w:r>
        <w:rPr>
          <w:rFonts w:hint="eastAsia" w:hAnsi="宋体" w:cs="宋体"/>
          <w:color w:val="auto"/>
          <w:highlight w:val="none"/>
        </w:rPr>
        <w:t>本协议书中词语含义与第二部分通用合同条款中赋予的含义相同。</w:t>
      </w:r>
    </w:p>
    <w:p>
      <w:pPr>
        <w:rPr>
          <w:b/>
          <w:color w:val="auto"/>
          <w:highlight w:val="none"/>
        </w:rPr>
      </w:pPr>
      <w:bookmarkStart w:id="435" w:name="_Toc351203489"/>
      <w:r>
        <w:rPr>
          <w:rFonts w:hint="eastAsia" w:hAnsi="宋体" w:cs="宋体"/>
          <w:b/>
          <w:color w:val="auto"/>
          <w:highlight w:val="none"/>
        </w:rPr>
        <w:t>九、签订时间</w:t>
      </w:r>
      <w:bookmarkEnd w:id="435"/>
    </w:p>
    <w:p>
      <w:pPr>
        <w:rPr>
          <w:rFonts w:hAnsi="宋体"/>
          <w:color w:val="auto"/>
          <w:highlight w:val="none"/>
        </w:rPr>
      </w:pPr>
      <w:r>
        <w:rPr>
          <w:rFonts w:hint="eastAsia" w:hAnsi="宋体" w:cs="宋体"/>
          <w:color w:val="auto"/>
          <w:highlight w:val="none"/>
        </w:rPr>
        <w:t>本合同于</w:t>
      </w:r>
      <w:r>
        <w:rPr>
          <w:color w:val="auto"/>
          <w:highlight w:val="none"/>
          <w:u w:val="single"/>
        </w:rPr>
        <w:t xml:space="preserve">         </w:t>
      </w:r>
      <w:r>
        <w:rPr>
          <w:rFonts w:hint="eastAsia" w:hAnsi="宋体" w:cs="宋体"/>
          <w:color w:val="auto"/>
          <w:highlight w:val="none"/>
        </w:rPr>
        <w:t>年</w:t>
      </w:r>
      <w:r>
        <w:rPr>
          <w:color w:val="auto"/>
          <w:highlight w:val="none"/>
          <w:u w:val="single"/>
        </w:rPr>
        <w:t xml:space="preserve">    </w:t>
      </w:r>
      <w:r>
        <w:rPr>
          <w:rFonts w:hint="eastAsia" w:hAnsi="宋体" w:cs="宋体"/>
          <w:color w:val="auto"/>
          <w:highlight w:val="none"/>
        </w:rPr>
        <w:t>月</w:t>
      </w:r>
      <w:r>
        <w:rPr>
          <w:color w:val="auto"/>
          <w:highlight w:val="none"/>
          <w:u w:val="single"/>
        </w:rPr>
        <w:t xml:space="preserve">    </w:t>
      </w:r>
      <w:r>
        <w:rPr>
          <w:rFonts w:hint="eastAsia" w:hAnsi="宋体" w:cs="宋体"/>
          <w:color w:val="auto"/>
          <w:highlight w:val="none"/>
        </w:rPr>
        <w:t>日签订。</w:t>
      </w:r>
    </w:p>
    <w:p>
      <w:pPr>
        <w:rPr>
          <w:b/>
          <w:color w:val="auto"/>
          <w:highlight w:val="none"/>
        </w:rPr>
      </w:pPr>
      <w:bookmarkStart w:id="436" w:name="_Toc351203490"/>
      <w:r>
        <w:rPr>
          <w:rFonts w:hint="eastAsia" w:hAnsi="宋体" w:cs="宋体"/>
          <w:b/>
          <w:color w:val="auto"/>
          <w:highlight w:val="none"/>
        </w:rPr>
        <w:t>十、签订地点</w:t>
      </w:r>
      <w:bookmarkEnd w:id="436"/>
    </w:p>
    <w:p>
      <w:pPr>
        <w:rPr>
          <w:rFonts w:hAnsi="宋体"/>
          <w:color w:val="auto"/>
          <w:highlight w:val="none"/>
        </w:rPr>
      </w:pPr>
      <w:r>
        <w:rPr>
          <w:rFonts w:hint="eastAsia" w:hAnsi="宋体" w:cs="宋体"/>
          <w:color w:val="auto"/>
          <w:highlight w:val="none"/>
        </w:rPr>
        <w:t>本合同在</w:t>
      </w:r>
      <w:r>
        <w:rPr>
          <w:color w:val="auto"/>
          <w:highlight w:val="none"/>
          <w:u w:val="single"/>
        </w:rPr>
        <w:t xml:space="preserve"> </w:t>
      </w:r>
      <w:r>
        <w:rPr>
          <w:rFonts w:hint="eastAsia"/>
          <w:color w:val="auto"/>
          <w:highlight w:val="none"/>
          <w:u w:val="single"/>
        </w:rPr>
        <w:t>南宁市</w:t>
      </w:r>
      <w:r>
        <w:rPr>
          <w:color w:val="auto"/>
          <w:highlight w:val="none"/>
          <w:u w:val="single"/>
        </w:rPr>
        <w:t xml:space="preserve"> </w:t>
      </w:r>
      <w:r>
        <w:rPr>
          <w:rFonts w:hint="eastAsia" w:hAnsi="宋体" w:cs="宋体"/>
          <w:color w:val="auto"/>
          <w:highlight w:val="none"/>
        </w:rPr>
        <w:t>签订。</w:t>
      </w:r>
    </w:p>
    <w:p>
      <w:pPr>
        <w:rPr>
          <w:b/>
          <w:color w:val="auto"/>
          <w:highlight w:val="none"/>
        </w:rPr>
      </w:pPr>
      <w:bookmarkStart w:id="437" w:name="_Toc351203491"/>
      <w:r>
        <w:rPr>
          <w:rFonts w:hint="eastAsia" w:hAnsi="宋体" w:cs="宋体"/>
          <w:b/>
          <w:color w:val="auto"/>
          <w:highlight w:val="none"/>
        </w:rPr>
        <w:t>十一、补充协议</w:t>
      </w:r>
      <w:bookmarkEnd w:id="437"/>
    </w:p>
    <w:p>
      <w:pPr>
        <w:rPr>
          <w:rFonts w:hAnsi="宋体"/>
          <w:color w:val="auto"/>
          <w:highlight w:val="none"/>
        </w:rPr>
      </w:pPr>
      <w:r>
        <w:rPr>
          <w:rFonts w:hint="eastAsia" w:hAnsi="宋体" w:cs="宋体"/>
          <w:color w:val="auto"/>
          <w:highlight w:val="none"/>
        </w:rPr>
        <w:t>合同未尽事宜，合同当事人另行签订补充协议，补充协议是合同的组成部分。</w:t>
      </w:r>
    </w:p>
    <w:p>
      <w:pPr>
        <w:rPr>
          <w:b/>
          <w:color w:val="auto"/>
          <w:highlight w:val="none"/>
        </w:rPr>
      </w:pPr>
      <w:bookmarkStart w:id="438" w:name="_Toc351203492"/>
      <w:r>
        <w:rPr>
          <w:rFonts w:hint="eastAsia" w:hAnsi="宋体" w:cs="宋体"/>
          <w:b/>
          <w:color w:val="auto"/>
          <w:highlight w:val="none"/>
        </w:rPr>
        <w:t>十二、合同生效</w:t>
      </w:r>
      <w:bookmarkEnd w:id="438"/>
    </w:p>
    <w:p>
      <w:pPr>
        <w:rPr>
          <w:rFonts w:hAnsi="宋体"/>
          <w:color w:val="auto"/>
          <w:highlight w:val="none"/>
        </w:rPr>
      </w:pPr>
      <w:r>
        <w:rPr>
          <w:rFonts w:hint="eastAsia" w:hAnsi="宋体" w:cs="宋体"/>
          <w:color w:val="auto"/>
          <w:highlight w:val="none"/>
          <w:lang w:val="en-US" w:eastAsia="zh-CN"/>
        </w:rPr>
        <w:t>本合同自双方法定代表人或其授权委托人签字盖章后生效</w:t>
      </w:r>
      <w:r>
        <w:rPr>
          <w:rFonts w:hint="eastAsia" w:hAnsi="宋体" w:cs="宋体"/>
          <w:color w:val="auto"/>
          <w:highlight w:val="none"/>
        </w:rPr>
        <w:t>。</w:t>
      </w:r>
    </w:p>
    <w:p>
      <w:pPr>
        <w:rPr>
          <w:b/>
          <w:color w:val="auto"/>
          <w:highlight w:val="none"/>
        </w:rPr>
      </w:pPr>
      <w:bookmarkStart w:id="439" w:name="_Toc351203493"/>
      <w:r>
        <w:rPr>
          <w:rFonts w:hint="eastAsia" w:hAnsi="宋体" w:cs="宋体"/>
          <w:b/>
          <w:color w:val="auto"/>
          <w:highlight w:val="none"/>
        </w:rPr>
        <w:t>十三、合同份数</w:t>
      </w:r>
      <w:bookmarkEnd w:id="439"/>
    </w:p>
    <w:p>
      <w:pPr>
        <w:spacing w:line="360" w:lineRule="auto"/>
        <w:ind w:firstLine="420" w:firstLineChars="200"/>
        <w:rPr>
          <w:color w:val="auto"/>
          <w:highlight w:val="none"/>
        </w:rPr>
      </w:pPr>
      <w:r>
        <w:rPr>
          <w:rFonts w:hint="eastAsia" w:hAnsi="宋体" w:cs="宋体"/>
          <w:color w:val="auto"/>
          <w:highlight w:val="none"/>
        </w:rPr>
        <w:t>本合同一式</w:t>
      </w:r>
      <w:r>
        <w:rPr>
          <w:color w:val="auto"/>
          <w:highlight w:val="none"/>
          <w:u w:val="single"/>
        </w:rPr>
        <w:t xml:space="preserve">    </w:t>
      </w:r>
      <w:r>
        <w:rPr>
          <w:rFonts w:hint="eastAsia" w:hAnsi="宋体" w:cs="宋体"/>
          <w:color w:val="auto"/>
          <w:highlight w:val="none"/>
        </w:rPr>
        <w:t>份，均具有同等法律效力，发包人执</w:t>
      </w:r>
      <w:r>
        <w:rPr>
          <w:color w:val="auto"/>
          <w:highlight w:val="none"/>
          <w:u w:val="single"/>
        </w:rPr>
        <w:t xml:space="preserve">    </w:t>
      </w:r>
      <w:r>
        <w:rPr>
          <w:rFonts w:hint="eastAsia" w:hAnsi="宋体" w:cs="宋体"/>
          <w:color w:val="auto"/>
          <w:highlight w:val="none"/>
        </w:rPr>
        <w:t>份，承包人执</w:t>
      </w:r>
      <w:r>
        <w:rPr>
          <w:color w:val="auto"/>
          <w:highlight w:val="none"/>
          <w:u w:val="single"/>
        </w:rPr>
        <w:t xml:space="preserve">    </w:t>
      </w:r>
      <w:r>
        <w:rPr>
          <w:rFonts w:hint="eastAsia" w:hAnsi="宋体" w:cs="宋体"/>
          <w:color w:val="auto"/>
          <w:highlight w:val="none"/>
        </w:rPr>
        <w:t>份。</w:t>
      </w: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r>
        <w:rPr>
          <w:rFonts w:hint="eastAsia" w:hAnsi="宋体" w:cs="宋体"/>
          <w:color w:val="auto"/>
          <w:highlight w:val="none"/>
        </w:rPr>
        <w:t>发包人：</w:t>
      </w:r>
      <w:r>
        <w:rPr>
          <w:color w:val="auto"/>
          <w:highlight w:val="none"/>
        </w:rPr>
        <w:t xml:space="preserve">  </w:t>
      </w:r>
      <w:r>
        <w:rPr>
          <w:rFonts w:hint="eastAsia" w:cs="宋体"/>
          <w:color w:val="auto"/>
          <w:highlight w:val="none"/>
        </w:rPr>
        <w:t>（</w:t>
      </w:r>
      <w:r>
        <w:rPr>
          <w:rFonts w:hint="eastAsia" w:hAnsi="宋体" w:cs="宋体"/>
          <w:color w:val="auto"/>
          <w:highlight w:val="none"/>
        </w:rPr>
        <w:t>公章</w:t>
      </w:r>
      <w:r>
        <w:rPr>
          <w:rFonts w:hint="eastAsia" w:cs="宋体"/>
          <w:color w:val="auto"/>
          <w:highlight w:val="none"/>
        </w:rPr>
        <w:t>）</w:t>
      </w:r>
      <w:r>
        <w:rPr>
          <w:color w:val="auto"/>
          <w:highlight w:val="none"/>
        </w:rPr>
        <w:t xml:space="preserve">                              </w:t>
      </w:r>
      <w:r>
        <w:rPr>
          <w:rFonts w:hint="eastAsia" w:hAnsi="宋体" w:cs="宋体"/>
          <w:color w:val="auto"/>
          <w:highlight w:val="none"/>
        </w:rPr>
        <w:t>承包人：</w:t>
      </w:r>
      <w:r>
        <w:rPr>
          <w:color w:val="auto"/>
          <w:highlight w:val="none"/>
        </w:rPr>
        <w:t xml:space="preserve">  </w:t>
      </w:r>
      <w:r>
        <w:rPr>
          <w:rFonts w:hint="eastAsia" w:cs="宋体"/>
          <w:color w:val="auto"/>
          <w:highlight w:val="none"/>
        </w:rPr>
        <w:t>（</w:t>
      </w:r>
      <w:r>
        <w:rPr>
          <w:rFonts w:hint="eastAsia" w:hAnsi="宋体" w:cs="宋体"/>
          <w:color w:val="auto"/>
          <w:highlight w:val="none"/>
        </w:rPr>
        <w:t>公章</w:t>
      </w:r>
      <w:r>
        <w:rPr>
          <w:rFonts w:hint="eastAsia" w:cs="宋体"/>
          <w:color w:val="auto"/>
          <w:highlight w:val="none"/>
        </w:rPr>
        <w:t>）</w:t>
      </w:r>
    </w:p>
    <w:p>
      <w:pPr>
        <w:spacing w:line="360" w:lineRule="auto"/>
        <w:rPr>
          <w:color w:val="auto"/>
          <w:highlight w:val="none"/>
          <w:u w:val="single"/>
        </w:rPr>
      </w:pPr>
      <w:r>
        <w:rPr>
          <w:color w:val="auto"/>
          <w:highlight w:val="none"/>
        </w:rPr>
        <w:t xml:space="preserve">                                 </w:t>
      </w:r>
    </w:p>
    <w:p>
      <w:pPr>
        <w:spacing w:line="360" w:lineRule="auto"/>
        <w:rPr>
          <w:color w:val="auto"/>
          <w:highlight w:val="none"/>
        </w:rPr>
      </w:pPr>
      <w:r>
        <w:rPr>
          <w:rFonts w:hint="eastAsia" w:hAnsi="宋体" w:cs="宋体"/>
          <w:color w:val="auto"/>
          <w:highlight w:val="none"/>
        </w:rPr>
        <w:t>法定代表人或其委托代理人：</w:t>
      </w:r>
      <w:r>
        <w:rPr>
          <w:color w:val="auto"/>
          <w:highlight w:val="none"/>
        </w:rPr>
        <w:t xml:space="preserve">                    </w:t>
      </w:r>
      <w:r>
        <w:rPr>
          <w:rFonts w:hint="eastAsia" w:hAnsi="宋体" w:cs="宋体"/>
          <w:color w:val="auto"/>
          <w:highlight w:val="none"/>
        </w:rPr>
        <w:t>法定代表人或其委托代理人：</w:t>
      </w:r>
    </w:p>
    <w:p>
      <w:pPr>
        <w:spacing w:line="360" w:lineRule="auto"/>
        <w:rPr>
          <w:color w:val="auto"/>
          <w:highlight w:val="none"/>
        </w:rPr>
      </w:pPr>
      <w:r>
        <w:rPr>
          <w:rFonts w:hint="eastAsia" w:hAnsi="宋体" w:cs="宋体"/>
          <w:color w:val="auto"/>
          <w:highlight w:val="none"/>
        </w:rPr>
        <w:t>（签字）</w:t>
      </w:r>
      <w:r>
        <w:rPr>
          <w:color w:val="auto"/>
          <w:highlight w:val="none"/>
        </w:rPr>
        <w:t xml:space="preserve">                                     </w:t>
      </w:r>
      <w:r>
        <w:rPr>
          <w:rFonts w:hint="eastAsia" w:hAnsi="宋体" w:cs="宋体"/>
          <w:color w:val="auto"/>
          <w:highlight w:val="none"/>
        </w:rPr>
        <w:t>（签字）</w:t>
      </w:r>
    </w:p>
    <w:p>
      <w:pPr>
        <w:spacing w:line="360" w:lineRule="auto"/>
        <w:rPr>
          <w:color w:val="auto"/>
          <w:highlight w:val="none"/>
          <w:u w:val="single"/>
        </w:rPr>
      </w:pPr>
    </w:p>
    <w:p>
      <w:pPr>
        <w:tabs>
          <w:tab w:val="left" w:pos="4410"/>
        </w:tabs>
        <w:spacing w:line="360" w:lineRule="auto"/>
        <w:rPr>
          <w:color w:val="auto"/>
          <w:highlight w:val="none"/>
        </w:rPr>
      </w:pPr>
      <w:r>
        <w:rPr>
          <w:rFonts w:hint="eastAsia" w:hAnsi="宋体" w:cs="宋体"/>
          <w:color w:val="auto"/>
          <w:highlight w:val="none"/>
        </w:rPr>
        <w:t>统一社会信用代码：</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cs="宋体"/>
          <w:color w:val="auto"/>
          <w:highlight w:val="none"/>
        </w:rPr>
        <w:t>统一</w:t>
      </w:r>
      <w:r>
        <w:rPr>
          <w:rFonts w:hint="eastAsia" w:hAnsi="宋体" w:cs="宋体"/>
          <w:color w:val="auto"/>
          <w:highlight w:val="none"/>
        </w:rPr>
        <w:t>社会信用代码：</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p>
    <w:p>
      <w:pPr>
        <w:spacing w:line="360" w:lineRule="auto"/>
        <w:rPr>
          <w:color w:val="auto"/>
          <w:highlight w:val="none"/>
        </w:rPr>
      </w:pPr>
      <w:r>
        <w:rPr>
          <w:rFonts w:hint="eastAsia" w:hAnsi="宋体" w:cs="宋体"/>
          <w:color w:val="auto"/>
          <w:highlight w:val="none"/>
        </w:rPr>
        <w:t>地</w:t>
      </w:r>
      <w:r>
        <w:rPr>
          <w:color w:val="auto"/>
          <w:highlight w:val="none"/>
        </w:rPr>
        <w:t xml:space="preserve">  </w:t>
      </w:r>
      <w:r>
        <w:rPr>
          <w:rFonts w:hint="eastAsia" w:hAnsi="宋体" w:cs="宋体"/>
          <w:color w:val="auto"/>
          <w:highlight w:val="none"/>
        </w:rPr>
        <w:t>址：</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hAnsi="宋体" w:cs="宋体"/>
          <w:color w:val="auto"/>
          <w:highlight w:val="none"/>
        </w:rPr>
        <w:t>地</w:t>
      </w:r>
      <w:r>
        <w:rPr>
          <w:color w:val="auto"/>
          <w:highlight w:val="none"/>
        </w:rPr>
        <w:t xml:space="preserve">  </w:t>
      </w:r>
      <w:r>
        <w:rPr>
          <w:rFonts w:hint="eastAsia" w:hAnsi="宋体" w:cs="宋体"/>
          <w:color w:val="auto"/>
          <w:highlight w:val="none"/>
        </w:rPr>
        <w:t>址：</w:t>
      </w:r>
      <w:r>
        <w:rPr>
          <w:color w:val="auto"/>
          <w:highlight w:val="none"/>
          <w:u w:val="single"/>
        </w:rPr>
        <w:t xml:space="preserve">        </w:t>
      </w:r>
      <w:r>
        <w:rPr>
          <w:rFonts w:hint="eastAsia"/>
          <w:color w:val="auto"/>
          <w:highlight w:val="none"/>
          <w:u w:val="single"/>
        </w:rPr>
        <w:t xml:space="preserve">                    </w:t>
      </w:r>
    </w:p>
    <w:p>
      <w:pPr>
        <w:spacing w:line="360" w:lineRule="auto"/>
        <w:rPr>
          <w:color w:val="auto"/>
          <w:highlight w:val="none"/>
        </w:rPr>
      </w:pPr>
      <w:r>
        <w:rPr>
          <w:rFonts w:hint="eastAsia" w:hAnsi="宋体" w:cs="宋体"/>
          <w:color w:val="auto"/>
          <w:highlight w:val="none"/>
        </w:rPr>
        <w:t>邮政编码：</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color w:val="auto"/>
          <w:highlight w:val="none"/>
        </w:rPr>
        <w:t xml:space="preserve"> </w:t>
      </w:r>
      <w:r>
        <w:rPr>
          <w:rFonts w:hint="eastAsia" w:hAnsi="宋体" w:cs="宋体"/>
          <w:color w:val="auto"/>
          <w:highlight w:val="none"/>
        </w:rPr>
        <w:t>邮政编码：</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pPr>
        <w:spacing w:line="360" w:lineRule="auto"/>
        <w:rPr>
          <w:color w:val="auto"/>
          <w:highlight w:val="none"/>
        </w:rPr>
      </w:pPr>
      <w:r>
        <w:rPr>
          <w:rFonts w:hint="eastAsia" w:hAnsi="宋体" w:cs="宋体"/>
          <w:color w:val="auto"/>
          <w:highlight w:val="none"/>
        </w:rPr>
        <w:t>法定代表人：</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hAnsi="宋体" w:cs="宋体"/>
          <w:color w:val="auto"/>
          <w:highlight w:val="none"/>
        </w:rPr>
        <w:t>法定代表人：</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pPr>
        <w:spacing w:line="360" w:lineRule="auto"/>
        <w:rPr>
          <w:color w:val="auto"/>
          <w:highlight w:val="none"/>
        </w:rPr>
      </w:pPr>
      <w:r>
        <w:rPr>
          <w:rFonts w:hint="eastAsia" w:hAnsi="宋体" w:cs="宋体"/>
          <w:color w:val="auto"/>
          <w:highlight w:val="none"/>
        </w:rPr>
        <w:t>委托代理人：</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hAnsi="宋体" w:cs="宋体"/>
          <w:color w:val="auto"/>
          <w:highlight w:val="none"/>
        </w:rPr>
        <w:t>委托代理人：</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pPr>
        <w:spacing w:line="360" w:lineRule="auto"/>
        <w:rPr>
          <w:color w:val="auto"/>
          <w:highlight w:val="none"/>
        </w:rPr>
      </w:pPr>
      <w:r>
        <w:rPr>
          <w:rFonts w:hint="eastAsia" w:hAnsi="宋体" w:cs="宋体"/>
          <w:color w:val="auto"/>
          <w:highlight w:val="none"/>
        </w:rPr>
        <w:t>电</w:t>
      </w:r>
      <w:r>
        <w:rPr>
          <w:color w:val="auto"/>
          <w:highlight w:val="none"/>
        </w:rPr>
        <w:t xml:space="preserve">  </w:t>
      </w:r>
      <w:r>
        <w:rPr>
          <w:rFonts w:hint="eastAsia" w:hAnsi="宋体" w:cs="宋体"/>
          <w:color w:val="auto"/>
          <w:highlight w:val="none"/>
        </w:rPr>
        <w:t>话：</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hAnsi="宋体" w:cs="宋体"/>
          <w:color w:val="auto"/>
          <w:highlight w:val="none"/>
        </w:rPr>
        <w:t>电</w:t>
      </w:r>
      <w:r>
        <w:rPr>
          <w:color w:val="auto"/>
          <w:highlight w:val="none"/>
        </w:rPr>
        <w:t xml:space="preserve">  </w:t>
      </w:r>
      <w:r>
        <w:rPr>
          <w:rFonts w:hint="eastAsia" w:hAnsi="宋体" w:cs="宋体"/>
          <w:color w:val="auto"/>
          <w:highlight w:val="none"/>
        </w:rPr>
        <w:t>话：</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pPr>
        <w:spacing w:line="360" w:lineRule="auto"/>
        <w:rPr>
          <w:color w:val="auto"/>
          <w:highlight w:val="none"/>
        </w:rPr>
      </w:pPr>
      <w:r>
        <w:rPr>
          <w:rFonts w:hint="eastAsia" w:hAnsi="宋体" w:cs="宋体"/>
          <w:color w:val="auto"/>
          <w:highlight w:val="none"/>
        </w:rPr>
        <w:t>传</w:t>
      </w:r>
      <w:r>
        <w:rPr>
          <w:color w:val="auto"/>
          <w:highlight w:val="none"/>
        </w:rPr>
        <w:t xml:space="preserve">  </w:t>
      </w:r>
      <w:r>
        <w:rPr>
          <w:rFonts w:hint="eastAsia" w:hAnsi="宋体" w:cs="宋体"/>
          <w:color w:val="auto"/>
          <w:highlight w:val="none"/>
        </w:rPr>
        <w:t>真：</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hAnsi="宋体" w:cs="宋体"/>
          <w:color w:val="auto"/>
          <w:highlight w:val="none"/>
        </w:rPr>
        <w:t>传</w:t>
      </w:r>
      <w:r>
        <w:rPr>
          <w:color w:val="auto"/>
          <w:highlight w:val="none"/>
        </w:rPr>
        <w:t xml:space="preserve">  </w:t>
      </w:r>
      <w:r>
        <w:rPr>
          <w:rFonts w:hint="eastAsia" w:hAnsi="宋体" w:cs="宋体"/>
          <w:color w:val="auto"/>
          <w:highlight w:val="none"/>
        </w:rPr>
        <w:t>真：</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pPr>
        <w:spacing w:line="360" w:lineRule="auto"/>
        <w:rPr>
          <w:color w:val="auto"/>
          <w:highlight w:val="none"/>
        </w:rPr>
      </w:pPr>
      <w:r>
        <w:rPr>
          <w:rFonts w:hint="eastAsia" w:hAnsi="宋体" w:cs="宋体"/>
          <w:color w:val="auto"/>
          <w:highlight w:val="none"/>
        </w:rPr>
        <w:t>电子信箱：</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hAnsi="宋体" w:cs="宋体"/>
          <w:color w:val="auto"/>
          <w:highlight w:val="none"/>
        </w:rPr>
        <w:t>电子信箱：</w:t>
      </w:r>
      <w:r>
        <w:rPr>
          <w:color w:val="auto"/>
          <w:highlight w:val="none"/>
          <w:u w:val="single"/>
        </w:rPr>
        <w:t xml:space="preserve">   </w:t>
      </w:r>
      <w:r>
        <w:rPr>
          <w:rFonts w:hint="eastAsia"/>
          <w:color w:val="auto"/>
          <w:highlight w:val="none"/>
          <w:u w:val="single"/>
        </w:rPr>
        <w:t xml:space="preserve">                      </w:t>
      </w:r>
    </w:p>
    <w:p>
      <w:pPr>
        <w:spacing w:line="360" w:lineRule="auto"/>
        <w:rPr>
          <w:color w:val="auto"/>
          <w:highlight w:val="none"/>
        </w:rPr>
      </w:pPr>
      <w:r>
        <w:rPr>
          <w:rFonts w:hint="eastAsia" w:hAnsi="宋体" w:cs="宋体"/>
          <w:color w:val="auto"/>
          <w:highlight w:val="none"/>
        </w:rPr>
        <w:t>开户银行：</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hAnsi="宋体" w:cs="宋体"/>
          <w:color w:val="auto"/>
          <w:highlight w:val="none"/>
        </w:rPr>
        <w:t>开户银行：</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pPr>
        <w:rPr>
          <w:color w:val="auto"/>
          <w:highlight w:val="none"/>
          <w:u w:val="single"/>
        </w:rPr>
      </w:pPr>
      <w:r>
        <w:rPr>
          <w:rFonts w:hint="eastAsia" w:hAnsi="宋体" w:cs="宋体"/>
          <w:color w:val="auto"/>
          <w:highlight w:val="none"/>
        </w:rPr>
        <w:t>账</w:t>
      </w:r>
      <w:r>
        <w:rPr>
          <w:color w:val="auto"/>
          <w:highlight w:val="none"/>
        </w:rPr>
        <w:t xml:space="preserve">  </w:t>
      </w:r>
      <w:r>
        <w:rPr>
          <w:rFonts w:hint="eastAsia" w:hAnsi="宋体" w:cs="宋体"/>
          <w:color w:val="auto"/>
          <w:highlight w:val="none"/>
        </w:rPr>
        <w:t>号：</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hAnsi="宋体" w:cs="宋体"/>
          <w:color w:val="auto"/>
          <w:highlight w:val="none"/>
        </w:rPr>
        <w:t>账</w:t>
      </w:r>
      <w:r>
        <w:rPr>
          <w:color w:val="auto"/>
          <w:highlight w:val="none"/>
        </w:rPr>
        <w:t xml:space="preserve">  </w:t>
      </w:r>
      <w:r>
        <w:rPr>
          <w:rFonts w:hint="eastAsia" w:hAnsi="宋体" w:cs="宋体"/>
          <w:color w:val="auto"/>
          <w:highlight w:val="none"/>
        </w:rPr>
        <w:t>号：</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pPr>
        <w:widowControl/>
        <w:jc w:val="left"/>
        <w:rPr>
          <w:color w:val="auto"/>
          <w:highlight w:val="none"/>
          <w:u w:val="single"/>
        </w:rPr>
      </w:pPr>
      <w:r>
        <w:rPr>
          <w:color w:val="auto"/>
          <w:highlight w:val="none"/>
        </w:rPr>
        <w:br w:type="page"/>
      </w:r>
    </w:p>
    <w:p>
      <w:pPr>
        <w:pStyle w:val="3"/>
        <w:jc w:val="center"/>
        <w:rPr>
          <w:color w:val="auto"/>
          <w:highlight w:val="none"/>
        </w:rPr>
      </w:pPr>
      <w:bookmarkStart w:id="440" w:name="_Toc389065256"/>
      <w:bookmarkStart w:id="441" w:name="_Toc14857"/>
      <w:bookmarkStart w:id="442" w:name="_Toc407135192"/>
      <w:bookmarkStart w:id="443" w:name="_Toc66186396"/>
      <w:bookmarkStart w:id="444" w:name="_Toc351203632"/>
      <w:bookmarkStart w:id="445" w:name="_Toc373227691"/>
      <w:bookmarkStart w:id="446" w:name="_Toc373478338"/>
      <w:r>
        <w:rPr>
          <w:rFonts w:hint="eastAsia" w:cs="黑体"/>
          <w:color w:val="auto"/>
          <w:highlight w:val="none"/>
        </w:rPr>
        <w:t>第二部分</w:t>
      </w:r>
      <w:r>
        <w:rPr>
          <w:color w:val="auto"/>
          <w:highlight w:val="none"/>
        </w:rPr>
        <w:t xml:space="preserve"> </w:t>
      </w:r>
      <w:r>
        <w:rPr>
          <w:rFonts w:hint="eastAsia" w:cs="黑体"/>
          <w:color w:val="auto"/>
          <w:highlight w:val="none"/>
        </w:rPr>
        <w:t>通用合同条款</w:t>
      </w:r>
      <w:bookmarkEnd w:id="440"/>
      <w:bookmarkEnd w:id="441"/>
      <w:bookmarkEnd w:id="442"/>
      <w:bookmarkEnd w:id="443"/>
    </w:p>
    <w:p>
      <w:pPr>
        <w:spacing w:line="360" w:lineRule="auto"/>
        <w:ind w:firstLine="420" w:firstLineChars="200"/>
        <w:rPr>
          <w:rFonts w:hAnsi="宋体"/>
          <w:color w:val="auto"/>
          <w:kern w:val="0"/>
          <w:highlight w:val="none"/>
        </w:rPr>
      </w:pPr>
    </w:p>
    <w:p>
      <w:pPr>
        <w:spacing w:line="360" w:lineRule="auto"/>
        <w:ind w:firstLine="422" w:firstLineChars="200"/>
        <w:rPr>
          <w:rFonts w:hAnsi="宋体"/>
          <w:b/>
          <w:color w:val="auto"/>
          <w:kern w:val="0"/>
          <w:highlight w:val="none"/>
        </w:rPr>
      </w:pPr>
      <w:r>
        <w:rPr>
          <w:rFonts w:hint="eastAsia" w:hAnsi="宋体" w:cs="宋体"/>
          <w:b/>
          <w:color w:val="auto"/>
          <w:kern w:val="0"/>
          <w:highlight w:val="none"/>
        </w:rPr>
        <w:t>采用《建设工程施工合同（示范文本）》（</w:t>
      </w:r>
      <w:r>
        <w:rPr>
          <w:rFonts w:hAnsi="宋体"/>
          <w:b/>
          <w:color w:val="auto"/>
          <w:kern w:val="0"/>
          <w:highlight w:val="none"/>
        </w:rPr>
        <w:t>GF</w:t>
      </w:r>
      <w:r>
        <w:rPr>
          <w:rFonts w:hAnsi="宋体" w:cs="宋体"/>
          <w:b/>
          <w:color w:val="auto"/>
          <w:kern w:val="0"/>
          <w:highlight w:val="none"/>
        </w:rPr>
        <w:t>—</w:t>
      </w:r>
      <w:r>
        <w:rPr>
          <w:rFonts w:hAnsi="宋体"/>
          <w:b/>
          <w:color w:val="auto"/>
          <w:kern w:val="0"/>
          <w:highlight w:val="none"/>
        </w:rPr>
        <w:t>201</w:t>
      </w:r>
      <w:r>
        <w:rPr>
          <w:rFonts w:hint="eastAsia" w:hAnsi="宋体"/>
          <w:b/>
          <w:color w:val="auto"/>
          <w:kern w:val="0"/>
          <w:highlight w:val="none"/>
        </w:rPr>
        <w:t>7</w:t>
      </w:r>
      <w:r>
        <w:rPr>
          <w:rFonts w:hAnsi="宋体" w:cs="宋体"/>
          <w:b/>
          <w:color w:val="auto"/>
          <w:kern w:val="0"/>
          <w:highlight w:val="none"/>
        </w:rPr>
        <w:t>—</w:t>
      </w:r>
      <w:r>
        <w:rPr>
          <w:rFonts w:hAnsi="宋体"/>
          <w:b/>
          <w:color w:val="auto"/>
          <w:kern w:val="0"/>
          <w:highlight w:val="none"/>
        </w:rPr>
        <w:t>0201</w:t>
      </w:r>
      <w:r>
        <w:rPr>
          <w:rFonts w:hint="eastAsia" w:hAnsi="宋体" w:cs="宋体"/>
          <w:b/>
          <w:color w:val="auto"/>
          <w:kern w:val="0"/>
          <w:highlight w:val="none"/>
        </w:rPr>
        <w:t>）。</w:t>
      </w:r>
    </w:p>
    <w:p>
      <w:pPr>
        <w:pStyle w:val="3"/>
        <w:keepNext w:val="0"/>
        <w:keepLines w:val="0"/>
        <w:jc w:val="center"/>
        <w:rPr>
          <w:rFonts w:hAnsi="宋体"/>
          <w:color w:val="auto"/>
          <w:sz w:val="30"/>
          <w:szCs w:val="30"/>
          <w:highlight w:val="none"/>
        </w:rPr>
      </w:pPr>
      <w:bookmarkStart w:id="447" w:name="_Toc407135193"/>
      <w:bookmarkStart w:id="448" w:name="_Toc389065257"/>
      <w:bookmarkStart w:id="449" w:name="_Toc15681"/>
      <w:bookmarkStart w:id="450" w:name="_Toc66186397"/>
      <w:r>
        <w:rPr>
          <w:rFonts w:hint="eastAsia" w:hAnsi="宋体" w:cs="黑体"/>
          <w:color w:val="auto"/>
          <w:sz w:val="30"/>
          <w:szCs w:val="30"/>
          <w:highlight w:val="none"/>
        </w:rPr>
        <w:t>第三部分</w:t>
      </w:r>
      <w:r>
        <w:rPr>
          <w:color w:val="auto"/>
          <w:sz w:val="30"/>
          <w:szCs w:val="30"/>
          <w:highlight w:val="none"/>
        </w:rPr>
        <w:t xml:space="preserve"> </w:t>
      </w:r>
      <w:r>
        <w:rPr>
          <w:rFonts w:hint="eastAsia" w:hAnsi="宋体" w:cs="黑体"/>
          <w:color w:val="auto"/>
          <w:sz w:val="30"/>
          <w:szCs w:val="30"/>
          <w:highlight w:val="none"/>
        </w:rPr>
        <w:t>专用合同条款</w:t>
      </w:r>
      <w:bookmarkEnd w:id="444"/>
      <w:bookmarkEnd w:id="445"/>
      <w:bookmarkEnd w:id="446"/>
      <w:bookmarkEnd w:id="447"/>
      <w:bookmarkEnd w:id="448"/>
      <w:bookmarkEnd w:id="449"/>
      <w:bookmarkEnd w:id="450"/>
    </w:p>
    <w:p>
      <w:pPr>
        <w:pStyle w:val="4"/>
        <w:rPr>
          <w:color w:val="auto"/>
          <w:highlight w:val="none"/>
        </w:rPr>
      </w:pPr>
      <w:bookmarkStart w:id="451" w:name="_Toc389065258"/>
      <w:bookmarkStart w:id="452" w:name="_Toc373227692"/>
      <w:bookmarkStart w:id="453" w:name="_Toc351203633"/>
      <w:bookmarkStart w:id="454" w:name="_Toc407135194"/>
      <w:bookmarkStart w:id="455" w:name="_Toc4671"/>
      <w:bookmarkStart w:id="456" w:name="_Toc373478339"/>
      <w:bookmarkStart w:id="457" w:name="_Toc66186398"/>
      <w:r>
        <w:rPr>
          <w:color w:val="auto"/>
          <w:highlight w:val="none"/>
        </w:rPr>
        <w:t>1</w:t>
      </w:r>
      <w:bookmarkStart w:id="458" w:name="_Toc297048342"/>
      <w:bookmarkStart w:id="459" w:name="_Toc292559361"/>
      <w:bookmarkStart w:id="460" w:name="_Toc296890984"/>
      <w:bookmarkStart w:id="461" w:name="_Toc296944495"/>
      <w:bookmarkStart w:id="462" w:name="_Toc297120456"/>
      <w:bookmarkStart w:id="463" w:name="_Toc292559866"/>
      <w:bookmarkStart w:id="464" w:name="_Toc296891196"/>
      <w:bookmarkStart w:id="465" w:name="_Toc296346657"/>
      <w:bookmarkStart w:id="466" w:name="_Toc296347155"/>
      <w:bookmarkStart w:id="467" w:name="_Toc296503156"/>
      <w:r>
        <w:rPr>
          <w:color w:val="auto"/>
          <w:highlight w:val="none"/>
        </w:rPr>
        <w:t xml:space="preserve">. </w:t>
      </w:r>
      <w:r>
        <w:rPr>
          <w:rFonts w:hint="eastAsia" w:hAnsi="宋体" w:cs="黑体"/>
          <w:color w:val="auto"/>
          <w:highlight w:val="none"/>
        </w:rPr>
        <w:t>一般约定</w:t>
      </w:r>
      <w:bookmarkEnd w:id="451"/>
      <w:bookmarkEnd w:id="452"/>
      <w:bookmarkEnd w:id="453"/>
      <w:bookmarkEnd w:id="454"/>
      <w:bookmarkEnd w:id="455"/>
      <w:bookmarkEnd w:id="456"/>
      <w:bookmarkEnd w:id="457"/>
    </w:p>
    <w:bookmarkEnd w:id="458"/>
    <w:bookmarkEnd w:id="459"/>
    <w:bookmarkEnd w:id="460"/>
    <w:bookmarkEnd w:id="461"/>
    <w:bookmarkEnd w:id="462"/>
    <w:bookmarkEnd w:id="463"/>
    <w:bookmarkEnd w:id="464"/>
    <w:bookmarkEnd w:id="465"/>
    <w:bookmarkEnd w:id="466"/>
    <w:bookmarkEnd w:id="467"/>
    <w:p>
      <w:pPr>
        <w:pStyle w:val="5"/>
        <w:rPr>
          <w:color w:val="auto"/>
          <w:highlight w:val="none"/>
        </w:rPr>
      </w:pPr>
      <w:bookmarkStart w:id="468" w:name="_Toc373478340"/>
      <w:bookmarkStart w:id="469" w:name="_Toc407135195"/>
      <w:bookmarkStart w:id="470" w:name="_Toc373227693"/>
      <w:bookmarkStart w:id="471" w:name="_Toc66186399"/>
      <w:bookmarkStart w:id="472" w:name="_Toc389065259"/>
      <w:bookmarkStart w:id="473" w:name="_Toc27974"/>
      <w:r>
        <w:rPr>
          <w:color w:val="auto"/>
          <w:highlight w:val="none"/>
        </w:rPr>
        <w:t xml:space="preserve">1.1 </w:t>
      </w:r>
      <w:r>
        <w:rPr>
          <w:rFonts w:hint="eastAsia" w:hAnsi="宋体" w:cs="黑体"/>
          <w:color w:val="auto"/>
          <w:highlight w:val="none"/>
        </w:rPr>
        <w:t>词语定义</w:t>
      </w:r>
      <w:bookmarkEnd w:id="468"/>
      <w:bookmarkEnd w:id="469"/>
      <w:bookmarkEnd w:id="470"/>
      <w:bookmarkEnd w:id="471"/>
      <w:bookmarkEnd w:id="472"/>
      <w:bookmarkEnd w:id="473"/>
    </w:p>
    <w:p>
      <w:pPr>
        <w:spacing w:line="360" w:lineRule="auto"/>
        <w:ind w:firstLine="420" w:firstLineChars="200"/>
        <w:rPr>
          <w:color w:val="auto"/>
          <w:kern w:val="0"/>
          <w:highlight w:val="none"/>
        </w:rPr>
      </w:pPr>
      <w:r>
        <w:rPr>
          <w:color w:val="auto"/>
          <w:kern w:val="0"/>
          <w:highlight w:val="none"/>
        </w:rPr>
        <w:t xml:space="preserve">1.1.1 </w:t>
      </w:r>
      <w:r>
        <w:rPr>
          <w:rFonts w:hint="eastAsia" w:hAnsi="宋体" w:cs="宋体"/>
          <w:color w:val="auto"/>
          <w:kern w:val="0"/>
          <w:highlight w:val="none"/>
        </w:rPr>
        <w:t>合同</w:t>
      </w:r>
    </w:p>
    <w:p>
      <w:pPr>
        <w:spacing w:line="360" w:lineRule="auto"/>
        <w:ind w:firstLine="420" w:firstLineChars="200"/>
        <w:rPr>
          <w:color w:val="auto"/>
          <w:kern w:val="0"/>
          <w:highlight w:val="none"/>
        </w:rPr>
      </w:pPr>
      <w:r>
        <w:rPr>
          <w:color w:val="auto"/>
          <w:kern w:val="0"/>
          <w:highlight w:val="none"/>
        </w:rPr>
        <w:t xml:space="preserve">1.1.1.10 </w:t>
      </w:r>
      <w:r>
        <w:rPr>
          <w:rFonts w:hint="eastAsia" w:hAnsi="宋体" w:cs="宋体"/>
          <w:color w:val="auto"/>
          <w:kern w:val="0"/>
          <w:highlight w:val="none"/>
        </w:rPr>
        <w:t>其他合同文件包括：</w:t>
      </w:r>
      <w:r>
        <w:rPr>
          <w:rFonts w:hint="eastAsia"/>
          <w:color w:val="auto"/>
          <w:highlight w:val="none"/>
          <w:u w:val="single"/>
        </w:rPr>
        <w:t>其它有关本工程的洽商、变更等书面协议，有效的工程签证单，经发包人审核书面同意的施工组织设计及各项施工方案，经发包人、承包人确认的会议纪要、备忘录、往来函件等文件</w:t>
      </w:r>
      <w:r>
        <w:rPr>
          <w:rFonts w:hint="eastAsia" w:hAnsi="宋体" w:cs="宋体"/>
          <w:color w:val="auto"/>
          <w:highlight w:val="none"/>
        </w:rPr>
        <w:t>。</w:t>
      </w:r>
    </w:p>
    <w:p>
      <w:pPr>
        <w:spacing w:line="360" w:lineRule="auto"/>
        <w:ind w:firstLine="420" w:firstLineChars="200"/>
        <w:rPr>
          <w:color w:val="auto"/>
          <w:highlight w:val="none"/>
        </w:rPr>
      </w:pPr>
      <w:r>
        <w:rPr>
          <w:color w:val="auto"/>
          <w:highlight w:val="none"/>
        </w:rPr>
        <w:t xml:space="preserve">1.1.2 </w:t>
      </w:r>
      <w:r>
        <w:rPr>
          <w:rFonts w:hint="eastAsia" w:hAnsi="宋体" w:cs="宋体"/>
          <w:color w:val="auto"/>
          <w:highlight w:val="none"/>
        </w:rPr>
        <w:t>合同当事人及其他相关方</w:t>
      </w:r>
    </w:p>
    <w:p>
      <w:pPr>
        <w:spacing w:line="360" w:lineRule="auto"/>
        <w:ind w:firstLine="420" w:firstLineChars="200"/>
        <w:jc w:val="left"/>
        <w:rPr>
          <w:color w:val="auto"/>
          <w:highlight w:val="none"/>
        </w:rPr>
      </w:pPr>
      <w:r>
        <w:rPr>
          <w:color w:val="auto"/>
          <w:highlight w:val="none"/>
        </w:rPr>
        <w:t xml:space="preserve">1.1.2.4 </w:t>
      </w:r>
      <w:r>
        <w:rPr>
          <w:rFonts w:hint="eastAsia" w:hAnsi="宋体" w:cs="宋体"/>
          <w:color w:val="auto"/>
          <w:highlight w:val="none"/>
        </w:rPr>
        <w:t>监理人：</w:t>
      </w:r>
    </w:p>
    <w:p>
      <w:pPr>
        <w:spacing w:line="360" w:lineRule="auto"/>
        <w:ind w:firstLine="420" w:firstLineChars="200"/>
        <w:jc w:val="left"/>
        <w:rPr>
          <w:rFonts w:hAnsi="宋体" w:cs="宋体"/>
          <w:color w:val="auto"/>
          <w:kern w:val="0"/>
          <w:highlight w:val="none"/>
        </w:rPr>
      </w:pPr>
      <w:r>
        <w:rPr>
          <w:rFonts w:hint="eastAsia" w:hAnsi="宋体" w:cs="宋体"/>
          <w:color w:val="auto"/>
          <w:kern w:val="0"/>
          <w:highlight w:val="none"/>
        </w:rPr>
        <w:t>名</w:t>
      </w:r>
      <w:r>
        <w:rPr>
          <w:rFonts w:hAnsi="宋体" w:cs="宋体"/>
          <w:color w:val="auto"/>
          <w:kern w:val="0"/>
          <w:highlight w:val="none"/>
        </w:rPr>
        <w:t xml:space="preserve">    </w:t>
      </w:r>
      <w:r>
        <w:rPr>
          <w:rFonts w:hint="eastAsia" w:hAnsi="宋体" w:cs="宋体"/>
          <w:color w:val="auto"/>
          <w:kern w:val="0"/>
          <w:highlight w:val="none"/>
        </w:rPr>
        <w:t>称：</w:t>
      </w:r>
      <w:r>
        <w:rPr>
          <w:rFonts w:hAnsi="宋体" w:cs="宋体"/>
          <w:color w:val="auto"/>
          <w:kern w:val="0"/>
          <w:highlight w:val="none"/>
          <w:u w:val="single"/>
        </w:rPr>
        <w:t xml:space="preserve">                </w:t>
      </w:r>
      <w:r>
        <w:rPr>
          <w:rFonts w:hint="eastAsia" w:hAnsi="宋体" w:cs="宋体"/>
          <w:color w:val="auto"/>
          <w:kern w:val="0"/>
          <w:highlight w:val="none"/>
        </w:rPr>
        <w:t>；</w:t>
      </w:r>
    </w:p>
    <w:p>
      <w:pPr>
        <w:spacing w:line="360" w:lineRule="auto"/>
        <w:ind w:firstLine="420" w:firstLineChars="200"/>
        <w:jc w:val="left"/>
        <w:rPr>
          <w:rFonts w:hAnsi="宋体" w:cs="宋体"/>
          <w:color w:val="auto"/>
          <w:kern w:val="0"/>
          <w:highlight w:val="none"/>
        </w:rPr>
      </w:pPr>
      <w:r>
        <w:rPr>
          <w:rFonts w:hint="eastAsia" w:hAnsi="宋体" w:cs="宋体"/>
          <w:color w:val="auto"/>
          <w:kern w:val="0"/>
          <w:highlight w:val="none"/>
        </w:rPr>
        <w:t>资质类别和等级：</w:t>
      </w:r>
      <w:r>
        <w:rPr>
          <w:rFonts w:hAnsi="宋体" w:cs="宋体"/>
          <w:color w:val="auto"/>
          <w:kern w:val="0"/>
          <w:highlight w:val="none"/>
          <w:u w:val="single"/>
        </w:rPr>
        <w:t xml:space="preserve">               </w:t>
      </w:r>
      <w:r>
        <w:rPr>
          <w:rFonts w:hint="eastAsia" w:hAnsi="宋体" w:cs="宋体"/>
          <w:color w:val="auto"/>
          <w:kern w:val="0"/>
          <w:highlight w:val="none"/>
        </w:rPr>
        <w:t>；</w:t>
      </w:r>
    </w:p>
    <w:p>
      <w:pPr>
        <w:spacing w:line="360" w:lineRule="auto"/>
        <w:ind w:firstLine="420" w:firstLineChars="200"/>
        <w:jc w:val="left"/>
        <w:rPr>
          <w:rFonts w:hAnsi="宋体" w:cs="宋体"/>
          <w:color w:val="auto"/>
          <w:kern w:val="0"/>
          <w:highlight w:val="none"/>
        </w:rPr>
      </w:pPr>
      <w:r>
        <w:rPr>
          <w:rFonts w:hint="eastAsia" w:hAnsi="宋体" w:cs="宋体"/>
          <w:color w:val="auto"/>
          <w:kern w:val="0"/>
          <w:highlight w:val="none"/>
        </w:rPr>
        <w:t>联系电话：</w:t>
      </w:r>
      <w:r>
        <w:rPr>
          <w:rFonts w:hAnsi="宋体" w:cs="宋体"/>
          <w:color w:val="auto"/>
          <w:kern w:val="0"/>
          <w:highlight w:val="none"/>
          <w:u w:val="single"/>
        </w:rPr>
        <w:t xml:space="preserve">                </w:t>
      </w:r>
      <w:r>
        <w:rPr>
          <w:rFonts w:hint="eastAsia" w:hAnsi="宋体" w:cs="宋体"/>
          <w:color w:val="auto"/>
          <w:kern w:val="0"/>
          <w:highlight w:val="none"/>
        </w:rPr>
        <w:t>；</w:t>
      </w:r>
    </w:p>
    <w:p>
      <w:pPr>
        <w:spacing w:line="360" w:lineRule="auto"/>
        <w:ind w:firstLine="420" w:firstLineChars="200"/>
        <w:jc w:val="left"/>
        <w:rPr>
          <w:rFonts w:hAnsi="宋体" w:cs="宋体"/>
          <w:color w:val="auto"/>
          <w:kern w:val="0"/>
          <w:highlight w:val="none"/>
        </w:rPr>
      </w:pPr>
      <w:r>
        <w:rPr>
          <w:rFonts w:hint="eastAsia" w:hAnsi="宋体" w:cs="宋体"/>
          <w:color w:val="auto"/>
          <w:kern w:val="0"/>
          <w:highlight w:val="none"/>
        </w:rPr>
        <w:t>电子信箱：</w:t>
      </w:r>
      <w:r>
        <w:rPr>
          <w:rFonts w:hAnsi="宋体" w:cs="宋体"/>
          <w:color w:val="auto"/>
          <w:kern w:val="0"/>
          <w:highlight w:val="none"/>
          <w:u w:val="single"/>
        </w:rPr>
        <w:t xml:space="preserve">                </w:t>
      </w:r>
      <w:r>
        <w:rPr>
          <w:rFonts w:hint="eastAsia" w:hAnsi="宋体" w:cs="宋体"/>
          <w:color w:val="auto"/>
          <w:kern w:val="0"/>
          <w:highlight w:val="none"/>
        </w:rPr>
        <w:t>；</w:t>
      </w:r>
    </w:p>
    <w:p>
      <w:pPr>
        <w:spacing w:line="360" w:lineRule="auto"/>
        <w:ind w:firstLine="420" w:firstLineChars="200"/>
        <w:jc w:val="left"/>
        <w:rPr>
          <w:color w:val="auto"/>
          <w:highlight w:val="none"/>
        </w:rPr>
      </w:pPr>
      <w:r>
        <w:rPr>
          <w:rFonts w:hint="eastAsia" w:hAnsi="宋体" w:cs="宋体"/>
          <w:color w:val="auto"/>
          <w:kern w:val="0"/>
          <w:highlight w:val="none"/>
        </w:rPr>
        <w:t>通信地址：</w:t>
      </w:r>
      <w:r>
        <w:rPr>
          <w:color w:val="auto"/>
          <w:highlight w:val="none"/>
          <w:u w:val="single"/>
        </w:rPr>
        <w:t xml:space="preserve">                </w:t>
      </w:r>
      <w:r>
        <w:rPr>
          <w:rFonts w:hint="eastAsia" w:hAnsi="宋体" w:cs="宋体"/>
          <w:color w:val="auto"/>
          <w:highlight w:val="none"/>
        </w:rPr>
        <w:t>。</w:t>
      </w:r>
    </w:p>
    <w:p>
      <w:pPr>
        <w:spacing w:line="360" w:lineRule="auto"/>
        <w:ind w:firstLine="420" w:firstLineChars="200"/>
        <w:rPr>
          <w:color w:val="auto"/>
          <w:highlight w:val="none"/>
        </w:rPr>
      </w:pPr>
      <w:r>
        <w:rPr>
          <w:color w:val="auto"/>
          <w:highlight w:val="none"/>
        </w:rPr>
        <w:t xml:space="preserve">1.1.2.5 </w:t>
      </w:r>
      <w:r>
        <w:rPr>
          <w:rFonts w:hint="eastAsia" w:hAnsi="宋体" w:cs="宋体"/>
          <w:color w:val="auto"/>
          <w:highlight w:val="none"/>
        </w:rPr>
        <w:t>设计人：</w:t>
      </w:r>
    </w:p>
    <w:p>
      <w:pPr>
        <w:spacing w:line="360" w:lineRule="auto"/>
        <w:ind w:firstLine="420" w:firstLineChars="200"/>
        <w:jc w:val="left"/>
        <w:rPr>
          <w:rFonts w:hAnsi="宋体" w:cs="宋体"/>
          <w:color w:val="auto"/>
          <w:kern w:val="0"/>
          <w:highlight w:val="none"/>
        </w:rPr>
      </w:pPr>
      <w:r>
        <w:rPr>
          <w:rFonts w:hint="eastAsia" w:hAnsi="宋体" w:cs="宋体"/>
          <w:color w:val="auto"/>
          <w:kern w:val="0"/>
          <w:highlight w:val="none"/>
        </w:rPr>
        <w:t>名</w:t>
      </w:r>
      <w:r>
        <w:rPr>
          <w:rFonts w:hAnsi="宋体" w:cs="宋体"/>
          <w:color w:val="auto"/>
          <w:kern w:val="0"/>
          <w:highlight w:val="none"/>
        </w:rPr>
        <w:t xml:space="preserve">    </w:t>
      </w:r>
      <w:r>
        <w:rPr>
          <w:rFonts w:hint="eastAsia" w:hAnsi="宋体" w:cs="宋体"/>
          <w:color w:val="auto"/>
          <w:kern w:val="0"/>
          <w:highlight w:val="none"/>
        </w:rPr>
        <w:t>称：</w:t>
      </w:r>
      <w:r>
        <w:rPr>
          <w:rFonts w:hAnsi="宋体" w:cs="宋体"/>
          <w:color w:val="auto"/>
          <w:kern w:val="0"/>
          <w:highlight w:val="none"/>
          <w:u w:val="single"/>
        </w:rPr>
        <w:t xml:space="preserve">                 </w:t>
      </w:r>
      <w:r>
        <w:rPr>
          <w:rFonts w:hint="eastAsia" w:hAnsi="宋体" w:cs="宋体"/>
          <w:color w:val="auto"/>
          <w:kern w:val="0"/>
          <w:highlight w:val="none"/>
        </w:rPr>
        <w:t>；</w:t>
      </w:r>
    </w:p>
    <w:p>
      <w:pPr>
        <w:spacing w:line="360" w:lineRule="auto"/>
        <w:ind w:firstLine="420" w:firstLineChars="200"/>
        <w:jc w:val="left"/>
        <w:rPr>
          <w:rFonts w:hAnsi="宋体" w:cs="宋体"/>
          <w:color w:val="auto"/>
          <w:kern w:val="0"/>
          <w:highlight w:val="none"/>
        </w:rPr>
      </w:pPr>
      <w:r>
        <w:rPr>
          <w:rFonts w:hint="eastAsia" w:hAnsi="宋体" w:cs="宋体"/>
          <w:color w:val="auto"/>
          <w:kern w:val="0"/>
          <w:highlight w:val="none"/>
        </w:rPr>
        <w:t>资质类别和等级：</w:t>
      </w:r>
      <w:r>
        <w:rPr>
          <w:rFonts w:hAnsi="宋体" w:cs="宋体"/>
          <w:color w:val="auto"/>
          <w:kern w:val="0"/>
          <w:highlight w:val="none"/>
          <w:u w:val="single"/>
        </w:rPr>
        <w:t xml:space="preserve">               </w:t>
      </w:r>
      <w:r>
        <w:rPr>
          <w:rFonts w:hint="eastAsia" w:hAnsi="宋体" w:cs="宋体"/>
          <w:color w:val="auto"/>
          <w:kern w:val="0"/>
          <w:highlight w:val="none"/>
        </w:rPr>
        <w:t>；</w:t>
      </w:r>
    </w:p>
    <w:p>
      <w:pPr>
        <w:spacing w:line="360" w:lineRule="auto"/>
        <w:ind w:firstLine="420" w:firstLineChars="200"/>
        <w:jc w:val="left"/>
        <w:rPr>
          <w:rFonts w:hAnsi="宋体" w:cs="宋体"/>
          <w:color w:val="auto"/>
          <w:kern w:val="0"/>
          <w:highlight w:val="none"/>
        </w:rPr>
      </w:pPr>
      <w:r>
        <w:rPr>
          <w:rFonts w:hint="eastAsia" w:hAnsi="宋体" w:cs="宋体"/>
          <w:color w:val="auto"/>
          <w:kern w:val="0"/>
          <w:highlight w:val="none"/>
        </w:rPr>
        <w:t>联系电话：</w:t>
      </w:r>
      <w:r>
        <w:rPr>
          <w:rFonts w:hAnsi="宋体" w:cs="宋体"/>
          <w:color w:val="auto"/>
          <w:kern w:val="0"/>
          <w:highlight w:val="none"/>
          <w:u w:val="single"/>
        </w:rPr>
        <w:t xml:space="preserve">                 </w:t>
      </w:r>
      <w:r>
        <w:rPr>
          <w:rFonts w:hint="eastAsia" w:hAnsi="宋体" w:cs="宋体"/>
          <w:color w:val="auto"/>
          <w:kern w:val="0"/>
          <w:highlight w:val="none"/>
        </w:rPr>
        <w:t>；</w:t>
      </w:r>
    </w:p>
    <w:p>
      <w:pPr>
        <w:spacing w:line="360" w:lineRule="auto"/>
        <w:ind w:firstLine="420" w:firstLineChars="200"/>
        <w:jc w:val="left"/>
        <w:rPr>
          <w:rFonts w:hAnsi="宋体" w:cs="宋体"/>
          <w:color w:val="auto"/>
          <w:kern w:val="0"/>
          <w:highlight w:val="none"/>
        </w:rPr>
      </w:pPr>
      <w:r>
        <w:rPr>
          <w:rFonts w:hint="eastAsia" w:hAnsi="宋体" w:cs="宋体"/>
          <w:color w:val="auto"/>
          <w:kern w:val="0"/>
          <w:highlight w:val="none"/>
        </w:rPr>
        <w:t>电子信箱：</w:t>
      </w:r>
      <w:r>
        <w:rPr>
          <w:rFonts w:hAnsi="宋体" w:cs="宋体"/>
          <w:color w:val="auto"/>
          <w:kern w:val="0"/>
          <w:highlight w:val="none"/>
          <w:u w:val="single"/>
        </w:rPr>
        <w:t xml:space="preserve">                    </w:t>
      </w:r>
      <w:r>
        <w:rPr>
          <w:rFonts w:hint="eastAsia" w:hAnsi="宋体" w:cs="宋体"/>
          <w:color w:val="auto"/>
          <w:kern w:val="0"/>
          <w:highlight w:val="none"/>
        </w:rPr>
        <w:t>；</w:t>
      </w:r>
    </w:p>
    <w:p>
      <w:pPr>
        <w:spacing w:line="360" w:lineRule="auto"/>
        <w:ind w:firstLine="420" w:firstLineChars="200"/>
        <w:jc w:val="left"/>
        <w:rPr>
          <w:rFonts w:hAnsi="宋体" w:cs="宋体"/>
          <w:color w:val="auto"/>
          <w:kern w:val="0"/>
          <w:highlight w:val="none"/>
        </w:rPr>
      </w:pPr>
      <w:r>
        <w:rPr>
          <w:rFonts w:hint="eastAsia" w:hAnsi="宋体" w:cs="宋体"/>
          <w:color w:val="auto"/>
          <w:kern w:val="0"/>
          <w:highlight w:val="none"/>
        </w:rPr>
        <w:t>通信地址：</w:t>
      </w:r>
      <w:r>
        <w:rPr>
          <w:rFonts w:hAnsi="宋体" w:cs="宋体"/>
          <w:color w:val="auto"/>
          <w:kern w:val="0"/>
          <w:highlight w:val="none"/>
          <w:u w:val="single"/>
        </w:rPr>
        <w:t xml:space="preserve">                </w:t>
      </w:r>
      <w:r>
        <w:rPr>
          <w:rFonts w:hint="eastAsia" w:hAnsi="宋体" w:cs="宋体"/>
          <w:color w:val="auto"/>
          <w:kern w:val="0"/>
          <w:highlight w:val="none"/>
        </w:rPr>
        <w:t>。</w:t>
      </w:r>
    </w:p>
    <w:p>
      <w:pPr>
        <w:spacing w:line="360" w:lineRule="auto"/>
        <w:ind w:firstLine="420" w:firstLineChars="200"/>
        <w:jc w:val="left"/>
        <w:rPr>
          <w:rFonts w:hAnsi="宋体" w:cs="宋体"/>
          <w:color w:val="auto"/>
          <w:kern w:val="0"/>
          <w:highlight w:val="none"/>
        </w:rPr>
      </w:pPr>
      <w:r>
        <w:rPr>
          <w:rFonts w:hAnsi="宋体" w:cs="宋体"/>
          <w:color w:val="auto"/>
          <w:kern w:val="0"/>
          <w:highlight w:val="none"/>
        </w:rPr>
        <w:t xml:space="preserve">1.1.3 </w:t>
      </w:r>
      <w:r>
        <w:rPr>
          <w:rFonts w:hint="eastAsia" w:hAnsi="宋体" w:cs="宋体"/>
          <w:color w:val="auto"/>
          <w:kern w:val="0"/>
          <w:highlight w:val="none"/>
        </w:rPr>
        <w:t>工程和设备</w:t>
      </w:r>
    </w:p>
    <w:p>
      <w:pPr>
        <w:spacing w:line="360" w:lineRule="auto"/>
        <w:ind w:firstLine="420" w:firstLineChars="200"/>
        <w:jc w:val="left"/>
        <w:rPr>
          <w:rFonts w:hAnsi="宋体" w:cs="宋体"/>
          <w:color w:val="auto"/>
          <w:kern w:val="0"/>
          <w:highlight w:val="none"/>
        </w:rPr>
      </w:pPr>
      <w:r>
        <w:rPr>
          <w:rFonts w:hAnsi="宋体" w:cs="宋体"/>
          <w:color w:val="auto"/>
          <w:kern w:val="0"/>
          <w:highlight w:val="none"/>
        </w:rPr>
        <w:t xml:space="preserve">1.1.3.7 </w:t>
      </w:r>
      <w:r>
        <w:rPr>
          <w:rFonts w:hint="eastAsia" w:hAnsi="宋体" w:cs="宋体"/>
          <w:color w:val="auto"/>
          <w:kern w:val="0"/>
          <w:highlight w:val="none"/>
        </w:rPr>
        <w:t>作为施工现场组成部分的其他场所包括：</w:t>
      </w:r>
      <w:r>
        <w:rPr>
          <w:rFonts w:hint="eastAsia"/>
          <w:color w:val="auto"/>
          <w:highlight w:val="none"/>
          <w:u w:val="single"/>
        </w:rPr>
        <w:t>固定材料堆放区、临时材料堆放区</w:t>
      </w:r>
      <w:r>
        <w:rPr>
          <w:rFonts w:hint="eastAsia" w:hAnsi="宋体" w:cs="宋体"/>
          <w:color w:val="auto"/>
          <w:highlight w:val="none"/>
        </w:rPr>
        <w:t>。</w:t>
      </w:r>
    </w:p>
    <w:p>
      <w:pPr>
        <w:spacing w:line="360" w:lineRule="auto"/>
        <w:ind w:firstLine="420" w:firstLineChars="200"/>
        <w:jc w:val="left"/>
        <w:rPr>
          <w:color w:val="auto"/>
          <w:kern w:val="0"/>
          <w:highlight w:val="none"/>
        </w:rPr>
      </w:pPr>
      <w:r>
        <w:rPr>
          <w:color w:val="auto"/>
          <w:kern w:val="0"/>
          <w:highlight w:val="none"/>
        </w:rPr>
        <w:t xml:space="preserve">1.1.3.9 </w:t>
      </w:r>
      <w:r>
        <w:rPr>
          <w:rFonts w:hint="eastAsia" w:hAnsi="宋体" w:cs="宋体"/>
          <w:color w:val="auto"/>
          <w:kern w:val="0"/>
          <w:highlight w:val="none"/>
        </w:rPr>
        <w:t>永久占地包括：</w:t>
      </w:r>
      <w:r>
        <w:rPr>
          <w:rFonts w:hint="eastAsia"/>
          <w:color w:val="auto"/>
          <w:highlight w:val="none"/>
          <w:u w:val="single"/>
        </w:rPr>
        <w:t>无</w:t>
      </w:r>
      <w:r>
        <w:rPr>
          <w:rFonts w:hint="eastAsia" w:hAnsi="宋体" w:cs="宋体"/>
          <w:color w:val="auto"/>
          <w:kern w:val="0"/>
          <w:highlight w:val="none"/>
        </w:rPr>
        <w:t>。</w:t>
      </w:r>
    </w:p>
    <w:p>
      <w:pPr>
        <w:spacing w:line="360" w:lineRule="auto"/>
        <w:ind w:firstLine="420" w:firstLineChars="200"/>
        <w:jc w:val="left"/>
        <w:rPr>
          <w:color w:val="auto"/>
          <w:highlight w:val="none"/>
        </w:rPr>
      </w:pPr>
      <w:r>
        <w:rPr>
          <w:color w:val="auto"/>
          <w:kern w:val="0"/>
          <w:highlight w:val="none"/>
        </w:rPr>
        <w:t xml:space="preserve">1.1.3.10 </w:t>
      </w:r>
      <w:r>
        <w:rPr>
          <w:rFonts w:hint="eastAsia" w:hAnsi="宋体" w:cs="宋体"/>
          <w:color w:val="auto"/>
          <w:kern w:val="0"/>
          <w:highlight w:val="none"/>
        </w:rPr>
        <w:t>临时占地包括：</w:t>
      </w:r>
      <w:r>
        <w:rPr>
          <w:rFonts w:hint="eastAsia"/>
          <w:color w:val="auto"/>
          <w:highlight w:val="none"/>
          <w:u w:val="single"/>
        </w:rPr>
        <w:t>临时设施、运料通道、材料堆放、材料加工等为实施合同工程需临时占用的土地</w:t>
      </w:r>
      <w:r>
        <w:rPr>
          <w:rFonts w:hint="eastAsia" w:hAnsi="宋体" w:cs="宋体"/>
          <w:color w:val="auto"/>
          <w:kern w:val="0"/>
          <w:highlight w:val="none"/>
        </w:rPr>
        <w:t>。</w:t>
      </w:r>
    </w:p>
    <w:p>
      <w:pPr>
        <w:pStyle w:val="5"/>
        <w:rPr>
          <w:color w:val="auto"/>
          <w:highlight w:val="none"/>
        </w:rPr>
      </w:pPr>
      <w:bookmarkStart w:id="474" w:name="_Toc66186400"/>
      <w:bookmarkStart w:id="475" w:name="_Toc373478341"/>
      <w:bookmarkStart w:id="476" w:name="_Toc11355"/>
      <w:bookmarkStart w:id="477" w:name="_Toc373227694"/>
      <w:bookmarkStart w:id="478" w:name="_Toc407135196"/>
      <w:bookmarkStart w:id="479" w:name="_Toc389065260"/>
      <w:r>
        <w:rPr>
          <w:color w:val="auto"/>
          <w:highlight w:val="none"/>
        </w:rPr>
        <w:t xml:space="preserve">1.3 </w:t>
      </w:r>
      <w:r>
        <w:rPr>
          <w:rFonts w:hint="eastAsia" w:hAnsi="宋体" w:cs="黑体"/>
          <w:color w:val="auto"/>
          <w:highlight w:val="none"/>
        </w:rPr>
        <w:t>法律</w:t>
      </w:r>
      <w:bookmarkEnd w:id="474"/>
      <w:bookmarkEnd w:id="475"/>
      <w:bookmarkEnd w:id="476"/>
      <w:bookmarkEnd w:id="477"/>
      <w:bookmarkEnd w:id="478"/>
      <w:bookmarkEnd w:id="479"/>
    </w:p>
    <w:p>
      <w:pPr>
        <w:spacing w:line="360" w:lineRule="auto"/>
        <w:ind w:firstLine="420" w:firstLineChars="200"/>
        <w:rPr>
          <w:color w:val="auto"/>
          <w:highlight w:val="none"/>
          <w:u w:val="single"/>
        </w:rPr>
      </w:pPr>
      <w:r>
        <w:rPr>
          <w:rFonts w:hint="eastAsia" w:hAnsi="宋体" w:cs="宋体"/>
          <w:color w:val="auto"/>
          <w:highlight w:val="none"/>
        </w:rPr>
        <w:t>适用于合同的其他规范性文件：</w:t>
      </w:r>
      <w:r>
        <w:rPr>
          <w:rFonts w:hint="eastAsia" w:hAnsi="宋体"/>
          <w:color w:val="auto"/>
          <w:highlight w:val="none"/>
          <w:u w:val="single"/>
        </w:rPr>
        <w:t>《中华人民共和国民法典》、《中华人民共和国建筑法》、《中华人民共和国安全生产法》、《建设工程质量管理条例》、《建设工程安全管理条例》以及合同签订时现行的国家法律和行政法规、工程所在地政府的有关法规和规章及规范性文件。</w:t>
      </w:r>
    </w:p>
    <w:p>
      <w:pPr>
        <w:pStyle w:val="5"/>
        <w:rPr>
          <w:color w:val="auto"/>
          <w:highlight w:val="none"/>
        </w:rPr>
      </w:pPr>
      <w:bookmarkStart w:id="480" w:name="_Toc66186401"/>
      <w:bookmarkStart w:id="481" w:name="_Toc9230"/>
      <w:bookmarkStart w:id="482" w:name="_Toc389065261"/>
      <w:bookmarkStart w:id="483" w:name="_Toc407135197"/>
      <w:bookmarkStart w:id="484" w:name="_Toc373478342"/>
      <w:bookmarkStart w:id="485" w:name="_Toc373227695"/>
      <w:r>
        <w:rPr>
          <w:color w:val="auto"/>
          <w:highlight w:val="none"/>
        </w:rPr>
        <w:t xml:space="preserve">1.4 </w:t>
      </w:r>
      <w:r>
        <w:rPr>
          <w:rFonts w:hint="eastAsia" w:hAnsi="宋体" w:cs="黑体"/>
          <w:color w:val="auto"/>
          <w:highlight w:val="none"/>
        </w:rPr>
        <w:t>标准和规范</w:t>
      </w:r>
      <w:bookmarkEnd w:id="480"/>
      <w:bookmarkEnd w:id="481"/>
      <w:bookmarkEnd w:id="482"/>
      <w:bookmarkEnd w:id="483"/>
      <w:bookmarkEnd w:id="484"/>
      <w:bookmarkEnd w:id="485"/>
    </w:p>
    <w:p>
      <w:pPr>
        <w:spacing w:line="360" w:lineRule="auto"/>
        <w:ind w:firstLine="420" w:firstLineChars="200"/>
        <w:rPr>
          <w:color w:val="auto"/>
          <w:highlight w:val="none"/>
        </w:rPr>
      </w:pPr>
      <w:r>
        <w:rPr>
          <w:color w:val="auto"/>
          <w:highlight w:val="none"/>
        </w:rPr>
        <w:t xml:space="preserve">1.4.1 </w:t>
      </w:r>
      <w:r>
        <w:rPr>
          <w:rFonts w:hint="eastAsia" w:hAnsi="宋体" w:cs="宋体"/>
          <w:color w:val="auto"/>
          <w:highlight w:val="none"/>
        </w:rPr>
        <w:t>适用于工程的标准规范包括：</w:t>
      </w:r>
      <w:r>
        <w:rPr>
          <w:rFonts w:hint="eastAsia" w:hAnsi="宋体"/>
          <w:color w:val="auto"/>
          <w:highlight w:val="none"/>
          <w:u w:val="single"/>
        </w:rPr>
        <w:t>现行的国家标准、规范，行业标准、规范</w:t>
      </w:r>
      <w:r>
        <w:rPr>
          <w:rFonts w:hint="eastAsia" w:hAnsi="宋体" w:cs="宋体"/>
          <w:color w:val="auto"/>
          <w:highlight w:val="none"/>
        </w:rPr>
        <w:t>。</w:t>
      </w:r>
    </w:p>
    <w:p>
      <w:pPr>
        <w:spacing w:line="360" w:lineRule="auto"/>
        <w:ind w:firstLine="420" w:firstLineChars="200"/>
        <w:rPr>
          <w:color w:val="auto"/>
          <w:kern w:val="0"/>
          <w:highlight w:val="none"/>
        </w:rPr>
      </w:pPr>
      <w:r>
        <w:rPr>
          <w:color w:val="auto"/>
          <w:kern w:val="0"/>
          <w:highlight w:val="none"/>
        </w:rPr>
        <w:t xml:space="preserve">1.4.2 </w:t>
      </w:r>
      <w:r>
        <w:rPr>
          <w:rFonts w:hint="eastAsia" w:hAnsi="宋体" w:cs="宋体"/>
          <w:color w:val="auto"/>
          <w:kern w:val="0"/>
          <w:highlight w:val="none"/>
        </w:rPr>
        <w:t>发包人提供国外标准、规范的名称：</w:t>
      </w:r>
      <w:r>
        <w:rPr>
          <w:rFonts w:hint="eastAsia" w:hAnsi="宋体"/>
          <w:color w:val="auto"/>
          <w:highlight w:val="none"/>
          <w:u w:val="single"/>
        </w:rPr>
        <w:t>无</w:t>
      </w:r>
      <w:r>
        <w:rPr>
          <w:rFonts w:hint="eastAsia" w:hAnsi="宋体" w:cs="宋体"/>
          <w:color w:val="auto"/>
          <w:highlight w:val="none"/>
        </w:rPr>
        <w:t>；</w:t>
      </w:r>
    </w:p>
    <w:p>
      <w:pPr>
        <w:spacing w:line="360" w:lineRule="auto"/>
        <w:ind w:firstLine="420" w:firstLineChars="200"/>
        <w:rPr>
          <w:color w:val="auto"/>
          <w:kern w:val="0"/>
          <w:highlight w:val="none"/>
        </w:rPr>
      </w:pPr>
      <w:r>
        <w:rPr>
          <w:rFonts w:hint="eastAsia" w:hAnsi="宋体" w:cs="宋体"/>
          <w:color w:val="auto"/>
          <w:kern w:val="0"/>
          <w:highlight w:val="none"/>
        </w:rPr>
        <w:t>发包人提供国外标准、规范的份数：</w:t>
      </w:r>
      <w:r>
        <w:rPr>
          <w:rFonts w:hint="eastAsia"/>
          <w:color w:val="auto"/>
          <w:kern w:val="0"/>
          <w:highlight w:val="none"/>
          <w:u w:val="single"/>
        </w:rPr>
        <w:t>无</w:t>
      </w:r>
      <w:r>
        <w:rPr>
          <w:rFonts w:hint="eastAsia" w:hAnsi="宋体" w:cs="宋体"/>
          <w:color w:val="auto"/>
          <w:kern w:val="0"/>
          <w:highlight w:val="none"/>
        </w:rPr>
        <w:t>；</w:t>
      </w:r>
    </w:p>
    <w:p>
      <w:pPr>
        <w:spacing w:line="360" w:lineRule="auto"/>
        <w:ind w:firstLine="420" w:firstLineChars="200"/>
        <w:rPr>
          <w:color w:val="auto"/>
          <w:highlight w:val="none"/>
        </w:rPr>
      </w:pPr>
      <w:r>
        <w:rPr>
          <w:rFonts w:hint="eastAsia" w:hAnsi="宋体" w:cs="宋体"/>
          <w:color w:val="auto"/>
          <w:kern w:val="0"/>
          <w:highlight w:val="none"/>
        </w:rPr>
        <w:t>发包人提供国外标准、规范的名称：</w:t>
      </w:r>
      <w:r>
        <w:rPr>
          <w:rFonts w:hint="eastAsia"/>
          <w:color w:val="auto"/>
          <w:kern w:val="0"/>
          <w:highlight w:val="none"/>
          <w:u w:val="single"/>
        </w:rPr>
        <w:t>无</w:t>
      </w:r>
      <w:r>
        <w:rPr>
          <w:rFonts w:hint="eastAsia" w:hAnsi="宋体" w:cs="宋体"/>
          <w:color w:val="auto"/>
          <w:kern w:val="0"/>
          <w:highlight w:val="none"/>
        </w:rPr>
        <w:t>。</w:t>
      </w:r>
    </w:p>
    <w:p>
      <w:pPr>
        <w:spacing w:line="360" w:lineRule="auto"/>
        <w:ind w:firstLine="420" w:firstLineChars="200"/>
        <w:rPr>
          <w:rFonts w:hAnsi="宋体"/>
          <w:color w:val="auto"/>
          <w:highlight w:val="none"/>
          <w:u w:val="single"/>
        </w:rPr>
      </w:pPr>
      <w:r>
        <w:rPr>
          <w:color w:val="auto"/>
          <w:highlight w:val="none"/>
        </w:rPr>
        <w:t xml:space="preserve">1.4.3 </w:t>
      </w:r>
      <w:r>
        <w:rPr>
          <w:rFonts w:hint="eastAsia" w:hAnsi="宋体" w:cs="宋体"/>
          <w:color w:val="auto"/>
          <w:highlight w:val="none"/>
        </w:rPr>
        <w:t>发包人对工程的技术标准和功能要求的特殊要求：</w:t>
      </w:r>
      <w:r>
        <w:rPr>
          <w:rFonts w:hint="eastAsia" w:hAnsi="宋体"/>
          <w:color w:val="auto"/>
          <w:highlight w:val="none"/>
          <w:u w:val="single"/>
        </w:rPr>
        <w:t>二次装饰施工应符合《建筑内部装修防火施工及验收规范》、（GB50354-2017）《建筑设计防火规范》（2018年修订版）的要求。</w:t>
      </w:r>
    </w:p>
    <w:p>
      <w:pPr>
        <w:spacing w:line="360" w:lineRule="auto"/>
        <w:ind w:firstLine="420" w:firstLineChars="200"/>
        <w:rPr>
          <w:rFonts w:hAnsi="宋体"/>
          <w:color w:val="auto"/>
          <w:highlight w:val="none"/>
          <w:u w:val="single"/>
        </w:rPr>
      </w:pPr>
      <w:r>
        <w:rPr>
          <w:rFonts w:hint="eastAsia" w:hAnsi="宋体"/>
          <w:color w:val="auto"/>
          <w:highlight w:val="none"/>
          <w:u w:val="single"/>
        </w:rPr>
        <w:t>一层报告厅、负一层演讲厅二次装饰装修应符合防火要求的总原则。</w:t>
      </w:r>
    </w:p>
    <w:p>
      <w:pPr>
        <w:numPr>
          <w:ilvl w:val="0"/>
          <w:numId w:val="3"/>
        </w:numPr>
        <w:tabs>
          <w:tab w:val="left" w:pos="993"/>
        </w:tabs>
        <w:spacing w:line="360" w:lineRule="auto"/>
        <w:ind w:left="0" w:firstLine="426"/>
        <w:rPr>
          <w:rFonts w:hAnsi="宋体"/>
          <w:color w:val="auto"/>
          <w:highlight w:val="none"/>
          <w:u w:val="single"/>
        </w:rPr>
      </w:pPr>
      <w:r>
        <w:rPr>
          <w:rFonts w:hint="eastAsia" w:hAnsi="宋体"/>
          <w:color w:val="auto"/>
          <w:highlight w:val="none"/>
          <w:u w:val="single"/>
        </w:rPr>
        <w:t>报告厅、演讲厅内地面应平整，采用耐磨、防滑、耐腐蚀、易清洗、不易起尘与不开裂的材料，阻燃性防火等级不低于B1级。</w:t>
      </w:r>
    </w:p>
    <w:p>
      <w:pPr>
        <w:numPr>
          <w:ilvl w:val="0"/>
          <w:numId w:val="3"/>
        </w:numPr>
        <w:tabs>
          <w:tab w:val="left" w:pos="993"/>
        </w:tabs>
        <w:spacing w:line="360" w:lineRule="auto"/>
        <w:ind w:left="0" w:firstLine="426"/>
        <w:rPr>
          <w:rFonts w:hAnsi="宋体"/>
          <w:color w:val="auto"/>
          <w:highlight w:val="none"/>
          <w:u w:val="single"/>
        </w:rPr>
      </w:pPr>
      <w:r>
        <w:rPr>
          <w:rFonts w:hint="eastAsia" w:hAnsi="宋体"/>
          <w:color w:val="auto"/>
          <w:highlight w:val="none"/>
          <w:u w:val="single"/>
        </w:rPr>
        <w:t>报告厅、 演讲厅墙面应使用不易开裂、阻燃、耐碰撞的材料，墙面必须平整、防潮防霉，阻燃性防火等级不低于A级。</w:t>
      </w:r>
    </w:p>
    <w:p>
      <w:pPr>
        <w:numPr>
          <w:ilvl w:val="0"/>
          <w:numId w:val="3"/>
        </w:numPr>
        <w:tabs>
          <w:tab w:val="left" w:pos="993"/>
        </w:tabs>
        <w:spacing w:line="360" w:lineRule="auto"/>
        <w:ind w:left="0" w:firstLine="426"/>
        <w:rPr>
          <w:rFonts w:hAnsi="宋体"/>
          <w:color w:val="auto"/>
          <w:highlight w:val="none"/>
          <w:u w:val="single"/>
        </w:rPr>
      </w:pPr>
      <w:r>
        <w:rPr>
          <w:rFonts w:hint="eastAsia" w:hAnsi="宋体"/>
          <w:color w:val="auto"/>
          <w:highlight w:val="none"/>
          <w:u w:val="single"/>
        </w:rPr>
        <w:t>报告厅、演讲厅吊顶应使用不易开裂、不易变形、不易发黄变色、可拆装、便于后期管道维护，阻燃性防火等级不低于A级。</w:t>
      </w:r>
    </w:p>
    <w:p>
      <w:pPr>
        <w:numPr>
          <w:ilvl w:val="0"/>
          <w:numId w:val="3"/>
        </w:numPr>
        <w:tabs>
          <w:tab w:val="left" w:pos="993"/>
        </w:tabs>
        <w:spacing w:line="360" w:lineRule="auto"/>
        <w:ind w:left="0" w:firstLine="426"/>
        <w:rPr>
          <w:rFonts w:hAnsi="宋体"/>
          <w:color w:val="auto"/>
          <w:highlight w:val="none"/>
          <w:u w:val="single"/>
        </w:rPr>
      </w:pPr>
      <w:r>
        <w:rPr>
          <w:rFonts w:hint="eastAsia" w:hAnsi="宋体"/>
          <w:color w:val="auto"/>
          <w:highlight w:val="none"/>
          <w:u w:val="single"/>
        </w:rPr>
        <w:t>报告厅、演讲厅局部装饰面应使用不燃板、防火石膏板等材质，阻燃性防火等级不低于或优于B1级。</w:t>
      </w:r>
    </w:p>
    <w:p>
      <w:pPr>
        <w:numPr>
          <w:ilvl w:val="0"/>
          <w:numId w:val="3"/>
        </w:numPr>
        <w:tabs>
          <w:tab w:val="left" w:pos="993"/>
        </w:tabs>
        <w:spacing w:line="360" w:lineRule="auto"/>
        <w:ind w:left="0" w:firstLine="426"/>
        <w:rPr>
          <w:rFonts w:hAnsi="宋体"/>
          <w:color w:val="auto"/>
          <w:highlight w:val="none"/>
          <w:u w:val="single"/>
        </w:rPr>
      </w:pPr>
      <w:r>
        <w:rPr>
          <w:rFonts w:hint="eastAsia" w:hAnsi="宋体"/>
          <w:color w:val="auto"/>
          <w:highlight w:val="none"/>
          <w:u w:val="single"/>
        </w:rPr>
        <w:t>报告厅、演讲厅二次装饰满足二次装饰消防验收标准，《建设工程消防验收评定规则》（GA836-2016）符合防火、防静电的要求。</w:t>
      </w:r>
    </w:p>
    <w:p>
      <w:pPr>
        <w:pStyle w:val="5"/>
        <w:rPr>
          <w:color w:val="auto"/>
          <w:highlight w:val="none"/>
        </w:rPr>
      </w:pPr>
      <w:bookmarkStart w:id="486" w:name="_Toc373478343"/>
      <w:bookmarkStart w:id="487" w:name="_Toc373227696"/>
      <w:bookmarkStart w:id="488" w:name="_Toc407135198"/>
      <w:bookmarkStart w:id="489" w:name="_Toc66186402"/>
      <w:bookmarkStart w:id="490" w:name="_Toc389065262"/>
      <w:bookmarkStart w:id="491" w:name="_Toc28115"/>
      <w:r>
        <w:rPr>
          <w:color w:val="auto"/>
          <w:highlight w:val="none"/>
        </w:rPr>
        <w:t xml:space="preserve">1.5 </w:t>
      </w:r>
      <w:r>
        <w:rPr>
          <w:rFonts w:hint="eastAsia" w:cs="黑体"/>
          <w:color w:val="auto"/>
          <w:highlight w:val="none"/>
        </w:rPr>
        <w:t>合同文件的优先顺序</w:t>
      </w:r>
      <w:bookmarkEnd w:id="486"/>
      <w:bookmarkEnd w:id="487"/>
      <w:bookmarkEnd w:id="488"/>
      <w:bookmarkEnd w:id="489"/>
      <w:bookmarkEnd w:id="490"/>
      <w:bookmarkEnd w:id="491"/>
    </w:p>
    <w:p>
      <w:pPr>
        <w:spacing w:line="360" w:lineRule="auto"/>
        <w:ind w:firstLine="420" w:firstLineChars="200"/>
        <w:rPr>
          <w:rFonts w:hAnsi="宋体"/>
          <w:color w:val="auto"/>
          <w:highlight w:val="none"/>
        </w:rPr>
      </w:pPr>
      <w:r>
        <w:rPr>
          <w:rFonts w:hint="eastAsia" w:hAnsi="宋体" w:cs="宋体"/>
          <w:color w:val="auto"/>
          <w:highlight w:val="none"/>
        </w:rPr>
        <w:t>合同文件组成及优先顺序为：</w:t>
      </w:r>
    </w:p>
    <w:p>
      <w:pPr>
        <w:spacing w:line="360" w:lineRule="auto"/>
        <w:ind w:firstLine="420" w:firstLineChars="200"/>
        <w:rPr>
          <w:rFonts w:hAnsi="宋体"/>
          <w:color w:val="auto"/>
          <w:kern w:val="0"/>
          <w:highlight w:val="none"/>
        </w:rPr>
      </w:pPr>
      <w:r>
        <w:rPr>
          <w:rFonts w:hint="eastAsia" w:hAnsi="宋体" w:cs="宋体"/>
          <w:color w:val="auto"/>
          <w:kern w:val="0"/>
          <w:highlight w:val="none"/>
        </w:rPr>
        <w:t>（</w:t>
      </w:r>
      <w:r>
        <w:rPr>
          <w:rFonts w:hAnsi="宋体"/>
          <w:color w:val="auto"/>
          <w:kern w:val="0"/>
          <w:highlight w:val="none"/>
        </w:rPr>
        <w:t>1</w:t>
      </w:r>
      <w:r>
        <w:rPr>
          <w:rFonts w:hint="eastAsia" w:hAnsi="宋体" w:cs="宋体"/>
          <w:color w:val="auto"/>
          <w:kern w:val="0"/>
          <w:highlight w:val="none"/>
        </w:rPr>
        <w:t>）合同协议书；</w:t>
      </w:r>
    </w:p>
    <w:p>
      <w:pPr>
        <w:spacing w:line="360" w:lineRule="auto"/>
        <w:ind w:firstLine="420" w:firstLineChars="200"/>
        <w:rPr>
          <w:rFonts w:hAnsi="宋体"/>
          <w:color w:val="auto"/>
          <w:kern w:val="0"/>
          <w:highlight w:val="none"/>
        </w:rPr>
      </w:pPr>
      <w:r>
        <w:rPr>
          <w:rFonts w:hint="eastAsia" w:hAnsi="宋体" w:cs="宋体"/>
          <w:color w:val="auto"/>
          <w:kern w:val="0"/>
          <w:highlight w:val="none"/>
        </w:rPr>
        <w:t>（</w:t>
      </w:r>
      <w:r>
        <w:rPr>
          <w:rFonts w:hAnsi="宋体"/>
          <w:color w:val="auto"/>
          <w:kern w:val="0"/>
          <w:highlight w:val="none"/>
        </w:rPr>
        <w:t>2</w:t>
      </w:r>
      <w:r>
        <w:rPr>
          <w:rFonts w:hint="eastAsia" w:hAnsi="宋体" w:cs="宋体"/>
          <w:color w:val="auto"/>
          <w:kern w:val="0"/>
          <w:highlight w:val="none"/>
        </w:rPr>
        <w:t>）中标通知书；</w:t>
      </w:r>
    </w:p>
    <w:p>
      <w:pPr>
        <w:spacing w:line="360" w:lineRule="auto"/>
        <w:ind w:firstLine="420" w:firstLineChars="200"/>
        <w:rPr>
          <w:rFonts w:hAnsi="宋体"/>
          <w:color w:val="auto"/>
          <w:kern w:val="0"/>
          <w:highlight w:val="none"/>
        </w:rPr>
      </w:pPr>
      <w:r>
        <w:rPr>
          <w:rFonts w:hint="eastAsia" w:hAnsi="宋体" w:cs="宋体"/>
          <w:color w:val="auto"/>
          <w:kern w:val="0"/>
          <w:highlight w:val="none"/>
        </w:rPr>
        <w:t>（</w:t>
      </w:r>
      <w:r>
        <w:rPr>
          <w:rFonts w:hAnsi="宋体"/>
          <w:color w:val="auto"/>
          <w:kern w:val="0"/>
          <w:highlight w:val="none"/>
        </w:rPr>
        <w:t>3</w:t>
      </w:r>
      <w:r>
        <w:rPr>
          <w:rFonts w:hint="eastAsia" w:hAnsi="宋体" w:cs="宋体"/>
          <w:color w:val="auto"/>
          <w:kern w:val="0"/>
          <w:highlight w:val="none"/>
        </w:rPr>
        <w:t>）投标函及其附录；</w:t>
      </w:r>
    </w:p>
    <w:p>
      <w:pPr>
        <w:spacing w:line="360" w:lineRule="auto"/>
        <w:ind w:firstLine="420" w:firstLineChars="200"/>
        <w:rPr>
          <w:rFonts w:hAnsi="宋体"/>
          <w:color w:val="auto"/>
          <w:kern w:val="0"/>
          <w:highlight w:val="none"/>
        </w:rPr>
      </w:pPr>
      <w:r>
        <w:rPr>
          <w:rFonts w:hint="eastAsia" w:hAnsi="宋体" w:cs="宋体"/>
          <w:color w:val="auto"/>
          <w:kern w:val="0"/>
          <w:highlight w:val="none"/>
        </w:rPr>
        <w:t>（</w:t>
      </w:r>
      <w:r>
        <w:rPr>
          <w:rFonts w:hAnsi="宋体"/>
          <w:color w:val="auto"/>
          <w:kern w:val="0"/>
          <w:highlight w:val="none"/>
        </w:rPr>
        <w:t>4</w:t>
      </w:r>
      <w:r>
        <w:rPr>
          <w:rFonts w:hint="eastAsia" w:hAnsi="宋体" w:cs="宋体"/>
          <w:color w:val="auto"/>
          <w:kern w:val="0"/>
          <w:highlight w:val="none"/>
        </w:rPr>
        <w:t>）专用合同条款及其附件；</w:t>
      </w:r>
    </w:p>
    <w:p>
      <w:pPr>
        <w:spacing w:line="360" w:lineRule="auto"/>
        <w:ind w:firstLine="420" w:firstLineChars="200"/>
        <w:rPr>
          <w:rFonts w:hAnsi="宋体"/>
          <w:color w:val="auto"/>
          <w:kern w:val="0"/>
          <w:highlight w:val="none"/>
        </w:rPr>
      </w:pPr>
      <w:r>
        <w:rPr>
          <w:rFonts w:hint="eastAsia" w:hAnsi="宋体" w:cs="宋体"/>
          <w:color w:val="auto"/>
          <w:kern w:val="0"/>
          <w:highlight w:val="none"/>
        </w:rPr>
        <w:t>（</w:t>
      </w:r>
      <w:r>
        <w:rPr>
          <w:rFonts w:hAnsi="宋体"/>
          <w:color w:val="auto"/>
          <w:kern w:val="0"/>
          <w:highlight w:val="none"/>
        </w:rPr>
        <w:t>5</w:t>
      </w:r>
      <w:r>
        <w:rPr>
          <w:rFonts w:hint="eastAsia" w:hAnsi="宋体" w:cs="宋体"/>
          <w:color w:val="auto"/>
          <w:kern w:val="0"/>
          <w:highlight w:val="none"/>
        </w:rPr>
        <w:t>）通用合同条款；</w:t>
      </w:r>
    </w:p>
    <w:p>
      <w:pPr>
        <w:spacing w:line="360" w:lineRule="auto"/>
        <w:ind w:firstLine="420" w:firstLineChars="200"/>
        <w:rPr>
          <w:rFonts w:hAnsi="宋体"/>
          <w:color w:val="auto"/>
          <w:kern w:val="0"/>
          <w:highlight w:val="none"/>
        </w:rPr>
      </w:pPr>
      <w:r>
        <w:rPr>
          <w:rFonts w:hint="eastAsia" w:hAnsi="宋体" w:cs="宋体"/>
          <w:color w:val="auto"/>
          <w:kern w:val="0"/>
          <w:highlight w:val="none"/>
        </w:rPr>
        <w:t>（</w:t>
      </w:r>
      <w:r>
        <w:rPr>
          <w:rFonts w:hAnsi="宋体"/>
          <w:color w:val="auto"/>
          <w:kern w:val="0"/>
          <w:highlight w:val="none"/>
        </w:rPr>
        <w:t>6</w:t>
      </w:r>
      <w:r>
        <w:rPr>
          <w:rFonts w:hint="eastAsia" w:hAnsi="宋体" w:cs="宋体"/>
          <w:color w:val="auto"/>
          <w:kern w:val="0"/>
          <w:highlight w:val="none"/>
        </w:rPr>
        <w:t>）</w:t>
      </w:r>
      <w:r>
        <w:rPr>
          <w:rFonts w:hint="eastAsia" w:hAnsi="宋体"/>
          <w:color w:val="auto"/>
          <w:kern w:val="0"/>
          <w:highlight w:val="none"/>
          <w:u w:val="single"/>
        </w:rPr>
        <w:t>技术标准和要求</w:t>
      </w:r>
      <w:r>
        <w:rPr>
          <w:rFonts w:hint="eastAsia" w:hAnsi="宋体" w:cs="宋体"/>
          <w:color w:val="auto"/>
          <w:kern w:val="0"/>
          <w:highlight w:val="none"/>
        </w:rPr>
        <w:t>；</w:t>
      </w:r>
    </w:p>
    <w:p>
      <w:pPr>
        <w:spacing w:line="360" w:lineRule="auto"/>
        <w:ind w:firstLine="420" w:firstLineChars="200"/>
        <w:rPr>
          <w:rFonts w:hAnsi="宋体"/>
          <w:color w:val="auto"/>
          <w:kern w:val="0"/>
          <w:highlight w:val="none"/>
        </w:rPr>
      </w:pPr>
      <w:r>
        <w:rPr>
          <w:rFonts w:hint="eastAsia" w:hAnsi="宋体" w:cs="宋体"/>
          <w:color w:val="auto"/>
          <w:kern w:val="0"/>
          <w:highlight w:val="none"/>
        </w:rPr>
        <w:t>（</w:t>
      </w:r>
      <w:r>
        <w:rPr>
          <w:rFonts w:hAnsi="宋体"/>
          <w:color w:val="auto"/>
          <w:kern w:val="0"/>
          <w:highlight w:val="none"/>
        </w:rPr>
        <w:t>7</w:t>
      </w:r>
      <w:r>
        <w:rPr>
          <w:rFonts w:hint="eastAsia" w:hAnsi="宋体" w:cs="宋体"/>
          <w:color w:val="auto"/>
          <w:kern w:val="0"/>
          <w:highlight w:val="none"/>
        </w:rPr>
        <w:t>）</w:t>
      </w:r>
      <w:r>
        <w:rPr>
          <w:rFonts w:hint="eastAsia" w:hAnsi="宋体" w:cs="宋体"/>
          <w:color w:val="auto"/>
          <w:kern w:val="0"/>
          <w:highlight w:val="none"/>
          <w:u w:val="single"/>
        </w:rPr>
        <w:t>图纸</w:t>
      </w:r>
      <w:r>
        <w:rPr>
          <w:rFonts w:hint="eastAsia" w:hAnsi="宋体" w:cs="宋体"/>
          <w:color w:val="auto"/>
          <w:kern w:val="0"/>
          <w:highlight w:val="none"/>
        </w:rPr>
        <w:t>；</w:t>
      </w:r>
    </w:p>
    <w:p>
      <w:pPr>
        <w:spacing w:line="360" w:lineRule="auto"/>
        <w:ind w:firstLine="420" w:firstLineChars="200"/>
        <w:rPr>
          <w:rFonts w:hAnsi="宋体"/>
          <w:color w:val="auto"/>
          <w:kern w:val="0"/>
          <w:highlight w:val="none"/>
        </w:rPr>
      </w:pPr>
      <w:r>
        <w:rPr>
          <w:rFonts w:hint="eastAsia" w:hAnsi="宋体" w:cs="宋体"/>
          <w:color w:val="auto"/>
          <w:kern w:val="0"/>
          <w:highlight w:val="none"/>
        </w:rPr>
        <w:t>（</w:t>
      </w:r>
      <w:r>
        <w:rPr>
          <w:rFonts w:hAnsi="宋体"/>
          <w:color w:val="auto"/>
          <w:kern w:val="0"/>
          <w:highlight w:val="none"/>
        </w:rPr>
        <w:t>8</w:t>
      </w:r>
      <w:r>
        <w:rPr>
          <w:rFonts w:hint="eastAsia" w:hAnsi="宋体" w:cs="宋体"/>
          <w:color w:val="auto"/>
          <w:kern w:val="0"/>
          <w:highlight w:val="none"/>
        </w:rPr>
        <w:t>）</w:t>
      </w:r>
      <w:r>
        <w:rPr>
          <w:rFonts w:hint="eastAsia" w:hAnsi="宋体"/>
          <w:color w:val="auto"/>
          <w:kern w:val="0"/>
          <w:highlight w:val="none"/>
          <w:u w:val="single"/>
        </w:rPr>
        <w:t>已标价工程量清单</w:t>
      </w:r>
      <w:r>
        <w:rPr>
          <w:rFonts w:hint="eastAsia" w:hAnsi="宋体" w:cs="宋体"/>
          <w:color w:val="auto"/>
          <w:kern w:val="0"/>
          <w:highlight w:val="none"/>
        </w:rPr>
        <w:t>；</w:t>
      </w:r>
    </w:p>
    <w:p>
      <w:pPr>
        <w:autoSpaceDE w:val="0"/>
        <w:autoSpaceDN w:val="0"/>
        <w:adjustRightInd w:val="0"/>
        <w:spacing w:line="360" w:lineRule="auto"/>
        <w:ind w:firstLine="420" w:firstLineChars="200"/>
        <w:jc w:val="left"/>
        <w:rPr>
          <w:color w:val="auto"/>
          <w:highlight w:val="none"/>
          <w:u w:val="single"/>
        </w:rPr>
      </w:pPr>
      <w:r>
        <w:rPr>
          <w:rFonts w:hint="eastAsia" w:hAnsi="宋体" w:cs="宋体"/>
          <w:color w:val="auto"/>
          <w:highlight w:val="none"/>
        </w:rPr>
        <w:t>（9）</w:t>
      </w:r>
      <w:r>
        <w:rPr>
          <w:rFonts w:hint="eastAsia" w:hAnsi="宋体" w:cs="宋体"/>
          <w:color w:val="auto"/>
          <w:highlight w:val="none"/>
          <w:u w:val="single"/>
        </w:rPr>
        <w:t>其他合同文件。</w:t>
      </w:r>
    </w:p>
    <w:p>
      <w:pPr>
        <w:spacing w:line="360" w:lineRule="auto"/>
        <w:ind w:firstLine="420" w:firstLineChars="200"/>
        <w:rPr>
          <w:rFonts w:hAnsi="宋体" w:cs="宋体"/>
          <w:color w:val="auto"/>
          <w:kern w:val="0"/>
          <w:highlight w:val="none"/>
        </w:rPr>
      </w:pPr>
      <w:r>
        <w:rPr>
          <w:rFonts w:hint="eastAsia" w:hAnsi="宋体" w:cs="宋体"/>
          <w:color w:val="auto"/>
          <w:kern w:val="0"/>
          <w:highlight w:val="none"/>
        </w:rPr>
        <w:t>上述各项合同文件包括合同当事人就该项合同文件所作出的补充和修改，属于同一类内容的文件，应以最新签署的为准（违反招标文件</w:t>
      </w:r>
      <w:r>
        <w:rPr>
          <w:rFonts w:hAnsi="宋体" w:cs="宋体"/>
          <w:color w:val="auto"/>
          <w:kern w:val="0"/>
          <w:highlight w:val="none"/>
        </w:rPr>
        <w:t>实质性内容的约定除外</w:t>
      </w:r>
      <w:r>
        <w:rPr>
          <w:rFonts w:hint="eastAsia" w:hAnsi="宋体" w:cs="宋体"/>
          <w:color w:val="auto"/>
          <w:kern w:val="0"/>
          <w:highlight w:val="none"/>
        </w:rPr>
        <w:t>）。专用合同条款及其附件须经合同当事人签字或盖章。</w:t>
      </w:r>
    </w:p>
    <w:p>
      <w:pPr>
        <w:pStyle w:val="5"/>
        <w:rPr>
          <w:color w:val="auto"/>
          <w:highlight w:val="none"/>
        </w:rPr>
      </w:pPr>
      <w:bookmarkStart w:id="492" w:name="_Toc407135199"/>
      <w:bookmarkStart w:id="493" w:name="_Toc66186403"/>
      <w:bookmarkStart w:id="494" w:name="_Toc389065263"/>
      <w:bookmarkStart w:id="495" w:name="_Toc373227697"/>
      <w:bookmarkStart w:id="496" w:name="_Toc20181"/>
      <w:bookmarkStart w:id="497" w:name="_Toc373478344"/>
      <w:r>
        <w:rPr>
          <w:color w:val="auto"/>
          <w:highlight w:val="none"/>
        </w:rPr>
        <w:t xml:space="preserve">1.6 </w:t>
      </w:r>
      <w:r>
        <w:rPr>
          <w:rFonts w:hint="eastAsia" w:cs="黑体"/>
          <w:color w:val="auto"/>
          <w:highlight w:val="none"/>
        </w:rPr>
        <w:t>图纸和承包人文件</w:t>
      </w:r>
      <w:bookmarkEnd w:id="492"/>
      <w:bookmarkEnd w:id="493"/>
      <w:bookmarkEnd w:id="494"/>
      <w:bookmarkEnd w:id="495"/>
      <w:bookmarkEnd w:id="496"/>
      <w:bookmarkEnd w:id="497"/>
      <w:r>
        <w:rPr>
          <w:color w:val="auto"/>
          <w:highlight w:val="none"/>
        </w:rPr>
        <w:tab/>
      </w:r>
    </w:p>
    <w:p>
      <w:pPr>
        <w:spacing w:line="360" w:lineRule="auto"/>
        <w:ind w:firstLine="420" w:firstLineChars="200"/>
        <w:rPr>
          <w:color w:val="auto"/>
          <w:highlight w:val="none"/>
        </w:rPr>
      </w:pPr>
      <w:r>
        <w:rPr>
          <w:color w:val="auto"/>
          <w:highlight w:val="none"/>
        </w:rPr>
        <w:t xml:space="preserve">1.6.1 </w:t>
      </w:r>
      <w:r>
        <w:rPr>
          <w:rFonts w:hint="eastAsia" w:hAnsi="宋体" w:cs="宋体"/>
          <w:color w:val="auto"/>
          <w:highlight w:val="none"/>
        </w:rPr>
        <w:t>图纸的提供</w:t>
      </w:r>
    </w:p>
    <w:p>
      <w:pPr>
        <w:spacing w:line="360" w:lineRule="auto"/>
        <w:ind w:firstLine="420" w:firstLineChars="200"/>
        <w:rPr>
          <w:color w:val="auto"/>
          <w:highlight w:val="none"/>
        </w:rPr>
      </w:pPr>
      <w:r>
        <w:rPr>
          <w:rFonts w:hint="eastAsia" w:hAnsi="宋体" w:cs="宋体"/>
          <w:color w:val="auto"/>
          <w:highlight w:val="none"/>
        </w:rPr>
        <w:t>发包人向承包人提供图纸的期限：</w:t>
      </w:r>
      <w:r>
        <w:rPr>
          <w:rFonts w:hint="eastAsia"/>
          <w:color w:val="auto"/>
          <w:highlight w:val="none"/>
          <w:u w:val="single"/>
        </w:rPr>
        <w:t>合同签订后七天内</w:t>
      </w:r>
      <w:r>
        <w:rPr>
          <w:rFonts w:hint="eastAsia" w:hAnsi="宋体" w:cs="宋体"/>
          <w:color w:val="auto"/>
          <w:highlight w:val="none"/>
        </w:rPr>
        <w:t>；</w:t>
      </w:r>
    </w:p>
    <w:p>
      <w:pPr>
        <w:spacing w:line="360" w:lineRule="auto"/>
        <w:ind w:firstLine="420" w:firstLineChars="200"/>
        <w:rPr>
          <w:color w:val="auto"/>
          <w:highlight w:val="none"/>
        </w:rPr>
      </w:pPr>
      <w:r>
        <w:rPr>
          <w:rFonts w:hint="eastAsia" w:hAnsi="宋体" w:cs="宋体"/>
          <w:color w:val="auto"/>
          <w:highlight w:val="none"/>
        </w:rPr>
        <w:t>发包人向承包人提供图纸的数量：</w:t>
      </w:r>
      <w:r>
        <w:rPr>
          <w:rFonts w:hint="eastAsia" w:hAnsi="宋体" w:cs="宋体"/>
          <w:color w:val="auto"/>
          <w:highlight w:val="none"/>
          <w:u w:val="single"/>
        </w:rPr>
        <w:t xml:space="preserve"> </w:t>
      </w:r>
      <w:r>
        <w:rPr>
          <w:color w:val="auto"/>
          <w:highlight w:val="none"/>
          <w:u w:val="single"/>
        </w:rPr>
        <w:t>2</w:t>
      </w:r>
      <w:r>
        <w:rPr>
          <w:rFonts w:hint="eastAsia" w:ascii="MingLiU_HKSCS" w:cs="MingLiU_HKSCS"/>
          <w:color w:val="auto"/>
          <w:highlight w:val="none"/>
          <w:u w:val="single"/>
        </w:rPr>
        <w:t xml:space="preserve"> </w:t>
      </w:r>
      <w:r>
        <w:rPr>
          <w:rFonts w:hint="eastAsia" w:hAnsi="宋体" w:cs="宋体"/>
          <w:color w:val="auto"/>
          <w:highlight w:val="none"/>
        </w:rPr>
        <w:t>套（承包人需要增加图纸套数的，发包人应代为复制，复制费用由承包人承担）；</w:t>
      </w:r>
    </w:p>
    <w:p>
      <w:pPr>
        <w:spacing w:line="360" w:lineRule="auto"/>
        <w:ind w:firstLine="420" w:firstLineChars="200"/>
        <w:rPr>
          <w:color w:val="auto"/>
          <w:highlight w:val="none"/>
        </w:rPr>
      </w:pPr>
      <w:r>
        <w:rPr>
          <w:rFonts w:hint="eastAsia" w:hAnsi="宋体" w:cs="宋体"/>
          <w:color w:val="auto"/>
          <w:highlight w:val="none"/>
        </w:rPr>
        <w:t>发包人向承包人提供图纸的内容：</w:t>
      </w:r>
      <w:r>
        <w:rPr>
          <w:rFonts w:hint="eastAsia"/>
          <w:color w:val="auto"/>
          <w:highlight w:val="none"/>
          <w:u w:val="single"/>
        </w:rPr>
        <w:t>本合同发包内容中的全部图纸（含设计变更）</w:t>
      </w:r>
      <w:r>
        <w:rPr>
          <w:rFonts w:hint="eastAsia" w:hAnsi="宋体" w:cs="宋体"/>
          <w:color w:val="auto"/>
          <w:highlight w:val="none"/>
        </w:rPr>
        <w:t>。</w:t>
      </w:r>
    </w:p>
    <w:p>
      <w:pPr>
        <w:spacing w:line="360" w:lineRule="auto"/>
        <w:ind w:firstLine="420" w:firstLineChars="200"/>
        <w:rPr>
          <w:color w:val="auto"/>
          <w:highlight w:val="none"/>
        </w:rPr>
      </w:pPr>
      <w:r>
        <w:rPr>
          <w:color w:val="auto"/>
          <w:highlight w:val="none"/>
        </w:rPr>
        <w:t xml:space="preserve">1.6.4 </w:t>
      </w:r>
      <w:r>
        <w:rPr>
          <w:rFonts w:hint="eastAsia" w:hAnsi="宋体" w:cs="宋体"/>
          <w:color w:val="auto"/>
          <w:highlight w:val="none"/>
        </w:rPr>
        <w:t>承包人文件</w:t>
      </w:r>
    </w:p>
    <w:p>
      <w:pPr>
        <w:spacing w:line="360" w:lineRule="auto"/>
        <w:ind w:firstLine="420" w:firstLineChars="200"/>
        <w:jc w:val="left"/>
        <w:rPr>
          <w:color w:val="auto"/>
          <w:highlight w:val="none"/>
          <w:u w:val="single"/>
        </w:rPr>
      </w:pPr>
      <w:r>
        <w:rPr>
          <w:rFonts w:hint="eastAsia" w:hAnsi="宋体" w:cs="宋体"/>
          <w:color w:val="auto"/>
          <w:highlight w:val="none"/>
        </w:rPr>
        <w:t>需要由承包人提供的文件，包括：</w:t>
      </w:r>
      <w:r>
        <w:rPr>
          <w:rFonts w:hint="eastAsia"/>
          <w:color w:val="auto"/>
          <w:highlight w:val="none"/>
          <w:u w:val="single"/>
        </w:rPr>
        <w:t>发包人需要与工程有关的相关文件资料等</w:t>
      </w:r>
      <w:r>
        <w:rPr>
          <w:rFonts w:hint="eastAsia" w:hAnsi="宋体" w:cs="宋体"/>
          <w:color w:val="auto"/>
          <w:highlight w:val="none"/>
        </w:rPr>
        <w:t>；</w:t>
      </w:r>
    </w:p>
    <w:p>
      <w:pPr>
        <w:spacing w:line="360" w:lineRule="auto"/>
        <w:ind w:firstLine="420" w:firstLineChars="200"/>
        <w:rPr>
          <w:color w:val="auto"/>
          <w:highlight w:val="none"/>
        </w:rPr>
      </w:pPr>
      <w:r>
        <w:rPr>
          <w:rFonts w:hint="eastAsia" w:hAnsi="宋体" w:cs="宋体"/>
          <w:color w:val="auto"/>
          <w:highlight w:val="none"/>
        </w:rPr>
        <w:t>承包人提供的文件的期限为：</w:t>
      </w:r>
      <w:r>
        <w:rPr>
          <w:rFonts w:hint="eastAsia" w:ascii="宋体" w:hAnsi="宋体"/>
          <w:color w:val="auto"/>
          <w:highlight w:val="none"/>
          <w:u w:val="single"/>
        </w:rPr>
        <w:t>发包人发出通知后7个日历日内提供</w:t>
      </w:r>
      <w:r>
        <w:rPr>
          <w:rFonts w:hint="eastAsia" w:hAnsi="宋体" w:cs="宋体"/>
          <w:color w:val="auto"/>
          <w:highlight w:val="none"/>
        </w:rPr>
        <w:t>；</w:t>
      </w:r>
    </w:p>
    <w:p>
      <w:pPr>
        <w:spacing w:line="360" w:lineRule="auto"/>
        <w:ind w:firstLine="420" w:firstLineChars="200"/>
        <w:rPr>
          <w:color w:val="auto"/>
          <w:highlight w:val="none"/>
        </w:rPr>
      </w:pPr>
      <w:r>
        <w:rPr>
          <w:rFonts w:hint="eastAsia" w:hAnsi="宋体" w:cs="宋体"/>
          <w:color w:val="auto"/>
          <w:highlight w:val="none"/>
        </w:rPr>
        <w:t>承包人提供的文件的数量为：</w:t>
      </w:r>
      <w:r>
        <w:rPr>
          <w:rFonts w:hint="eastAsia" w:hAnsi="宋体" w:cs="宋体"/>
          <w:color w:val="auto"/>
          <w:highlight w:val="none"/>
          <w:u w:val="single"/>
        </w:rPr>
        <w:t>按发包人要求的数量提供</w:t>
      </w:r>
      <w:r>
        <w:rPr>
          <w:rFonts w:hint="eastAsia" w:hAnsi="宋体" w:cs="宋体"/>
          <w:color w:val="auto"/>
          <w:highlight w:val="none"/>
        </w:rPr>
        <w:t>；</w:t>
      </w:r>
    </w:p>
    <w:p>
      <w:pPr>
        <w:spacing w:line="360" w:lineRule="auto"/>
        <w:ind w:firstLine="420" w:firstLineChars="200"/>
        <w:rPr>
          <w:color w:val="auto"/>
          <w:highlight w:val="none"/>
        </w:rPr>
      </w:pPr>
      <w:r>
        <w:rPr>
          <w:rFonts w:hint="eastAsia" w:hAnsi="宋体" w:cs="宋体"/>
          <w:color w:val="auto"/>
          <w:highlight w:val="none"/>
        </w:rPr>
        <w:t>承包人提供的文件的形式为：</w:t>
      </w:r>
      <w:r>
        <w:rPr>
          <w:rFonts w:ascii="宋体" w:hAnsi="宋体"/>
          <w:color w:val="auto"/>
          <w:highlight w:val="none"/>
          <w:u w:val="single"/>
        </w:rPr>
        <w:t>符合</w:t>
      </w:r>
      <w:r>
        <w:rPr>
          <w:rFonts w:hint="eastAsia" w:ascii="宋体" w:hAnsi="宋体"/>
          <w:color w:val="auto"/>
          <w:highlight w:val="none"/>
          <w:u w:val="single"/>
        </w:rPr>
        <w:t>发包人</w:t>
      </w:r>
      <w:r>
        <w:rPr>
          <w:rFonts w:ascii="宋体" w:hAnsi="宋体"/>
          <w:color w:val="auto"/>
          <w:highlight w:val="none"/>
          <w:u w:val="single"/>
        </w:rPr>
        <w:t>要求签章齐全的正式书面文件</w:t>
      </w:r>
      <w:r>
        <w:rPr>
          <w:rFonts w:hint="eastAsia" w:hAnsi="宋体" w:cs="宋体"/>
          <w:color w:val="auto"/>
          <w:highlight w:val="none"/>
        </w:rPr>
        <w:t>；</w:t>
      </w:r>
    </w:p>
    <w:p>
      <w:pPr>
        <w:spacing w:line="360" w:lineRule="auto"/>
        <w:ind w:firstLine="420" w:firstLineChars="200"/>
        <w:rPr>
          <w:color w:val="auto"/>
          <w:highlight w:val="none"/>
        </w:rPr>
      </w:pPr>
      <w:r>
        <w:rPr>
          <w:rFonts w:hint="eastAsia" w:hAnsi="宋体" w:cs="宋体"/>
          <w:color w:val="auto"/>
          <w:highlight w:val="none"/>
        </w:rPr>
        <w:t>发包人审批承包人文件的期限：</w:t>
      </w:r>
      <w:r>
        <w:rPr>
          <w:rFonts w:hint="eastAsia" w:ascii="宋体" w:hAnsi="宋体"/>
          <w:color w:val="auto"/>
          <w:highlight w:val="none"/>
          <w:u w:val="single"/>
        </w:rPr>
        <w:t>发包人收到监理人审查无异议的文件后7天内审查完毕</w:t>
      </w:r>
      <w:r>
        <w:rPr>
          <w:rFonts w:hint="eastAsia" w:hAnsi="宋体" w:cs="宋体"/>
          <w:color w:val="auto"/>
          <w:highlight w:val="none"/>
        </w:rPr>
        <w:t>。</w:t>
      </w:r>
    </w:p>
    <w:p>
      <w:pPr>
        <w:spacing w:line="360" w:lineRule="auto"/>
        <w:ind w:firstLine="420" w:firstLineChars="200"/>
        <w:rPr>
          <w:color w:val="auto"/>
          <w:highlight w:val="none"/>
        </w:rPr>
      </w:pPr>
      <w:r>
        <w:rPr>
          <w:color w:val="auto"/>
          <w:highlight w:val="none"/>
        </w:rPr>
        <w:t xml:space="preserve">1.6.5 </w:t>
      </w:r>
      <w:r>
        <w:rPr>
          <w:rFonts w:hint="eastAsia" w:hAnsi="宋体" w:cs="宋体"/>
          <w:color w:val="auto"/>
          <w:highlight w:val="none"/>
        </w:rPr>
        <w:t>现场图纸准备</w:t>
      </w:r>
    </w:p>
    <w:p>
      <w:pPr>
        <w:spacing w:line="360" w:lineRule="auto"/>
        <w:ind w:firstLine="420" w:firstLineChars="200"/>
        <w:rPr>
          <w:color w:val="auto"/>
          <w:highlight w:val="none"/>
        </w:rPr>
      </w:pPr>
      <w:r>
        <w:rPr>
          <w:rFonts w:hint="eastAsia" w:hAnsi="宋体" w:cs="宋体"/>
          <w:color w:val="auto"/>
          <w:highlight w:val="none"/>
        </w:rPr>
        <w:t>关于现场图纸准备的约定：</w:t>
      </w:r>
      <w:r>
        <w:rPr>
          <w:rFonts w:hint="eastAsia"/>
          <w:color w:val="auto"/>
          <w:highlight w:val="none"/>
          <w:u w:val="single"/>
        </w:rPr>
        <w:t>承包人应在施工现场另外保存一套完整的图纸和承包人文件，供发包人、监理人及有关人员进行工程检查时使用</w:t>
      </w:r>
      <w:r>
        <w:rPr>
          <w:rFonts w:hint="eastAsia" w:hAnsi="宋体" w:cs="宋体"/>
          <w:color w:val="auto"/>
          <w:highlight w:val="none"/>
        </w:rPr>
        <w:t>。</w:t>
      </w:r>
    </w:p>
    <w:p>
      <w:pPr>
        <w:pStyle w:val="5"/>
        <w:rPr>
          <w:color w:val="auto"/>
          <w:highlight w:val="none"/>
        </w:rPr>
      </w:pPr>
      <w:bookmarkStart w:id="498" w:name="_Toc15884"/>
      <w:bookmarkStart w:id="499" w:name="_Toc373227698"/>
      <w:bookmarkStart w:id="500" w:name="_Toc373478345"/>
      <w:bookmarkStart w:id="501" w:name="_Toc407135200"/>
      <w:bookmarkStart w:id="502" w:name="_Toc66186404"/>
      <w:bookmarkStart w:id="503" w:name="_Toc389065264"/>
      <w:r>
        <w:rPr>
          <w:color w:val="auto"/>
          <w:highlight w:val="none"/>
        </w:rPr>
        <w:t xml:space="preserve">1.7 </w:t>
      </w:r>
      <w:r>
        <w:rPr>
          <w:rFonts w:hint="eastAsia" w:hAnsi="宋体" w:cs="黑体"/>
          <w:color w:val="auto"/>
          <w:highlight w:val="none"/>
        </w:rPr>
        <w:t>联络</w:t>
      </w:r>
      <w:bookmarkEnd w:id="498"/>
      <w:bookmarkEnd w:id="499"/>
      <w:bookmarkEnd w:id="500"/>
      <w:bookmarkEnd w:id="501"/>
      <w:bookmarkEnd w:id="502"/>
      <w:bookmarkEnd w:id="503"/>
    </w:p>
    <w:p>
      <w:pPr>
        <w:spacing w:line="360" w:lineRule="auto"/>
        <w:ind w:firstLine="420" w:firstLineChars="200"/>
        <w:rPr>
          <w:color w:val="auto"/>
          <w:kern w:val="0"/>
          <w:highlight w:val="none"/>
        </w:rPr>
      </w:pPr>
      <w:r>
        <w:rPr>
          <w:color w:val="auto"/>
          <w:kern w:val="0"/>
          <w:highlight w:val="none"/>
        </w:rPr>
        <w:t>1.7.1</w:t>
      </w:r>
      <w:r>
        <w:rPr>
          <w:rFonts w:hint="eastAsia" w:hAnsi="宋体" w:cs="宋体"/>
          <w:color w:val="auto"/>
          <w:kern w:val="0"/>
          <w:highlight w:val="none"/>
        </w:rPr>
        <w:t>发包人和承包人应当在</w:t>
      </w:r>
      <w:r>
        <w:rPr>
          <w:rFonts w:hint="eastAsia" w:ascii="宋体" w:hAnsi="宋体"/>
          <w:color w:val="auto"/>
          <w:highlight w:val="none"/>
          <w:u w:val="single"/>
        </w:rPr>
        <w:t>7</w:t>
      </w:r>
      <w:r>
        <w:rPr>
          <w:rFonts w:hint="eastAsia" w:hAnsi="宋体" w:cs="宋体"/>
          <w:color w:val="auto"/>
          <w:kern w:val="0"/>
          <w:highlight w:val="none"/>
        </w:rPr>
        <w:t>天内将与合同有关的通知、批准、证明、证书、指示、指令、要求、请求、同意、意见、确定和决定等书面函件送达对方当事人。</w:t>
      </w:r>
    </w:p>
    <w:p>
      <w:pPr>
        <w:spacing w:line="360" w:lineRule="auto"/>
        <w:ind w:firstLine="420" w:firstLineChars="200"/>
        <w:rPr>
          <w:color w:val="auto"/>
          <w:kern w:val="0"/>
          <w:highlight w:val="none"/>
        </w:rPr>
      </w:pPr>
      <w:r>
        <w:rPr>
          <w:color w:val="auto"/>
          <w:kern w:val="0"/>
          <w:highlight w:val="none"/>
        </w:rPr>
        <w:t xml:space="preserve">1.7.2 </w:t>
      </w:r>
      <w:r>
        <w:rPr>
          <w:rFonts w:hint="eastAsia" w:hAnsi="宋体" w:cs="宋体"/>
          <w:color w:val="auto"/>
          <w:kern w:val="0"/>
          <w:highlight w:val="none"/>
        </w:rPr>
        <w:t>发包人接收文件的地点：</w:t>
      </w:r>
      <w:r>
        <w:rPr>
          <w:rFonts w:hint="eastAsia"/>
          <w:color w:val="auto"/>
          <w:highlight w:val="none"/>
          <w:u w:val="single"/>
        </w:rPr>
        <w:t>发包人项目部现场</w:t>
      </w:r>
      <w:r>
        <w:rPr>
          <w:rFonts w:hint="eastAsia" w:hAnsi="宋体" w:cs="宋体"/>
          <w:color w:val="auto"/>
          <w:kern w:val="0"/>
          <w:highlight w:val="none"/>
        </w:rPr>
        <w:t>；</w:t>
      </w:r>
    </w:p>
    <w:p>
      <w:pPr>
        <w:spacing w:line="360" w:lineRule="auto"/>
        <w:ind w:firstLine="420" w:firstLineChars="200"/>
        <w:rPr>
          <w:color w:val="auto"/>
          <w:kern w:val="0"/>
          <w:highlight w:val="none"/>
        </w:rPr>
      </w:pPr>
      <w:r>
        <w:rPr>
          <w:rFonts w:hint="eastAsia" w:hAnsi="宋体" w:cs="宋体"/>
          <w:color w:val="auto"/>
          <w:kern w:val="0"/>
          <w:highlight w:val="none"/>
        </w:rPr>
        <w:t>发包人指定的接收人为：</w:t>
      </w:r>
      <w:r>
        <w:rPr>
          <w:rFonts w:hint="eastAsia"/>
          <w:color w:val="auto"/>
          <w:highlight w:val="none"/>
          <w:u w:val="single"/>
        </w:rPr>
        <w:t xml:space="preserve"> </w:t>
      </w:r>
      <w:r>
        <w:rPr>
          <w:color w:val="auto"/>
          <w:highlight w:val="none"/>
          <w:u w:val="single"/>
        </w:rPr>
        <w:t xml:space="preserve">                                 </w:t>
      </w:r>
      <w:r>
        <w:rPr>
          <w:rFonts w:hint="eastAsia" w:hAnsi="宋体" w:cs="宋体"/>
          <w:color w:val="auto"/>
          <w:kern w:val="0"/>
          <w:highlight w:val="none"/>
        </w:rPr>
        <w:t>。</w:t>
      </w:r>
    </w:p>
    <w:p>
      <w:pPr>
        <w:spacing w:line="360" w:lineRule="auto"/>
        <w:ind w:firstLine="420" w:firstLineChars="200"/>
        <w:rPr>
          <w:color w:val="auto"/>
          <w:kern w:val="0"/>
          <w:highlight w:val="none"/>
        </w:rPr>
      </w:pPr>
      <w:r>
        <w:rPr>
          <w:rFonts w:hint="eastAsia" w:hAnsi="宋体" w:cs="宋体"/>
          <w:color w:val="auto"/>
          <w:kern w:val="0"/>
          <w:highlight w:val="none"/>
        </w:rPr>
        <w:t>承包人接收文件的地点：</w:t>
      </w:r>
      <w:r>
        <w:rPr>
          <w:rFonts w:hint="eastAsia"/>
          <w:color w:val="auto"/>
          <w:highlight w:val="none"/>
          <w:u w:val="single"/>
        </w:rPr>
        <w:t>承包人施工场地管理机构的办公地点</w:t>
      </w:r>
      <w:r>
        <w:rPr>
          <w:rFonts w:hint="eastAsia" w:hAnsi="宋体" w:cs="宋体"/>
          <w:color w:val="auto"/>
          <w:kern w:val="0"/>
          <w:highlight w:val="none"/>
        </w:rPr>
        <w:t>。</w:t>
      </w:r>
    </w:p>
    <w:p>
      <w:pPr>
        <w:spacing w:line="360" w:lineRule="auto"/>
        <w:ind w:firstLine="420" w:firstLineChars="200"/>
        <w:rPr>
          <w:color w:val="auto"/>
          <w:kern w:val="0"/>
          <w:highlight w:val="none"/>
        </w:rPr>
      </w:pPr>
      <w:r>
        <w:rPr>
          <w:rFonts w:hint="eastAsia" w:hAnsi="宋体" w:cs="宋体"/>
          <w:color w:val="auto"/>
          <w:kern w:val="0"/>
          <w:highlight w:val="none"/>
        </w:rPr>
        <w:t>承包人指定的接收人为：</w:t>
      </w:r>
      <w:r>
        <w:rPr>
          <w:rFonts w:hint="eastAsia"/>
          <w:color w:val="auto"/>
          <w:highlight w:val="none"/>
          <w:u w:val="single"/>
        </w:rPr>
        <w:t xml:space="preserve"> </w:t>
      </w:r>
      <w:r>
        <w:rPr>
          <w:color w:val="auto"/>
          <w:highlight w:val="none"/>
          <w:u w:val="single"/>
        </w:rPr>
        <w:t xml:space="preserve">                                 </w:t>
      </w:r>
      <w:r>
        <w:rPr>
          <w:rFonts w:hint="eastAsia" w:hAnsi="宋体" w:cs="宋体"/>
          <w:color w:val="auto"/>
          <w:kern w:val="0"/>
          <w:highlight w:val="none"/>
        </w:rPr>
        <w:t>。</w:t>
      </w:r>
    </w:p>
    <w:p>
      <w:pPr>
        <w:spacing w:line="360" w:lineRule="auto"/>
        <w:ind w:firstLine="420" w:firstLineChars="200"/>
        <w:rPr>
          <w:color w:val="auto"/>
          <w:kern w:val="0"/>
          <w:highlight w:val="none"/>
        </w:rPr>
      </w:pPr>
      <w:r>
        <w:rPr>
          <w:rFonts w:hint="eastAsia" w:hAnsi="宋体" w:cs="宋体"/>
          <w:color w:val="auto"/>
          <w:kern w:val="0"/>
          <w:highlight w:val="none"/>
        </w:rPr>
        <w:t>监理人接收文件的地点：</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kern w:val="0"/>
          <w:highlight w:val="none"/>
        </w:rPr>
        <w:t>。</w:t>
      </w:r>
    </w:p>
    <w:p>
      <w:pPr>
        <w:spacing w:line="360" w:lineRule="auto"/>
        <w:ind w:firstLine="420" w:firstLineChars="200"/>
        <w:rPr>
          <w:color w:val="auto"/>
          <w:kern w:val="0"/>
          <w:highlight w:val="none"/>
        </w:rPr>
      </w:pPr>
      <w:r>
        <w:rPr>
          <w:rFonts w:hint="eastAsia" w:hAnsi="宋体" w:cs="宋体"/>
          <w:color w:val="auto"/>
          <w:kern w:val="0"/>
          <w:highlight w:val="none"/>
        </w:rPr>
        <w:t>监理人指定的接收人为：</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kern w:val="0"/>
          <w:highlight w:val="none"/>
        </w:rPr>
        <w:t>。</w:t>
      </w:r>
    </w:p>
    <w:p>
      <w:pPr>
        <w:pStyle w:val="5"/>
        <w:rPr>
          <w:color w:val="auto"/>
          <w:highlight w:val="none"/>
        </w:rPr>
      </w:pPr>
      <w:bookmarkStart w:id="504" w:name="_Toc373227699"/>
      <w:bookmarkStart w:id="505" w:name="_Toc66186405"/>
      <w:bookmarkStart w:id="506" w:name="_Toc389065265"/>
      <w:bookmarkStart w:id="507" w:name="_Toc407135201"/>
      <w:bookmarkStart w:id="508" w:name="_Toc4643"/>
      <w:bookmarkStart w:id="509" w:name="_Toc373478346"/>
      <w:r>
        <w:rPr>
          <w:color w:val="auto"/>
          <w:highlight w:val="none"/>
        </w:rPr>
        <w:t xml:space="preserve">1.10 </w:t>
      </w:r>
      <w:r>
        <w:rPr>
          <w:rFonts w:hint="eastAsia" w:hAnsi="宋体" w:cs="黑体"/>
          <w:color w:val="auto"/>
          <w:highlight w:val="none"/>
        </w:rPr>
        <w:t>交通运输</w:t>
      </w:r>
      <w:bookmarkEnd w:id="504"/>
      <w:bookmarkEnd w:id="505"/>
      <w:bookmarkEnd w:id="506"/>
      <w:bookmarkEnd w:id="507"/>
      <w:bookmarkEnd w:id="508"/>
      <w:bookmarkEnd w:id="509"/>
    </w:p>
    <w:p>
      <w:pPr>
        <w:spacing w:line="360" w:lineRule="auto"/>
        <w:ind w:firstLine="420" w:firstLineChars="200"/>
        <w:rPr>
          <w:color w:val="auto"/>
          <w:highlight w:val="none"/>
        </w:rPr>
      </w:pPr>
      <w:r>
        <w:rPr>
          <w:color w:val="auto"/>
          <w:highlight w:val="none"/>
        </w:rPr>
        <w:t>1</w:t>
      </w:r>
      <w:bookmarkStart w:id="510" w:name="_Toc304295521"/>
      <w:bookmarkStart w:id="511" w:name="_Toc300934943"/>
      <w:bookmarkStart w:id="512" w:name="_Toc318581155"/>
      <w:bookmarkStart w:id="513" w:name="_Toc303539100"/>
      <w:bookmarkStart w:id="514" w:name="_Toc312677986"/>
      <w:r>
        <w:rPr>
          <w:color w:val="auto"/>
          <w:highlight w:val="none"/>
        </w:rPr>
        <w:t xml:space="preserve">.10.1 </w:t>
      </w:r>
      <w:r>
        <w:rPr>
          <w:rFonts w:hint="eastAsia" w:hAnsi="宋体" w:cs="宋体"/>
          <w:color w:val="auto"/>
          <w:highlight w:val="none"/>
        </w:rPr>
        <w:t>出入现场的权利</w:t>
      </w:r>
    </w:p>
    <w:p>
      <w:pPr>
        <w:spacing w:line="360" w:lineRule="auto"/>
        <w:ind w:firstLine="420" w:firstLineChars="200"/>
        <w:rPr>
          <w:color w:val="auto"/>
          <w:highlight w:val="none"/>
          <w:u w:val="single"/>
        </w:rPr>
      </w:pPr>
      <w:r>
        <w:rPr>
          <w:rFonts w:hint="eastAsia" w:hAnsi="宋体" w:cs="宋体"/>
          <w:color w:val="auto"/>
          <w:highlight w:val="none"/>
        </w:rPr>
        <w:t>关于出入现场的权利的约定：</w:t>
      </w:r>
      <w:r>
        <w:rPr>
          <w:rFonts w:hint="eastAsia"/>
          <w:color w:val="auto"/>
          <w:highlight w:val="none"/>
          <w:u w:val="single"/>
        </w:rPr>
        <w:t>承包人负责办理取得道路通行权、场外设施修建权，其相关费用由承包人承担；负责施工所需的场内临时道路和交通设施的修建、维护、养护和管理，相关费用由承包人承担。发包人和监理人有权无偿使用承包人修建的临时道路和交通设施，不需要缴纳任何费用。</w:t>
      </w:r>
    </w:p>
    <w:bookmarkEnd w:id="510"/>
    <w:bookmarkEnd w:id="511"/>
    <w:bookmarkEnd w:id="512"/>
    <w:bookmarkEnd w:id="513"/>
    <w:bookmarkEnd w:id="514"/>
    <w:p>
      <w:pPr>
        <w:spacing w:line="360" w:lineRule="auto"/>
        <w:ind w:firstLine="420" w:firstLineChars="200"/>
        <w:jc w:val="left"/>
        <w:rPr>
          <w:color w:val="auto"/>
          <w:highlight w:val="none"/>
        </w:rPr>
      </w:pPr>
      <w:r>
        <w:rPr>
          <w:color w:val="auto"/>
          <w:highlight w:val="none"/>
        </w:rPr>
        <w:t>1</w:t>
      </w:r>
      <w:bookmarkStart w:id="515" w:name="_Toc312677987"/>
      <w:bookmarkStart w:id="516" w:name="_Toc318581156"/>
      <w:bookmarkStart w:id="517" w:name="_Toc300934944"/>
      <w:bookmarkStart w:id="518" w:name="_Toc303539101"/>
      <w:bookmarkStart w:id="519" w:name="_Toc304295522"/>
      <w:r>
        <w:rPr>
          <w:color w:val="auto"/>
          <w:highlight w:val="none"/>
        </w:rPr>
        <w:t xml:space="preserve">.10.3 </w:t>
      </w:r>
      <w:r>
        <w:rPr>
          <w:rFonts w:hint="eastAsia" w:hAnsi="宋体" w:cs="宋体"/>
          <w:color w:val="auto"/>
          <w:highlight w:val="none"/>
        </w:rPr>
        <w:t>场内交通</w:t>
      </w:r>
    </w:p>
    <w:p>
      <w:pPr>
        <w:spacing w:line="360" w:lineRule="auto"/>
        <w:ind w:firstLine="420" w:firstLineChars="200"/>
        <w:jc w:val="left"/>
        <w:rPr>
          <w:color w:val="auto"/>
          <w:kern w:val="0"/>
          <w:highlight w:val="none"/>
        </w:rPr>
      </w:pPr>
      <w:r>
        <w:rPr>
          <w:rFonts w:hint="eastAsia" w:hAnsi="宋体" w:cs="宋体"/>
          <w:color w:val="auto"/>
          <w:kern w:val="0"/>
          <w:highlight w:val="none"/>
        </w:rPr>
        <w:t>关于场外交通和场内交通的边界的约定：</w:t>
      </w:r>
      <w:r>
        <w:rPr>
          <w:rFonts w:hint="eastAsia"/>
          <w:color w:val="auto"/>
          <w:highlight w:val="none"/>
          <w:u w:val="single"/>
        </w:rPr>
        <w:t>以本合同施工图纸为准</w:t>
      </w:r>
      <w:r>
        <w:rPr>
          <w:rFonts w:hint="eastAsia" w:hAnsi="宋体" w:cs="宋体"/>
          <w:color w:val="auto"/>
          <w:highlight w:val="none"/>
        </w:rPr>
        <w:t>。</w:t>
      </w:r>
    </w:p>
    <w:p>
      <w:pPr>
        <w:spacing w:line="360" w:lineRule="auto"/>
        <w:ind w:firstLine="420" w:firstLineChars="200"/>
        <w:jc w:val="left"/>
        <w:rPr>
          <w:color w:val="auto"/>
          <w:highlight w:val="none"/>
        </w:rPr>
      </w:pPr>
      <w:r>
        <w:rPr>
          <w:rFonts w:hAnsi="宋体"/>
          <w:color w:val="auto"/>
          <w:highlight w:val="none"/>
        </w:rPr>
        <w:t>关于发包人向承包人免费提供满足工程施工需要的场内道路和交通设施的约定：</w:t>
      </w:r>
      <w:r>
        <w:rPr>
          <w:rFonts w:hint="eastAsia" w:hAnsi="宋体"/>
          <w:color w:val="auto"/>
          <w:highlight w:val="none"/>
          <w:u w:val="single"/>
        </w:rPr>
        <w:t>由承包人自行解决</w:t>
      </w:r>
      <w:r>
        <w:rPr>
          <w:rFonts w:hAnsi="宋体"/>
          <w:color w:val="auto"/>
          <w:highlight w:val="none"/>
        </w:rPr>
        <w:t>。</w:t>
      </w:r>
      <w:bookmarkEnd w:id="515"/>
      <w:bookmarkEnd w:id="516"/>
      <w:bookmarkEnd w:id="517"/>
      <w:bookmarkEnd w:id="518"/>
      <w:bookmarkEnd w:id="519"/>
      <w:bookmarkStart w:id="520" w:name="_Toc318581157"/>
    </w:p>
    <w:p>
      <w:pPr>
        <w:spacing w:line="360" w:lineRule="auto"/>
        <w:ind w:firstLine="420" w:firstLineChars="200"/>
        <w:jc w:val="left"/>
        <w:rPr>
          <w:color w:val="auto"/>
          <w:highlight w:val="none"/>
        </w:rPr>
      </w:pPr>
      <w:r>
        <w:rPr>
          <w:color w:val="auto"/>
          <w:highlight w:val="none"/>
        </w:rPr>
        <w:t xml:space="preserve">1.10.4 </w:t>
      </w:r>
      <w:r>
        <w:rPr>
          <w:rFonts w:hint="eastAsia" w:hAnsi="宋体" w:cs="宋体"/>
          <w:color w:val="auto"/>
          <w:highlight w:val="none"/>
        </w:rPr>
        <w:t>超大件和超重件的运输</w:t>
      </w:r>
    </w:p>
    <w:p>
      <w:pPr>
        <w:spacing w:line="360" w:lineRule="auto"/>
        <w:ind w:firstLine="420" w:firstLineChars="200"/>
        <w:jc w:val="left"/>
        <w:rPr>
          <w:color w:val="auto"/>
          <w:highlight w:val="none"/>
          <w:u w:val="single"/>
        </w:rPr>
      </w:pPr>
      <w:r>
        <w:rPr>
          <w:rFonts w:hint="eastAsia" w:hAnsi="宋体" w:cs="宋体"/>
          <w:color w:val="auto"/>
          <w:highlight w:val="none"/>
        </w:rPr>
        <w:t>运输超大件或超重件所需的道路和桥梁临时加固改造费用和其他有关费用由</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u w:val="single"/>
        </w:rPr>
        <w:t>/</w:t>
      </w:r>
      <w:r>
        <w:rPr>
          <w:rFonts w:ascii="宋体" w:hAnsi="宋体"/>
          <w:color w:val="auto"/>
          <w:highlight w:val="none"/>
          <w:u w:val="single"/>
        </w:rPr>
        <w:t xml:space="preserve">  </w:t>
      </w:r>
      <w:r>
        <w:rPr>
          <w:rFonts w:hint="eastAsia" w:hAnsi="宋体" w:cs="宋体"/>
          <w:color w:val="auto"/>
          <w:highlight w:val="none"/>
        </w:rPr>
        <w:t>承担。</w:t>
      </w:r>
    </w:p>
    <w:bookmarkEnd w:id="520"/>
    <w:p>
      <w:pPr>
        <w:pStyle w:val="5"/>
        <w:rPr>
          <w:color w:val="auto"/>
          <w:highlight w:val="none"/>
        </w:rPr>
      </w:pPr>
      <w:bookmarkStart w:id="521" w:name="_Toc66186406"/>
      <w:bookmarkStart w:id="522" w:name="_Toc373478347"/>
      <w:bookmarkStart w:id="523" w:name="_Toc26452"/>
      <w:bookmarkStart w:id="524" w:name="_Toc373227700"/>
      <w:bookmarkStart w:id="525" w:name="_Toc389065266"/>
      <w:bookmarkStart w:id="526" w:name="_Toc407135202"/>
      <w:r>
        <w:rPr>
          <w:color w:val="auto"/>
          <w:highlight w:val="none"/>
        </w:rPr>
        <w:t xml:space="preserve">1.11 </w:t>
      </w:r>
      <w:r>
        <w:rPr>
          <w:rFonts w:hint="eastAsia" w:hAnsi="宋体" w:cs="黑体"/>
          <w:color w:val="auto"/>
          <w:highlight w:val="none"/>
        </w:rPr>
        <w:t>知识产权</w:t>
      </w:r>
      <w:bookmarkEnd w:id="521"/>
      <w:bookmarkEnd w:id="522"/>
      <w:bookmarkEnd w:id="523"/>
      <w:bookmarkEnd w:id="524"/>
      <w:bookmarkEnd w:id="525"/>
      <w:bookmarkEnd w:id="526"/>
    </w:p>
    <w:p>
      <w:pPr>
        <w:spacing w:line="360" w:lineRule="auto"/>
        <w:ind w:firstLine="420" w:firstLineChars="200"/>
        <w:rPr>
          <w:color w:val="auto"/>
          <w:highlight w:val="none"/>
        </w:rPr>
      </w:pPr>
      <w:r>
        <w:rPr>
          <w:color w:val="auto"/>
          <w:highlight w:val="none"/>
        </w:rPr>
        <w:t xml:space="preserve">1.11.1 </w:t>
      </w:r>
      <w:r>
        <w:rPr>
          <w:rFonts w:hint="eastAsia" w:hAnsi="宋体" w:cs="宋体"/>
          <w:color w:val="auto"/>
          <w:highlight w:val="none"/>
        </w:rPr>
        <w:t>关于发包人提供给承包人的图纸、发包人为实施工程自行编制或委托编制的技术规范以及反映发包人关于合同要求或其他类似性质的文件的著作权的归属：</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u w:val="single"/>
        </w:rPr>
        <w:t>/</w:t>
      </w:r>
      <w:r>
        <w:rPr>
          <w:rFonts w:ascii="宋体" w:hAnsi="宋体"/>
          <w:color w:val="auto"/>
          <w:highlight w:val="none"/>
          <w:u w:val="single"/>
        </w:rPr>
        <w:t xml:space="preserve">  </w:t>
      </w:r>
      <w:r>
        <w:rPr>
          <w:rFonts w:hint="eastAsia" w:hAnsi="宋体" w:cs="宋体"/>
          <w:color w:val="auto"/>
          <w:highlight w:val="none"/>
        </w:rPr>
        <w:t>。</w:t>
      </w:r>
    </w:p>
    <w:p>
      <w:pPr>
        <w:spacing w:line="360" w:lineRule="auto"/>
        <w:ind w:firstLine="420" w:firstLineChars="200"/>
        <w:rPr>
          <w:color w:val="auto"/>
          <w:highlight w:val="none"/>
        </w:rPr>
      </w:pPr>
      <w:r>
        <w:rPr>
          <w:rFonts w:hint="eastAsia" w:hAnsi="宋体" w:cs="宋体"/>
          <w:color w:val="auto"/>
          <w:highlight w:val="none"/>
        </w:rPr>
        <w:t>关于发包人提供的上述文件的使用限制的要求：</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u w:val="single"/>
        </w:rPr>
        <w:t>/</w:t>
      </w:r>
      <w:r>
        <w:rPr>
          <w:rFonts w:ascii="宋体" w:hAnsi="宋体"/>
          <w:color w:val="auto"/>
          <w:highlight w:val="none"/>
          <w:u w:val="single"/>
        </w:rPr>
        <w:t xml:space="preserve">  </w:t>
      </w:r>
      <w:r>
        <w:rPr>
          <w:rFonts w:hint="eastAsia" w:hAnsi="宋体" w:cs="宋体"/>
          <w:color w:val="auto"/>
          <w:highlight w:val="none"/>
        </w:rPr>
        <w:t>。</w:t>
      </w:r>
    </w:p>
    <w:p>
      <w:pPr>
        <w:spacing w:line="360" w:lineRule="auto"/>
        <w:ind w:firstLine="420" w:firstLineChars="200"/>
        <w:rPr>
          <w:color w:val="auto"/>
          <w:highlight w:val="none"/>
        </w:rPr>
      </w:pPr>
      <w:r>
        <w:rPr>
          <w:color w:val="auto"/>
          <w:highlight w:val="none"/>
        </w:rPr>
        <w:t xml:space="preserve">1.11.2 </w:t>
      </w:r>
      <w:r>
        <w:rPr>
          <w:rFonts w:hint="eastAsia" w:hAnsi="宋体" w:cs="宋体"/>
          <w:color w:val="auto"/>
          <w:highlight w:val="none"/>
        </w:rPr>
        <w:t>关于承包人为实施工程所编制文件的著作权的归属：</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u w:val="single"/>
        </w:rPr>
        <w:t>/</w:t>
      </w:r>
      <w:r>
        <w:rPr>
          <w:rFonts w:ascii="宋体" w:hAnsi="宋体"/>
          <w:color w:val="auto"/>
          <w:highlight w:val="none"/>
          <w:u w:val="single"/>
        </w:rPr>
        <w:t xml:space="preserve">  </w:t>
      </w:r>
      <w:r>
        <w:rPr>
          <w:rFonts w:hint="eastAsia" w:hAnsi="宋体" w:cs="宋体"/>
          <w:color w:val="auto"/>
          <w:highlight w:val="none"/>
        </w:rPr>
        <w:t>。</w:t>
      </w:r>
    </w:p>
    <w:p>
      <w:pPr>
        <w:spacing w:line="360" w:lineRule="auto"/>
        <w:ind w:firstLine="420" w:firstLineChars="200"/>
        <w:rPr>
          <w:color w:val="auto"/>
          <w:highlight w:val="none"/>
          <w:u w:val="single"/>
        </w:rPr>
      </w:pPr>
      <w:r>
        <w:rPr>
          <w:rFonts w:hint="eastAsia" w:hAnsi="宋体" w:cs="宋体"/>
          <w:color w:val="auto"/>
          <w:highlight w:val="none"/>
        </w:rPr>
        <w:t>关于承包人提供的上述文件的使用限制的要求：</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u w:val="single"/>
        </w:rPr>
        <w:t>/</w:t>
      </w:r>
      <w:r>
        <w:rPr>
          <w:rFonts w:ascii="宋体" w:hAnsi="宋体"/>
          <w:color w:val="auto"/>
          <w:highlight w:val="none"/>
          <w:u w:val="single"/>
        </w:rPr>
        <w:t xml:space="preserve">  </w:t>
      </w:r>
      <w:r>
        <w:rPr>
          <w:rFonts w:hint="eastAsia" w:hAnsi="宋体" w:cs="宋体"/>
          <w:color w:val="auto"/>
          <w:highlight w:val="none"/>
        </w:rPr>
        <w:t>。</w:t>
      </w:r>
    </w:p>
    <w:p>
      <w:pPr>
        <w:spacing w:line="360" w:lineRule="auto"/>
        <w:ind w:firstLine="420" w:firstLineChars="200"/>
        <w:rPr>
          <w:rFonts w:hAnsi="宋体"/>
          <w:color w:val="auto"/>
          <w:highlight w:val="none"/>
          <w:u w:val="single"/>
        </w:rPr>
      </w:pPr>
      <w:r>
        <w:rPr>
          <w:color w:val="auto"/>
          <w:highlight w:val="none"/>
        </w:rPr>
        <w:t xml:space="preserve">1.11.4 </w:t>
      </w:r>
      <w:r>
        <w:rPr>
          <w:rFonts w:hint="eastAsia" w:hAnsi="宋体" w:cs="宋体"/>
          <w:color w:val="auto"/>
          <w:highlight w:val="none"/>
        </w:rPr>
        <w:t>承包人在施工过程中所采用的专利、专有技术、技术秘密的使用费的承担方式：</w:t>
      </w:r>
    </w:p>
    <w:p>
      <w:pPr>
        <w:spacing w:line="360" w:lineRule="auto"/>
        <w:rPr>
          <w:color w:val="auto"/>
          <w:kern w:val="0"/>
          <w:highlight w:val="none"/>
        </w:rPr>
      </w:pP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u w:val="single"/>
        </w:rPr>
        <w:t>/</w:t>
      </w:r>
      <w:r>
        <w:rPr>
          <w:rFonts w:ascii="宋体" w:hAnsi="宋体"/>
          <w:color w:val="auto"/>
          <w:highlight w:val="none"/>
          <w:u w:val="single"/>
        </w:rPr>
        <w:t xml:space="preserve">  </w:t>
      </w:r>
      <w:r>
        <w:rPr>
          <w:rFonts w:hint="eastAsia" w:hAnsi="宋体" w:cs="宋体"/>
          <w:color w:val="auto"/>
          <w:kern w:val="0"/>
          <w:highlight w:val="none"/>
        </w:rPr>
        <w:t>。</w:t>
      </w:r>
    </w:p>
    <w:p>
      <w:pPr>
        <w:pStyle w:val="5"/>
        <w:rPr>
          <w:color w:val="auto"/>
          <w:highlight w:val="none"/>
        </w:rPr>
      </w:pPr>
      <w:bookmarkStart w:id="527" w:name="_Toc373478348"/>
      <w:bookmarkStart w:id="528" w:name="_Toc389065267"/>
      <w:bookmarkStart w:id="529" w:name="_Toc373227701"/>
      <w:bookmarkStart w:id="530" w:name="_Toc407135203"/>
      <w:bookmarkStart w:id="531" w:name="_Toc3919"/>
      <w:bookmarkStart w:id="532" w:name="_Toc66186407"/>
      <w:r>
        <w:rPr>
          <w:color w:val="auto"/>
          <w:highlight w:val="none"/>
        </w:rPr>
        <w:t>1.13</w:t>
      </w:r>
      <w:r>
        <w:rPr>
          <w:rFonts w:hint="eastAsia" w:cs="黑体"/>
          <w:color w:val="auto"/>
          <w:highlight w:val="none"/>
        </w:rPr>
        <w:t>工程量清单错误的修正</w:t>
      </w:r>
      <w:bookmarkEnd w:id="527"/>
      <w:bookmarkEnd w:id="528"/>
      <w:bookmarkEnd w:id="529"/>
      <w:bookmarkEnd w:id="530"/>
      <w:bookmarkEnd w:id="531"/>
      <w:bookmarkEnd w:id="532"/>
    </w:p>
    <w:p>
      <w:pPr>
        <w:spacing w:line="360" w:lineRule="auto"/>
        <w:ind w:firstLine="420" w:firstLineChars="200"/>
        <w:rPr>
          <w:color w:val="auto"/>
          <w:highlight w:val="none"/>
        </w:rPr>
      </w:pPr>
      <w:r>
        <w:rPr>
          <w:rFonts w:hint="eastAsia" w:hAnsi="宋体" w:cs="宋体"/>
          <w:color w:val="auto"/>
          <w:highlight w:val="none"/>
        </w:rPr>
        <w:t>出现工程量清单工程量偏差时，是否调整合同价格：</w:t>
      </w:r>
      <w:r>
        <w:rPr>
          <w:rFonts w:hint="eastAsia" w:ascii="宋体" w:hAnsi="宋体"/>
          <w:color w:val="auto"/>
          <w:highlight w:val="none"/>
          <w:u w:val="single"/>
        </w:rPr>
        <w:sym w:font="Wingdings 2" w:char="00A3"/>
      </w:r>
      <w:r>
        <w:rPr>
          <w:rFonts w:hint="eastAsia" w:hAnsi="宋体" w:cs="宋体"/>
          <w:color w:val="auto"/>
          <w:highlight w:val="none"/>
          <w:u w:val="single"/>
        </w:rPr>
        <w:t xml:space="preserve">是  </w:t>
      </w:r>
      <w:r>
        <w:rPr>
          <w:rFonts w:hint="eastAsia" w:ascii="宋体" w:hAnsi="宋体" w:cs="宋体"/>
          <w:color w:val="auto"/>
          <w:highlight w:val="none"/>
          <w:u w:val="single"/>
        </w:rPr>
        <w:sym w:font="Wingdings 2" w:char="0052"/>
      </w:r>
      <w:r>
        <w:rPr>
          <w:rFonts w:hint="eastAsia" w:hAnsi="宋体" w:cs="宋体"/>
          <w:color w:val="auto"/>
          <w:highlight w:val="none"/>
          <w:u w:val="single"/>
        </w:rPr>
        <w:t>否</w:t>
      </w:r>
      <w:r>
        <w:rPr>
          <w:rFonts w:hint="eastAsia" w:hAnsi="宋体" w:cs="宋体"/>
          <w:color w:val="auto"/>
          <w:kern w:val="0"/>
          <w:highlight w:val="none"/>
        </w:rPr>
        <w:t>。</w:t>
      </w:r>
    </w:p>
    <w:p>
      <w:pPr>
        <w:spacing w:line="360" w:lineRule="auto"/>
        <w:ind w:firstLine="447" w:firstLineChars="213"/>
        <w:rPr>
          <w:rFonts w:hint="eastAsia" w:hAnsi="宋体" w:eastAsia="宋体" w:cs="宋体"/>
          <w:color w:val="auto"/>
          <w:highlight w:val="none"/>
          <w:u w:val="single"/>
          <w:lang w:val="en-US" w:eastAsia="zh-CN"/>
        </w:rPr>
      </w:pPr>
      <w:r>
        <w:rPr>
          <w:rFonts w:hint="eastAsia" w:hAnsi="宋体" w:cs="宋体"/>
          <w:color w:val="auto"/>
          <w:highlight w:val="none"/>
        </w:rPr>
        <w:t>允许调整合同价格的工程量偏差范围及其调整办法：</w:t>
      </w:r>
      <w:r>
        <w:rPr>
          <w:rFonts w:hint="eastAsia" w:hAnsi="宋体" w:cs="宋体"/>
          <w:color w:val="auto"/>
          <w:highlight w:val="none"/>
          <w:lang w:val="en-US" w:eastAsia="zh-CN"/>
        </w:rPr>
        <w:t>/</w:t>
      </w:r>
    </w:p>
    <w:p>
      <w:pPr>
        <w:pStyle w:val="4"/>
        <w:rPr>
          <w:color w:val="auto"/>
          <w:highlight w:val="none"/>
        </w:rPr>
      </w:pPr>
      <w:bookmarkStart w:id="533" w:name="_Toc373227702"/>
      <w:bookmarkStart w:id="534" w:name="_Toc373478349"/>
      <w:bookmarkStart w:id="535" w:name="_Toc389065268"/>
      <w:bookmarkStart w:id="536" w:name="_Toc3304"/>
      <w:bookmarkStart w:id="537" w:name="_Toc351203634"/>
      <w:bookmarkStart w:id="538" w:name="_Toc66186408"/>
      <w:bookmarkStart w:id="539" w:name="_Toc407135204"/>
      <w:r>
        <w:rPr>
          <w:color w:val="auto"/>
          <w:highlight w:val="none"/>
        </w:rPr>
        <w:t>2</w:t>
      </w:r>
      <w:bookmarkStart w:id="540" w:name="_Toc296944496"/>
      <w:bookmarkStart w:id="541" w:name="_Toc296503157"/>
      <w:bookmarkStart w:id="542" w:name="_Toc296891197"/>
      <w:bookmarkStart w:id="543" w:name="_Toc296890985"/>
      <w:bookmarkStart w:id="544" w:name="_Toc297048343"/>
      <w:bookmarkStart w:id="545" w:name="_Toc292559867"/>
      <w:bookmarkStart w:id="546" w:name="_Toc296346658"/>
      <w:bookmarkStart w:id="547" w:name="_Toc297120457"/>
      <w:bookmarkStart w:id="548" w:name="_Toc296347156"/>
      <w:bookmarkStart w:id="549" w:name="_Toc292559362"/>
      <w:r>
        <w:rPr>
          <w:color w:val="auto"/>
          <w:highlight w:val="none"/>
        </w:rPr>
        <w:t xml:space="preserve">. </w:t>
      </w:r>
      <w:r>
        <w:rPr>
          <w:rFonts w:hint="eastAsia" w:hAnsi="宋体" w:cs="黑体"/>
          <w:color w:val="auto"/>
          <w:highlight w:val="none"/>
        </w:rPr>
        <w:t>发包人</w:t>
      </w:r>
      <w:bookmarkEnd w:id="533"/>
      <w:bookmarkEnd w:id="534"/>
      <w:bookmarkEnd w:id="535"/>
      <w:bookmarkEnd w:id="536"/>
      <w:bookmarkEnd w:id="537"/>
      <w:bookmarkEnd w:id="538"/>
      <w:bookmarkEnd w:id="539"/>
    </w:p>
    <w:bookmarkEnd w:id="540"/>
    <w:bookmarkEnd w:id="541"/>
    <w:bookmarkEnd w:id="542"/>
    <w:bookmarkEnd w:id="543"/>
    <w:bookmarkEnd w:id="544"/>
    <w:bookmarkEnd w:id="545"/>
    <w:bookmarkEnd w:id="546"/>
    <w:bookmarkEnd w:id="547"/>
    <w:bookmarkEnd w:id="548"/>
    <w:bookmarkEnd w:id="549"/>
    <w:p>
      <w:pPr>
        <w:pStyle w:val="5"/>
        <w:rPr>
          <w:color w:val="auto"/>
          <w:highlight w:val="none"/>
        </w:rPr>
      </w:pPr>
      <w:bookmarkStart w:id="550" w:name="_Toc12019"/>
      <w:bookmarkStart w:id="551" w:name="_Toc66186409"/>
      <w:bookmarkStart w:id="552" w:name="_Toc373478350"/>
      <w:bookmarkStart w:id="553" w:name="_Toc373227703"/>
      <w:bookmarkStart w:id="554" w:name="_Toc407135205"/>
      <w:bookmarkStart w:id="555" w:name="_Toc389065269"/>
      <w:r>
        <w:rPr>
          <w:color w:val="auto"/>
          <w:highlight w:val="none"/>
        </w:rPr>
        <w:t xml:space="preserve">2.2 </w:t>
      </w:r>
      <w:r>
        <w:rPr>
          <w:rFonts w:hint="eastAsia" w:hAnsi="宋体" w:cs="黑体"/>
          <w:color w:val="auto"/>
          <w:highlight w:val="none"/>
        </w:rPr>
        <w:t>发包人代表</w:t>
      </w:r>
      <w:bookmarkEnd w:id="550"/>
      <w:bookmarkEnd w:id="551"/>
      <w:bookmarkEnd w:id="552"/>
      <w:bookmarkEnd w:id="553"/>
      <w:bookmarkEnd w:id="554"/>
      <w:bookmarkEnd w:id="555"/>
    </w:p>
    <w:p>
      <w:pPr>
        <w:spacing w:line="360" w:lineRule="auto"/>
        <w:ind w:firstLine="420" w:firstLineChars="200"/>
        <w:rPr>
          <w:color w:val="auto"/>
          <w:highlight w:val="none"/>
        </w:rPr>
      </w:pPr>
      <w:r>
        <w:rPr>
          <w:rFonts w:hint="eastAsia" w:hAnsi="宋体" w:cs="宋体"/>
          <w:color w:val="auto"/>
          <w:highlight w:val="none"/>
        </w:rPr>
        <w:t>发包人代表：</w:t>
      </w:r>
    </w:p>
    <w:p>
      <w:pPr>
        <w:spacing w:line="360" w:lineRule="auto"/>
        <w:ind w:firstLine="420" w:firstLineChars="200"/>
        <w:rPr>
          <w:color w:val="auto"/>
          <w:highlight w:val="none"/>
        </w:rPr>
      </w:pPr>
      <w:r>
        <w:rPr>
          <w:rFonts w:hAnsi="宋体"/>
          <w:color w:val="auto"/>
          <w:highlight w:val="none"/>
        </w:rPr>
        <w:t>姓</w:t>
      </w:r>
      <w:r>
        <w:rPr>
          <w:color w:val="auto"/>
          <w:highlight w:val="none"/>
        </w:rPr>
        <w:t xml:space="preserve">    </w:t>
      </w:r>
      <w:r>
        <w:rPr>
          <w:rFonts w:hAnsi="宋体"/>
          <w:color w:val="auto"/>
          <w:highlight w:val="none"/>
        </w:rPr>
        <w:t>名：</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pPr>
        <w:spacing w:line="360" w:lineRule="auto"/>
        <w:ind w:firstLine="420" w:firstLineChars="200"/>
        <w:rPr>
          <w:color w:val="auto"/>
          <w:highlight w:val="none"/>
        </w:rPr>
      </w:pPr>
      <w:r>
        <w:rPr>
          <w:rFonts w:hAnsi="宋体"/>
          <w:color w:val="auto"/>
          <w:highlight w:val="none"/>
        </w:rPr>
        <w:t>身份证号：</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pPr>
        <w:spacing w:line="360" w:lineRule="auto"/>
        <w:ind w:firstLine="420" w:firstLineChars="200"/>
        <w:rPr>
          <w:color w:val="auto"/>
          <w:highlight w:val="none"/>
        </w:rPr>
      </w:pPr>
      <w:r>
        <w:rPr>
          <w:rFonts w:hAnsi="宋体"/>
          <w:color w:val="auto"/>
          <w:highlight w:val="none"/>
        </w:rPr>
        <w:t>职</w:t>
      </w:r>
      <w:r>
        <w:rPr>
          <w:color w:val="auto"/>
          <w:highlight w:val="none"/>
        </w:rPr>
        <w:t xml:space="preserve">    </w:t>
      </w:r>
      <w:r>
        <w:rPr>
          <w:rFonts w:hAnsi="宋体"/>
          <w:color w:val="auto"/>
          <w:highlight w:val="none"/>
        </w:rPr>
        <w:t>务：</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pPr>
        <w:spacing w:line="360" w:lineRule="auto"/>
        <w:ind w:firstLine="420" w:firstLineChars="200"/>
        <w:rPr>
          <w:color w:val="auto"/>
          <w:highlight w:val="none"/>
        </w:rPr>
      </w:pPr>
      <w:r>
        <w:rPr>
          <w:rFonts w:hAnsi="宋体"/>
          <w:color w:val="auto"/>
          <w:highlight w:val="none"/>
        </w:rPr>
        <w:t>联系电话：</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pPr>
        <w:spacing w:line="360" w:lineRule="auto"/>
        <w:ind w:firstLine="420" w:firstLineChars="200"/>
        <w:rPr>
          <w:color w:val="auto"/>
          <w:highlight w:val="none"/>
        </w:rPr>
      </w:pPr>
      <w:r>
        <w:rPr>
          <w:rFonts w:hAnsi="宋体"/>
          <w:color w:val="auto"/>
          <w:highlight w:val="none"/>
        </w:rPr>
        <w:t>电子信箱：</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pPr>
        <w:spacing w:line="360" w:lineRule="auto"/>
        <w:ind w:firstLine="420" w:firstLineChars="200"/>
        <w:rPr>
          <w:color w:val="auto"/>
          <w:highlight w:val="none"/>
        </w:rPr>
      </w:pPr>
      <w:r>
        <w:rPr>
          <w:rFonts w:hAnsi="宋体"/>
          <w:color w:val="auto"/>
          <w:highlight w:val="none"/>
        </w:rPr>
        <w:t>通信地址：</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pPr>
        <w:spacing w:line="360" w:lineRule="auto"/>
        <w:ind w:firstLine="420" w:firstLineChars="200"/>
        <w:rPr>
          <w:color w:val="auto"/>
          <w:highlight w:val="none"/>
          <w:u w:val="single"/>
        </w:rPr>
      </w:pPr>
      <w:r>
        <w:rPr>
          <w:rFonts w:hint="eastAsia" w:hAnsi="宋体" w:cs="宋体"/>
          <w:color w:val="auto"/>
          <w:highlight w:val="none"/>
        </w:rPr>
        <w:t>发包人对发包人代表的授权范围如下：</w:t>
      </w:r>
      <w:r>
        <w:rPr>
          <w:rFonts w:hint="eastAsia"/>
          <w:color w:val="auto"/>
          <w:highlight w:val="none"/>
          <w:u w:val="single"/>
        </w:rPr>
        <w:t>督促指导监理工程师行使职权，协调施工现场各方面的关系，协调工程质量，进度和安全文明施工中存在的问题，解决有关设计和技术签证，办理签认现场经济技术签证，审核工程进度报表。</w:t>
      </w:r>
    </w:p>
    <w:p>
      <w:pPr>
        <w:pStyle w:val="5"/>
        <w:rPr>
          <w:color w:val="auto"/>
          <w:highlight w:val="none"/>
        </w:rPr>
      </w:pPr>
      <w:bookmarkStart w:id="556" w:name="_Toc407135206"/>
      <w:bookmarkStart w:id="557" w:name="_Toc66186410"/>
      <w:bookmarkStart w:id="558" w:name="_Toc389065270"/>
      <w:bookmarkStart w:id="559" w:name="_Toc373227704"/>
      <w:bookmarkStart w:id="560" w:name="_Toc17915"/>
      <w:bookmarkStart w:id="561" w:name="_Toc373478351"/>
      <w:r>
        <w:rPr>
          <w:color w:val="auto"/>
          <w:highlight w:val="none"/>
        </w:rPr>
        <w:t xml:space="preserve">2.4 </w:t>
      </w:r>
      <w:r>
        <w:rPr>
          <w:rFonts w:hint="eastAsia" w:cs="黑体"/>
          <w:color w:val="auto"/>
          <w:highlight w:val="none"/>
        </w:rPr>
        <w:t>施工现场、施工条件和基础资料的提供</w:t>
      </w:r>
      <w:bookmarkEnd w:id="556"/>
      <w:bookmarkEnd w:id="557"/>
      <w:bookmarkEnd w:id="558"/>
      <w:bookmarkEnd w:id="559"/>
      <w:bookmarkEnd w:id="560"/>
      <w:bookmarkEnd w:id="561"/>
    </w:p>
    <w:p>
      <w:pPr>
        <w:spacing w:line="360" w:lineRule="auto"/>
        <w:ind w:firstLine="420" w:firstLineChars="200"/>
        <w:rPr>
          <w:color w:val="auto"/>
          <w:highlight w:val="none"/>
        </w:rPr>
      </w:pPr>
      <w:r>
        <w:rPr>
          <w:color w:val="auto"/>
          <w:highlight w:val="none"/>
        </w:rPr>
        <w:t xml:space="preserve">2.4.1 </w:t>
      </w:r>
      <w:r>
        <w:rPr>
          <w:rFonts w:hint="eastAsia" w:hAnsi="宋体" w:cs="宋体"/>
          <w:color w:val="auto"/>
          <w:highlight w:val="none"/>
        </w:rPr>
        <w:t>提供施工现场</w:t>
      </w:r>
    </w:p>
    <w:p>
      <w:pPr>
        <w:spacing w:line="360" w:lineRule="auto"/>
        <w:ind w:firstLine="420" w:firstLineChars="200"/>
        <w:jc w:val="left"/>
        <w:rPr>
          <w:color w:val="auto"/>
          <w:highlight w:val="none"/>
        </w:rPr>
      </w:pPr>
      <w:r>
        <w:rPr>
          <w:rFonts w:hint="eastAsia" w:hAnsi="宋体" w:cs="宋体"/>
          <w:color w:val="auto"/>
          <w:highlight w:val="none"/>
        </w:rPr>
        <w:t>关于发包人移交施工现场的期限要求：</w:t>
      </w:r>
      <w:r>
        <w:rPr>
          <w:rFonts w:hint="eastAsia"/>
          <w:color w:val="auto"/>
          <w:highlight w:val="none"/>
          <w:u w:val="single"/>
        </w:rPr>
        <w:t>施工场地应当在监理人发出的开工通知中载明的开工日期前七天具备施工条件并移交给承包人，具体施工条件在施工合同中约定。发包人最迟应当在移交施工场地的同时向承包人提供施工场地内地下管线和地下设施等有关资料，并保证资料的真实、准确和完整</w:t>
      </w:r>
      <w:r>
        <w:rPr>
          <w:rFonts w:hint="eastAsia" w:hAnsi="宋体" w:cs="宋体"/>
          <w:color w:val="auto"/>
          <w:highlight w:val="none"/>
        </w:rPr>
        <w:t>。</w:t>
      </w:r>
    </w:p>
    <w:p>
      <w:pPr>
        <w:spacing w:line="360" w:lineRule="auto"/>
        <w:ind w:firstLine="420" w:firstLineChars="200"/>
        <w:rPr>
          <w:color w:val="auto"/>
          <w:highlight w:val="none"/>
        </w:rPr>
      </w:pPr>
      <w:r>
        <w:rPr>
          <w:color w:val="auto"/>
          <w:highlight w:val="none"/>
        </w:rPr>
        <w:t xml:space="preserve">2.4.2 </w:t>
      </w:r>
      <w:r>
        <w:rPr>
          <w:rFonts w:hint="eastAsia" w:hAnsi="宋体" w:cs="宋体"/>
          <w:color w:val="auto"/>
          <w:highlight w:val="none"/>
        </w:rPr>
        <w:t>提供施工条件</w:t>
      </w:r>
    </w:p>
    <w:p>
      <w:pPr>
        <w:spacing w:line="360" w:lineRule="auto"/>
        <w:ind w:firstLine="420" w:firstLineChars="200"/>
        <w:rPr>
          <w:color w:val="auto"/>
          <w:highlight w:val="none"/>
          <w:u w:val="single"/>
        </w:rPr>
      </w:pPr>
      <w:r>
        <w:rPr>
          <w:rFonts w:hint="eastAsia" w:hAnsi="宋体" w:cs="宋体"/>
          <w:color w:val="auto"/>
          <w:highlight w:val="none"/>
        </w:rPr>
        <w:t>关于发包人应负责提供施工所需要的条件，包括：</w:t>
      </w:r>
      <w:r>
        <w:rPr>
          <w:rFonts w:hint="eastAsia"/>
          <w:color w:val="auto"/>
          <w:highlight w:val="none"/>
          <w:u w:val="single"/>
        </w:rPr>
        <w:t>施工用水、用电及电讯线路由承包人自行解决，费用由承包人在各项综合单价中自行考虑。</w:t>
      </w:r>
    </w:p>
    <w:p>
      <w:pPr>
        <w:pStyle w:val="5"/>
        <w:rPr>
          <w:color w:val="auto"/>
          <w:highlight w:val="none"/>
        </w:rPr>
      </w:pPr>
      <w:bookmarkStart w:id="562" w:name="_Toc373478352"/>
      <w:bookmarkStart w:id="563" w:name="_Toc373227705"/>
      <w:bookmarkStart w:id="564" w:name="_Toc66186411"/>
      <w:bookmarkStart w:id="565" w:name="_Toc389065271"/>
      <w:bookmarkStart w:id="566" w:name="_Toc24663"/>
      <w:bookmarkStart w:id="567" w:name="_Toc407135207"/>
      <w:r>
        <w:rPr>
          <w:color w:val="auto"/>
          <w:highlight w:val="none"/>
        </w:rPr>
        <w:t xml:space="preserve">2.5 </w:t>
      </w:r>
      <w:r>
        <w:rPr>
          <w:rFonts w:hint="eastAsia" w:cs="黑体"/>
          <w:color w:val="auto"/>
          <w:highlight w:val="none"/>
        </w:rPr>
        <w:t>资金来源证明及支付担保</w:t>
      </w:r>
      <w:bookmarkEnd w:id="562"/>
      <w:bookmarkEnd w:id="563"/>
      <w:bookmarkEnd w:id="564"/>
      <w:bookmarkEnd w:id="565"/>
      <w:bookmarkEnd w:id="566"/>
      <w:bookmarkEnd w:id="567"/>
    </w:p>
    <w:p>
      <w:pPr>
        <w:spacing w:line="360" w:lineRule="auto"/>
        <w:ind w:firstLine="420" w:firstLineChars="200"/>
        <w:rPr>
          <w:color w:val="auto"/>
          <w:highlight w:val="none"/>
        </w:rPr>
      </w:pPr>
      <w:r>
        <w:rPr>
          <w:rFonts w:hint="eastAsia" w:hAnsi="宋体" w:cs="宋体"/>
          <w:color w:val="auto"/>
          <w:highlight w:val="none"/>
        </w:rPr>
        <w:t>发包人提供资金来源证明的期限要求：</w:t>
      </w:r>
      <w:r>
        <w:rPr>
          <w:color w:val="auto"/>
          <w:highlight w:val="none"/>
          <w:u w:val="single"/>
        </w:rPr>
        <w:t xml:space="preserve">/ </w:t>
      </w:r>
      <w:r>
        <w:rPr>
          <w:rFonts w:hint="eastAsia" w:hAnsi="宋体" w:cs="宋体"/>
          <w:color w:val="auto"/>
          <w:highlight w:val="none"/>
        </w:rPr>
        <w:t>。</w:t>
      </w:r>
    </w:p>
    <w:p>
      <w:pPr>
        <w:spacing w:line="360" w:lineRule="auto"/>
        <w:ind w:firstLine="420" w:firstLineChars="200"/>
        <w:rPr>
          <w:color w:val="auto"/>
          <w:highlight w:val="none"/>
        </w:rPr>
      </w:pPr>
      <w:r>
        <w:rPr>
          <w:rFonts w:hint="eastAsia" w:hAnsi="宋体" w:cs="宋体"/>
          <w:color w:val="auto"/>
          <w:highlight w:val="none"/>
        </w:rPr>
        <w:t>发包人是否提供支付担保：</w:t>
      </w:r>
      <w:r>
        <w:rPr>
          <w:color w:val="auto"/>
          <w:highlight w:val="none"/>
          <w:u w:val="single"/>
        </w:rPr>
        <w:t xml:space="preserve">/ </w:t>
      </w:r>
      <w:r>
        <w:rPr>
          <w:rFonts w:hint="eastAsia" w:hAnsi="宋体" w:cs="宋体"/>
          <w:color w:val="auto"/>
          <w:highlight w:val="none"/>
        </w:rPr>
        <w:t>。</w:t>
      </w:r>
    </w:p>
    <w:p>
      <w:pPr>
        <w:spacing w:line="360" w:lineRule="auto"/>
        <w:ind w:firstLine="420" w:firstLineChars="200"/>
        <w:rPr>
          <w:rFonts w:hAnsi="宋体"/>
          <w:color w:val="auto"/>
          <w:highlight w:val="none"/>
        </w:rPr>
      </w:pPr>
      <w:r>
        <w:rPr>
          <w:rFonts w:hint="eastAsia" w:hAnsi="宋体" w:cs="宋体"/>
          <w:color w:val="auto"/>
          <w:highlight w:val="none"/>
        </w:rPr>
        <w:t>发包人提供支付担保的形式：</w:t>
      </w:r>
      <w:r>
        <w:rPr>
          <w:color w:val="auto"/>
          <w:highlight w:val="none"/>
          <w:u w:val="single"/>
        </w:rPr>
        <w:t xml:space="preserve">/ </w:t>
      </w:r>
      <w:r>
        <w:rPr>
          <w:rFonts w:hint="eastAsia" w:hAnsi="宋体" w:cs="宋体"/>
          <w:color w:val="auto"/>
          <w:highlight w:val="none"/>
        </w:rPr>
        <w:t>。</w:t>
      </w:r>
    </w:p>
    <w:p>
      <w:pPr>
        <w:spacing w:line="360" w:lineRule="auto"/>
        <w:ind w:firstLine="420" w:firstLineChars="200"/>
        <w:rPr>
          <w:color w:val="auto"/>
          <w:highlight w:val="none"/>
          <w:u w:val="single"/>
        </w:rPr>
      </w:pPr>
      <w:r>
        <w:rPr>
          <w:rFonts w:hint="eastAsia" w:hAnsi="宋体" w:cs="宋体"/>
          <w:color w:val="auto"/>
          <w:highlight w:val="none"/>
        </w:rPr>
        <w:t>发包人提供的支付担保格式见合同附件</w:t>
      </w:r>
      <w:r>
        <w:rPr>
          <w:rFonts w:hint="eastAsia" w:hAnsi="宋体"/>
          <w:color w:val="auto"/>
          <w:highlight w:val="none"/>
        </w:rPr>
        <w:t>9</w:t>
      </w:r>
      <w:r>
        <w:rPr>
          <w:rFonts w:hint="eastAsia" w:hAnsi="宋体" w:cs="宋体"/>
          <w:color w:val="auto"/>
          <w:highlight w:val="none"/>
        </w:rPr>
        <w:t>。</w:t>
      </w:r>
    </w:p>
    <w:p>
      <w:pPr>
        <w:pStyle w:val="4"/>
        <w:rPr>
          <w:color w:val="auto"/>
          <w:highlight w:val="none"/>
        </w:rPr>
      </w:pPr>
      <w:bookmarkStart w:id="568" w:name="_Toc373227706"/>
      <w:bookmarkStart w:id="569" w:name="_Toc351203635"/>
      <w:bookmarkStart w:id="570" w:name="_Toc407135208"/>
      <w:bookmarkStart w:id="571" w:name="_Toc66186412"/>
      <w:bookmarkStart w:id="572" w:name="_Toc389065272"/>
      <w:bookmarkStart w:id="573" w:name="_Toc11796"/>
      <w:bookmarkStart w:id="574" w:name="_Toc373478353"/>
      <w:r>
        <w:rPr>
          <w:color w:val="auto"/>
          <w:highlight w:val="none"/>
        </w:rPr>
        <w:t>3</w:t>
      </w:r>
      <w:bookmarkStart w:id="575" w:name="_Toc297048344"/>
      <w:bookmarkStart w:id="576" w:name="_Toc296347157"/>
      <w:bookmarkStart w:id="577" w:name="_Toc296346659"/>
      <w:bookmarkStart w:id="578" w:name="_Toc296944497"/>
      <w:bookmarkStart w:id="579" w:name="_Toc292559363"/>
      <w:bookmarkStart w:id="580" w:name="_Toc296503158"/>
      <w:bookmarkStart w:id="581" w:name="_Toc292559868"/>
      <w:bookmarkStart w:id="582" w:name="_Toc296890986"/>
      <w:bookmarkStart w:id="583" w:name="_Toc296891198"/>
      <w:bookmarkStart w:id="584" w:name="_Toc297120458"/>
      <w:r>
        <w:rPr>
          <w:color w:val="auto"/>
          <w:highlight w:val="none"/>
        </w:rPr>
        <w:t xml:space="preserve">. </w:t>
      </w:r>
      <w:r>
        <w:rPr>
          <w:rFonts w:hint="eastAsia" w:hAnsi="宋体" w:cs="黑体"/>
          <w:color w:val="auto"/>
          <w:highlight w:val="none"/>
        </w:rPr>
        <w:t>承包人</w:t>
      </w:r>
      <w:bookmarkEnd w:id="568"/>
      <w:bookmarkEnd w:id="569"/>
      <w:bookmarkEnd w:id="570"/>
      <w:bookmarkEnd w:id="571"/>
      <w:bookmarkEnd w:id="572"/>
      <w:bookmarkEnd w:id="573"/>
      <w:bookmarkEnd w:id="574"/>
    </w:p>
    <w:bookmarkEnd w:id="575"/>
    <w:bookmarkEnd w:id="576"/>
    <w:bookmarkEnd w:id="577"/>
    <w:bookmarkEnd w:id="578"/>
    <w:bookmarkEnd w:id="579"/>
    <w:bookmarkEnd w:id="580"/>
    <w:bookmarkEnd w:id="581"/>
    <w:bookmarkEnd w:id="582"/>
    <w:bookmarkEnd w:id="583"/>
    <w:bookmarkEnd w:id="584"/>
    <w:p>
      <w:pPr>
        <w:pStyle w:val="5"/>
        <w:rPr>
          <w:color w:val="auto"/>
          <w:highlight w:val="none"/>
        </w:rPr>
      </w:pPr>
      <w:bookmarkStart w:id="585" w:name="_Toc66186413"/>
      <w:bookmarkStart w:id="586" w:name="_Toc407135209"/>
      <w:bookmarkStart w:id="587" w:name="_Toc31962"/>
      <w:bookmarkStart w:id="588" w:name="_Toc373478354"/>
      <w:bookmarkStart w:id="589" w:name="_Toc389065273"/>
      <w:bookmarkStart w:id="590" w:name="_Toc373227707"/>
      <w:r>
        <w:rPr>
          <w:color w:val="auto"/>
          <w:highlight w:val="none"/>
        </w:rPr>
        <w:t xml:space="preserve">3.1 </w:t>
      </w:r>
      <w:r>
        <w:rPr>
          <w:rFonts w:hint="eastAsia" w:cs="黑体"/>
          <w:color w:val="auto"/>
          <w:highlight w:val="none"/>
        </w:rPr>
        <w:t>承包人的一般义务</w:t>
      </w:r>
      <w:bookmarkEnd w:id="585"/>
      <w:bookmarkEnd w:id="586"/>
      <w:bookmarkEnd w:id="587"/>
      <w:bookmarkEnd w:id="588"/>
      <w:bookmarkEnd w:id="589"/>
      <w:bookmarkEnd w:id="590"/>
    </w:p>
    <w:p>
      <w:pPr>
        <w:spacing w:line="360" w:lineRule="auto"/>
        <w:ind w:firstLine="420" w:firstLineChars="200"/>
        <w:jc w:val="left"/>
        <w:rPr>
          <w:rFonts w:hAnsi="宋体"/>
          <w:color w:val="auto"/>
          <w:highlight w:val="none"/>
        </w:rPr>
      </w:pPr>
      <w:r>
        <w:rPr>
          <w:rFonts w:hint="eastAsia" w:hAnsi="宋体" w:cs="宋体"/>
          <w:color w:val="auto"/>
          <w:kern w:val="0"/>
          <w:highlight w:val="none"/>
        </w:rPr>
        <w:t>（</w:t>
      </w:r>
      <w:r>
        <w:rPr>
          <w:color w:val="auto"/>
          <w:kern w:val="0"/>
          <w:highlight w:val="none"/>
        </w:rPr>
        <w:t>9</w:t>
      </w:r>
      <w:r>
        <w:rPr>
          <w:rFonts w:hint="eastAsia" w:hAnsi="宋体" w:cs="宋体"/>
          <w:color w:val="auto"/>
          <w:kern w:val="0"/>
          <w:highlight w:val="none"/>
        </w:rPr>
        <w:t>）</w:t>
      </w:r>
      <w:r>
        <w:rPr>
          <w:rFonts w:hint="eastAsia" w:hAnsi="宋体" w:cs="宋体"/>
          <w:color w:val="auto"/>
          <w:highlight w:val="none"/>
        </w:rPr>
        <w:t>承包人提交的竣工资料的内容：</w:t>
      </w:r>
      <w:r>
        <w:rPr>
          <w:rFonts w:hint="eastAsia" w:ascii="宋体" w:hAnsi="宋体"/>
          <w:color w:val="auto"/>
          <w:highlight w:val="none"/>
          <w:u w:val="single"/>
        </w:rPr>
        <w:t>完整的技术档案和施工管理资料；工程使用的主要建筑材料、建筑构配件和设备的进场试验报告；勘察、设计、施工、监理等单位分别签署的质量合格文件；施工单位签署的工程保修书</w:t>
      </w:r>
      <w:r>
        <w:rPr>
          <w:rFonts w:ascii="宋体" w:hAnsi="宋体"/>
          <w:color w:val="auto"/>
          <w:highlight w:val="none"/>
          <w:u w:val="single"/>
        </w:rPr>
        <w:t xml:space="preserve"> </w:t>
      </w:r>
      <w:r>
        <w:rPr>
          <w:rFonts w:hint="eastAsia" w:hAnsi="宋体" w:cs="宋体"/>
          <w:color w:val="auto"/>
          <w:highlight w:val="none"/>
        </w:rPr>
        <w:t>。</w:t>
      </w:r>
    </w:p>
    <w:p>
      <w:pPr>
        <w:spacing w:line="360" w:lineRule="auto"/>
        <w:ind w:firstLine="420" w:firstLineChars="200"/>
        <w:jc w:val="left"/>
        <w:rPr>
          <w:color w:val="auto"/>
          <w:highlight w:val="none"/>
        </w:rPr>
      </w:pPr>
      <w:r>
        <w:rPr>
          <w:rFonts w:hint="eastAsia" w:hAnsi="宋体" w:cs="宋体"/>
          <w:color w:val="auto"/>
          <w:highlight w:val="none"/>
        </w:rPr>
        <w:t>承包人需要提交的竣工资料套数：</w:t>
      </w:r>
      <w:r>
        <w:rPr>
          <w:rFonts w:hint="eastAsia"/>
          <w:color w:val="auto"/>
          <w:highlight w:val="none"/>
          <w:u w:val="single"/>
        </w:rPr>
        <w:t>一式五份</w:t>
      </w:r>
      <w:r>
        <w:rPr>
          <w:rFonts w:hint="eastAsia" w:hAnsi="宋体" w:cs="宋体"/>
          <w:color w:val="auto"/>
          <w:highlight w:val="none"/>
        </w:rPr>
        <w:t>。</w:t>
      </w:r>
    </w:p>
    <w:p>
      <w:pPr>
        <w:spacing w:line="360" w:lineRule="auto"/>
        <w:ind w:left="424" w:leftChars="202"/>
        <w:jc w:val="left"/>
        <w:rPr>
          <w:color w:val="auto"/>
          <w:highlight w:val="none"/>
        </w:rPr>
      </w:pPr>
      <w:r>
        <w:rPr>
          <w:rFonts w:hint="eastAsia" w:hAnsi="宋体" w:cs="宋体"/>
          <w:color w:val="auto"/>
          <w:highlight w:val="none"/>
        </w:rPr>
        <w:t>承包人提交的竣工资料的费用承担：</w:t>
      </w:r>
      <w:r>
        <w:rPr>
          <w:rFonts w:ascii="宋体" w:hAnsi="宋体"/>
          <w:color w:val="auto"/>
          <w:highlight w:val="none"/>
          <w:u w:val="single"/>
        </w:rPr>
        <w:t>由承包人承担</w:t>
      </w:r>
      <w:r>
        <w:rPr>
          <w:rFonts w:hint="eastAsia" w:hAnsi="宋体" w:cs="宋体"/>
          <w:color w:val="auto"/>
          <w:highlight w:val="none"/>
        </w:rPr>
        <w:t>。</w:t>
      </w:r>
    </w:p>
    <w:p>
      <w:pPr>
        <w:spacing w:line="360" w:lineRule="auto"/>
        <w:ind w:left="424" w:leftChars="202"/>
        <w:jc w:val="left"/>
        <w:rPr>
          <w:color w:val="auto"/>
          <w:highlight w:val="none"/>
        </w:rPr>
      </w:pPr>
      <w:r>
        <w:rPr>
          <w:rFonts w:hint="eastAsia" w:hAnsi="宋体" w:cs="宋体"/>
          <w:color w:val="auto"/>
          <w:highlight w:val="none"/>
        </w:rPr>
        <w:t>承包人提交的竣工资料移交时间：</w:t>
      </w:r>
      <w:r>
        <w:rPr>
          <w:rFonts w:hint="eastAsia"/>
          <w:color w:val="auto"/>
          <w:highlight w:val="none"/>
          <w:u w:val="single"/>
        </w:rPr>
        <w:t>工程竣工验收合格后28天内</w:t>
      </w:r>
      <w:r>
        <w:rPr>
          <w:rFonts w:hint="eastAsia" w:hAnsi="宋体" w:cs="宋体"/>
          <w:color w:val="auto"/>
          <w:highlight w:val="none"/>
        </w:rPr>
        <w:t>。</w:t>
      </w:r>
    </w:p>
    <w:p>
      <w:pPr>
        <w:spacing w:line="360" w:lineRule="auto"/>
        <w:ind w:firstLine="420" w:firstLineChars="200"/>
        <w:jc w:val="left"/>
        <w:rPr>
          <w:color w:val="auto"/>
          <w:highlight w:val="none"/>
        </w:rPr>
      </w:pPr>
      <w:r>
        <w:rPr>
          <w:rFonts w:hint="eastAsia" w:hAnsi="宋体" w:cs="宋体"/>
          <w:color w:val="auto"/>
          <w:highlight w:val="none"/>
        </w:rPr>
        <w:t>承包人提交的竣工资料形式要求：</w:t>
      </w:r>
      <w:r>
        <w:rPr>
          <w:rFonts w:hint="eastAsia"/>
          <w:color w:val="auto"/>
          <w:highlight w:val="none"/>
          <w:u w:val="single"/>
        </w:rPr>
        <w:t>纸质（装订成册）及电子文档</w:t>
      </w:r>
      <w:r>
        <w:rPr>
          <w:rFonts w:hint="eastAsia" w:hAnsi="宋体" w:cs="宋体"/>
          <w:color w:val="auto"/>
          <w:highlight w:val="none"/>
        </w:rPr>
        <w:t>。</w:t>
      </w:r>
    </w:p>
    <w:p>
      <w:pPr>
        <w:spacing w:line="360" w:lineRule="auto"/>
        <w:ind w:firstLine="420" w:firstLineChars="200"/>
        <w:rPr>
          <w:color w:val="auto"/>
          <w:kern w:val="0"/>
          <w:highlight w:val="none"/>
        </w:rPr>
      </w:pPr>
      <w:r>
        <w:rPr>
          <w:rFonts w:hint="eastAsia" w:hAnsi="宋体" w:cs="宋体"/>
          <w:color w:val="auto"/>
          <w:kern w:val="0"/>
          <w:highlight w:val="none"/>
        </w:rPr>
        <w:t>（</w:t>
      </w:r>
      <w:r>
        <w:rPr>
          <w:color w:val="auto"/>
          <w:kern w:val="0"/>
          <w:highlight w:val="none"/>
        </w:rPr>
        <w:t>10</w:t>
      </w:r>
      <w:r>
        <w:rPr>
          <w:rFonts w:hint="eastAsia" w:hAnsi="宋体" w:cs="宋体"/>
          <w:color w:val="auto"/>
          <w:kern w:val="0"/>
          <w:highlight w:val="none"/>
        </w:rPr>
        <w:t>）承包人应履行的其他义务：</w:t>
      </w:r>
    </w:p>
    <w:p>
      <w:pPr>
        <w:spacing w:line="360" w:lineRule="auto"/>
        <w:ind w:firstLine="420" w:firstLineChars="200"/>
        <w:rPr>
          <w:color w:val="auto"/>
          <w:kern w:val="0"/>
          <w:highlight w:val="none"/>
          <w:u w:val="single"/>
        </w:rPr>
      </w:pPr>
      <w:r>
        <w:rPr>
          <w:rFonts w:hint="eastAsia"/>
          <w:color w:val="auto"/>
          <w:kern w:val="0"/>
          <w:highlight w:val="none"/>
          <w:u w:val="single"/>
        </w:rPr>
        <w:t>1）承包人必须如期开工、竣工并按时保质移交整个工程。在任何情况下（除发生不可抗力之外），未经发包人书面同意承包人均不能擅自停工。</w:t>
      </w:r>
    </w:p>
    <w:p>
      <w:pPr>
        <w:spacing w:line="360" w:lineRule="auto"/>
        <w:ind w:firstLine="420" w:firstLineChars="200"/>
        <w:rPr>
          <w:color w:val="auto"/>
          <w:kern w:val="0"/>
          <w:highlight w:val="none"/>
          <w:u w:val="single"/>
        </w:rPr>
      </w:pPr>
      <w:r>
        <w:rPr>
          <w:rFonts w:hint="eastAsia"/>
          <w:color w:val="auto"/>
          <w:kern w:val="0"/>
          <w:highlight w:val="none"/>
          <w:u w:val="single"/>
        </w:rPr>
        <w:t>2）执行发包人工地代表和总监理工程师的指令，如有异议，应立即向发包人的工地代表、总监理工程师提出。</w:t>
      </w:r>
    </w:p>
    <w:p>
      <w:pPr>
        <w:spacing w:line="360" w:lineRule="auto"/>
        <w:ind w:firstLine="420" w:firstLineChars="200"/>
        <w:rPr>
          <w:color w:val="auto"/>
          <w:kern w:val="0"/>
          <w:highlight w:val="none"/>
          <w:u w:val="single"/>
        </w:rPr>
      </w:pPr>
      <w:r>
        <w:rPr>
          <w:rFonts w:hint="eastAsia"/>
          <w:color w:val="auto"/>
          <w:kern w:val="0"/>
          <w:highlight w:val="none"/>
          <w:u w:val="single"/>
        </w:rPr>
        <w:t>3）本工程生活及施工用水电接口由发包人提供，承包人在接用发包人提供的水电接口前5天，必须书面向发包人申请用水用电，并在申请中注明水电的负荷，发包人在接到承包人申请后3个日历天内作出书面答复，承包人不得未经发包人同意自行接水接电。</w:t>
      </w:r>
    </w:p>
    <w:p>
      <w:pPr>
        <w:spacing w:line="360" w:lineRule="auto"/>
        <w:ind w:firstLine="420" w:firstLineChars="200"/>
        <w:rPr>
          <w:color w:val="auto"/>
          <w:kern w:val="0"/>
          <w:highlight w:val="none"/>
          <w:u w:val="single"/>
        </w:rPr>
      </w:pPr>
      <w:r>
        <w:rPr>
          <w:rFonts w:hint="eastAsia"/>
          <w:color w:val="auto"/>
          <w:kern w:val="0"/>
          <w:highlight w:val="none"/>
          <w:u w:val="single"/>
        </w:rPr>
        <w:t>4）承包人必须严格执行发包人现场代表和总监理工程师的指令，如承包人对发出指令存有异议的，应立即向发包人现场代表、总监理工程师提出，但不得拒绝执行或消极执行。</w:t>
      </w:r>
    </w:p>
    <w:p>
      <w:pPr>
        <w:spacing w:line="360" w:lineRule="auto"/>
        <w:ind w:firstLine="420" w:firstLineChars="200"/>
        <w:rPr>
          <w:color w:val="auto"/>
          <w:kern w:val="0"/>
          <w:highlight w:val="none"/>
          <w:u w:val="single"/>
        </w:rPr>
      </w:pPr>
      <w:r>
        <w:rPr>
          <w:rFonts w:hint="eastAsia"/>
          <w:color w:val="auto"/>
          <w:kern w:val="0"/>
          <w:highlight w:val="none"/>
          <w:u w:val="single"/>
        </w:rPr>
        <w:t>5）承包人要听从发包人、监理人现场管理人员的统筹指挥，认真做好施工组织设计，涉及到与其他施工单位配合的，应服从发包人、监理人现场管理人员的统筹安排。</w:t>
      </w:r>
    </w:p>
    <w:p>
      <w:pPr>
        <w:spacing w:line="360" w:lineRule="auto"/>
        <w:ind w:firstLine="420" w:firstLineChars="200"/>
        <w:rPr>
          <w:color w:val="auto"/>
          <w:kern w:val="0"/>
          <w:highlight w:val="none"/>
          <w:u w:val="single"/>
        </w:rPr>
      </w:pPr>
      <w:r>
        <w:rPr>
          <w:color w:val="auto"/>
          <w:kern w:val="0"/>
          <w:highlight w:val="none"/>
          <w:u w:val="single"/>
        </w:rPr>
        <w:t>6</w:t>
      </w:r>
      <w:r>
        <w:rPr>
          <w:rFonts w:hint="eastAsia"/>
          <w:color w:val="auto"/>
          <w:kern w:val="0"/>
          <w:highlight w:val="none"/>
          <w:u w:val="single"/>
        </w:rPr>
        <w:t>）须按发包人或监理人通知要求的人员、时间、地点参加或监理人组织的工程会议，否则每迟到</w:t>
      </w:r>
      <w:r>
        <w:rPr>
          <w:color w:val="auto"/>
          <w:kern w:val="0"/>
          <w:highlight w:val="none"/>
          <w:u w:val="single"/>
        </w:rPr>
        <w:t>1</w:t>
      </w:r>
      <w:r>
        <w:rPr>
          <w:rFonts w:hint="eastAsia"/>
          <w:color w:val="auto"/>
          <w:kern w:val="0"/>
          <w:highlight w:val="none"/>
          <w:u w:val="single"/>
        </w:rPr>
        <w:t>人次应按</w:t>
      </w:r>
      <w:r>
        <w:rPr>
          <w:color w:val="auto"/>
          <w:kern w:val="0"/>
          <w:highlight w:val="none"/>
          <w:u w:val="single"/>
        </w:rPr>
        <w:t>500</w:t>
      </w:r>
      <w:r>
        <w:rPr>
          <w:rFonts w:hint="eastAsia"/>
          <w:color w:val="auto"/>
          <w:kern w:val="0"/>
          <w:highlight w:val="none"/>
          <w:u w:val="single"/>
        </w:rPr>
        <w:t>元</w:t>
      </w:r>
      <w:r>
        <w:rPr>
          <w:color w:val="auto"/>
          <w:kern w:val="0"/>
          <w:highlight w:val="none"/>
          <w:u w:val="single"/>
        </w:rPr>
        <w:t>/</w:t>
      </w:r>
      <w:r>
        <w:rPr>
          <w:rFonts w:hint="eastAsia"/>
          <w:color w:val="auto"/>
          <w:kern w:val="0"/>
          <w:highlight w:val="none"/>
          <w:u w:val="single"/>
        </w:rPr>
        <w:t>人</w:t>
      </w:r>
      <w:r>
        <w:rPr>
          <w:color w:val="auto"/>
          <w:kern w:val="0"/>
          <w:highlight w:val="none"/>
          <w:u w:val="single"/>
        </w:rPr>
        <w:t>▪</w:t>
      </w:r>
      <w:r>
        <w:rPr>
          <w:rFonts w:hint="eastAsia"/>
          <w:color w:val="auto"/>
          <w:kern w:val="0"/>
          <w:highlight w:val="none"/>
          <w:u w:val="single"/>
        </w:rPr>
        <w:t>次向发包人支付违约金，每缺席</w:t>
      </w:r>
      <w:r>
        <w:rPr>
          <w:color w:val="auto"/>
          <w:kern w:val="0"/>
          <w:highlight w:val="none"/>
          <w:u w:val="single"/>
        </w:rPr>
        <w:t>1</w:t>
      </w:r>
      <w:r>
        <w:rPr>
          <w:rFonts w:hint="eastAsia"/>
          <w:color w:val="auto"/>
          <w:kern w:val="0"/>
          <w:highlight w:val="none"/>
          <w:u w:val="single"/>
        </w:rPr>
        <w:t>人次应按</w:t>
      </w:r>
      <w:r>
        <w:rPr>
          <w:color w:val="auto"/>
          <w:kern w:val="0"/>
          <w:highlight w:val="none"/>
          <w:u w:val="single"/>
        </w:rPr>
        <w:t>1000</w:t>
      </w:r>
      <w:r>
        <w:rPr>
          <w:rFonts w:hint="eastAsia"/>
          <w:color w:val="auto"/>
          <w:kern w:val="0"/>
          <w:highlight w:val="none"/>
          <w:u w:val="single"/>
        </w:rPr>
        <w:t>元</w:t>
      </w:r>
      <w:r>
        <w:rPr>
          <w:color w:val="auto"/>
          <w:kern w:val="0"/>
          <w:highlight w:val="none"/>
          <w:u w:val="single"/>
        </w:rPr>
        <w:t>/</w:t>
      </w:r>
      <w:r>
        <w:rPr>
          <w:rFonts w:hint="eastAsia"/>
          <w:color w:val="auto"/>
          <w:kern w:val="0"/>
          <w:highlight w:val="none"/>
          <w:u w:val="single"/>
        </w:rPr>
        <w:t>人</w:t>
      </w:r>
      <w:r>
        <w:rPr>
          <w:color w:val="auto"/>
          <w:kern w:val="0"/>
          <w:highlight w:val="none"/>
          <w:u w:val="single"/>
        </w:rPr>
        <w:t>▪</w:t>
      </w:r>
      <w:r>
        <w:rPr>
          <w:rFonts w:hint="eastAsia"/>
          <w:color w:val="auto"/>
          <w:kern w:val="0"/>
          <w:highlight w:val="none"/>
          <w:u w:val="single"/>
        </w:rPr>
        <w:t>次向发包人支付违约金，迟到超过</w:t>
      </w:r>
      <w:r>
        <w:rPr>
          <w:color w:val="auto"/>
          <w:kern w:val="0"/>
          <w:highlight w:val="none"/>
          <w:u w:val="single"/>
        </w:rPr>
        <w:t>1</w:t>
      </w:r>
      <w:r>
        <w:rPr>
          <w:rFonts w:hint="eastAsia"/>
          <w:color w:val="auto"/>
          <w:kern w:val="0"/>
          <w:highlight w:val="none"/>
          <w:u w:val="single"/>
        </w:rPr>
        <w:t>小时的视为缺席；与会人员需按发包人或监理的要求，及时在达成一致意见的会议记录（或会议纪要或会议备忘录）上签字，否则应按</w:t>
      </w:r>
      <w:r>
        <w:rPr>
          <w:color w:val="auto"/>
          <w:kern w:val="0"/>
          <w:highlight w:val="none"/>
          <w:u w:val="single"/>
        </w:rPr>
        <w:t>1000</w:t>
      </w:r>
      <w:r>
        <w:rPr>
          <w:rFonts w:hint="eastAsia"/>
          <w:color w:val="auto"/>
          <w:kern w:val="0"/>
          <w:highlight w:val="none"/>
          <w:u w:val="single"/>
        </w:rPr>
        <w:t>元</w:t>
      </w:r>
      <w:r>
        <w:rPr>
          <w:color w:val="auto"/>
          <w:kern w:val="0"/>
          <w:highlight w:val="none"/>
          <w:u w:val="single"/>
        </w:rPr>
        <w:t>/</w:t>
      </w:r>
      <w:r>
        <w:rPr>
          <w:rFonts w:hint="eastAsia"/>
          <w:color w:val="auto"/>
          <w:kern w:val="0"/>
          <w:highlight w:val="none"/>
          <w:u w:val="single"/>
        </w:rPr>
        <w:t>人次向发包人支付违约金。</w:t>
      </w:r>
    </w:p>
    <w:p>
      <w:pPr>
        <w:spacing w:line="360" w:lineRule="auto"/>
        <w:ind w:firstLine="420" w:firstLineChars="200"/>
        <w:rPr>
          <w:color w:val="auto"/>
          <w:kern w:val="0"/>
          <w:highlight w:val="none"/>
          <w:u w:val="single"/>
        </w:rPr>
      </w:pPr>
      <w:r>
        <w:rPr>
          <w:rFonts w:hint="eastAsia"/>
          <w:color w:val="auto"/>
          <w:kern w:val="0"/>
          <w:highlight w:val="none"/>
          <w:u w:val="single"/>
        </w:rPr>
        <w:t>7）施工时全面协调好周边关系，如因承包人原因未处理好周边环境关系而导致工程停工的后果由承包人自行承担，发包人将不承担由此引起的工期延误及其他损失。</w:t>
      </w:r>
    </w:p>
    <w:p>
      <w:pPr>
        <w:spacing w:line="360" w:lineRule="auto"/>
        <w:ind w:firstLine="420" w:firstLineChars="200"/>
        <w:rPr>
          <w:color w:val="auto"/>
          <w:kern w:val="0"/>
          <w:highlight w:val="none"/>
          <w:u w:val="single"/>
        </w:rPr>
      </w:pPr>
      <w:r>
        <w:rPr>
          <w:rFonts w:hint="eastAsia"/>
          <w:color w:val="auto"/>
          <w:kern w:val="0"/>
          <w:highlight w:val="none"/>
          <w:u w:val="single"/>
        </w:rPr>
        <w:t>8）承包人应在货物发运前对其进行满足运输距离、防潮、防震、防锈和防破损装卸等要求包装，以保证货物安全运达发包人指定地点。</w:t>
      </w:r>
    </w:p>
    <w:p>
      <w:pPr>
        <w:spacing w:line="360" w:lineRule="auto"/>
        <w:ind w:firstLine="420" w:firstLineChars="200"/>
        <w:rPr>
          <w:color w:val="auto"/>
          <w:kern w:val="0"/>
          <w:highlight w:val="none"/>
          <w:u w:val="single"/>
        </w:rPr>
      </w:pPr>
      <w:r>
        <w:rPr>
          <w:rFonts w:hint="eastAsia"/>
          <w:color w:val="auto"/>
          <w:kern w:val="0"/>
          <w:highlight w:val="none"/>
          <w:u w:val="single"/>
        </w:rPr>
        <w:t>9）使用说明书、质量检验证明书、随配附件和工具以及清单一并附于货物内。</w:t>
      </w:r>
    </w:p>
    <w:p>
      <w:pPr>
        <w:spacing w:line="360" w:lineRule="auto"/>
        <w:ind w:firstLine="420" w:firstLineChars="200"/>
        <w:rPr>
          <w:color w:val="auto"/>
          <w:kern w:val="0"/>
          <w:highlight w:val="none"/>
          <w:u w:val="single"/>
        </w:rPr>
      </w:pPr>
      <w:r>
        <w:rPr>
          <w:rFonts w:hint="eastAsia"/>
          <w:color w:val="auto"/>
          <w:kern w:val="0"/>
          <w:highlight w:val="none"/>
          <w:u w:val="single"/>
        </w:rPr>
        <w:t>10）承包人在货物发运手续办理完毕后24小时内或货到发包人48小时前通知发包人，以准备接货。</w:t>
      </w:r>
    </w:p>
    <w:p>
      <w:pPr>
        <w:spacing w:line="360" w:lineRule="auto"/>
        <w:ind w:firstLine="420" w:firstLineChars="200"/>
        <w:rPr>
          <w:color w:val="auto"/>
          <w:kern w:val="0"/>
          <w:highlight w:val="none"/>
          <w:u w:val="single"/>
        </w:rPr>
      </w:pPr>
      <w:r>
        <w:rPr>
          <w:rFonts w:hint="eastAsia"/>
          <w:color w:val="auto"/>
          <w:kern w:val="0"/>
          <w:highlight w:val="none"/>
          <w:u w:val="single"/>
        </w:rPr>
        <w:t>11）货物在交付发包人前发生的风险均由承包人负责。</w:t>
      </w:r>
    </w:p>
    <w:p>
      <w:pPr>
        <w:spacing w:line="360" w:lineRule="auto"/>
        <w:ind w:firstLine="420" w:firstLineChars="200"/>
        <w:rPr>
          <w:color w:val="auto"/>
          <w:kern w:val="0"/>
          <w:highlight w:val="none"/>
          <w:u w:val="single"/>
        </w:rPr>
      </w:pPr>
      <w:r>
        <w:rPr>
          <w:rFonts w:hint="eastAsia"/>
          <w:color w:val="auto"/>
          <w:kern w:val="0"/>
          <w:highlight w:val="none"/>
          <w:u w:val="single"/>
        </w:rPr>
        <w:t>12）货物在规定的交付期限内由承包人送达发包人指定的地点视为交付，承包人同时需通知发包人货物已送达。</w:t>
      </w:r>
    </w:p>
    <w:p>
      <w:pPr>
        <w:spacing w:line="360" w:lineRule="auto"/>
        <w:ind w:firstLine="420" w:firstLineChars="200"/>
        <w:rPr>
          <w:color w:val="auto"/>
          <w:kern w:val="0"/>
          <w:highlight w:val="none"/>
          <w:u w:val="single"/>
        </w:rPr>
      </w:pPr>
      <w:r>
        <w:rPr>
          <w:rFonts w:hint="eastAsia"/>
          <w:color w:val="auto"/>
          <w:kern w:val="0"/>
          <w:highlight w:val="none"/>
          <w:u w:val="single"/>
        </w:rPr>
        <w:t>13）承包人交货前应对产品作出全面检查和对验收文件进行整理，并列出清单，作为发包人收货验收和使用的技术条件依据，检验的结果应随货物交发包人。</w:t>
      </w:r>
    </w:p>
    <w:p>
      <w:pPr>
        <w:spacing w:line="360" w:lineRule="auto"/>
        <w:ind w:firstLine="420" w:firstLineChars="200"/>
        <w:rPr>
          <w:color w:val="auto"/>
          <w:kern w:val="0"/>
          <w:highlight w:val="none"/>
          <w:u w:val="single"/>
        </w:rPr>
      </w:pPr>
      <w:r>
        <w:rPr>
          <w:rFonts w:hint="eastAsia"/>
          <w:color w:val="auto"/>
          <w:kern w:val="0"/>
          <w:highlight w:val="none"/>
          <w:u w:val="single"/>
        </w:rPr>
        <w:t>14）发包人对承包人提供的货物在使用前进行调试时，承包人需负责安装并培训发包人的使用操作人员，并协助发包人一起调试，直到符合技术要求，发包人才做最终验收。</w:t>
      </w:r>
    </w:p>
    <w:p>
      <w:pPr>
        <w:spacing w:line="360" w:lineRule="auto"/>
        <w:ind w:firstLine="420" w:firstLineChars="200"/>
        <w:rPr>
          <w:color w:val="auto"/>
          <w:kern w:val="0"/>
          <w:highlight w:val="none"/>
          <w:u w:val="single"/>
        </w:rPr>
      </w:pPr>
      <w:r>
        <w:rPr>
          <w:rFonts w:hint="eastAsia"/>
          <w:color w:val="auto"/>
          <w:kern w:val="0"/>
          <w:highlight w:val="none"/>
          <w:u w:val="single"/>
        </w:rPr>
        <w:t>15）对技术复杂的货物，发包人应请国家认可的专业检测机构参与初步验收及最终验收，并由其出具质量检测报告。验收费用由承包人负责。</w:t>
      </w:r>
    </w:p>
    <w:p>
      <w:pPr>
        <w:spacing w:line="360" w:lineRule="auto"/>
        <w:ind w:firstLine="420" w:firstLineChars="200"/>
        <w:rPr>
          <w:color w:val="auto"/>
          <w:kern w:val="0"/>
          <w:highlight w:val="none"/>
        </w:rPr>
      </w:pPr>
      <w:r>
        <w:rPr>
          <w:rFonts w:hint="eastAsia"/>
          <w:color w:val="auto"/>
          <w:kern w:val="0"/>
          <w:highlight w:val="none"/>
          <w:u w:val="single"/>
        </w:rPr>
        <w:t>16）验收时承包人必须在现场，验收完毕后作出验收结果报告；验收费用由承包人负责。</w:t>
      </w:r>
      <w:r>
        <w:rPr>
          <w:rFonts w:hint="eastAsia" w:hAnsi="宋体" w:cs="宋体"/>
          <w:color w:val="auto"/>
          <w:kern w:val="0"/>
          <w:highlight w:val="none"/>
        </w:rPr>
        <w:t>。</w:t>
      </w:r>
    </w:p>
    <w:p>
      <w:pPr>
        <w:pStyle w:val="5"/>
        <w:rPr>
          <w:color w:val="auto"/>
          <w:highlight w:val="none"/>
        </w:rPr>
      </w:pPr>
      <w:bookmarkStart w:id="591" w:name="_Toc66186414"/>
      <w:bookmarkStart w:id="592" w:name="_Toc373478355"/>
      <w:bookmarkStart w:id="593" w:name="_Toc407135210"/>
      <w:bookmarkStart w:id="594" w:name="_Toc389065274"/>
      <w:bookmarkStart w:id="595" w:name="_Toc32064"/>
      <w:bookmarkStart w:id="596" w:name="_Toc373227708"/>
      <w:r>
        <w:rPr>
          <w:color w:val="auto"/>
          <w:highlight w:val="none"/>
        </w:rPr>
        <w:t xml:space="preserve">3.2 </w:t>
      </w:r>
      <w:r>
        <w:rPr>
          <w:rFonts w:hint="eastAsia" w:hAnsi="宋体" w:cs="黑体"/>
          <w:color w:val="auto"/>
          <w:highlight w:val="none"/>
        </w:rPr>
        <w:t>项目经理</w:t>
      </w:r>
      <w:bookmarkEnd w:id="591"/>
      <w:bookmarkEnd w:id="592"/>
      <w:bookmarkEnd w:id="593"/>
      <w:bookmarkEnd w:id="594"/>
      <w:bookmarkEnd w:id="595"/>
      <w:bookmarkEnd w:id="596"/>
    </w:p>
    <w:p>
      <w:pPr>
        <w:spacing w:line="360" w:lineRule="auto"/>
        <w:ind w:firstLine="420" w:firstLineChars="200"/>
        <w:rPr>
          <w:color w:val="auto"/>
          <w:highlight w:val="none"/>
        </w:rPr>
      </w:pPr>
      <w:r>
        <w:rPr>
          <w:color w:val="auto"/>
          <w:kern w:val="0"/>
          <w:highlight w:val="none"/>
        </w:rPr>
        <w:t xml:space="preserve">3.2.1 </w:t>
      </w:r>
      <w:r>
        <w:rPr>
          <w:rFonts w:hint="eastAsia" w:hAnsi="宋体" w:cs="宋体"/>
          <w:color w:val="auto"/>
          <w:highlight w:val="none"/>
        </w:rPr>
        <w:t>项目经理：</w:t>
      </w:r>
    </w:p>
    <w:p>
      <w:pPr>
        <w:spacing w:line="360" w:lineRule="auto"/>
        <w:ind w:firstLine="420" w:firstLineChars="200"/>
        <w:rPr>
          <w:color w:val="auto"/>
          <w:highlight w:val="none"/>
        </w:rPr>
      </w:pPr>
      <w:r>
        <w:rPr>
          <w:rFonts w:hAnsi="宋体"/>
          <w:color w:val="auto"/>
          <w:highlight w:val="none"/>
        </w:rPr>
        <w:t>姓</w:t>
      </w:r>
      <w:r>
        <w:rPr>
          <w:color w:val="auto"/>
          <w:highlight w:val="none"/>
        </w:rPr>
        <w:t xml:space="preserve">    </w:t>
      </w:r>
      <w:r>
        <w:rPr>
          <w:rFonts w:hAnsi="宋体"/>
          <w:color w:val="auto"/>
          <w:highlight w:val="none"/>
        </w:rPr>
        <w:t>名：</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pPr>
        <w:spacing w:line="360" w:lineRule="auto"/>
        <w:ind w:firstLine="420" w:firstLineChars="200"/>
        <w:rPr>
          <w:color w:val="auto"/>
          <w:highlight w:val="none"/>
        </w:rPr>
      </w:pPr>
      <w:r>
        <w:rPr>
          <w:rFonts w:hAnsi="宋体"/>
          <w:color w:val="auto"/>
          <w:highlight w:val="none"/>
        </w:rPr>
        <w:t>身份证号：</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pPr>
        <w:spacing w:line="360" w:lineRule="auto"/>
        <w:ind w:firstLine="420" w:firstLineChars="200"/>
        <w:rPr>
          <w:color w:val="auto"/>
          <w:highlight w:val="none"/>
        </w:rPr>
      </w:pPr>
      <w:r>
        <w:rPr>
          <w:rFonts w:hAnsi="宋体"/>
          <w:color w:val="auto"/>
          <w:highlight w:val="none"/>
        </w:rPr>
        <w:t>建造师执业资格等级：</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pPr>
        <w:spacing w:line="360" w:lineRule="auto"/>
        <w:ind w:firstLine="420" w:firstLineChars="200"/>
        <w:rPr>
          <w:color w:val="auto"/>
          <w:highlight w:val="none"/>
        </w:rPr>
      </w:pPr>
      <w:r>
        <w:rPr>
          <w:rFonts w:hAnsi="宋体"/>
          <w:color w:val="auto"/>
          <w:highlight w:val="none"/>
        </w:rPr>
        <w:t>建造师注册证书号：</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pPr>
        <w:spacing w:line="360" w:lineRule="auto"/>
        <w:ind w:firstLine="420" w:firstLineChars="200"/>
        <w:rPr>
          <w:color w:val="auto"/>
          <w:highlight w:val="none"/>
        </w:rPr>
      </w:pPr>
      <w:r>
        <w:rPr>
          <w:rFonts w:hAnsi="宋体"/>
          <w:color w:val="auto"/>
          <w:highlight w:val="none"/>
        </w:rPr>
        <w:t>建造师执业印章号：</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pPr>
        <w:spacing w:line="360" w:lineRule="auto"/>
        <w:ind w:firstLine="420" w:firstLineChars="200"/>
        <w:rPr>
          <w:rFonts w:hAnsi="宋体"/>
          <w:color w:val="auto"/>
          <w:highlight w:val="none"/>
        </w:rPr>
      </w:pPr>
      <w:r>
        <w:rPr>
          <w:rFonts w:hAnsi="宋体"/>
          <w:color w:val="auto"/>
          <w:highlight w:val="none"/>
        </w:rPr>
        <w:t>安全生产考核合格证书号：</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pPr>
        <w:spacing w:line="360" w:lineRule="auto"/>
        <w:ind w:firstLine="420" w:firstLineChars="200"/>
        <w:rPr>
          <w:color w:val="auto"/>
          <w:highlight w:val="none"/>
        </w:rPr>
      </w:pPr>
      <w:r>
        <w:rPr>
          <w:rFonts w:hAnsi="宋体"/>
          <w:color w:val="auto"/>
          <w:highlight w:val="none"/>
        </w:rPr>
        <w:t>联系电话：</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pPr>
        <w:spacing w:line="360" w:lineRule="auto"/>
        <w:ind w:firstLine="420" w:firstLineChars="200"/>
        <w:rPr>
          <w:color w:val="auto"/>
          <w:highlight w:val="none"/>
        </w:rPr>
      </w:pPr>
      <w:r>
        <w:rPr>
          <w:rFonts w:hAnsi="宋体"/>
          <w:color w:val="auto"/>
          <w:highlight w:val="none"/>
        </w:rPr>
        <w:t>电子信箱：</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pPr>
        <w:spacing w:line="360" w:lineRule="auto"/>
        <w:ind w:firstLine="420" w:firstLineChars="200"/>
        <w:rPr>
          <w:rFonts w:hAnsi="宋体"/>
          <w:color w:val="auto"/>
          <w:highlight w:val="none"/>
        </w:rPr>
      </w:pPr>
      <w:r>
        <w:rPr>
          <w:rFonts w:hAnsi="宋体"/>
          <w:color w:val="auto"/>
          <w:highlight w:val="none"/>
        </w:rPr>
        <w:t>通信地址：</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pPr>
        <w:spacing w:line="360" w:lineRule="auto"/>
        <w:ind w:firstLine="420" w:firstLineChars="200"/>
        <w:rPr>
          <w:color w:val="auto"/>
          <w:highlight w:val="none"/>
        </w:rPr>
      </w:pPr>
      <w:r>
        <w:rPr>
          <w:rFonts w:hint="eastAsia" w:hAnsi="宋体" w:cs="宋体"/>
          <w:color w:val="auto"/>
          <w:highlight w:val="none"/>
        </w:rPr>
        <w:t>承包人对项目经理的授权范围如下：</w:t>
      </w:r>
      <w:r>
        <w:rPr>
          <w:rFonts w:hint="eastAsia"/>
          <w:color w:val="auto"/>
          <w:highlight w:val="none"/>
          <w:u w:val="single"/>
        </w:rPr>
        <w:t>代表承包人履行合同,以承包人名义协调处理与本工程有关的对内对外相关事务，签署签证，签发文件</w:t>
      </w:r>
      <w:r>
        <w:rPr>
          <w:rFonts w:hint="eastAsia" w:hAnsi="宋体" w:cs="宋体"/>
          <w:color w:val="auto"/>
          <w:highlight w:val="none"/>
        </w:rPr>
        <w:t>。</w:t>
      </w:r>
    </w:p>
    <w:p>
      <w:pPr>
        <w:spacing w:line="360" w:lineRule="auto"/>
        <w:ind w:firstLine="420" w:firstLineChars="200"/>
        <w:jc w:val="left"/>
        <w:rPr>
          <w:color w:val="auto"/>
          <w:kern w:val="0"/>
          <w:highlight w:val="none"/>
        </w:rPr>
      </w:pPr>
      <w:r>
        <w:rPr>
          <w:rFonts w:hint="eastAsia" w:hAnsi="宋体" w:cs="宋体"/>
          <w:color w:val="auto"/>
          <w:kern w:val="0"/>
          <w:highlight w:val="none"/>
        </w:rPr>
        <w:t>关于项目经理每月在施工现场的时间要求：</w:t>
      </w:r>
      <w:r>
        <w:rPr>
          <w:rFonts w:hint="eastAsia" w:ascii="宋体" w:hAnsi="宋体"/>
          <w:color w:val="auto"/>
          <w:highlight w:val="none"/>
          <w:u w:val="single"/>
        </w:rPr>
        <w:t>每月带班生产时间不得少于本月施工时间的80%</w:t>
      </w:r>
      <w:r>
        <w:rPr>
          <w:rFonts w:hint="eastAsia" w:hAnsi="宋体" w:cs="宋体"/>
          <w:color w:val="auto"/>
          <w:highlight w:val="none"/>
        </w:rPr>
        <w:t>。</w:t>
      </w:r>
    </w:p>
    <w:p>
      <w:pPr>
        <w:spacing w:line="360" w:lineRule="auto"/>
        <w:ind w:firstLine="420" w:firstLineChars="200"/>
        <w:rPr>
          <w:color w:val="auto"/>
          <w:highlight w:val="none"/>
          <w:u w:val="single"/>
        </w:rPr>
      </w:pPr>
      <w:r>
        <w:rPr>
          <w:rFonts w:hint="eastAsia" w:hAnsi="宋体" w:cs="宋体"/>
          <w:color w:val="auto"/>
          <w:kern w:val="0"/>
          <w:highlight w:val="none"/>
        </w:rPr>
        <w:t>承包人未提交劳动合同，以及没有为项目经理缴纳社会保险证明的违约责任：</w:t>
      </w:r>
    </w:p>
    <w:p>
      <w:pPr>
        <w:spacing w:line="360" w:lineRule="auto"/>
        <w:jc w:val="left"/>
        <w:rPr>
          <w:color w:val="auto"/>
          <w:kern w:val="0"/>
          <w:highlight w:val="none"/>
        </w:rPr>
      </w:pPr>
      <w:r>
        <w:rPr>
          <w:rFonts w:hint="eastAsia"/>
          <w:color w:val="auto"/>
          <w:highlight w:val="none"/>
          <w:u w:val="single"/>
        </w:rPr>
        <w:t>处以5</w:t>
      </w:r>
      <w:r>
        <w:rPr>
          <w:color w:val="auto"/>
          <w:highlight w:val="none"/>
          <w:u w:val="single"/>
        </w:rPr>
        <w:t>0000</w:t>
      </w:r>
      <w:r>
        <w:rPr>
          <w:rFonts w:hint="eastAsia"/>
          <w:color w:val="auto"/>
          <w:highlight w:val="none"/>
          <w:u w:val="single"/>
        </w:rPr>
        <w:t>元人民币的处罚，并及时补齐相关手续</w:t>
      </w:r>
      <w:r>
        <w:rPr>
          <w:rFonts w:hint="eastAsia" w:hAnsi="宋体" w:cs="宋体"/>
          <w:color w:val="auto"/>
          <w:highlight w:val="none"/>
        </w:rPr>
        <w:t>。</w:t>
      </w:r>
    </w:p>
    <w:p>
      <w:pPr>
        <w:spacing w:line="360" w:lineRule="auto"/>
        <w:ind w:firstLine="420" w:firstLineChars="200"/>
        <w:rPr>
          <w:color w:val="auto"/>
          <w:highlight w:val="none"/>
          <w:u w:val="single"/>
        </w:rPr>
      </w:pPr>
      <w:r>
        <w:rPr>
          <w:rFonts w:hint="eastAsia" w:hAnsi="宋体" w:cs="宋体"/>
          <w:color w:val="auto"/>
          <w:kern w:val="0"/>
          <w:highlight w:val="none"/>
        </w:rPr>
        <w:t>项目经理未经批准，擅自离开施工现场的违约责任：</w:t>
      </w:r>
      <w:r>
        <w:rPr>
          <w:rFonts w:hint="eastAsia" w:hAnsi="宋体" w:cs="宋体"/>
          <w:color w:val="auto"/>
          <w:highlight w:val="none"/>
          <w:u w:val="single"/>
        </w:rPr>
        <w:t>项目经理每月在岗带班时间不得少于当月施工时间的</w:t>
      </w:r>
      <w:r>
        <w:rPr>
          <w:rFonts w:hAnsi="宋体"/>
          <w:color w:val="auto"/>
          <w:highlight w:val="none"/>
          <w:u w:val="single"/>
        </w:rPr>
        <w:t>80%</w:t>
      </w:r>
      <w:r>
        <w:rPr>
          <w:rFonts w:hint="eastAsia" w:hAnsi="宋体" w:cs="宋体"/>
          <w:color w:val="auto"/>
          <w:highlight w:val="none"/>
          <w:u w:val="single"/>
        </w:rPr>
        <w:t>。未经发包人同意或正当理由，项目经理每月在岗带班时间少于当月施工时间</w:t>
      </w:r>
      <w:r>
        <w:rPr>
          <w:rFonts w:hAnsi="宋体"/>
          <w:color w:val="auto"/>
          <w:highlight w:val="none"/>
          <w:u w:val="single"/>
        </w:rPr>
        <w:t>80%</w:t>
      </w:r>
      <w:r>
        <w:rPr>
          <w:rFonts w:hint="eastAsia" w:hAnsi="宋体" w:cs="宋体"/>
          <w:color w:val="auto"/>
          <w:highlight w:val="none"/>
          <w:u w:val="single"/>
        </w:rPr>
        <w:t>的，少在岗带班一天，发包人有权处违约金</w:t>
      </w:r>
      <w:r>
        <w:rPr>
          <w:color w:val="auto"/>
          <w:highlight w:val="none"/>
          <w:u w:val="single"/>
        </w:rPr>
        <w:t>5000</w:t>
      </w:r>
      <w:r>
        <w:rPr>
          <w:rFonts w:hint="eastAsia" w:hAnsi="宋体" w:cs="宋体"/>
          <w:color w:val="auto"/>
          <w:highlight w:val="none"/>
          <w:u w:val="single"/>
        </w:rPr>
        <w:t>元</w:t>
      </w:r>
      <w:r>
        <w:rPr>
          <w:color w:val="auto"/>
          <w:highlight w:val="none"/>
          <w:u w:val="single"/>
        </w:rPr>
        <w:t>/</w:t>
      </w:r>
      <w:r>
        <w:rPr>
          <w:rFonts w:hint="eastAsia" w:cs="宋体"/>
          <w:color w:val="auto"/>
          <w:highlight w:val="none"/>
          <w:u w:val="single"/>
        </w:rPr>
        <w:t>日（</w:t>
      </w:r>
      <w:r>
        <w:rPr>
          <w:rFonts w:hint="eastAsia" w:hAnsi="宋体" w:cs="宋体"/>
          <w:color w:val="auto"/>
          <w:highlight w:val="none"/>
          <w:u w:val="single"/>
        </w:rPr>
        <w:t>人民币</w:t>
      </w:r>
      <w:r>
        <w:rPr>
          <w:rFonts w:hint="eastAsia" w:cs="宋体"/>
          <w:color w:val="auto"/>
          <w:highlight w:val="none"/>
          <w:u w:val="single"/>
        </w:rPr>
        <w:t>）</w:t>
      </w:r>
      <w:r>
        <w:rPr>
          <w:color w:val="auto"/>
          <w:highlight w:val="none"/>
          <w:u w:val="single"/>
        </w:rPr>
        <w:t xml:space="preserve">  </w:t>
      </w:r>
      <w:r>
        <w:rPr>
          <w:rFonts w:hint="eastAsia" w:hAnsi="宋体" w:cs="宋体"/>
          <w:color w:val="auto"/>
          <w:highlight w:val="none"/>
        </w:rPr>
        <w:t>。</w:t>
      </w:r>
    </w:p>
    <w:p>
      <w:pPr>
        <w:spacing w:line="360" w:lineRule="auto"/>
        <w:ind w:firstLine="420" w:firstLineChars="200"/>
        <w:rPr>
          <w:rFonts w:hAnsi="宋体"/>
          <w:color w:val="auto"/>
          <w:highlight w:val="none"/>
        </w:rPr>
      </w:pPr>
      <w:r>
        <w:rPr>
          <w:color w:val="auto"/>
          <w:highlight w:val="none"/>
        </w:rPr>
        <w:t xml:space="preserve">3.2.3 </w:t>
      </w:r>
      <w:r>
        <w:rPr>
          <w:rFonts w:hint="eastAsia" w:hAnsi="宋体" w:cs="宋体"/>
          <w:color w:val="auto"/>
          <w:highlight w:val="none"/>
        </w:rPr>
        <w:t>承包人擅自更换项目经理的违约责任：</w:t>
      </w:r>
      <w:r>
        <w:rPr>
          <w:rFonts w:hint="eastAsia" w:hAnsi="宋体" w:cs="宋体"/>
          <w:color w:val="auto"/>
          <w:highlight w:val="none"/>
          <w:u w:val="single"/>
        </w:rPr>
        <w:t>承包人项目经理必须与承包人投标时所承诺的人员一致，并在</w:t>
      </w:r>
      <w:r>
        <w:rPr>
          <w:color w:val="auto"/>
          <w:highlight w:val="none"/>
          <w:u w:val="single"/>
        </w:rPr>
        <w:t xml:space="preserve">  </w:t>
      </w:r>
      <w:r>
        <w:rPr>
          <w:rFonts w:hint="eastAsia" w:hAnsi="宋体" w:cs="宋体"/>
          <w:color w:val="auto"/>
          <w:highlight w:val="none"/>
          <w:u w:val="single"/>
        </w:rPr>
        <w:t>（开工日期）</w:t>
      </w:r>
      <w:r>
        <w:rPr>
          <w:color w:val="auto"/>
          <w:highlight w:val="none"/>
          <w:u w:val="single"/>
        </w:rPr>
        <w:t xml:space="preserve">  </w:t>
      </w:r>
      <w:r>
        <w:rPr>
          <w:rFonts w:hint="eastAsia" w:hAnsi="宋体" w:cs="宋体"/>
          <w:color w:val="auto"/>
          <w:highlight w:val="none"/>
          <w:u w:val="single"/>
        </w:rPr>
        <w:t>前到任。在监理人向承包人颁发</w:t>
      </w:r>
      <w:r>
        <w:rPr>
          <w:color w:val="auto"/>
          <w:highlight w:val="none"/>
          <w:u w:val="single"/>
        </w:rPr>
        <w:t xml:space="preserve">    </w:t>
      </w:r>
      <w:r>
        <w:rPr>
          <w:rFonts w:hint="eastAsia" w:hAnsi="宋体" w:cs="宋体"/>
          <w:color w:val="auto"/>
          <w:highlight w:val="none"/>
          <w:u w:val="single"/>
        </w:rPr>
        <w:t>（竣工证明材料名称）</w:t>
      </w:r>
      <w:r>
        <w:rPr>
          <w:color w:val="auto"/>
          <w:highlight w:val="none"/>
          <w:u w:val="single"/>
        </w:rPr>
        <w:t xml:space="preserve">    </w:t>
      </w:r>
      <w:r>
        <w:rPr>
          <w:rFonts w:hint="eastAsia" w:hAnsi="宋体" w:cs="宋体"/>
          <w:color w:val="auto"/>
          <w:highlight w:val="none"/>
          <w:u w:val="single"/>
        </w:rPr>
        <w:t>前，项目经理不得同时兼任其他任何项目的项目经理</w:t>
      </w:r>
      <w:r>
        <w:rPr>
          <w:rFonts w:hint="eastAsia" w:hAnsi="宋体" w:cs="宋体"/>
          <w:color w:val="auto"/>
          <w:kern w:val="0"/>
          <w:highlight w:val="none"/>
          <w:u w:val="single"/>
        </w:rPr>
        <w:t>（符合桂建管</w:t>
      </w:r>
      <w:r>
        <w:rPr>
          <w:rFonts w:hint="eastAsia" w:hAnsi="宋体" w:cs="宋体"/>
          <w:color w:val="auto"/>
          <w:highlight w:val="none"/>
          <w:u w:val="single"/>
        </w:rPr>
        <w:t>﹝</w:t>
      </w:r>
      <w:r>
        <w:rPr>
          <w:color w:val="auto"/>
          <w:highlight w:val="none"/>
          <w:u w:val="single"/>
        </w:rPr>
        <w:t>2013</w:t>
      </w:r>
      <w:r>
        <w:rPr>
          <w:rFonts w:hint="eastAsia" w:hAnsi="宋体" w:cs="宋体"/>
          <w:color w:val="auto"/>
          <w:highlight w:val="none"/>
          <w:u w:val="single"/>
        </w:rPr>
        <w:t>﹞</w:t>
      </w:r>
      <w:r>
        <w:rPr>
          <w:color w:val="auto"/>
          <w:kern w:val="0"/>
          <w:highlight w:val="none"/>
          <w:u w:val="single"/>
        </w:rPr>
        <w:t>17</w:t>
      </w:r>
      <w:r>
        <w:rPr>
          <w:rFonts w:hint="eastAsia" w:hAnsi="宋体" w:cs="宋体"/>
          <w:color w:val="auto"/>
          <w:kern w:val="0"/>
          <w:highlight w:val="none"/>
          <w:u w:val="single"/>
        </w:rPr>
        <w:t>号和</w:t>
      </w:r>
      <w:r>
        <w:rPr>
          <w:rFonts w:hint="eastAsia" w:hAnsi="宋体" w:cs="宋体"/>
          <w:color w:val="auto"/>
          <w:highlight w:val="none"/>
          <w:u w:val="single"/>
        </w:rPr>
        <w:t>桂建管﹝</w:t>
      </w:r>
      <w:r>
        <w:rPr>
          <w:color w:val="auto"/>
          <w:highlight w:val="none"/>
          <w:u w:val="single"/>
        </w:rPr>
        <w:t>2014</w:t>
      </w:r>
      <w:r>
        <w:rPr>
          <w:rFonts w:hint="eastAsia" w:hAnsi="宋体" w:cs="宋体"/>
          <w:color w:val="auto"/>
          <w:highlight w:val="none"/>
          <w:u w:val="single"/>
        </w:rPr>
        <w:t>﹞</w:t>
      </w:r>
      <w:r>
        <w:rPr>
          <w:color w:val="auto"/>
          <w:highlight w:val="none"/>
          <w:u w:val="single"/>
        </w:rPr>
        <w:t>25</w:t>
      </w:r>
      <w:r>
        <w:rPr>
          <w:rFonts w:hint="eastAsia" w:hAnsi="宋体" w:cs="宋体"/>
          <w:color w:val="auto"/>
          <w:highlight w:val="none"/>
          <w:u w:val="single"/>
        </w:rPr>
        <w:t>号</w:t>
      </w:r>
      <w:r>
        <w:rPr>
          <w:rFonts w:hint="eastAsia" w:hAnsi="宋体" w:cs="宋体"/>
          <w:color w:val="auto"/>
          <w:kern w:val="0"/>
          <w:highlight w:val="none"/>
          <w:u w:val="single"/>
        </w:rPr>
        <w:t>文除外）</w:t>
      </w:r>
      <w:r>
        <w:rPr>
          <w:rFonts w:hint="eastAsia" w:hAnsi="宋体" w:cs="宋体"/>
          <w:color w:val="auto"/>
          <w:highlight w:val="none"/>
          <w:u w:val="single"/>
        </w:rPr>
        <w:t>。未经发包人书面同意，承包人擅自更换项目经理的视为违约，违约金处</w:t>
      </w:r>
      <w:r>
        <w:rPr>
          <w:color w:val="auto"/>
          <w:highlight w:val="none"/>
          <w:u w:val="single"/>
        </w:rPr>
        <w:t>50000</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rPr>
        <w:t>。</w:t>
      </w:r>
    </w:p>
    <w:p>
      <w:pPr>
        <w:spacing w:line="360" w:lineRule="auto"/>
        <w:ind w:firstLine="420" w:firstLineChars="200"/>
        <w:rPr>
          <w:color w:val="auto"/>
          <w:highlight w:val="none"/>
        </w:rPr>
      </w:pPr>
      <w:r>
        <w:rPr>
          <w:color w:val="auto"/>
          <w:highlight w:val="none"/>
        </w:rPr>
        <w:t xml:space="preserve">3.2.4 </w:t>
      </w:r>
      <w:r>
        <w:rPr>
          <w:rFonts w:hint="eastAsia" w:hAnsi="宋体" w:cs="宋体"/>
          <w:color w:val="auto"/>
          <w:highlight w:val="none"/>
        </w:rPr>
        <w:t>承包人无正当理由拒绝更换项目经理的违约责任：</w:t>
      </w:r>
      <w:r>
        <w:rPr>
          <w:rFonts w:hint="eastAsia" w:hAnsi="宋体" w:cs="宋体"/>
          <w:color w:val="auto"/>
          <w:highlight w:val="none"/>
          <w:u w:val="single"/>
        </w:rPr>
        <w:t>因承包人项目经理不称职，发包人要求调换而未及时调换的，视为承包人违约，必须向发包人交纳处罚金</w:t>
      </w:r>
      <w:r>
        <w:rPr>
          <w:color w:val="auto"/>
          <w:highlight w:val="none"/>
          <w:u w:val="single"/>
        </w:rPr>
        <w:t>10000</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rPr>
        <w:t>。</w:t>
      </w:r>
    </w:p>
    <w:p>
      <w:pPr>
        <w:pStyle w:val="5"/>
        <w:rPr>
          <w:color w:val="auto"/>
          <w:highlight w:val="none"/>
        </w:rPr>
      </w:pPr>
      <w:bookmarkStart w:id="597" w:name="_Toc66186415"/>
      <w:bookmarkStart w:id="598" w:name="_Toc14295"/>
      <w:bookmarkStart w:id="599" w:name="_Toc389065275"/>
      <w:bookmarkStart w:id="600" w:name="_Toc373227709"/>
      <w:bookmarkStart w:id="601" w:name="_Toc373478356"/>
      <w:bookmarkStart w:id="602" w:name="_Toc407135211"/>
      <w:r>
        <w:rPr>
          <w:color w:val="auto"/>
          <w:highlight w:val="none"/>
        </w:rPr>
        <w:t xml:space="preserve">3.3 </w:t>
      </w:r>
      <w:r>
        <w:rPr>
          <w:rFonts w:hint="eastAsia" w:hAnsi="宋体" w:cs="黑体"/>
          <w:color w:val="auto"/>
          <w:highlight w:val="none"/>
        </w:rPr>
        <w:t>承包人人员</w:t>
      </w:r>
      <w:bookmarkEnd w:id="597"/>
      <w:bookmarkEnd w:id="598"/>
      <w:bookmarkEnd w:id="599"/>
      <w:bookmarkEnd w:id="600"/>
      <w:bookmarkEnd w:id="601"/>
      <w:bookmarkEnd w:id="602"/>
    </w:p>
    <w:p>
      <w:pPr>
        <w:spacing w:line="360" w:lineRule="auto"/>
        <w:ind w:firstLine="420" w:firstLineChars="200"/>
        <w:rPr>
          <w:rFonts w:hAnsi="宋体"/>
          <w:color w:val="auto"/>
          <w:highlight w:val="none"/>
        </w:rPr>
      </w:pPr>
      <w:r>
        <w:rPr>
          <w:color w:val="auto"/>
          <w:highlight w:val="none"/>
        </w:rPr>
        <w:t xml:space="preserve">3.3.1 </w:t>
      </w:r>
      <w:r>
        <w:rPr>
          <w:rFonts w:hint="eastAsia" w:hAnsi="宋体" w:cs="宋体"/>
          <w:color w:val="auto"/>
          <w:highlight w:val="none"/>
        </w:rPr>
        <w:t>承包人提交项目管理机构及施工现场管理人员安排报告（格式见合同附件</w:t>
      </w:r>
      <w:r>
        <w:rPr>
          <w:rFonts w:hint="eastAsia" w:hAnsi="宋体"/>
          <w:color w:val="auto"/>
          <w:highlight w:val="none"/>
        </w:rPr>
        <w:t>5</w:t>
      </w:r>
      <w:r>
        <w:rPr>
          <w:rFonts w:hint="eastAsia" w:hAnsi="宋体" w:cs="宋体"/>
          <w:color w:val="auto"/>
          <w:highlight w:val="none"/>
        </w:rPr>
        <w:t>）的期限：</w:t>
      </w:r>
    </w:p>
    <w:p>
      <w:pPr>
        <w:spacing w:line="360" w:lineRule="auto"/>
        <w:rPr>
          <w:color w:val="auto"/>
          <w:highlight w:val="none"/>
        </w:rPr>
      </w:pPr>
      <w:r>
        <w:rPr>
          <w:rFonts w:hint="eastAsia"/>
          <w:color w:val="auto"/>
          <w:highlight w:val="none"/>
          <w:u w:val="single"/>
        </w:rPr>
        <w:t>到开工通知后7天内</w:t>
      </w:r>
      <w:r>
        <w:rPr>
          <w:rFonts w:hint="eastAsia" w:hAnsi="宋体" w:cs="宋体"/>
          <w:color w:val="auto"/>
          <w:highlight w:val="none"/>
        </w:rPr>
        <w:t>。</w:t>
      </w:r>
    </w:p>
    <w:p>
      <w:pPr>
        <w:spacing w:line="360" w:lineRule="auto"/>
        <w:ind w:firstLine="420" w:firstLineChars="200"/>
        <w:rPr>
          <w:color w:val="auto"/>
          <w:highlight w:val="none"/>
        </w:rPr>
      </w:pPr>
      <w:r>
        <w:rPr>
          <w:color w:val="auto"/>
          <w:highlight w:val="none"/>
        </w:rPr>
        <w:t xml:space="preserve">3.3.3 </w:t>
      </w:r>
      <w:r>
        <w:rPr>
          <w:rFonts w:hint="eastAsia" w:hAnsi="宋体" w:cs="宋体"/>
          <w:color w:val="auto"/>
          <w:highlight w:val="none"/>
        </w:rPr>
        <w:t>承包人无正当理由拒绝撤换主要施工管理人员的违约责任：</w:t>
      </w:r>
      <w:r>
        <w:rPr>
          <w:rFonts w:hint="eastAsia" w:hAnsi="宋体" w:cs="宋体"/>
          <w:color w:val="auto"/>
          <w:highlight w:val="none"/>
          <w:u w:val="single"/>
        </w:rPr>
        <w:t>因承包人主要施工管理人员不称职，发包人要求调换而无正当理由拒绝撤换或未及时调换的，视为承包人违约，必须向发包人交纳处罚金，处罚标准：技术负责人</w:t>
      </w:r>
      <w:r>
        <w:rPr>
          <w:color w:val="auto"/>
          <w:highlight w:val="none"/>
          <w:u w:val="single"/>
        </w:rPr>
        <w:t>8000</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；专业工程师</w:t>
      </w:r>
      <w:r>
        <w:rPr>
          <w:color w:val="auto"/>
          <w:highlight w:val="none"/>
          <w:u w:val="single"/>
        </w:rPr>
        <w:t>6000</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rPr>
        <w:t>。</w:t>
      </w:r>
    </w:p>
    <w:p>
      <w:pPr>
        <w:spacing w:line="360" w:lineRule="auto"/>
        <w:ind w:firstLine="420" w:firstLineChars="200"/>
        <w:rPr>
          <w:color w:val="auto"/>
          <w:highlight w:val="none"/>
          <w:u w:val="single"/>
        </w:rPr>
      </w:pPr>
      <w:r>
        <w:rPr>
          <w:color w:val="auto"/>
          <w:highlight w:val="none"/>
        </w:rPr>
        <w:t xml:space="preserve">3.3.4 </w:t>
      </w:r>
      <w:r>
        <w:rPr>
          <w:rFonts w:hint="eastAsia" w:hAnsi="宋体" w:cs="宋体"/>
          <w:color w:val="auto"/>
          <w:highlight w:val="none"/>
        </w:rPr>
        <w:t>承包人主要施工管理人员离开施工现场的批准要求：</w:t>
      </w:r>
      <w:r>
        <w:rPr>
          <w:rFonts w:hint="eastAsia" w:ascii="宋体" w:hAnsi="宋体"/>
          <w:color w:val="auto"/>
          <w:highlight w:val="none"/>
          <w:u w:val="single"/>
        </w:rPr>
        <w:t>须经过发包人书面同意</w:t>
      </w:r>
      <w:r>
        <w:rPr>
          <w:rFonts w:hint="eastAsia" w:hAnsi="宋体" w:cs="宋体"/>
          <w:color w:val="auto"/>
          <w:highlight w:val="none"/>
        </w:rPr>
        <w:t>。</w:t>
      </w:r>
    </w:p>
    <w:p>
      <w:pPr>
        <w:spacing w:line="360" w:lineRule="auto"/>
        <w:ind w:firstLine="420" w:firstLineChars="200"/>
        <w:rPr>
          <w:color w:val="auto"/>
          <w:highlight w:val="none"/>
        </w:rPr>
      </w:pPr>
      <w:r>
        <w:rPr>
          <w:color w:val="auto"/>
          <w:highlight w:val="none"/>
        </w:rPr>
        <w:t xml:space="preserve">3.3.5 </w:t>
      </w:r>
      <w:r>
        <w:rPr>
          <w:rFonts w:hint="eastAsia" w:hAnsi="宋体" w:cs="宋体"/>
          <w:color w:val="auto"/>
          <w:highlight w:val="none"/>
        </w:rPr>
        <w:t>承包人擅自更换主要施工管理人员的违约责任：</w:t>
      </w:r>
      <w:r>
        <w:rPr>
          <w:rFonts w:hint="eastAsia" w:hAnsi="宋体" w:cs="宋体"/>
          <w:color w:val="auto"/>
          <w:highlight w:val="none"/>
          <w:u w:val="single"/>
        </w:rPr>
        <w:t>项目技术负责人、专职安全员及其承诺的其它在场管理人员未经发包人书面同意不准擅自更换，擅自更换项目技术负责人处</w:t>
      </w:r>
      <w:r>
        <w:rPr>
          <w:color w:val="auto"/>
          <w:highlight w:val="none"/>
          <w:u w:val="single"/>
        </w:rPr>
        <w:t>6000</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违约金；擅自更换专职安全员处</w:t>
      </w:r>
      <w:r>
        <w:rPr>
          <w:color w:val="auto"/>
          <w:highlight w:val="none"/>
          <w:u w:val="single"/>
        </w:rPr>
        <w:t>3000</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违约金；擅自更换其它在场管理人员处</w:t>
      </w:r>
      <w:r>
        <w:rPr>
          <w:color w:val="auto"/>
          <w:highlight w:val="none"/>
          <w:u w:val="single"/>
        </w:rPr>
        <w:t>1000</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违约金</w:t>
      </w:r>
      <w:r>
        <w:rPr>
          <w:rFonts w:hint="eastAsia" w:hAnsi="宋体" w:cs="宋体"/>
          <w:color w:val="auto"/>
          <w:highlight w:val="none"/>
        </w:rPr>
        <w:t>。</w:t>
      </w:r>
    </w:p>
    <w:p>
      <w:pPr>
        <w:spacing w:line="360" w:lineRule="auto"/>
        <w:ind w:firstLine="420" w:firstLineChars="200"/>
        <w:rPr>
          <w:color w:val="auto"/>
          <w:highlight w:val="none"/>
        </w:rPr>
      </w:pPr>
      <w:r>
        <w:rPr>
          <w:rFonts w:hint="eastAsia" w:hAnsi="宋体" w:cs="宋体"/>
          <w:color w:val="auto"/>
          <w:highlight w:val="none"/>
        </w:rPr>
        <w:t>承包人主要施工管理人员擅自离开施工现场的违约责任：</w:t>
      </w:r>
      <w:r>
        <w:rPr>
          <w:rFonts w:hint="eastAsia" w:hAnsi="宋体" w:cs="宋体"/>
          <w:color w:val="auto"/>
          <w:highlight w:val="none"/>
          <w:u w:val="single"/>
        </w:rPr>
        <w:t>未经发包人同意，项目技术负责人擅自离岗的，视为承包人违约，发包人有权处违约金</w:t>
      </w:r>
      <w:r>
        <w:rPr>
          <w:color w:val="auto"/>
          <w:highlight w:val="none"/>
          <w:u w:val="single"/>
        </w:rPr>
        <w:t>5000</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；未经发包人同意，专职安全员擅自离岗的，视为承包人违约，发包人有权处违约金</w:t>
      </w:r>
      <w:r>
        <w:rPr>
          <w:color w:val="auto"/>
          <w:highlight w:val="none"/>
          <w:u w:val="single"/>
        </w:rPr>
        <w:t>3000</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；其它在场管理人员擅自离岗的，视为承包人违约，发包人有权处违约金</w:t>
      </w:r>
      <w:r>
        <w:rPr>
          <w:color w:val="auto"/>
          <w:highlight w:val="none"/>
          <w:u w:val="single"/>
        </w:rPr>
        <w:t>1000</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rPr>
        <w:t>。</w:t>
      </w:r>
    </w:p>
    <w:p>
      <w:pPr>
        <w:pStyle w:val="5"/>
        <w:rPr>
          <w:color w:val="auto"/>
          <w:highlight w:val="none"/>
        </w:rPr>
      </w:pPr>
      <w:bookmarkStart w:id="603" w:name="_Toc3816"/>
      <w:bookmarkStart w:id="604" w:name="_Toc373478357"/>
      <w:bookmarkStart w:id="605" w:name="_Toc373227710"/>
      <w:bookmarkStart w:id="606" w:name="_Toc66186416"/>
      <w:bookmarkStart w:id="607" w:name="_Toc407135212"/>
      <w:bookmarkStart w:id="608" w:name="_Toc389065276"/>
      <w:r>
        <w:rPr>
          <w:color w:val="auto"/>
          <w:highlight w:val="none"/>
        </w:rPr>
        <w:t>3</w:t>
      </w:r>
      <w:bookmarkStart w:id="609" w:name="_Toc300934945"/>
      <w:bookmarkStart w:id="610" w:name="_Toc304295523"/>
      <w:bookmarkStart w:id="611" w:name="_Toc296346660"/>
      <w:bookmarkStart w:id="612" w:name="_Toc297048345"/>
      <w:bookmarkStart w:id="613" w:name="_Toc312677988"/>
      <w:bookmarkStart w:id="614" w:name="_Toc297123492"/>
      <w:bookmarkStart w:id="615" w:name="_Toc296944498"/>
      <w:bookmarkStart w:id="616" w:name="_Toc296890987"/>
      <w:bookmarkStart w:id="617" w:name="_Toc292559364"/>
      <w:bookmarkStart w:id="618" w:name="_Toc296891199"/>
      <w:bookmarkStart w:id="619" w:name="_Toc303539102"/>
      <w:bookmarkStart w:id="620" w:name="_Toc292559869"/>
      <w:bookmarkStart w:id="621" w:name="_Toc296347158"/>
      <w:bookmarkStart w:id="622" w:name="_Toc297120459"/>
      <w:bookmarkStart w:id="623" w:name="_Toc297216151"/>
      <w:bookmarkStart w:id="624" w:name="_Toc296503159"/>
      <w:r>
        <w:rPr>
          <w:color w:val="auto"/>
          <w:highlight w:val="none"/>
        </w:rPr>
        <w:t xml:space="preserve">.5 </w:t>
      </w:r>
      <w:r>
        <w:rPr>
          <w:rFonts w:hint="eastAsia" w:hAnsi="宋体" w:cs="黑体"/>
          <w:color w:val="auto"/>
          <w:highlight w:val="none"/>
        </w:rPr>
        <w:t>分包</w:t>
      </w:r>
      <w:bookmarkEnd w:id="603"/>
      <w:bookmarkEnd w:id="604"/>
      <w:bookmarkEnd w:id="605"/>
      <w:bookmarkEnd w:id="606"/>
      <w:bookmarkEnd w:id="607"/>
      <w:bookmarkEnd w:id="608"/>
    </w:p>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Pr>
        <w:spacing w:line="360" w:lineRule="auto"/>
        <w:ind w:firstLine="420" w:firstLineChars="200"/>
        <w:rPr>
          <w:color w:val="auto"/>
          <w:highlight w:val="none"/>
        </w:rPr>
      </w:pPr>
      <w:r>
        <w:rPr>
          <w:color w:val="auto"/>
          <w:highlight w:val="none"/>
        </w:rPr>
        <w:t>3</w:t>
      </w:r>
      <w:bookmarkStart w:id="625" w:name="_Toc296890988"/>
      <w:bookmarkStart w:id="626" w:name="_Toc292559365"/>
      <w:bookmarkStart w:id="627" w:name="_Toc296347159"/>
      <w:bookmarkStart w:id="628" w:name="_Toc297120460"/>
      <w:bookmarkStart w:id="629" w:name="_Toc296944499"/>
      <w:bookmarkStart w:id="630" w:name="_Toc304295524"/>
      <w:bookmarkStart w:id="631" w:name="_Toc297216152"/>
      <w:bookmarkStart w:id="632" w:name="_Toc303539103"/>
      <w:bookmarkStart w:id="633" w:name="_Toc296346661"/>
      <w:bookmarkStart w:id="634" w:name="_Toc297123493"/>
      <w:bookmarkStart w:id="635" w:name="_Toc312677989"/>
      <w:bookmarkStart w:id="636" w:name="_Toc292559870"/>
      <w:bookmarkStart w:id="637" w:name="_Toc296891200"/>
      <w:bookmarkStart w:id="638" w:name="_Toc300934946"/>
      <w:bookmarkStart w:id="639" w:name="_Toc318581158"/>
      <w:bookmarkStart w:id="640" w:name="_Toc297048346"/>
      <w:bookmarkStart w:id="641" w:name="_Toc296503160"/>
      <w:r>
        <w:rPr>
          <w:color w:val="auto"/>
          <w:highlight w:val="none"/>
        </w:rPr>
        <w:t xml:space="preserve">.5.1 </w:t>
      </w:r>
      <w:r>
        <w:rPr>
          <w:rFonts w:hint="eastAsia" w:hAnsi="宋体" w:cs="宋体"/>
          <w:color w:val="auto"/>
          <w:highlight w:val="none"/>
        </w:rPr>
        <w:t>分包的一般约定</w:t>
      </w:r>
    </w:p>
    <w:p>
      <w:pPr>
        <w:spacing w:line="360" w:lineRule="auto"/>
        <w:ind w:firstLine="420" w:firstLineChars="200"/>
        <w:jc w:val="left"/>
        <w:rPr>
          <w:color w:val="auto"/>
          <w:highlight w:val="none"/>
        </w:rPr>
      </w:pPr>
      <w:r>
        <w:rPr>
          <w:rFonts w:hint="eastAsia" w:hAnsi="宋体" w:cs="宋体"/>
          <w:color w:val="auto"/>
          <w:highlight w:val="none"/>
        </w:rPr>
        <w:t>禁止分包的工程包括：</w:t>
      </w:r>
      <w:r>
        <w:rPr>
          <w:color w:val="auto"/>
          <w:highlight w:val="none"/>
          <w:u w:val="single"/>
        </w:rPr>
        <w:t xml:space="preserve"> </w:t>
      </w:r>
      <w:r>
        <w:rPr>
          <w:rFonts w:hint="eastAsia"/>
          <w:color w:val="auto"/>
          <w:highlight w:val="none"/>
          <w:u w:val="single"/>
        </w:rPr>
        <w:t>本项目不允许分包</w:t>
      </w:r>
      <w:r>
        <w:rPr>
          <w:color w:val="auto"/>
          <w:highlight w:val="none"/>
          <w:u w:val="single"/>
        </w:rPr>
        <w:t xml:space="preserve"> </w:t>
      </w:r>
      <w:r>
        <w:rPr>
          <w:rFonts w:hint="eastAsia" w:hAnsi="宋体" w:cs="宋体"/>
          <w:color w:val="auto"/>
          <w:highlight w:val="none"/>
        </w:rPr>
        <w:t>。</w:t>
      </w:r>
    </w:p>
    <w:p>
      <w:pPr>
        <w:spacing w:line="360" w:lineRule="auto"/>
        <w:ind w:firstLine="420" w:firstLineChars="200"/>
        <w:jc w:val="left"/>
        <w:rPr>
          <w:rFonts w:hAnsi="宋体"/>
          <w:color w:val="auto"/>
          <w:highlight w:val="none"/>
        </w:rPr>
      </w:pPr>
      <w:r>
        <w:rPr>
          <w:rFonts w:hint="eastAsia" w:hAnsi="宋体" w:cs="宋体"/>
          <w:color w:val="auto"/>
          <w:highlight w:val="none"/>
        </w:rPr>
        <w:t>主体结构、关键性工作的范围：</w:t>
      </w:r>
      <w:r>
        <w:rPr>
          <w:color w:val="auto"/>
          <w:highlight w:val="none"/>
          <w:u w:val="single"/>
        </w:rPr>
        <w:t xml:space="preserve"> / </w:t>
      </w:r>
      <w:r>
        <w:rPr>
          <w:rFonts w:hint="eastAsia" w:hAnsi="宋体" w:cs="宋体"/>
          <w:color w:val="auto"/>
          <w:highlight w:val="none"/>
        </w:rPr>
        <w:t>。</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pPr>
        <w:spacing w:line="360" w:lineRule="auto"/>
        <w:ind w:firstLine="420" w:firstLineChars="200"/>
        <w:jc w:val="left"/>
        <w:rPr>
          <w:color w:val="auto"/>
          <w:highlight w:val="none"/>
        </w:rPr>
      </w:pPr>
      <w:r>
        <w:rPr>
          <w:color w:val="auto"/>
          <w:highlight w:val="none"/>
        </w:rPr>
        <w:t>3</w:t>
      </w:r>
      <w:bookmarkStart w:id="642" w:name="_Toc318581159"/>
      <w:bookmarkStart w:id="643" w:name="_Toc312677990"/>
      <w:r>
        <w:rPr>
          <w:color w:val="auto"/>
          <w:highlight w:val="none"/>
        </w:rPr>
        <w:t xml:space="preserve">.5.2 </w:t>
      </w:r>
      <w:r>
        <w:rPr>
          <w:rFonts w:hint="eastAsia" w:hAnsi="宋体" w:cs="宋体"/>
          <w:color w:val="auto"/>
          <w:highlight w:val="none"/>
        </w:rPr>
        <w:t>分包的确定</w:t>
      </w:r>
    </w:p>
    <w:p>
      <w:pPr>
        <w:spacing w:line="360" w:lineRule="auto"/>
        <w:ind w:firstLine="420" w:firstLineChars="200"/>
        <w:rPr>
          <w:color w:val="auto"/>
          <w:highlight w:val="none"/>
          <w:u w:val="single"/>
        </w:rPr>
      </w:pPr>
      <w:r>
        <w:rPr>
          <w:rFonts w:hint="eastAsia" w:hAnsi="宋体" w:cs="宋体"/>
          <w:color w:val="auto"/>
          <w:highlight w:val="none"/>
        </w:rPr>
        <w:t>允许分包的专业工程包括：</w:t>
      </w:r>
      <w:r>
        <w:rPr>
          <w:color w:val="auto"/>
          <w:highlight w:val="none"/>
          <w:u w:val="single"/>
        </w:rPr>
        <w:t xml:space="preserve"> / </w:t>
      </w:r>
      <w:r>
        <w:rPr>
          <w:rFonts w:hint="eastAsia" w:hAnsi="宋体" w:cs="宋体"/>
          <w:color w:val="auto"/>
          <w:highlight w:val="none"/>
        </w:rPr>
        <w:t>。</w:t>
      </w:r>
    </w:p>
    <w:p>
      <w:pPr>
        <w:spacing w:line="360" w:lineRule="auto"/>
        <w:ind w:firstLine="420" w:firstLineChars="200"/>
        <w:rPr>
          <w:rFonts w:hAnsi="宋体" w:cs="宋体"/>
          <w:color w:val="auto"/>
          <w:highlight w:val="none"/>
        </w:rPr>
      </w:pPr>
      <w:r>
        <w:rPr>
          <w:rFonts w:hint="eastAsia" w:hAnsi="宋体" w:cs="宋体"/>
          <w:color w:val="auto"/>
          <w:highlight w:val="none"/>
        </w:rPr>
        <w:t>其他关于分包的约定：</w:t>
      </w:r>
      <w:r>
        <w:rPr>
          <w:color w:val="auto"/>
          <w:highlight w:val="none"/>
          <w:u w:val="single"/>
        </w:rPr>
        <w:t xml:space="preserve">/ </w:t>
      </w:r>
      <w:r>
        <w:rPr>
          <w:rFonts w:hint="eastAsia" w:hAnsi="宋体" w:cs="宋体"/>
          <w:color w:val="auto"/>
          <w:highlight w:val="none"/>
        </w:rPr>
        <w:t>。</w:t>
      </w:r>
    </w:p>
    <w:p>
      <w:pPr>
        <w:spacing w:line="360" w:lineRule="auto"/>
        <w:ind w:firstLine="420" w:firstLineChars="200"/>
        <w:rPr>
          <w:color w:val="auto"/>
          <w:highlight w:val="none"/>
        </w:rPr>
      </w:pPr>
      <w:r>
        <w:rPr>
          <w:color w:val="auto"/>
          <w:highlight w:val="none"/>
        </w:rPr>
        <w:t xml:space="preserve">3.5.4 </w:t>
      </w:r>
      <w:r>
        <w:rPr>
          <w:rFonts w:hint="eastAsia" w:hAnsi="宋体" w:cs="宋体"/>
          <w:color w:val="auto"/>
          <w:highlight w:val="none"/>
        </w:rPr>
        <w:t>分包合同价款</w:t>
      </w:r>
    </w:p>
    <w:bookmarkEnd w:id="642"/>
    <w:bookmarkEnd w:id="643"/>
    <w:p>
      <w:pPr>
        <w:spacing w:line="360" w:lineRule="auto"/>
        <w:ind w:firstLine="420" w:firstLineChars="200"/>
        <w:rPr>
          <w:color w:val="auto"/>
          <w:highlight w:val="none"/>
        </w:rPr>
      </w:pPr>
      <w:bookmarkStart w:id="644" w:name="_Toc389065277"/>
      <w:bookmarkStart w:id="645" w:name="_Toc373478358"/>
      <w:bookmarkStart w:id="646" w:name="_Toc373227711"/>
      <w:r>
        <w:rPr>
          <w:rFonts w:hint="eastAsia" w:hAnsi="宋体" w:cs="宋体"/>
          <w:color w:val="auto"/>
          <w:highlight w:val="none"/>
        </w:rPr>
        <w:t>关于分包合同价款支付的约定：</w:t>
      </w:r>
      <w:r>
        <w:rPr>
          <w:color w:val="auto"/>
          <w:highlight w:val="none"/>
          <w:u w:val="single"/>
        </w:rPr>
        <w:t xml:space="preserve">/ </w:t>
      </w:r>
      <w:r>
        <w:rPr>
          <w:rFonts w:hint="eastAsia" w:hAnsi="宋体" w:cs="宋体"/>
          <w:color w:val="auto"/>
          <w:highlight w:val="none"/>
        </w:rPr>
        <w:t>。</w:t>
      </w:r>
    </w:p>
    <w:p>
      <w:pPr>
        <w:pStyle w:val="5"/>
        <w:rPr>
          <w:color w:val="auto"/>
          <w:highlight w:val="none"/>
        </w:rPr>
      </w:pPr>
      <w:bookmarkStart w:id="647" w:name="_Toc407135213"/>
      <w:bookmarkStart w:id="648" w:name="_Toc1702"/>
      <w:bookmarkStart w:id="649" w:name="_Toc66186417"/>
      <w:r>
        <w:rPr>
          <w:color w:val="auto"/>
          <w:highlight w:val="none"/>
        </w:rPr>
        <w:t xml:space="preserve">3.6 </w:t>
      </w:r>
      <w:r>
        <w:rPr>
          <w:rFonts w:hint="eastAsia" w:cs="黑体"/>
          <w:color w:val="auto"/>
          <w:highlight w:val="none"/>
        </w:rPr>
        <w:t>工程照管与成品、半成品保护</w:t>
      </w:r>
      <w:bookmarkEnd w:id="644"/>
      <w:bookmarkEnd w:id="645"/>
      <w:bookmarkEnd w:id="646"/>
      <w:bookmarkEnd w:id="647"/>
      <w:bookmarkEnd w:id="648"/>
      <w:bookmarkEnd w:id="649"/>
    </w:p>
    <w:p>
      <w:pPr>
        <w:spacing w:line="360" w:lineRule="auto"/>
        <w:ind w:firstLine="420" w:firstLineChars="200"/>
        <w:rPr>
          <w:rFonts w:hAnsi="宋体" w:cs="宋体"/>
          <w:color w:val="auto"/>
          <w:kern w:val="0"/>
          <w:highlight w:val="none"/>
        </w:rPr>
      </w:pPr>
      <w:r>
        <w:rPr>
          <w:rFonts w:hint="eastAsia" w:hAnsi="宋体" w:cs="宋体"/>
          <w:color w:val="auto"/>
          <w:kern w:val="0"/>
          <w:highlight w:val="none"/>
        </w:rPr>
        <w:t>承包人负责照管工程及工程相关的材料、工程设备的起始时间：</w:t>
      </w:r>
    </w:p>
    <w:p>
      <w:pPr>
        <w:spacing w:line="360" w:lineRule="auto"/>
        <w:ind w:firstLine="420" w:firstLineChars="200"/>
        <w:rPr>
          <w:rFonts w:ascii="宋体" w:hAnsi="宋体"/>
          <w:color w:val="auto"/>
          <w:kern w:val="0"/>
          <w:highlight w:val="none"/>
          <w:u w:val="single"/>
        </w:rPr>
      </w:pPr>
      <w:r>
        <w:rPr>
          <w:rFonts w:hint="eastAsia" w:ascii="宋体" w:hAnsi="宋体"/>
          <w:color w:val="auto"/>
          <w:kern w:val="0"/>
          <w:highlight w:val="none"/>
          <w:u w:val="single"/>
        </w:rPr>
        <w:t>（1）自发包人向承包人移交施工现场之日起，承包人应负责照管工程及工程相关的材料、工程设备，直到颁发工程接收证书之日止。</w:t>
      </w:r>
    </w:p>
    <w:p>
      <w:pPr>
        <w:spacing w:line="360" w:lineRule="auto"/>
        <w:ind w:firstLine="420" w:firstLineChars="200"/>
        <w:rPr>
          <w:rFonts w:ascii="宋体" w:hAnsi="宋体"/>
          <w:color w:val="auto"/>
          <w:kern w:val="0"/>
          <w:highlight w:val="none"/>
          <w:u w:val="single"/>
        </w:rPr>
      </w:pPr>
      <w:r>
        <w:rPr>
          <w:rFonts w:hint="eastAsia" w:ascii="宋体" w:hAnsi="宋体"/>
          <w:color w:val="auto"/>
          <w:kern w:val="0"/>
          <w:highlight w:val="none"/>
          <w:u w:val="single"/>
        </w:rPr>
        <w:t>（2）在承包人负责照管期间，因承包人原因造成工程、材料、工程设备损坏的，由承包人负责修复或更换，并承担由此增加的费用和（或）延误的工期。</w:t>
      </w:r>
    </w:p>
    <w:p>
      <w:pPr>
        <w:spacing w:line="360" w:lineRule="auto"/>
        <w:ind w:firstLine="420" w:firstLineChars="200"/>
        <w:rPr>
          <w:color w:val="auto"/>
          <w:kern w:val="0"/>
          <w:highlight w:val="none"/>
          <w:u w:val="single"/>
        </w:rPr>
      </w:pPr>
      <w:r>
        <w:rPr>
          <w:rFonts w:hint="eastAsia" w:ascii="宋体" w:hAnsi="宋体"/>
          <w:color w:val="auto"/>
          <w:kern w:val="0"/>
          <w:highlight w:val="none"/>
          <w:u w:val="single"/>
        </w:rPr>
        <w:t>（3）对合同内分期完成的成品和半成品，在工程接收证书颁发前，由承包人承担保护责任。因承包人原因造成成品或半成品损坏的，由承包人负责修复或更换，并承担由此增加的费用和（或）延误的工期</w:t>
      </w:r>
      <w:r>
        <w:rPr>
          <w:rFonts w:hint="eastAsia" w:hAnsi="宋体" w:cs="宋体"/>
          <w:color w:val="auto"/>
          <w:kern w:val="0"/>
          <w:highlight w:val="none"/>
        </w:rPr>
        <w:t>。</w:t>
      </w:r>
    </w:p>
    <w:p>
      <w:pPr>
        <w:pStyle w:val="5"/>
        <w:rPr>
          <w:color w:val="auto"/>
          <w:highlight w:val="none"/>
        </w:rPr>
      </w:pPr>
      <w:bookmarkStart w:id="650" w:name="_Toc373227712"/>
      <w:bookmarkStart w:id="651" w:name="_Toc389065278"/>
      <w:bookmarkStart w:id="652" w:name="_Toc373478359"/>
      <w:bookmarkStart w:id="653" w:name="_Toc13389"/>
      <w:bookmarkStart w:id="654" w:name="_Toc407135214"/>
      <w:bookmarkStart w:id="655" w:name="_Toc66186418"/>
      <w:r>
        <w:rPr>
          <w:color w:val="auto"/>
          <w:highlight w:val="none"/>
        </w:rPr>
        <w:t xml:space="preserve">3.7 </w:t>
      </w:r>
      <w:r>
        <w:rPr>
          <w:rFonts w:hint="eastAsia" w:hAnsi="宋体" w:cs="黑体"/>
          <w:color w:val="auto"/>
          <w:highlight w:val="none"/>
        </w:rPr>
        <w:t>履约</w:t>
      </w:r>
      <w:bookmarkEnd w:id="650"/>
      <w:bookmarkEnd w:id="651"/>
      <w:bookmarkEnd w:id="652"/>
      <w:r>
        <w:rPr>
          <w:rFonts w:hint="eastAsia" w:hAnsi="宋体" w:cs="黑体"/>
          <w:color w:val="auto"/>
          <w:highlight w:val="none"/>
        </w:rPr>
        <w:t>保证金</w:t>
      </w:r>
      <w:bookmarkEnd w:id="653"/>
      <w:bookmarkEnd w:id="654"/>
      <w:bookmarkEnd w:id="655"/>
    </w:p>
    <w:p>
      <w:pPr>
        <w:spacing w:line="360" w:lineRule="auto"/>
        <w:rPr>
          <w:color w:val="auto"/>
          <w:highlight w:val="none"/>
          <w:u w:val="single"/>
        </w:rPr>
      </w:pPr>
      <w:bookmarkStart w:id="656" w:name="_Toc351203636"/>
      <w:bookmarkStart w:id="657" w:name="_Toc389065279"/>
      <w:bookmarkStart w:id="658" w:name="_Toc373227713"/>
      <w:bookmarkStart w:id="659" w:name="_Toc373478360"/>
      <w:r>
        <w:rPr>
          <w:rFonts w:hint="eastAsia" w:cs="宋体"/>
          <w:color w:val="auto"/>
          <w:highlight w:val="none"/>
        </w:rPr>
        <w:t>无</w:t>
      </w:r>
      <w:r>
        <w:rPr>
          <w:rFonts w:hint="eastAsia" w:hAnsi="宋体" w:cs="宋体"/>
          <w:color w:val="auto"/>
          <w:highlight w:val="none"/>
        </w:rPr>
        <w:t>。</w:t>
      </w:r>
    </w:p>
    <w:p>
      <w:pPr>
        <w:pStyle w:val="4"/>
        <w:rPr>
          <w:color w:val="auto"/>
          <w:highlight w:val="none"/>
        </w:rPr>
      </w:pPr>
      <w:bookmarkStart w:id="660" w:name="_Toc66186419"/>
      <w:bookmarkStart w:id="661" w:name="_Toc407135215"/>
      <w:bookmarkStart w:id="662" w:name="_Toc2465"/>
      <w:r>
        <w:rPr>
          <w:color w:val="auto"/>
          <w:highlight w:val="none"/>
        </w:rPr>
        <w:t>4</w:t>
      </w:r>
      <w:bookmarkStart w:id="663" w:name="_Toc296346663"/>
      <w:bookmarkStart w:id="664" w:name="_Toc296890990"/>
      <w:bookmarkStart w:id="665" w:name="_Toc292559366"/>
      <w:bookmarkStart w:id="666" w:name="_Toc296891202"/>
      <w:bookmarkStart w:id="667" w:name="_Toc296944501"/>
      <w:bookmarkStart w:id="668" w:name="_Toc297048348"/>
      <w:bookmarkStart w:id="669" w:name="_Toc296503162"/>
      <w:bookmarkStart w:id="670" w:name="_Toc292559871"/>
      <w:bookmarkStart w:id="671" w:name="_Toc297120462"/>
      <w:bookmarkStart w:id="672" w:name="_Toc296347161"/>
      <w:bookmarkStart w:id="673" w:name="_Toc267251413"/>
      <w:r>
        <w:rPr>
          <w:color w:val="auto"/>
          <w:highlight w:val="none"/>
        </w:rPr>
        <w:t xml:space="preserve">. </w:t>
      </w:r>
      <w:r>
        <w:rPr>
          <w:rFonts w:hint="eastAsia" w:hAnsi="宋体" w:cs="黑体"/>
          <w:color w:val="auto"/>
          <w:highlight w:val="none"/>
        </w:rPr>
        <w:t>监</w:t>
      </w:r>
      <w:bookmarkEnd w:id="663"/>
      <w:bookmarkEnd w:id="664"/>
      <w:bookmarkEnd w:id="665"/>
      <w:bookmarkEnd w:id="666"/>
      <w:bookmarkEnd w:id="667"/>
      <w:bookmarkEnd w:id="668"/>
      <w:bookmarkEnd w:id="669"/>
      <w:bookmarkEnd w:id="670"/>
      <w:bookmarkEnd w:id="671"/>
      <w:bookmarkEnd w:id="672"/>
      <w:bookmarkEnd w:id="673"/>
      <w:r>
        <w:rPr>
          <w:rFonts w:hint="eastAsia" w:hAnsi="宋体" w:cs="黑体"/>
          <w:color w:val="auto"/>
          <w:highlight w:val="none"/>
        </w:rPr>
        <w:t>理人</w:t>
      </w:r>
      <w:bookmarkEnd w:id="656"/>
      <w:bookmarkEnd w:id="657"/>
      <w:bookmarkEnd w:id="658"/>
      <w:bookmarkEnd w:id="659"/>
      <w:bookmarkEnd w:id="660"/>
      <w:bookmarkEnd w:id="661"/>
      <w:bookmarkEnd w:id="662"/>
    </w:p>
    <w:p>
      <w:pPr>
        <w:pStyle w:val="5"/>
        <w:rPr>
          <w:color w:val="auto"/>
          <w:highlight w:val="none"/>
        </w:rPr>
      </w:pPr>
      <w:bookmarkStart w:id="674" w:name="_Toc373227714"/>
      <w:bookmarkStart w:id="675" w:name="_Toc407135216"/>
      <w:bookmarkStart w:id="676" w:name="_Toc389065280"/>
      <w:bookmarkStart w:id="677" w:name="_Toc22524"/>
      <w:bookmarkStart w:id="678" w:name="_Toc66186420"/>
      <w:bookmarkStart w:id="679" w:name="_Toc373478361"/>
      <w:r>
        <w:rPr>
          <w:color w:val="auto"/>
          <w:highlight w:val="none"/>
        </w:rPr>
        <w:t xml:space="preserve">4.1 </w:t>
      </w:r>
      <w:r>
        <w:rPr>
          <w:rFonts w:hint="eastAsia" w:cs="黑体"/>
          <w:color w:val="auto"/>
          <w:highlight w:val="none"/>
        </w:rPr>
        <w:t>监理人的一般规定</w:t>
      </w:r>
      <w:bookmarkEnd w:id="674"/>
      <w:bookmarkEnd w:id="675"/>
      <w:bookmarkEnd w:id="676"/>
      <w:bookmarkEnd w:id="677"/>
      <w:bookmarkEnd w:id="678"/>
      <w:bookmarkEnd w:id="679"/>
    </w:p>
    <w:p>
      <w:pPr>
        <w:spacing w:line="360" w:lineRule="auto"/>
        <w:ind w:firstLine="420" w:firstLineChars="200"/>
        <w:jc w:val="left"/>
        <w:rPr>
          <w:color w:val="auto"/>
          <w:highlight w:val="none"/>
        </w:rPr>
      </w:pPr>
      <w:r>
        <w:rPr>
          <w:rFonts w:hint="eastAsia" w:hAnsi="宋体" w:cs="宋体"/>
          <w:color w:val="auto"/>
          <w:highlight w:val="none"/>
        </w:rPr>
        <w:t>关于监理人的监理内容：</w:t>
      </w:r>
      <w:r>
        <w:rPr>
          <w:color w:val="auto"/>
          <w:highlight w:val="none"/>
          <w:u w:val="single"/>
        </w:rPr>
        <w:t>审查施工承包人提交的施工组织设计，专项施工方案与工程建设强制性标准的符合性；检查施工承包人工程质量、安全、施工进度；审查施工承包人报送的工程材料、构配件、设备质量证明文件的有效性和符合性；签发工程暂停令和复工令；验收隐蔽工程、分部分项工程；参与工程变更的审查签认，协助发包人核签现场发生的签证，最终须经发包人认可后作为结算的依据，审核月进度报表并报发包人审批；审核工程款支付申请；参加工程竣工验收</w:t>
      </w:r>
      <w:r>
        <w:rPr>
          <w:rFonts w:hint="eastAsia" w:hAnsi="宋体" w:cs="宋体"/>
          <w:color w:val="auto"/>
          <w:highlight w:val="none"/>
        </w:rPr>
        <w:t>。</w:t>
      </w:r>
    </w:p>
    <w:p>
      <w:pPr>
        <w:spacing w:line="360" w:lineRule="auto"/>
        <w:ind w:firstLine="420" w:firstLineChars="200"/>
        <w:jc w:val="left"/>
        <w:rPr>
          <w:color w:val="auto"/>
          <w:highlight w:val="none"/>
        </w:rPr>
      </w:pPr>
      <w:r>
        <w:rPr>
          <w:rFonts w:hint="eastAsia" w:hAnsi="宋体" w:cs="宋体"/>
          <w:color w:val="auto"/>
          <w:highlight w:val="none"/>
        </w:rPr>
        <w:t>关于监理人的监理权限：</w:t>
      </w:r>
      <w:r>
        <w:rPr>
          <w:color w:val="auto"/>
          <w:highlight w:val="none"/>
          <w:u w:val="single"/>
        </w:rPr>
        <w:t>工程暂停令和复工令签发、参与设计变更、工程量调整、费用调整、参与工程变更的审核签认、审核月进度工作报表以及审核工程款支付申请和分包申请、承包人的任何索赔申请最终均须经发包人审批确认</w:t>
      </w:r>
      <w:r>
        <w:rPr>
          <w:rFonts w:hint="eastAsia" w:hAnsi="宋体" w:cs="宋体"/>
          <w:color w:val="auto"/>
          <w:highlight w:val="none"/>
        </w:rPr>
        <w:t>。</w:t>
      </w:r>
      <w:r>
        <w:rPr>
          <w:color w:val="auto"/>
          <w:highlight w:val="none"/>
        </w:rPr>
        <w:t xml:space="preserve"> </w:t>
      </w:r>
    </w:p>
    <w:p>
      <w:pPr>
        <w:spacing w:line="360" w:lineRule="auto"/>
        <w:ind w:firstLine="420" w:firstLineChars="200"/>
        <w:rPr>
          <w:color w:val="auto"/>
          <w:highlight w:val="none"/>
        </w:rPr>
      </w:pPr>
      <w:r>
        <w:rPr>
          <w:rFonts w:hint="eastAsia" w:hAnsi="宋体" w:cs="宋体"/>
          <w:color w:val="auto"/>
          <w:highlight w:val="none"/>
        </w:rPr>
        <w:t>关于监理人在施工现场的办公场所、生活场所的提供和费用承担的约定：</w:t>
      </w:r>
      <w:r>
        <w:rPr>
          <w:rFonts w:hint="eastAsia" w:ascii="宋体" w:hAnsi="宋体" w:cs="宋体"/>
          <w:color w:val="auto"/>
          <w:highlight w:val="none"/>
          <w:u w:val="single"/>
        </w:rPr>
        <w:t>监理人进场前提供经过与发包人、承包人协商认可的施工现场办公、住宿场所的需用计划给承包人，承包人根据计划提供且承担所发生的费用</w:t>
      </w:r>
      <w:r>
        <w:rPr>
          <w:rFonts w:hint="eastAsia" w:hAnsi="宋体" w:cs="宋体"/>
          <w:color w:val="auto"/>
          <w:highlight w:val="none"/>
        </w:rPr>
        <w:t>。</w:t>
      </w:r>
    </w:p>
    <w:p>
      <w:pPr>
        <w:pStyle w:val="5"/>
        <w:rPr>
          <w:color w:val="auto"/>
          <w:highlight w:val="none"/>
        </w:rPr>
      </w:pPr>
      <w:bookmarkStart w:id="680" w:name="_Toc407135217"/>
      <w:bookmarkStart w:id="681" w:name="_Toc66186421"/>
      <w:bookmarkStart w:id="682" w:name="_Toc1622"/>
      <w:bookmarkStart w:id="683" w:name="_Toc389065281"/>
      <w:bookmarkStart w:id="684" w:name="_Toc373478362"/>
      <w:bookmarkStart w:id="685" w:name="_Toc373227715"/>
      <w:r>
        <w:rPr>
          <w:color w:val="auto"/>
          <w:highlight w:val="none"/>
        </w:rPr>
        <w:t xml:space="preserve">4.2 </w:t>
      </w:r>
      <w:r>
        <w:rPr>
          <w:rFonts w:hint="eastAsia" w:hAnsi="宋体" w:cs="黑体"/>
          <w:color w:val="auto"/>
          <w:highlight w:val="none"/>
        </w:rPr>
        <w:t>监理人员</w:t>
      </w:r>
      <w:bookmarkEnd w:id="680"/>
      <w:bookmarkEnd w:id="681"/>
      <w:bookmarkEnd w:id="682"/>
      <w:bookmarkEnd w:id="683"/>
      <w:bookmarkEnd w:id="684"/>
      <w:bookmarkEnd w:id="685"/>
    </w:p>
    <w:p>
      <w:pPr>
        <w:spacing w:line="360" w:lineRule="auto"/>
        <w:ind w:firstLine="420" w:firstLineChars="200"/>
        <w:rPr>
          <w:color w:val="auto"/>
          <w:highlight w:val="none"/>
        </w:rPr>
      </w:pPr>
      <w:r>
        <w:rPr>
          <w:rFonts w:hint="eastAsia" w:hAnsi="宋体" w:cs="宋体"/>
          <w:color w:val="auto"/>
          <w:highlight w:val="none"/>
        </w:rPr>
        <w:t>总监理工程师：</w:t>
      </w:r>
    </w:p>
    <w:p>
      <w:pPr>
        <w:spacing w:line="360" w:lineRule="auto"/>
        <w:ind w:firstLine="420" w:firstLineChars="200"/>
        <w:rPr>
          <w:color w:val="auto"/>
          <w:highlight w:val="none"/>
        </w:rPr>
      </w:pPr>
      <w:r>
        <w:rPr>
          <w:rFonts w:hAnsi="宋体"/>
          <w:color w:val="auto"/>
          <w:highlight w:val="none"/>
        </w:rPr>
        <w:t>姓</w:t>
      </w:r>
      <w:r>
        <w:rPr>
          <w:color w:val="auto"/>
          <w:highlight w:val="none"/>
        </w:rPr>
        <w:t xml:space="preserve">    </w:t>
      </w:r>
      <w:r>
        <w:rPr>
          <w:rFonts w:hAnsi="宋体"/>
          <w:color w:val="auto"/>
          <w:highlight w:val="none"/>
        </w:rPr>
        <w:t>名：</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pPr>
        <w:spacing w:line="360" w:lineRule="auto"/>
        <w:ind w:firstLine="420" w:firstLineChars="200"/>
        <w:rPr>
          <w:color w:val="auto"/>
          <w:highlight w:val="none"/>
        </w:rPr>
      </w:pPr>
      <w:r>
        <w:rPr>
          <w:rFonts w:hAnsi="宋体"/>
          <w:color w:val="auto"/>
          <w:highlight w:val="none"/>
        </w:rPr>
        <w:t>职</w:t>
      </w:r>
      <w:r>
        <w:rPr>
          <w:color w:val="auto"/>
          <w:highlight w:val="none"/>
        </w:rPr>
        <w:t xml:space="preserve">    </w:t>
      </w:r>
      <w:r>
        <w:rPr>
          <w:rFonts w:hAnsi="宋体"/>
          <w:color w:val="auto"/>
          <w:highlight w:val="none"/>
        </w:rPr>
        <w:t>务：</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pPr>
        <w:spacing w:line="360" w:lineRule="auto"/>
        <w:ind w:firstLine="420" w:firstLineChars="200"/>
        <w:rPr>
          <w:rFonts w:hAnsi="宋体"/>
          <w:color w:val="auto"/>
          <w:highlight w:val="none"/>
        </w:rPr>
      </w:pPr>
      <w:r>
        <w:rPr>
          <w:rFonts w:hAnsi="宋体"/>
          <w:color w:val="auto"/>
          <w:highlight w:val="none"/>
        </w:rPr>
        <w:t>监理工程师执业资格证书号：</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pPr>
        <w:spacing w:line="360" w:lineRule="auto"/>
        <w:ind w:firstLine="420" w:firstLineChars="200"/>
        <w:rPr>
          <w:color w:val="auto"/>
          <w:highlight w:val="none"/>
        </w:rPr>
      </w:pPr>
      <w:r>
        <w:rPr>
          <w:rFonts w:hAnsi="宋体"/>
          <w:color w:val="auto"/>
          <w:highlight w:val="none"/>
        </w:rPr>
        <w:t>联系电话：</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pPr>
        <w:spacing w:line="360" w:lineRule="auto"/>
        <w:ind w:firstLine="420" w:firstLineChars="200"/>
        <w:rPr>
          <w:color w:val="auto"/>
          <w:highlight w:val="none"/>
        </w:rPr>
      </w:pPr>
      <w:r>
        <w:rPr>
          <w:rFonts w:hAnsi="宋体"/>
          <w:color w:val="auto"/>
          <w:highlight w:val="none"/>
        </w:rPr>
        <w:t>电子信箱：</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pPr>
        <w:spacing w:line="360" w:lineRule="auto"/>
        <w:ind w:firstLine="420" w:firstLineChars="200"/>
        <w:rPr>
          <w:color w:val="auto"/>
          <w:highlight w:val="none"/>
        </w:rPr>
      </w:pPr>
      <w:r>
        <w:rPr>
          <w:rFonts w:hAnsi="宋体"/>
          <w:color w:val="auto"/>
          <w:highlight w:val="none"/>
        </w:rPr>
        <w:t>通信地址：</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pPr>
        <w:spacing w:line="360" w:lineRule="auto"/>
        <w:ind w:firstLine="420" w:firstLineChars="200"/>
        <w:rPr>
          <w:rFonts w:hAnsi="宋体"/>
          <w:color w:val="auto"/>
          <w:highlight w:val="none"/>
          <w:u w:val="single"/>
        </w:rPr>
      </w:pPr>
      <w:r>
        <w:rPr>
          <w:rFonts w:hAnsi="宋体"/>
          <w:color w:val="auto"/>
          <w:highlight w:val="none"/>
        </w:rPr>
        <w:t>关于监理人的其他约定：</w:t>
      </w:r>
      <w:r>
        <w:rPr>
          <w:rFonts w:hint="eastAsia" w:hAnsi="宋体"/>
          <w:color w:val="auto"/>
          <w:highlight w:val="none"/>
          <w:u w:val="single"/>
        </w:rPr>
        <w:t>工程监理在执行下列职责前应事先得到发包人的特别认可：</w:t>
      </w:r>
    </w:p>
    <w:p>
      <w:pPr>
        <w:spacing w:line="360" w:lineRule="auto"/>
        <w:ind w:firstLine="420" w:firstLineChars="200"/>
        <w:rPr>
          <w:rFonts w:hAnsi="宋体"/>
          <w:color w:val="auto"/>
          <w:highlight w:val="none"/>
          <w:u w:val="single"/>
        </w:rPr>
      </w:pPr>
      <w:r>
        <w:rPr>
          <w:rFonts w:hint="eastAsia" w:hAnsi="宋体"/>
          <w:color w:val="auto"/>
          <w:highlight w:val="none"/>
          <w:u w:val="single"/>
        </w:rPr>
        <w:t>（</w:t>
      </w:r>
      <w:r>
        <w:rPr>
          <w:rFonts w:hAnsi="宋体"/>
          <w:color w:val="auto"/>
          <w:highlight w:val="none"/>
          <w:u w:val="single"/>
        </w:rPr>
        <w:t>1</w:t>
      </w:r>
      <w:r>
        <w:rPr>
          <w:rFonts w:hint="eastAsia" w:hAnsi="宋体"/>
          <w:color w:val="auto"/>
          <w:highlight w:val="none"/>
          <w:u w:val="single"/>
        </w:rPr>
        <w:t>）下达开工、停工指令或通知；</w:t>
      </w:r>
    </w:p>
    <w:p>
      <w:pPr>
        <w:spacing w:line="360" w:lineRule="auto"/>
        <w:ind w:firstLine="420" w:firstLineChars="200"/>
        <w:rPr>
          <w:rFonts w:hAnsi="宋体"/>
          <w:color w:val="auto"/>
          <w:highlight w:val="none"/>
          <w:u w:val="single"/>
        </w:rPr>
      </w:pPr>
      <w:r>
        <w:rPr>
          <w:rFonts w:hint="eastAsia" w:hAnsi="宋体"/>
          <w:color w:val="auto"/>
          <w:highlight w:val="none"/>
          <w:u w:val="single"/>
        </w:rPr>
        <w:t>（</w:t>
      </w:r>
      <w:r>
        <w:rPr>
          <w:rFonts w:hAnsi="宋体"/>
          <w:color w:val="auto"/>
          <w:highlight w:val="none"/>
          <w:u w:val="single"/>
        </w:rPr>
        <w:t>2</w:t>
      </w:r>
      <w:r>
        <w:rPr>
          <w:rFonts w:hint="eastAsia" w:hAnsi="宋体"/>
          <w:color w:val="auto"/>
          <w:highlight w:val="none"/>
          <w:u w:val="single"/>
        </w:rPr>
        <w:t>）认可工程任何部分的分包确认或同意分包人；</w:t>
      </w:r>
    </w:p>
    <w:p>
      <w:pPr>
        <w:spacing w:line="360" w:lineRule="auto"/>
        <w:ind w:firstLine="420" w:firstLineChars="200"/>
        <w:rPr>
          <w:rFonts w:hAnsi="宋体"/>
          <w:color w:val="auto"/>
          <w:highlight w:val="none"/>
          <w:u w:val="single"/>
        </w:rPr>
      </w:pPr>
      <w:r>
        <w:rPr>
          <w:rFonts w:hint="eastAsia" w:hAnsi="宋体"/>
          <w:color w:val="auto"/>
          <w:highlight w:val="none"/>
          <w:u w:val="single"/>
        </w:rPr>
        <w:t>（</w:t>
      </w:r>
      <w:r>
        <w:rPr>
          <w:rFonts w:hAnsi="宋体"/>
          <w:color w:val="auto"/>
          <w:highlight w:val="none"/>
          <w:u w:val="single"/>
        </w:rPr>
        <w:t>3</w:t>
      </w:r>
      <w:r>
        <w:rPr>
          <w:rFonts w:hint="eastAsia" w:hAnsi="宋体"/>
          <w:color w:val="auto"/>
          <w:highlight w:val="none"/>
          <w:u w:val="single"/>
        </w:rPr>
        <w:t>）批准任何工期顺延；</w:t>
      </w:r>
    </w:p>
    <w:p>
      <w:pPr>
        <w:spacing w:line="360" w:lineRule="auto"/>
        <w:ind w:firstLine="420" w:firstLineChars="200"/>
        <w:rPr>
          <w:rFonts w:hAnsi="宋体"/>
          <w:color w:val="auto"/>
          <w:highlight w:val="none"/>
          <w:u w:val="single"/>
        </w:rPr>
      </w:pPr>
      <w:r>
        <w:rPr>
          <w:rFonts w:hint="eastAsia" w:hAnsi="宋体"/>
          <w:color w:val="auto"/>
          <w:highlight w:val="none"/>
          <w:u w:val="single"/>
        </w:rPr>
        <w:t>（</w:t>
      </w:r>
      <w:r>
        <w:rPr>
          <w:rFonts w:hAnsi="宋体"/>
          <w:color w:val="auto"/>
          <w:highlight w:val="none"/>
          <w:u w:val="single"/>
        </w:rPr>
        <w:t>4</w:t>
      </w:r>
      <w:r>
        <w:rPr>
          <w:rFonts w:hint="eastAsia" w:hAnsi="宋体"/>
          <w:color w:val="auto"/>
          <w:highlight w:val="none"/>
          <w:u w:val="single"/>
        </w:rPr>
        <w:t>）对工期、工程造价有任何影响的变更指示；</w:t>
      </w:r>
    </w:p>
    <w:p>
      <w:pPr>
        <w:spacing w:line="360" w:lineRule="auto"/>
        <w:ind w:firstLine="420" w:firstLineChars="200"/>
        <w:rPr>
          <w:rFonts w:hAnsi="宋体"/>
          <w:color w:val="auto"/>
          <w:highlight w:val="none"/>
          <w:u w:val="single"/>
        </w:rPr>
      </w:pPr>
      <w:r>
        <w:rPr>
          <w:rFonts w:hint="eastAsia" w:hAnsi="宋体"/>
          <w:color w:val="auto"/>
          <w:highlight w:val="none"/>
          <w:u w:val="single"/>
        </w:rPr>
        <w:t>（</w:t>
      </w:r>
      <w:r>
        <w:rPr>
          <w:rFonts w:hAnsi="宋体"/>
          <w:color w:val="auto"/>
          <w:highlight w:val="none"/>
          <w:u w:val="single"/>
        </w:rPr>
        <w:t>5</w:t>
      </w:r>
      <w:r>
        <w:rPr>
          <w:rFonts w:hint="eastAsia" w:hAnsi="宋体"/>
          <w:color w:val="auto"/>
          <w:highlight w:val="none"/>
          <w:u w:val="single"/>
        </w:rPr>
        <w:t>）确定变更估价；</w:t>
      </w:r>
    </w:p>
    <w:p>
      <w:pPr>
        <w:spacing w:line="360" w:lineRule="auto"/>
        <w:ind w:firstLine="420" w:firstLineChars="200"/>
        <w:rPr>
          <w:rFonts w:hAnsi="宋体"/>
          <w:color w:val="auto"/>
          <w:highlight w:val="none"/>
          <w:u w:val="single"/>
        </w:rPr>
      </w:pPr>
      <w:r>
        <w:rPr>
          <w:rFonts w:hint="eastAsia" w:hAnsi="宋体"/>
          <w:color w:val="auto"/>
          <w:highlight w:val="none"/>
          <w:u w:val="single"/>
        </w:rPr>
        <w:t>（</w:t>
      </w:r>
      <w:r>
        <w:rPr>
          <w:rFonts w:hAnsi="宋体"/>
          <w:color w:val="auto"/>
          <w:highlight w:val="none"/>
          <w:u w:val="single"/>
        </w:rPr>
        <w:t>6</w:t>
      </w:r>
      <w:r>
        <w:rPr>
          <w:rFonts w:hint="eastAsia" w:hAnsi="宋体"/>
          <w:color w:val="auto"/>
          <w:highlight w:val="none"/>
          <w:u w:val="single"/>
        </w:rPr>
        <w:t>）发出接收证书或通过工程竣工验收；</w:t>
      </w:r>
    </w:p>
    <w:p>
      <w:pPr>
        <w:spacing w:line="360" w:lineRule="auto"/>
        <w:ind w:firstLine="420" w:firstLineChars="200"/>
        <w:rPr>
          <w:rFonts w:hAnsi="宋体"/>
          <w:color w:val="auto"/>
          <w:highlight w:val="none"/>
          <w:u w:val="single"/>
        </w:rPr>
      </w:pPr>
      <w:r>
        <w:rPr>
          <w:rFonts w:hint="eastAsia" w:hAnsi="宋体"/>
          <w:color w:val="auto"/>
          <w:highlight w:val="none"/>
          <w:u w:val="single"/>
        </w:rPr>
        <w:t>（</w:t>
      </w:r>
      <w:r>
        <w:rPr>
          <w:rFonts w:hAnsi="宋体"/>
          <w:color w:val="auto"/>
          <w:highlight w:val="none"/>
          <w:u w:val="single"/>
        </w:rPr>
        <w:t>7</w:t>
      </w:r>
      <w:r>
        <w:rPr>
          <w:rFonts w:hint="eastAsia" w:hAnsi="宋体"/>
          <w:color w:val="auto"/>
          <w:highlight w:val="none"/>
          <w:u w:val="single"/>
        </w:rPr>
        <w:t>）认可承包人的任何费用索赔。</w:t>
      </w:r>
    </w:p>
    <w:p>
      <w:pPr>
        <w:spacing w:line="360" w:lineRule="auto"/>
        <w:ind w:firstLine="420" w:firstLineChars="200"/>
        <w:rPr>
          <w:rFonts w:hAnsi="宋体"/>
          <w:color w:val="auto"/>
          <w:highlight w:val="none"/>
          <w:u w:val="single"/>
        </w:rPr>
      </w:pPr>
      <w:r>
        <w:rPr>
          <w:rFonts w:hint="eastAsia" w:hAnsi="宋体"/>
          <w:color w:val="auto"/>
          <w:highlight w:val="none"/>
          <w:u w:val="single"/>
        </w:rPr>
        <w:t>一切有关上述事宜而没有发包人签认的指令或行动将被视为无效。</w:t>
      </w:r>
    </w:p>
    <w:p>
      <w:pPr>
        <w:spacing w:line="360" w:lineRule="auto"/>
        <w:ind w:firstLine="420" w:firstLineChars="200"/>
        <w:rPr>
          <w:color w:val="auto"/>
          <w:highlight w:val="none"/>
        </w:rPr>
      </w:pPr>
      <w:r>
        <w:rPr>
          <w:rFonts w:hint="eastAsia" w:hAnsi="宋体"/>
          <w:color w:val="auto"/>
          <w:highlight w:val="none"/>
          <w:u w:val="single"/>
        </w:rPr>
        <w:t>尽管有如上诉需征求特别许可的义务，但如果工程监理认为事故的发生会影响人员生命、工程或附近财产的安全，工程监理可以在不减轻承包人任何合同规定的责任和义务的情况下，指示承包人采取工程监理认为必要有效的措施及办法排除及减低危险。尽管没有得到发包人的认可，承包人应立即执行该等有关指令，此类指令承包人必须在发出后24小时内得到发包人的认可。除上述的紧急指令外，承包人因遵守经发包人特别认可的而又未经发包人认可的指令而引致的索赔都不会获得接受</w:t>
      </w:r>
      <w:r>
        <w:rPr>
          <w:rFonts w:hAnsi="宋体"/>
          <w:color w:val="auto"/>
          <w:highlight w:val="none"/>
        </w:rPr>
        <w:t>。</w:t>
      </w:r>
    </w:p>
    <w:p>
      <w:pPr>
        <w:pStyle w:val="5"/>
        <w:rPr>
          <w:color w:val="auto"/>
          <w:highlight w:val="none"/>
        </w:rPr>
      </w:pPr>
      <w:bookmarkStart w:id="686" w:name="_Toc389065282"/>
      <w:bookmarkStart w:id="687" w:name="_Toc407135218"/>
      <w:bookmarkStart w:id="688" w:name="_Toc66186422"/>
      <w:bookmarkStart w:id="689" w:name="_Toc25010"/>
      <w:bookmarkStart w:id="690" w:name="_Toc373227716"/>
      <w:bookmarkStart w:id="691" w:name="_Toc373478363"/>
      <w:r>
        <w:rPr>
          <w:color w:val="auto"/>
          <w:highlight w:val="none"/>
        </w:rPr>
        <w:t xml:space="preserve">4.4 </w:t>
      </w:r>
      <w:r>
        <w:rPr>
          <w:rFonts w:hint="eastAsia" w:hAnsi="宋体" w:cs="黑体"/>
          <w:color w:val="auto"/>
          <w:highlight w:val="none"/>
        </w:rPr>
        <w:t>商定或确定</w:t>
      </w:r>
      <w:bookmarkEnd w:id="686"/>
      <w:bookmarkEnd w:id="687"/>
      <w:bookmarkEnd w:id="688"/>
      <w:bookmarkEnd w:id="689"/>
      <w:bookmarkEnd w:id="690"/>
      <w:bookmarkEnd w:id="691"/>
    </w:p>
    <w:p>
      <w:pPr>
        <w:spacing w:line="360" w:lineRule="auto"/>
        <w:ind w:firstLine="420" w:firstLineChars="200"/>
        <w:rPr>
          <w:color w:val="auto"/>
          <w:highlight w:val="none"/>
        </w:rPr>
      </w:pPr>
      <w:bookmarkStart w:id="692" w:name="_Toc267251418"/>
      <w:r>
        <w:rPr>
          <w:rFonts w:hint="eastAsia" w:hAnsi="宋体" w:cs="宋体"/>
          <w:color w:val="auto"/>
          <w:highlight w:val="none"/>
        </w:rPr>
        <w:t>在发包人和承包人不能通过协商达成一致意见时，发包人授权监理人对以下事项进行确定：</w:t>
      </w:r>
    </w:p>
    <w:p>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w:t>
      </w:r>
      <w:r>
        <w:rPr>
          <w:color w:val="auto"/>
          <w:highlight w:val="none"/>
          <w:u w:val="single"/>
        </w:rPr>
        <w:t xml:space="preserve">/ </w:t>
      </w:r>
      <w:r>
        <w:rPr>
          <w:rFonts w:hint="eastAsia" w:hAnsi="宋体" w:cs="宋体"/>
          <w:color w:val="auto"/>
          <w:highlight w:val="none"/>
        </w:rPr>
        <w:t>；</w:t>
      </w:r>
    </w:p>
    <w:p>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w:t>
      </w:r>
      <w:r>
        <w:rPr>
          <w:color w:val="auto"/>
          <w:highlight w:val="none"/>
          <w:u w:val="single"/>
        </w:rPr>
        <w:t xml:space="preserve">/ </w:t>
      </w:r>
      <w:r>
        <w:rPr>
          <w:rFonts w:hint="eastAsia" w:hAnsi="宋体" w:cs="宋体"/>
          <w:color w:val="auto"/>
          <w:highlight w:val="none"/>
        </w:rPr>
        <w:t>；</w:t>
      </w:r>
    </w:p>
    <w:p>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w:t>
      </w:r>
      <w:r>
        <w:rPr>
          <w:color w:val="auto"/>
          <w:highlight w:val="none"/>
          <w:u w:val="single"/>
        </w:rPr>
        <w:t xml:space="preserve">/ </w:t>
      </w:r>
      <w:r>
        <w:rPr>
          <w:rFonts w:hint="eastAsia" w:hAnsi="宋体" w:cs="宋体"/>
          <w:color w:val="auto"/>
          <w:highlight w:val="none"/>
        </w:rPr>
        <w:t>。</w:t>
      </w:r>
    </w:p>
    <w:p>
      <w:pPr>
        <w:pStyle w:val="4"/>
        <w:rPr>
          <w:color w:val="auto"/>
          <w:highlight w:val="none"/>
        </w:rPr>
      </w:pPr>
      <w:bookmarkStart w:id="693" w:name="_Toc66186423"/>
      <w:bookmarkStart w:id="694" w:name="_Toc407135219"/>
      <w:bookmarkStart w:id="695" w:name="_Toc373478364"/>
      <w:bookmarkStart w:id="696" w:name="_Toc351203637"/>
      <w:bookmarkStart w:id="697" w:name="_Toc373227717"/>
      <w:bookmarkStart w:id="698" w:name="_Toc389065283"/>
      <w:bookmarkStart w:id="699" w:name="_Toc17490"/>
      <w:r>
        <w:rPr>
          <w:color w:val="auto"/>
          <w:highlight w:val="none"/>
        </w:rPr>
        <w:t>5</w:t>
      </w:r>
      <w:bookmarkEnd w:id="692"/>
      <w:bookmarkStart w:id="700" w:name="_Toc292559872"/>
      <w:bookmarkStart w:id="701" w:name="_Toc292559367"/>
      <w:bookmarkStart w:id="702" w:name="_Toc296891203"/>
      <w:bookmarkStart w:id="703" w:name="_Toc296890991"/>
      <w:bookmarkStart w:id="704" w:name="_Toc296347162"/>
      <w:bookmarkStart w:id="705" w:name="_Toc297120463"/>
      <w:bookmarkStart w:id="706" w:name="_Toc297048349"/>
      <w:bookmarkStart w:id="707" w:name="_Toc296944502"/>
      <w:bookmarkStart w:id="708" w:name="_Toc296503163"/>
      <w:bookmarkStart w:id="709" w:name="_Toc296346664"/>
      <w:r>
        <w:rPr>
          <w:color w:val="auto"/>
          <w:highlight w:val="none"/>
        </w:rPr>
        <w:t xml:space="preserve">. </w:t>
      </w:r>
      <w:r>
        <w:rPr>
          <w:rFonts w:hint="eastAsia" w:hAnsi="宋体" w:cs="黑体"/>
          <w:color w:val="auto"/>
          <w:highlight w:val="none"/>
        </w:rPr>
        <w:t>工程质量</w:t>
      </w:r>
      <w:bookmarkEnd w:id="693"/>
      <w:bookmarkEnd w:id="694"/>
      <w:bookmarkEnd w:id="695"/>
      <w:bookmarkEnd w:id="696"/>
      <w:bookmarkEnd w:id="697"/>
      <w:bookmarkEnd w:id="698"/>
      <w:bookmarkEnd w:id="699"/>
    </w:p>
    <w:p>
      <w:pPr>
        <w:pStyle w:val="5"/>
        <w:rPr>
          <w:color w:val="auto"/>
          <w:highlight w:val="none"/>
        </w:rPr>
      </w:pPr>
      <w:bookmarkStart w:id="710" w:name="_Toc373227718"/>
      <w:bookmarkStart w:id="711" w:name="_Toc389065284"/>
      <w:bookmarkStart w:id="712" w:name="_Toc407135220"/>
      <w:bookmarkStart w:id="713" w:name="_Toc1670"/>
      <w:bookmarkStart w:id="714" w:name="_Toc66186424"/>
      <w:bookmarkStart w:id="715" w:name="_Toc373478365"/>
      <w:r>
        <w:rPr>
          <w:color w:val="auto"/>
          <w:highlight w:val="none"/>
        </w:rPr>
        <w:t xml:space="preserve">5.1 </w:t>
      </w:r>
      <w:r>
        <w:rPr>
          <w:rFonts w:hint="eastAsia" w:hAnsi="宋体" w:cs="黑体"/>
          <w:color w:val="auto"/>
          <w:highlight w:val="none"/>
        </w:rPr>
        <w:t>质量要求</w:t>
      </w:r>
      <w:bookmarkEnd w:id="710"/>
      <w:bookmarkEnd w:id="711"/>
      <w:bookmarkEnd w:id="712"/>
      <w:bookmarkEnd w:id="713"/>
      <w:bookmarkEnd w:id="714"/>
      <w:bookmarkEnd w:id="715"/>
    </w:p>
    <w:p>
      <w:pPr>
        <w:spacing w:line="360" w:lineRule="auto"/>
        <w:ind w:firstLine="420" w:firstLineChars="200"/>
        <w:jc w:val="left"/>
        <w:rPr>
          <w:color w:val="auto"/>
          <w:highlight w:val="none"/>
          <w:u w:val="single"/>
        </w:rPr>
      </w:pPr>
      <w:r>
        <w:rPr>
          <w:color w:val="auto"/>
          <w:highlight w:val="none"/>
        </w:rPr>
        <w:t>5</w:t>
      </w:r>
      <w:bookmarkStart w:id="716" w:name="_Toc312677997"/>
      <w:bookmarkStart w:id="717" w:name="_Toc300934949"/>
      <w:bookmarkStart w:id="718" w:name="_Toc297123496"/>
      <w:bookmarkStart w:id="719" w:name="_Toc318581164"/>
      <w:bookmarkStart w:id="720" w:name="_Toc303539106"/>
      <w:bookmarkStart w:id="721" w:name="_Toc297216155"/>
      <w:bookmarkStart w:id="722" w:name="_Toc304295527"/>
      <w:r>
        <w:rPr>
          <w:color w:val="auto"/>
          <w:highlight w:val="none"/>
        </w:rPr>
        <w:t xml:space="preserve">.1.1 </w:t>
      </w:r>
      <w:r>
        <w:rPr>
          <w:rFonts w:hint="eastAsia" w:hAnsi="宋体" w:cs="宋体"/>
          <w:color w:val="auto"/>
          <w:highlight w:val="none"/>
        </w:rPr>
        <w:t>特殊质量标准和要求：</w:t>
      </w:r>
      <w:r>
        <w:rPr>
          <w:rFonts w:hint="eastAsia" w:hAnsi="宋体"/>
          <w:color w:val="auto"/>
          <w:highlight w:val="none"/>
          <w:u w:val="single"/>
        </w:rPr>
        <w:t>报告厅、演讲厅二次装饰满足二次装饰消防验收标准</w:t>
      </w:r>
      <w:r>
        <w:rPr>
          <w:rFonts w:ascii="宋体" w:hAnsi="宋体"/>
          <w:color w:val="auto"/>
          <w:highlight w:val="none"/>
          <w:u w:val="single"/>
        </w:rPr>
        <w:t xml:space="preserve"> </w:t>
      </w:r>
      <w:r>
        <w:rPr>
          <w:rFonts w:hint="eastAsia" w:ascii="宋体" w:hAnsi="宋体"/>
          <w:color w:val="auto"/>
          <w:highlight w:val="none"/>
          <w:u w:val="single"/>
        </w:rPr>
        <w:t>（</w:t>
      </w:r>
      <w:r>
        <w:rPr>
          <w:rFonts w:hint="eastAsia"/>
          <w:color w:val="auto"/>
          <w:highlight w:val="none"/>
          <w:u w:val="single" w:color="000000"/>
        </w:rPr>
        <w:t>详见第1.4条</w:t>
      </w:r>
      <w:r>
        <w:rPr>
          <w:rFonts w:hint="eastAsia" w:ascii="宋体" w:hAnsi="宋体"/>
          <w:color w:val="auto"/>
          <w:highlight w:val="none"/>
          <w:u w:val="single"/>
        </w:rPr>
        <w:t>）</w:t>
      </w:r>
      <w:r>
        <w:rPr>
          <w:rFonts w:hint="eastAsia" w:hAnsi="宋体" w:cs="宋体"/>
          <w:color w:val="auto"/>
          <w:highlight w:val="none"/>
        </w:rPr>
        <w:t>。</w:t>
      </w:r>
    </w:p>
    <w:p>
      <w:pPr>
        <w:spacing w:line="360" w:lineRule="auto"/>
        <w:ind w:firstLine="420" w:firstLineChars="200"/>
        <w:jc w:val="left"/>
        <w:rPr>
          <w:color w:val="auto"/>
          <w:highlight w:val="none"/>
        </w:rPr>
      </w:pPr>
      <w:r>
        <w:rPr>
          <w:rFonts w:hint="eastAsia" w:hAnsi="宋体" w:cs="宋体"/>
          <w:color w:val="auto"/>
          <w:highlight w:val="none"/>
        </w:rPr>
        <w:t>关于工程奖项的约定：</w:t>
      </w:r>
      <w:r>
        <w:rPr>
          <w:color w:val="auto"/>
          <w:highlight w:val="none"/>
          <w:u w:val="single"/>
        </w:rPr>
        <w:t>/</w:t>
      </w:r>
      <w:r>
        <w:rPr>
          <w:rFonts w:hint="eastAsia"/>
          <w:color w:val="auto"/>
          <w:highlight w:val="none"/>
          <w:u w:val="single"/>
        </w:rPr>
        <w:t xml:space="preserve"> </w:t>
      </w:r>
      <w:r>
        <w:rPr>
          <w:rFonts w:hint="eastAsia" w:hAnsi="宋体" w:cs="宋体"/>
          <w:color w:val="auto"/>
          <w:highlight w:val="none"/>
        </w:rPr>
        <w:t>。</w:t>
      </w:r>
    </w:p>
    <w:p>
      <w:pPr>
        <w:spacing w:line="360" w:lineRule="auto"/>
        <w:ind w:firstLine="420" w:firstLineChars="200"/>
        <w:jc w:val="left"/>
        <w:rPr>
          <w:color w:val="auto"/>
          <w:highlight w:val="none"/>
        </w:rPr>
      </w:pPr>
      <w:r>
        <w:rPr>
          <w:color w:val="auto"/>
          <w:highlight w:val="none"/>
        </w:rPr>
        <w:t xml:space="preserve">5.3 </w:t>
      </w:r>
      <w:r>
        <w:rPr>
          <w:rFonts w:hint="eastAsia" w:hAnsi="宋体" w:cs="宋体"/>
          <w:color w:val="auto"/>
          <w:highlight w:val="none"/>
        </w:rPr>
        <w:t>隐蔽工程检查</w:t>
      </w:r>
    </w:p>
    <w:p>
      <w:pPr>
        <w:spacing w:line="360" w:lineRule="auto"/>
        <w:ind w:firstLine="420" w:firstLineChars="200"/>
        <w:jc w:val="left"/>
        <w:rPr>
          <w:color w:val="auto"/>
          <w:highlight w:val="none"/>
          <w:u w:val="single"/>
        </w:rPr>
      </w:pPr>
      <w:r>
        <w:rPr>
          <w:color w:val="auto"/>
          <w:highlight w:val="none"/>
        </w:rPr>
        <w:t>5.3.2</w:t>
      </w:r>
      <w:r>
        <w:rPr>
          <w:rFonts w:hint="eastAsia" w:hAnsi="宋体" w:cs="宋体"/>
          <w:color w:val="auto"/>
          <w:highlight w:val="none"/>
        </w:rPr>
        <w:t>承包人提前通知监理人隐蔽工程检查的期限的约定：工程隐蔽或中间验收前</w:t>
      </w:r>
      <w:r>
        <w:rPr>
          <w:color w:val="auto"/>
          <w:highlight w:val="none"/>
        </w:rPr>
        <w:t>12</w:t>
      </w:r>
      <w:r>
        <w:rPr>
          <w:rFonts w:hint="eastAsia" w:hAnsi="宋体" w:cs="宋体"/>
          <w:color w:val="auto"/>
          <w:highlight w:val="none"/>
        </w:rPr>
        <w:t>小时以书面形式通知发包人和监理工程师验收的内容、时间、地点，承包人准备验收记录单（最好是印制的表格）由双方签证。验收合格，承包人可进行隐蔽和继续施工；验收不合格，双方商订时限内修改后按上述循序重新验收。</w:t>
      </w:r>
    </w:p>
    <w:p>
      <w:pPr>
        <w:spacing w:line="360" w:lineRule="auto"/>
        <w:ind w:firstLine="420" w:firstLineChars="200"/>
        <w:jc w:val="left"/>
        <w:rPr>
          <w:color w:val="auto"/>
          <w:highlight w:val="none"/>
        </w:rPr>
      </w:pPr>
      <w:r>
        <w:rPr>
          <w:rFonts w:hint="eastAsia" w:hAnsi="宋体" w:cs="宋体"/>
          <w:color w:val="auto"/>
          <w:highlight w:val="none"/>
        </w:rPr>
        <w:t>监理人不能按时进行检查时，应提前</w:t>
      </w:r>
      <w:r>
        <w:rPr>
          <w:rFonts w:hint="eastAsia" w:ascii="宋体" w:hAnsi="宋体"/>
          <w:color w:val="auto"/>
          <w:highlight w:val="none"/>
          <w:u w:val="single"/>
        </w:rPr>
        <w:t>24</w:t>
      </w:r>
      <w:r>
        <w:rPr>
          <w:rFonts w:hint="eastAsia" w:hAnsi="宋体" w:cs="宋体"/>
          <w:color w:val="auto"/>
          <w:highlight w:val="none"/>
        </w:rPr>
        <w:t>小时提交书面延期要求。</w:t>
      </w:r>
    </w:p>
    <w:p>
      <w:pPr>
        <w:spacing w:line="360" w:lineRule="auto"/>
        <w:ind w:firstLine="420" w:firstLineChars="200"/>
        <w:jc w:val="left"/>
        <w:rPr>
          <w:color w:val="auto"/>
          <w:highlight w:val="none"/>
        </w:rPr>
      </w:pPr>
      <w:r>
        <w:rPr>
          <w:rFonts w:hint="eastAsia" w:hAnsi="宋体" w:cs="宋体"/>
          <w:color w:val="auto"/>
          <w:highlight w:val="none"/>
        </w:rPr>
        <w:t>关于延期最长不得超过：</w:t>
      </w:r>
      <w:r>
        <w:rPr>
          <w:rFonts w:hint="eastAsia" w:ascii="宋体" w:hAnsi="宋体"/>
          <w:color w:val="auto"/>
          <w:highlight w:val="none"/>
          <w:u w:val="single"/>
        </w:rPr>
        <w:t>48</w:t>
      </w:r>
      <w:r>
        <w:rPr>
          <w:color w:val="auto"/>
          <w:highlight w:val="none"/>
          <w:u w:val="single"/>
        </w:rPr>
        <w:t xml:space="preserve"> </w:t>
      </w:r>
      <w:r>
        <w:rPr>
          <w:rFonts w:hint="eastAsia" w:hAnsi="宋体" w:cs="宋体"/>
          <w:color w:val="auto"/>
          <w:highlight w:val="none"/>
        </w:rPr>
        <w:t>小时。</w:t>
      </w:r>
    </w:p>
    <w:p>
      <w:pPr>
        <w:pStyle w:val="4"/>
        <w:rPr>
          <w:color w:val="auto"/>
          <w:highlight w:val="none"/>
        </w:rPr>
      </w:pPr>
      <w:bookmarkStart w:id="723" w:name="_Toc373227719"/>
      <w:bookmarkStart w:id="724" w:name="_Toc407135221"/>
      <w:bookmarkStart w:id="725" w:name="_Toc389065285"/>
      <w:bookmarkStart w:id="726" w:name="_Toc351203638"/>
      <w:bookmarkStart w:id="727" w:name="_Toc26914"/>
      <w:bookmarkStart w:id="728" w:name="_Toc373478366"/>
      <w:bookmarkStart w:id="729" w:name="_Toc66186425"/>
      <w:r>
        <w:rPr>
          <w:color w:val="auto"/>
          <w:highlight w:val="none"/>
        </w:rPr>
        <w:t xml:space="preserve">6. </w:t>
      </w:r>
      <w:r>
        <w:rPr>
          <w:rFonts w:hint="eastAsia" w:cs="黑体"/>
          <w:color w:val="auto"/>
          <w:highlight w:val="none"/>
        </w:rPr>
        <w:t>安全文明施工与环境保护</w:t>
      </w:r>
      <w:bookmarkEnd w:id="723"/>
      <w:bookmarkEnd w:id="724"/>
      <w:bookmarkEnd w:id="725"/>
      <w:bookmarkEnd w:id="726"/>
      <w:bookmarkEnd w:id="727"/>
      <w:bookmarkEnd w:id="728"/>
      <w:bookmarkEnd w:id="729"/>
    </w:p>
    <w:p>
      <w:pPr>
        <w:pStyle w:val="5"/>
        <w:rPr>
          <w:color w:val="auto"/>
          <w:highlight w:val="none"/>
        </w:rPr>
      </w:pPr>
      <w:bookmarkStart w:id="730" w:name="_Toc407135222"/>
      <w:bookmarkStart w:id="731" w:name="_Toc389065286"/>
      <w:bookmarkStart w:id="732" w:name="_Toc373227720"/>
      <w:bookmarkStart w:id="733" w:name="_Toc373478367"/>
      <w:bookmarkStart w:id="734" w:name="_Toc20314"/>
      <w:bookmarkStart w:id="735" w:name="_Toc66186426"/>
      <w:r>
        <w:rPr>
          <w:color w:val="auto"/>
          <w:highlight w:val="none"/>
        </w:rPr>
        <w:t xml:space="preserve">6.1 </w:t>
      </w:r>
      <w:r>
        <w:rPr>
          <w:rFonts w:hint="eastAsia" w:cs="黑体"/>
          <w:color w:val="auto"/>
          <w:highlight w:val="none"/>
        </w:rPr>
        <w:t>安全文明施工</w:t>
      </w:r>
      <w:bookmarkEnd w:id="730"/>
      <w:bookmarkEnd w:id="731"/>
      <w:bookmarkEnd w:id="732"/>
      <w:bookmarkEnd w:id="733"/>
      <w:bookmarkEnd w:id="734"/>
      <w:bookmarkEnd w:id="735"/>
    </w:p>
    <w:p>
      <w:pPr>
        <w:spacing w:line="360" w:lineRule="auto"/>
        <w:ind w:firstLine="420" w:firstLineChars="200"/>
        <w:jc w:val="left"/>
        <w:rPr>
          <w:rFonts w:hAnsi="宋体"/>
          <w:color w:val="auto"/>
          <w:highlight w:val="none"/>
        </w:rPr>
      </w:pPr>
      <w:r>
        <w:rPr>
          <w:color w:val="auto"/>
          <w:highlight w:val="none"/>
        </w:rPr>
        <w:t xml:space="preserve">6.1.1 </w:t>
      </w:r>
      <w:r>
        <w:rPr>
          <w:rFonts w:hint="eastAsia" w:hAnsi="宋体" w:cs="宋体"/>
          <w:color w:val="auto"/>
          <w:highlight w:val="none"/>
        </w:rPr>
        <w:t>项目安全生产的达标目标及相应事项的约定：</w:t>
      </w:r>
      <w:r>
        <w:rPr>
          <w:rFonts w:hint="eastAsia" w:hAnsi="宋体" w:cs="宋体"/>
          <w:color w:val="auto"/>
          <w:highlight w:val="none"/>
          <w:u w:val="single"/>
        </w:rPr>
        <w:t>要求达到《建筑施工安全检查标准》（JGJ59-2011）的标准和符合《广西壮族自治区建筑工程安全防护、文明施工措施费及使用管理细则》（桂建质安【2015】16号文）的要求</w:t>
      </w:r>
      <w:r>
        <w:rPr>
          <w:rFonts w:hint="eastAsia" w:hAnsi="宋体" w:cs="宋体"/>
          <w:color w:val="auto"/>
          <w:highlight w:val="none"/>
        </w:rPr>
        <w:t>。</w:t>
      </w:r>
    </w:p>
    <w:p>
      <w:pPr>
        <w:spacing w:line="360" w:lineRule="auto"/>
        <w:ind w:firstLine="420" w:firstLineChars="200"/>
        <w:jc w:val="left"/>
        <w:rPr>
          <w:color w:val="auto"/>
          <w:highlight w:val="none"/>
        </w:rPr>
      </w:pPr>
      <w:r>
        <w:rPr>
          <w:rFonts w:hint="eastAsia" w:hAnsi="宋体" w:cs="宋体"/>
          <w:color w:val="auto"/>
          <w:highlight w:val="none"/>
        </w:rPr>
        <w:t>关于安全文明施工奖项的约定：</w:t>
      </w:r>
      <w:r>
        <w:rPr>
          <w:color w:val="auto"/>
          <w:highlight w:val="none"/>
          <w:u w:val="single"/>
        </w:rPr>
        <w:t xml:space="preserve"> / </w:t>
      </w:r>
      <w:r>
        <w:rPr>
          <w:rFonts w:hint="eastAsia" w:hAnsi="宋体" w:cs="宋体"/>
          <w:color w:val="auto"/>
          <w:highlight w:val="none"/>
        </w:rPr>
        <w:t>。</w:t>
      </w:r>
    </w:p>
    <w:p>
      <w:pPr>
        <w:spacing w:line="360" w:lineRule="auto"/>
        <w:ind w:firstLine="420" w:firstLineChars="200"/>
        <w:jc w:val="left"/>
        <w:rPr>
          <w:color w:val="auto"/>
          <w:highlight w:val="none"/>
          <w:u w:val="single"/>
        </w:rPr>
      </w:pPr>
      <w:r>
        <w:rPr>
          <w:color w:val="auto"/>
          <w:highlight w:val="none"/>
        </w:rPr>
        <w:t xml:space="preserve">6.1.4 </w:t>
      </w:r>
      <w:r>
        <w:rPr>
          <w:rFonts w:hint="eastAsia" w:hAnsi="宋体" w:cs="宋体"/>
          <w:color w:val="auto"/>
          <w:highlight w:val="none"/>
        </w:rPr>
        <w:t>关于治安保卫的特别约定：</w:t>
      </w:r>
      <w:r>
        <w:rPr>
          <w:rFonts w:hint="eastAsia" w:hAnsi="宋体" w:cs="宋体"/>
          <w:color w:val="auto"/>
          <w:highlight w:val="none"/>
          <w:u w:val="single"/>
        </w:rPr>
        <w:t>承包人应承担施工安全保卫工作及非夜间施工照明的责任，承包人应采取一切合理的预防措施，防止人员伤亡、财产损失事故，费用由承包人承担。承包人生活设施及施工场应自费配备消防设备，防止火灾发生。</w:t>
      </w:r>
    </w:p>
    <w:p>
      <w:pPr>
        <w:spacing w:line="360" w:lineRule="auto"/>
        <w:ind w:firstLine="420" w:firstLineChars="200"/>
        <w:jc w:val="left"/>
        <w:rPr>
          <w:color w:val="auto"/>
          <w:highlight w:val="none"/>
        </w:rPr>
      </w:pPr>
      <w:r>
        <w:rPr>
          <w:rFonts w:hint="eastAsia" w:hAnsi="宋体" w:cs="宋体"/>
          <w:color w:val="auto"/>
          <w:highlight w:val="none"/>
        </w:rPr>
        <w:t>关于编制施工场地治安管理计划的约定：</w:t>
      </w:r>
      <w:r>
        <w:rPr>
          <w:rFonts w:hint="eastAsia" w:ascii="宋体" w:hAnsi="宋体"/>
          <w:color w:val="auto"/>
          <w:highlight w:val="none"/>
          <w:u w:val="single"/>
        </w:rPr>
        <w:t xml:space="preserve"> </w:t>
      </w:r>
      <w:r>
        <w:rPr>
          <w:rFonts w:ascii="宋体" w:hAnsi="宋体"/>
          <w:color w:val="auto"/>
          <w:highlight w:val="none"/>
          <w:u w:val="single"/>
        </w:rPr>
        <w:t xml:space="preserve"> /  </w:t>
      </w:r>
      <w:r>
        <w:rPr>
          <w:rFonts w:hint="eastAsia" w:hAnsi="宋体" w:cs="宋体"/>
          <w:color w:val="auto"/>
          <w:highlight w:val="none"/>
        </w:rPr>
        <w:t>。</w:t>
      </w:r>
    </w:p>
    <w:p>
      <w:pPr>
        <w:spacing w:line="360" w:lineRule="auto"/>
        <w:ind w:firstLine="420" w:firstLineChars="200"/>
        <w:jc w:val="left"/>
        <w:rPr>
          <w:color w:val="auto"/>
          <w:highlight w:val="none"/>
        </w:rPr>
      </w:pPr>
      <w:r>
        <w:rPr>
          <w:color w:val="auto"/>
          <w:highlight w:val="none"/>
        </w:rPr>
        <w:t xml:space="preserve">6.1.5 </w:t>
      </w:r>
      <w:r>
        <w:rPr>
          <w:rFonts w:hint="eastAsia" w:hAnsi="宋体" w:cs="宋体"/>
          <w:color w:val="auto"/>
          <w:highlight w:val="none"/>
        </w:rPr>
        <w:t>文明施工</w:t>
      </w:r>
    </w:p>
    <w:p>
      <w:pPr>
        <w:spacing w:line="360" w:lineRule="auto"/>
        <w:ind w:firstLine="420"/>
        <w:rPr>
          <w:rFonts w:ascii="宋体" w:hAnsi="宋体" w:cs="宋体"/>
          <w:color w:val="auto"/>
          <w:highlight w:val="none"/>
          <w:u w:val="single"/>
        </w:rPr>
      </w:pPr>
      <w:r>
        <w:rPr>
          <w:rFonts w:hint="eastAsia" w:hAnsi="宋体" w:cs="宋体"/>
          <w:color w:val="auto"/>
          <w:highlight w:val="none"/>
        </w:rPr>
        <w:t>合同当事人对文明施工的要求：</w:t>
      </w:r>
      <w:r>
        <w:rPr>
          <w:rFonts w:hint="eastAsia" w:ascii="宋体" w:hAnsi="宋体"/>
          <w:color w:val="auto"/>
          <w:highlight w:val="none"/>
          <w:u w:val="single"/>
        </w:rPr>
        <w:t>安全防护、文明施工设施须按南宁市城乡建委《南宁市建设工程质量安全管理标准化图集》要求及《南宁市城乡建设委员会关于印发“美丽南宁·整洁畅通有序大行动”活动工地乱象整治工作方案的通知》（南建质安[2013]28号）有关标准及制度执行。</w:t>
      </w:r>
      <w:r>
        <w:rPr>
          <w:rFonts w:hint="eastAsia" w:ascii="宋体" w:hAnsi="宋体" w:cs="宋体"/>
          <w:color w:val="auto"/>
          <w:highlight w:val="none"/>
          <w:u w:val="single"/>
        </w:rPr>
        <w:t>土方作业严格执行南宁市城乡建设委员会印发的《南宁市土方作业文明施工工作导则》要求。</w:t>
      </w:r>
    </w:p>
    <w:p>
      <w:pPr>
        <w:spacing w:line="360" w:lineRule="auto"/>
        <w:ind w:firstLine="420" w:firstLineChars="200"/>
        <w:jc w:val="left"/>
        <w:rPr>
          <w:rFonts w:hAnsi="宋体"/>
          <w:color w:val="auto"/>
          <w:highlight w:val="none"/>
        </w:rPr>
      </w:pPr>
      <w:r>
        <w:rPr>
          <w:color w:val="auto"/>
          <w:highlight w:val="none"/>
        </w:rPr>
        <w:t>6.1.6</w:t>
      </w:r>
      <w:r>
        <w:rPr>
          <w:rFonts w:hAnsi="宋体" w:cs="宋体"/>
          <w:color w:val="auto"/>
          <w:kern w:val="0"/>
          <w:highlight w:val="none"/>
        </w:rPr>
        <w:t>关于安全</w:t>
      </w:r>
      <w:r>
        <w:rPr>
          <w:rFonts w:hint="eastAsia" w:hAnsi="宋体" w:cs="宋体"/>
          <w:color w:val="auto"/>
          <w:kern w:val="0"/>
          <w:highlight w:val="none"/>
        </w:rPr>
        <w:t>生产</w:t>
      </w:r>
      <w:r>
        <w:rPr>
          <w:rFonts w:hAnsi="宋体" w:cs="宋体"/>
          <w:color w:val="auto"/>
          <w:kern w:val="0"/>
          <w:highlight w:val="none"/>
        </w:rPr>
        <w:t>费的约定：</w:t>
      </w:r>
    </w:p>
    <w:p>
      <w:pPr>
        <w:autoSpaceDE w:val="0"/>
        <w:autoSpaceDN w:val="0"/>
        <w:adjustRightInd w:val="0"/>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rFonts w:hAnsi="宋体"/>
          <w:color w:val="auto"/>
          <w:kern w:val="0"/>
          <w:highlight w:val="none"/>
        </w:rPr>
        <w:t>1</w:t>
      </w:r>
      <w:r>
        <w:rPr>
          <w:rFonts w:hint="eastAsia" w:hAnsi="宋体" w:cs="宋体"/>
          <w:color w:val="auto"/>
          <w:kern w:val="0"/>
          <w:highlight w:val="none"/>
        </w:rPr>
        <w:t>）本合同价款已包含安全文明施工费</w:t>
      </w:r>
      <w:r>
        <w:rPr>
          <w:rFonts w:hAnsi="宋体"/>
          <w:color w:val="auto"/>
          <w:kern w:val="0"/>
          <w:highlight w:val="none"/>
          <w:u w:val="single"/>
        </w:rPr>
        <w:t xml:space="preserve">           </w:t>
      </w:r>
      <w:r>
        <w:rPr>
          <w:rFonts w:hint="eastAsia" w:hAnsi="宋体" w:cs="宋体"/>
          <w:color w:val="auto"/>
          <w:kern w:val="0"/>
          <w:highlight w:val="none"/>
        </w:rPr>
        <w:t>元。</w:t>
      </w:r>
    </w:p>
    <w:p>
      <w:pPr>
        <w:autoSpaceDE w:val="0"/>
        <w:autoSpaceDN w:val="0"/>
        <w:adjustRightInd w:val="0"/>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rFonts w:hAnsi="宋体"/>
          <w:color w:val="auto"/>
          <w:kern w:val="0"/>
          <w:highlight w:val="none"/>
        </w:rPr>
        <w:t>2</w:t>
      </w:r>
      <w:r>
        <w:rPr>
          <w:rFonts w:hint="eastAsia" w:hAnsi="宋体" w:cs="宋体"/>
          <w:color w:val="auto"/>
          <w:kern w:val="0"/>
          <w:highlight w:val="none"/>
        </w:rPr>
        <w:t>）使用要求：专款专用。具体按</w:t>
      </w:r>
      <w:r>
        <w:rPr>
          <w:rFonts w:hint="eastAsia" w:hAnsi="宋体" w:cs="宋体"/>
          <w:color w:val="auto"/>
          <w:kern w:val="0"/>
          <w:highlight w:val="none"/>
          <w:u w:val="single"/>
        </w:rPr>
        <w:t>《广西壮族自治区建设工程安全文明施工费使用管理细则》（桂建质〔</w:t>
      </w:r>
      <w:r>
        <w:rPr>
          <w:rFonts w:hAnsi="宋体"/>
          <w:color w:val="auto"/>
          <w:kern w:val="0"/>
          <w:highlight w:val="none"/>
          <w:u w:val="single"/>
        </w:rPr>
        <w:t>2015</w:t>
      </w:r>
      <w:r>
        <w:rPr>
          <w:rFonts w:hint="eastAsia" w:hAnsi="宋体" w:cs="宋体"/>
          <w:color w:val="auto"/>
          <w:kern w:val="0"/>
          <w:highlight w:val="none"/>
          <w:u w:val="single"/>
        </w:rPr>
        <w:t>〕</w:t>
      </w:r>
      <w:r>
        <w:rPr>
          <w:rFonts w:hAnsi="宋体"/>
          <w:color w:val="auto"/>
          <w:kern w:val="0"/>
          <w:highlight w:val="none"/>
          <w:u w:val="single"/>
        </w:rPr>
        <w:t>16</w:t>
      </w:r>
      <w:r>
        <w:rPr>
          <w:rFonts w:hint="eastAsia" w:hAnsi="宋体" w:cs="宋体"/>
          <w:color w:val="auto"/>
          <w:kern w:val="0"/>
          <w:highlight w:val="none"/>
          <w:u w:val="single"/>
        </w:rPr>
        <w:t>号）</w:t>
      </w:r>
      <w:r>
        <w:rPr>
          <w:rFonts w:hint="eastAsia" w:hAnsi="宋体" w:cs="宋体"/>
          <w:color w:val="auto"/>
          <w:kern w:val="0"/>
          <w:highlight w:val="none"/>
        </w:rPr>
        <w:t>和</w:t>
      </w:r>
      <w:r>
        <w:rPr>
          <w:rFonts w:hint="eastAsia" w:ascii="宋体" w:hAnsi="宋体"/>
          <w:color w:val="auto"/>
          <w:highlight w:val="none"/>
          <w:u w:val="single"/>
        </w:rPr>
        <w:t>本工程所在地</w:t>
      </w:r>
      <w:r>
        <w:rPr>
          <w:rFonts w:hint="eastAsia" w:hAnsi="宋体" w:cs="宋体"/>
          <w:color w:val="auto"/>
          <w:kern w:val="0"/>
          <w:highlight w:val="none"/>
        </w:rPr>
        <w:t>相关规定执行。</w:t>
      </w:r>
    </w:p>
    <w:p>
      <w:pPr>
        <w:autoSpaceDE w:val="0"/>
        <w:autoSpaceDN w:val="0"/>
        <w:adjustRightInd w:val="0"/>
        <w:spacing w:line="360" w:lineRule="auto"/>
        <w:ind w:firstLine="420" w:firstLineChars="200"/>
        <w:jc w:val="left"/>
        <w:rPr>
          <w:rFonts w:hAnsi="宋体" w:cs="宋体"/>
          <w:color w:val="auto"/>
          <w:kern w:val="0"/>
          <w:highlight w:val="none"/>
        </w:rPr>
      </w:pPr>
    </w:p>
    <w:p>
      <w:pPr>
        <w:pStyle w:val="5"/>
        <w:rPr>
          <w:color w:val="auto"/>
          <w:highlight w:val="none"/>
        </w:rPr>
      </w:pPr>
      <w:bookmarkStart w:id="736" w:name="_Toc373227721"/>
      <w:bookmarkStart w:id="737" w:name="_Toc5500"/>
      <w:bookmarkStart w:id="738" w:name="_Toc373478368"/>
      <w:bookmarkStart w:id="739" w:name="_Toc66186427"/>
      <w:bookmarkStart w:id="740" w:name="_Toc407135223"/>
      <w:bookmarkStart w:id="741" w:name="_Toc389065287"/>
      <w:r>
        <w:rPr>
          <w:color w:val="auto"/>
          <w:highlight w:val="none"/>
        </w:rPr>
        <w:t xml:space="preserve">6.3 </w:t>
      </w:r>
      <w:r>
        <w:rPr>
          <w:rFonts w:hint="eastAsia" w:hAnsi="宋体" w:cs="黑体"/>
          <w:color w:val="auto"/>
          <w:highlight w:val="none"/>
        </w:rPr>
        <w:t>环境保护</w:t>
      </w:r>
      <w:bookmarkEnd w:id="736"/>
      <w:bookmarkEnd w:id="737"/>
      <w:bookmarkEnd w:id="738"/>
      <w:bookmarkEnd w:id="739"/>
      <w:bookmarkEnd w:id="740"/>
      <w:bookmarkEnd w:id="741"/>
    </w:p>
    <w:p>
      <w:pPr>
        <w:spacing w:line="360" w:lineRule="auto"/>
        <w:ind w:firstLine="420" w:firstLineChars="200"/>
        <w:jc w:val="left"/>
        <w:rPr>
          <w:color w:val="auto"/>
          <w:highlight w:val="none"/>
          <w:u w:val="single"/>
        </w:rPr>
      </w:pPr>
      <w:r>
        <w:rPr>
          <w:rFonts w:hint="eastAsia" w:hAnsi="宋体" w:cs="宋体"/>
          <w:color w:val="auto"/>
          <w:highlight w:val="none"/>
          <w:u w:val="single"/>
        </w:rPr>
        <w:t>因施工需要，经发包人批准，由承包人办理有关施工场地交通、环卫和施工噪音管理等手续，费用由承包人负责。</w:t>
      </w:r>
    </w:p>
    <w:p>
      <w:pPr>
        <w:spacing w:line="360" w:lineRule="auto"/>
        <w:ind w:firstLine="420" w:firstLineChars="200"/>
        <w:jc w:val="left"/>
        <w:rPr>
          <w:color w:val="auto"/>
          <w:highlight w:val="none"/>
          <w:u w:val="single"/>
        </w:rPr>
      </w:pPr>
      <w:r>
        <w:rPr>
          <w:rFonts w:hint="eastAsia" w:hAnsi="宋体" w:cs="宋体"/>
          <w:color w:val="auto"/>
          <w:highlight w:val="none"/>
          <w:u w:val="single"/>
        </w:rPr>
        <w:t>经过城市道路的施工车辆，必须按交警、城管、运输等部门相关规定执行。由于施工车辆造成的道路、环境等污染，其责任和费用均由承包人承担。</w:t>
      </w:r>
    </w:p>
    <w:bookmarkEnd w:id="716"/>
    <w:bookmarkEnd w:id="717"/>
    <w:bookmarkEnd w:id="718"/>
    <w:bookmarkEnd w:id="719"/>
    <w:bookmarkEnd w:id="720"/>
    <w:bookmarkEnd w:id="721"/>
    <w:bookmarkEnd w:id="722"/>
    <w:p>
      <w:pPr>
        <w:pStyle w:val="4"/>
        <w:rPr>
          <w:color w:val="auto"/>
          <w:highlight w:val="none"/>
        </w:rPr>
      </w:pPr>
      <w:bookmarkStart w:id="742" w:name="_Toc407135224"/>
      <w:bookmarkStart w:id="743" w:name="_Toc351203639"/>
      <w:bookmarkStart w:id="744" w:name="_Toc373227722"/>
      <w:bookmarkStart w:id="745" w:name="_Toc373478369"/>
      <w:bookmarkStart w:id="746" w:name="_Toc12259"/>
      <w:bookmarkStart w:id="747" w:name="_Toc389065288"/>
      <w:bookmarkStart w:id="748" w:name="_Toc66186428"/>
      <w:r>
        <w:rPr>
          <w:color w:val="auto"/>
          <w:highlight w:val="none"/>
        </w:rPr>
        <w:t xml:space="preserve">7. </w:t>
      </w:r>
      <w:r>
        <w:rPr>
          <w:rFonts w:hint="eastAsia" w:cs="黑体"/>
          <w:color w:val="auto"/>
          <w:highlight w:val="none"/>
        </w:rPr>
        <w:t>工期和进度</w:t>
      </w:r>
      <w:bookmarkEnd w:id="742"/>
      <w:bookmarkEnd w:id="743"/>
      <w:bookmarkEnd w:id="744"/>
      <w:bookmarkEnd w:id="745"/>
      <w:bookmarkEnd w:id="746"/>
      <w:bookmarkEnd w:id="747"/>
      <w:bookmarkEnd w:id="748"/>
    </w:p>
    <w:p>
      <w:pPr>
        <w:pStyle w:val="5"/>
        <w:rPr>
          <w:color w:val="auto"/>
          <w:highlight w:val="none"/>
        </w:rPr>
      </w:pPr>
      <w:bookmarkStart w:id="749" w:name="_Toc373227723"/>
      <w:bookmarkStart w:id="750" w:name="_Toc407135225"/>
      <w:bookmarkStart w:id="751" w:name="_Toc389065289"/>
      <w:bookmarkStart w:id="752" w:name="_Toc21691"/>
      <w:bookmarkStart w:id="753" w:name="_Toc66186429"/>
      <w:bookmarkStart w:id="754" w:name="_Toc373478370"/>
      <w:r>
        <w:rPr>
          <w:color w:val="auto"/>
          <w:highlight w:val="none"/>
        </w:rPr>
        <w:t xml:space="preserve">7.1 </w:t>
      </w:r>
      <w:r>
        <w:rPr>
          <w:rFonts w:hint="eastAsia" w:cs="黑体"/>
          <w:color w:val="auto"/>
          <w:highlight w:val="none"/>
        </w:rPr>
        <w:t>施工组织设计</w:t>
      </w:r>
      <w:bookmarkEnd w:id="749"/>
      <w:bookmarkEnd w:id="750"/>
      <w:bookmarkEnd w:id="751"/>
      <w:bookmarkEnd w:id="752"/>
      <w:bookmarkEnd w:id="753"/>
      <w:bookmarkEnd w:id="754"/>
    </w:p>
    <w:p>
      <w:pPr>
        <w:pStyle w:val="133"/>
        <w:wordWrap w:val="0"/>
        <w:autoSpaceDE w:val="0"/>
        <w:autoSpaceDN w:val="0"/>
        <w:adjustRightInd w:val="0"/>
        <w:spacing w:line="360" w:lineRule="auto"/>
        <w:ind w:firstLine="420" w:firstLineChars="200"/>
        <w:jc w:val="left"/>
        <w:rPr>
          <w:rFonts w:ascii="Times New Roman" w:hAnsi="Times New Roman"/>
          <w:color w:val="auto"/>
          <w:szCs w:val="21"/>
          <w:highlight w:val="none"/>
          <w:u w:val="single"/>
        </w:rPr>
      </w:pPr>
      <w:r>
        <w:rPr>
          <w:color w:val="auto"/>
          <w:highlight w:val="none"/>
        </w:rPr>
        <w:t xml:space="preserve">7.1.1 </w:t>
      </w:r>
      <w:r>
        <w:rPr>
          <w:rFonts w:hint="eastAsia" w:hAnsi="宋体" w:cs="宋体"/>
          <w:color w:val="auto"/>
          <w:highlight w:val="none"/>
        </w:rPr>
        <w:t>合</w:t>
      </w:r>
      <w:r>
        <w:rPr>
          <w:rFonts w:hint="eastAsia" w:hAnsi="宋体" w:cs="宋体"/>
          <w:color w:val="auto"/>
          <w:kern w:val="0"/>
          <w:highlight w:val="none"/>
        </w:rPr>
        <w:t>同当事人约定的施工组织设计应包括的其他内容：</w:t>
      </w:r>
      <w:r>
        <w:rPr>
          <w:rFonts w:ascii="Times New Roman" w:hAnsi="Times New Roman"/>
          <w:color w:val="auto"/>
          <w:kern w:val="0"/>
          <w:szCs w:val="21"/>
          <w:highlight w:val="none"/>
          <w:u w:val="single"/>
        </w:rPr>
        <w:t>根据国家工期定额和使用需要，确定工程总工期为天（日历日），开工时间以开工报告约定的时间为准，竣工时间以工程具备验收条件为准。</w:t>
      </w:r>
    </w:p>
    <w:p>
      <w:pPr>
        <w:autoSpaceDE w:val="0"/>
        <w:autoSpaceDN w:val="0"/>
        <w:adjustRightInd w:val="0"/>
        <w:spacing w:line="360" w:lineRule="auto"/>
        <w:ind w:firstLine="420" w:firstLineChars="200"/>
        <w:jc w:val="left"/>
        <w:rPr>
          <w:color w:val="auto"/>
          <w:kern w:val="0"/>
          <w:highlight w:val="none"/>
        </w:rPr>
      </w:pPr>
      <w:r>
        <w:rPr>
          <w:color w:val="auto"/>
          <w:highlight w:val="none"/>
        </w:rPr>
        <w:t xml:space="preserve">7.1.2 </w:t>
      </w:r>
      <w:r>
        <w:rPr>
          <w:rFonts w:hint="eastAsia" w:hAnsi="宋体" w:cs="宋体"/>
          <w:color w:val="auto"/>
          <w:kern w:val="0"/>
          <w:highlight w:val="none"/>
        </w:rPr>
        <w:t>施工组织设计的提交和修改</w:t>
      </w:r>
    </w:p>
    <w:p>
      <w:pPr>
        <w:autoSpaceDE w:val="0"/>
        <w:autoSpaceDN w:val="0"/>
        <w:adjustRightInd w:val="0"/>
        <w:spacing w:line="360" w:lineRule="auto"/>
        <w:ind w:firstLine="420" w:firstLineChars="200"/>
        <w:jc w:val="left"/>
        <w:rPr>
          <w:color w:val="auto"/>
          <w:highlight w:val="none"/>
          <w:u w:val="single"/>
        </w:rPr>
      </w:pPr>
      <w:r>
        <w:rPr>
          <w:rFonts w:hint="eastAsia" w:hAnsi="宋体" w:cs="宋体"/>
          <w:color w:val="auto"/>
          <w:kern w:val="0"/>
          <w:highlight w:val="none"/>
        </w:rPr>
        <w:t>承包人提交详细施工组织设计的期限的约定：</w:t>
      </w:r>
      <w:r>
        <w:rPr>
          <w:color w:val="auto"/>
          <w:highlight w:val="none"/>
          <w:u w:val="single"/>
        </w:rPr>
        <w:t>合同签订后七天内</w:t>
      </w:r>
      <w:r>
        <w:rPr>
          <w:rFonts w:hint="eastAsia" w:hAnsi="宋体" w:cs="宋体"/>
          <w:color w:val="auto"/>
          <w:highlight w:val="none"/>
        </w:rPr>
        <w:t>。</w:t>
      </w:r>
    </w:p>
    <w:p>
      <w:pPr>
        <w:spacing w:line="360" w:lineRule="auto"/>
        <w:ind w:firstLine="420" w:firstLineChars="200"/>
        <w:jc w:val="left"/>
        <w:rPr>
          <w:color w:val="auto"/>
          <w:highlight w:val="none"/>
        </w:rPr>
      </w:pPr>
      <w:r>
        <w:rPr>
          <w:rFonts w:hint="eastAsia" w:hAnsi="宋体" w:cs="宋体"/>
          <w:color w:val="auto"/>
          <w:highlight w:val="none"/>
        </w:rPr>
        <w:t>发包人和监理人在收到详细的施工组织设计后确认或提出修改意见的期限：</w:t>
      </w:r>
      <w:r>
        <w:rPr>
          <w:color w:val="auto"/>
          <w:highlight w:val="none"/>
          <w:u w:val="single"/>
        </w:rPr>
        <w:t>收到后7天内</w:t>
      </w:r>
      <w:r>
        <w:rPr>
          <w:rFonts w:hint="eastAsia" w:hAnsi="宋体" w:cs="宋体"/>
          <w:color w:val="auto"/>
          <w:highlight w:val="none"/>
        </w:rPr>
        <w:t>。</w:t>
      </w:r>
    </w:p>
    <w:p>
      <w:pPr>
        <w:pStyle w:val="5"/>
        <w:rPr>
          <w:color w:val="auto"/>
          <w:highlight w:val="none"/>
        </w:rPr>
      </w:pPr>
      <w:bookmarkStart w:id="755" w:name="_Toc66186430"/>
      <w:bookmarkStart w:id="756" w:name="_Toc373478371"/>
      <w:bookmarkStart w:id="757" w:name="_Toc389065290"/>
      <w:bookmarkStart w:id="758" w:name="_Toc407135226"/>
      <w:bookmarkStart w:id="759" w:name="_Toc373227724"/>
      <w:bookmarkStart w:id="760" w:name="_Toc6846"/>
      <w:r>
        <w:rPr>
          <w:color w:val="auto"/>
          <w:highlight w:val="none"/>
        </w:rPr>
        <w:t>7</w:t>
      </w:r>
      <w:bookmarkStart w:id="761" w:name="_Toc303539123"/>
      <w:bookmarkStart w:id="762" w:name="_Toc297216173"/>
      <w:bookmarkStart w:id="763" w:name="_Toc304295541"/>
      <w:bookmarkStart w:id="764" w:name="_Toc312677479"/>
      <w:bookmarkStart w:id="765" w:name="_Toc312678005"/>
      <w:bookmarkStart w:id="766" w:name="_Toc297123514"/>
      <w:bookmarkStart w:id="767" w:name="_Toc300934966"/>
      <w:r>
        <w:rPr>
          <w:color w:val="auto"/>
          <w:highlight w:val="none"/>
        </w:rPr>
        <w:t xml:space="preserve">.2 </w:t>
      </w:r>
      <w:r>
        <w:rPr>
          <w:rFonts w:hint="eastAsia" w:cs="黑体"/>
          <w:color w:val="auto"/>
          <w:highlight w:val="none"/>
        </w:rPr>
        <w:t>施工进度计划</w:t>
      </w:r>
      <w:bookmarkEnd w:id="755"/>
      <w:bookmarkEnd w:id="756"/>
      <w:bookmarkEnd w:id="757"/>
      <w:bookmarkEnd w:id="758"/>
      <w:bookmarkEnd w:id="759"/>
      <w:bookmarkEnd w:id="760"/>
    </w:p>
    <w:p>
      <w:pPr>
        <w:spacing w:line="360" w:lineRule="auto"/>
        <w:ind w:firstLine="420" w:firstLineChars="200"/>
        <w:jc w:val="left"/>
        <w:rPr>
          <w:color w:val="auto"/>
          <w:highlight w:val="none"/>
        </w:rPr>
      </w:pPr>
      <w:r>
        <w:rPr>
          <w:color w:val="auto"/>
          <w:highlight w:val="none"/>
        </w:rPr>
        <w:t xml:space="preserve">7.2.2 </w:t>
      </w:r>
      <w:r>
        <w:rPr>
          <w:rFonts w:hint="eastAsia" w:hAnsi="宋体" w:cs="宋体"/>
          <w:color w:val="auto"/>
          <w:highlight w:val="none"/>
        </w:rPr>
        <w:t>施工进度计划的修订</w:t>
      </w:r>
    </w:p>
    <w:p>
      <w:pPr>
        <w:spacing w:line="360" w:lineRule="auto"/>
        <w:ind w:firstLine="420" w:firstLineChars="200"/>
        <w:jc w:val="left"/>
        <w:rPr>
          <w:color w:val="auto"/>
          <w:highlight w:val="none"/>
        </w:rPr>
      </w:pPr>
      <w:r>
        <w:rPr>
          <w:rFonts w:hint="eastAsia" w:hAnsi="宋体" w:cs="宋体"/>
          <w:color w:val="auto"/>
          <w:highlight w:val="none"/>
        </w:rPr>
        <w:t>发包人和监理人在收到修订的施工进度计划后确认或提出修改意见的期限：</w:t>
      </w:r>
      <w:r>
        <w:rPr>
          <w:color w:val="auto"/>
          <w:highlight w:val="none"/>
          <w:u w:val="single"/>
        </w:rPr>
        <w:t>收到后15天内</w:t>
      </w:r>
      <w:r>
        <w:rPr>
          <w:rFonts w:hint="eastAsia" w:hAnsi="宋体" w:cs="宋体"/>
          <w:color w:val="auto"/>
          <w:highlight w:val="none"/>
        </w:rPr>
        <w:t>。</w:t>
      </w:r>
    </w:p>
    <w:p>
      <w:pPr>
        <w:pStyle w:val="5"/>
        <w:rPr>
          <w:color w:val="auto"/>
          <w:highlight w:val="none"/>
        </w:rPr>
      </w:pPr>
      <w:bookmarkStart w:id="768" w:name="_Toc373478372"/>
      <w:bookmarkStart w:id="769" w:name="_Toc14596"/>
      <w:bookmarkStart w:id="770" w:name="_Toc407135227"/>
      <w:bookmarkStart w:id="771" w:name="_Toc389065291"/>
      <w:bookmarkStart w:id="772" w:name="_Toc373227725"/>
      <w:bookmarkStart w:id="773" w:name="_Toc66186431"/>
      <w:r>
        <w:rPr>
          <w:color w:val="auto"/>
          <w:highlight w:val="none"/>
        </w:rPr>
        <w:t xml:space="preserve">7.3 </w:t>
      </w:r>
      <w:r>
        <w:rPr>
          <w:rFonts w:hint="eastAsia" w:cs="黑体"/>
          <w:color w:val="auto"/>
          <w:highlight w:val="none"/>
        </w:rPr>
        <w:t>开工</w:t>
      </w:r>
      <w:bookmarkEnd w:id="768"/>
      <w:bookmarkEnd w:id="769"/>
      <w:bookmarkEnd w:id="770"/>
      <w:bookmarkEnd w:id="771"/>
      <w:bookmarkEnd w:id="772"/>
      <w:bookmarkEnd w:id="773"/>
    </w:p>
    <w:p>
      <w:pPr>
        <w:spacing w:line="360" w:lineRule="auto"/>
        <w:ind w:firstLine="420" w:firstLineChars="200"/>
        <w:jc w:val="left"/>
        <w:rPr>
          <w:color w:val="auto"/>
          <w:highlight w:val="none"/>
        </w:rPr>
      </w:pPr>
      <w:r>
        <w:rPr>
          <w:color w:val="auto"/>
          <w:highlight w:val="none"/>
        </w:rPr>
        <w:t xml:space="preserve">7.3.1 </w:t>
      </w:r>
      <w:r>
        <w:rPr>
          <w:rFonts w:hint="eastAsia" w:hAnsi="宋体" w:cs="宋体"/>
          <w:color w:val="auto"/>
          <w:highlight w:val="none"/>
        </w:rPr>
        <w:t>开工准备</w:t>
      </w:r>
    </w:p>
    <w:p>
      <w:pPr>
        <w:spacing w:line="360" w:lineRule="auto"/>
        <w:ind w:firstLine="426"/>
        <w:jc w:val="left"/>
        <w:rPr>
          <w:color w:val="auto"/>
          <w:highlight w:val="none"/>
          <w:u w:val="single"/>
        </w:rPr>
      </w:pPr>
      <w:r>
        <w:rPr>
          <w:rFonts w:hint="eastAsia" w:hAnsi="宋体" w:cs="宋体"/>
          <w:color w:val="auto"/>
          <w:highlight w:val="none"/>
        </w:rPr>
        <w:t>关于承包人提交</w:t>
      </w:r>
      <w:r>
        <w:rPr>
          <w:rFonts w:hint="eastAsia" w:hAnsi="宋体" w:cs="宋体"/>
          <w:color w:val="auto"/>
          <w:kern w:val="0"/>
          <w:highlight w:val="none"/>
        </w:rPr>
        <w:t>工程开工报审表的期限：</w:t>
      </w:r>
      <w:r>
        <w:rPr>
          <w:color w:val="auto"/>
          <w:highlight w:val="none"/>
          <w:u w:val="single"/>
        </w:rPr>
        <w:t>开工前7天</w:t>
      </w:r>
      <w:r>
        <w:rPr>
          <w:rFonts w:hint="eastAsia" w:hAnsi="宋体" w:cs="宋体"/>
          <w:color w:val="auto"/>
          <w:highlight w:val="none"/>
        </w:rPr>
        <w:t>。</w:t>
      </w:r>
    </w:p>
    <w:p>
      <w:pPr>
        <w:spacing w:line="360" w:lineRule="auto"/>
        <w:ind w:firstLine="426"/>
        <w:jc w:val="left"/>
        <w:rPr>
          <w:color w:val="auto"/>
          <w:highlight w:val="none"/>
          <w:u w:val="single"/>
        </w:rPr>
      </w:pPr>
      <w:r>
        <w:rPr>
          <w:rFonts w:hint="eastAsia" w:hAnsi="宋体" w:cs="宋体"/>
          <w:color w:val="auto"/>
          <w:highlight w:val="none"/>
        </w:rPr>
        <w:t>关于发包人应完成的其他开工准备工作及期限：</w:t>
      </w:r>
      <w:r>
        <w:rPr>
          <w:color w:val="auto"/>
          <w:highlight w:val="none"/>
          <w:u w:val="single"/>
        </w:rPr>
        <w:t>①开工前14天完成施工现场 “三通一平”工作，并满足施工要求；②开工前7天内发包人确定施工用水、用电接入点； ③按监理核批的施工组织设计，开工前7天内由承包方完成施工临时道路的修建，并承担修建费用④开工前7天内将工程管线的资料提供给承包人并确保图纸的准确性、有效性及完整性，如因图纸有误造成的损失由发包人承担及由此产生的相关费用；⑤开工前7天内由发包人办理的施工所需证件、批件，因发包人证件资料不齐全，无法办理导致工程无法顺利进行，工期相应顺延；⑥开工前组织承包人和设计单位进行图纸会审，并由设计单位向承包人进行设计交底</w:t>
      </w:r>
      <w:r>
        <w:rPr>
          <w:rFonts w:hint="eastAsia" w:hAnsi="宋体" w:cs="宋体"/>
          <w:color w:val="auto"/>
          <w:highlight w:val="none"/>
        </w:rPr>
        <w:t>。</w:t>
      </w:r>
    </w:p>
    <w:p>
      <w:pPr>
        <w:spacing w:line="360" w:lineRule="auto"/>
        <w:ind w:firstLine="420" w:firstLineChars="200"/>
        <w:jc w:val="left"/>
        <w:rPr>
          <w:color w:val="auto"/>
          <w:highlight w:val="none"/>
          <w:u w:val="single"/>
        </w:rPr>
      </w:pPr>
      <w:r>
        <w:rPr>
          <w:rFonts w:hint="eastAsia" w:hAnsi="宋体" w:cs="宋体"/>
          <w:color w:val="auto"/>
          <w:highlight w:val="none"/>
        </w:rPr>
        <w:t>关于承包人应完成的其他开工准备工作及期限：</w:t>
      </w:r>
      <w:r>
        <w:rPr>
          <w:color w:val="auto"/>
          <w:highlight w:val="none"/>
          <w:u w:val="single"/>
        </w:rPr>
        <w:t>施工机械设备、材料进场、人员配备、测量定点放线等工作在开工前7天完成</w:t>
      </w:r>
      <w:r>
        <w:rPr>
          <w:rFonts w:hint="eastAsia" w:hAnsi="宋体" w:cs="宋体"/>
          <w:color w:val="auto"/>
          <w:highlight w:val="none"/>
        </w:rPr>
        <w:t>。</w:t>
      </w:r>
    </w:p>
    <w:p>
      <w:pPr>
        <w:spacing w:line="360" w:lineRule="auto"/>
        <w:ind w:firstLine="420" w:firstLineChars="200"/>
        <w:jc w:val="left"/>
        <w:rPr>
          <w:color w:val="auto"/>
          <w:highlight w:val="none"/>
        </w:rPr>
      </w:pPr>
      <w:r>
        <w:rPr>
          <w:color w:val="auto"/>
          <w:highlight w:val="none"/>
        </w:rPr>
        <w:t xml:space="preserve">7.3.2 </w:t>
      </w:r>
      <w:r>
        <w:rPr>
          <w:rFonts w:hint="eastAsia" w:hAnsi="宋体" w:cs="宋体"/>
          <w:color w:val="auto"/>
          <w:highlight w:val="none"/>
        </w:rPr>
        <w:t>开工通知</w:t>
      </w:r>
    </w:p>
    <w:p>
      <w:pPr>
        <w:spacing w:line="360" w:lineRule="auto"/>
        <w:ind w:firstLine="420" w:firstLineChars="200"/>
        <w:jc w:val="left"/>
        <w:rPr>
          <w:color w:val="auto"/>
          <w:highlight w:val="none"/>
        </w:rPr>
      </w:pPr>
      <w:r>
        <w:rPr>
          <w:rFonts w:hint="eastAsia" w:hAnsi="宋体" w:cs="宋体"/>
          <w:color w:val="auto"/>
          <w:highlight w:val="none"/>
        </w:rPr>
        <w:t>因发包人原因造成监理人未能在计划开工日期之日起</w:t>
      </w:r>
      <w:r>
        <w:rPr>
          <w:rFonts w:hint="eastAsia" w:ascii="宋体" w:hAnsi="宋体"/>
          <w:color w:val="auto"/>
          <w:highlight w:val="none"/>
          <w:u w:val="single"/>
        </w:rPr>
        <w:t xml:space="preserve"> </w:t>
      </w:r>
      <w:r>
        <w:rPr>
          <w:rFonts w:ascii="宋体" w:hAnsi="宋体"/>
          <w:color w:val="auto"/>
          <w:highlight w:val="none"/>
          <w:u w:val="single"/>
        </w:rPr>
        <w:t>90</w:t>
      </w:r>
      <w:r>
        <w:rPr>
          <w:rFonts w:hint="eastAsia" w:ascii="宋体" w:hAnsi="宋体"/>
          <w:color w:val="auto"/>
          <w:highlight w:val="none"/>
          <w:u w:val="single"/>
        </w:rPr>
        <w:t xml:space="preserve"> </w:t>
      </w:r>
      <w:r>
        <w:rPr>
          <w:rFonts w:hint="eastAsia" w:hAnsi="宋体" w:cs="宋体"/>
          <w:color w:val="auto"/>
          <w:highlight w:val="none"/>
        </w:rPr>
        <w:t>天内发出开工通知的，承包人有权提出价格调整要求，或者解除合同。</w:t>
      </w:r>
    </w:p>
    <w:bookmarkEnd w:id="761"/>
    <w:bookmarkEnd w:id="762"/>
    <w:bookmarkEnd w:id="763"/>
    <w:bookmarkEnd w:id="764"/>
    <w:bookmarkEnd w:id="765"/>
    <w:bookmarkEnd w:id="766"/>
    <w:bookmarkEnd w:id="767"/>
    <w:p>
      <w:pPr>
        <w:pStyle w:val="5"/>
        <w:rPr>
          <w:color w:val="auto"/>
          <w:highlight w:val="none"/>
        </w:rPr>
      </w:pPr>
      <w:bookmarkStart w:id="774" w:name="_Toc407135228"/>
      <w:bookmarkStart w:id="775" w:name="_Toc389065292"/>
      <w:bookmarkStart w:id="776" w:name="_Toc9075"/>
      <w:bookmarkStart w:id="777" w:name="_Toc373227726"/>
      <w:bookmarkStart w:id="778" w:name="_Toc373478373"/>
      <w:bookmarkStart w:id="779" w:name="_Toc66186432"/>
      <w:r>
        <w:rPr>
          <w:color w:val="auto"/>
          <w:highlight w:val="none"/>
        </w:rPr>
        <w:t xml:space="preserve">7.4 </w:t>
      </w:r>
      <w:r>
        <w:rPr>
          <w:rFonts w:hint="eastAsia" w:hAnsi="宋体" w:cs="黑体"/>
          <w:color w:val="auto"/>
          <w:highlight w:val="none"/>
        </w:rPr>
        <w:t>测量放线</w:t>
      </w:r>
      <w:bookmarkEnd w:id="774"/>
      <w:bookmarkEnd w:id="775"/>
      <w:bookmarkEnd w:id="776"/>
      <w:bookmarkEnd w:id="777"/>
      <w:bookmarkEnd w:id="778"/>
      <w:bookmarkEnd w:id="779"/>
    </w:p>
    <w:p>
      <w:pPr>
        <w:spacing w:line="360" w:lineRule="auto"/>
        <w:ind w:firstLine="420" w:firstLineChars="200"/>
        <w:jc w:val="left"/>
        <w:rPr>
          <w:rFonts w:hAnsi="宋体"/>
          <w:color w:val="auto"/>
          <w:highlight w:val="none"/>
        </w:rPr>
      </w:pPr>
      <w:r>
        <w:rPr>
          <w:color w:val="auto"/>
          <w:highlight w:val="none"/>
        </w:rPr>
        <w:t>7.4.1</w:t>
      </w:r>
      <w:r>
        <w:rPr>
          <w:rFonts w:hint="eastAsia" w:hAnsi="宋体" w:cs="宋体"/>
          <w:color w:val="auto"/>
          <w:highlight w:val="none"/>
        </w:rPr>
        <w:t>发包人通过监理人向承包人提供测量基准点、基准线和水准点及其书面资料的期限：</w:t>
      </w:r>
    </w:p>
    <w:p>
      <w:pPr>
        <w:spacing w:line="360" w:lineRule="auto"/>
        <w:jc w:val="left"/>
        <w:rPr>
          <w:color w:val="auto"/>
          <w:highlight w:val="none"/>
          <w:u w:val="single"/>
        </w:rPr>
      </w:pPr>
      <w:r>
        <w:rPr>
          <w:rFonts w:hint="eastAsia" w:ascii="宋体" w:hAnsi="宋体"/>
          <w:color w:val="auto"/>
          <w:highlight w:val="none"/>
          <w:u w:val="single"/>
        </w:rPr>
        <w:t>开工前七天，以书面形式交给承包人，双方现场进行交验</w:t>
      </w:r>
      <w:r>
        <w:rPr>
          <w:rFonts w:hint="eastAsia" w:hAnsi="宋体" w:cs="宋体"/>
          <w:color w:val="auto"/>
          <w:highlight w:val="none"/>
        </w:rPr>
        <w:t>。</w:t>
      </w:r>
    </w:p>
    <w:p>
      <w:pPr>
        <w:pStyle w:val="5"/>
        <w:rPr>
          <w:color w:val="auto"/>
          <w:highlight w:val="none"/>
        </w:rPr>
      </w:pPr>
      <w:bookmarkStart w:id="780" w:name="_Toc66186433"/>
      <w:bookmarkStart w:id="781" w:name="_Toc373478374"/>
      <w:bookmarkStart w:id="782" w:name="_Toc4563"/>
      <w:bookmarkStart w:id="783" w:name="_Toc389065293"/>
      <w:bookmarkStart w:id="784" w:name="_Toc373227727"/>
      <w:bookmarkStart w:id="785" w:name="_Toc407135229"/>
      <w:r>
        <w:rPr>
          <w:color w:val="auto"/>
          <w:highlight w:val="none"/>
        </w:rPr>
        <w:t>7</w:t>
      </w:r>
      <w:bookmarkStart w:id="786" w:name="_Toc312678010"/>
      <w:bookmarkStart w:id="787" w:name="_Toc312677484"/>
      <w:bookmarkStart w:id="788" w:name="_Toc300934968"/>
      <w:bookmarkStart w:id="789" w:name="_Toc297123516"/>
      <w:bookmarkStart w:id="790" w:name="_Toc297216175"/>
      <w:bookmarkStart w:id="791" w:name="_Toc303539125"/>
      <w:bookmarkStart w:id="792" w:name="_Toc304295546"/>
      <w:r>
        <w:rPr>
          <w:color w:val="auto"/>
          <w:highlight w:val="none"/>
        </w:rPr>
        <w:t xml:space="preserve">.5 </w:t>
      </w:r>
      <w:r>
        <w:rPr>
          <w:rFonts w:hint="eastAsia" w:hAnsi="宋体" w:cs="黑体"/>
          <w:color w:val="auto"/>
          <w:highlight w:val="none"/>
        </w:rPr>
        <w:t>工期延误</w:t>
      </w:r>
      <w:bookmarkEnd w:id="780"/>
      <w:bookmarkEnd w:id="781"/>
      <w:bookmarkEnd w:id="782"/>
      <w:bookmarkEnd w:id="783"/>
      <w:bookmarkEnd w:id="784"/>
      <w:bookmarkEnd w:id="785"/>
    </w:p>
    <w:bookmarkEnd w:id="786"/>
    <w:bookmarkEnd w:id="787"/>
    <w:bookmarkEnd w:id="788"/>
    <w:bookmarkEnd w:id="789"/>
    <w:bookmarkEnd w:id="790"/>
    <w:bookmarkEnd w:id="791"/>
    <w:bookmarkEnd w:id="792"/>
    <w:p>
      <w:pPr>
        <w:spacing w:line="360" w:lineRule="auto"/>
        <w:ind w:firstLine="420" w:firstLineChars="200"/>
        <w:jc w:val="left"/>
        <w:rPr>
          <w:color w:val="auto"/>
          <w:highlight w:val="none"/>
        </w:rPr>
      </w:pPr>
      <w:r>
        <w:rPr>
          <w:color w:val="auto"/>
          <w:highlight w:val="none"/>
        </w:rPr>
        <w:t xml:space="preserve">7.5.1 </w:t>
      </w:r>
      <w:r>
        <w:rPr>
          <w:rFonts w:hint="eastAsia" w:hAnsi="宋体" w:cs="宋体"/>
          <w:color w:val="auto"/>
          <w:highlight w:val="none"/>
        </w:rPr>
        <w:t>因发包人原因导致工期延误</w:t>
      </w:r>
    </w:p>
    <w:p>
      <w:pPr>
        <w:spacing w:line="360" w:lineRule="auto"/>
        <w:ind w:firstLine="420" w:firstLineChars="200"/>
        <w:jc w:val="left"/>
        <w:rPr>
          <w:color w:val="auto"/>
          <w:highlight w:val="none"/>
          <w:u w:val="single"/>
        </w:rPr>
      </w:pPr>
      <w:r>
        <w:rPr>
          <w:rFonts w:hint="eastAsia" w:hAnsi="宋体" w:cs="宋体"/>
          <w:color w:val="auto"/>
          <w:highlight w:val="none"/>
        </w:rPr>
        <w:t>（</w:t>
      </w:r>
      <w:r>
        <w:rPr>
          <w:color w:val="auto"/>
          <w:highlight w:val="none"/>
        </w:rPr>
        <w:t>7</w:t>
      </w:r>
      <w:r>
        <w:rPr>
          <w:rFonts w:hint="eastAsia" w:hAnsi="宋体" w:cs="宋体"/>
          <w:color w:val="auto"/>
          <w:highlight w:val="none"/>
        </w:rPr>
        <w:t>）因发包人原因导致工期延误的其他情形：</w:t>
      </w:r>
      <w:r>
        <w:rPr>
          <w:rFonts w:hint="eastAsia" w:ascii="宋体" w:hAnsi="宋体" w:cs="宋体"/>
          <w:color w:val="auto"/>
          <w:highlight w:val="none"/>
          <w:u w:val="single"/>
        </w:rPr>
        <w:t>①重大图纸变更影响</w:t>
      </w:r>
      <w:r>
        <w:rPr>
          <w:rFonts w:hint="eastAsia" w:ascii="宋体" w:hAnsi="宋体" w:cs="宋体"/>
          <w:color w:val="auto"/>
          <w:highlight w:val="none"/>
          <w:u w:val="single"/>
          <w:lang w:eastAsia="zh-CN"/>
        </w:rPr>
        <w:t>关键</w:t>
      </w:r>
      <w:r>
        <w:rPr>
          <w:rFonts w:hint="eastAsia" w:ascii="宋体" w:hAnsi="宋体" w:cs="宋体"/>
          <w:color w:val="auto"/>
          <w:highlight w:val="none"/>
          <w:u w:val="single"/>
        </w:rPr>
        <w:t>线路工序施工；②施工期间如因停电、停水连续</w:t>
      </w:r>
      <w:r>
        <w:rPr>
          <w:rFonts w:ascii="宋体" w:hAnsi="宋体" w:cs="宋体"/>
          <w:color w:val="auto"/>
          <w:highlight w:val="none"/>
          <w:u w:val="single"/>
        </w:rPr>
        <w:t>8</w:t>
      </w:r>
      <w:r>
        <w:rPr>
          <w:rFonts w:hint="eastAsia" w:ascii="宋体" w:hAnsi="宋体" w:cs="宋体"/>
          <w:color w:val="auto"/>
          <w:highlight w:val="none"/>
          <w:u w:val="single"/>
        </w:rPr>
        <w:t>小时以上或一周内间歇性停水、停电累计</w:t>
      </w:r>
      <w:r>
        <w:rPr>
          <w:rFonts w:ascii="宋体" w:hAnsi="宋体" w:cs="宋体"/>
          <w:color w:val="auto"/>
          <w:highlight w:val="none"/>
          <w:u w:val="single"/>
        </w:rPr>
        <w:t>8</w:t>
      </w:r>
      <w:r>
        <w:rPr>
          <w:rFonts w:hint="eastAsia" w:ascii="宋体" w:hAnsi="宋体" w:cs="宋体"/>
          <w:color w:val="auto"/>
          <w:highlight w:val="none"/>
          <w:u w:val="single"/>
        </w:rPr>
        <w:t>小时（含</w:t>
      </w:r>
      <w:r>
        <w:rPr>
          <w:rFonts w:ascii="宋体" w:hAnsi="宋体" w:cs="宋体"/>
          <w:color w:val="auto"/>
          <w:highlight w:val="none"/>
          <w:u w:val="single"/>
        </w:rPr>
        <w:t>8</w:t>
      </w:r>
      <w:r>
        <w:rPr>
          <w:rFonts w:hint="eastAsia" w:ascii="宋体" w:hAnsi="宋体" w:cs="宋体"/>
          <w:color w:val="auto"/>
          <w:highlight w:val="none"/>
          <w:u w:val="single"/>
        </w:rPr>
        <w:t>小时）影响正常施工的。③政府指令性停工。④在施工过程中遇到地下障碍物、溶洞、岩石、文物或地下管线的。⑤因发包人未能及时确认变更价格或甲供材料提供延误的。⑥非承包人的责任造成的工期延误其他情形</w:t>
      </w:r>
      <w:r>
        <w:rPr>
          <w:rFonts w:hAnsi="宋体"/>
          <w:color w:val="auto"/>
          <w:highlight w:val="none"/>
        </w:rPr>
        <w:t xml:space="preserve"> </w:t>
      </w:r>
      <w:r>
        <w:rPr>
          <w:rFonts w:hint="eastAsia" w:hAnsi="宋体" w:cs="宋体"/>
          <w:color w:val="auto"/>
          <w:highlight w:val="none"/>
        </w:rPr>
        <w:t>。</w:t>
      </w:r>
    </w:p>
    <w:p>
      <w:pPr>
        <w:spacing w:line="360" w:lineRule="auto"/>
        <w:ind w:firstLine="420" w:firstLineChars="200"/>
        <w:jc w:val="left"/>
        <w:rPr>
          <w:color w:val="auto"/>
          <w:highlight w:val="none"/>
        </w:rPr>
      </w:pPr>
      <w:r>
        <w:rPr>
          <w:color w:val="auto"/>
          <w:highlight w:val="none"/>
        </w:rPr>
        <w:t>7</w:t>
      </w:r>
      <w:bookmarkStart w:id="793" w:name="_Toc312677486"/>
      <w:bookmarkStart w:id="794" w:name="_Toc318581169"/>
      <w:bookmarkStart w:id="795" w:name="_Toc312678012"/>
      <w:bookmarkStart w:id="796" w:name="_Toc297216177"/>
      <w:bookmarkStart w:id="797" w:name="_Toc300934970"/>
      <w:bookmarkStart w:id="798" w:name="_Toc303539127"/>
      <w:bookmarkStart w:id="799" w:name="_Toc304295548"/>
      <w:bookmarkStart w:id="800" w:name="_Toc297123518"/>
      <w:r>
        <w:rPr>
          <w:color w:val="auto"/>
          <w:highlight w:val="none"/>
        </w:rPr>
        <w:t xml:space="preserve">.5.2 </w:t>
      </w:r>
      <w:r>
        <w:rPr>
          <w:rFonts w:hint="eastAsia" w:hAnsi="宋体" w:cs="宋体"/>
          <w:color w:val="auto"/>
          <w:highlight w:val="none"/>
        </w:rPr>
        <w:t>因承包人原因导致工期延误</w:t>
      </w:r>
    </w:p>
    <w:bookmarkEnd w:id="793"/>
    <w:bookmarkEnd w:id="794"/>
    <w:bookmarkEnd w:id="795"/>
    <w:p>
      <w:pPr>
        <w:spacing w:line="360" w:lineRule="auto"/>
        <w:ind w:firstLine="420" w:firstLineChars="200"/>
        <w:jc w:val="left"/>
        <w:rPr>
          <w:color w:val="auto"/>
          <w:highlight w:val="none"/>
        </w:rPr>
      </w:pPr>
      <w:r>
        <w:rPr>
          <w:rFonts w:hint="eastAsia" w:hAnsi="宋体" w:cs="宋体"/>
          <w:color w:val="auto"/>
          <w:highlight w:val="none"/>
        </w:rPr>
        <w:t>双方约定经监理工程师确认，工期相应顺延的情况：</w:t>
      </w:r>
      <w:r>
        <w:rPr>
          <w:rFonts w:hint="eastAsia"/>
          <w:color w:val="auto"/>
          <w:highlight w:val="none"/>
          <w:u w:val="single"/>
        </w:rPr>
        <w:t>按通用条款和第7.5.1条款及以及7.6条约定办理。其他不可抗力的原因，发生工期顺延时应在30日内通知发包方和监理方确认，否则视为工期不延误</w:t>
      </w:r>
      <w:r>
        <w:rPr>
          <w:rFonts w:hint="eastAsia" w:hAnsi="宋体" w:cs="宋体"/>
          <w:color w:val="auto"/>
          <w:highlight w:val="none"/>
        </w:rPr>
        <w:t>。</w:t>
      </w:r>
    </w:p>
    <w:p>
      <w:pPr>
        <w:spacing w:line="360" w:lineRule="auto"/>
        <w:ind w:firstLine="420" w:firstLineChars="200"/>
        <w:jc w:val="left"/>
        <w:rPr>
          <w:color w:val="auto"/>
          <w:highlight w:val="none"/>
        </w:rPr>
      </w:pPr>
      <w:r>
        <w:rPr>
          <w:rFonts w:hint="eastAsia" w:hAnsi="宋体" w:cs="宋体"/>
          <w:color w:val="auto"/>
          <w:highlight w:val="none"/>
        </w:rPr>
        <w:t>因</w:t>
      </w:r>
      <w:bookmarkStart w:id="801" w:name="_Toc318581170"/>
      <w:bookmarkStart w:id="802" w:name="_Toc312678013"/>
      <w:bookmarkStart w:id="803" w:name="_Toc312677487"/>
      <w:r>
        <w:rPr>
          <w:rFonts w:hint="eastAsia" w:hAnsi="宋体" w:cs="宋体"/>
          <w:color w:val="auto"/>
          <w:highlight w:val="none"/>
        </w:rPr>
        <w:t>承包人原因造成工期延误，逾期竣工违约金的计算方法为：</w:t>
      </w:r>
      <w:bookmarkStart w:id="804" w:name="_Hlk16013146"/>
      <w:r>
        <w:rPr>
          <w:rFonts w:hint="eastAsia" w:hAnsi="宋体" w:cs="宋体"/>
          <w:color w:val="auto"/>
          <w:highlight w:val="none"/>
          <w:u w:val="single"/>
          <w:lang w:eastAsia="zh-CN"/>
        </w:rPr>
        <w:t>每延误一天,按合同总价款的万分之四处罚,罚款直接从结算款中扣除</w:t>
      </w:r>
      <w:r>
        <w:rPr>
          <w:rFonts w:hint="eastAsia" w:ascii="Times New Roman" w:hAnsi="宋体" w:cs="宋体"/>
          <w:color w:val="auto"/>
          <w:highlight w:val="none"/>
          <w:u w:val="single"/>
        </w:rPr>
        <w:t>。</w:t>
      </w:r>
      <w:r>
        <w:rPr>
          <w:rFonts w:hint="eastAsia" w:hAnsi="宋体" w:cs="宋体"/>
          <w:color w:val="auto"/>
          <w:highlight w:val="none"/>
          <w:u w:val="single"/>
        </w:rPr>
        <w:t>误期时间从规定竣工日期起直到实际竣工日期的天数（扣除发包人批准顺延的工期）。</w:t>
      </w:r>
      <w:bookmarkEnd w:id="796"/>
      <w:bookmarkEnd w:id="797"/>
      <w:bookmarkEnd w:id="798"/>
      <w:bookmarkEnd w:id="799"/>
      <w:bookmarkEnd w:id="800"/>
      <w:bookmarkEnd w:id="801"/>
      <w:bookmarkEnd w:id="802"/>
      <w:bookmarkEnd w:id="803"/>
      <w:bookmarkEnd w:id="804"/>
      <w:r>
        <w:rPr>
          <w:rFonts w:hint="eastAsia" w:hAnsi="宋体" w:cs="宋体"/>
          <w:color w:val="auto"/>
          <w:highlight w:val="none"/>
        </w:rPr>
        <w:t>因承包人原因造成工期延误，逾</w:t>
      </w:r>
      <w:bookmarkStart w:id="805" w:name="_Toc312678014"/>
      <w:bookmarkStart w:id="806" w:name="_Toc318581171"/>
      <w:r>
        <w:rPr>
          <w:rFonts w:hint="eastAsia" w:hAnsi="宋体" w:cs="宋体"/>
          <w:color w:val="auto"/>
          <w:highlight w:val="none"/>
        </w:rPr>
        <w:t>期竣工违约金的上限：</w:t>
      </w:r>
      <w:r>
        <w:rPr>
          <w:rFonts w:hint="eastAsia" w:hAnsi="宋体" w:cs="宋体"/>
          <w:color w:val="auto"/>
          <w:highlight w:val="none"/>
          <w:lang w:eastAsia="zh-CN"/>
        </w:rPr>
        <w:t>合同总价款的5%</w:t>
      </w:r>
      <w:r>
        <w:rPr>
          <w:rFonts w:hint="eastAsia" w:hAnsi="宋体" w:cs="宋体"/>
          <w:color w:val="auto"/>
          <w:highlight w:val="none"/>
        </w:rPr>
        <w:t>。</w:t>
      </w:r>
    </w:p>
    <w:bookmarkEnd w:id="805"/>
    <w:bookmarkEnd w:id="806"/>
    <w:p>
      <w:pPr>
        <w:pStyle w:val="5"/>
        <w:rPr>
          <w:color w:val="auto"/>
          <w:highlight w:val="none"/>
        </w:rPr>
      </w:pPr>
      <w:bookmarkStart w:id="807" w:name="_Toc373478375"/>
      <w:bookmarkStart w:id="808" w:name="_Toc1368"/>
      <w:bookmarkStart w:id="809" w:name="_Toc407135230"/>
      <w:bookmarkStart w:id="810" w:name="_Toc66186434"/>
      <w:bookmarkStart w:id="811" w:name="_Toc373227728"/>
      <w:bookmarkStart w:id="812" w:name="_Toc389065294"/>
      <w:r>
        <w:rPr>
          <w:color w:val="auto"/>
          <w:highlight w:val="none"/>
        </w:rPr>
        <w:t>7</w:t>
      </w:r>
      <w:bookmarkStart w:id="813" w:name="_Toc303539128"/>
      <w:bookmarkStart w:id="814" w:name="_Toc312678015"/>
      <w:bookmarkStart w:id="815" w:name="_Toc300934971"/>
      <w:bookmarkStart w:id="816" w:name="_Toc297216178"/>
      <w:bookmarkStart w:id="817" w:name="_Toc304295549"/>
      <w:bookmarkStart w:id="818" w:name="_Toc297123519"/>
      <w:r>
        <w:rPr>
          <w:color w:val="auto"/>
          <w:highlight w:val="none"/>
        </w:rPr>
        <w:t xml:space="preserve">.6 </w:t>
      </w:r>
      <w:r>
        <w:rPr>
          <w:rFonts w:hint="eastAsia" w:cs="黑体"/>
          <w:color w:val="auto"/>
          <w:highlight w:val="none"/>
        </w:rPr>
        <w:t>不</w:t>
      </w:r>
      <w:bookmarkEnd w:id="813"/>
      <w:bookmarkEnd w:id="814"/>
      <w:bookmarkEnd w:id="815"/>
      <w:bookmarkEnd w:id="816"/>
      <w:bookmarkEnd w:id="817"/>
      <w:bookmarkEnd w:id="818"/>
      <w:r>
        <w:rPr>
          <w:rFonts w:hint="eastAsia" w:cs="黑体"/>
          <w:color w:val="auto"/>
          <w:highlight w:val="none"/>
        </w:rPr>
        <w:t>利物质条件</w:t>
      </w:r>
      <w:bookmarkEnd w:id="807"/>
      <w:bookmarkEnd w:id="808"/>
      <w:bookmarkEnd w:id="809"/>
      <w:bookmarkEnd w:id="810"/>
      <w:bookmarkEnd w:id="811"/>
      <w:bookmarkEnd w:id="812"/>
    </w:p>
    <w:p>
      <w:pPr>
        <w:spacing w:line="360" w:lineRule="auto"/>
        <w:ind w:firstLine="420" w:firstLineChars="200"/>
        <w:jc w:val="left"/>
        <w:rPr>
          <w:color w:val="auto"/>
          <w:highlight w:val="none"/>
          <w:u w:val="single"/>
        </w:rPr>
      </w:pPr>
      <w:bookmarkStart w:id="819" w:name="_Toc300934972"/>
      <w:bookmarkStart w:id="820" w:name="_Toc297123520"/>
      <w:bookmarkStart w:id="821" w:name="_Toc297216179"/>
      <w:bookmarkStart w:id="822" w:name="_Toc303539129"/>
      <w:bookmarkStart w:id="823" w:name="_Toc304295550"/>
      <w:bookmarkStart w:id="824" w:name="_Toc318581172"/>
      <w:bookmarkStart w:id="825" w:name="_Toc312678016"/>
      <w:r>
        <w:rPr>
          <w:rFonts w:hint="eastAsia" w:hAnsi="宋体" w:cs="宋体"/>
          <w:color w:val="auto"/>
          <w:highlight w:val="none"/>
        </w:rPr>
        <w:t>不利物质条件的其他情形和有关约定：</w:t>
      </w:r>
      <w:r>
        <w:rPr>
          <w:rFonts w:hint="eastAsia" w:ascii="宋体" w:hAnsi="宋体"/>
          <w:color w:val="auto"/>
          <w:highlight w:val="none"/>
          <w:u w:val="single"/>
        </w:rPr>
        <w:t xml:space="preserve">  /  </w:t>
      </w:r>
      <w:r>
        <w:rPr>
          <w:rFonts w:hint="eastAsia" w:hAnsi="宋体" w:cs="宋体"/>
          <w:color w:val="auto"/>
          <w:highlight w:val="none"/>
        </w:rPr>
        <w:t>。</w:t>
      </w:r>
    </w:p>
    <w:bookmarkEnd w:id="819"/>
    <w:bookmarkEnd w:id="820"/>
    <w:bookmarkEnd w:id="821"/>
    <w:bookmarkEnd w:id="822"/>
    <w:bookmarkEnd w:id="823"/>
    <w:bookmarkEnd w:id="824"/>
    <w:bookmarkEnd w:id="825"/>
    <w:p>
      <w:pPr>
        <w:pStyle w:val="5"/>
        <w:rPr>
          <w:color w:val="auto"/>
          <w:highlight w:val="none"/>
        </w:rPr>
      </w:pPr>
      <w:bookmarkStart w:id="826" w:name="_Toc66186435"/>
      <w:bookmarkStart w:id="827" w:name="_Toc373478376"/>
      <w:bookmarkStart w:id="828" w:name="_Toc22472"/>
      <w:bookmarkStart w:id="829" w:name="_Toc389065295"/>
      <w:bookmarkStart w:id="830" w:name="_Toc407135231"/>
      <w:bookmarkStart w:id="831" w:name="_Toc373227729"/>
      <w:r>
        <w:rPr>
          <w:color w:val="auto"/>
          <w:highlight w:val="none"/>
        </w:rPr>
        <w:t>7</w:t>
      </w:r>
      <w:bookmarkStart w:id="832" w:name="_Toc297123521"/>
      <w:bookmarkStart w:id="833" w:name="_Toc300934973"/>
      <w:bookmarkStart w:id="834" w:name="_Toc312678017"/>
      <w:bookmarkStart w:id="835" w:name="_Toc304295551"/>
      <w:bookmarkStart w:id="836" w:name="_Toc303539130"/>
      <w:bookmarkStart w:id="837" w:name="_Toc297216180"/>
      <w:r>
        <w:rPr>
          <w:color w:val="auto"/>
          <w:highlight w:val="none"/>
        </w:rPr>
        <w:t xml:space="preserve">.7 </w:t>
      </w:r>
      <w:r>
        <w:rPr>
          <w:rFonts w:hint="eastAsia" w:cs="黑体"/>
          <w:color w:val="auto"/>
          <w:highlight w:val="none"/>
        </w:rPr>
        <w:t>异常恶劣的气候条件</w:t>
      </w:r>
      <w:bookmarkEnd w:id="826"/>
      <w:bookmarkEnd w:id="827"/>
      <w:bookmarkEnd w:id="828"/>
      <w:bookmarkEnd w:id="829"/>
      <w:bookmarkEnd w:id="830"/>
      <w:bookmarkEnd w:id="831"/>
    </w:p>
    <w:bookmarkEnd w:id="832"/>
    <w:bookmarkEnd w:id="833"/>
    <w:bookmarkEnd w:id="834"/>
    <w:bookmarkEnd w:id="835"/>
    <w:bookmarkEnd w:id="836"/>
    <w:bookmarkEnd w:id="837"/>
    <w:p>
      <w:pPr>
        <w:spacing w:line="360" w:lineRule="auto"/>
        <w:ind w:firstLine="420" w:firstLineChars="200"/>
        <w:jc w:val="left"/>
        <w:rPr>
          <w:color w:val="auto"/>
          <w:highlight w:val="none"/>
        </w:rPr>
      </w:pPr>
      <w:r>
        <w:rPr>
          <w:rFonts w:hint="eastAsia" w:hAnsi="宋体" w:cs="宋体"/>
          <w:color w:val="auto"/>
          <w:highlight w:val="none"/>
        </w:rPr>
        <w:t>发包人和承包人同意以下情形视为异常恶劣的气候条件：</w:t>
      </w:r>
    </w:p>
    <w:p>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1</w:t>
      </w:r>
      <w:r>
        <w:rPr>
          <w:rFonts w:hint="eastAsia" w:hAnsi="宋体" w:cs="宋体"/>
          <w:color w:val="auto"/>
          <w:highlight w:val="none"/>
        </w:rPr>
        <w:t>）</w:t>
      </w:r>
      <w:r>
        <w:rPr>
          <w:color w:val="auto"/>
          <w:highlight w:val="none"/>
          <w:u w:val="single"/>
        </w:rPr>
        <w:t xml:space="preserve"> </w:t>
      </w:r>
      <w:r>
        <w:rPr>
          <w:rFonts w:hint="eastAsia" w:ascii="宋体" w:hAnsi="宋体" w:cs="宋体"/>
          <w:color w:val="auto"/>
          <w:highlight w:val="none"/>
          <w:u w:val="single"/>
        </w:rPr>
        <w:t>24小时降雨量达到50-99.9mm的暴雨</w:t>
      </w:r>
      <w:r>
        <w:rPr>
          <w:color w:val="auto"/>
          <w:highlight w:val="none"/>
          <w:u w:val="single"/>
        </w:rPr>
        <w:t xml:space="preserve"> </w:t>
      </w:r>
      <w:r>
        <w:rPr>
          <w:rFonts w:hint="eastAsia" w:hAnsi="宋体" w:cs="宋体"/>
          <w:color w:val="auto"/>
          <w:highlight w:val="none"/>
        </w:rPr>
        <w:t>；</w:t>
      </w:r>
    </w:p>
    <w:p>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w:t>
      </w:r>
      <w:r>
        <w:rPr>
          <w:color w:val="auto"/>
          <w:highlight w:val="none"/>
          <w:u w:val="single"/>
        </w:rPr>
        <w:t xml:space="preserve"> </w:t>
      </w:r>
      <w:r>
        <w:rPr>
          <w:rFonts w:hint="eastAsia" w:ascii="宋体" w:hAnsi="宋体" w:cs="宋体"/>
          <w:color w:val="auto"/>
          <w:highlight w:val="none"/>
          <w:u w:val="single"/>
        </w:rPr>
        <w:t>风速大于8级以上的台风</w:t>
      </w:r>
      <w:r>
        <w:rPr>
          <w:color w:val="auto"/>
          <w:highlight w:val="none"/>
          <w:u w:val="single"/>
        </w:rPr>
        <w:t xml:space="preserve"> </w:t>
      </w:r>
      <w:r>
        <w:rPr>
          <w:rFonts w:hint="eastAsia" w:hAnsi="宋体" w:cs="宋体"/>
          <w:color w:val="auto"/>
          <w:highlight w:val="none"/>
        </w:rPr>
        <w:t>；</w:t>
      </w:r>
    </w:p>
    <w:p>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3</w:t>
      </w:r>
      <w:r>
        <w:rPr>
          <w:rFonts w:hint="eastAsia" w:hAnsi="宋体" w:cs="宋体"/>
          <w:color w:val="auto"/>
          <w:highlight w:val="none"/>
        </w:rPr>
        <w:t>）</w:t>
      </w:r>
      <w:r>
        <w:rPr>
          <w:color w:val="auto"/>
          <w:highlight w:val="none"/>
          <w:u w:val="single"/>
        </w:rPr>
        <w:t xml:space="preserve"> </w:t>
      </w:r>
      <w:r>
        <w:rPr>
          <w:rFonts w:hint="eastAsia" w:ascii="宋体" w:hAnsi="宋体" w:cs="宋体"/>
          <w:color w:val="auto"/>
          <w:highlight w:val="none"/>
          <w:u w:val="single"/>
        </w:rPr>
        <w:t>日气温超过38℃大于3天的</w:t>
      </w:r>
      <w:r>
        <w:rPr>
          <w:color w:val="auto"/>
          <w:highlight w:val="none"/>
          <w:u w:val="single"/>
        </w:rPr>
        <w:t xml:space="preserve"> </w:t>
      </w:r>
      <w:r>
        <w:rPr>
          <w:rFonts w:hint="eastAsia" w:hAnsi="宋体" w:cs="宋体"/>
          <w:color w:val="auto"/>
          <w:highlight w:val="none"/>
        </w:rPr>
        <w:t>。</w:t>
      </w:r>
    </w:p>
    <w:p>
      <w:pPr>
        <w:pStyle w:val="5"/>
        <w:rPr>
          <w:color w:val="auto"/>
          <w:highlight w:val="none"/>
          <w:lang w:val="en-US"/>
        </w:rPr>
      </w:pPr>
      <w:bookmarkStart w:id="838" w:name="_Toc373227730"/>
      <w:bookmarkStart w:id="839" w:name="_Toc66186436"/>
      <w:bookmarkStart w:id="840" w:name="_Toc389065296"/>
      <w:bookmarkStart w:id="841" w:name="_Toc24234"/>
      <w:bookmarkStart w:id="842" w:name="_Toc373478377"/>
      <w:bookmarkStart w:id="843" w:name="_Toc407135232"/>
      <w:r>
        <w:rPr>
          <w:color w:val="auto"/>
          <w:highlight w:val="none"/>
          <w:lang w:val="en-US"/>
        </w:rPr>
        <w:t xml:space="preserve">7.9 </w:t>
      </w:r>
      <w:r>
        <w:rPr>
          <w:rFonts w:hint="eastAsia" w:hAnsi="宋体" w:cs="黑体"/>
          <w:color w:val="auto"/>
          <w:highlight w:val="none"/>
        </w:rPr>
        <w:t>提前竣工</w:t>
      </w:r>
      <w:bookmarkEnd w:id="838"/>
      <w:bookmarkEnd w:id="839"/>
      <w:bookmarkEnd w:id="840"/>
      <w:bookmarkEnd w:id="841"/>
      <w:bookmarkEnd w:id="842"/>
      <w:bookmarkEnd w:id="843"/>
    </w:p>
    <w:p>
      <w:pPr>
        <w:spacing w:line="360" w:lineRule="auto"/>
        <w:ind w:firstLine="420" w:firstLineChars="200"/>
        <w:jc w:val="left"/>
        <w:rPr>
          <w:rFonts w:hAnsi="宋体"/>
          <w:color w:val="auto"/>
          <w:highlight w:val="none"/>
        </w:rPr>
      </w:pPr>
      <w:r>
        <w:rPr>
          <w:color w:val="auto"/>
          <w:highlight w:val="none"/>
        </w:rPr>
        <w:t>7.9.2</w:t>
      </w:r>
      <w:r>
        <w:rPr>
          <w:rFonts w:hint="eastAsia" w:hAnsi="宋体" w:cs="宋体"/>
          <w:color w:val="auto"/>
          <w:highlight w:val="none"/>
        </w:rPr>
        <w:t>提前竣工（赶工）增加费的计算方法：</w:t>
      </w:r>
      <w:r>
        <w:rPr>
          <w:rFonts w:hint="eastAsia" w:hAnsi="宋体"/>
          <w:color w:val="auto"/>
          <w:highlight w:val="none"/>
          <w:u w:val="single"/>
        </w:rPr>
        <w:t xml:space="preserve">/ </w:t>
      </w:r>
      <w:r>
        <w:rPr>
          <w:rFonts w:hint="eastAsia" w:hAnsi="宋体"/>
          <w:color w:val="auto"/>
          <w:highlight w:val="none"/>
        </w:rPr>
        <w:t>。</w:t>
      </w:r>
    </w:p>
    <w:p>
      <w:pPr>
        <w:pStyle w:val="4"/>
        <w:rPr>
          <w:color w:val="auto"/>
          <w:highlight w:val="none"/>
        </w:rPr>
      </w:pPr>
      <w:bookmarkStart w:id="844" w:name="_Toc66186437"/>
      <w:bookmarkStart w:id="845" w:name="_Toc407135233"/>
      <w:bookmarkStart w:id="846" w:name="_Toc389065297"/>
      <w:bookmarkStart w:id="847" w:name="_Toc373478378"/>
      <w:bookmarkStart w:id="848" w:name="_Toc351203640"/>
      <w:bookmarkStart w:id="849" w:name="_Toc373227731"/>
      <w:bookmarkStart w:id="850" w:name="_Toc32736"/>
      <w:r>
        <w:rPr>
          <w:color w:val="auto"/>
          <w:highlight w:val="none"/>
        </w:rPr>
        <w:t xml:space="preserve">8. </w:t>
      </w:r>
      <w:r>
        <w:rPr>
          <w:rFonts w:hint="eastAsia" w:cs="黑体"/>
          <w:color w:val="auto"/>
          <w:highlight w:val="none"/>
        </w:rPr>
        <w:t>材料与设备</w:t>
      </w:r>
      <w:bookmarkEnd w:id="844"/>
      <w:bookmarkEnd w:id="845"/>
      <w:bookmarkEnd w:id="846"/>
      <w:bookmarkEnd w:id="847"/>
      <w:bookmarkEnd w:id="848"/>
      <w:bookmarkEnd w:id="849"/>
      <w:bookmarkEnd w:id="850"/>
    </w:p>
    <w:bookmarkEnd w:id="700"/>
    <w:bookmarkEnd w:id="701"/>
    <w:bookmarkEnd w:id="702"/>
    <w:bookmarkEnd w:id="703"/>
    <w:bookmarkEnd w:id="704"/>
    <w:bookmarkEnd w:id="705"/>
    <w:bookmarkEnd w:id="706"/>
    <w:bookmarkEnd w:id="707"/>
    <w:bookmarkEnd w:id="708"/>
    <w:bookmarkEnd w:id="709"/>
    <w:p>
      <w:pPr>
        <w:pStyle w:val="5"/>
        <w:rPr>
          <w:color w:val="auto"/>
          <w:highlight w:val="none"/>
        </w:rPr>
      </w:pPr>
      <w:bookmarkStart w:id="851" w:name="_Toc66186438"/>
      <w:bookmarkStart w:id="852" w:name="_Toc10587"/>
      <w:bookmarkStart w:id="853" w:name="_Toc407135234"/>
      <w:bookmarkStart w:id="854" w:name="_Toc389065298"/>
      <w:bookmarkStart w:id="855" w:name="_Toc373227732"/>
      <w:bookmarkStart w:id="856" w:name="_Toc373478379"/>
      <w:r>
        <w:rPr>
          <w:color w:val="auto"/>
          <w:highlight w:val="none"/>
        </w:rPr>
        <w:t xml:space="preserve">8.2 </w:t>
      </w:r>
      <w:r>
        <w:rPr>
          <w:rFonts w:hint="eastAsia" w:cs="黑体"/>
          <w:color w:val="auto"/>
          <w:highlight w:val="none"/>
        </w:rPr>
        <w:t>承包人采购材料与工程设备</w:t>
      </w:r>
      <w:bookmarkEnd w:id="851"/>
      <w:bookmarkEnd w:id="852"/>
      <w:bookmarkEnd w:id="853"/>
      <w:bookmarkEnd w:id="854"/>
      <w:bookmarkEnd w:id="855"/>
      <w:bookmarkEnd w:id="856"/>
    </w:p>
    <w:p>
      <w:pPr>
        <w:autoSpaceDE w:val="0"/>
        <w:autoSpaceDN w:val="0"/>
        <w:adjustRightInd w:val="0"/>
        <w:spacing w:line="360" w:lineRule="auto"/>
        <w:ind w:firstLine="420" w:firstLineChars="200"/>
        <w:jc w:val="left"/>
        <w:rPr>
          <w:color w:val="auto"/>
          <w:kern w:val="0"/>
          <w:highlight w:val="none"/>
        </w:rPr>
      </w:pPr>
      <w:r>
        <w:rPr>
          <w:rFonts w:hint="eastAsia" w:cs="宋体"/>
          <w:color w:val="auto"/>
          <w:kern w:val="0"/>
          <w:highlight w:val="none"/>
        </w:rPr>
        <w:t>除已标价工程量清单《发包人提供主要材料和工程设备一览表》（表</w:t>
      </w:r>
      <w:r>
        <w:rPr>
          <w:color w:val="auto"/>
          <w:kern w:val="0"/>
          <w:highlight w:val="none"/>
        </w:rPr>
        <w:t>-21</w:t>
      </w:r>
      <w:r>
        <w:rPr>
          <w:rFonts w:hint="eastAsia" w:cs="宋体"/>
          <w:color w:val="auto"/>
          <w:kern w:val="0"/>
          <w:highlight w:val="none"/>
        </w:rPr>
        <w:t>）中明确的材料、工程设备外，由承包人负责材料和工程设备的采购、运输和保管。《</w:t>
      </w:r>
      <w:r>
        <w:rPr>
          <w:rFonts w:hint="eastAsia" w:cs="宋体"/>
          <w:color w:val="auto"/>
          <w:highlight w:val="none"/>
        </w:rPr>
        <w:t>承包人提供主要材料和工程设备一览表》</w:t>
      </w:r>
      <w:r>
        <w:rPr>
          <w:rFonts w:hint="eastAsia" w:cs="宋体"/>
          <w:color w:val="auto"/>
          <w:kern w:val="0"/>
          <w:highlight w:val="none"/>
        </w:rPr>
        <w:t>（表</w:t>
      </w:r>
      <w:r>
        <w:rPr>
          <w:color w:val="auto"/>
          <w:kern w:val="0"/>
          <w:highlight w:val="none"/>
        </w:rPr>
        <w:t>-22</w:t>
      </w:r>
      <w:r>
        <w:rPr>
          <w:rFonts w:hint="eastAsia" w:cs="宋体"/>
          <w:color w:val="auto"/>
          <w:kern w:val="0"/>
          <w:highlight w:val="none"/>
        </w:rPr>
        <w:t>）见已标价工程量清单。</w:t>
      </w:r>
    </w:p>
    <w:p>
      <w:pPr>
        <w:autoSpaceDE w:val="0"/>
        <w:autoSpaceDN w:val="0"/>
        <w:adjustRightInd w:val="0"/>
        <w:spacing w:line="360" w:lineRule="auto"/>
        <w:ind w:firstLine="420" w:firstLineChars="200"/>
        <w:jc w:val="left"/>
        <w:rPr>
          <w:color w:val="auto"/>
          <w:highlight w:val="none"/>
        </w:rPr>
      </w:pPr>
      <w:bookmarkStart w:id="857" w:name="_Toc389065299"/>
      <w:bookmarkStart w:id="858" w:name="_Toc373478380"/>
      <w:bookmarkStart w:id="859" w:name="_Toc373227733"/>
      <w:r>
        <w:rPr>
          <w:rFonts w:hint="eastAsia" w:cs="宋体"/>
          <w:color w:val="auto"/>
          <w:highlight w:val="none"/>
        </w:rPr>
        <w:t>对发包人在招标时有“参照或相当于</w:t>
      </w:r>
      <w:r>
        <w:rPr>
          <w:color w:val="auto"/>
          <w:highlight w:val="none"/>
        </w:rPr>
        <w:t>**</w:t>
      </w:r>
      <w:r>
        <w:rPr>
          <w:rFonts w:hint="eastAsia" w:cs="宋体"/>
          <w:color w:val="auto"/>
          <w:highlight w:val="none"/>
        </w:rPr>
        <w:t>品牌、级别”约定的材料或设备，承包人采购时必须按类似于或优于所约定品牌、等级进行采购，施工期间该部分材料或设备如未超过招标约定的风险幅度的，结算时按投标单价支付，不得调整。</w:t>
      </w:r>
    </w:p>
    <w:p>
      <w:pPr>
        <w:pStyle w:val="5"/>
        <w:rPr>
          <w:color w:val="auto"/>
          <w:highlight w:val="none"/>
        </w:rPr>
      </w:pPr>
      <w:bookmarkStart w:id="860" w:name="_Toc14725"/>
      <w:bookmarkStart w:id="861" w:name="_Toc66186439"/>
      <w:bookmarkStart w:id="862" w:name="_Toc407135235"/>
      <w:r>
        <w:rPr>
          <w:color w:val="auto"/>
          <w:highlight w:val="none"/>
        </w:rPr>
        <w:t>8</w:t>
      </w:r>
      <w:bookmarkStart w:id="863" w:name="_Toc303539136"/>
      <w:bookmarkStart w:id="864" w:name="_Toc297216186"/>
      <w:bookmarkStart w:id="865" w:name="_Toc296503167"/>
      <w:bookmarkStart w:id="866" w:name="_Toc312677493"/>
      <w:bookmarkStart w:id="867" w:name="_Toc292559372"/>
      <w:bookmarkStart w:id="868" w:name="_Toc296346668"/>
      <w:bookmarkStart w:id="869" w:name="_Toc292559877"/>
      <w:bookmarkStart w:id="870" w:name="_Toc280868654"/>
      <w:bookmarkStart w:id="871" w:name="_Toc300934979"/>
      <w:bookmarkStart w:id="872" w:name="_Toc304295556"/>
      <w:bookmarkStart w:id="873" w:name="_Toc297123527"/>
      <w:bookmarkStart w:id="874" w:name="_Toc297048353"/>
      <w:bookmarkStart w:id="875" w:name="_Toc312678019"/>
      <w:bookmarkStart w:id="876" w:name="_Toc296891207"/>
      <w:bookmarkStart w:id="877" w:name="_Toc297120467"/>
      <w:bookmarkStart w:id="878" w:name="_Toc296347166"/>
      <w:bookmarkStart w:id="879" w:name="_Toc296944506"/>
      <w:bookmarkStart w:id="880" w:name="_Toc296890995"/>
      <w:bookmarkStart w:id="881" w:name="_Toc280868655"/>
      <w:bookmarkStart w:id="882" w:name="_Toc280868656"/>
      <w:bookmarkStart w:id="883" w:name="_Toc267251424"/>
      <w:r>
        <w:rPr>
          <w:color w:val="auto"/>
          <w:highlight w:val="none"/>
        </w:rPr>
        <w:t xml:space="preserve">.4 </w:t>
      </w:r>
      <w:r>
        <w:rPr>
          <w:rFonts w:hint="eastAsia" w:cs="黑体"/>
          <w:color w:val="auto"/>
          <w:highlight w:val="none"/>
        </w:rPr>
        <w:t>材料与工程设备的保管与使用</w:t>
      </w:r>
      <w:bookmarkEnd w:id="857"/>
      <w:bookmarkEnd w:id="858"/>
      <w:bookmarkEnd w:id="859"/>
      <w:bookmarkEnd w:id="860"/>
      <w:bookmarkEnd w:id="861"/>
      <w:bookmarkEnd w:id="862"/>
    </w:p>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p>
      <w:pPr>
        <w:spacing w:line="360" w:lineRule="auto"/>
        <w:ind w:firstLine="420" w:firstLineChars="200"/>
        <w:jc w:val="left"/>
        <w:rPr>
          <w:color w:val="auto"/>
          <w:highlight w:val="none"/>
          <w:u w:val="single"/>
        </w:rPr>
      </w:pPr>
      <w:r>
        <w:rPr>
          <w:color w:val="auto"/>
          <w:highlight w:val="none"/>
        </w:rPr>
        <w:t>8</w:t>
      </w:r>
      <w:bookmarkStart w:id="884" w:name="_Toc292559878"/>
      <w:bookmarkStart w:id="885" w:name="_Toc292559373"/>
      <w:bookmarkStart w:id="886" w:name="_Toc318581173"/>
      <w:bookmarkStart w:id="887" w:name="_Toc304295557"/>
      <w:bookmarkStart w:id="888" w:name="_Toc300934980"/>
      <w:bookmarkStart w:id="889" w:name="_Toc303539137"/>
      <w:bookmarkStart w:id="890" w:name="_Toc296891208"/>
      <w:bookmarkStart w:id="891" w:name="_Toc312677494"/>
      <w:bookmarkStart w:id="892" w:name="_Toc297120468"/>
      <w:bookmarkStart w:id="893" w:name="_Toc296347167"/>
      <w:bookmarkStart w:id="894" w:name="_Toc297123528"/>
      <w:bookmarkStart w:id="895" w:name="_Toc296503168"/>
      <w:bookmarkStart w:id="896" w:name="_Toc297216187"/>
      <w:bookmarkStart w:id="897" w:name="_Toc296944507"/>
      <w:bookmarkStart w:id="898" w:name="_Toc297048354"/>
      <w:bookmarkStart w:id="899" w:name="_Toc312678020"/>
      <w:bookmarkStart w:id="900" w:name="_Toc296890996"/>
      <w:bookmarkStart w:id="901" w:name="_Toc296346669"/>
      <w:r>
        <w:rPr>
          <w:color w:val="auto"/>
          <w:highlight w:val="none"/>
        </w:rPr>
        <w:t>.4.1</w:t>
      </w:r>
      <w:r>
        <w:rPr>
          <w:rFonts w:hint="eastAsia" w:hAnsi="宋体" w:cs="宋体"/>
          <w:color w:val="auto"/>
          <w:highlight w:val="none"/>
        </w:rPr>
        <w:t>发包人供应的材料设备的保管费用的承担：</w:t>
      </w:r>
      <w:r>
        <w:rPr>
          <w:rFonts w:hint="eastAsia" w:ascii="宋体" w:hAnsi="宋体"/>
          <w:color w:val="auto"/>
          <w:highlight w:val="none"/>
          <w:u w:val="single"/>
        </w:rPr>
        <w:t>由承包人承担</w:t>
      </w:r>
      <w:r>
        <w:rPr>
          <w:rFonts w:hint="eastAsia" w:hAnsi="宋体" w:cs="宋体"/>
          <w:color w:val="auto"/>
          <w:highlight w:val="none"/>
        </w:rPr>
        <w:t>。</w:t>
      </w:r>
    </w:p>
    <w:bookmarkEnd w:id="884"/>
    <w:bookmarkEnd w:id="885"/>
    <w:p>
      <w:pPr>
        <w:pStyle w:val="5"/>
        <w:rPr>
          <w:color w:val="auto"/>
          <w:highlight w:val="none"/>
        </w:rPr>
      </w:pPr>
      <w:bookmarkStart w:id="902" w:name="_Toc1892"/>
      <w:bookmarkStart w:id="903" w:name="_Toc373227734"/>
      <w:bookmarkStart w:id="904" w:name="_Toc373478381"/>
      <w:bookmarkStart w:id="905" w:name="_Toc389065300"/>
      <w:bookmarkStart w:id="906" w:name="_Toc66186440"/>
      <w:bookmarkStart w:id="907" w:name="_Toc407135236"/>
      <w:r>
        <w:rPr>
          <w:color w:val="auto"/>
          <w:highlight w:val="none"/>
        </w:rPr>
        <w:t xml:space="preserve">8.6 </w:t>
      </w:r>
      <w:r>
        <w:rPr>
          <w:rFonts w:hint="eastAsia" w:hAnsi="宋体" w:cs="黑体"/>
          <w:color w:val="auto"/>
          <w:highlight w:val="none"/>
        </w:rPr>
        <w:t>样品</w:t>
      </w:r>
      <w:bookmarkEnd w:id="902"/>
      <w:bookmarkEnd w:id="903"/>
      <w:bookmarkEnd w:id="904"/>
      <w:bookmarkEnd w:id="905"/>
      <w:bookmarkEnd w:id="906"/>
      <w:bookmarkEnd w:id="907"/>
    </w:p>
    <w:p>
      <w:pPr>
        <w:autoSpaceDE w:val="0"/>
        <w:autoSpaceDN w:val="0"/>
        <w:adjustRightInd w:val="0"/>
        <w:spacing w:line="360" w:lineRule="auto"/>
        <w:ind w:firstLine="420" w:firstLineChars="200"/>
        <w:jc w:val="left"/>
        <w:rPr>
          <w:color w:val="auto"/>
          <w:kern w:val="0"/>
          <w:highlight w:val="none"/>
        </w:rPr>
      </w:pPr>
      <w:r>
        <w:rPr>
          <w:color w:val="auto"/>
          <w:kern w:val="0"/>
          <w:highlight w:val="none"/>
        </w:rPr>
        <w:t xml:space="preserve">8.6.1 </w:t>
      </w:r>
      <w:r>
        <w:rPr>
          <w:rFonts w:hint="eastAsia" w:hAnsi="宋体" w:cs="宋体"/>
          <w:color w:val="auto"/>
          <w:kern w:val="0"/>
          <w:highlight w:val="none"/>
        </w:rPr>
        <w:t>样品的报送与封存</w:t>
      </w:r>
    </w:p>
    <w:p>
      <w:pPr>
        <w:autoSpaceDE w:val="0"/>
        <w:autoSpaceDN w:val="0"/>
        <w:adjustRightInd w:val="0"/>
        <w:spacing w:line="360" w:lineRule="auto"/>
        <w:ind w:firstLine="420" w:firstLineChars="200"/>
        <w:jc w:val="left"/>
        <w:rPr>
          <w:color w:val="auto"/>
          <w:highlight w:val="none"/>
          <w:u w:val="single"/>
        </w:rPr>
      </w:pPr>
      <w:r>
        <w:rPr>
          <w:rFonts w:hint="eastAsia" w:hAnsi="宋体" w:cs="宋体"/>
          <w:color w:val="auto"/>
          <w:kern w:val="0"/>
          <w:highlight w:val="none"/>
        </w:rPr>
        <w:t>需要承包人报送样品的材料或工程设备，样品的种类、名称、规格、数量要求：</w:t>
      </w:r>
      <w:r>
        <w:rPr>
          <w:rFonts w:hint="eastAsia" w:hAnsi="宋体" w:cs="宋体"/>
          <w:color w:val="auto"/>
          <w:highlight w:val="none"/>
          <w:u w:val="single"/>
        </w:rPr>
        <w:t>主要材料涉及品种、款式、颜色等方面内容的，承包人应提交准备合格的材料样品送发包人选定。</w:t>
      </w:r>
    </w:p>
    <w:p>
      <w:pPr>
        <w:pStyle w:val="5"/>
        <w:rPr>
          <w:color w:val="auto"/>
          <w:highlight w:val="none"/>
        </w:rPr>
      </w:pPr>
      <w:bookmarkStart w:id="908" w:name="_Toc373227735"/>
      <w:bookmarkStart w:id="909" w:name="_Toc373478382"/>
      <w:bookmarkStart w:id="910" w:name="_Toc389065301"/>
      <w:bookmarkStart w:id="911" w:name="_Toc30237"/>
      <w:bookmarkStart w:id="912" w:name="_Toc66186441"/>
      <w:bookmarkStart w:id="913" w:name="_Toc407135237"/>
      <w:r>
        <w:rPr>
          <w:color w:val="auto"/>
          <w:highlight w:val="none"/>
        </w:rPr>
        <w:t xml:space="preserve">8.8 </w:t>
      </w:r>
      <w:r>
        <w:rPr>
          <w:rFonts w:hint="eastAsia" w:cs="黑体"/>
          <w:color w:val="auto"/>
          <w:highlight w:val="none"/>
        </w:rPr>
        <w:t>施工设备和临时设施</w:t>
      </w:r>
      <w:bookmarkEnd w:id="908"/>
      <w:bookmarkEnd w:id="909"/>
      <w:bookmarkEnd w:id="910"/>
      <w:bookmarkEnd w:id="911"/>
      <w:bookmarkEnd w:id="912"/>
      <w:bookmarkEnd w:id="913"/>
    </w:p>
    <w:p>
      <w:pPr>
        <w:autoSpaceDE w:val="0"/>
        <w:autoSpaceDN w:val="0"/>
        <w:adjustRightInd w:val="0"/>
        <w:spacing w:line="360" w:lineRule="auto"/>
        <w:ind w:firstLine="420" w:firstLineChars="200"/>
        <w:jc w:val="left"/>
        <w:rPr>
          <w:color w:val="auto"/>
          <w:highlight w:val="none"/>
        </w:rPr>
      </w:pPr>
      <w:r>
        <w:rPr>
          <w:color w:val="auto"/>
          <w:highlight w:val="none"/>
        </w:rPr>
        <w:t xml:space="preserve">8.8.1 </w:t>
      </w:r>
      <w:r>
        <w:rPr>
          <w:rFonts w:hint="eastAsia" w:hAnsi="宋体" w:cs="宋体"/>
          <w:color w:val="auto"/>
          <w:highlight w:val="none"/>
        </w:rPr>
        <w:t>承包人提供的施工设备和临时设施</w:t>
      </w:r>
    </w:p>
    <w:p>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除专用合同条款另有约定的其他独立承包人和监理人指示的他人提供条件外，承包人运入施工场地的所有施工设备以及在施工场地建设的临时设施仅限于用于合同工程。</w:t>
      </w:r>
      <w:r>
        <w:rPr>
          <w:rFonts w:hint="eastAsia" w:ascii="宋体" w:hAnsi="宋体" w:cs="宋体"/>
          <w:color w:val="auto"/>
          <w:highlight w:val="none"/>
        </w:rPr>
        <w:t>承包人用于本工程的主要机械设备清单见合同附件4。</w:t>
      </w:r>
    </w:p>
    <w:p>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关于修建临时设施费用承担的约定：</w:t>
      </w:r>
      <w:r>
        <w:rPr>
          <w:rFonts w:hint="eastAsia" w:ascii="宋体" w:hAnsi="宋体"/>
          <w:color w:val="auto"/>
          <w:highlight w:val="none"/>
          <w:u w:val="single"/>
        </w:rPr>
        <w:t>承包人应自行承担修建临时设施的费用</w:t>
      </w:r>
      <w:r>
        <w:rPr>
          <w:rFonts w:hint="eastAsia" w:ascii="宋体" w:hAnsi="宋体"/>
          <w:color w:val="auto"/>
          <w:highlight w:val="none"/>
        </w:rPr>
        <w:t>。</w:t>
      </w:r>
    </w:p>
    <w:p>
      <w:pPr>
        <w:autoSpaceDE w:val="0"/>
        <w:autoSpaceDN w:val="0"/>
        <w:adjustRightInd w:val="0"/>
        <w:spacing w:line="360" w:lineRule="auto"/>
        <w:ind w:firstLine="420" w:firstLineChars="200"/>
        <w:jc w:val="left"/>
        <w:rPr>
          <w:color w:val="auto"/>
          <w:highlight w:val="none"/>
        </w:rPr>
      </w:pPr>
      <w:r>
        <w:rPr>
          <w:color w:val="auto"/>
          <w:highlight w:val="none"/>
        </w:rPr>
        <w:t xml:space="preserve">8.8.2 </w:t>
      </w:r>
      <w:r>
        <w:rPr>
          <w:rFonts w:hint="eastAsia" w:hAnsi="宋体" w:cs="宋体"/>
          <w:color w:val="auto"/>
          <w:highlight w:val="none"/>
        </w:rPr>
        <w:t>发包人提供的施工设备和临时设施</w:t>
      </w:r>
    </w:p>
    <w:p>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发包人提供的施工设备和临时设施：</w:t>
      </w:r>
      <w:r>
        <w:rPr>
          <w:color w:val="auto"/>
          <w:highlight w:val="none"/>
          <w:u w:val="single"/>
        </w:rPr>
        <w:t xml:space="preserve"> </w:t>
      </w:r>
      <w:r>
        <w:rPr>
          <w:rFonts w:hint="eastAsia"/>
          <w:color w:val="auto"/>
          <w:highlight w:val="none"/>
          <w:u w:val="single"/>
        </w:rPr>
        <w:t>无</w:t>
      </w:r>
      <w:r>
        <w:rPr>
          <w:color w:val="auto"/>
          <w:highlight w:val="none"/>
          <w:u w:val="single"/>
        </w:rPr>
        <w:t xml:space="preserve"> </w:t>
      </w:r>
      <w:r>
        <w:rPr>
          <w:rFonts w:hint="eastAsia" w:hAnsi="宋体" w:cs="宋体"/>
          <w:color w:val="auto"/>
          <w:highlight w:val="none"/>
        </w:rPr>
        <w:t>。</w:t>
      </w:r>
    </w:p>
    <w:p>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发包人提供的施工设备和临时设施的运行、维护、拆除、清运费用的承担人：</w:t>
      </w:r>
      <w:r>
        <w:rPr>
          <w:color w:val="auto"/>
          <w:highlight w:val="none"/>
          <w:u w:val="single"/>
        </w:rPr>
        <w:t xml:space="preserve"> </w:t>
      </w:r>
      <w:r>
        <w:rPr>
          <w:rFonts w:hint="eastAsia"/>
          <w:color w:val="auto"/>
          <w:highlight w:val="none"/>
          <w:u w:val="single"/>
        </w:rPr>
        <w:t>无</w:t>
      </w:r>
      <w:r>
        <w:rPr>
          <w:color w:val="auto"/>
          <w:highlight w:val="none"/>
          <w:u w:val="single"/>
        </w:rPr>
        <w:t xml:space="preserve"> </w:t>
      </w:r>
      <w:r>
        <w:rPr>
          <w:rFonts w:hint="eastAsia" w:hAnsi="宋体" w:cs="宋体"/>
          <w:color w:val="auto"/>
          <w:highlight w:val="none"/>
        </w:rPr>
        <w:t>。</w:t>
      </w:r>
    </w:p>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Pr>
        <w:pStyle w:val="4"/>
        <w:rPr>
          <w:color w:val="auto"/>
          <w:highlight w:val="none"/>
        </w:rPr>
      </w:pPr>
      <w:bookmarkStart w:id="914" w:name="_Toc66186442"/>
      <w:bookmarkStart w:id="915" w:name="_Toc407135238"/>
      <w:bookmarkStart w:id="916" w:name="_Toc351203641"/>
      <w:bookmarkStart w:id="917" w:name="_Toc373478383"/>
      <w:bookmarkStart w:id="918" w:name="_Toc373227736"/>
      <w:bookmarkStart w:id="919" w:name="_Toc389065302"/>
      <w:bookmarkStart w:id="920" w:name="_Toc26273"/>
      <w:r>
        <w:rPr>
          <w:color w:val="auto"/>
          <w:highlight w:val="none"/>
        </w:rPr>
        <w:t>9</w:t>
      </w:r>
      <w:bookmarkEnd w:id="881"/>
      <w:bookmarkEnd w:id="882"/>
      <w:bookmarkEnd w:id="883"/>
      <w:bookmarkStart w:id="921" w:name="_Toc297216192"/>
      <w:bookmarkStart w:id="922" w:name="_Toc312678021"/>
      <w:bookmarkStart w:id="923" w:name="_Toc300934982"/>
      <w:bookmarkStart w:id="924" w:name="_Toc297123533"/>
      <w:bookmarkStart w:id="925" w:name="_Toc312677495"/>
      <w:bookmarkStart w:id="926" w:name="_Toc304295559"/>
      <w:bookmarkStart w:id="927" w:name="_Toc303539139"/>
      <w:bookmarkStart w:id="928" w:name="_Toc267251428"/>
      <w:bookmarkStart w:id="929" w:name="_Toc297048359"/>
      <w:bookmarkStart w:id="930" w:name="_Toc292559883"/>
      <w:bookmarkStart w:id="931" w:name="_Toc267251427"/>
      <w:bookmarkStart w:id="932" w:name="_Toc296346674"/>
      <w:bookmarkStart w:id="933" w:name="_Toc296944512"/>
      <w:bookmarkStart w:id="934" w:name="_Toc297120473"/>
      <w:bookmarkStart w:id="935" w:name="_Toc292559378"/>
      <w:bookmarkStart w:id="936" w:name="_Toc296891213"/>
      <w:bookmarkStart w:id="937" w:name="_Toc296891001"/>
      <w:bookmarkStart w:id="938" w:name="_Toc296347172"/>
      <w:bookmarkStart w:id="939" w:name="_Toc296503173"/>
      <w:r>
        <w:rPr>
          <w:color w:val="auto"/>
          <w:highlight w:val="none"/>
        </w:rPr>
        <w:t xml:space="preserve">. </w:t>
      </w:r>
      <w:r>
        <w:rPr>
          <w:rFonts w:hint="eastAsia" w:cs="黑体"/>
          <w:color w:val="auto"/>
          <w:highlight w:val="none"/>
        </w:rPr>
        <w:t>试验与检验</w:t>
      </w:r>
      <w:bookmarkEnd w:id="914"/>
      <w:bookmarkEnd w:id="915"/>
      <w:bookmarkEnd w:id="916"/>
      <w:bookmarkEnd w:id="917"/>
      <w:bookmarkEnd w:id="918"/>
      <w:bookmarkEnd w:id="919"/>
      <w:bookmarkEnd w:id="920"/>
    </w:p>
    <w:bookmarkEnd w:id="921"/>
    <w:bookmarkEnd w:id="922"/>
    <w:bookmarkEnd w:id="923"/>
    <w:bookmarkEnd w:id="924"/>
    <w:bookmarkEnd w:id="925"/>
    <w:bookmarkEnd w:id="926"/>
    <w:bookmarkEnd w:id="927"/>
    <w:p>
      <w:pPr>
        <w:pStyle w:val="5"/>
        <w:rPr>
          <w:color w:val="auto"/>
          <w:highlight w:val="none"/>
        </w:rPr>
      </w:pPr>
      <w:bookmarkStart w:id="940" w:name="_Toc373478384"/>
      <w:bookmarkStart w:id="941" w:name="_Toc407135239"/>
      <w:bookmarkStart w:id="942" w:name="_Toc389065303"/>
      <w:bookmarkStart w:id="943" w:name="_Toc19961"/>
      <w:bookmarkStart w:id="944" w:name="_Toc373227737"/>
      <w:bookmarkStart w:id="945" w:name="_Toc66186443"/>
      <w:r>
        <w:rPr>
          <w:color w:val="auto"/>
          <w:highlight w:val="none"/>
        </w:rPr>
        <w:t>9</w:t>
      </w:r>
      <w:bookmarkStart w:id="946" w:name="_Toc300934983"/>
      <w:bookmarkStart w:id="947" w:name="_Toc303539140"/>
      <w:bookmarkStart w:id="948" w:name="_Toc304295560"/>
      <w:bookmarkStart w:id="949" w:name="_Toc312678022"/>
      <w:bookmarkStart w:id="950" w:name="_Toc297216193"/>
      <w:bookmarkStart w:id="951" w:name="_Toc297123534"/>
      <w:bookmarkStart w:id="952" w:name="_Toc312677496"/>
      <w:r>
        <w:rPr>
          <w:color w:val="auto"/>
          <w:highlight w:val="none"/>
        </w:rPr>
        <w:t xml:space="preserve">.1 </w:t>
      </w:r>
      <w:r>
        <w:rPr>
          <w:rFonts w:hint="eastAsia" w:cs="黑体"/>
          <w:color w:val="auto"/>
          <w:highlight w:val="none"/>
        </w:rPr>
        <w:t>试验设备与试验人员</w:t>
      </w:r>
      <w:bookmarkEnd w:id="940"/>
      <w:bookmarkEnd w:id="941"/>
      <w:bookmarkEnd w:id="942"/>
      <w:bookmarkEnd w:id="943"/>
      <w:bookmarkEnd w:id="944"/>
      <w:bookmarkEnd w:id="945"/>
    </w:p>
    <w:bookmarkEnd w:id="946"/>
    <w:bookmarkEnd w:id="947"/>
    <w:bookmarkEnd w:id="948"/>
    <w:bookmarkEnd w:id="949"/>
    <w:bookmarkEnd w:id="950"/>
    <w:bookmarkEnd w:id="951"/>
    <w:bookmarkEnd w:id="952"/>
    <w:p>
      <w:pPr>
        <w:spacing w:line="360" w:lineRule="auto"/>
        <w:ind w:firstLine="420" w:firstLineChars="200"/>
        <w:jc w:val="left"/>
        <w:rPr>
          <w:color w:val="auto"/>
          <w:highlight w:val="none"/>
        </w:rPr>
      </w:pPr>
      <w:r>
        <w:rPr>
          <w:color w:val="auto"/>
          <w:highlight w:val="none"/>
        </w:rPr>
        <w:t>9</w:t>
      </w:r>
      <w:bookmarkStart w:id="953" w:name="_Toc300934984"/>
      <w:bookmarkStart w:id="954" w:name="_Toc297123535"/>
      <w:bookmarkStart w:id="955" w:name="_Toc297216194"/>
      <w:bookmarkStart w:id="956" w:name="_Toc312678023"/>
      <w:bookmarkStart w:id="957" w:name="_Toc304295561"/>
      <w:bookmarkStart w:id="958" w:name="_Toc312677497"/>
      <w:bookmarkStart w:id="959" w:name="_Toc303539141"/>
      <w:bookmarkStart w:id="960" w:name="_Toc318581174"/>
      <w:r>
        <w:rPr>
          <w:color w:val="auto"/>
          <w:highlight w:val="none"/>
        </w:rPr>
        <w:t xml:space="preserve">.1.2 </w:t>
      </w:r>
      <w:r>
        <w:rPr>
          <w:rFonts w:hint="eastAsia" w:hAnsi="宋体" w:cs="宋体"/>
          <w:color w:val="auto"/>
          <w:highlight w:val="none"/>
        </w:rPr>
        <w:t>试验设备</w:t>
      </w:r>
    </w:p>
    <w:p>
      <w:pPr>
        <w:spacing w:line="360" w:lineRule="auto"/>
        <w:ind w:firstLine="420" w:firstLineChars="200"/>
        <w:jc w:val="left"/>
        <w:rPr>
          <w:color w:val="auto"/>
          <w:highlight w:val="none"/>
          <w:u w:val="single"/>
        </w:rPr>
      </w:pPr>
      <w:r>
        <w:rPr>
          <w:rFonts w:hint="eastAsia" w:hAnsi="宋体" w:cs="宋体"/>
          <w:color w:val="auto"/>
          <w:highlight w:val="none"/>
        </w:rPr>
        <w:t>施工现场需要配置的试验场所：</w:t>
      </w:r>
      <w:bookmarkEnd w:id="953"/>
      <w:bookmarkEnd w:id="954"/>
      <w:bookmarkEnd w:id="955"/>
      <w:bookmarkEnd w:id="956"/>
      <w:bookmarkEnd w:id="957"/>
      <w:bookmarkEnd w:id="958"/>
      <w:bookmarkEnd w:id="959"/>
      <w:bookmarkStart w:id="961" w:name="_Toc312678024"/>
      <w:bookmarkStart w:id="962" w:name="_Toc297216195"/>
      <w:bookmarkStart w:id="963" w:name="_Toc304295562"/>
      <w:bookmarkStart w:id="964" w:name="_Toc303539142"/>
      <w:bookmarkStart w:id="965" w:name="_Toc297123536"/>
      <w:bookmarkStart w:id="966" w:name="_Toc300934985"/>
      <w:bookmarkStart w:id="967" w:name="_Toc312677498"/>
      <w:r>
        <w:rPr>
          <w:color w:val="auto"/>
          <w:highlight w:val="none"/>
          <w:u w:val="single"/>
        </w:rPr>
        <w:t xml:space="preserve">  / </w:t>
      </w:r>
      <w:r>
        <w:rPr>
          <w:rFonts w:hint="eastAsia" w:hAnsi="宋体" w:cs="宋体"/>
          <w:color w:val="auto"/>
          <w:highlight w:val="none"/>
        </w:rPr>
        <w:t>。</w:t>
      </w:r>
    </w:p>
    <w:p>
      <w:pPr>
        <w:spacing w:line="360" w:lineRule="auto"/>
        <w:ind w:firstLine="420" w:firstLineChars="200"/>
        <w:jc w:val="left"/>
        <w:rPr>
          <w:color w:val="auto"/>
          <w:highlight w:val="none"/>
          <w:u w:val="single"/>
        </w:rPr>
      </w:pPr>
      <w:r>
        <w:rPr>
          <w:rFonts w:hint="eastAsia" w:hAnsi="宋体" w:cs="宋体"/>
          <w:color w:val="auto"/>
          <w:highlight w:val="none"/>
        </w:rPr>
        <w:t>施工现场需要配备的试验设备：</w:t>
      </w:r>
      <w:r>
        <w:rPr>
          <w:color w:val="auto"/>
          <w:highlight w:val="none"/>
          <w:u w:val="single"/>
        </w:rPr>
        <w:t xml:space="preserve"> / </w:t>
      </w:r>
      <w:r>
        <w:rPr>
          <w:rFonts w:hint="eastAsia" w:hAnsi="宋体" w:cs="宋体"/>
          <w:color w:val="auto"/>
          <w:highlight w:val="none"/>
        </w:rPr>
        <w:t>。</w:t>
      </w:r>
    </w:p>
    <w:p>
      <w:pPr>
        <w:spacing w:line="360" w:lineRule="auto"/>
        <w:ind w:firstLine="420" w:firstLineChars="200"/>
        <w:jc w:val="left"/>
        <w:rPr>
          <w:color w:val="auto"/>
          <w:highlight w:val="none"/>
          <w:u w:val="single"/>
        </w:rPr>
      </w:pPr>
      <w:r>
        <w:rPr>
          <w:rFonts w:hint="eastAsia" w:hAnsi="宋体" w:cs="宋体"/>
          <w:color w:val="auto"/>
          <w:highlight w:val="none"/>
        </w:rPr>
        <w:t>施工现场需要具备的其他试验条件：</w:t>
      </w:r>
      <w:r>
        <w:rPr>
          <w:color w:val="auto"/>
          <w:highlight w:val="none"/>
          <w:u w:val="single"/>
        </w:rPr>
        <w:t xml:space="preserve"> / </w:t>
      </w:r>
      <w:r>
        <w:rPr>
          <w:rFonts w:hint="eastAsia" w:hAnsi="宋体" w:cs="宋体"/>
          <w:color w:val="auto"/>
          <w:highlight w:val="none"/>
        </w:rPr>
        <w:t>。</w:t>
      </w:r>
    </w:p>
    <w:p>
      <w:pPr>
        <w:pStyle w:val="5"/>
        <w:rPr>
          <w:color w:val="auto"/>
          <w:highlight w:val="none"/>
        </w:rPr>
      </w:pPr>
      <w:bookmarkStart w:id="968" w:name="_Toc389065304"/>
      <w:bookmarkStart w:id="969" w:name="_Toc66186444"/>
      <w:bookmarkStart w:id="970" w:name="_Toc24697"/>
      <w:bookmarkStart w:id="971" w:name="_Toc373478385"/>
      <w:bookmarkStart w:id="972" w:name="_Toc373227738"/>
      <w:bookmarkStart w:id="973" w:name="_Toc407135240"/>
      <w:r>
        <w:rPr>
          <w:color w:val="auto"/>
          <w:highlight w:val="none"/>
        </w:rPr>
        <w:t xml:space="preserve">9.4 </w:t>
      </w:r>
      <w:r>
        <w:rPr>
          <w:rFonts w:hint="eastAsia" w:hAnsi="宋体" w:cs="黑体"/>
          <w:color w:val="auto"/>
          <w:highlight w:val="none"/>
        </w:rPr>
        <w:t>现场工艺试验</w:t>
      </w:r>
      <w:bookmarkEnd w:id="968"/>
      <w:bookmarkEnd w:id="969"/>
      <w:bookmarkEnd w:id="970"/>
      <w:bookmarkEnd w:id="971"/>
      <w:bookmarkEnd w:id="972"/>
      <w:bookmarkEnd w:id="973"/>
      <w:r>
        <w:rPr>
          <w:color w:val="auto"/>
          <w:highlight w:val="none"/>
        </w:rPr>
        <w:t xml:space="preserve"> </w:t>
      </w:r>
    </w:p>
    <w:p>
      <w:pPr>
        <w:spacing w:line="360" w:lineRule="auto"/>
        <w:ind w:firstLine="420" w:firstLineChars="200"/>
        <w:jc w:val="left"/>
        <w:rPr>
          <w:color w:val="auto"/>
          <w:highlight w:val="none"/>
        </w:rPr>
      </w:pPr>
      <w:r>
        <w:rPr>
          <w:rFonts w:hint="eastAsia" w:hAnsi="宋体" w:cs="宋体"/>
          <w:color w:val="auto"/>
          <w:highlight w:val="none"/>
        </w:rPr>
        <w:t>现场工艺试验的有关约定：</w:t>
      </w:r>
      <w:r>
        <w:rPr>
          <w:rFonts w:hint="eastAsia" w:ascii="宋体" w:hAnsi="宋体"/>
          <w:color w:val="auto"/>
          <w:highlight w:val="none"/>
          <w:u w:val="single"/>
        </w:rPr>
        <w:t>需要时双方协商</w:t>
      </w:r>
      <w:r>
        <w:rPr>
          <w:rFonts w:hint="eastAsia" w:hAnsi="宋体" w:cs="宋体"/>
          <w:color w:val="auto"/>
          <w:highlight w:val="none"/>
        </w:rPr>
        <w:t>。</w:t>
      </w:r>
    </w:p>
    <w:p>
      <w:pPr>
        <w:pStyle w:val="5"/>
        <w:rPr>
          <w:color w:val="auto"/>
          <w:highlight w:val="none"/>
        </w:rPr>
      </w:pPr>
      <w:bookmarkStart w:id="974" w:name="_Toc407135241"/>
      <w:bookmarkStart w:id="975" w:name="_Toc13778"/>
      <w:bookmarkStart w:id="976" w:name="_Toc66186445"/>
      <w:bookmarkStart w:id="977" w:name="OLE_LINK1"/>
      <w:r>
        <w:rPr>
          <w:color w:val="auto"/>
          <w:highlight w:val="none"/>
        </w:rPr>
        <w:t xml:space="preserve">9.5 </w:t>
      </w:r>
      <w:r>
        <w:rPr>
          <w:rFonts w:hint="eastAsia" w:hAnsi="宋体" w:cs="黑体"/>
          <w:color w:val="auto"/>
          <w:highlight w:val="none"/>
        </w:rPr>
        <w:t>检验费用</w:t>
      </w:r>
      <w:bookmarkEnd w:id="974"/>
      <w:bookmarkEnd w:id="975"/>
      <w:bookmarkEnd w:id="976"/>
    </w:p>
    <w:p>
      <w:pPr>
        <w:spacing w:line="360" w:lineRule="auto"/>
        <w:ind w:firstLine="411" w:firstLineChars="196"/>
        <w:rPr>
          <w:color w:val="auto"/>
          <w:highlight w:val="none"/>
        </w:rPr>
      </w:pPr>
      <w:r>
        <w:rPr>
          <w:rFonts w:hint="eastAsia" w:hAnsi="宋体" w:cs="宋体"/>
          <w:color w:val="auto"/>
          <w:highlight w:val="none"/>
        </w:rPr>
        <w:t>根据《建设工程质量检测管理办法》（建设部令第</w:t>
      </w:r>
      <w:r>
        <w:rPr>
          <w:color w:val="auto"/>
          <w:highlight w:val="none"/>
        </w:rPr>
        <w:t>141</w:t>
      </w:r>
      <w:r>
        <w:rPr>
          <w:rFonts w:hint="eastAsia" w:hAnsi="宋体" w:cs="宋体"/>
          <w:color w:val="auto"/>
          <w:highlight w:val="none"/>
        </w:rPr>
        <w:t>号）以及《广西壮族自治区建设工程质量检测管理规定》</w:t>
      </w:r>
      <w:r>
        <w:rPr>
          <w:rFonts w:hint="eastAsia" w:cs="宋体"/>
          <w:color w:val="auto"/>
          <w:highlight w:val="none"/>
        </w:rPr>
        <w:t>（</w:t>
      </w:r>
      <w:r>
        <w:rPr>
          <w:rFonts w:hint="eastAsia" w:hAnsi="宋体" w:cs="宋体"/>
          <w:color w:val="auto"/>
          <w:highlight w:val="none"/>
        </w:rPr>
        <w:t>桂建管</w:t>
      </w:r>
      <w:r>
        <w:rPr>
          <w:rFonts w:hint="eastAsia" w:cs="宋体"/>
          <w:color w:val="auto"/>
          <w:highlight w:val="none"/>
        </w:rPr>
        <w:t>〔</w:t>
      </w:r>
      <w:r>
        <w:rPr>
          <w:color w:val="auto"/>
          <w:highlight w:val="none"/>
        </w:rPr>
        <w:t>2013</w:t>
      </w:r>
      <w:r>
        <w:rPr>
          <w:rFonts w:hint="eastAsia" w:cs="宋体"/>
          <w:color w:val="auto"/>
          <w:highlight w:val="none"/>
        </w:rPr>
        <w:t>〕</w:t>
      </w:r>
      <w:r>
        <w:rPr>
          <w:color w:val="auto"/>
          <w:highlight w:val="none"/>
        </w:rPr>
        <w:t>11</w:t>
      </w:r>
      <w:r>
        <w:rPr>
          <w:rFonts w:hint="eastAsia" w:hAnsi="宋体" w:cs="宋体"/>
          <w:color w:val="auto"/>
          <w:highlight w:val="none"/>
        </w:rPr>
        <w:t>号</w:t>
      </w:r>
      <w:r>
        <w:rPr>
          <w:rFonts w:hint="eastAsia" w:cs="宋体"/>
          <w:color w:val="auto"/>
          <w:highlight w:val="none"/>
        </w:rPr>
        <w:t>）</w:t>
      </w:r>
      <w:r>
        <w:rPr>
          <w:rFonts w:hint="eastAsia" w:hAnsi="宋体" w:cs="宋体"/>
          <w:color w:val="auto"/>
          <w:highlight w:val="none"/>
        </w:rPr>
        <w:t>规定，工程质量检测业务由发包人委托有相应资质的检测机构检测。费用从发包人的项目建设经费中支出并直接支付给检测机构，不计入合同价款内。</w:t>
      </w:r>
    </w:p>
    <w:bookmarkEnd w:id="960"/>
    <w:bookmarkEnd w:id="961"/>
    <w:bookmarkEnd w:id="962"/>
    <w:bookmarkEnd w:id="963"/>
    <w:bookmarkEnd w:id="964"/>
    <w:bookmarkEnd w:id="965"/>
    <w:bookmarkEnd w:id="966"/>
    <w:bookmarkEnd w:id="967"/>
    <w:bookmarkEnd w:id="977"/>
    <w:p>
      <w:pPr>
        <w:pStyle w:val="4"/>
        <w:rPr>
          <w:color w:val="auto"/>
          <w:highlight w:val="none"/>
        </w:rPr>
      </w:pPr>
      <w:bookmarkStart w:id="978" w:name="_Toc407135242"/>
      <w:bookmarkStart w:id="979" w:name="_Toc66186446"/>
      <w:bookmarkStart w:id="980" w:name="_Toc373227739"/>
      <w:bookmarkStart w:id="981" w:name="_Toc7141"/>
      <w:bookmarkStart w:id="982" w:name="_Toc389065305"/>
      <w:bookmarkStart w:id="983" w:name="_Toc373478386"/>
      <w:bookmarkStart w:id="984" w:name="_Toc351203642"/>
      <w:r>
        <w:rPr>
          <w:color w:val="auto"/>
          <w:highlight w:val="none"/>
        </w:rPr>
        <w:t>1</w:t>
      </w:r>
      <w:bookmarkEnd w:id="928"/>
      <w:bookmarkEnd w:id="929"/>
      <w:bookmarkEnd w:id="930"/>
      <w:bookmarkEnd w:id="931"/>
      <w:bookmarkEnd w:id="932"/>
      <w:bookmarkEnd w:id="933"/>
      <w:bookmarkEnd w:id="934"/>
      <w:bookmarkEnd w:id="935"/>
      <w:bookmarkEnd w:id="936"/>
      <w:bookmarkEnd w:id="937"/>
      <w:bookmarkEnd w:id="938"/>
      <w:bookmarkEnd w:id="939"/>
      <w:bookmarkStart w:id="985" w:name="_Toc297123540"/>
      <w:bookmarkStart w:id="986" w:name="_Toc296891021"/>
      <w:bookmarkStart w:id="987" w:name="_Toc292559903"/>
      <w:bookmarkStart w:id="988" w:name="_Toc296347192"/>
      <w:bookmarkStart w:id="989" w:name="_Toc297048379"/>
      <w:bookmarkStart w:id="990" w:name="_Toc303539146"/>
      <w:bookmarkStart w:id="991" w:name="_Toc296346694"/>
      <w:bookmarkStart w:id="992" w:name="_Toc297216199"/>
      <w:bookmarkStart w:id="993" w:name="_Toc300934989"/>
      <w:bookmarkStart w:id="994" w:name="_Toc296503193"/>
      <w:bookmarkStart w:id="995" w:name="_Toc296944532"/>
      <w:bookmarkStart w:id="996" w:name="_Toc292559398"/>
      <w:bookmarkStart w:id="997" w:name="_Toc297120493"/>
      <w:bookmarkStart w:id="998" w:name="_Toc296891233"/>
      <w:bookmarkStart w:id="999" w:name="_Toc304295566"/>
      <w:bookmarkStart w:id="1000" w:name="_Toc312678025"/>
      <w:bookmarkStart w:id="1001" w:name="_Toc312677499"/>
      <w:bookmarkStart w:id="1002" w:name="_Toc267251435"/>
      <w:bookmarkStart w:id="1003" w:name="_Toc267251441"/>
      <w:bookmarkStart w:id="1004" w:name="_Toc267251440"/>
      <w:bookmarkStart w:id="1005" w:name="_Toc267251437"/>
      <w:bookmarkStart w:id="1006" w:name="_Toc267251433"/>
      <w:bookmarkStart w:id="1007" w:name="_Toc267251439"/>
      <w:bookmarkStart w:id="1008" w:name="_Toc267251442"/>
      <w:r>
        <w:rPr>
          <w:color w:val="auto"/>
          <w:highlight w:val="none"/>
        </w:rPr>
        <w:t xml:space="preserve">0. </w:t>
      </w:r>
      <w:r>
        <w:rPr>
          <w:rFonts w:hint="eastAsia" w:hAnsi="宋体" w:cs="黑体"/>
          <w:color w:val="auto"/>
          <w:highlight w:val="none"/>
        </w:rPr>
        <w:t>变更</w:t>
      </w:r>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p>
    <w:bookmarkEnd w:id="1000"/>
    <w:bookmarkEnd w:id="1001"/>
    <w:p>
      <w:pPr>
        <w:pStyle w:val="5"/>
        <w:rPr>
          <w:color w:val="auto"/>
          <w:highlight w:val="none"/>
        </w:rPr>
      </w:pPr>
      <w:bookmarkStart w:id="1009" w:name="_Toc20804"/>
      <w:bookmarkStart w:id="1010" w:name="_Toc389065306"/>
      <w:bookmarkStart w:id="1011" w:name="_Toc373227740"/>
      <w:bookmarkStart w:id="1012" w:name="_Toc373478387"/>
      <w:bookmarkStart w:id="1013" w:name="_Toc407135243"/>
      <w:bookmarkStart w:id="1014" w:name="_Toc66186447"/>
      <w:r>
        <w:rPr>
          <w:color w:val="auto"/>
          <w:highlight w:val="none"/>
        </w:rPr>
        <w:t>1</w:t>
      </w:r>
      <w:bookmarkStart w:id="1015" w:name="_Toc292559399"/>
      <w:bookmarkStart w:id="1016" w:name="_Toc304295567"/>
      <w:bookmarkStart w:id="1017" w:name="_Toc296346695"/>
      <w:bookmarkStart w:id="1018" w:name="_Toc312677500"/>
      <w:bookmarkStart w:id="1019" w:name="_Toc292559904"/>
      <w:bookmarkStart w:id="1020" w:name="_Toc312678026"/>
      <w:bookmarkStart w:id="1021" w:name="_Toc303539147"/>
      <w:bookmarkStart w:id="1022" w:name="_Toc296503194"/>
      <w:bookmarkStart w:id="1023" w:name="_Toc296944533"/>
      <w:bookmarkStart w:id="1024" w:name="_Toc297120494"/>
      <w:bookmarkStart w:id="1025" w:name="_Toc296347193"/>
      <w:bookmarkStart w:id="1026" w:name="_Toc300934990"/>
      <w:bookmarkStart w:id="1027" w:name="_Toc297048380"/>
      <w:bookmarkStart w:id="1028" w:name="_Toc297216200"/>
      <w:bookmarkStart w:id="1029" w:name="_Toc296891022"/>
      <w:bookmarkStart w:id="1030" w:name="_Toc297123541"/>
      <w:bookmarkStart w:id="1031" w:name="_Toc296891234"/>
      <w:r>
        <w:rPr>
          <w:color w:val="auto"/>
          <w:highlight w:val="none"/>
        </w:rPr>
        <w:t xml:space="preserve">0.1 </w:t>
      </w:r>
      <w:r>
        <w:rPr>
          <w:rFonts w:hint="eastAsia" w:hAnsi="宋体" w:cs="黑体"/>
          <w:color w:val="auto"/>
          <w:highlight w:val="none"/>
        </w:rPr>
        <w:t>变更的范围</w:t>
      </w:r>
      <w:bookmarkEnd w:id="1009"/>
      <w:bookmarkEnd w:id="1010"/>
      <w:bookmarkEnd w:id="1011"/>
      <w:bookmarkEnd w:id="1012"/>
      <w:bookmarkEnd w:id="1013"/>
      <w:bookmarkEnd w:id="1014"/>
    </w:p>
    <w:p>
      <w:pPr>
        <w:spacing w:line="360" w:lineRule="auto"/>
        <w:ind w:firstLine="426"/>
        <w:jc w:val="left"/>
        <w:rPr>
          <w:color w:val="auto"/>
          <w:highlight w:val="none"/>
        </w:rPr>
      </w:pPr>
      <w:r>
        <w:rPr>
          <w:rFonts w:hint="eastAsia" w:hAnsi="宋体" w:cs="宋体"/>
          <w:color w:val="auto"/>
          <w:highlight w:val="none"/>
        </w:rPr>
        <w:t>关于变更的范围的约定：</w:t>
      </w:r>
      <w:r>
        <w:rPr>
          <w:rFonts w:hint="eastAsia" w:ascii="宋体" w:hAnsi="宋体"/>
          <w:color w:val="auto"/>
          <w:highlight w:val="none"/>
          <w:u w:val="single"/>
        </w:rPr>
        <w:t xml:space="preserve"> 按本合同《通用条款》10.1条相关规定执行</w:t>
      </w:r>
      <w:r>
        <w:rPr>
          <w:rFonts w:hint="eastAsia" w:hAnsi="宋体" w:cs="宋体"/>
          <w:color w:val="auto"/>
          <w:highlight w:val="none"/>
        </w:rPr>
        <w:t>。</w:t>
      </w:r>
    </w:p>
    <w:p>
      <w:pPr>
        <w:pStyle w:val="5"/>
        <w:rPr>
          <w:color w:val="auto"/>
          <w:highlight w:val="none"/>
        </w:rPr>
      </w:pPr>
      <w:bookmarkStart w:id="1032" w:name="_Toc373478388"/>
      <w:bookmarkStart w:id="1033" w:name="_Toc389065307"/>
      <w:bookmarkStart w:id="1034" w:name="_Toc407135244"/>
      <w:bookmarkStart w:id="1035" w:name="_Toc373227741"/>
      <w:bookmarkStart w:id="1036" w:name="_Toc27794"/>
      <w:bookmarkStart w:id="1037" w:name="_Toc66186448"/>
      <w:r>
        <w:rPr>
          <w:color w:val="auto"/>
          <w:highlight w:val="none"/>
        </w:rPr>
        <w:t xml:space="preserve">10.3 </w:t>
      </w:r>
      <w:r>
        <w:rPr>
          <w:rFonts w:hint="eastAsia" w:hAnsi="宋体" w:cs="黑体"/>
          <w:color w:val="auto"/>
          <w:highlight w:val="none"/>
        </w:rPr>
        <w:t>变更程序</w:t>
      </w:r>
      <w:bookmarkEnd w:id="1032"/>
      <w:bookmarkEnd w:id="1033"/>
      <w:bookmarkEnd w:id="1034"/>
      <w:bookmarkEnd w:id="1035"/>
      <w:bookmarkEnd w:id="1036"/>
      <w:bookmarkEnd w:id="1037"/>
    </w:p>
    <w:p>
      <w:pPr>
        <w:pStyle w:val="20"/>
        <w:spacing w:line="360" w:lineRule="auto"/>
        <w:ind w:firstLine="441" w:firstLineChars="210"/>
        <w:rPr>
          <w:rFonts w:ascii="Times New Roman" w:hAnsi="Times New Roman"/>
          <w:color w:val="auto"/>
          <w:sz w:val="21"/>
          <w:szCs w:val="21"/>
          <w:highlight w:val="none"/>
        </w:rPr>
      </w:pPr>
      <w:r>
        <w:rPr>
          <w:rFonts w:ascii="Times New Roman" w:hAnsi="Times New Roman"/>
          <w:color w:val="auto"/>
          <w:sz w:val="21"/>
          <w:szCs w:val="21"/>
          <w:highlight w:val="none"/>
        </w:rPr>
        <w:t>10.3.1</w:t>
      </w:r>
      <w:r>
        <w:rPr>
          <w:rFonts w:hint="eastAsia" w:ascii="Times New Roman" w:hAnsi="Times New Roman"/>
          <w:color w:val="auto"/>
          <w:sz w:val="21"/>
          <w:szCs w:val="21"/>
          <w:highlight w:val="none"/>
        </w:rPr>
        <w:t>国有投资项目：</w:t>
      </w:r>
    </w:p>
    <w:p>
      <w:pPr>
        <w:pStyle w:val="20"/>
        <w:spacing w:line="360" w:lineRule="auto"/>
        <w:ind w:firstLine="441" w:firstLineChars="210"/>
        <w:rPr>
          <w:rFonts w:ascii="Times New Roman" w:hAnsi="宋体"/>
          <w:color w:val="auto"/>
          <w:sz w:val="21"/>
          <w:szCs w:val="21"/>
          <w:highlight w:val="none"/>
        </w:rPr>
      </w:pPr>
      <w:r>
        <w:rPr>
          <w:rFonts w:hint="eastAsia" w:ascii="Times New Roman" w:hAnsi="宋体"/>
          <w:color w:val="auto"/>
          <w:sz w:val="21"/>
          <w:szCs w:val="21"/>
          <w:highlight w:val="none"/>
        </w:rPr>
        <w:t>⑴设计变更和工程签证，按各市政府或相关部门的规定办理。属不可抗力（自然灾害、突发事件等）造成变更的，按特事特办原则予以办理。</w:t>
      </w:r>
    </w:p>
    <w:p>
      <w:pPr>
        <w:pStyle w:val="20"/>
        <w:spacing w:line="360" w:lineRule="auto"/>
        <w:ind w:firstLine="441" w:firstLineChars="210"/>
        <w:rPr>
          <w:rFonts w:ascii="Times New Roman" w:hAnsi="宋体"/>
          <w:color w:val="auto"/>
          <w:sz w:val="21"/>
          <w:szCs w:val="21"/>
          <w:highlight w:val="none"/>
        </w:rPr>
      </w:pPr>
      <w:r>
        <w:rPr>
          <w:rFonts w:hint="eastAsia" w:ascii="Times New Roman" w:hAnsi="宋体"/>
          <w:color w:val="auto"/>
          <w:sz w:val="21"/>
          <w:szCs w:val="21"/>
          <w:highlight w:val="none"/>
        </w:rPr>
        <w:t>⑵建设单位在实施项目过程中，若发生单价变动，由发包人、承包人、监理或造价咨询等单位共同商定并签字确认。</w:t>
      </w:r>
    </w:p>
    <w:p>
      <w:pPr>
        <w:pStyle w:val="20"/>
        <w:spacing w:line="360" w:lineRule="auto"/>
        <w:ind w:firstLine="441" w:firstLineChars="210"/>
        <w:rPr>
          <w:rFonts w:ascii="Times New Roman" w:hAnsi="宋体"/>
          <w:color w:val="auto"/>
          <w:sz w:val="21"/>
          <w:szCs w:val="21"/>
          <w:highlight w:val="none"/>
        </w:rPr>
      </w:pPr>
      <w:r>
        <w:rPr>
          <w:rFonts w:hint="eastAsia" w:ascii="Times New Roman" w:hAnsi="宋体"/>
          <w:color w:val="auto"/>
          <w:sz w:val="21"/>
          <w:szCs w:val="21"/>
          <w:highlight w:val="none"/>
        </w:rPr>
        <w:t>⑶</w:t>
      </w:r>
      <w:r>
        <w:rPr>
          <w:rFonts w:ascii="Times New Roman" w:hAnsi="宋体"/>
          <w:color w:val="auto"/>
          <w:sz w:val="21"/>
          <w:szCs w:val="21"/>
          <w:highlight w:val="none"/>
        </w:rPr>
        <w:t xml:space="preserve"> </w:t>
      </w:r>
      <w:r>
        <w:rPr>
          <w:rFonts w:hint="eastAsia" w:ascii="Times New Roman" w:hAnsi="宋体"/>
          <w:color w:val="auto"/>
          <w:sz w:val="21"/>
          <w:szCs w:val="21"/>
          <w:highlight w:val="none"/>
        </w:rPr>
        <w:t>当合同规定的合同价款调整情况发生后，承包人未在规定时间内通知发包人，或者未在规定时间内提出调整报告，发包人可以根据有关资料，决定是否调整和调整的金额，并书面通知承包人。</w:t>
      </w:r>
    </w:p>
    <w:p>
      <w:pPr>
        <w:spacing w:line="360" w:lineRule="auto"/>
        <w:jc w:val="left"/>
        <w:rPr>
          <w:color w:val="auto"/>
          <w:highlight w:val="none"/>
        </w:rPr>
      </w:pPr>
      <w:r>
        <w:rPr>
          <w:color w:val="auto"/>
          <w:highlight w:val="none"/>
        </w:rPr>
        <w:t xml:space="preserve">10.3.2 </w:t>
      </w:r>
      <w:r>
        <w:rPr>
          <w:rFonts w:hint="eastAsia" w:cs="宋体"/>
          <w:color w:val="auto"/>
          <w:highlight w:val="none"/>
        </w:rPr>
        <w:t>非国有投资项目：</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pPr>
        <w:pStyle w:val="5"/>
        <w:rPr>
          <w:color w:val="auto"/>
          <w:highlight w:val="none"/>
        </w:rPr>
      </w:pPr>
      <w:bookmarkStart w:id="1038" w:name="_Toc389065308"/>
      <w:bookmarkStart w:id="1039" w:name="_Toc66186449"/>
      <w:bookmarkStart w:id="1040" w:name="_Toc407135245"/>
      <w:bookmarkStart w:id="1041" w:name="_Toc373478389"/>
      <w:bookmarkStart w:id="1042" w:name="_Toc20950"/>
      <w:bookmarkStart w:id="1043" w:name="_Toc373227742"/>
      <w:r>
        <w:rPr>
          <w:color w:val="auto"/>
          <w:highlight w:val="none"/>
        </w:rPr>
        <w:t xml:space="preserve">10.4 </w:t>
      </w:r>
      <w:r>
        <w:rPr>
          <w:rFonts w:hint="eastAsia" w:hAnsi="宋体" w:cs="黑体"/>
          <w:color w:val="auto"/>
          <w:highlight w:val="none"/>
        </w:rPr>
        <w:t>变更估价</w:t>
      </w:r>
      <w:bookmarkEnd w:id="1038"/>
      <w:bookmarkEnd w:id="1039"/>
      <w:bookmarkEnd w:id="1040"/>
      <w:bookmarkEnd w:id="1041"/>
      <w:bookmarkEnd w:id="1042"/>
      <w:bookmarkEnd w:id="1043"/>
    </w:p>
    <w:p>
      <w:pPr>
        <w:spacing w:line="360" w:lineRule="auto"/>
        <w:ind w:firstLine="420" w:firstLineChars="200"/>
        <w:jc w:val="left"/>
        <w:rPr>
          <w:color w:val="auto"/>
          <w:highlight w:val="none"/>
        </w:rPr>
      </w:pPr>
      <w:r>
        <w:rPr>
          <w:color w:val="auto"/>
          <w:highlight w:val="none"/>
        </w:rPr>
        <w:t xml:space="preserve">10.4.1 </w:t>
      </w:r>
      <w:r>
        <w:rPr>
          <w:rFonts w:hint="eastAsia" w:hAnsi="宋体" w:cs="宋体"/>
          <w:color w:val="auto"/>
          <w:highlight w:val="none"/>
        </w:rPr>
        <w:t>变更估价原则</w:t>
      </w:r>
    </w:p>
    <w:p>
      <w:pPr>
        <w:spacing w:line="360" w:lineRule="auto"/>
        <w:ind w:firstLine="420" w:firstLineChars="200"/>
        <w:jc w:val="left"/>
        <w:rPr>
          <w:rFonts w:hAnsi="宋体"/>
          <w:color w:val="auto"/>
          <w:highlight w:val="none"/>
        </w:rPr>
      </w:pPr>
      <w:r>
        <w:rPr>
          <w:rFonts w:hint="eastAsia" w:hAnsi="宋体" w:cs="宋体"/>
          <w:color w:val="auto"/>
          <w:highlight w:val="none"/>
        </w:rPr>
        <w:t>关于变更估价的约定</w:t>
      </w:r>
      <w:r>
        <w:rPr>
          <w:color w:val="auto"/>
          <w:highlight w:val="none"/>
        </w:rPr>
        <w:t xml:space="preserve">: </w:t>
      </w:r>
      <w:bookmarkStart w:id="1044" w:name="_Toc251051742"/>
      <w:r>
        <w:rPr>
          <w:rFonts w:hint="eastAsia" w:hAnsi="宋体" w:cs="宋体"/>
          <w:color w:val="auto"/>
          <w:highlight w:val="none"/>
          <w:u w:val="single"/>
        </w:rPr>
        <w:t>工程变更合同价款按下列方法进行：（</w:t>
      </w:r>
      <w:r>
        <w:rPr>
          <w:color w:val="auto"/>
          <w:highlight w:val="none"/>
          <w:u w:val="single"/>
        </w:rPr>
        <w:t>1</w:t>
      </w:r>
      <w:r>
        <w:rPr>
          <w:rFonts w:hint="eastAsia" w:hAnsi="宋体" w:cs="宋体"/>
          <w:color w:val="auto"/>
          <w:highlight w:val="none"/>
          <w:u w:val="single"/>
        </w:rPr>
        <w:t>）合同中已有相同清单项目的，按合同该清单项目价格进行计算；（</w:t>
      </w:r>
      <w:r>
        <w:rPr>
          <w:color w:val="auto"/>
          <w:highlight w:val="none"/>
          <w:u w:val="single"/>
        </w:rPr>
        <w:t>2</w:t>
      </w:r>
      <w:r>
        <w:rPr>
          <w:rFonts w:hint="eastAsia" w:hAnsi="宋体" w:cs="宋体"/>
          <w:color w:val="auto"/>
          <w:highlight w:val="none"/>
          <w:u w:val="single"/>
        </w:rPr>
        <w:t>）合同中只有类似清单项目的，参照该类似清单项目价格进行计算；（</w:t>
      </w:r>
      <w:r>
        <w:rPr>
          <w:color w:val="auto"/>
          <w:highlight w:val="none"/>
          <w:u w:val="single"/>
        </w:rPr>
        <w:t>3</w:t>
      </w:r>
      <w:r>
        <w:rPr>
          <w:rFonts w:hint="eastAsia" w:hAnsi="宋体" w:cs="宋体"/>
          <w:color w:val="auto"/>
          <w:highlight w:val="none"/>
          <w:u w:val="single"/>
        </w:rPr>
        <w:t>）合同中没有适用或类似清单项目的价格计算方法：有定额的套定额，并（</w:t>
      </w:r>
      <w:r>
        <w:rPr>
          <w:rFonts w:hint="eastAsia" w:ascii="宋体" w:hAnsi="宋体"/>
          <w:color w:val="auto"/>
          <w:highlight w:val="none"/>
          <w:u w:val="single"/>
        </w:rPr>
        <w:sym w:font="Wingdings 2" w:char="0052"/>
      </w:r>
      <w:r>
        <w:rPr>
          <w:rFonts w:hint="eastAsia" w:ascii="宋体" w:hAnsi="宋体"/>
          <w:color w:val="auto"/>
          <w:highlight w:val="none"/>
          <w:u w:val="single"/>
        </w:rPr>
        <w:t>乘以下浮系数（中标价/招标控制价）</w:t>
      </w:r>
      <w:r>
        <w:rPr>
          <w:rFonts w:hint="eastAsia" w:cs="宋体"/>
          <w:color w:val="auto"/>
          <w:highlight w:val="none"/>
          <w:u w:val="single"/>
        </w:rPr>
        <w:t>，</w:t>
      </w:r>
      <w:r>
        <w:rPr>
          <w:rFonts w:hint="eastAsia" w:cs="宋体"/>
          <w:b/>
          <w:color w:val="auto"/>
          <w:highlight w:val="none"/>
        </w:rPr>
        <w:t>□</w:t>
      </w:r>
      <w:r>
        <w:rPr>
          <w:rFonts w:hint="eastAsia" w:hAnsi="宋体" w:cs="宋体"/>
          <w:color w:val="auto"/>
          <w:highlight w:val="none"/>
          <w:u w:val="single"/>
        </w:rPr>
        <w:t>不乘下浮系数）计算，其中：材料设备价格按施工期间的《</w:t>
      </w:r>
      <w:r>
        <w:rPr>
          <w:rFonts w:hint="eastAsia"/>
          <w:color w:val="auto"/>
          <w:highlight w:val="none"/>
          <w:u w:val="single"/>
        </w:rPr>
        <w:t>南宁</w:t>
      </w:r>
      <w:r>
        <w:rPr>
          <w:rFonts w:hint="eastAsia" w:hAnsi="宋体" w:cs="宋体"/>
          <w:color w:val="auto"/>
          <w:highlight w:val="none"/>
          <w:u w:val="single"/>
        </w:rPr>
        <w:t>市建设工程造价信息》相应信息价的加权平均值计算，《</w:t>
      </w:r>
      <w:r>
        <w:rPr>
          <w:rFonts w:hint="eastAsia"/>
          <w:color w:val="auto"/>
          <w:highlight w:val="none"/>
          <w:u w:val="single"/>
        </w:rPr>
        <w:t>南宁</w:t>
      </w:r>
      <w:r>
        <w:rPr>
          <w:rFonts w:hint="eastAsia" w:hAnsi="宋体" w:cs="宋体"/>
          <w:color w:val="auto"/>
          <w:highlight w:val="none"/>
          <w:u w:val="single"/>
        </w:rPr>
        <w:t>市建设工程造价信息》没有相应信息价的，由建设单位、施工单位、监理单位根据市场行情协商确定；无定额可套的，由建设单位、施工单位、监理单位根据市场行情协商确定包含除税金以外所有费用的税前综合价格</w:t>
      </w:r>
      <w:bookmarkEnd w:id="1044"/>
      <w:r>
        <w:rPr>
          <w:rFonts w:hint="eastAsia" w:hAnsi="宋体" w:cs="宋体"/>
          <w:color w:val="auto"/>
          <w:highlight w:val="none"/>
        </w:rPr>
        <w:t>。以上约定同时适用于招标工程量清单缺项以及工程量清单项目特征与图纸不符时的价款确定。</w:t>
      </w:r>
    </w:p>
    <w:p>
      <w:pPr>
        <w:spacing w:line="360" w:lineRule="auto"/>
        <w:ind w:firstLine="420" w:firstLineChars="200"/>
        <w:jc w:val="left"/>
        <w:rPr>
          <w:rFonts w:cs="宋体"/>
          <w:color w:val="auto"/>
          <w:highlight w:val="none"/>
          <w:u w:val="single"/>
        </w:rPr>
      </w:pPr>
      <w:r>
        <w:rPr>
          <w:rFonts w:hint="eastAsia" w:cs="宋体"/>
          <w:color w:val="auto"/>
          <w:highlight w:val="none"/>
          <w:u w:val="single"/>
        </w:rPr>
        <w:t>工程变更导致实际完成的变更工程量与已标价清单或预算书中列明的该项目工程量有偏差时，其综合单价的确定按专用条款“</w:t>
      </w:r>
      <w:r>
        <w:rPr>
          <w:color w:val="auto"/>
          <w:highlight w:val="none"/>
          <w:u w:val="single"/>
        </w:rPr>
        <w:t>1.13</w:t>
      </w:r>
      <w:r>
        <w:rPr>
          <w:rFonts w:hint="eastAsia" w:cs="宋体"/>
          <w:color w:val="auto"/>
          <w:highlight w:val="none"/>
          <w:u w:val="single"/>
        </w:rPr>
        <w:t>工程量清单错误的修正”执行。</w:t>
      </w:r>
    </w:p>
    <w:p>
      <w:pPr>
        <w:pStyle w:val="5"/>
        <w:rPr>
          <w:color w:val="auto"/>
          <w:highlight w:val="none"/>
        </w:rPr>
      </w:pPr>
      <w:bookmarkStart w:id="1045" w:name="_Toc389065309"/>
      <w:bookmarkStart w:id="1046" w:name="_Toc373227743"/>
      <w:bookmarkStart w:id="1047" w:name="_Toc50"/>
      <w:bookmarkStart w:id="1048" w:name="_Toc407135246"/>
      <w:bookmarkStart w:id="1049" w:name="_Toc373478390"/>
      <w:bookmarkStart w:id="1050" w:name="_Toc66186450"/>
      <w:r>
        <w:rPr>
          <w:color w:val="auto"/>
          <w:highlight w:val="none"/>
        </w:rPr>
        <w:t>1</w:t>
      </w:r>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Start w:id="1051" w:name="_Toc296503197"/>
      <w:bookmarkStart w:id="1052" w:name="_Toc292559402"/>
      <w:bookmarkStart w:id="1053" w:name="_Toc296891025"/>
      <w:bookmarkStart w:id="1054" w:name="_Toc296944536"/>
      <w:bookmarkStart w:id="1055" w:name="_Toc297216203"/>
      <w:bookmarkStart w:id="1056" w:name="_Toc296347196"/>
      <w:bookmarkStart w:id="1057" w:name="_Toc303539150"/>
      <w:bookmarkStart w:id="1058" w:name="_Toc297048383"/>
      <w:bookmarkStart w:id="1059" w:name="_Toc297123544"/>
      <w:bookmarkStart w:id="1060" w:name="_Toc297120497"/>
      <w:bookmarkStart w:id="1061" w:name="_Toc300934993"/>
      <w:bookmarkStart w:id="1062" w:name="_Toc292559907"/>
      <w:bookmarkStart w:id="1063" w:name="_Toc296891237"/>
      <w:bookmarkStart w:id="1064" w:name="_Toc296346698"/>
      <w:bookmarkStart w:id="1065" w:name="_Toc304295570"/>
      <w:bookmarkStart w:id="1066" w:name="_Toc312677503"/>
      <w:bookmarkStart w:id="1067" w:name="_Toc312678029"/>
      <w:r>
        <w:rPr>
          <w:color w:val="auto"/>
          <w:highlight w:val="none"/>
        </w:rPr>
        <w:t xml:space="preserve">0.5 </w:t>
      </w:r>
      <w:r>
        <w:rPr>
          <w:rFonts w:hint="eastAsia" w:cs="黑体"/>
          <w:color w:val="auto"/>
          <w:highlight w:val="none"/>
        </w:rPr>
        <w:t>承</w:t>
      </w:r>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Start w:id="1068" w:name="_Toc297216204"/>
      <w:bookmarkStart w:id="1069" w:name="_Toc292559913"/>
      <w:bookmarkStart w:id="1070" w:name="_Toc292559408"/>
      <w:bookmarkStart w:id="1071" w:name="_Toc296891243"/>
      <w:bookmarkStart w:id="1072" w:name="_Toc296944542"/>
      <w:bookmarkStart w:id="1073" w:name="_Toc297120503"/>
      <w:bookmarkStart w:id="1074" w:name="_Toc297123545"/>
      <w:bookmarkStart w:id="1075" w:name="_Toc303539151"/>
      <w:bookmarkStart w:id="1076" w:name="_Toc300934994"/>
      <w:bookmarkStart w:id="1077" w:name="_Toc296503203"/>
      <w:bookmarkStart w:id="1078" w:name="_Toc296891031"/>
      <w:bookmarkStart w:id="1079" w:name="_Toc296346704"/>
      <w:bookmarkStart w:id="1080" w:name="_Toc297048389"/>
      <w:bookmarkStart w:id="1081" w:name="_Toc296347202"/>
      <w:r>
        <w:rPr>
          <w:rFonts w:hint="eastAsia" w:cs="黑体"/>
          <w:color w:val="auto"/>
          <w:highlight w:val="none"/>
        </w:rPr>
        <w:t>包人的合理化建议</w:t>
      </w:r>
      <w:bookmarkEnd w:id="1045"/>
      <w:bookmarkEnd w:id="1046"/>
      <w:bookmarkEnd w:id="1047"/>
      <w:bookmarkEnd w:id="1048"/>
      <w:bookmarkEnd w:id="1049"/>
      <w:bookmarkEnd w:id="1050"/>
    </w:p>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p>
      <w:pPr>
        <w:spacing w:line="360" w:lineRule="auto"/>
        <w:ind w:firstLine="420" w:firstLineChars="200"/>
        <w:jc w:val="left"/>
        <w:rPr>
          <w:color w:val="auto"/>
          <w:highlight w:val="none"/>
        </w:rPr>
      </w:pPr>
      <w:r>
        <w:rPr>
          <w:rFonts w:hint="eastAsia" w:hAnsi="宋体" w:cs="宋体"/>
          <w:color w:val="auto"/>
          <w:highlight w:val="none"/>
        </w:rPr>
        <w:t>监理人审查承包人合理化建议的期限：</w:t>
      </w:r>
      <w:r>
        <w:rPr>
          <w:rFonts w:hint="eastAsia" w:ascii="宋体" w:hAnsi="宋体"/>
          <w:color w:val="auto"/>
          <w:highlight w:val="none"/>
          <w:u w:val="single"/>
        </w:rPr>
        <w:t>监理人应在收到承包人提交的合理化建议后7天内审查完毕并报送发包人，发现其中存在技术上的缺陷，应通知承包人修改</w:t>
      </w:r>
      <w:r>
        <w:rPr>
          <w:rFonts w:hint="eastAsia" w:hAnsi="宋体" w:cs="宋体"/>
          <w:color w:val="auto"/>
          <w:highlight w:val="none"/>
        </w:rPr>
        <w:t>。</w:t>
      </w:r>
    </w:p>
    <w:p>
      <w:pPr>
        <w:spacing w:line="360" w:lineRule="auto"/>
        <w:ind w:firstLine="420" w:firstLineChars="200"/>
        <w:jc w:val="left"/>
        <w:rPr>
          <w:color w:val="auto"/>
          <w:highlight w:val="none"/>
        </w:rPr>
      </w:pPr>
      <w:r>
        <w:rPr>
          <w:rFonts w:hint="eastAsia" w:hAnsi="宋体" w:cs="宋体"/>
          <w:color w:val="auto"/>
          <w:highlight w:val="none"/>
        </w:rPr>
        <w:t>发包人审批承包人合理化建议的期限：</w:t>
      </w:r>
      <w:r>
        <w:rPr>
          <w:rFonts w:hint="eastAsia" w:ascii="宋体" w:hAnsi="宋体"/>
          <w:color w:val="auto"/>
          <w:highlight w:val="none"/>
          <w:u w:val="single"/>
        </w:rPr>
        <w:t>发包人应在收到监理人报送的合理化建议后7天内审批完毕</w:t>
      </w:r>
      <w:r>
        <w:rPr>
          <w:rFonts w:hint="eastAsia" w:hAnsi="宋体" w:cs="宋体"/>
          <w:color w:val="auto"/>
          <w:highlight w:val="none"/>
        </w:rPr>
        <w:t>。</w:t>
      </w:r>
    </w:p>
    <w:p>
      <w:pPr>
        <w:spacing w:line="360" w:lineRule="auto"/>
        <w:ind w:firstLine="420" w:firstLineChars="200"/>
        <w:jc w:val="left"/>
        <w:rPr>
          <w:color w:val="auto"/>
          <w:highlight w:val="none"/>
          <w:u w:val="single"/>
        </w:rPr>
      </w:pPr>
      <w:r>
        <w:rPr>
          <w:rFonts w:hint="eastAsia" w:hAnsi="宋体" w:cs="宋体"/>
          <w:color w:val="auto"/>
          <w:highlight w:val="none"/>
        </w:rPr>
        <w:t>承</w:t>
      </w:r>
      <w:bookmarkStart w:id="1082" w:name="_Toc318581175"/>
      <w:bookmarkStart w:id="1083" w:name="_Toc292559914"/>
      <w:bookmarkStart w:id="1084" w:name="_Toc296346705"/>
      <w:bookmarkStart w:id="1085" w:name="_Toc297048390"/>
      <w:bookmarkStart w:id="1086" w:name="_Toc303539152"/>
      <w:bookmarkStart w:id="1087" w:name="_Toc296944543"/>
      <w:bookmarkStart w:id="1088" w:name="_Toc297216205"/>
      <w:bookmarkStart w:id="1089" w:name="_Toc312678030"/>
      <w:bookmarkStart w:id="1090" w:name="_Toc304295571"/>
      <w:bookmarkStart w:id="1091" w:name="_Toc292559409"/>
      <w:bookmarkStart w:id="1092" w:name="_Toc297120504"/>
      <w:bookmarkStart w:id="1093" w:name="_Toc312677504"/>
      <w:bookmarkStart w:id="1094" w:name="_Toc296347203"/>
      <w:bookmarkStart w:id="1095" w:name="_Toc300934995"/>
      <w:bookmarkStart w:id="1096" w:name="_Toc296891032"/>
      <w:bookmarkStart w:id="1097" w:name="_Toc296503204"/>
      <w:bookmarkStart w:id="1098" w:name="_Toc297123546"/>
      <w:bookmarkStart w:id="1099" w:name="_Toc296891244"/>
      <w:r>
        <w:rPr>
          <w:rFonts w:hint="eastAsia" w:hAnsi="宋体" w:cs="宋体"/>
          <w:color w:val="auto"/>
          <w:highlight w:val="none"/>
        </w:rPr>
        <w:t>包人提出的合理化建议降低了合同价格或者提高了工程经济效益的奖励的方法和金额为：</w:t>
      </w:r>
      <w:r>
        <w:rPr>
          <w:rFonts w:hint="eastAsia"/>
          <w:color w:val="auto"/>
          <w:highlight w:val="none"/>
          <w:u w:val="single"/>
        </w:rPr>
        <w:t>无</w:t>
      </w:r>
      <w:r>
        <w:rPr>
          <w:rFonts w:hint="eastAsia" w:hAnsi="宋体" w:cs="宋体"/>
          <w:color w:val="auto"/>
          <w:highlight w:val="none"/>
        </w:rPr>
        <w:t>。</w:t>
      </w:r>
    </w:p>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p>
      <w:pPr>
        <w:pStyle w:val="5"/>
        <w:rPr>
          <w:color w:val="auto"/>
          <w:highlight w:val="none"/>
        </w:rPr>
      </w:pPr>
      <w:bookmarkStart w:id="1100" w:name="_Toc3988"/>
      <w:bookmarkStart w:id="1101" w:name="_Toc66186451"/>
      <w:bookmarkStart w:id="1102" w:name="_Toc373478391"/>
      <w:bookmarkStart w:id="1103" w:name="_Toc407135247"/>
      <w:bookmarkStart w:id="1104" w:name="_Toc373227744"/>
      <w:bookmarkStart w:id="1105" w:name="_Toc389065310"/>
      <w:r>
        <w:rPr>
          <w:color w:val="auto"/>
          <w:highlight w:val="none"/>
        </w:rPr>
        <w:t>1</w:t>
      </w:r>
      <w:bookmarkStart w:id="1106" w:name="_Toc296891239"/>
      <w:bookmarkStart w:id="1107" w:name="_Toc296346700"/>
      <w:bookmarkStart w:id="1108" w:name="_Toc297216207"/>
      <w:bookmarkStart w:id="1109" w:name="_Toc296944538"/>
      <w:bookmarkStart w:id="1110" w:name="_Toc297048385"/>
      <w:bookmarkStart w:id="1111" w:name="_Toc300934997"/>
      <w:bookmarkStart w:id="1112" w:name="_Toc292559404"/>
      <w:bookmarkStart w:id="1113" w:name="_Toc312678033"/>
      <w:bookmarkStart w:id="1114" w:name="_Toc312677507"/>
      <w:bookmarkStart w:id="1115" w:name="_Toc297123548"/>
      <w:bookmarkStart w:id="1116" w:name="_Toc296891027"/>
      <w:bookmarkStart w:id="1117" w:name="_Toc296347198"/>
      <w:bookmarkStart w:id="1118" w:name="_Toc303539154"/>
      <w:bookmarkStart w:id="1119" w:name="_Toc304295574"/>
      <w:bookmarkStart w:id="1120" w:name="_Toc296503199"/>
      <w:bookmarkStart w:id="1121" w:name="_Toc297120499"/>
      <w:bookmarkStart w:id="1122" w:name="_Toc292559909"/>
      <w:r>
        <w:rPr>
          <w:color w:val="auto"/>
          <w:highlight w:val="none"/>
        </w:rPr>
        <w:t xml:space="preserve">0.7 </w:t>
      </w:r>
      <w:r>
        <w:rPr>
          <w:rFonts w:hint="eastAsia" w:hAnsi="宋体" w:cs="黑体"/>
          <w:color w:val="auto"/>
          <w:highlight w:val="none"/>
        </w:rPr>
        <w:t>暂估价</w:t>
      </w:r>
      <w:bookmarkEnd w:id="1100"/>
      <w:bookmarkEnd w:id="1101"/>
      <w:bookmarkEnd w:id="1102"/>
      <w:bookmarkEnd w:id="1103"/>
      <w:bookmarkEnd w:id="1104"/>
      <w:bookmarkEnd w:id="1105"/>
    </w:p>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p>
      <w:pPr>
        <w:spacing w:line="360" w:lineRule="auto"/>
        <w:ind w:firstLine="420" w:firstLineChars="200"/>
        <w:jc w:val="left"/>
        <w:rPr>
          <w:color w:val="auto"/>
          <w:highlight w:val="none"/>
        </w:rPr>
      </w:pPr>
      <w:r>
        <w:rPr>
          <w:rFonts w:hint="eastAsia" w:hAnsi="宋体" w:cs="宋体"/>
          <w:color w:val="auto"/>
          <w:kern w:val="0"/>
          <w:highlight w:val="none"/>
        </w:rPr>
        <w:t>暂</w:t>
      </w:r>
      <w:bookmarkStart w:id="1123" w:name="_Toc312677508"/>
      <w:bookmarkStart w:id="1124" w:name="_Toc312678034"/>
      <w:bookmarkStart w:id="1125" w:name="_Toc318581176"/>
      <w:r>
        <w:rPr>
          <w:rFonts w:hint="eastAsia" w:hAnsi="宋体" w:cs="宋体"/>
          <w:color w:val="auto"/>
          <w:kern w:val="0"/>
          <w:highlight w:val="none"/>
        </w:rPr>
        <w:t>估价材料和工程设备的明细详见已标价工程量清单《</w:t>
      </w:r>
      <w:r>
        <w:rPr>
          <w:rFonts w:hint="eastAsia" w:cs="宋体"/>
          <w:color w:val="auto"/>
          <w:highlight w:val="none"/>
        </w:rPr>
        <w:t>材料（工程设备）暂估价格及调整表》</w:t>
      </w:r>
      <w:r>
        <w:rPr>
          <w:rFonts w:hint="eastAsia" w:hAnsi="宋体" w:cs="宋体"/>
          <w:color w:val="auto"/>
          <w:kern w:val="0"/>
          <w:highlight w:val="none"/>
        </w:rPr>
        <w:t>（表</w:t>
      </w:r>
      <w:r>
        <w:rPr>
          <w:rFonts w:hAnsi="宋体"/>
          <w:color w:val="auto"/>
          <w:kern w:val="0"/>
          <w:highlight w:val="none"/>
        </w:rPr>
        <w:t>12-2</w:t>
      </w:r>
      <w:r>
        <w:rPr>
          <w:rFonts w:hint="eastAsia" w:hAnsi="宋体" w:cs="宋体"/>
          <w:color w:val="auto"/>
          <w:kern w:val="0"/>
          <w:highlight w:val="none"/>
        </w:rPr>
        <w:t>）和《</w:t>
      </w:r>
      <w:r>
        <w:rPr>
          <w:rFonts w:hint="eastAsia" w:cs="宋体"/>
          <w:color w:val="auto"/>
          <w:highlight w:val="none"/>
        </w:rPr>
        <w:t>专业工程暂估价表》（</w:t>
      </w:r>
      <w:r>
        <w:rPr>
          <w:rFonts w:hint="eastAsia" w:hAnsi="宋体" w:cs="宋体"/>
          <w:color w:val="auto"/>
          <w:kern w:val="0"/>
          <w:highlight w:val="none"/>
        </w:rPr>
        <w:t>表</w:t>
      </w:r>
      <w:r>
        <w:rPr>
          <w:rFonts w:hAnsi="宋体"/>
          <w:color w:val="auto"/>
          <w:kern w:val="0"/>
          <w:highlight w:val="none"/>
        </w:rPr>
        <w:t>12-3</w:t>
      </w:r>
      <w:r>
        <w:rPr>
          <w:rFonts w:hint="eastAsia" w:hAnsi="宋体" w:cs="宋体"/>
          <w:color w:val="auto"/>
          <w:kern w:val="0"/>
          <w:highlight w:val="none"/>
        </w:rPr>
        <w:t>）。</w:t>
      </w:r>
    </w:p>
    <w:bookmarkEnd w:id="1123"/>
    <w:bookmarkEnd w:id="1124"/>
    <w:bookmarkEnd w:id="1125"/>
    <w:p>
      <w:pPr>
        <w:spacing w:line="360" w:lineRule="auto"/>
        <w:ind w:firstLine="420" w:firstLineChars="200"/>
        <w:jc w:val="left"/>
        <w:rPr>
          <w:color w:val="auto"/>
          <w:highlight w:val="none"/>
        </w:rPr>
      </w:pPr>
      <w:r>
        <w:rPr>
          <w:color w:val="auto"/>
          <w:highlight w:val="none"/>
        </w:rPr>
        <w:t>1</w:t>
      </w:r>
      <w:bookmarkStart w:id="1126" w:name="_Toc318581177"/>
      <w:bookmarkStart w:id="1127" w:name="_Toc312678035"/>
      <w:bookmarkStart w:id="1128" w:name="_Toc312677509"/>
      <w:r>
        <w:rPr>
          <w:color w:val="auto"/>
          <w:highlight w:val="none"/>
        </w:rPr>
        <w:t xml:space="preserve">0.7.1 </w:t>
      </w:r>
      <w:r>
        <w:rPr>
          <w:rFonts w:hint="eastAsia" w:hAnsi="宋体" w:cs="宋体"/>
          <w:color w:val="auto"/>
          <w:highlight w:val="none"/>
        </w:rPr>
        <w:t>依法必须招标的暂估价项目</w:t>
      </w:r>
    </w:p>
    <w:bookmarkEnd w:id="1126"/>
    <w:bookmarkEnd w:id="1127"/>
    <w:bookmarkEnd w:id="1128"/>
    <w:p>
      <w:pPr>
        <w:spacing w:line="360" w:lineRule="auto"/>
        <w:ind w:firstLine="420" w:firstLineChars="200"/>
        <w:jc w:val="left"/>
        <w:rPr>
          <w:color w:val="auto"/>
          <w:highlight w:val="none"/>
        </w:rPr>
      </w:pPr>
      <w:r>
        <w:rPr>
          <w:rFonts w:hint="eastAsia" w:hAnsi="宋体" w:cs="宋体"/>
          <w:color w:val="auto"/>
          <w:highlight w:val="none"/>
        </w:rPr>
        <w:t>对于依法必须招标的暂估价项目的确认和批准采取第</w:t>
      </w:r>
      <w:r>
        <w:rPr>
          <w:color w:val="auto"/>
          <w:highlight w:val="none"/>
          <w:u w:val="single"/>
        </w:rPr>
        <w:t xml:space="preserve"> 1 </w:t>
      </w:r>
      <w:r>
        <w:rPr>
          <w:rFonts w:hint="eastAsia" w:hAnsi="宋体" w:cs="宋体"/>
          <w:color w:val="auto"/>
          <w:highlight w:val="none"/>
        </w:rPr>
        <w:t>种方式确定。</w:t>
      </w:r>
    </w:p>
    <w:p>
      <w:pPr>
        <w:spacing w:line="360" w:lineRule="auto"/>
        <w:ind w:firstLine="420" w:firstLineChars="200"/>
        <w:jc w:val="left"/>
        <w:rPr>
          <w:color w:val="auto"/>
          <w:highlight w:val="none"/>
        </w:rPr>
      </w:pPr>
      <w:r>
        <w:rPr>
          <w:color w:val="auto"/>
          <w:highlight w:val="none"/>
        </w:rPr>
        <w:t xml:space="preserve">10.7.2 </w:t>
      </w:r>
      <w:r>
        <w:rPr>
          <w:rFonts w:hint="eastAsia" w:hAnsi="宋体" w:cs="宋体"/>
          <w:color w:val="auto"/>
          <w:highlight w:val="none"/>
        </w:rPr>
        <w:t>不属于依法必须招标的暂估价项目</w:t>
      </w:r>
    </w:p>
    <w:p>
      <w:pPr>
        <w:spacing w:line="360" w:lineRule="auto"/>
        <w:ind w:firstLine="420" w:firstLineChars="200"/>
        <w:jc w:val="left"/>
        <w:rPr>
          <w:color w:val="auto"/>
          <w:highlight w:val="none"/>
        </w:rPr>
      </w:pPr>
      <w:r>
        <w:rPr>
          <w:rFonts w:hint="eastAsia" w:hAnsi="宋体" w:cs="宋体"/>
          <w:color w:val="auto"/>
          <w:highlight w:val="none"/>
        </w:rPr>
        <w:t>对于不属于依法必须招标的暂估价项目的确认和批准采取第</w:t>
      </w:r>
      <w:r>
        <w:rPr>
          <w:color w:val="auto"/>
          <w:highlight w:val="none"/>
          <w:u w:val="single"/>
        </w:rPr>
        <w:t xml:space="preserve"> 1</w:t>
      </w:r>
      <w:r>
        <w:rPr>
          <w:rFonts w:hint="eastAsia" w:hAnsi="宋体" w:cs="宋体"/>
          <w:color w:val="auto"/>
          <w:highlight w:val="none"/>
        </w:rPr>
        <w:t>种方式确定。</w:t>
      </w:r>
    </w:p>
    <w:p>
      <w:pPr>
        <w:spacing w:line="360" w:lineRule="auto"/>
        <w:ind w:firstLine="420" w:firstLineChars="200"/>
        <w:jc w:val="left"/>
        <w:rPr>
          <w:color w:val="auto"/>
          <w:kern w:val="0"/>
          <w:highlight w:val="none"/>
        </w:rPr>
      </w:pPr>
      <w:r>
        <w:rPr>
          <w:rFonts w:hint="eastAsia" w:hAnsi="宋体" w:cs="宋体"/>
          <w:color w:val="auto"/>
          <w:highlight w:val="none"/>
        </w:rPr>
        <w:t>第</w:t>
      </w:r>
      <w:r>
        <w:rPr>
          <w:color w:val="auto"/>
          <w:highlight w:val="none"/>
        </w:rPr>
        <w:t>3</w:t>
      </w:r>
      <w:r>
        <w:rPr>
          <w:rFonts w:hint="eastAsia" w:hAnsi="宋体" w:cs="宋体"/>
          <w:color w:val="auto"/>
          <w:highlight w:val="none"/>
        </w:rPr>
        <w:t>种方式：</w:t>
      </w:r>
      <w:r>
        <w:rPr>
          <w:rFonts w:hint="eastAsia" w:hAnsi="宋体" w:cs="宋体"/>
          <w:color w:val="auto"/>
          <w:kern w:val="0"/>
          <w:highlight w:val="none"/>
        </w:rPr>
        <w:t>承包人直接实施的暂估价项目</w:t>
      </w:r>
    </w:p>
    <w:p>
      <w:pPr>
        <w:spacing w:line="360" w:lineRule="auto"/>
        <w:ind w:firstLine="420" w:firstLineChars="200"/>
        <w:jc w:val="left"/>
        <w:rPr>
          <w:color w:val="auto"/>
          <w:highlight w:val="none"/>
        </w:rPr>
      </w:pPr>
      <w:r>
        <w:rPr>
          <w:rFonts w:hint="eastAsia" w:hAnsi="宋体" w:cs="宋体"/>
          <w:color w:val="auto"/>
          <w:highlight w:val="none"/>
        </w:rPr>
        <w:t>承包人直接实施的暂估价项目的约定：</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p>
    <w:p>
      <w:pPr>
        <w:pStyle w:val="5"/>
        <w:rPr>
          <w:color w:val="auto"/>
          <w:highlight w:val="none"/>
        </w:rPr>
      </w:pPr>
      <w:bookmarkStart w:id="1129" w:name="_Toc13115"/>
      <w:bookmarkStart w:id="1130" w:name="_Toc407135248"/>
      <w:bookmarkStart w:id="1131" w:name="_Toc373478392"/>
      <w:bookmarkStart w:id="1132" w:name="_Toc66186452"/>
      <w:bookmarkStart w:id="1133" w:name="_Toc389065311"/>
      <w:bookmarkStart w:id="1134" w:name="_Toc373227745"/>
      <w:r>
        <w:rPr>
          <w:color w:val="auto"/>
          <w:highlight w:val="none"/>
        </w:rPr>
        <w:t xml:space="preserve">10.8 </w:t>
      </w:r>
      <w:r>
        <w:rPr>
          <w:rFonts w:hint="eastAsia" w:hAnsi="宋体" w:cs="黑体"/>
          <w:color w:val="auto"/>
          <w:highlight w:val="none"/>
        </w:rPr>
        <w:t>暂列金额</w:t>
      </w:r>
      <w:bookmarkEnd w:id="1129"/>
      <w:bookmarkEnd w:id="1130"/>
      <w:bookmarkEnd w:id="1131"/>
      <w:bookmarkEnd w:id="1132"/>
      <w:bookmarkEnd w:id="1133"/>
      <w:bookmarkEnd w:id="1134"/>
    </w:p>
    <w:p>
      <w:pPr>
        <w:autoSpaceDE w:val="0"/>
        <w:autoSpaceDN w:val="0"/>
        <w:adjustRightInd w:val="0"/>
        <w:spacing w:line="360" w:lineRule="auto"/>
        <w:ind w:firstLine="420" w:firstLineChars="200"/>
        <w:jc w:val="left"/>
        <w:rPr>
          <w:color w:val="auto"/>
          <w:highlight w:val="none"/>
          <w:u w:val="single"/>
        </w:rPr>
      </w:pPr>
      <w:r>
        <w:rPr>
          <w:rFonts w:hint="eastAsia" w:hAnsi="宋体" w:cs="宋体"/>
          <w:color w:val="auto"/>
          <w:kern w:val="0"/>
          <w:highlight w:val="none"/>
        </w:rPr>
        <w:t>合同当事人关于暂列金额使用的约定：</w:t>
      </w:r>
      <w:r>
        <w:rPr>
          <w:rFonts w:hint="eastAsia" w:ascii="宋体" w:hAnsi="宋体"/>
          <w:color w:val="auto"/>
          <w:highlight w:val="none"/>
          <w:u w:val="single"/>
        </w:rPr>
        <w:t xml:space="preserve"> 由承包人根据实际情况提出申请，监理人审核后，交发包人最终确认后使用 </w:t>
      </w:r>
      <w:r>
        <w:rPr>
          <w:rFonts w:hint="eastAsia" w:hAnsi="宋体" w:cs="宋体"/>
          <w:color w:val="auto"/>
          <w:kern w:val="0"/>
          <w:highlight w:val="none"/>
        </w:rPr>
        <w:t>。</w:t>
      </w:r>
    </w:p>
    <w:p>
      <w:pPr>
        <w:pStyle w:val="4"/>
        <w:numPr>
          <w:ilvl w:val="0"/>
          <w:numId w:val="4"/>
        </w:numPr>
        <w:rPr>
          <w:color w:val="auto"/>
          <w:highlight w:val="none"/>
        </w:rPr>
      </w:pPr>
      <w:bookmarkStart w:id="1135" w:name="_Toc389065312"/>
      <w:bookmarkStart w:id="1136" w:name="_Toc373478393"/>
      <w:bookmarkStart w:id="1137" w:name="_Toc373227746"/>
      <w:bookmarkStart w:id="1138" w:name="_Toc12114"/>
      <w:bookmarkStart w:id="1139" w:name="_Toc407135249"/>
      <w:bookmarkStart w:id="1140" w:name="_Toc66186453"/>
      <w:bookmarkStart w:id="1141" w:name="_Toc351203643"/>
      <w:r>
        <w:rPr>
          <w:rFonts w:hint="eastAsia" w:hAnsi="宋体" w:cs="黑体"/>
          <w:color w:val="auto"/>
          <w:highlight w:val="none"/>
        </w:rPr>
        <w:t>价格调整</w:t>
      </w:r>
      <w:bookmarkEnd w:id="1135"/>
      <w:bookmarkEnd w:id="1136"/>
      <w:bookmarkEnd w:id="1137"/>
      <w:bookmarkEnd w:id="1138"/>
      <w:bookmarkEnd w:id="1139"/>
      <w:bookmarkEnd w:id="1140"/>
      <w:bookmarkEnd w:id="1141"/>
    </w:p>
    <w:p>
      <w:pPr>
        <w:pStyle w:val="5"/>
        <w:rPr>
          <w:color w:val="auto"/>
          <w:highlight w:val="none"/>
        </w:rPr>
      </w:pPr>
      <w:bookmarkStart w:id="1142" w:name="_Toc389065313"/>
      <w:bookmarkStart w:id="1143" w:name="_Toc373227747"/>
      <w:bookmarkStart w:id="1144" w:name="_Toc12443"/>
      <w:bookmarkStart w:id="1145" w:name="_Toc66186454"/>
      <w:bookmarkStart w:id="1146" w:name="_Toc373478394"/>
      <w:bookmarkStart w:id="1147" w:name="_Toc407135250"/>
      <w:bookmarkStart w:id="1148" w:name="_Toc296347200"/>
      <w:bookmarkStart w:id="1149" w:name="_Toc312678039"/>
      <w:bookmarkStart w:id="1150" w:name="_Toc296346702"/>
      <w:bookmarkStart w:id="1151" w:name="_Toc292559406"/>
      <w:bookmarkStart w:id="1152" w:name="_Toc297216209"/>
      <w:bookmarkStart w:id="1153" w:name="_Toc296503201"/>
      <w:bookmarkStart w:id="1154" w:name="_Toc292559911"/>
      <w:bookmarkStart w:id="1155" w:name="_Toc297123550"/>
      <w:bookmarkStart w:id="1156" w:name="_Toc297120501"/>
      <w:bookmarkStart w:id="1157" w:name="_Toc303539157"/>
      <w:bookmarkStart w:id="1158" w:name="_Toc297048387"/>
      <w:bookmarkStart w:id="1159" w:name="_Toc304295577"/>
      <w:bookmarkStart w:id="1160" w:name="_Toc296944540"/>
      <w:bookmarkStart w:id="1161" w:name="_Toc296891029"/>
      <w:bookmarkStart w:id="1162" w:name="_Toc300935000"/>
      <w:bookmarkStart w:id="1163" w:name="_Toc296891241"/>
      <w:r>
        <w:rPr>
          <w:color w:val="auto"/>
          <w:highlight w:val="none"/>
        </w:rPr>
        <w:t xml:space="preserve">11.1 </w:t>
      </w:r>
      <w:r>
        <w:rPr>
          <w:rFonts w:hint="eastAsia" w:cs="黑体"/>
          <w:color w:val="auto"/>
          <w:highlight w:val="none"/>
        </w:rPr>
        <w:t>市场价格波动引起的调整</w:t>
      </w:r>
      <w:bookmarkEnd w:id="1142"/>
      <w:bookmarkEnd w:id="1143"/>
      <w:bookmarkEnd w:id="1144"/>
      <w:bookmarkEnd w:id="1145"/>
      <w:bookmarkEnd w:id="1146"/>
      <w:bookmarkEnd w:id="1147"/>
    </w:p>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p>
      <w:pPr>
        <w:spacing w:line="360" w:lineRule="auto"/>
        <w:ind w:firstLine="420" w:firstLineChars="200"/>
        <w:jc w:val="left"/>
        <w:rPr>
          <w:color w:val="auto"/>
          <w:highlight w:val="none"/>
        </w:rPr>
      </w:pPr>
      <w:r>
        <w:rPr>
          <w:rFonts w:hint="eastAsia" w:hAnsi="宋体" w:cs="宋体"/>
          <w:color w:val="auto"/>
          <w:kern w:val="0"/>
          <w:highlight w:val="none"/>
        </w:rPr>
        <w:t>市场价格波动是否调整合同价格的约定：</w:t>
      </w:r>
      <w:r>
        <w:rPr>
          <w:rFonts w:hint="eastAsia" w:ascii="宋体" w:hAnsi="宋体"/>
          <w:color w:val="auto"/>
          <w:highlight w:val="none"/>
          <w:u w:val="single"/>
        </w:rPr>
        <w:t>是</w:t>
      </w:r>
      <w:r>
        <w:rPr>
          <w:rFonts w:hint="eastAsia" w:hAnsi="宋体" w:cs="宋体"/>
          <w:color w:val="auto"/>
          <w:highlight w:val="none"/>
        </w:rPr>
        <w:t>。</w:t>
      </w:r>
    </w:p>
    <w:p>
      <w:pPr>
        <w:spacing w:line="360" w:lineRule="auto"/>
        <w:ind w:firstLine="420" w:firstLineChars="200"/>
        <w:jc w:val="left"/>
        <w:rPr>
          <w:color w:val="auto"/>
          <w:highlight w:val="none"/>
        </w:rPr>
      </w:pPr>
      <w:r>
        <w:rPr>
          <w:rFonts w:hint="eastAsia" w:hAnsi="宋体" w:cs="宋体"/>
          <w:color w:val="auto"/>
          <w:highlight w:val="none"/>
        </w:rPr>
        <w:t>因市场价格波动调整合同价格，采用以下第</w:t>
      </w:r>
      <w:r>
        <w:rPr>
          <w:rFonts w:ascii="宋体" w:hAnsi="宋体"/>
          <w:color w:val="auto"/>
          <w:highlight w:val="none"/>
          <w:u w:val="single"/>
        </w:rPr>
        <w:t xml:space="preserve">  2  </w:t>
      </w:r>
      <w:r>
        <w:rPr>
          <w:rFonts w:hint="eastAsia" w:hAnsi="宋体" w:cs="宋体"/>
          <w:color w:val="auto"/>
          <w:highlight w:val="none"/>
        </w:rPr>
        <w:t>种方式对合同价格进行调整：</w:t>
      </w:r>
    </w:p>
    <w:p>
      <w:pPr>
        <w:spacing w:line="360" w:lineRule="auto"/>
        <w:ind w:firstLine="420" w:firstLineChars="200"/>
        <w:jc w:val="left"/>
        <w:rPr>
          <w:color w:val="auto"/>
          <w:highlight w:val="none"/>
        </w:rPr>
      </w:pPr>
      <w:r>
        <w:rPr>
          <w:rFonts w:hint="eastAsia" w:hAnsi="宋体" w:cs="宋体"/>
          <w:color w:val="auto"/>
          <w:highlight w:val="none"/>
        </w:rPr>
        <w:t>第</w:t>
      </w:r>
      <w:r>
        <w:rPr>
          <w:color w:val="auto"/>
          <w:highlight w:val="none"/>
        </w:rPr>
        <w:t>1</w:t>
      </w:r>
      <w:r>
        <w:rPr>
          <w:rFonts w:hint="eastAsia" w:hAnsi="宋体" w:cs="宋体"/>
          <w:color w:val="auto"/>
          <w:highlight w:val="none"/>
        </w:rPr>
        <w:t>种方式：采用价格指数进行价格调整。</w:t>
      </w:r>
    </w:p>
    <w:p>
      <w:pPr>
        <w:spacing w:line="360" w:lineRule="auto"/>
        <w:ind w:firstLine="420" w:firstLineChars="200"/>
        <w:jc w:val="left"/>
        <w:rPr>
          <w:color w:val="auto"/>
          <w:highlight w:val="none"/>
          <w:u w:val="single"/>
        </w:rPr>
      </w:pPr>
      <w:r>
        <w:rPr>
          <w:rFonts w:hint="eastAsia" w:hAnsi="宋体" w:cs="宋体"/>
          <w:color w:val="auto"/>
          <w:highlight w:val="none"/>
        </w:rPr>
        <w:t>关于各可调因子、定值和变值权重，以及基本价格指数及其来源的约定：</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hAnsi="宋体" w:cs="宋体"/>
          <w:color w:val="auto"/>
          <w:highlight w:val="none"/>
        </w:rPr>
        <w:t>；</w:t>
      </w:r>
      <w:r>
        <w:rPr>
          <w:color w:val="auto"/>
          <w:highlight w:val="none"/>
        </w:rPr>
        <w:t xml:space="preserve">  </w:t>
      </w:r>
    </w:p>
    <w:p>
      <w:pPr>
        <w:spacing w:line="360" w:lineRule="auto"/>
        <w:ind w:firstLine="420" w:firstLineChars="200"/>
        <w:jc w:val="left"/>
        <w:rPr>
          <w:rFonts w:hAnsi="宋体"/>
          <w:color w:val="auto"/>
          <w:highlight w:val="none"/>
        </w:rPr>
      </w:pPr>
      <w:r>
        <w:rPr>
          <w:rFonts w:hint="eastAsia" w:hAnsi="宋体" w:cs="宋体"/>
          <w:color w:val="auto"/>
          <w:highlight w:val="none"/>
        </w:rPr>
        <w:t>第</w:t>
      </w:r>
      <w:r>
        <w:rPr>
          <w:color w:val="auto"/>
          <w:highlight w:val="none"/>
        </w:rPr>
        <w:t>2</w:t>
      </w:r>
      <w:r>
        <w:rPr>
          <w:rFonts w:hint="eastAsia" w:hAnsi="宋体" w:cs="宋体"/>
          <w:color w:val="auto"/>
          <w:highlight w:val="none"/>
        </w:rPr>
        <w:t>种方式：采用造价信息进行价格调整。</w:t>
      </w:r>
    </w:p>
    <w:p>
      <w:pPr>
        <w:spacing w:line="360" w:lineRule="auto"/>
        <w:ind w:firstLine="420" w:firstLineChars="200"/>
        <w:jc w:val="left"/>
        <w:rPr>
          <w:rFonts w:hAnsi="宋体"/>
          <w:color w:val="auto"/>
          <w:highlight w:val="none"/>
        </w:rPr>
      </w:pPr>
      <w:r>
        <w:rPr>
          <w:rFonts w:hint="eastAsia" w:hAnsi="宋体" w:cs="宋体"/>
          <w:color w:val="auto"/>
          <w:highlight w:val="none"/>
        </w:rPr>
        <w:t>（</w:t>
      </w:r>
      <w:r>
        <w:rPr>
          <w:color w:val="auto"/>
          <w:highlight w:val="none"/>
        </w:rPr>
        <w:t>1</w:t>
      </w:r>
      <w:r>
        <w:rPr>
          <w:rFonts w:hint="eastAsia" w:hAnsi="宋体" w:cs="宋体"/>
          <w:color w:val="auto"/>
          <w:highlight w:val="none"/>
        </w:rPr>
        <w:t>）允许调整的主要材料和设备、基期价格、风险系数、投标报价：钢筋、水泥、混凝土、砖、砂石、甲方指定材料或设备，其余均不予调整</w:t>
      </w:r>
      <w:r>
        <w:rPr>
          <w:rFonts w:hint="eastAsia" w:ascii="Calibri" w:hAnsi="宋体" w:cs="宋体"/>
          <w:color w:val="auto"/>
          <w:highlight w:val="none"/>
        </w:rPr>
        <w:t>。</w:t>
      </w:r>
    </w:p>
    <w:p>
      <w:pPr>
        <w:spacing w:line="360" w:lineRule="auto"/>
        <w:ind w:firstLine="420" w:firstLineChars="200"/>
        <w:jc w:val="left"/>
        <w:rPr>
          <w:rFonts w:hAnsi="宋体"/>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）主要材料和设备确认价：</w:t>
      </w:r>
    </w:p>
    <w:p>
      <w:pPr>
        <w:spacing w:line="360" w:lineRule="auto"/>
        <w:ind w:firstLine="420" w:firstLineChars="200"/>
        <w:jc w:val="left"/>
        <w:rPr>
          <w:color w:val="auto"/>
          <w:highlight w:val="none"/>
        </w:rPr>
      </w:pPr>
      <w:r>
        <w:rPr>
          <w:rFonts w:hint="eastAsia" w:hAnsi="宋体" w:cs="宋体"/>
          <w:color w:val="auto"/>
          <w:highlight w:val="none"/>
        </w:rPr>
        <w:t>按施工期间《</w:t>
      </w:r>
      <w:r>
        <w:rPr>
          <w:rFonts w:hint="eastAsia"/>
          <w:color w:val="auto"/>
          <w:highlight w:val="none"/>
          <w:u w:val="single"/>
        </w:rPr>
        <w:t>南宁</w:t>
      </w:r>
      <w:r>
        <w:rPr>
          <w:rFonts w:hint="eastAsia" w:hAnsi="宋体" w:cs="宋体"/>
          <w:color w:val="auto"/>
          <w:highlight w:val="none"/>
        </w:rPr>
        <w:t>市建设工程造价信息》材料信息价的加权平均价计算，信息价没有的按专用条款规定确定。</w:t>
      </w:r>
    </w:p>
    <w:p>
      <w:pPr>
        <w:spacing w:line="360" w:lineRule="auto"/>
        <w:ind w:firstLine="420" w:firstLineChars="200"/>
        <w:jc w:val="left"/>
        <w:rPr>
          <w:rFonts w:hAnsi="宋体"/>
          <w:color w:val="auto"/>
          <w:highlight w:val="none"/>
        </w:rPr>
      </w:pPr>
      <w:r>
        <w:rPr>
          <w:rFonts w:hint="eastAsia" w:hAnsi="宋体" w:cs="宋体"/>
          <w:color w:val="auto"/>
          <w:highlight w:val="none"/>
        </w:rPr>
        <w:t>（</w:t>
      </w:r>
      <w:r>
        <w:rPr>
          <w:color w:val="auto"/>
          <w:highlight w:val="none"/>
        </w:rPr>
        <w:t>3</w:t>
      </w:r>
      <w:r>
        <w:rPr>
          <w:rFonts w:hint="eastAsia" w:hAnsi="宋体" w:cs="宋体"/>
          <w:color w:val="auto"/>
          <w:highlight w:val="none"/>
        </w:rPr>
        <w:t>）价差计算方法：</w:t>
      </w:r>
    </w:p>
    <w:p>
      <w:pPr>
        <w:spacing w:line="360" w:lineRule="auto"/>
        <w:ind w:firstLine="420" w:firstLineChars="200"/>
        <w:jc w:val="left"/>
        <w:rPr>
          <w:rFonts w:hAnsi="宋体"/>
          <w:color w:val="auto"/>
          <w:highlight w:val="none"/>
        </w:rPr>
      </w:pPr>
      <w:r>
        <w:rPr>
          <w:rFonts w:hint="eastAsia" w:hAnsi="宋体" w:cs="宋体"/>
          <w:color w:val="auto"/>
          <w:highlight w:val="none"/>
        </w:rPr>
        <w:t>①《承包人提供主要材料和设备一览表》中载明的材料和设备投标报价低于基准价格的：合同履行期间材料和设备单价涨幅以基准价格为基础超过</w:t>
      </w:r>
      <w:r>
        <w:rPr>
          <w:rFonts w:hint="eastAsia" w:hAnsi="宋体" w:cs="宋体"/>
          <w:color w:val="auto"/>
          <w:highlight w:val="none"/>
          <w:u w:val="single"/>
        </w:rPr>
        <w:t xml:space="preserve"> 8% </w:t>
      </w:r>
      <w:r>
        <w:rPr>
          <w:rFonts w:hint="eastAsia" w:hAnsi="宋体" w:cs="宋体"/>
          <w:color w:val="auto"/>
          <w:highlight w:val="none"/>
        </w:rPr>
        <w:t>时，或材料和设备单价跌幅以投标报价为基础超过</w:t>
      </w:r>
      <w:r>
        <w:rPr>
          <w:rFonts w:hint="eastAsia" w:hAnsi="宋体" w:cs="宋体"/>
          <w:color w:val="auto"/>
          <w:highlight w:val="none"/>
          <w:u w:val="single"/>
        </w:rPr>
        <w:t xml:space="preserve"> 8% </w:t>
      </w:r>
      <w:r>
        <w:rPr>
          <w:rFonts w:hint="eastAsia" w:hAnsi="宋体" w:cs="宋体"/>
          <w:color w:val="auto"/>
          <w:highlight w:val="none"/>
        </w:rPr>
        <w:t>时，对其超过部分进行价差调整，价差计算公式：价格上涨价差=确认价-基准价*（1+8%），价格下跌价差=确认价-投标报价*（1</w:t>
      </w:r>
      <w:r>
        <w:rPr>
          <w:rFonts w:hAnsi="宋体" w:cs="宋体"/>
          <w:color w:val="auto"/>
          <w:highlight w:val="none"/>
        </w:rPr>
        <w:t>-</w:t>
      </w:r>
      <w:r>
        <w:rPr>
          <w:rFonts w:hint="eastAsia" w:hAnsi="宋体" w:cs="宋体"/>
          <w:color w:val="auto"/>
          <w:highlight w:val="none"/>
        </w:rPr>
        <w:t>8%）。</w:t>
      </w:r>
    </w:p>
    <w:p>
      <w:pPr>
        <w:spacing w:line="360" w:lineRule="auto"/>
        <w:ind w:firstLine="420" w:firstLineChars="200"/>
        <w:jc w:val="left"/>
        <w:rPr>
          <w:rFonts w:hAnsi="宋体"/>
          <w:color w:val="auto"/>
          <w:highlight w:val="none"/>
        </w:rPr>
      </w:pPr>
      <w:r>
        <w:rPr>
          <w:rFonts w:hint="eastAsia" w:hAnsi="宋体" w:cs="宋体"/>
          <w:color w:val="auto"/>
          <w:highlight w:val="none"/>
        </w:rPr>
        <w:t>②承包人在《承包人提供主要材料和设备一览表》中载明的材料和设备投标报价高于基准价格的：合同履行期间材料和设备单价跌幅以基准价格为基础超过约定的风险范围时，或材料和设备单价涨幅以投标报价为基础超过约定的风险范围时，对其超过部分进行价差调整。价差计算公式：价格上涨价差=确认价-投标报价*（1+8%），价格下跌价差=确认价-基准价*（1</w:t>
      </w:r>
      <w:r>
        <w:rPr>
          <w:rFonts w:hAnsi="宋体" w:cs="宋体"/>
          <w:color w:val="auto"/>
          <w:highlight w:val="none"/>
        </w:rPr>
        <w:t>-</w:t>
      </w:r>
      <w:r>
        <w:rPr>
          <w:rFonts w:hint="eastAsia" w:hAnsi="宋体" w:cs="宋体"/>
          <w:color w:val="auto"/>
          <w:highlight w:val="none"/>
        </w:rPr>
        <w:t>8%。）</w:t>
      </w:r>
    </w:p>
    <w:p>
      <w:pPr>
        <w:spacing w:line="360" w:lineRule="auto"/>
        <w:ind w:firstLine="420" w:firstLineChars="200"/>
        <w:jc w:val="left"/>
        <w:rPr>
          <w:color w:val="auto"/>
          <w:highlight w:val="none"/>
        </w:rPr>
      </w:pPr>
      <w:r>
        <w:rPr>
          <w:rFonts w:hint="eastAsia" w:hAnsi="宋体" w:cs="宋体"/>
          <w:color w:val="auto"/>
          <w:highlight w:val="none"/>
        </w:rPr>
        <w:t>③承包人在《承包人提供主要材料和设备一览表》中载明的材料和设备单价等于基准单价的：合同履行期间材料和设备单价涨跌幅以基准单价为基础超过</w:t>
      </w:r>
      <w:r>
        <w:rPr>
          <w:rFonts w:hint="eastAsia" w:hAnsi="宋体" w:cs="宋体"/>
          <w:color w:val="auto"/>
          <w:highlight w:val="none"/>
          <w:u w:val="single"/>
        </w:rPr>
        <w:t xml:space="preserve"> ±</w:t>
      </w:r>
      <w:r>
        <w:rPr>
          <w:rFonts w:hint="eastAsia" w:hAnsi="宋体" w:cs="宋体"/>
          <w:color w:val="auto"/>
          <w:highlight w:val="none"/>
        </w:rPr>
        <w:t>8% 时，对其超过部分进行价差调整。价差计算公式：上涨或下跌价差=确认价-基准单价*（1</w:t>
      </w:r>
      <w:r>
        <w:rPr>
          <w:rFonts w:hAnsi="宋体" w:cs="宋体"/>
          <w:color w:val="auto"/>
          <w:highlight w:val="none"/>
        </w:rPr>
        <w:t>-</w:t>
      </w:r>
      <w:r>
        <w:rPr>
          <w:rFonts w:hint="eastAsia" w:hAnsi="宋体" w:cs="宋体"/>
          <w:color w:val="auto"/>
          <w:highlight w:val="none"/>
        </w:rPr>
        <w:t>8%））</w:t>
      </w:r>
    </w:p>
    <w:p>
      <w:pPr>
        <w:spacing w:line="360" w:lineRule="auto"/>
        <w:ind w:firstLine="645"/>
        <w:jc w:val="left"/>
        <w:rPr>
          <w:rFonts w:hAnsi="宋体" w:cs="宋体"/>
          <w:color w:val="auto"/>
          <w:highlight w:val="none"/>
        </w:rPr>
      </w:pPr>
      <w:r>
        <w:rPr>
          <w:rFonts w:hint="eastAsia" w:hAnsi="宋体" w:cs="宋体"/>
          <w:color w:val="auto"/>
          <w:highlight w:val="none"/>
        </w:rPr>
        <w:t>④基准价格的约定：基准价格以南宁市建设工程造价信息2021年第8期为准，无信息价的参考招标控制价的材料设备价格。</w:t>
      </w:r>
    </w:p>
    <w:p>
      <w:pPr>
        <w:spacing w:line="360" w:lineRule="auto"/>
        <w:ind w:firstLine="645"/>
        <w:jc w:val="left"/>
        <w:rPr>
          <w:color w:val="auto"/>
          <w:highlight w:val="none"/>
        </w:rPr>
      </w:pPr>
      <w:r>
        <w:rPr>
          <w:rFonts w:hint="eastAsia" w:hAnsi="宋体" w:cs="宋体"/>
          <w:color w:val="auto"/>
          <w:highlight w:val="none"/>
        </w:rPr>
        <w:t>第</w:t>
      </w:r>
      <w:r>
        <w:rPr>
          <w:rFonts w:hAnsi="宋体"/>
          <w:color w:val="auto"/>
          <w:highlight w:val="none"/>
        </w:rPr>
        <w:t>3</w:t>
      </w:r>
      <w:r>
        <w:rPr>
          <w:rFonts w:hint="eastAsia" w:hAnsi="宋体" w:cs="宋体"/>
          <w:color w:val="auto"/>
          <w:highlight w:val="none"/>
        </w:rPr>
        <w:t>种方式：</w:t>
      </w:r>
      <w:r>
        <w:rPr>
          <w:color w:val="auto"/>
          <w:highlight w:val="none"/>
          <w:u w:val="single"/>
        </w:rPr>
        <w:t xml:space="preserve"> </w:t>
      </w:r>
      <w:r>
        <w:rPr>
          <w:rFonts w:hint="eastAsia"/>
          <w:color w:val="auto"/>
          <w:highlight w:val="none"/>
          <w:u w:val="single"/>
        </w:rPr>
        <w:t>/</w:t>
      </w:r>
      <w:r>
        <w:rPr>
          <w:color w:val="auto"/>
          <w:highlight w:val="none"/>
          <w:u w:val="single"/>
        </w:rPr>
        <w:t xml:space="preserve"> </w:t>
      </w:r>
      <w:r>
        <w:rPr>
          <w:rFonts w:hint="eastAsia" w:cs="宋体"/>
          <w:color w:val="auto"/>
          <w:highlight w:val="none"/>
        </w:rPr>
        <w:t>。</w:t>
      </w:r>
    </w:p>
    <w:bookmarkEnd w:id="1002"/>
    <w:bookmarkEnd w:id="1003"/>
    <w:bookmarkEnd w:id="1004"/>
    <w:bookmarkEnd w:id="1005"/>
    <w:bookmarkEnd w:id="1006"/>
    <w:bookmarkEnd w:id="1007"/>
    <w:p>
      <w:pPr>
        <w:pStyle w:val="4"/>
        <w:rPr>
          <w:color w:val="auto"/>
          <w:highlight w:val="none"/>
        </w:rPr>
      </w:pPr>
      <w:bookmarkStart w:id="1164" w:name="_Toc296347204"/>
      <w:bookmarkStart w:id="1165" w:name="_Toc297048391"/>
      <w:bookmarkStart w:id="1166" w:name="_Toc296503205"/>
      <w:bookmarkStart w:id="1167" w:name="_Toc296891033"/>
      <w:bookmarkStart w:id="1168" w:name="_Toc296891245"/>
      <w:bookmarkStart w:id="1169" w:name="_Toc292559410"/>
      <w:bookmarkStart w:id="1170" w:name="_Toc296944544"/>
      <w:bookmarkStart w:id="1171" w:name="_Toc296346706"/>
      <w:bookmarkStart w:id="1172" w:name="_Toc297120505"/>
      <w:bookmarkStart w:id="1173" w:name="_Toc292559915"/>
      <w:bookmarkStart w:id="1174" w:name="_Toc373478395"/>
      <w:bookmarkStart w:id="1175" w:name="_Toc3073"/>
      <w:bookmarkStart w:id="1176" w:name="_Toc407135251"/>
      <w:bookmarkStart w:id="1177" w:name="_Toc66186455"/>
      <w:bookmarkStart w:id="1178" w:name="_Toc351203644"/>
      <w:bookmarkStart w:id="1179" w:name="_Toc373227748"/>
      <w:bookmarkStart w:id="1180" w:name="_Toc297123552"/>
      <w:bookmarkStart w:id="1181" w:name="_Toc312678040"/>
      <w:bookmarkStart w:id="1182" w:name="_Toc300935002"/>
      <w:bookmarkStart w:id="1183" w:name="_Toc303539159"/>
      <w:bookmarkStart w:id="1184" w:name="_Toc304295579"/>
      <w:bookmarkStart w:id="1185" w:name="_Toc297216211"/>
      <w:r>
        <w:rPr>
          <w:color w:val="auto"/>
          <w:highlight w:val="none"/>
        </w:rPr>
        <w:t xml:space="preserve">12. </w:t>
      </w:r>
      <w:bookmarkEnd w:id="1164"/>
      <w:bookmarkEnd w:id="1165"/>
      <w:bookmarkEnd w:id="1166"/>
      <w:bookmarkEnd w:id="1167"/>
      <w:bookmarkEnd w:id="1168"/>
      <w:bookmarkEnd w:id="1169"/>
      <w:bookmarkEnd w:id="1170"/>
      <w:bookmarkEnd w:id="1171"/>
      <w:bookmarkEnd w:id="1172"/>
      <w:bookmarkEnd w:id="1173"/>
      <w:r>
        <w:rPr>
          <w:rFonts w:hint="eastAsia" w:cs="黑体"/>
          <w:color w:val="auto"/>
          <w:highlight w:val="none"/>
        </w:rPr>
        <w:t>合同价格、计量与支付</w:t>
      </w:r>
      <w:bookmarkEnd w:id="1174"/>
      <w:bookmarkEnd w:id="1175"/>
      <w:bookmarkEnd w:id="1176"/>
      <w:bookmarkEnd w:id="1177"/>
      <w:bookmarkEnd w:id="1178"/>
      <w:bookmarkEnd w:id="1179"/>
    </w:p>
    <w:bookmarkEnd w:id="1180"/>
    <w:bookmarkEnd w:id="1181"/>
    <w:bookmarkEnd w:id="1182"/>
    <w:bookmarkEnd w:id="1183"/>
    <w:bookmarkEnd w:id="1184"/>
    <w:bookmarkEnd w:id="1185"/>
    <w:p>
      <w:pPr>
        <w:pStyle w:val="5"/>
        <w:rPr>
          <w:color w:val="auto"/>
          <w:highlight w:val="none"/>
        </w:rPr>
      </w:pPr>
      <w:bookmarkStart w:id="1186" w:name="_Toc292559916"/>
      <w:bookmarkStart w:id="1187" w:name="_Toc267251461"/>
      <w:bookmarkStart w:id="1188" w:name="_Toc292559411"/>
      <w:bookmarkStart w:id="1189" w:name="_Toc296944545"/>
      <w:bookmarkStart w:id="1190" w:name="_Toc297120506"/>
      <w:bookmarkStart w:id="1191" w:name="_Toc296891034"/>
      <w:bookmarkStart w:id="1192" w:name="_Toc296891246"/>
      <w:bookmarkStart w:id="1193" w:name="_Toc296347205"/>
      <w:bookmarkStart w:id="1194" w:name="_Toc296346707"/>
      <w:bookmarkStart w:id="1195" w:name="_Toc296503206"/>
      <w:bookmarkStart w:id="1196" w:name="_Toc297048392"/>
      <w:bookmarkStart w:id="1197" w:name="_Toc373227749"/>
      <w:bookmarkStart w:id="1198" w:name="_Toc407135252"/>
      <w:bookmarkStart w:id="1199" w:name="_Toc373478396"/>
      <w:bookmarkStart w:id="1200" w:name="_Toc23609"/>
      <w:bookmarkStart w:id="1201" w:name="_Toc389065314"/>
      <w:bookmarkStart w:id="1202" w:name="_Toc66186456"/>
      <w:bookmarkStart w:id="1203" w:name="_Toc300935003"/>
      <w:bookmarkStart w:id="1204" w:name="_Toc297123553"/>
      <w:bookmarkStart w:id="1205" w:name="_Toc303539160"/>
      <w:bookmarkStart w:id="1206" w:name="_Toc312678041"/>
      <w:bookmarkStart w:id="1207" w:name="_Toc297216212"/>
      <w:bookmarkStart w:id="1208" w:name="_Toc304295580"/>
      <w:r>
        <w:rPr>
          <w:color w:val="auto"/>
          <w:highlight w:val="none"/>
        </w:rPr>
        <w:t xml:space="preserve">12.1 </w:t>
      </w:r>
      <w:r>
        <w:rPr>
          <w:rFonts w:hint="eastAsia" w:hAnsi="宋体" w:cs="黑体"/>
          <w:color w:val="auto"/>
          <w:highlight w:val="none"/>
        </w:rPr>
        <w:t>合</w:t>
      </w:r>
      <w:bookmarkEnd w:id="1186"/>
      <w:bookmarkEnd w:id="1187"/>
      <w:bookmarkEnd w:id="1188"/>
      <w:r>
        <w:rPr>
          <w:rFonts w:hint="eastAsia" w:hAnsi="宋体" w:cs="黑体"/>
          <w:color w:val="auto"/>
          <w:highlight w:val="none"/>
        </w:rPr>
        <w:t>同价</w:t>
      </w:r>
      <w:bookmarkEnd w:id="1189"/>
      <w:bookmarkEnd w:id="1190"/>
      <w:bookmarkEnd w:id="1191"/>
      <w:bookmarkEnd w:id="1192"/>
      <w:bookmarkEnd w:id="1193"/>
      <w:bookmarkEnd w:id="1194"/>
      <w:bookmarkEnd w:id="1195"/>
      <w:bookmarkEnd w:id="1196"/>
      <w:r>
        <w:rPr>
          <w:rFonts w:hint="eastAsia" w:hAnsi="宋体" w:cs="黑体"/>
          <w:color w:val="auto"/>
          <w:highlight w:val="none"/>
        </w:rPr>
        <w:t>格形式</w:t>
      </w:r>
      <w:bookmarkEnd w:id="1197"/>
      <w:bookmarkEnd w:id="1198"/>
      <w:bookmarkEnd w:id="1199"/>
      <w:bookmarkEnd w:id="1200"/>
      <w:bookmarkEnd w:id="1201"/>
      <w:bookmarkEnd w:id="1202"/>
    </w:p>
    <w:bookmarkEnd w:id="1203"/>
    <w:bookmarkEnd w:id="1204"/>
    <w:bookmarkEnd w:id="1205"/>
    <w:bookmarkEnd w:id="1206"/>
    <w:bookmarkEnd w:id="1207"/>
    <w:bookmarkEnd w:id="1208"/>
    <w:p>
      <w:pPr>
        <w:spacing w:line="360" w:lineRule="auto"/>
        <w:ind w:firstLine="420" w:firstLineChars="200"/>
        <w:jc w:val="left"/>
        <w:rPr>
          <w:rFonts w:hAnsi="宋体"/>
          <w:color w:val="auto"/>
          <w:highlight w:val="none"/>
        </w:rPr>
      </w:pPr>
      <w:bookmarkStart w:id="1209" w:name="_Toc389065315"/>
      <w:bookmarkStart w:id="1210" w:name="_Toc373478397"/>
      <w:bookmarkStart w:id="1211" w:name="_Toc373227750"/>
      <w:bookmarkStart w:id="1212" w:name="_Toc297216213"/>
      <w:bookmarkStart w:id="1213" w:name="_Toc303539161"/>
      <w:bookmarkStart w:id="1214" w:name="_Toc304295581"/>
      <w:bookmarkStart w:id="1215" w:name="_Toc312678042"/>
      <w:bookmarkStart w:id="1216" w:name="_Toc300935004"/>
      <w:bookmarkStart w:id="1217" w:name="_Toc297123554"/>
      <w:bookmarkStart w:id="1218" w:name="_Toc292559917"/>
      <w:bookmarkStart w:id="1219" w:name="_Toc292559412"/>
      <w:bookmarkStart w:id="1220" w:name="_Toc296944546"/>
      <w:bookmarkStart w:id="1221" w:name="_Toc296347206"/>
      <w:bookmarkStart w:id="1222" w:name="_Toc296346708"/>
      <w:bookmarkStart w:id="1223" w:name="_Toc297048393"/>
      <w:bookmarkStart w:id="1224" w:name="_Toc297120507"/>
      <w:bookmarkStart w:id="1225" w:name="_Toc296891247"/>
      <w:bookmarkStart w:id="1226" w:name="_Toc296891035"/>
      <w:bookmarkStart w:id="1227" w:name="_Toc296503207"/>
      <w:r>
        <w:rPr>
          <w:rFonts w:hint="eastAsia" w:hAnsi="宋体" w:cs="宋体"/>
          <w:color w:val="auto"/>
          <w:highlight w:val="none"/>
        </w:rPr>
        <w:t>本工程采用</w:t>
      </w:r>
      <w:r>
        <w:rPr>
          <w:rFonts w:hAnsi="宋体"/>
          <w:color w:val="auto"/>
          <w:highlight w:val="none"/>
          <w:u w:val="single"/>
        </w:rPr>
        <w:t xml:space="preserve"> </w:t>
      </w:r>
      <w:r>
        <w:rPr>
          <w:rFonts w:hint="eastAsia" w:hAnsi="宋体"/>
          <w:color w:val="auto"/>
          <w:highlight w:val="none"/>
          <w:u w:val="single"/>
        </w:rPr>
        <w:t>固定单价</w:t>
      </w:r>
      <w:r>
        <w:rPr>
          <w:rFonts w:hAnsi="宋体"/>
          <w:color w:val="auto"/>
          <w:highlight w:val="none"/>
          <w:u w:val="single"/>
        </w:rPr>
        <w:t xml:space="preserve">  </w:t>
      </w:r>
      <w:r>
        <w:rPr>
          <w:rFonts w:hint="eastAsia" w:hAnsi="宋体" w:cs="宋体"/>
          <w:color w:val="auto"/>
          <w:highlight w:val="none"/>
        </w:rPr>
        <w:t>合同价格形式，合同价格包含增值税，本工程计价时采用的增值税计税方法为：</w:t>
      </w:r>
      <w:r>
        <w:rPr>
          <w:rFonts w:ascii="Arial" w:hAnsi="Arial" w:cs="Arial"/>
          <w:color w:val="auto"/>
          <w:highlight w:val="none"/>
        </w:rPr>
        <w:fldChar w:fldCharType="begin"/>
      </w:r>
      <w:r>
        <w:rPr>
          <w:rFonts w:ascii="Arial" w:hAnsi="Arial" w:cs="Arial"/>
          <w:color w:val="auto"/>
          <w:highlight w:val="none"/>
        </w:rPr>
        <w:instrText xml:space="preserve"> </w:instrText>
      </w:r>
      <w:r>
        <w:rPr>
          <w:rFonts w:hint="eastAsia" w:ascii="Arial" w:hAnsi="Arial" w:cs="Arial"/>
          <w:color w:val="auto"/>
          <w:highlight w:val="none"/>
        </w:rPr>
        <w:instrText xml:space="preserve">eq \o\ac(□,√)</w:instrText>
      </w:r>
      <w:r>
        <w:rPr>
          <w:rFonts w:ascii="Arial" w:hAnsi="Arial" w:cs="Arial"/>
          <w:color w:val="auto"/>
          <w:highlight w:val="none"/>
        </w:rPr>
        <w:fldChar w:fldCharType="end"/>
      </w:r>
      <w:r>
        <w:rPr>
          <w:rFonts w:hint="eastAsia" w:hAnsi="宋体" w:cs="宋体"/>
          <w:color w:val="auto"/>
          <w:highlight w:val="none"/>
        </w:rPr>
        <w:t xml:space="preserve">一般计税法   </w:t>
      </w:r>
      <w:r>
        <w:rPr>
          <w:rFonts w:hint="eastAsia" w:ascii="宋体" w:hAnsi="宋体" w:cs="宋体"/>
          <w:color w:val="auto"/>
          <w:highlight w:val="none"/>
        </w:rPr>
        <w:t>□</w:t>
      </w:r>
      <w:r>
        <w:rPr>
          <w:rFonts w:hint="eastAsia" w:hAnsi="宋体" w:cs="宋体"/>
          <w:color w:val="auto"/>
          <w:highlight w:val="none"/>
        </w:rPr>
        <w:t>简易计税法。</w:t>
      </w:r>
    </w:p>
    <w:p>
      <w:pPr>
        <w:spacing w:line="360" w:lineRule="auto"/>
        <w:ind w:firstLine="420" w:firstLineChars="200"/>
        <w:jc w:val="left"/>
        <w:rPr>
          <w:rFonts w:hAnsi="宋体"/>
          <w:color w:val="auto"/>
          <w:highlight w:val="none"/>
        </w:rPr>
      </w:pPr>
      <w:r>
        <w:rPr>
          <w:rFonts w:hint="eastAsia" w:hAnsi="宋体" w:cs="宋体"/>
          <w:color w:val="auto"/>
          <w:highlight w:val="none"/>
        </w:rPr>
        <w:t>（</w:t>
      </w:r>
      <w:r>
        <w:rPr>
          <w:rFonts w:hAnsi="宋体"/>
          <w:color w:val="auto"/>
          <w:highlight w:val="none"/>
        </w:rPr>
        <w:t>1</w:t>
      </w:r>
      <w:r>
        <w:rPr>
          <w:rFonts w:hint="eastAsia" w:hAnsi="宋体" w:cs="宋体"/>
          <w:color w:val="auto"/>
          <w:highlight w:val="none"/>
        </w:rPr>
        <w:t>）单价合同。</w:t>
      </w:r>
    </w:p>
    <w:p>
      <w:pPr>
        <w:spacing w:line="360" w:lineRule="auto"/>
        <w:ind w:firstLine="420" w:firstLineChars="200"/>
        <w:jc w:val="left"/>
        <w:rPr>
          <w:rFonts w:hAnsi="宋体"/>
          <w:color w:val="auto"/>
          <w:highlight w:val="none"/>
        </w:rPr>
      </w:pPr>
      <w:r>
        <w:rPr>
          <w:rFonts w:hint="eastAsia" w:hAnsi="宋体" w:cs="宋体"/>
          <w:color w:val="auto"/>
          <w:highlight w:val="none"/>
        </w:rPr>
        <w:t>采用综合单价合同方式时，工程量按建设单位、监理单位、施工单位三方确认的竣工图结算。</w:t>
      </w:r>
    </w:p>
    <w:p>
      <w:pPr>
        <w:spacing w:line="360" w:lineRule="auto"/>
        <w:ind w:firstLine="420" w:firstLineChars="200"/>
        <w:jc w:val="left"/>
        <w:rPr>
          <w:rFonts w:hAnsi="宋体"/>
          <w:color w:val="auto"/>
          <w:highlight w:val="none"/>
        </w:rPr>
      </w:pPr>
      <w:r>
        <w:rPr>
          <w:rFonts w:hint="eastAsia" w:hAnsi="宋体" w:cs="宋体"/>
          <w:color w:val="auto"/>
          <w:highlight w:val="none"/>
        </w:rPr>
        <w:t>综合单价包含的风险范围：</w:t>
      </w:r>
      <w:r>
        <w:rPr>
          <w:rFonts w:hint="eastAsia" w:hAnsi="宋体" w:cs="宋体"/>
          <w:color w:val="auto"/>
          <w:highlight w:val="none"/>
          <w:u w:val="single"/>
        </w:rPr>
        <w:t>除工程变更、项目特征不符、工程量清单缺项、工程量偏差、政策性调整、本工程《承包人提供主要材料和设备一览表》中约定的材料和设备价格变动风险以外的其他风险因素。</w:t>
      </w:r>
    </w:p>
    <w:p>
      <w:pPr>
        <w:spacing w:line="360" w:lineRule="auto"/>
        <w:ind w:firstLine="420" w:firstLineChars="200"/>
        <w:jc w:val="left"/>
        <w:rPr>
          <w:rFonts w:hAnsi="宋体" w:cs="宋体"/>
          <w:color w:val="auto"/>
          <w:highlight w:val="none"/>
        </w:rPr>
      </w:pPr>
      <w:r>
        <w:rPr>
          <w:rFonts w:hint="eastAsia" w:hAnsi="宋体" w:cs="宋体"/>
          <w:color w:val="auto"/>
          <w:highlight w:val="none"/>
        </w:rPr>
        <w:t>风险范围以外合同价格的调整方法：</w:t>
      </w:r>
    </w:p>
    <w:p>
      <w:pPr>
        <w:spacing w:line="360" w:lineRule="auto"/>
        <w:ind w:firstLine="420" w:firstLineChars="200"/>
        <w:jc w:val="left"/>
        <w:rPr>
          <w:rFonts w:hAnsi="宋体" w:cs="宋体"/>
          <w:color w:val="auto"/>
          <w:highlight w:val="none"/>
        </w:rPr>
      </w:pPr>
      <w:r>
        <w:rPr>
          <w:rFonts w:hint="eastAsia" w:hAnsi="宋体" w:cs="宋体"/>
          <w:color w:val="auto"/>
          <w:highlight w:val="none"/>
        </w:rPr>
        <w:t>①工程变更</w:t>
      </w:r>
      <w:r>
        <w:rPr>
          <w:rFonts w:hint="eastAsia" w:ascii="Calibri" w:hAnsi="宋体" w:cs="宋体"/>
          <w:color w:val="auto"/>
          <w:highlight w:val="none"/>
        </w:rPr>
        <w:t>、项目特征不符、工程量清单缺项</w:t>
      </w:r>
      <w:r>
        <w:rPr>
          <w:rFonts w:hint="eastAsia" w:hAnsi="宋体" w:cs="宋体"/>
          <w:color w:val="auto"/>
          <w:highlight w:val="none"/>
        </w:rPr>
        <w:t>：按</w:t>
      </w:r>
      <w:r>
        <w:rPr>
          <w:rFonts w:hAnsi="宋体" w:cs="宋体"/>
          <w:color w:val="auto"/>
          <w:highlight w:val="none"/>
        </w:rPr>
        <w:t>10.4.1</w:t>
      </w:r>
      <w:r>
        <w:rPr>
          <w:rFonts w:hint="eastAsia" w:hAnsi="宋体" w:cs="宋体"/>
          <w:color w:val="auto"/>
          <w:highlight w:val="none"/>
        </w:rPr>
        <w:t>变更估价原则的约定调整。</w:t>
      </w:r>
    </w:p>
    <w:p>
      <w:pPr>
        <w:spacing w:line="360" w:lineRule="auto"/>
        <w:ind w:firstLine="420" w:firstLineChars="200"/>
        <w:jc w:val="left"/>
        <w:rPr>
          <w:rFonts w:hAnsi="宋体" w:cs="宋体"/>
          <w:color w:val="auto"/>
          <w:highlight w:val="none"/>
        </w:rPr>
      </w:pPr>
      <w:r>
        <w:rPr>
          <w:rFonts w:hint="eastAsia" w:hAnsi="宋体" w:cs="宋体"/>
          <w:color w:val="auto"/>
          <w:highlight w:val="none"/>
        </w:rPr>
        <w:t>②</w:t>
      </w:r>
      <w:r>
        <w:rPr>
          <w:rFonts w:hint="eastAsia" w:ascii="Calibri" w:hAnsi="宋体" w:cs="宋体"/>
          <w:color w:val="auto"/>
          <w:highlight w:val="none"/>
        </w:rPr>
        <w:t>工程量偏差：按1.13工程量清单错误修正的约定调整。</w:t>
      </w:r>
    </w:p>
    <w:p>
      <w:pPr>
        <w:spacing w:line="360" w:lineRule="auto"/>
        <w:ind w:firstLine="420" w:firstLineChars="200"/>
        <w:jc w:val="left"/>
        <w:rPr>
          <w:rFonts w:hAnsi="宋体" w:cs="宋体"/>
          <w:color w:val="auto"/>
          <w:highlight w:val="none"/>
        </w:rPr>
      </w:pPr>
      <w:r>
        <w:rPr>
          <w:rFonts w:hint="eastAsia" w:hAnsi="宋体" w:cs="宋体"/>
          <w:color w:val="auto"/>
          <w:highlight w:val="none"/>
        </w:rPr>
        <w:t>③政策性调整：</w:t>
      </w:r>
      <w:r>
        <w:rPr>
          <w:rFonts w:hint="eastAsia" w:ascii="仿宋_GB2312" w:hAnsi="宋体"/>
          <w:color w:val="auto"/>
          <w:highlight w:val="none"/>
        </w:rPr>
        <w:t>按自治区住房城乡建设厅或工程所在地住房城乡建设主管部门颁布的文件执行</w:t>
      </w:r>
      <w:r>
        <w:rPr>
          <w:rFonts w:hint="eastAsia" w:hAnsi="宋体" w:cs="宋体"/>
          <w:color w:val="auto"/>
          <w:highlight w:val="none"/>
        </w:rPr>
        <w:t>。</w:t>
      </w:r>
    </w:p>
    <w:p>
      <w:pPr>
        <w:spacing w:line="360" w:lineRule="auto"/>
        <w:ind w:firstLine="420" w:firstLineChars="200"/>
        <w:jc w:val="left"/>
        <w:rPr>
          <w:rFonts w:hAnsi="宋体" w:cs="宋体"/>
          <w:color w:val="auto"/>
          <w:highlight w:val="none"/>
        </w:rPr>
      </w:pPr>
      <w:r>
        <w:rPr>
          <w:rFonts w:hint="eastAsia" w:hAnsi="宋体" w:cs="宋体"/>
          <w:color w:val="auto"/>
          <w:highlight w:val="none"/>
        </w:rPr>
        <w:t>④材料价格风险：按</w:t>
      </w:r>
      <w:r>
        <w:rPr>
          <w:rFonts w:hAnsi="宋体" w:cs="宋体"/>
          <w:color w:val="auto"/>
          <w:highlight w:val="none"/>
        </w:rPr>
        <w:t>11.1</w:t>
      </w:r>
      <w:r>
        <w:rPr>
          <w:rFonts w:hint="eastAsia" w:hAnsi="宋体" w:cs="宋体"/>
          <w:color w:val="auto"/>
          <w:highlight w:val="none"/>
        </w:rPr>
        <w:t>的约定调整。</w:t>
      </w:r>
    </w:p>
    <w:p>
      <w:pPr>
        <w:spacing w:line="360" w:lineRule="auto"/>
        <w:ind w:firstLine="420" w:firstLineChars="200"/>
        <w:jc w:val="left"/>
        <w:rPr>
          <w:rFonts w:hAnsi="宋体"/>
          <w:color w:val="auto"/>
          <w:highlight w:val="none"/>
        </w:rPr>
      </w:pPr>
      <w:r>
        <w:rPr>
          <w:rFonts w:hint="eastAsia" w:hAnsi="宋体" w:cs="宋体"/>
          <w:color w:val="auto"/>
          <w:highlight w:val="none"/>
        </w:rPr>
        <w:t>⑤其它：</w:t>
      </w:r>
      <w:r>
        <w:rPr>
          <w:rFonts w:hint="eastAsia" w:hAnsi="宋体"/>
          <w:color w:val="auto"/>
          <w:highlight w:val="none"/>
          <w:u w:val="single"/>
          <w:lang w:eastAsia="zh-CN"/>
        </w:rPr>
        <w:t>承包人</w:t>
      </w:r>
      <w:r>
        <w:rPr>
          <w:rFonts w:hint="eastAsia" w:hAnsi="宋体"/>
          <w:color w:val="auto"/>
          <w:highlight w:val="none"/>
          <w:u w:val="single"/>
        </w:rPr>
        <w:t>有关规定在施工现场采取的疫情防控措施费用按实际发生另行计算，并列入总价措施项目费内</w:t>
      </w:r>
      <w:r>
        <w:rPr>
          <w:rFonts w:hint="eastAsia" w:hAnsi="宋体" w:cs="宋体"/>
          <w:color w:val="auto"/>
          <w:highlight w:val="none"/>
        </w:rPr>
        <w:t>。</w:t>
      </w:r>
    </w:p>
    <w:p>
      <w:pPr>
        <w:pStyle w:val="5"/>
        <w:rPr>
          <w:color w:val="auto"/>
          <w:highlight w:val="none"/>
        </w:rPr>
      </w:pPr>
      <w:bookmarkStart w:id="1228" w:name="_Toc66186457"/>
      <w:bookmarkStart w:id="1229" w:name="_Toc967"/>
      <w:bookmarkStart w:id="1230" w:name="_Toc407135253"/>
      <w:r>
        <w:rPr>
          <w:color w:val="auto"/>
          <w:highlight w:val="none"/>
        </w:rPr>
        <w:t xml:space="preserve">12.2 </w:t>
      </w:r>
      <w:r>
        <w:rPr>
          <w:rFonts w:hint="eastAsia" w:hAnsi="宋体" w:cs="黑体"/>
          <w:color w:val="auto"/>
          <w:highlight w:val="none"/>
        </w:rPr>
        <w:t>预付款</w:t>
      </w:r>
      <w:bookmarkEnd w:id="1209"/>
      <w:bookmarkEnd w:id="1210"/>
      <w:bookmarkEnd w:id="1211"/>
      <w:bookmarkEnd w:id="1228"/>
      <w:bookmarkEnd w:id="1229"/>
      <w:bookmarkEnd w:id="1230"/>
    </w:p>
    <w:bookmarkEnd w:id="1212"/>
    <w:bookmarkEnd w:id="1213"/>
    <w:bookmarkEnd w:id="1214"/>
    <w:bookmarkEnd w:id="1215"/>
    <w:bookmarkEnd w:id="1216"/>
    <w:bookmarkEnd w:id="1217"/>
    <w:p>
      <w:pPr>
        <w:spacing w:line="360" w:lineRule="auto"/>
        <w:ind w:firstLine="420" w:firstLineChars="200"/>
        <w:jc w:val="left"/>
        <w:rPr>
          <w:color w:val="auto"/>
          <w:highlight w:val="none"/>
        </w:rPr>
      </w:pPr>
      <w:r>
        <w:rPr>
          <w:color w:val="auto"/>
          <w:highlight w:val="none"/>
        </w:rPr>
        <w:t xml:space="preserve">12.2.1 </w:t>
      </w:r>
      <w:r>
        <w:rPr>
          <w:rFonts w:hint="eastAsia" w:hAnsi="宋体" w:cs="宋体"/>
          <w:color w:val="auto"/>
          <w:highlight w:val="none"/>
        </w:rPr>
        <w:t>预付款的支付</w:t>
      </w:r>
    </w:p>
    <w:p>
      <w:pPr>
        <w:spacing w:line="360" w:lineRule="auto"/>
        <w:ind w:firstLine="420" w:firstLineChars="200"/>
        <w:jc w:val="left"/>
        <w:rPr>
          <w:color w:val="auto"/>
          <w:highlight w:val="none"/>
        </w:rPr>
      </w:pPr>
      <w:r>
        <w:rPr>
          <w:rFonts w:hint="eastAsia" w:hAnsi="宋体" w:cs="宋体"/>
          <w:color w:val="auto"/>
          <w:highlight w:val="none"/>
        </w:rPr>
        <w:t>预付款支付比例或金额：</w:t>
      </w:r>
      <w:r>
        <w:rPr>
          <w:rFonts w:hint="eastAsia"/>
          <w:color w:val="auto"/>
          <w:highlight w:val="none"/>
          <w:u w:val="single"/>
        </w:rPr>
        <w:t>合同总价的 30 %</w:t>
      </w:r>
      <w:r>
        <w:rPr>
          <w:rFonts w:hint="eastAsia" w:hAnsi="宋体" w:cs="宋体"/>
          <w:color w:val="auto"/>
          <w:highlight w:val="none"/>
          <w:u w:val="single"/>
        </w:rPr>
        <w:t>（合同价款扣除发包人材料设备价款、暂估专业工程、暂列金额后的30</w:t>
      </w:r>
      <w:r>
        <w:rPr>
          <w:color w:val="auto"/>
          <w:highlight w:val="none"/>
          <w:u w:val="single"/>
        </w:rPr>
        <w:t>%</w:t>
      </w:r>
      <w:r>
        <w:rPr>
          <w:rFonts w:hint="eastAsia" w:hAnsi="宋体" w:cs="宋体"/>
          <w:color w:val="auto"/>
          <w:highlight w:val="none"/>
          <w:u w:val="single"/>
        </w:rPr>
        <w:t>）</w:t>
      </w:r>
      <w:r>
        <w:rPr>
          <w:rFonts w:hint="eastAsia" w:hAnsi="宋体" w:cs="宋体"/>
          <w:color w:val="auto"/>
          <w:highlight w:val="none"/>
        </w:rPr>
        <w:t>。</w:t>
      </w:r>
    </w:p>
    <w:p>
      <w:pPr>
        <w:spacing w:line="360" w:lineRule="auto"/>
        <w:ind w:firstLine="420" w:firstLineChars="200"/>
        <w:jc w:val="left"/>
        <w:rPr>
          <w:color w:val="auto"/>
          <w:highlight w:val="none"/>
        </w:rPr>
      </w:pPr>
      <w:r>
        <w:rPr>
          <w:rFonts w:hint="eastAsia" w:hAnsi="宋体" w:cs="宋体"/>
          <w:color w:val="auto"/>
          <w:highlight w:val="none"/>
        </w:rPr>
        <w:t>预付款支付期限：</w:t>
      </w:r>
      <w:r>
        <w:rPr>
          <w:rFonts w:hint="eastAsia"/>
          <w:color w:val="auto"/>
          <w:highlight w:val="none"/>
          <w:u w:val="single"/>
        </w:rPr>
        <w:t>合同签订后</w:t>
      </w:r>
      <w:r>
        <w:rPr>
          <w:color w:val="auto"/>
          <w:highlight w:val="none"/>
          <w:u w:val="single"/>
        </w:rPr>
        <w:t>10</w:t>
      </w:r>
      <w:r>
        <w:rPr>
          <w:rFonts w:hint="eastAsia"/>
          <w:color w:val="auto"/>
          <w:highlight w:val="none"/>
          <w:u w:val="single"/>
        </w:rPr>
        <w:t>个工作日内</w:t>
      </w:r>
      <w:r>
        <w:rPr>
          <w:rFonts w:hint="eastAsia" w:hAnsi="宋体" w:cs="宋体"/>
          <w:color w:val="auto"/>
          <w:highlight w:val="none"/>
        </w:rPr>
        <w:t>。</w:t>
      </w:r>
    </w:p>
    <w:p>
      <w:pPr>
        <w:spacing w:line="360" w:lineRule="auto"/>
        <w:ind w:firstLine="420" w:firstLineChars="200"/>
        <w:jc w:val="left"/>
        <w:rPr>
          <w:color w:val="auto"/>
          <w:highlight w:val="none"/>
        </w:rPr>
      </w:pPr>
      <w:r>
        <w:rPr>
          <w:rFonts w:hint="eastAsia" w:hAnsi="宋体" w:cs="宋体"/>
          <w:color w:val="auto"/>
          <w:highlight w:val="none"/>
        </w:rPr>
        <w:t>预付款扣回的方式：</w:t>
      </w:r>
      <w:r>
        <w:rPr>
          <w:rFonts w:hint="eastAsia" w:ascii="Times New Roman" w:hAnsi="宋体" w:eastAsia="宋体" w:cs="宋体"/>
          <w:color w:val="auto"/>
          <w:sz w:val="21"/>
          <w:szCs w:val="21"/>
          <w:highlight w:val="none"/>
          <w:lang w:eastAsia="zh-CN"/>
        </w:rPr>
        <w:t>预</w:t>
      </w:r>
      <w:r>
        <w:rPr>
          <w:rFonts w:hint="eastAsia" w:ascii="Times New Roman" w:hAnsi="宋体" w:eastAsia="宋体" w:cs="宋体"/>
          <w:color w:val="auto"/>
          <w:sz w:val="21"/>
          <w:szCs w:val="21"/>
          <w:highlight w:val="none"/>
          <w:lang w:val="en-US" w:eastAsia="zh-CN"/>
        </w:rPr>
        <w:t>付款在累计完成金额达到合同总价80%后，一次性抵扣</w:t>
      </w:r>
      <w:r>
        <w:rPr>
          <w:rFonts w:hint="eastAsia" w:hAnsi="宋体" w:cs="宋体"/>
          <w:color w:val="auto"/>
          <w:highlight w:val="none"/>
        </w:rPr>
        <w:t>。</w:t>
      </w:r>
    </w:p>
    <w:p>
      <w:pPr>
        <w:spacing w:line="360" w:lineRule="auto"/>
        <w:ind w:firstLine="420" w:firstLineChars="200"/>
        <w:jc w:val="left"/>
        <w:rPr>
          <w:color w:val="auto"/>
          <w:highlight w:val="none"/>
        </w:rPr>
      </w:pPr>
      <w:r>
        <w:rPr>
          <w:color w:val="auto"/>
          <w:highlight w:val="none"/>
        </w:rPr>
        <w:t xml:space="preserve">12.2.2 </w:t>
      </w:r>
      <w:r>
        <w:rPr>
          <w:rFonts w:hint="eastAsia" w:hAnsi="宋体" w:cs="宋体"/>
          <w:color w:val="auto"/>
          <w:highlight w:val="none"/>
        </w:rPr>
        <w:t>预付款担保</w:t>
      </w:r>
    </w:p>
    <w:p>
      <w:pPr>
        <w:spacing w:line="360" w:lineRule="auto"/>
        <w:ind w:firstLine="420" w:firstLineChars="200"/>
        <w:jc w:val="left"/>
        <w:rPr>
          <w:color w:val="auto"/>
          <w:highlight w:val="none"/>
        </w:rPr>
      </w:pPr>
      <w:r>
        <w:rPr>
          <w:rFonts w:hint="eastAsia" w:hAnsi="宋体" w:cs="宋体"/>
          <w:color w:val="auto"/>
          <w:highlight w:val="none"/>
        </w:rPr>
        <w:t>承包人提交预付款担保的期限：</w:t>
      </w:r>
      <w:r>
        <w:rPr>
          <w:rFonts w:hint="eastAsia"/>
          <w:color w:val="auto"/>
          <w:highlight w:val="none"/>
          <w:u w:val="single"/>
        </w:rPr>
        <w:t>无</w:t>
      </w:r>
      <w:r>
        <w:rPr>
          <w:rFonts w:hint="eastAsia" w:hAnsi="宋体" w:cs="宋体"/>
          <w:color w:val="auto"/>
          <w:highlight w:val="none"/>
        </w:rPr>
        <w:t>。</w:t>
      </w:r>
    </w:p>
    <w:p>
      <w:pPr>
        <w:spacing w:line="360" w:lineRule="auto"/>
        <w:ind w:firstLine="420" w:firstLineChars="200"/>
        <w:jc w:val="left"/>
        <w:rPr>
          <w:rFonts w:hAnsi="宋体"/>
          <w:color w:val="auto"/>
          <w:highlight w:val="none"/>
        </w:rPr>
      </w:pPr>
      <w:r>
        <w:rPr>
          <w:rFonts w:hint="eastAsia" w:hAnsi="宋体" w:cs="宋体"/>
          <w:color w:val="auto"/>
          <w:highlight w:val="none"/>
        </w:rPr>
        <w:t>预付款担保的形式为：</w:t>
      </w:r>
      <w:r>
        <w:rPr>
          <w:rFonts w:hint="eastAsia"/>
          <w:color w:val="auto"/>
          <w:highlight w:val="none"/>
          <w:u w:val="single"/>
        </w:rPr>
        <w:t>无</w:t>
      </w:r>
      <w:r>
        <w:rPr>
          <w:rFonts w:hint="eastAsia" w:hAnsi="宋体" w:cs="宋体"/>
          <w:color w:val="auto"/>
          <w:highlight w:val="none"/>
        </w:rPr>
        <w:t>。</w:t>
      </w:r>
    </w:p>
    <w:p>
      <w:pPr>
        <w:spacing w:line="360" w:lineRule="auto"/>
        <w:ind w:firstLine="420" w:firstLineChars="200"/>
        <w:jc w:val="left"/>
        <w:rPr>
          <w:color w:val="auto"/>
          <w:highlight w:val="none"/>
        </w:rPr>
      </w:pPr>
      <w:r>
        <w:rPr>
          <w:rFonts w:hint="eastAsia" w:ascii="宋体" w:hAnsi="宋体" w:cs="宋体"/>
          <w:color w:val="auto"/>
          <w:highlight w:val="none"/>
        </w:rPr>
        <w:t>预付款担保格式见合同附件8。预付款支付申请（核准）表见合同附件10</w:t>
      </w:r>
    </w:p>
    <w:bookmarkEnd w:id="1218"/>
    <w:bookmarkEnd w:id="1219"/>
    <w:bookmarkEnd w:id="1220"/>
    <w:bookmarkEnd w:id="1221"/>
    <w:bookmarkEnd w:id="1222"/>
    <w:bookmarkEnd w:id="1223"/>
    <w:bookmarkEnd w:id="1224"/>
    <w:bookmarkEnd w:id="1225"/>
    <w:bookmarkEnd w:id="1226"/>
    <w:bookmarkEnd w:id="1227"/>
    <w:p>
      <w:pPr>
        <w:pStyle w:val="5"/>
        <w:rPr>
          <w:color w:val="auto"/>
          <w:highlight w:val="none"/>
        </w:rPr>
      </w:pPr>
      <w:bookmarkStart w:id="1231" w:name="_Toc17965"/>
      <w:bookmarkStart w:id="1232" w:name="_Toc373227751"/>
      <w:bookmarkStart w:id="1233" w:name="_Toc66186458"/>
      <w:bookmarkStart w:id="1234" w:name="_Toc373478398"/>
      <w:bookmarkStart w:id="1235" w:name="_Toc407135254"/>
      <w:bookmarkStart w:id="1236" w:name="_Toc389065316"/>
      <w:r>
        <w:rPr>
          <w:color w:val="auto"/>
          <w:highlight w:val="none"/>
        </w:rPr>
        <w:t xml:space="preserve">12.3 </w:t>
      </w:r>
      <w:r>
        <w:rPr>
          <w:rFonts w:hint="eastAsia" w:hAnsi="宋体" w:cs="黑体"/>
          <w:color w:val="auto"/>
          <w:highlight w:val="none"/>
        </w:rPr>
        <w:t>计量</w:t>
      </w:r>
      <w:bookmarkEnd w:id="1231"/>
      <w:bookmarkEnd w:id="1232"/>
      <w:bookmarkEnd w:id="1233"/>
      <w:bookmarkEnd w:id="1234"/>
      <w:bookmarkEnd w:id="1235"/>
      <w:bookmarkEnd w:id="1236"/>
    </w:p>
    <w:p>
      <w:pPr>
        <w:spacing w:line="360" w:lineRule="auto"/>
        <w:ind w:firstLine="420" w:firstLineChars="200"/>
        <w:jc w:val="left"/>
        <w:rPr>
          <w:color w:val="auto"/>
          <w:highlight w:val="none"/>
        </w:rPr>
      </w:pPr>
      <w:r>
        <w:rPr>
          <w:color w:val="auto"/>
          <w:highlight w:val="none"/>
        </w:rPr>
        <w:t xml:space="preserve">12.3.1 </w:t>
      </w:r>
      <w:r>
        <w:rPr>
          <w:rFonts w:hint="eastAsia" w:hAnsi="宋体" w:cs="宋体"/>
          <w:color w:val="auto"/>
          <w:highlight w:val="none"/>
        </w:rPr>
        <w:t>计量原则</w:t>
      </w:r>
    </w:p>
    <w:p>
      <w:pPr>
        <w:spacing w:line="360" w:lineRule="auto"/>
        <w:ind w:firstLine="420" w:firstLineChars="200"/>
        <w:jc w:val="left"/>
        <w:rPr>
          <w:color w:val="auto"/>
          <w:highlight w:val="none"/>
        </w:rPr>
      </w:pPr>
      <w:r>
        <w:rPr>
          <w:rFonts w:hint="eastAsia" w:hAnsi="宋体" w:cs="宋体"/>
          <w:color w:val="auto"/>
          <w:highlight w:val="none"/>
        </w:rPr>
        <w:t>工程量计算规则：</w:t>
      </w:r>
      <w:r>
        <w:rPr>
          <w:rFonts w:hint="eastAsia" w:hAnsi="宋体" w:cs="宋体"/>
          <w:color w:val="auto"/>
          <w:highlight w:val="none"/>
          <w:u w:val="single"/>
        </w:rPr>
        <w:t>工程的计量均以《建设工程工程量清单计价规范》（</w:t>
      </w:r>
      <w:r>
        <w:rPr>
          <w:color w:val="auto"/>
          <w:highlight w:val="none"/>
          <w:u w:val="single"/>
        </w:rPr>
        <w:t>GB50500</w:t>
      </w:r>
      <w:r>
        <w:rPr>
          <w:rFonts w:hint="eastAsia" w:hAnsi="宋体" w:cs="宋体"/>
          <w:color w:val="auto"/>
          <w:highlight w:val="none"/>
          <w:u w:val="single"/>
        </w:rPr>
        <w:t>－</w:t>
      </w:r>
      <w:r>
        <w:rPr>
          <w:color w:val="auto"/>
          <w:highlight w:val="none"/>
          <w:u w:val="single"/>
        </w:rPr>
        <w:t>2013</w:t>
      </w:r>
      <w:r>
        <w:rPr>
          <w:rFonts w:hint="eastAsia" w:hAnsi="宋体" w:cs="宋体"/>
          <w:color w:val="auto"/>
          <w:highlight w:val="none"/>
          <w:u w:val="single"/>
        </w:rPr>
        <w:t>）和及其广西壮族自治区实施细则、《建设工程工程量清单计算规范》（</w:t>
      </w:r>
      <w:r>
        <w:rPr>
          <w:color w:val="auto"/>
          <w:highlight w:val="none"/>
          <w:u w:val="single"/>
        </w:rPr>
        <w:t>GB50854~50862</w:t>
      </w:r>
      <w:r>
        <w:rPr>
          <w:rFonts w:hint="eastAsia" w:hAnsi="宋体" w:cs="宋体"/>
          <w:color w:val="auto"/>
          <w:highlight w:val="none"/>
          <w:u w:val="single"/>
        </w:rPr>
        <w:t>－</w:t>
      </w:r>
      <w:r>
        <w:rPr>
          <w:color w:val="auto"/>
          <w:highlight w:val="none"/>
          <w:u w:val="single"/>
        </w:rPr>
        <w:t>2013</w:t>
      </w:r>
      <w:r>
        <w:rPr>
          <w:rFonts w:hint="eastAsia" w:hAnsi="宋体" w:cs="宋体"/>
          <w:color w:val="auto"/>
          <w:highlight w:val="none"/>
          <w:u w:val="single"/>
        </w:rPr>
        <w:t>）及其广西实施细则、本工程补充项目清单为准。</w:t>
      </w:r>
    </w:p>
    <w:p>
      <w:pPr>
        <w:spacing w:line="360" w:lineRule="auto"/>
        <w:ind w:firstLine="420" w:firstLineChars="200"/>
        <w:jc w:val="left"/>
        <w:rPr>
          <w:color w:val="auto"/>
          <w:highlight w:val="none"/>
        </w:rPr>
      </w:pPr>
      <w:r>
        <w:rPr>
          <w:color w:val="auto"/>
          <w:highlight w:val="none"/>
        </w:rPr>
        <w:t xml:space="preserve">12.3.2 </w:t>
      </w:r>
      <w:r>
        <w:rPr>
          <w:rFonts w:hint="eastAsia" w:hAnsi="宋体" w:cs="宋体"/>
          <w:color w:val="auto"/>
          <w:highlight w:val="none"/>
        </w:rPr>
        <w:t>计量周期</w:t>
      </w:r>
    </w:p>
    <w:p>
      <w:pPr>
        <w:spacing w:line="360" w:lineRule="auto"/>
        <w:ind w:firstLine="420" w:firstLineChars="200"/>
        <w:jc w:val="left"/>
        <w:rPr>
          <w:color w:val="auto"/>
          <w:highlight w:val="none"/>
        </w:rPr>
      </w:pPr>
      <w:r>
        <w:rPr>
          <w:rFonts w:hint="eastAsia" w:hAnsi="宋体" w:cs="宋体"/>
          <w:color w:val="auto"/>
          <w:highlight w:val="none"/>
        </w:rPr>
        <w:t>关于计量周期的约定：</w:t>
      </w:r>
      <w:r>
        <w:rPr>
          <w:rFonts w:hint="eastAsia" w:hAnsi="宋体" w:cs="宋体"/>
          <w:color w:val="auto"/>
          <w:highlight w:val="none"/>
          <w:u w:val="single"/>
        </w:rPr>
        <w:t>每月25日前，计量期为上个月21日至本月20日</w:t>
      </w:r>
      <w:r>
        <w:rPr>
          <w:rFonts w:hint="eastAsia" w:hAnsi="宋体" w:cs="宋体"/>
          <w:color w:val="auto"/>
          <w:highlight w:val="none"/>
        </w:rPr>
        <w:t>。</w:t>
      </w:r>
    </w:p>
    <w:p>
      <w:pPr>
        <w:rPr>
          <w:color w:val="auto"/>
          <w:highlight w:val="none"/>
        </w:rPr>
      </w:pPr>
      <w:r>
        <w:rPr>
          <w:color w:val="auto"/>
          <w:highlight w:val="none"/>
        </w:rPr>
        <w:t xml:space="preserve">12.3.3 </w:t>
      </w:r>
      <w:r>
        <w:rPr>
          <w:rFonts w:hint="eastAsia" w:hAnsi="宋体" w:cs="宋体"/>
          <w:color w:val="auto"/>
          <w:highlight w:val="none"/>
        </w:rPr>
        <w:t>单价合同的计量</w:t>
      </w:r>
    </w:p>
    <w:p>
      <w:pPr>
        <w:spacing w:line="360" w:lineRule="auto"/>
        <w:ind w:firstLine="420" w:firstLineChars="200"/>
        <w:jc w:val="left"/>
        <w:rPr>
          <w:color w:val="auto"/>
          <w:highlight w:val="none"/>
        </w:rPr>
      </w:pPr>
      <w:r>
        <w:rPr>
          <w:rFonts w:hint="eastAsia" w:hAnsi="宋体" w:cs="宋体"/>
          <w:color w:val="auto"/>
          <w:highlight w:val="none"/>
        </w:rPr>
        <w:t>关于单价合同计量的约定：</w:t>
      </w:r>
    </w:p>
    <w:p>
      <w:pPr>
        <w:spacing w:line="360" w:lineRule="auto"/>
        <w:ind w:firstLine="441" w:firstLineChars="210"/>
        <w:rPr>
          <w:color w:val="auto"/>
          <w:highlight w:val="none"/>
        </w:rPr>
      </w:pPr>
      <w:r>
        <w:rPr>
          <w:color w:val="auto"/>
          <w:highlight w:val="none"/>
        </w:rPr>
        <w:t xml:space="preserve">(1) </w:t>
      </w:r>
      <w:r>
        <w:rPr>
          <w:rFonts w:hint="eastAsia" w:hAnsi="宋体" w:cs="宋体"/>
          <w:color w:val="auto"/>
          <w:highlight w:val="none"/>
        </w:rPr>
        <w:t>工程量清单所列的工程量，不能作为承包人按合同履行其责任依据，实际施工中发生的工程量增加或减少并不影响承包人履行合同的责任，工程结算以完成的实际工程量为准。</w:t>
      </w:r>
    </w:p>
    <w:p>
      <w:pPr>
        <w:spacing w:line="360" w:lineRule="auto"/>
        <w:ind w:firstLine="441" w:firstLineChars="210"/>
        <w:rPr>
          <w:color w:val="auto"/>
          <w:highlight w:val="none"/>
        </w:rPr>
      </w:pPr>
      <w:r>
        <w:rPr>
          <w:color w:val="auto"/>
          <w:highlight w:val="none"/>
        </w:rPr>
        <w:t xml:space="preserve">(2) </w:t>
      </w:r>
      <w:r>
        <w:rPr>
          <w:rFonts w:hint="eastAsia" w:hAnsi="宋体" w:cs="宋体"/>
          <w:color w:val="auto"/>
          <w:highlight w:val="none"/>
        </w:rPr>
        <w:t>除另有规定外，工程师应按照合同通过计量来核实确定已完成的工程量和价款，承包人应得到该价款扣除保留金后的金额。当工程师要对已完工的工程量进行计量时，应适时地通知承包人参加。</w:t>
      </w:r>
    </w:p>
    <w:p>
      <w:pPr>
        <w:spacing w:line="360" w:lineRule="auto"/>
        <w:ind w:firstLine="420" w:firstLineChars="200"/>
        <w:jc w:val="left"/>
        <w:rPr>
          <w:color w:val="auto"/>
          <w:highlight w:val="none"/>
        </w:rPr>
      </w:pPr>
      <w:r>
        <w:rPr>
          <w:color w:val="auto"/>
          <w:highlight w:val="none"/>
        </w:rPr>
        <w:t xml:space="preserve">12.3.4 </w:t>
      </w:r>
      <w:r>
        <w:rPr>
          <w:rFonts w:hint="eastAsia" w:hAnsi="宋体" w:cs="宋体"/>
          <w:color w:val="auto"/>
          <w:highlight w:val="none"/>
        </w:rPr>
        <w:t>总价合同的计量</w:t>
      </w:r>
    </w:p>
    <w:p>
      <w:pPr>
        <w:spacing w:line="360" w:lineRule="auto"/>
        <w:ind w:firstLine="420" w:firstLineChars="200"/>
        <w:jc w:val="left"/>
        <w:rPr>
          <w:rFonts w:cs="宋体"/>
          <w:color w:val="auto"/>
          <w:highlight w:val="none"/>
        </w:rPr>
      </w:pPr>
      <w:r>
        <w:rPr>
          <w:rFonts w:hint="eastAsia" w:ascii="Calibri" w:hAnsi="宋体" w:cs="宋体"/>
          <w:color w:val="auto"/>
          <w:highlight w:val="none"/>
        </w:rPr>
        <w:t>（1）总价合同计量约定：</w:t>
      </w:r>
      <w:r>
        <w:rPr>
          <w:rFonts w:hint="eastAsia" w:hAnsi="宋体" w:cs="宋体"/>
          <w:color w:val="auto"/>
          <w:highlight w:val="none"/>
        </w:rPr>
        <w:t>进度款按支付分解表支付</w:t>
      </w:r>
      <w:r>
        <w:rPr>
          <w:rFonts w:hint="eastAsia" w:ascii="宋体" w:hAnsi="宋体" w:cs="宋体"/>
          <w:color w:val="auto"/>
          <w:kern w:val="0"/>
          <w:highlight w:val="none"/>
        </w:rPr>
        <w:t>，</w:t>
      </w:r>
      <w:r>
        <w:rPr>
          <w:rFonts w:hint="eastAsia" w:cs="宋体"/>
          <w:color w:val="auto"/>
          <w:highlight w:val="none"/>
        </w:rPr>
        <w:t>支付分解表在招标完成后签合同之前制定，具体详见本专用合同条款12.4.6。</w:t>
      </w:r>
    </w:p>
    <w:p>
      <w:pPr>
        <w:spacing w:line="360" w:lineRule="auto"/>
        <w:ind w:firstLine="420" w:firstLineChars="200"/>
        <w:jc w:val="left"/>
        <w:rPr>
          <w:color w:val="auto"/>
          <w:highlight w:val="none"/>
        </w:rPr>
      </w:pPr>
      <w:r>
        <w:rPr>
          <w:color w:val="auto"/>
          <w:highlight w:val="none"/>
        </w:rPr>
        <w:t xml:space="preserve">12.3.6 </w:t>
      </w:r>
      <w:r>
        <w:rPr>
          <w:rFonts w:hint="eastAsia" w:hAnsi="宋体" w:cs="宋体"/>
          <w:color w:val="auto"/>
          <w:highlight w:val="none"/>
        </w:rPr>
        <w:t>其他价格形式合同的计量</w:t>
      </w:r>
    </w:p>
    <w:p>
      <w:pPr>
        <w:spacing w:line="360" w:lineRule="auto"/>
        <w:ind w:firstLine="420" w:firstLineChars="200"/>
        <w:jc w:val="left"/>
        <w:rPr>
          <w:color w:val="auto"/>
          <w:highlight w:val="none"/>
          <w:u w:val="single"/>
        </w:rPr>
      </w:pPr>
      <w:r>
        <w:rPr>
          <w:rFonts w:hint="eastAsia" w:hAnsi="宋体" w:cs="宋体"/>
          <w:color w:val="auto"/>
          <w:highlight w:val="none"/>
        </w:rPr>
        <w:t>其他价格形式的计量方式和程序：</w:t>
      </w:r>
      <w:r>
        <w:rPr>
          <w:color w:val="auto"/>
          <w:highlight w:val="none"/>
          <w:u w:val="single"/>
        </w:rPr>
        <w:t xml:space="preserve"> / </w:t>
      </w:r>
      <w:r>
        <w:rPr>
          <w:rFonts w:hint="eastAsia" w:hAnsi="宋体" w:cs="宋体"/>
          <w:color w:val="auto"/>
          <w:highlight w:val="none"/>
        </w:rPr>
        <w:t>。</w:t>
      </w:r>
    </w:p>
    <w:p>
      <w:pPr>
        <w:pStyle w:val="5"/>
        <w:rPr>
          <w:color w:val="auto"/>
          <w:highlight w:val="none"/>
        </w:rPr>
      </w:pPr>
      <w:bookmarkStart w:id="1237" w:name="_Toc3766"/>
      <w:bookmarkStart w:id="1238" w:name="_Toc389065317"/>
      <w:bookmarkStart w:id="1239" w:name="_Toc373227752"/>
      <w:bookmarkStart w:id="1240" w:name="_Toc373478399"/>
      <w:bookmarkStart w:id="1241" w:name="_Toc407135255"/>
      <w:bookmarkStart w:id="1242" w:name="_Toc66186459"/>
      <w:r>
        <w:rPr>
          <w:color w:val="auto"/>
          <w:highlight w:val="none"/>
        </w:rPr>
        <w:t xml:space="preserve">12.4 </w:t>
      </w:r>
      <w:r>
        <w:rPr>
          <w:rFonts w:hint="eastAsia" w:cs="黑体"/>
          <w:color w:val="auto"/>
          <w:highlight w:val="none"/>
        </w:rPr>
        <w:t>工程进度款支付</w:t>
      </w:r>
      <w:bookmarkEnd w:id="1237"/>
      <w:bookmarkEnd w:id="1238"/>
      <w:bookmarkEnd w:id="1239"/>
      <w:bookmarkEnd w:id="1240"/>
      <w:bookmarkEnd w:id="1241"/>
      <w:bookmarkEnd w:id="1242"/>
    </w:p>
    <w:p>
      <w:pPr>
        <w:spacing w:line="360" w:lineRule="auto"/>
        <w:ind w:firstLine="420" w:firstLineChars="200"/>
        <w:jc w:val="left"/>
        <w:rPr>
          <w:rFonts w:hAnsi="宋体" w:cs="宋体"/>
          <w:color w:val="auto"/>
          <w:highlight w:val="none"/>
          <w:u w:val="single"/>
        </w:rPr>
      </w:pPr>
      <w:bookmarkStart w:id="1243" w:name="_Toc296346712"/>
      <w:bookmarkStart w:id="1244" w:name="_Toc296891251"/>
      <w:bookmarkStart w:id="1245" w:name="_Toc297048397"/>
      <w:bookmarkStart w:id="1246" w:name="_Toc300935006"/>
      <w:bookmarkStart w:id="1247" w:name="_Toc292559416"/>
      <w:bookmarkStart w:id="1248" w:name="_Toc296347210"/>
      <w:bookmarkStart w:id="1249" w:name="_Toc296891039"/>
      <w:bookmarkStart w:id="1250" w:name="_Toc297216215"/>
      <w:bookmarkStart w:id="1251" w:name="_Toc296944550"/>
      <w:bookmarkStart w:id="1252" w:name="_Toc303539163"/>
      <w:bookmarkStart w:id="1253" w:name="_Toc297123556"/>
      <w:bookmarkStart w:id="1254" w:name="_Toc297120511"/>
      <w:bookmarkStart w:id="1255" w:name="_Toc296503211"/>
      <w:bookmarkStart w:id="1256" w:name="_Toc292559921"/>
      <w:r>
        <w:rPr>
          <w:rFonts w:hAnsi="宋体" w:cs="宋体"/>
          <w:color w:val="auto"/>
          <w:highlight w:val="none"/>
          <w:u w:val="single"/>
        </w:rPr>
        <w:t>12.4.1 付款周期</w:t>
      </w:r>
    </w:p>
    <w:p>
      <w:pPr>
        <w:spacing w:line="360" w:lineRule="auto"/>
        <w:ind w:firstLine="420" w:firstLineChars="200"/>
        <w:jc w:val="left"/>
        <w:rPr>
          <w:rFonts w:hAnsi="宋体" w:cs="宋体"/>
          <w:color w:val="auto"/>
          <w:highlight w:val="none"/>
          <w:u w:val="single"/>
        </w:rPr>
      </w:pPr>
      <w:r>
        <w:rPr>
          <w:rFonts w:hAnsi="宋体" w:cs="宋体"/>
          <w:color w:val="auto"/>
          <w:highlight w:val="none"/>
          <w:u w:val="single"/>
        </w:rPr>
        <w:fldChar w:fldCharType="begin"/>
      </w:r>
      <w:r>
        <w:rPr>
          <w:rFonts w:hAnsi="宋体" w:cs="宋体"/>
          <w:color w:val="auto"/>
          <w:highlight w:val="none"/>
          <w:u w:val="single"/>
        </w:rPr>
        <w:instrText xml:space="preserve"> = 1 \* GB3 </w:instrText>
      </w:r>
      <w:r>
        <w:rPr>
          <w:rFonts w:hAnsi="宋体" w:cs="宋体"/>
          <w:color w:val="auto"/>
          <w:highlight w:val="none"/>
          <w:u w:val="single"/>
        </w:rPr>
        <w:fldChar w:fldCharType="separate"/>
      </w:r>
      <w:r>
        <w:rPr>
          <w:rFonts w:hAnsi="宋体" w:cs="宋体"/>
          <w:color w:val="auto"/>
          <w:highlight w:val="none"/>
          <w:u w:val="single"/>
        </w:rPr>
        <w:t>①</w:t>
      </w:r>
      <w:r>
        <w:rPr>
          <w:rFonts w:hAnsi="宋体" w:cs="宋体"/>
          <w:color w:val="auto"/>
          <w:highlight w:val="none"/>
          <w:u w:val="single"/>
        </w:rPr>
        <w:fldChar w:fldCharType="end"/>
      </w:r>
      <w:r>
        <w:rPr>
          <w:rFonts w:hint="eastAsia" w:hAnsi="宋体" w:cs="宋体"/>
          <w:color w:val="auto"/>
          <w:highlight w:val="none"/>
          <w:u w:val="single"/>
        </w:rPr>
        <w:t>合同签订后10个工作日内发包人支付合同总款的</w:t>
      </w:r>
      <w:r>
        <w:rPr>
          <w:rFonts w:hAnsi="宋体" w:cs="宋体"/>
          <w:color w:val="auto"/>
          <w:highlight w:val="none"/>
          <w:u w:val="single"/>
        </w:rPr>
        <w:t>30</w:t>
      </w:r>
      <w:r>
        <w:rPr>
          <w:rFonts w:hint="eastAsia" w:hAnsi="宋体" w:cs="宋体"/>
          <w:color w:val="auto"/>
          <w:highlight w:val="none"/>
          <w:u w:val="single"/>
        </w:rPr>
        <w:t>%。</w:t>
      </w:r>
    </w:p>
    <w:p>
      <w:pPr>
        <w:spacing w:line="360" w:lineRule="auto"/>
        <w:ind w:firstLine="420" w:firstLineChars="200"/>
        <w:jc w:val="left"/>
        <w:rPr>
          <w:rFonts w:hAnsi="宋体" w:cs="宋体"/>
          <w:color w:val="auto"/>
          <w:highlight w:val="none"/>
          <w:u w:val="single"/>
        </w:rPr>
      </w:pPr>
      <w:r>
        <w:rPr>
          <w:rFonts w:hint="eastAsia" w:hAnsi="宋体" w:cs="宋体"/>
          <w:color w:val="auto"/>
          <w:highlight w:val="none"/>
          <w:u w:val="single"/>
        </w:rPr>
        <w:fldChar w:fldCharType="begin"/>
      </w:r>
      <w:r>
        <w:rPr>
          <w:rFonts w:hint="eastAsia" w:hAnsi="宋体" w:cs="宋体"/>
          <w:color w:val="auto"/>
          <w:highlight w:val="none"/>
          <w:u w:val="single"/>
        </w:rPr>
        <w:instrText xml:space="preserve"> </w:instrText>
      </w:r>
      <w:r>
        <w:rPr>
          <w:rFonts w:hAnsi="宋体" w:cs="宋体"/>
          <w:color w:val="auto"/>
          <w:highlight w:val="none"/>
          <w:u w:val="single"/>
        </w:rPr>
        <w:instrText xml:space="preserve">= 2 \* GB3</w:instrText>
      </w:r>
      <w:r>
        <w:rPr>
          <w:rFonts w:hint="eastAsia" w:hAnsi="宋体" w:cs="宋体"/>
          <w:color w:val="auto"/>
          <w:highlight w:val="none"/>
          <w:u w:val="single"/>
        </w:rPr>
        <w:instrText xml:space="preserve"> </w:instrText>
      </w:r>
      <w:r>
        <w:rPr>
          <w:rFonts w:hint="eastAsia" w:hAnsi="宋体" w:cs="宋体"/>
          <w:color w:val="auto"/>
          <w:highlight w:val="none"/>
          <w:u w:val="single"/>
        </w:rPr>
        <w:fldChar w:fldCharType="separate"/>
      </w:r>
      <w:r>
        <w:rPr>
          <w:rFonts w:hAnsi="宋体" w:cs="宋体"/>
          <w:color w:val="auto"/>
          <w:highlight w:val="none"/>
          <w:u w:val="single"/>
        </w:rPr>
        <w:t>②</w:t>
      </w:r>
      <w:r>
        <w:rPr>
          <w:rFonts w:hint="eastAsia" w:hAnsi="宋体" w:cs="宋体"/>
          <w:color w:val="auto"/>
          <w:highlight w:val="none"/>
          <w:u w:val="single"/>
        </w:rPr>
        <w:fldChar w:fldCharType="end"/>
      </w:r>
      <w:r>
        <w:rPr>
          <w:rFonts w:hint="eastAsia" w:hAnsi="宋体" w:cs="宋体"/>
          <w:color w:val="auto"/>
          <w:highlight w:val="none"/>
          <w:u w:val="single"/>
        </w:rPr>
        <w:t>工程款（进度款）支付：工程款（进度款）支付按工程进度支付，合同内工程进度款按审核后已完成工程量的80%支付工程款，工程变更增加部分按审核后工程量的60%支付，预付款在累计完成金额达到合同总价80%后，一次性抵扣。工程竣工验收合格并提交完整合格的竣工备案资料，结算经发包人聘请的有资质的造价咨询机构出具的审计结果为准，如需政府有关部门审批的，以政府有关部门审批为准。最终结算后7个工作日内支付至工程款结算总额的97%，扣除结算总额的3%作为质量保证金（防水部分保质期5年）</w:t>
      </w:r>
      <w:r>
        <w:rPr>
          <w:rFonts w:hAnsi="宋体" w:cs="宋体"/>
          <w:color w:val="auto"/>
          <w:highlight w:val="none"/>
          <w:u w:val="single"/>
        </w:rPr>
        <w:t>。待工程质量保修期满，7个工作日内</w:t>
      </w:r>
      <w:r>
        <w:rPr>
          <w:rFonts w:hint="eastAsia" w:hAnsi="宋体" w:cs="宋体"/>
          <w:color w:val="auto"/>
          <w:highlight w:val="none"/>
          <w:u w:val="single"/>
        </w:rPr>
        <w:t>无息</w:t>
      </w:r>
      <w:r>
        <w:rPr>
          <w:rFonts w:hAnsi="宋体" w:cs="宋体"/>
          <w:color w:val="auto"/>
          <w:highlight w:val="none"/>
          <w:u w:val="single"/>
        </w:rPr>
        <w:t xml:space="preserve">退还保证金给承包人。 </w:t>
      </w:r>
    </w:p>
    <w:p>
      <w:pPr>
        <w:spacing w:line="360" w:lineRule="auto"/>
        <w:ind w:firstLine="420" w:firstLineChars="200"/>
        <w:jc w:val="left"/>
        <w:rPr>
          <w:color w:val="auto"/>
          <w:highlight w:val="none"/>
        </w:rPr>
      </w:pPr>
      <w:r>
        <w:rPr>
          <w:rFonts w:hAnsi="宋体" w:cs="宋体"/>
          <w:color w:val="auto"/>
          <w:highlight w:val="none"/>
          <w:u w:val="single"/>
        </w:rPr>
        <w:fldChar w:fldCharType="begin"/>
      </w:r>
      <w:r>
        <w:rPr>
          <w:rFonts w:hAnsi="宋体" w:cs="宋体"/>
          <w:color w:val="auto"/>
          <w:highlight w:val="none"/>
          <w:u w:val="single"/>
        </w:rPr>
        <w:instrText xml:space="preserve"> </w:instrText>
      </w:r>
      <w:r>
        <w:rPr>
          <w:rFonts w:hint="eastAsia" w:hAnsi="宋体" w:cs="宋体"/>
          <w:color w:val="auto"/>
          <w:highlight w:val="none"/>
          <w:u w:val="single"/>
        </w:rPr>
        <w:instrText xml:space="preserve">= 3 \* GB3</w:instrText>
      </w:r>
      <w:r>
        <w:rPr>
          <w:rFonts w:hAnsi="宋体" w:cs="宋体"/>
          <w:color w:val="auto"/>
          <w:highlight w:val="none"/>
          <w:u w:val="single"/>
        </w:rPr>
        <w:instrText xml:space="preserve"> </w:instrText>
      </w:r>
      <w:r>
        <w:rPr>
          <w:rFonts w:hAnsi="宋体" w:cs="宋体"/>
          <w:color w:val="auto"/>
          <w:highlight w:val="none"/>
          <w:u w:val="single"/>
        </w:rPr>
        <w:fldChar w:fldCharType="separate"/>
      </w:r>
      <w:r>
        <w:rPr>
          <w:rFonts w:hint="eastAsia" w:hAnsi="宋体" w:cs="宋体"/>
          <w:color w:val="auto"/>
          <w:highlight w:val="none"/>
          <w:u w:val="single"/>
        </w:rPr>
        <w:t>③</w:t>
      </w:r>
      <w:r>
        <w:rPr>
          <w:rFonts w:hAnsi="宋体" w:cs="宋体"/>
          <w:color w:val="auto"/>
          <w:highlight w:val="none"/>
          <w:u w:val="single"/>
        </w:rPr>
        <w:fldChar w:fldCharType="end"/>
      </w:r>
      <w:r>
        <w:rPr>
          <w:rFonts w:hint="eastAsia" w:hAnsi="宋体" w:cs="宋体"/>
          <w:color w:val="auto"/>
          <w:highlight w:val="none"/>
          <w:u w:val="single"/>
        </w:rPr>
        <w:t>合同约定的工程质量缺陷责任期（最长不超过2年）满后由承包人向发包人提出返还保证金的申请，</w:t>
      </w:r>
      <w:r>
        <w:rPr>
          <w:rFonts w:hAnsi="宋体" w:cs="宋体"/>
          <w:color w:val="auto"/>
          <w:highlight w:val="none"/>
          <w:u w:val="single"/>
        </w:rPr>
        <w:t>发包人</w:t>
      </w:r>
      <w:r>
        <w:rPr>
          <w:rFonts w:hint="eastAsia" w:hAnsi="宋体" w:cs="宋体"/>
          <w:color w:val="auto"/>
          <w:highlight w:val="none"/>
          <w:u w:val="single"/>
        </w:rPr>
        <w:t>在</w:t>
      </w:r>
      <w:r>
        <w:rPr>
          <w:rFonts w:hAnsi="宋体" w:cs="宋体"/>
          <w:color w:val="auto"/>
          <w:highlight w:val="none"/>
          <w:u w:val="single"/>
        </w:rPr>
        <w:t>接到承包人返还保证金申请后，于</w:t>
      </w:r>
      <w:r>
        <w:rPr>
          <w:rFonts w:hint="eastAsia" w:hAnsi="宋体" w:cs="宋体"/>
          <w:color w:val="auto"/>
          <w:highlight w:val="none"/>
          <w:u w:val="single"/>
        </w:rPr>
        <w:t>14天</w:t>
      </w:r>
      <w:r>
        <w:rPr>
          <w:rFonts w:hAnsi="宋体" w:cs="宋体"/>
          <w:color w:val="auto"/>
          <w:highlight w:val="none"/>
          <w:u w:val="single"/>
        </w:rPr>
        <w:t>内会同承包人按照合同约定的内容进行核实。如</w:t>
      </w:r>
      <w:r>
        <w:rPr>
          <w:rFonts w:hint="eastAsia" w:hAnsi="宋体" w:cs="宋体"/>
          <w:color w:val="auto"/>
          <w:highlight w:val="none"/>
          <w:u w:val="single"/>
        </w:rPr>
        <w:t>无异</w:t>
      </w:r>
      <w:r>
        <w:rPr>
          <w:rFonts w:hAnsi="宋体" w:cs="宋体"/>
          <w:color w:val="auto"/>
          <w:highlight w:val="none"/>
          <w:u w:val="single"/>
        </w:rPr>
        <w:t>议，发包人在核实后</w:t>
      </w:r>
      <w:r>
        <w:rPr>
          <w:rFonts w:hint="eastAsia" w:hAnsi="宋体" w:cs="宋体"/>
          <w:color w:val="auto"/>
          <w:highlight w:val="none"/>
          <w:u w:val="single"/>
        </w:rPr>
        <w:t>14天</w:t>
      </w:r>
      <w:r>
        <w:rPr>
          <w:rFonts w:hAnsi="宋体" w:cs="宋体"/>
          <w:color w:val="auto"/>
          <w:highlight w:val="none"/>
          <w:u w:val="single"/>
        </w:rPr>
        <w:t>内将保证金</w:t>
      </w:r>
      <w:r>
        <w:rPr>
          <w:rFonts w:hint="eastAsia" w:hAnsi="宋体" w:cs="宋体"/>
          <w:color w:val="auto"/>
          <w:highlight w:val="none"/>
          <w:u w:val="single"/>
        </w:rPr>
        <w:t>返还承包</w:t>
      </w:r>
      <w:r>
        <w:rPr>
          <w:rFonts w:hAnsi="宋体" w:cs="宋体"/>
          <w:color w:val="auto"/>
          <w:highlight w:val="none"/>
          <w:u w:val="single"/>
        </w:rPr>
        <w:t>人，逾期未返还的，依法承</w:t>
      </w:r>
      <w:r>
        <w:rPr>
          <w:rFonts w:hint="eastAsia" w:hAnsi="宋体" w:cs="宋体"/>
          <w:color w:val="auto"/>
          <w:highlight w:val="none"/>
          <w:u w:val="single"/>
        </w:rPr>
        <w:t>担</w:t>
      </w:r>
      <w:r>
        <w:rPr>
          <w:rFonts w:hAnsi="宋体" w:cs="宋体"/>
          <w:color w:val="auto"/>
          <w:highlight w:val="none"/>
          <w:u w:val="single"/>
        </w:rPr>
        <w:t>违约责任</w:t>
      </w:r>
      <w:r>
        <w:rPr>
          <w:rFonts w:hint="eastAsia" w:hAnsi="宋体" w:cs="宋体"/>
          <w:color w:val="auto"/>
          <w:highlight w:val="none"/>
          <w:u w:val="single"/>
        </w:rPr>
        <w:t>。发</w:t>
      </w:r>
      <w:r>
        <w:rPr>
          <w:rFonts w:hAnsi="宋体" w:cs="宋体"/>
          <w:color w:val="auto"/>
          <w:highlight w:val="none"/>
          <w:u w:val="single"/>
        </w:rPr>
        <w:t>包人在接到承包人返还保证金申请后</w:t>
      </w:r>
      <w:r>
        <w:rPr>
          <w:rFonts w:hint="eastAsia" w:hAnsi="宋体" w:cs="宋体"/>
          <w:color w:val="auto"/>
          <w:highlight w:val="none"/>
          <w:u w:val="single"/>
        </w:rPr>
        <w:t>14天</w:t>
      </w:r>
      <w:r>
        <w:rPr>
          <w:rFonts w:hAnsi="宋体" w:cs="宋体"/>
          <w:color w:val="auto"/>
          <w:highlight w:val="none"/>
          <w:u w:val="single"/>
        </w:rPr>
        <w:t>内不予答复，经催告后</w:t>
      </w:r>
      <w:r>
        <w:rPr>
          <w:rFonts w:hint="eastAsia" w:hAnsi="宋体" w:cs="宋体"/>
          <w:color w:val="auto"/>
          <w:highlight w:val="none"/>
          <w:u w:val="single"/>
        </w:rPr>
        <w:t>14天</w:t>
      </w:r>
      <w:r>
        <w:rPr>
          <w:rFonts w:hAnsi="宋体" w:cs="宋体"/>
          <w:color w:val="auto"/>
          <w:highlight w:val="none"/>
          <w:u w:val="single"/>
        </w:rPr>
        <w:t>内仍不</w:t>
      </w:r>
      <w:r>
        <w:rPr>
          <w:rFonts w:hint="eastAsia" w:hAnsi="宋体" w:cs="宋体"/>
          <w:color w:val="auto"/>
          <w:highlight w:val="none"/>
          <w:u w:val="single"/>
        </w:rPr>
        <w:t>予</w:t>
      </w:r>
      <w:r>
        <w:rPr>
          <w:rFonts w:hAnsi="宋体" w:cs="宋体"/>
          <w:color w:val="auto"/>
          <w:highlight w:val="none"/>
          <w:u w:val="single"/>
        </w:rPr>
        <w:t>答复，</w:t>
      </w:r>
      <w:r>
        <w:rPr>
          <w:rFonts w:hint="eastAsia" w:hAnsi="宋体" w:cs="宋体"/>
          <w:color w:val="auto"/>
          <w:highlight w:val="none"/>
          <w:u w:val="single"/>
        </w:rPr>
        <w:t>视</w:t>
      </w:r>
      <w:r>
        <w:rPr>
          <w:rFonts w:hAnsi="宋体" w:cs="宋体"/>
          <w:color w:val="auto"/>
          <w:highlight w:val="none"/>
          <w:u w:val="single"/>
        </w:rPr>
        <w:t>同认可承包人的返还保证金申请。</w:t>
      </w:r>
    </w:p>
    <w:p>
      <w:pPr>
        <w:spacing w:line="360" w:lineRule="auto"/>
        <w:ind w:firstLine="420" w:firstLineChars="200"/>
        <w:jc w:val="left"/>
        <w:rPr>
          <w:color w:val="auto"/>
          <w:highlight w:val="none"/>
        </w:rPr>
      </w:pPr>
      <w:r>
        <w:rPr>
          <w:color w:val="auto"/>
          <w:highlight w:val="none"/>
        </w:rPr>
        <w:t xml:space="preserve">12.4.2 </w:t>
      </w:r>
      <w:r>
        <w:rPr>
          <w:rFonts w:hint="eastAsia" w:hAnsi="宋体" w:cs="宋体"/>
          <w:color w:val="auto"/>
          <w:highlight w:val="none"/>
        </w:rPr>
        <w:t>进度付款申请单的编制</w:t>
      </w:r>
    </w:p>
    <w:p>
      <w:pPr>
        <w:spacing w:line="360" w:lineRule="auto"/>
        <w:ind w:firstLine="420" w:firstLineChars="200"/>
        <w:jc w:val="left"/>
        <w:rPr>
          <w:color w:val="auto"/>
          <w:highlight w:val="none"/>
          <w:u w:val="single"/>
        </w:rPr>
      </w:pPr>
      <w:r>
        <w:rPr>
          <w:rFonts w:hint="eastAsia" w:hAnsi="宋体" w:cs="宋体"/>
          <w:color w:val="auto"/>
          <w:highlight w:val="none"/>
        </w:rPr>
        <w:t>关于进度付款申请单编制的约定：</w:t>
      </w:r>
      <w:r>
        <w:rPr>
          <w:rFonts w:hint="eastAsia"/>
          <w:color w:val="auto"/>
          <w:highlight w:val="none"/>
          <w:u w:val="single"/>
        </w:rPr>
        <w:t>按实际完成的施工进度提交已完工程量的报表，作为工程价款支付的依据</w:t>
      </w:r>
      <w:r>
        <w:rPr>
          <w:rFonts w:hint="eastAsia" w:hAnsi="宋体" w:cs="宋体"/>
          <w:color w:val="auto"/>
          <w:highlight w:val="none"/>
        </w:rPr>
        <w:t>。</w:t>
      </w:r>
    </w:p>
    <w:p>
      <w:pPr>
        <w:spacing w:line="360" w:lineRule="auto"/>
        <w:ind w:firstLine="420" w:firstLineChars="200"/>
        <w:jc w:val="left"/>
        <w:rPr>
          <w:color w:val="auto"/>
          <w:highlight w:val="none"/>
        </w:rPr>
      </w:pPr>
      <w:r>
        <w:rPr>
          <w:color w:val="auto"/>
          <w:highlight w:val="none"/>
        </w:rPr>
        <w:t>1</w:t>
      </w:r>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r>
        <w:rPr>
          <w:color w:val="auto"/>
          <w:highlight w:val="none"/>
        </w:rPr>
        <w:t xml:space="preserve">2.4.3 </w:t>
      </w:r>
      <w:r>
        <w:rPr>
          <w:rFonts w:hint="eastAsia" w:hAnsi="宋体" w:cs="宋体"/>
          <w:color w:val="auto"/>
          <w:highlight w:val="none"/>
        </w:rPr>
        <w:t>进度付款申请单的提交</w:t>
      </w:r>
    </w:p>
    <w:p>
      <w:pPr>
        <w:spacing w:line="360" w:lineRule="auto"/>
        <w:ind w:firstLine="420" w:firstLineChars="200"/>
        <w:jc w:val="left"/>
        <w:rPr>
          <w:b/>
          <w:color w:val="auto"/>
          <w:highlight w:val="none"/>
          <w:u w:val="single"/>
        </w:rPr>
      </w:pPr>
      <w:r>
        <w:rPr>
          <w:rFonts w:hint="eastAsia" w:hAnsi="宋体" w:cs="宋体"/>
          <w:color w:val="auto"/>
          <w:highlight w:val="none"/>
        </w:rPr>
        <w:t>（</w:t>
      </w:r>
      <w:r>
        <w:rPr>
          <w:color w:val="auto"/>
          <w:highlight w:val="none"/>
        </w:rPr>
        <w:t>1</w:t>
      </w:r>
      <w:r>
        <w:rPr>
          <w:rFonts w:hint="eastAsia" w:hAnsi="宋体" w:cs="宋体"/>
          <w:color w:val="auto"/>
          <w:highlight w:val="none"/>
        </w:rPr>
        <w:t>）单价合同进度付款申请单提交的约定：</w:t>
      </w:r>
      <w:r>
        <w:rPr>
          <w:rFonts w:hint="eastAsia"/>
          <w:color w:val="auto"/>
          <w:highlight w:val="none"/>
          <w:u w:val="single"/>
        </w:rPr>
        <w:t>①《工程款申请书》；②工程量计量报表；③其他需要补充说明的材料。</w:t>
      </w:r>
      <w:r>
        <w:rPr>
          <w:rFonts w:hint="eastAsia" w:hAnsi="宋体" w:cs="宋体"/>
          <w:color w:val="auto"/>
          <w:highlight w:val="none"/>
        </w:rPr>
        <w:t>。</w:t>
      </w:r>
    </w:p>
    <w:p>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）总价合同进度付款申请单提交的约定：</w:t>
      </w:r>
      <w:r>
        <w:rPr>
          <w:color w:val="auto"/>
          <w:highlight w:val="none"/>
          <w:u w:val="single"/>
        </w:rPr>
        <w:t>/</w:t>
      </w:r>
      <w:r>
        <w:rPr>
          <w:rFonts w:hint="eastAsia" w:hAnsi="宋体" w:cs="宋体"/>
          <w:color w:val="auto"/>
          <w:highlight w:val="none"/>
        </w:rPr>
        <w:t>。</w:t>
      </w:r>
    </w:p>
    <w:p>
      <w:pPr>
        <w:spacing w:line="360" w:lineRule="auto"/>
        <w:ind w:firstLine="420" w:firstLineChars="200"/>
        <w:jc w:val="left"/>
        <w:rPr>
          <w:color w:val="auto"/>
          <w:highlight w:val="none"/>
          <w:u w:val="single"/>
        </w:rPr>
      </w:pPr>
      <w:r>
        <w:rPr>
          <w:rFonts w:hint="eastAsia" w:hAnsi="宋体" w:cs="宋体"/>
          <w:color w:val="auto"/>
          <w:highlight w:val="none"/>
        </w:rPr>
        <w:t>（</w:t>
      </w:r>
      <w:r>
        <w:rPr>
          <w:color w:val="auto"/>
          <w:highlight w:val="none"/>
        </w:rPr>
        <w:t>3</w:t>
      </w:r>
      <w:r>
        <w:rPr>
          <w:rFonts w:hint="eastAsia" w:hAnsi="宋体" w:cs="宋体"/>
          <w:color w:val="auto"/>
          <w:highlight w:val="none"/>
        </w:rPr>
        <w:t>）其他价格形式合同进度付款申请单提交的约定：</w:t>
      </w:r>
      <w:r>
        <w:rPr>
          <w:color w:val="auto"/>
          <w:highlight w:val="none"/>
          <w:u w:val="single"/>
        </w:rPr>
        <w:t>/</w:t>
      </w:r>
      <w:r>
        <w:rPr>
          <w:rFonts w:hint="eastAsia" w:hAnsi="宋体" w:cs="宋体"/>
          <w:color w:val="auto"/>
          <w:highlight w:val="none"/>
        </w:rPr>
        <w:t>。</w:t>
      </w:r>
    </w:p>
    <w:p>
      <w:pPr>
        <w:spacing w:line="360" w:lineRule="auto"/>
        <w:ind w:firstLine="420" w:firstLineChars="200"/>
        <w:jc w:val="left"/>
        <w:rPr>
          <w:color w:val="auto"/>
          <w:highlight w:val="none"/>
        </w:rPr>
      </w:pPr>
      <w:r>
        <w:rPr>
          <w:color w:val="auto"/>
          <w:highlight w:val="none"/>
        </w:rPr>
        <w:t xml:space="preserve">12.4.4 </w:t>
      </w:r>
      <w:r>
        <w:rPr>
          <w:rFonts w:hint="eastAsia" w:hAnsi="宋体" w:cs="宋体"/>
          <w:color w:val="auto"/>
          <w:highlight w:val="none"/>
        </w:rPr>
        <w:t>进度款审核和支付</w:t>
      </w:r>
    </w:p>
    <w:p>
      <w:pPr>
        <w:spacing w:line="360" w:lineRule="auto"/>
        <w:ind w:firstLine="420" w:firstLineChars="200"/>
        <w:jc w:val="left"/>
        <w:rPr>
          <w:color w:val="auto"/>
          <w:highlight w:val="none"/>
          <w:u w:val="single"/>
        </w:rPr>
      </w:pPr>
      <w:r>
        <w:rPr>
          <w:rFonts w:hint="eastAsia" w:hAnsi="宋体" w:cs="宋体"/>
          <w:color w:val="auto"/>
          <w:highlight w:val="none"/>
        </w:rPr>
        <w:t>（</w:t>
      </w:r>
      <w:r>
        <w:rPr>
          <w:color w:val="auto"/>
          <w:highlight w:val="none"/>
        </w:rPr>
        <w:t>1</w:t>
      </w:r>
      <w:r>
        <w:rPr>
          <w:rFonts w:hint="eastAsia" w:hAnsi="宋体" w:cs="宋体"/>
          <w:color w:val="auto"/>
          <w:highlight w:val="none"/>
        </w:rPr>
        <w:t>）监理人审查并报送发包人的期限：</w:t>
      </w:r>
      <w:r>
        <w:rPr>
          <w:rFonts w:hint="eastAsia"/>
          <w:color w:val="auto"/>
          <w:highlight w:val="none"/>
          <w:u w:val="single"/>
        </w:rPr>
        <w:t>收到承包人提交的资料后3天内完成审查并报送发包人</w:t>
      </w:r>
      <w:r>
        <w:rPr>
          <w:rFonts w:hint="eastAsia" w:hAnsi="宋体" w:cs="宋体"/>
          <w:color w:val="auto"/>
          <w:highlight w:val="none"/>
        </w:rPr>
        <w:t>。</w:t>
      </w:r>
    </w:p>
    <w:p>
      <w:pPr>
        <w:spacing w:line="360" w:lineRule="auto"/>
        <w:ind w:firstLine="420" w:firstLineChars="200"/>
        <w:jc w:val="left"/>
        <w:rPr>
          <w:color w:val="auto"/>
          <w:highlight w:val="none"/>
          <w:u w:val="single"/>
        </w:rPr>
      </w:pPr>
      <w:r>
        <w:rPr>
          <w:rFonts w:hint="eastAsia" w:hAnsi="宋体" w:cs="宋体"/>
          <w:color w:val="auto"/>
          <w:highlight w:val="none"/>
        </w:rPr>
        <w:t>发包人完成审批并签发进度款支付证书的期限：</w:t>
      </w:r>
      <w:r>
        <w:rPr>
          <w:color w:val="auto"/>
          <w:highlight w:val="none"/>
          <w:u w:val="single"/>
        </w:rPr>
        <w:t>收到资料后7个工作日内完成审批并签发进度款支付证书；发包人逾期未完成审批且未提出异议的，视为已签发进度款支付证书</w:t>
      </w:r>
      <w:r>
        <w:rPr>
          <w:rFonts w:hint="eastAsia" w:hAnsi="宋体" w:cs="宋体"/>
          <w:color w:val="auto"/>
          <w:highlight w:val="none"/>
        </w:rPr>
        <w:t>。</w:t>
      </w:r>
    </w:p>
    <w:p>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）发包人支付进度款的期限：</w:t>
      </w:r>
      <w:r>
        <w:rPr>
          <w:color w:val="auto"/>
          <w:szCs w:val="32"/>
          <w:highlight w:val="none"/>
          <w:u w:val="single"/>
        </w:rPr>
        <w:t>发包人签发进度款支付证书，进度款的支付按本专用条款12.4.1的约定支付，</w:t>
      </w:r>
      <w:r>
        <w:rPr>
          <w:color w:val="auto"/>
          <w:highlight w:val="none"/>
          <w:u w:val="single"/>
        </w:rPr>
        <w:t>支付时间为签发支付证书后10个工作日内</w:t>
      </w:r>
      <w:r>
        <w:rPr>
          <w:rFonts w:hint="eastAsia" w:hAnsi="宋体" w:cs="宋体"/>
          <w:color w:val="auto"/>
          <w:highlight w:val="none"/>
        </w:rPr>
        <w:t>。</w:t>
      </w:r>
    </w:p>
    <w:p>
      <w:pPr>
        <w:spacing w:line="360" w:lineRule="auto"/>
        <w:ind w:firstLine="525" w:firstLineChars="250"/>
        <w:jc w:val="left"/>
        <w:rPr>
          <w:color w:val="auto"/>
          <w:highlight w:val="none"/>
        </w:rPr>
      </w:pPr>
      <w:r>
        <w:rPr>
          <w:rFonts w:hint="eastAsia" w:hAnsi="宋体" w:cs="宋体"/>
          <w:color w:val="auto"/>
          <w:highlight w:val="none"/>
        </w:rPr>
        <w:t>发包人逾期支付进度款的违约金的计算方式：</w:t>
      </w:r>
      <w:r>
        <w:rPr>
          <w:rFonts w:hint="eastAsia"/>
          <w:color w:val="auto"/>
          <w:highlight w:val="none"/>
          <w:u w:val="single"/>
        </w:rPr>
        <w:t>发包人超过约定的支付时间不支付工程款（进度款），承包人可向发包人发出要求付款的通知，发包人收到承包人通知后仍不能按要求付款，可与承包人协商签订延期付款协议，经承包人同意后可延期支付。</w:t>
      </w:r>
    </w:p>
    <w:p>
      <w:pPr>
        <w:spacing w:line="360" w:lineRule="auto"/>
        <w:ind w:firstLine="630" w:firstLineChars="300"/>
        <w:rPr>
          <w:rFonts w:hAnsi="宋体" w:cs="宋体"/>
          <w:color w:val="auto"/>
          <w:highlight w:val="none"/>
        </w:rPr>
      </w:pPr>
      <w:r>
        <w:rPr>
          <w:rFonts w:hint="eastAsia" w:hAnsi="宋体" w:cs="宋体"/>
          <w:color w:val="auto"/>
          <w:highlight w:val="none"/>
        </w:rPr>
        <w:t>进度款支付方式：</w:t>
      </w:r>
      <w:r>
        <w:rPr>
          <w:rFonts w:hint="eastAsia" w:hAnsi="宋体" w:cs="宋体"/>
          <w:color w:val="auto"/>
          <w:highlight w:val="none"/>
          <w:u w:val="single"/>
        </w:rPr>
        <w:t>银行转账</w:t>
      </w:r>
      <w:r>
        <w:rPr>
          <w:rFonts w:hint="eastAsia" w:hAnsi="宋体" w:cs="宋体"/>
          <w:color w:val="auto"/>
          <w:highlight w:val="none"/>
        </w:rPr>
        <w:t>。</w:t>
      </w:r>
      <w:r>
        <w:rPr>
          <w:rFonts w:hint="eastAsia"/>
          <w:color w:val="auto"/>
          <w:highlight w:val="none"/>
        </w:rPr>
        <w:t>进度款支付申请（核准）表见合同附件11。</w:t>
      </w:r>
    </w:p>
    <w:p>
      <w:pPr>
        <w:spacing w:line="360" w:lineRule="auto"/>
        <w:ind w:firstLine="525" w:firstLineChars="250"/>
        <w:jc w:val="left"/>
        <w:rPr>
          <w:rFonts w:hAnsi="宋体"/>
          <w:color w:val="auto"/>
          <w:highlight w:val="none"/>
        </w:rPr>
      </w:pPr>
      <w:r>
        <w:rPr>
          <w:color w:val="auto"/>
          <w:highlight w:val="none"/>
        </w:rPr>
        <w:t xml:space="preserve">12.4.6 </w:t>
      </w:r>
      <w:r>
        <w:rPr>
          <w:rFonts w:hint="eastAsia" w:hAnsi="宋体" w:cs="宋体"/>
          <w:color w:val="auto"/>
          <w:highlight w:val="none"/>
        </w:rPr>
        <w:t>支付分解表的编制</w:t>
      </w:r>
    </w:p>
    <w:p>
      <w:pPr>
        <w:spacing w:line="360" w:lineRule="auto"/>
        <w:ind w:firstLine="525" w:firstLineChars="250"/>
        <w:jc w:val="left"/>
        <w:rPr>
          <w:color w:val="auto"/>
          <w:highlight w:val="none"/>
          <w:u w:val="single"/>
        </w:rPr>
      </w:pPr>
      <w:r>
        <w:rPr>
          <w:rFonts w:hint="eastAsia"/>
          <w:color w:val="auto"/>
          <w:highlight w:val="none"/>
        </w:rPr>
        <w:t>（</w:t>
      </w:r>
      <w:r>
        <w:rPr>
          <w:color w:val="auto"/>
          <w:highlight w:val="none"/>
        </w:rPr>
        <w:t>1</w:t>
      </w:r>
      <w:r>
        <w:rPr>
          <w:rFonts w:hint="eastAsia"/>
          <w:color w:val="auto"/>
          <w:highlight w:val="none"/>
        </w:rPr>
        <w:t>）</w:t>
      </w:r>
      <w:r>
        <w:rPr>
          <w:rFonts w:hAnsi="宋体"/>
          <w:color w:val="auto"/>
          <w:highlight w:val="none"/>
        </w:rPr>
        <w:t xml:space="preserve"> </w:t>
      </w:r>
      <w:r>
        <w:rPr>
          <w:rFonts w:hint="eastAsia" w:hAnsi="宋体" w:cs="宋体"/>
          <w:color w:val="auto"/>
          <w:highlight w:val="none"/>
        </w:rPr>
        <w:t>总价合同支付分解表的编制与审批：</w:t>
      </w:r>
      <w:r>
        <w:rPr>
          <w:rFonts w:hint="eastAsia"/>
          <w:color w:val="auto"/>
          <w:highlight w:val="none"/>
          <w:u w:val="single"/>
        </w:rPr>
        <w:t>无。</w:t>
      </w:r>
    </w:p>
    <w:p>
      <w:pPr>
        <w:spacing w:line="360" w:lineRule="auto"/>
        <w:ind w:firstLine="525" w:firstLineChars="250"/>
        <w:jc w:val="left"/>
        <w:rPr>
          <w:color w:val="auto"/>
          <w:highlight w:val="none"/>
          <w:u w:val="single"/>
        </w:rPr>
      </w:pPr>
      <w:r>
        <w:rPr>
          <w:rFonts w:hint="eastAsia"/>
          <w:color w:val="auto"/>
          <w:highlight w:val="none"/>
        </w:rPr>
        <w:t>（2）</w:t>
      </w:r>
      <w:r>
        <w:rPr>
          <w:rFonts w:hint="eastAsia" w:hAnsi="宋体" w:cs="宋体"/>
          <w:color w:val="auto"/>
          <w:highlight w:val="none"/>
        </w:rPr>
        <w:t>单价合同的总价项目支付分解表的编制与审批：总价项目不采用支付分解表的方式计算，而按《建设工程工程量清单计价规范（</w:t>
      </w:r>
      <w:r>
        <w:rPr>
          <w:rFonts w:hAnsi="宋体"/>
          <w:color w:val="auto"/>
          <w:highlight w:val="none"/>
        </w:rPr>
        <w:t>GB50500-2013</w:t>
      </w:r>
      <w:r>
        <w:rPr>
          <w:rFonts w:hint="eastAsia" w:hAnsi="宋体" w:cs="宋体"/>
          <w:color w:val="auto"/>
          <w:highlight w:val="none"/>
        </w:rPr>
        <w:t>）广西壮族自治区实施细则》的规定执行。</w:t>
      </w:r>
    </w:p>
    <w:bookmarkEnd w:id="1008"/>
    <w:p>
      <w:pPr>
        <w:pStyle w:val="4"/>
        <w:rPr>
          <w:color w:val="auto"/>
          <w:highlight w:val="none"/>
        </w:rPr>
      </w:pPr>
      <w:bookmarkStart w:id="1257" w:name="_Toc5405"/>
      <w:bookmarkStart w:id="1258" w:name="_Toc66186460"/>
      <w:bookmarkStart w:id="1259" w:name="_Toc373478400"/>
      <w:bookmarkStart w:id="1260" w:name="_Toc389065318"/>
      <w:bookmarkStart w:id="1261" w:name="_Toc351203645"/>
      <w:bookmarkStart w:id="1262" w:name="_Toc407135256"/>
      <w:bookmarkStart w:id="1263" w:name="_Toc373227753"/>
      <w:bookmarkStart w:id="1264" w:name="_Toc296347218"/>
      <w:bookmarkStart w:id="1265" w:name="_Toc297048405"/>
      <w:bookmarkStart w:id="1266" w:name="_Toc297123564"/>
      <w:bookmarkStart w:id="1267" w:name="_Toc296503219"/>
      <w:bookmarkStart w:id="1268" w:name="_Toc304295593"/>
      <w:bookmarkStart w:id="1269" w:name="_Toc296891047"/>
      <w:bookmarkStart w:id="1270" w:name="_Toc297216223"/>
      <w:bookmarkStart w:id="1271" w:name="_Toc303539172"/>
      <w:bookmarkStart w:id="1272" w:name="_Toc312678053"/>
      <w:bookmarkStart w:id="1273" w:name="_Toc296346720"/>
      <w:bookmarkStart w:id="1274" w:name="_Toc300935015"/>
      <w:bookmarkStart w:id="1275" w:name="_Toc297120519"/>
      <w:bookmarkStart w:id="1276" w:name="_Toc296944558"/>
      <w:bookmarkStart w:id="1277" w:name="_Toc292559929"/>
      <w:bookmarkStart w:id="1278" w:name="_Toc292559424"/>
      <w:bookmarkStart w:id="1279" w:name="_Toc296891259"/>
      <w:r>
        <w:rPr>
          <w:color w:val="auto"/>
          <w:highlight w:val="none"/>
        </w:rPr>
        <w:t xml:space="preserve">13. </w:t>
      </w:r>
      <w:r>
        <w:rPr>
          <w:rFonts w:hint="eastAsia" w:cs="黑体"/>
          <w:color w:val="auto"/>
          <w:highlight w:val="none"/>
        </w:rPr>
        <w:t>验收和工程试车</w:t>
      </w:r>
      <w:bookmarkEnd w:id="1257"/>
      <w:bookmarkEnd w:id="1258"/>
      <w:bookmarkEnd w:id="1259"/>
      <w:bookmarkEnd w:id="1260"/>
      <w:bookmarkEnd w:id="1261"/>
      <w:bookmarkEnd w:id="1262"/>
      <w:bookmarkEnd w:id="1263"/>
    </w:p>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p>
      <w:pPr>
        <w:pStyle w:val="5"/>
        <w:rPr>
          <w:color w:val="auto"/>
          <w:highlight w:val="none"/>
        </w:rPr>
      </w:pPr>
      <w:bookmarkStart w:id="1280" w:name="_Toc373227754"/>
      <w:bookmarkStart w:id="1281" w:name="_Toc389065319"/>
      <w:bookmarkStart w:id="1282" w:name="_Toc29779"/>
      <w:bookmarkStart w:id="1283" w:name="_Toc66186461"/>
      <w:bookmarkStart w:id="1284" w:name="_Toc373478401"/>
      <w:bookmarkStart w:id="1285" w:name="_Toc407135257"/>
      <w:r>
        <w:rPr>
          <w:color w:val="auto"/>
          <w:highlight w:val="none"/>
        </w:rPr>
        <w:t xml:space="preserve">13.1 </w:t>
      </w:r>
      <w:r>
        <w:rPr>
          <w:rFonts w:hint="eastAsia" w:cs="黑体"/>
          <w:color w:val="auto"/>
          <w:highlight w:val="none"/>
        </w:rPr>
        <w:t>分部分项工程验收</w:t>
      </w:r>
      <w:bookmarkEnd w:id="1280"/>
      <w:bookmarkEnd w:id="1281"/>
      <w:bookmarkEnd w:id="1282"/>
      <w:bookmarkEnd w:id="1283"/>
      <w:bookmarkEnd w:id="1284"/>
      <w:bookmarkEnd w:id="1285"/>
    </w:p>
    <w:p>
      <w:pPr>
        <w:spacing w:line="360" w:lineRule="auto"/>
        <w:ind w:firstLine="420" w:firstLineChars="200"/>
        <w:jc w:val="left"/>
        <w:rPr>
          <w:color w:val="auto"/>
          <w:highlight w:val="none"/>
        </w:rPr>
      </w:pPr>
      <w:r>
        <w:rPr>
          <w:color w:val="auto"/>
          <w:highlight w:val="none"/>
        </w:rPr>
        <w:t>13.1.2</w:t>
      </w:r>
      <w:r>
        <w:rPr>
          <w:rFonts w:hint="eastAsia" w:hAnsi="宋体" w:cs="宋体"/>
          <w:color w:val="auto"/>
          <w:highlight w:val="none"/>
        </w:rPr>
        <w:t>监理人不能按时进行验收时，应提前</w:t>
      </w:r>
      <w:r>
        <w:rPr>
          <w:rFonts w:ascii="宋体" w:hAnsi="宋体"/>
          <w:color w:val="auto"/>
          <w:highlight w:val="none"/>
          <w:u w:val="single"/>
        </w:rPr>
        <w:t xml:space="preserve"> 24 </w:t>
      </w:r>
      <w:r>
        <w:rPr>
          <w:rFonts w:hint="eastAsia" w:hAnsi="宋体" w:cs="宋体"/>
          <w:color w:val="auto"/>
          <w:highlight w:val="none"/>
        </w:rPr>
        <w:t>小时提交书面延期要求。</w:t>
      </w:r>
    </w:p>
    <w:p>
      <w:pPr>
        <w:spacing w:line="360" w:lineRule="auto"/>
        <w:ind w:firstLine="420" w:firstLineChars="200"/>
        <w:jc w:val="left"/>
        <w:rPr>
          <w:b/>
          <w:color w:val="auto"/>
          <w:highlight w:val="none"/>
        </w:rPr>
      </w:pPr>
      <w:r>
        <w:rPr>
          <w:rFonts w:hint="eastAsia" w:hAnsi="宋体" w:cs="宋体"/>
          <w:color w:val="auto"/>
          <w:highlight w:val="none"/>
        </w:rPr>
        <w:t>关于延期最长不得超过：</w:t>
      </w:r>
      <w:r>
        <w:rPr>
          <w:rFonts w:ascii="宋体" w:hAnsi="宋体"/>
          <w:color w:val="auto"/>
          <w:highlight w:val="none"/>
          <w:u w:val="single"/>
        </w:rPr>
        <w:t xml:space="preserve"> 48 </w:t>
      </w:r>
      <w:r>
        <w:rPr>
          <w:rFonts w:hint="eastAsia" w:hAnsi="宋体" w:cs="宋体"/>
          <w:color w:val="auto"/>
          <w:highlight w:val="none"/>
        </w:rPr>
        <w:t>小时。</w:t>
      </w:r>
    </w:p>
    <w:p>
      <w:pPr>
        <w:pStyle w:val="5"/>
        <w:rPr>
          <w:color w:val="auto"/>
          <w:highlight w:val="none"/>
        </w:rPr>
      </w:pPr>
      <w:bookmarkStart w:id="1286" w:name="_Toc407135258"/>
      <w:bookmarkStart w:id="1287" w:name="_Toc2082"/>
      <w:bookmarkStart w:id="1288" w:name="_Toc373478402"/>
      <w:bookmarkStart w:id="1289" w:name="_Toc373227755"/>
      <w:bookmarkStart w:id="1290" w:name="_Toc66186462"/>
      <w:bookmarkStart w:id="1291" w:name="_Toc389065320"/>
      <w:bookmarkStart w:id="1292" w:name="_Toc297120523"/>
      <w:bookmarkStart w:id="1293" w:name="_Toc300935016"/>
      <w:bookmarkStart w:id="1294" w:name="_Toc296347222"/>
      <w:bookmarkStart w:id="1295" w:name="_Toc296346724"/>
      <w:bookmarkStart w:id="1296" w:name="_Toc296503223"/>
      <w:bookmarkStart w:id="1297" w:name="_Toc297123565"/>
      <w:bookmarkStart w:id="1298" w:name="_Toc304295596"/>
      <w:bookmarkStart w:id="1299" w:name="_Toc296944562"/>
      <w:bookmarkStart w:id="1300" w:name="_Toc312678056"/>
      <w:bookmarkStart w:id="1301" w:name="_Toc292559933"/>
      <w:bookmarkStart w:id="1302" w:name="_Toc296891051"/>
      <w:bookmarkStart w:id="1303" w:name="_Toc303539173"/>
      <w:bookmarkStart w:id="1304" w:name="_Toc292559428"/>
      <w:bookmarkStart w:id="1305" w:name="_Toc297216224"/>
      <w:bookmarkStart w:id="1306" w:name="_Toc297048409"/>
      <w:bookmarkStart w:id="1307" w:name="_Toc296891263"/>
      <w:bookmarkStart w:id="1308" w:name="_Toc267251474"/>
      <w:bookmarkStart w:id="1309" w:name="_Toc267251476"/>
      <w:bookmarkStart w:id="1310" w:name="_Toc267251470"/>
      <w:bookmarkStart w:id="1311" w:name="_Toc267251472"/>
      <w:bookmarkStart w:id="1312" w:name="_Toc267251471"/>
      <w:bookmarkStart w:id="1313" w:name="_Toc267251473"/>
      <w:bookmarkStart w:id="1314" w:name="_Toc267251475"/>
      <w:r>
        <w:rPr>
          <w:color w:val="auto"/>
          <w:highlight w:val="none"/>
        </w:rPr>
        <w:t xml:space="preserve">13.2 </w:t>
      </w:r>
      <w:r>
        <w:rPr>
          <w:rFonts w:hint="eastAsia" w:hAnsi="宋体" w:cs="黑体"/>
          <w:color w:val="auto"/>
          <w:highlight w:val="none"/>
        </w:rPr>
        <w:t>竣工验收</w:t>
      </w:r>
      <w:bookmarkEnd w:id="1286"/>
      <w:bookmarkEnd w:id="1287"/>
      <w:bookmarkEnd w:id="1288"/>
      <w:bookmarkEnd w:id="1289"/>
      <w:bookmarkEnd w:id="1290"/>
      <w:bookmarkEnd w:id="1291"/>
    </w:p>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p>
      <w:pPr>
        <w:spacing w:line="360" w:lineRule="auto"/>
        <w:ind w:firstLine="420" w:firstLineChars="200"/>
        <w:jc w:val="left"/>
        <w:rPr>
          <w:color w:val="auto"/>
          <w:highlight w:val="none"/>
        </w:rPr>
      </w:pPr>
      <w:bookmarkStart w:id="1315" w:name="_Toc280868704"/>
      <w:bookmarkStart w:id="1316" w:name="_Toc280868705"/>
      <w:bookmarkStart w:id="1317" w:name="_Toc280868706"/>
      <w:bookmarkStart w:id="1318" w:name="_Toc280868707"/>
      <w:bookmarkStart w:id="1319" w:name="_Toc280868708"/>
      <w:bookmarkStart w:id="1320" w:name="_Toc280868709"/>
      <w:r>
        <w:rPr>
          <w:color w:val="auto"/>
          <w:highlight w:val="none"/>
        </w:rPr>
        <w:t>13.2.1</w:t>
      </w:r>
      <w:r>
        <w:rPr>
          <w:rFonts w:hint="eastAsia" w:hAnsi="宋体" w:cs="宋体"/>
          <w:color w:val="auto"/>
          <w:highlight w:val="none"/>
        </w:rPr>
        <w:t>竣工验收条件</w:t>
      </w:r>
    </w:p>
    <w:p>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w:t>
      </w:r>
      <w:r>
        <w:rPr>
          <w:rFonts w:hint="eastAsia" w:hAnsi="宋体" w:cs="宋体"/>
          <w:color w:val="auto"/>
          <w:highlight w:val="none"/>
        </w:rPr>
        <w:t>承包人负责整理和提交的竣工验收资料应当符合工程所在地建设行政主管部门和</w:t>
      </w:r>
      <w:r>
        <w:rPr>
          <w:color w:val="auto"/>
          <w:highlight w:val="none"/>
        </w:rPr>
        <w:t>(</w:t>
      </w:r>
      <w:r>
        <w:rPr>
          <w:rFonts w:hint="eastAsia" w:hAnsi="宋体" w:cs="宋体"/>
          <w:color w:val="auto"/>
          <w:highlight w:val="none"/>
        </w:rPr>
        <w:t>或</w:t>
      </w:r>
      <w:r>
        <w:rPr>
          <w:color w:val="auto"/>
          <w:highlight w:val="none"/>
        </w:rPr>
        <w:t>)</w:t>
      </w:r>
      <w:r>
        <w:rPr>
          <w:rFonts w:hint="eastAsia" w:hAnsi="宋体" w:cs="宋体"/>
          <w:color w:val="auto"/>
          <w:highlight w:val="none"/>
        </w:rPr>
        <w:t>城市建设档案管理机构有关施工资料的要求，具体内容包括：</w:t>
      </w:r>
      <w:r>
        <w:rPr>
          <w:color w:val="auto"/>
          <w:highlight w:val="none"/>
          <w:u w:val="single"/>
        </w:rPr>
        <w:t>按通用合同条款13.2执行</w:t>
      </w:r>
      <w:r>
        <w:rPr>
          <w:rFonts w:hint="eastAsia" w:hAnsi="宋体" w:cs="宋体"/>
          <w:color w:val="auto"/>
          <w:highlight w:val="none"/>
        </w:rPr>
        <w:t>。</w:t>
      </w:r>
    </w:p>
    <w:p>
      <w:pPr>
        <w:spacing w:line="360" w:lineRule="auto"/>
        <w:ind w:firstLine="420" w:firstLineChars="200"/>
        <w:rPr>
          <w:color w:val="auto"/>
          <w:highlight w:val="none"/>
        </w:rPr>
      </w:pPr>
      <w:r>
        <w:rPr>
          <w:rFonts w:hint="eastAsia" w:hAnsi="宋体" w:cs="宋体"/>
          <w:color w:val="auto"/>
          <w:highlight w:val="none"/>
        </w:rPr>
        <w:t>竣工验收资料的份数：</w:t>
      </w:r>
      <w:r>
        <w:rPr>
          <w:rFonts w:hint="eastAsia"/>
          <w:color w:val="auto"/>
          <w:highlight w:val="none"/>
          <w:u w:val="single"/>
        </w:rPr>
        <w:t>一式六份</w:t>
      </w:r>
      <w:r>
        <w:rPr>
          <w:rFonts w:hint="eastAsia" w:hAnsi="宋体" w:cs="宋体"/>
          <w:color w:val="auto"/>
          <w:highlight w:val="none"/>
        </w:rPr>
        <w:t>。</w:t>
      </w:r>
    </w:p>
    <w:p>
      <w:pPr>
        <w:spacing w:line="360" w:lineRule="auto"/>
        <w:ind w:firstLine="420" w:firstLineChars="200"/>
        <w:jc w:val="left"/>
        <w:rPr>
          <w:color w:val="auto"/>
          <w:highlight w:val="none"/>
        </w:rPr>
      </w:pPr>
      <w:r>
        <w:rPr>
          <w:rFonts w:hint="eastAsia" w:hAnsi="宋体" w:cs="宋体"/>
          <w:color w:val="auto"/>
          <w:highlight w:val="none"/>
        </w:rPr>
        <w:t>承包人提供竣工图的约定：</w:t>
      </w:r>
      <w:r>
        <w:rPr>
          <w:rFonts w:hint="eastAsia" w:hAnsi="宋体" w:cs="宋体"/>
          <w:color w:val="auto"/>
          <w:highlight w:val="none"/>
          <w:u w:val="single"/>
        </w:rPr>
        <w:t>竣工验收正式通过后</w:t>
      </w:r>
      <w:r>
        <w:rPr>
          <w:color w:val="auto"/>
          <w:highlight w:val="none"/>
          <w:u w:val="single"/>
        </w:rPr>
        <w:t>10</w:t>
      </w:r>
      <w:r>
        <w:rPr>
          <w:rFonts w:hint="eastAsia" w:hAnsi="宋体" w:cs="宋体"/>
          <w:color w:val="auto"/>
          <w:highlight w:val="none"/>
          <w:u w:val="single"/>
        </w:rPr>
        <w:t>天，提供竣工图的数量为</w:t>
      </w:r>
      <w:r>
        <w:rPr>
          <w:color w:val="auto"/>
          <w:highlight w:val="none"/>
          <w:u w:val="single"/>
        </w:rPr>
        <w:t>4</w:t>
      </w:r>
      <w:r>
        <w:rPr>
          <w:rFonts w:hint="eastAsia" w:hAnsi="宋体" w:cs="宋体"/>
          <w:color w:val="auto"/>
          <w:highlight w:val="none"/>
          <w:u w:val="single"/>
        </w:rPr>
        <w:t>套。</w:t>
      </w:r>
    </w:p>
    <w:p>
      <w:pPr>
        <w:spacing w:line="360" w:lineRule="auto"/>
        <w:ind w:firstLine="420" w:firstLineChars="200"/>
        <w:jc w:val="left"/>
        <w:rPr>
          <w:color w:val="auto"/>
          <w:highlight w:val="none"/>
        </w:rPr>
      </w:pPr>
      <w:r>
        <w:rPr>
          <w:color w:val="auto"/>
          <w:highlight w:val="none"/>
        </w:rPr>
        <w:t>13.2.2</w:t>
      </w:r>
      <w:r>
        <w:rPr>
          <w:rFonts w:hint="eastAsia" w:hAnsi="宋体" w:cs="宋体"/>
          <w:color w:val="auto"/>
          <w:highlight w:val="none"/>
        </w:rPr>
        <w:t>竣工验收程序</w:t>
      </w:r>
    </w:p>
    <w:bookmarkEnd w:id="1315"/>
    <w:p>
      <w:pPr>
        <w:spacing w:line="360" w:lineRule="auto"/>
        <w:ind w:firstLine="420" w:firstLineChars="200"/>
        <w:jc w:val="left"/>
        <w:rPr>
          <w:color w:val="auto"/>
          <w:highlight w:val="none"/>
          <w:u w:val="single"/>
        </w:rPr>
      </w:pPr>
      <w:r>
        <w:rPr>
          <w:rFonts w:hint="eastAsia" w:hAnsi="宋体" w:cs="宋体"/>
          <w:color w:val="auto"/>
          <w:kern w:val="0"/>
          <w:highlight w:val="none"/>
        </w:rPr>
        <w:t>关于竣工验收程序的约定：</w:t>
      </w:r>
      <w:r>
        <w:rPr>
          <w:rFonts w:hint="eastAsia" w:ascii="宋体" w:hAnsi="宋体"/>
          <w:color w:val="auto"/>
          <w:highlight w:val="none"/>
          <w:u w:val="single"/>
        </w:rPr>
        <w:t>执行通用条款13.2.2条执行</w:t>
      </w:r>
      <w:r>
        <w:rPr>
          <w:rFonts w:hint="eastAsia" w:hAnsi="宋体" w:cs="宋体"/>
          <w:color w:val="auto"/>
          <w:highlight w:val="none"/>
        </w:rPr>
        <w:t>。</w:t>
      </w:r>
    </w:p>
    <w:p>
      <w:pPr>
        <w:spacing w:line="360" w:lineRule="auto"/>
        <w:ind w:firstLine="420" w:firstLineChars="200"/>
        <w:jc w:val="left"/>
        <w:rPr>
          <w:color w:val="auto"/>
          <w:highlight w:val="none"/>
        </w:rPr>
      </w:pPr>
      <w:r>
        <w:rPr>
          <w:rFonts w:hint="eastAsia" w:hAnsi="宋体" w:cs="宋体"/>
          <w:color w:val="auto"/>
          <w:kern w:val="0"/>
          <w:highlight w:val="none"/>
        </w:rPr>
        <w:t>发包人不按照本项约定组织竣工验收、颁发工程接收证书的违约金的计算方法：</w:t>
      </w:r>
      <w:r>
        <w:rPr>
          <w:rFonts w:hint="eastAsia" w:ascii="宋体" w:hAnsi="宋体"/>
          <w:color w:val="auto"/>
          <w:highlight w:val="none"/>
          <w:u w:val="single"/>
        </w:rPr>
        <w:t xml:space="preserve"> </w:t>
      </w:r>
      <w:r>
        <w:rPr>
          <w:rFonts w:ascii="宋体" w:hAnsi="宋体"/>
          <w:color w:val="auto"/>
          <w:highlight w:val="none"/>
          <w:u w:val="single"/>
        </w:rPr>
        <w:t xml:space="preserve"> /  </w:t>
      </w:r>
      <w:r>
        <w:rPr>
          <w:rFonts w:hint="eastAsia" w:hAnsi="宋体" w:cs="宋体"/>
          <w:color w:val="auto"/>
          <w:highlight w:val="none"/>
        </w:rPr>
        <w:t>。</w:t>
      </w:r>
    </w:p>
    <w:bookmarkEnd w:id="1316"/>
    <w:p>
      <w:pPr>
        <w:spacing w:line="360" w:lineRule="auto"/>
        <w:ind w:firstLine="420" w:firstLineChars="200"/>
        <w:jc w:val="left"/>
        <w:rPr>
          <w:color w:val="auto"/>
          <w:highlight w:val="none"/>
        </w:rPr>
      </w:pPr>
      <w:r>
        <w:rPr>
          <w:color w:val="auto"/>
          <w:highlight w:val="none"/>
        </w:rPr>
        <w:t>13.2.5</w:t>
      </w:r>
      <w:r>
        <w:rPr>
          <w:rFonts w:hint="eastAsia" w:hAnsi="宋体" w:cs="宋体"/>
          <w:color w:val="auto"/>
          <w:highlight w:val="none"/>
        </w:rPr>
        <w:t>移交、接收全部与部分工程</w:t>
      </w:r>
    </w:p>
    <w:bookmarkEnd w:id="1317"/>
    <w:p>
      <w:pPr>
        <w:spacing w:line="360" w:lineRule="auto"/>
        <w:ind w:firstLine="420" w:firstLineChars="200"/>
        <w:jc w:val="left"/>
        <w:rPr>
          <w:color w:val="auto"/>
          <w:kern w:val="0"/>
          <w:highlight w:val="none"/>
        </w:rPr>
      </w:pPr>
      <w:r>
        <w:rPr>
          <w:rFonts w:hint="eastAsia" w:hAnsi="宋体" w:cs="宋体"/>
          <w:color w:val="auto"/>
          <w:kern w:val="0"/>
          <w:highlight w:val="none"/>
        </w:rPr>
        <w:t>承包人向发包人移交工程的期限：</w:t>
      </w:r>
      <w:r>
        <w:rPr>
          <w:rFonts w:hint="eastAsia"/>
          <w:color w:val="auto"/>
          <w:highlight w:val="none"/>
          <w:u w:val="single"/>
        </w:rPr>
        <w:t>颁发工程接收证书7天内</w:t>
      </w:r>
      <w:r>
        <w:rPr>
          <w:rFonts w:hint="eastAsia" w:hAnsi="宋体" w:cs="宋体"/>
          <w:color w:val="auto"/>
          <w:highlight w:val="none"/>
        </w:rPr>
        <w:t>。</w:t>
      </w:r>
    </w:p>
    <w:p>
      <w:pPr>
        <w:spacing w:line="360" w:lineRule="auto"/>
        <w:ind w:firstLine="420" w:firstLineChars="200"/>
        <w:jc w:val="left"/>
        <w:rPr>
          <w:color w:val="auto"/>
          <w:highlight w:val="none"/>
          <w:u w:val="single"/>
        </w:rPr>
      </w:pPr>
      <w:r>
        <w:rPr>
          <w:rFonts w:hint="eastAsia" w:hAnsi="宋体" w:cs="宋体"/>
          <w:color w:val="auto"/>
          <w:kern w:val="0"/>
          <w:highlight w:val="none"/>
        </w:rPr>
        <w:t>发包人未按本合同约定接收全部或部分工程的，违约金的计算方法为：</w:t>
      </w:r>
      <w:r>
        <w:rPr>
          <w:rFonts w:hint="eastAsia" w:ascii="宋体" w:hAnsi="宋体"/>
          <w:color w:val="auto"/>
          <w:highlight w:val="none"/>
          <w:u w:val="single"/>
        </w:rPr>
        <w:t xml:space="preserve"> </w:t>
      </w:r>
      <w:r>
        <w:rPr>
          <w:rFonts w:ascii="宋体" w:hAnsi="宋体"/>
          <w:color w:val="auto"/>
          <w:highlight w:val="none"/>
          <w:u w:val="single"/>
        </w:rPr>
        <w:t xml:space="preserve"> /  </w:t>
      </w:r>
      <w:r>
        <w:rPr>
          <w:rFonts w:hint="eastAsia" w:hAnsi="宋体" w:cs="宋体"/>
          <w:color w:val="auto"/>
          <w:highlight w:val="none"/>
        </w:rPr>
        <w:t>。</w:t>
      </w:r>
    </w:p>
    <w:bookmarkEnd w:id="1318"/>
    <w:p>
      <w:pPr>
        <w:spacing w:line="360" w:lineRule="auto"/>
        <w:ind w:firstLine="420" w:firstLineChars="200"/>
        <w:jc w:val="left"/>
        <w:rPr>
          <w:color w:val="auto"/>
          <w:highlight w:val="none"/>
          <w:u w:val="single"/>
        </w:rPr>
      </w:pPr>
      <w:r>
        <w:rPr>
          <w:rFonts w:hint="eastAsia" w:hAnsi="宋体" w:cs="宋体"/>
          <w:color w:val="auto"/>
          <w:highlight w:val="none"/>
        </w:rPr>
        <w:t>承包人未按时移交工程的，违约金的计算方法为：</w:t>
      </w:r>
      <w:r>
        <w:rPr>
          <w:rFonts w:hint="eastAsia"/>
          <w:color w:val="auto"/>
          <w:highlight w:val="none"/>
          <w:u w:val="single"/>
        </w:rPr>
        <w:t>每超一天向发包人支付合同总价款万分之四的误期赔偿费，限额为合同总价款的5%</w:t>
      </w:r>
      <w:r>
        <w:rPr>
          <w:rFonts w:hint="eastAsia" w:hAnsi="宋体" w:cs="宋体"/>
          <w:color w:val="auto"/>
          <w:highlight w:val="none"/>
        </w:rPr>
        <w:t>。</w:t>
      </w:r>
    </w:p>
    <w:p>
      <w:pPr>
        <w:pStyle w:val="5"/>
        <w:tabs>
          <w:tab w:val="left" w:pos="6096"/>
        </w:tabs>
        <w:rPr>
          <w:color w:val="auto"/>
          <w:highlight w:val="none"/>
        </w:rPr>
      </w:pPr>
      <w:bookmarkStart w:id="1321" w:name="_Toc407135259"/>
      <w:bookmarkStart w:id="1322" w:name="_Toc373227756"/>
      <w:bookmarkStart w:id="1323" w:name="_Toc24146"/>
      <w:bookmarkStart w:id="1324" w:name="_Toc373478403"/>
      <w:bookmarkStart w:id="1325" w:name="_Toc66186463"/>
      <w:bookmarkStart w:id="1326" w:name="_Toc389065321"/>
      <w:r>
        <w:rPr>
          <w:color w:val="auto"/>
          <w:highlight w:val="none"/>
        </w:rPr>
        <w:t xml:space="preserve">13.3 </w:t>
      </w:r>
      <w:r>
        <w:rPr>
          <w:rFonts w:hint="eastAsia" w:hAnsi="宋体" w:cs="黑体"/>
          <w:color w:val="auto"/>
          <w:highlight w:val="none"/>
        </w:rPr>
        <w:t>工程试车</w:t>
      </w:r>
      <w:bookmarkEnd w:id="1321"/>
      <w:bookmarkEnd w:id="1322"/>
      <w:bookmarkEnd w:id="1323"/>
      <w:bookmarkEnd w:id="1324"/>
      <w:bookmarkEnd w:id="1325"/>
      <w:bookmarkEnd w:id="1326"/>
      <w:r>
        <w:rPr>
          <w:rFonts w:hAnsi="宋体" w:cs="黑体"/>
          <w:color w:val="auto"/>
          <w:highlight w:val="none"/>
        </w:rPr>
        <w:tab/>
      </w:r>
    </w:p>
    <w:bookmarkEnd w:id="1319"/>
    <w:p>
      <w:pPr>
        <w:spacing w:line="360" w:lineRule="auto"/>
        <w:ind w:firstLine="420" w:firstLineChars="200"/>
        <w:jc w:val="left"/>
        <w:rPr>
          <w:color w:val="auto"/>
          <w:kern w:val="0"/>
          <w:highlight w:val="none"/>
        </w:rPr>
      </w:pPr>
      <w:r>
        <w:rPr>
          <w:color w:val="auto"/>
          <w:kern w:val="0"/>
          <w:highlight w:val="none"/>
        </w:rPr>
        <w:t xml:space="preserve">13.3.1 </w:t>
      </w:r>
      <w:r>
        <w:rPr>
          <w:rFonts w:hint="eastAsia" w:hAnsi="宋体" w:cs="宋体"/>
          <w:color w:val="auto"/>
          <w:kern w:val="0"/>
          <w:highlight w:val="none"/>
        </w:rPr>
        <w:t>试车程序</w:t>
      </w:r>
    </w:p>
    <w:p>
      <w:pPr>
        <w:spacing w:line="360" w:lineRule="auto"/>
        <w:ind w:firstLine="420" w:firstLineChars="200"/>
        <w:jc w:val="left"/>
        <w:rPr>
          <w:color w:val="auto"/>
          <w:highlight w:val="none"/>
          <w:u w:val="single"/>
        </w:rPr>
      </w:pPr>
      <w:r>
        <w:rPr>
          <w:rFonts w:hint="eastAsia" w:hAnsi="宋体" w:cs="宋体"/>
          <w:color w:val="auto"/>
          <w:kern w:val="0"/>
          <w:highlight w:val="none"/>
        </w:rPr>
        <w:t>工程试车内容：</w:t>
      </w:r>
      <w:r>
        <w:rPr>
          <w:rFonts w:hint="eastAsia" w:ascii="宋体" w:hAnsi="宋体"/>
          <w:color w:val="auto"/>
          <w:highlight w:val="none"/>
          <w:u w:val="single"/>
        </w:rPr>
        <w:t xml:space="preserve"> </w:t>
      </w:r>
      <w:r>
        <w:rPr>
          <w:rFonts w:ascii="宋体" w:hAnsi="宋体"/>
          <w:color w:val="auto"/>
          <w:highlight w:val="none"/>
          <w:u w:val="single"/>
        </w:rPr>
        <w:t xml:space="preserve"> /  </w:t>
      </w:r>
      <w:r>
        <w:rPr>
          <w:rFonts w:hint="eastAsia" w:hAnsi="宋体" w:cs="宋体"/>
          <w:color w:val="auto"/>
          <w:highlight w:val="none"/>
        </w:rPr>
        <w:t>。</w:t>
      </w:r>
    </w:p>
    <w:p>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）单机无负荷试车费用由</w:t>
      </w:r>
      <w:r>
        <w:rPr>
          <w:rFonts w:hint="eastAsia" w:ascii="宋体" w:hAnsi="宋体"/>
          <w:color w:val="auto"/>
          <w:highlight w:val="none"/>
          <w:u w:val="single"/>
        </w:rPr>
        <w:t>承包人</w:t>
      </w:r>
      <w:r>
        <w:rPr>
          <w:rFonts w:hint="eastAsia" w:hAnsi="宋体" w:cs="宋体"/>
          <w:color w:val="auto"/>
          <w:kern w:val="0"/>
          <w:highlight w:val="none"/>
        </w:rPr>
        <w:t>承担；</w:t>
      </w:r>
    </w:p>
    <w:p>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）无负荷联动试车费用由</w:t>
      </w:r>
      <w:r>
        <w:rPr>
          <w:rFonts w:hint="eastAsia" w:ascii="宋体" w:hAnsi="宋体"/>
          <w:color w:val="auto"/>
          <w:highlight w:val="none"/>
          <w:u w:val="single"/>
        </w:rPr>
        <w:t>承包人</w:t>
      </w:r>
      <w:r>
        <w:rPr>
          <w:rFonts w:hint="eastAsia" w:hAnsi="宋体" w:cs="宋体"/>
          <w:color w:val="auto"/>
          <w:kern w:val="0"/>
          <w:highlight w:val="none"/>
        </w:rPr>
        <w:t>承担。</w:t>
      </w:r>
    </w:p>
    <w:p>
      <w:pPr>
        <w:spacing w:line="360" w:lineRule="auto"/>
        <w:ind w:firstLine="420" w:firstLineChars="200"/>
        <w:jc w:val="left"/>
        <w:rPr>
          <w:color w:val="auto"/>
          <w:kern w:val="0"/>
          <w:highlight w:val="none"/>
        </w:rPr>
      </w:pPr>
      <w:r>
        <w:rPr>
          <w:color w:val="auto"/>
          <w:kern w:val="0"/>
          <w:highlight w:val="none"/>
        </w:rPr>
        <w:t xml:space="preserve">13.3.3 </w:t>
      </w:r>
      <w:r>
        <w:rPr>
          <w:rFonts w:hint="eastAsia" w:hAnsi="宋体" w:cs="宋体"/>
          <w:color w:val="auto"/>
          <w:kern w:val="0"/>
          <w:highlight w:val="none"/>
        </w:rPr>
        <w:t>投料试车</w:t>
      </w:r>
    </w:p>
    <w:p>
      <w:pPr>
        <w:spacing w:line="360" w:lineRule="auto"/>
        <w:ind w:firstLine="420" w:firstLineChars="200"/>
        <w:jc w:val="left"/>
        <w:rPr>
          <w:color w:val="auto"/>
          <w:highlight w:val="none"/>
          <w:u w:val="single"/>
        </w:rPr>
      </w:pPr>
      <w:r>
        <w:rPr>
          <w:rFonts w:hint="eastAsia" w:hAnsi="宋体" w:cs="宋体"/>
          <w:color w:val="auto"/>
          <w:kern w:val="0"/>
          <w:highlight w:val="none"/>
        </w:rPr>
        <w:t>关于投料试车相关事项的约定：</w:t>
      </w:r>
      <w:r>
        <w:rPr>
          <w:rFonts w:hint="eastAsia" w:ascii="宋体" w:hAnsi="宋体"/>
          <w:color w:val="auto"/>
          <w:highlight w:val="none"/>
          <w:u w:val="single"/>
        </w:rPr>
        <w:t xml:space="preserve"> </w:t>
      </w:r>
      <w:r>
        <w:rPr>
          <w:rFonts w:ascii="宋体" w:hAnsi="宋体"/>
          <w:color w:val="auto"/>
          <w:highlight w:val="none"/>
          <w:u w:val="single"/>
        </w:rPr>
        <w:t xml:space="preserve"> /  </w:t>
      </w:r>
      <w:r>
        <w:rPr>
          <w:rFonts w:hint="eastAsia" w:hAnsi="宋体" w:cs="宋体"/>
          <w:color w:val="auto"/>
          <w:highlight w:val="none"/>
        </w:rPr>
        <w:t>。</w:t>
      </w:r>
    </w:p>
    <w:p>
      <w:pPr>
        <w:pStyle w:val="5"/>
        <w:rPr>
          <w:color w:val="auto"/>
          <w:highlight w:val="none"/>
        </w:rPr>
      </w:pPr>
      <w:bookmarkStart w:id="1327" w:name="_Toc373478404"/>
      <w:bookmarkStart w:id="1328" w:name="_Toc389065322"/>
      <w:bookmarkStart w:id="1329" w:name="_Toc373227757"/>
      <w:bookmarkStart w:id="1330" w:name="_Toc407135260"/>
      <w:bookmarkStart w:id="1331" w:name="_Toc66186464"/>
      <w:bookmarkStart w:id="1332" w:name="_Toc29977"/>
      <w:r>
        <w:rPr>
          <w:color w:val="auto"/>
          <w:highlight w:val="none"/>
        </w:rPr>
        <w:t xml:space="preserve">13.6 </w:t>
      </w:r>
      <w:r>
        <w:rPr>
          <w:rFonts w:hint="eastAsia" w:hAnsi="宋体" w:cs="黑体"/>
          <w:color w:val="auto"/>
          <w:highlight w:val="none"/>
        </w:rPr>
        <w:t>竣工退场</w:t>
      </w:r>
      <w:bookmarkEnd w:id="1327"/>
      <w:bookmarkEnd w:id="1328"/>
      <w:bookmarkEnd w:id="1329"/>
      <w:bookmarkEnd w:id="1330"/>
      <w:bookmarkEnd w:id="1331"/>
      <w:bookmarkEnd w:id="1332"/>
    </w:p>
    <w:p>
      <w:pPr>
        <w:rPr>
          <w:color w:val="auto"/>
          <w:kern w:val="0"/>
          <w:highlight w:val="none"/>
        </w:rPr>
      </w:pPr>
      <w:r>
        <w:rPr>
          <w:color w:val="auto"/>
          <w:kern w:val="0"/>
          <w:highlight w:val="none"/>
        </w:rPr>
        <w:t xml:space="preserve">13.6.1 </w:t>
      </w:r>
      <w:r>
        <w:rPr>
          <w:rFonts w:hint="eastAsia" w:hAnsi="宋体" w:cs="宋体"/>
          <w:color w:val="auto"/>
          <w:kern w:val="0"/>
          <w:highlight w:val="none"/>
        </w:rPr>
        <w:t>竣工退场</w:t>
      </w:r>
    </w:p>
    <w:p>
      <w:pPr>
        <w:spacing w:line="360" w:lineRule="auto"/>
        <w:ind w:firstLine="420" w:firstLineChars="200"/>
        <w:jc w:val="left"/>
        <w:rPr>
          <w:color w:val="auto"/>
          <w:kern w:val="0"/>
          <w:highlight w:val="none"/>
        </w:rPr>
      </w:pPr>
      <w:r>
        <w:rPr>
          <w:rFonts w:hint="eastAsia" w:hAnsi="宋体" w:cs="宋体"/>
          <w:color w:val="auto"/>
          <w:kern w:val="0"/>
          <w:highlight w:val="none"/>
        </w:rPr>
        <w:t>承包人完成竣工退场的期限：</w:t>
      </w:r>
      <w:r>
        <w:rPr>
          <w:rFonts w:hint="eastAsia" w:ascii="宋体" w:hAnsi="宋体"/>
          <w:color w:val="auto"/>
          <w:highlight w:val="none"/>
          <w:u w:val="single"/>
        </w:rPr>
        <w:t>监理人颁发（出具）工程接收证书后7天内，承包人负责按照通用条款本项约定的要求对施工场地进行清理并承担相关费用，直至监理人检验合格为止。承包人的人员逾期撤除施工场地的，按每人每天500元支付违约金给发包人。机械设备和其他财产逾期撤离施工现场的，视为承包人放弃所有权，任由发包人处置，处置所得收益归发包人所有</w:t>
      </w:r>
      <w:r>
        <w:rPr>
          <w:rFonts w:hint="eastAsia" w:hAnsi="宋体" w:cs="宋体"/>
          <w:color w:val="auto"/>
          <w:kern w:val="0"/>
          <w:highlight w:val="none"/>
        </w:rPr>
        <w:t>。</w:t>
      </w:r>
    </w:p>
    <w:p>
      <w:pPr>
        <w:pStyle w:val="4"/>
        <w:rPr>
          <w:color w:val="auto"/>
          <w:highlight w:val="none"/>
        </w:rPr>
      </w:pPr>
      <w:bookmarkStart w:id="1333" w:name="_Toc351203646"/>
      <w:bookmarkStart w:id="1334" w:name="_Toc14896"/>
      <w:bookmarkStart w:id="1335" w:name="_Toc389065323"/>
      <w:bookmarkStart w:id="1336" w:name="_Toc407135261"/>
      <w:bookmarkStart w:id="1337" w:name="_Toc66186465"/>
      <w:bookmarkStart w:id="1338" w:name="_Toc373478405"/>
      <w:bookmarkStart w:id="1339" w:name="_Toc373227758"/>
      <w:r>
        <w:rPr>
          <w:color w:val="auto"/>
          <w:highlight w:val="none"/>
        </w:rPr>
        <w:t xml:space="preserve">14. </w:t>
      </w:r>
      <w:r>
        <w:rPr>
          <w:rFonts w:hint="eastAsia" w:hAnsi="宋体" w:cs="黑体"/>
          <w:color w:val="auto"/>
          <w:highlight w:val="none"/>
        </w:rPr>
        <w:t>竣工结算</w:t>
      </w:r>
      <w:bookmarkEnd w:id="1333"/>
      <w:bookmarkEnd w:id="1334"/>
      <w:bookmarkEnd w:id="1335"/>
      <w:bookmarkEnd w:id="1336"/>
      <w:bookmarkEnd w:id="1337"/>
      <w:bookmarkEnd w:id="1338"/>
      <w:bookmarkEnd w:id="1339"/>
    </w:p>
    <w:p>
      <w:pPr>
        <w:pStyle w:val="5"/>
        <w:rPr>
          <w:color w:val="auto"/>
          <w:highlight w:val="none"/>
        </w:rPr>
      </w:pPr>
      <w:bookmarkStart w:id="1340" w:name="_Toc389065324"/>
      <w:bookmarkStart w:id="1341" w:name="_Toc373227759"/>
      <w:bookmarkStart w:id="1342" w:name="_Toc3671"/>
      <w:bookmarkStart w:id="1343" w:name="_Toc66186466"/>
      <w:bookmarkStart w:id="1344" w:name="_Toc407135262"/>
      <w:bookmarkStart w:id="1345" w:name="_Toc373478406"/>
      <w:r>
        <w:rPr>
          <w:color w:val="auto"/>
          <w:highlight w:val="none"/>
        </w:rPr>
        <w:t xml:space="preserve">14.1 </w:t>
      </w:r>
      <w:r>
        <w:rPr>
          <w:rFonts w:hint="eastAsia" w:hAnsi="宋体" w:cs="黑体"/>
          <w:color w:val="auto"/>
          <w:highlight w:val="none"/>
        </w:rPr>
        <w:t>竣工付款申请</w:t>
      </w:r>
      <w:bookmarkEnd w:id="1340"/>
      <w:bookmarkEnd w:id="1341"/>
      <w:bookmarkEnd w:id="1342"/>
      <w:bookmarkEnd w:id="1343"/>
      <w:bookmarkEnd w:id="1344"/>
      <w:bookmarkEnd w:id="1345"/>
    </w:p>
    <w:p>
      <w:pPr>
        <w:spacing w:line="360" w:lineRule="auto"/>
        <w:ind w:firstLine="420" w:firstLineChars="200"/>
        <w:jc w:val="left"/>
        <w:rPr>
          <w:color w:val="auto"/>
          <w:highlight w:val="none"/>
        </w:rPr>
      </w:pPr>
      <w:r>
        <w:rPr>
          <w:rFonts w:hint="eastAsia" w:hAnsi="宋体" w:cs="宋体"/>
          <w:color w:val="auto"/>
          <w:highlight w:val="none"/>
        </w:rPr>
        <w:t>承包人提交竣工付款申请单的期限：</w:t>
      </w:r>
      <w:r>
        <w:rPr>
          <w:rFonts w:hint="eastAsia"/>
          <w:color w:val="auto"/>
          <w:highlight w:val="none"/>
          <w:u w:val="single"/>
        </w:rPr>
        <w:t>按通用合同条款14.1条执行</w:t>
      </w:r>
      <w:r>
        <w:rPr>
          <w:rFonts w:hint="eastAsia" w:hAnsi="宋体" w:cs="宋体"/>
          <w:color w:val="auto"/>
          <w:highlight w:val="none"/>
        </w:rPr>
        <w:t>。</w:t>
      </w:r>
    </w:p>
    <w:p>
      <w:pPr>
        <w:spacing w:line="360" w:lineRule="auto"/>
        <w:ind w:firstLine="420" w:firstLineChars="200"/>
        <w:jc w:val="left"/>
        <w:rPr>
          <w:color w:val="auto"/>
          <w:highlight w:val="none"/>
          <w:u w:val="single"/>
        </w:rPr>
      </w:pPr>
      <w:r>
        <w:rPr>
          <w:rFonts w:hint="eastAsia" w:hAnsi="宋体" w:cs="宋体"/>
          <w:color w:val="auto"/>
          <w:highlight w:val="none"/>
        </w:rPr>
        <w:t>竣工付款申请单应包括的内容：</w:t>
      </w:r>
      <w:r>
        <w:rPr>
          <w:rFonts w:hint="eastAsia"/>
          <w:color w:val="auto"/>
          <w:highlight w:val="none"/>
          <w:u w:val="single"/>
        </w:rPr>
        <w:t>按通用合同条款14.1条执行</w:t>
      </w:r>
      <w:r>
        <w:rPr>
          <w:rFonts w:hint="eastAsia" w:hAnsi="宋体" w:cs="宋体"/>
          <w:color w:val="auto"/>
          <w:highlight w:val="none"/>
        </w:rPr>
        <w:t>。竣工结算款支付申请（核准）表见合同附件12。</w:t>
      </w:r>
    </w:p>
    <w:p>
      <w:pPr>
        <w:pStyle w:val="5"/>
        <w:rPr>
          <w:color w:val="auto"/>
          <w:highlight w:val="none"/>
        </w:rPr>
      </w:pPr>
      <w:bookmarkStart w:id="1346" w:name="_Toc389065325"/>
      <w:bookmarkStart w:id="1347" w:name="_Toc66186467"/>
      <w:bookmarkStart w:id="1348" w:name="_Toc373478407"/>
      <w:bookmarkStart w:id="1349" w:name="_Toc407135263"/>
      <w:bookmarkStart w:id="1350" w:name="_Toc10382"/>
      <w:bookmarkStart w:id="1351" w:name="_Toc373227760"/>
      <w:r>
        <w:rPr>
          <w:color w:val="auto"/>
          <w:highlight w:val="none"/>
        </w:rPr>
        <w:t xml:space="preserve">14.2 </w:t>
      </w:r>
      <w:r>
        <w:rPr>
          <w:rFonts w:hint="eastAsia" w:hAnsi="宋体" w:cs="黑体"/>
          <w:color w:val="auto"/>
          <w:highlight w:val="none"/>
        </w:rPr>
        <w:t>竣工结算审核</w:t>
      </w:r>
      <w:bookmarkEnd w:id="1346"/>
      <w:bookmarkEnd w:id="1347"/>
      <w:bookmarkEnd w:id="1348"/>
      <w:bookmarkEnd w:id="1349"/>
      <w:bookmarkEnd w:id="1350"/>
      <w:bookmarkEnd w:id="1351"/>
    </w:p>
    <w:p>
      <w:pPr>
        <w:spacing w:line="360" w:lineRule="auto"/>
        <w:ind w:firstLine="420" w:firstLineChars="200"/>
        <w:jc w:val="left"/>
        <w:rPr>
          <w:color w:val="auto"/>
          <w:highlight w:val="none"/>
        </w:rPr>
      </w:pPr>
      <w:r>
        <w:rPr>
          <w:rFonts w:hint="eastAsia" w:hAnsi="宋体" w:cs="宋体"/>
          <w:color w:val="auto"/>
          <w:highlight w:val="none"/>
        </w:rPr>
        <w:t>发包人审批竣工付款申请单的期限：</w:t>
      </w:r>
    </w:p>
    <w:tbl>
      <w:tblPr>
        <w:tblStyle w:val="42"/>
        <w:tblW w:w="91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466"/>
        <w:gridCol w:w="5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5" w:type="dxa"/>
            <w:shd w:val="clear" w:color="auto" w:fill="auto"/>
            <w:vAlign w:val="center"/>
          </w:tcPr>
          <w:p>
            <w:pPr>
              <w:spacing w:line="360" w:lineRule="auto"/>
              <w:rPr>
                <w:color w:val="auto"/>
                <w:highlight w:val="none"/>
              </w:rPr>
            </w:pPr>
          </w:p>
        </w:tc>
        <w:tc>
          <w:tcPr>
            <w:tcW w:w="2466" w:type="dxa"/>
            <w:shd w:val="clear" w:color="auto" w:fill="auto"/>
            <w:vAlign w:val="center"/>
          </w:tcPr>
          <w:p>
            <w:pPr>
              <w:spacing w:line="360" w:lineRule="auto"/>
              <w:ind w:firstLine="27" w:firstLineChars="13"/>
              <w:jc w:val="center"/>
              <w:rPr>
                <w:color w:val="auto"/>
                <w:highlight w:val="none"/>
              </w:rPr>
            </w:pPr>
            <w:r>
              <w:rPr>
                <w:rFonts w:hint="eastAsia" w:hAnsi="宋体" w:cs="宋体"/>
                <w:color w:val="auto"/>
                <w:highlight w:val="none"/>
              </w:rPr>
              <w:t>工程竣工结算报告金额</w:t>
            </w:r>
          </w:p>
        </w:tc>
        <w:tc>
          <w:tcPr>
            <w:tcW w:w="5967" w:type="dxa"/>
            <w:shd w:val="clear" w:color="auto" w:fill="auto"/>
            <w:vAlign w:val="center"/>
          </w:tcPr>
          <w:p>
            <w:pPr>
              <w:spacing w:line="360" w:lineRule="auto"/>
              <w:ind w:firstLine="441" w:firstLineChars="210"/>
              <w:jc w:val="center"/>
              <w:rPr>
                <w:color w:val="auto"/>
                <w:highlight w:val="none"/>
              </w:rPr>
            </w:pPr>
            <w:r>
              <w:rPr>
                <w:rFonts w:hint="eastAsia" w:hAnsi="宋体" w:cs="宋体"/>
                <w:color w:val="auto"/>
                <w:highlight w:val="none"/>
              </w:rPr>
              <w:t>发包人审查时间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5" w:type="dxa"/>
            <w:shd w:val="clear" w:color="auto" w:fill="auto"/>
            <w:vAlign w:val="center"/>
          </w:tcPr>
          <w:p>
            <w:pPr>
              <w:spacing w:line="360" w:lineRule="auto"/>
              <w:jc w:val="center"/>
              <w:rPr>
                <w:color w:val="auto"/>
                <w:highlight w:val="none"/>
              </w:rPr>
            </w:pPr>
            <w:r>
              <w:rPr>
                <w:color w:val="auto"/>
                <w:highlight w:val="none"/>
              </w:rPr>
              <w:t>1</w:t>
            </w:r>
          </w:p>
        </w:tc>
        <w:tc>
          <w:tcPr>
            <w:tcW w:w="2466" w:type="dxa"/>
            <w:shd w:val="clear" w:color="auto" w:fill="auto"/>
            <w:vAlign w:val="center"/>
          </w:tcPr>
          <w:p>
            <w:pPr>
              <w:spacing w:line="360" w:lineRule="auto"/>
              <w:ind w:firstLine="27" w:firstLineChars="13"/>
              <w:jc w:val="center"/>
              <w:rPr>
                <w:color w:val="auto"/>
                <w:highlight w:val="none"/>
              </w:rPr>
            </w:pPr>
            <w:r>
              <w:rPr>
                <w:color w:val="auto"/>
                <w:highlight w:val="none"/>
              </w:rPr>
              <w:t>500</w:t>
            </w:r>
            <w:r>
              <w:rPr>
                <w:rFonts w:hint="eastAsia" w:hAnsi="宋体" w:cs="宋体"/>
                <w:color w:val="auto"/>
                <w:highlight w:val="none"/>
              </w:rPr>
              <w:t>万元以下</w:t>
            </w:r>
          </w:p>
        </w:tc>
        <w:tc>
          <w:tcPr>
            <w:tcW w:w="5967" w:type="dxa"/>
            <w:shd w:val="clear" w:color="auto" w:fill="auto"/>
            <w:vAlign w:val="center"/>
          </w:tcPr>
          <w:p>
            <w:pPr>
              <w:spacing w:line="360" w:lineRule="auto"/>
              <w:ind w:firstLine="441" w:firstLineChars="210"/>
              <w:jc w:val="center"/>
              <w:rPr>
                <w:color w:val="auto"/>
                <w:highlight w:val="none"/>
              </w:rPr>
            </w:pPr>
            <w:r>
              <w:rPr>
                <w:rFonts w:hint="eastAsia" w:hAnsi="宋体" w:cs="宋体"/>
                <w:color w:val="auto"/>
                <w:highlight w:val="none"/>
              </w:rPr>
              <w:t>从接到竣工结算报告和完整的竣工结算资料之日起</w:t>
            </w:r>
            <w:r>
              <w:rPr>
                <w:color w:val="auto"/>
                <w:highlight w:val="none"/>
              </w:rPr>
              <w:t>20</w:t>
            </w:r>
            <w:r>
              <w:rPr>
                <w:rFonts w:hint="eastAsia" w:hAnsi="宋体" w:cs="宋体"/>
                <w:color w:val="auto"/>
                <w:highlight w:val="none"/>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5" w:type="dxa"/>
            <w:shd w:val="clear" w:color="auto" w:fill="auto"/>
            <w:vAlign w:val="center"/>
          </w:tcPr>
          <w:p>
            <w:pPr>
              <w:spacing w:line="360" w:lineRule="auto"/>
              <w:jc w:val="center"/>
              <w:rPr>
                <w:color w:val="auto"/>
                <w:highlight w:val="none"/>
              </w:rPr>
            </w:pPr>
            <w:r>
              <w:rPr>
                <w:color w:val="auto"/>
                <w:highlight w:val="none"/>
              </w:rPr>
              <w:t>2</w:t>
            </w:r>
          </w:p>
        </w:tc>
        <w:tc>
          <w:tcPr>
            <w:tcW w:w="2466" w:type="dxa"/>
            <w:shd w:val="clear" w:color="auto" w:fill="auto"/>
            <w:vAlign w:val="center"/>
          </w:tcPr>
          <w:p>
            <w:pPr>
              <w:spacing w:line="360" w:lineRule="auto"/>
              <w:ind w:firstLine="27" w:firstLineChars="13"/>
              <w:jc w:val="center"/>
              <w:rPr>
                <w:color w:val="auto"/>
                <w:highlight w:val="none"/>
              </w:rPr>
            </w:pPr>
            <w:r>
              <w:rPr>
                <w:color w:val="auto"/>
                <w:highlight w:val="none"/>
              </w:rPr>
              <w:t>500</w:t>
            </w:r>
            <w:r>
              <w:rPr>
                <w:rFonts w:hint="eastAsia" w:hAnsi="宋体" w:cs="宋体"/>
                <w:color w:val="auto"/>
                <w:highlight w:val="none"/>
              </w:rPr>
              <w:t>万元</w:t>
            </w:r>
            <w:r>
              <w:rPr>
                <w:color w:val="auto"/>
                <w:highlight w:val="none"/>
              </w:rPr>
              <w:t>-2000</w:t>
            </w:r>
            <w:r>
              <w:rPr>
                <w:rFonts w:hint="eastAsia" w:hAnsi="宋体" w:cs="宋体"/>
                <w:color w:val="auto"/>
                <w:highlight w:val="none"/>
              </w:rPr>
              <w:t>万元</w:t>
            </w:r>
          </w:p>
        </w:tc>
        <w:tc>
          <w:tcPr>
            <w:tcW w:w="5967" w:type="dxa"/>
            <w:shd w:val="clear" w:color="auto" w:fill="auto"/>
            <w:vAlign w:val="center"/>
          </w:tcPr>
          <w:p>
            <w:pPr>
              <w:spacing w:line="360" w:lineRule="auto"/>
              <w:ind w:firstLine="441" w:firstLineChars="210"/>
              <w:jc w:val="center"/>
              <w:rPr>
                <w:color w:val="auto"/>
                <w:highlight w:val="none"/>
              </w:rPr>
            </w:pPr>
            <w:r>
              <w:rPr>
                <w:rFonts w:hint="eastAsia" w:hAnsi="宋体" w:cs="宋体"/>
                <w:color w:val="auto"/>
                <w:highlight w:val="none"/>
              </w:rPr>
              <w:t>从接到竣工结算报告和完整的竣工结算资料之日起</w:t>
            </w:r>
            <w:r>
              <w:rPr>
                <w:color w:val="auto"/>
                <w:highlight w:val="none"/>
              </w:rPr>
              <w:t>30</w:t>
            </w:r>
            <w:r>
              <w:rPr>
                <w:rFonts w:hint="eastAsia" w:hAnsi="宋体" w:cs="宋体"/>
                <w:color w:val="auto"/>
                <w:highlight w:val="none"/>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5" w:type="dxa"/>
            <w:shd w:val="clear" w:color="auto" w:fill="auto"/>
            <w:vAlign w:val="center"/>
          </w:tcPr>
          <w:p>
            <w:pPr>
              <w:spacing w:line="360" w:lineRule="auto"/>
              <w:jc w:val="center"/>
              <w:rPr>
                <w:color w:val="auto"/>
                <w:highlight w:val="none"/>
              </w:rPr>
            </w:pPr>
            <w:r>
              <w:rPr>
                <w:color w:val="auto"/>
                <w:highlight w:val="none"/>
              </w:rPr>
              <w:t>3</w:t>
            </w:r>
          </w:p>
        </w:tc>
        <w:tc>
          <w:tcPr>
            <w:tcW w:w="2466" w:type="dxa"/>
            <w:shd w:val="clear" w:color="auto" w:fill="auto"/>
            <w:vAlign w:val="center"/>
          </w:tcPr>
          <w:p>
            <w:pPr>
              <w:spacing w:line="360" w:lineRule="auto"/>
              <w:ind w:firstLine="27" w:firstLineChars="13"/>
              <w:jc w:val="center"/>
              <w:rPr>
                <w:color w:val="auto"/>
                <w:highlight w:val="none"/>
              </w:rPr>
            </w:pPr>
            <w:r>
              <w:rPr>
                <w:color w:val="auto"/>
                <w:highlight w:val="none"/>
              </w:rPr>
              <w:t>2000</w:t>
            </w:r>
            <w:r>
              <w:rPr>
                <w:rFonts w:hint="eastAsia" w:hAnsi="宋体" w:cs="宋体"/>
                <w:color w:val="auto"/>
                <w:highlight w:val="none"/>
              </w:rPr>
              <w:t>万元</w:t>
            </w:r>
            <w:r>
              <w:rPr>
                <w:color w:val="auto"/>
                <w:highlight w:val="none"/>
              </w:rPr>
              <w:t>-5000</w:t>
            </w:r>
            <w:r>
              <w:rPr>
                <w:rFonts w:hint="eastAsia" w:hAnsi="宋体" w:cs="宋体"/>
                <w:color w:val="auto"/>
                <w:highlight w:val="none"/>
              </w:rPr>
              <w:t>万元</w:t>
            </w:r>
          </w:p>
        </w:tc>
        <w:tc>
          <w:tcPr>
            <w:tcW w:w="5967" w:type="dxa"/>
            <w:shd w:val="clear" w:color="auto" w:fill="auto"/>
            <w:vAlign w:val="center"/>
          </w:tcPr>
          <w:p>
            <w:pPr>
              <w:spacing w:line="360" w:lineRule="auto"/>
              <w:ind w:firstLine="441" w:firstLineChars="210"/>
              <w:jc w:val="center"/>
              <w:rPr>
                <w:color w:val="auto"/>
                <w:highlight w:val="none"/>
              </w:rPr>
            </w:pPr>
            <w:r>
              <w:rPr>
                <w:rFonts w:hint="eastAsia" w:hAnsi="宋体" w:cs="宋体"/>
                <w:color w:val="auto"/>
                <w:highlight w:val="none"/>
              </w:rPr>
              <w:t>从接到竣工结算报告和完整的竣工结算资料之日起</w:t>
            </w:r>
            <w:r>
              <w:rPr>
                <w:color w:val="auto"/>
                <w:highlight w:val="none"/>
              </w:rPr>
              <w:t>45</w:t>
            </w:r>
            <w:r>
              <w:rPr>
                <w:rFonts w:hint="eastAsia" w:hAnsi="宋体" w:cs="宋体"/>
                <w:color w:val="auto"/>
                <w:highlight w:val="none"/>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5" w:type="dxa"/>
            <w:shd w:val="clear" w:color="auto" w:fill="auto"/>
            <w:vAlign w:val="center"/>
          </w:tcPr>
          <w:p>
            <w:pPr>
              <w:spacing w:line="360" w:lineRule="auto"/>
              <w:jc w:val="center"/>
              <w:rPr>
                <w:color w:val="auto"/>
                <w:highlight w:val="none"/>
              </w:rPr>
            </w:pPr>
            <w:r>
              <w:rPr>
                <w:color w:val="auto"/>
                <w:highlight w:val="none"/>
              </w:rPr>
              <w:t>4</w:t>
            </w:r>
          </w:p>
        </w:tc>
        <w:tc>
          <w:tcPr>
            <w:tcW w:w="2466" w:type="dxa"/>
            <w:shd w:val="clear" w:color="auto" w:fill="auto"/>
            <w:vAlign w:val="center"/>
          </w:tcPr>
          <w:p>
            <w:pPr>
              <w:spacing w:line="360" w:lineRule="auto"/>
              <w:ind w:firstLine="27" w:firstLineChars="13"/>
              <w:jc w:val="center"/>
              <w:rPr>
                <w:color w:val="auto"/>
                <w:highlight w:val="none"/>
              </w:rPr>
            </w:pPr>
            <w:r>
              <w:rPr>
                <w:color w:val="auto"/>
                <w:highlight w:val="none"/>
              </w:rPr>
              <w:t>5000</w:t>
            </w:r>
            <w:r>
              <w:rPr>
                <w:rFonts w:hint="eastAsia" w:hAnsi="宋体" w:cs="宋体"/>
                <w:color w:val="auto"/>
                <w:highlight w:val="none"/>
              </w:rPr>
              <w:t>万元以上</w:t>
            </w:r>
          </w:p>
        </w:tc>
        <w:tc>
          <w:tcPr>
            <w:tcW w:w="5967" w:type="dxa"/>
            <w:shd w:val="clear" w:color="auto" w:fill="auto"/>
            <w:vAlign w:val="center"/>
          </w:tcPr>
          <w:p>
            <w:pPr>
              <w:spacing w:line="360" w:lineRule="auto"/>
              <w:ind w:firstLine="441" w:firstLineChars="210"/>
              <w:jc w:val="center"/>
              <w:rPr>
                <w:color w:val="auto"/>
                <w:highlight w:val="none"/>
              </w:rPr>
            </w:pPr>
            <w:r>
              <w:rPr>
                <w:rFonts w:hint="eastAsia" w:hAnsi="宋体" w:cs="宋体"/>
                <w:color w:val="auto"/>
                <w:highlight w:val="none"/>
              </w:rPr>
              <w:t>从接到竣工结算报告和完整的竣工结算资料之日起</w:t>
            </w:r>
            <w:r>
              <w:rPr>
                <w:color w:val="auto"/>
                <w:highlight w:val="none"/>
              </w:rPr>
              <w:t>60</w:t>
            </w:r>
            <w:r>
              <w:rPr>
                <w:rFonts w:hint="eastAsia" w:hAnsi="宋体" w:cs="宋体"/>
                <w:color w:val="auto"/>
                <w:highlight w:val="none"/>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5" w:type="dxa"/>
            <w:shd w:val="clear" w:color="auto" w:fill="auto"/>
            <w:vAlign w:val="center"/>
          </w:tcPr>
          <w:p>
            <w:pPr>
              <w:spacing w:line="360" w:lineRule="auto"/>
              <w:jc w:val="center"/>
              <w:rPr>
                <w:color w:val="auto"/>
                <w:highlight w:val="none"/>
              </w:rPr>
            </w:pPr>
            <w:r>
              <w:rPr>
                <w:rFonts w:hint="eastAsia"/>
                <w:color w:val="auto"/>
                <w:highlight w:val="none"/>
              </w:rPr>
              <w:t>5</w:t>
            </w:r>
          </w:p>
        </w:tc>
        <w:tc>
          <w:tcPr>
            <w:tcW w:w="2466" w:type="dxa"/>
            <w:shd w:val="clear" w:color="auto" w:fill="auto"/>
            <w:vAlign w:val="center"/>
          </w:tcPr>
          <w:p>
            <w:pPr>
              <w:spacing w:line="360" w:lineRule="auto"/>
              <w:ind w:firstLine="27" w:firstLineChars="13"/>
              <w:jc w:val="center"/>
              <w:rPr>
                <w:color w:val="auto"/>
                <w:highlight w:val="none"/>
              </w:rPr>
            </w:pPr>
            <w:r>
              <w:rPr>
                <w:rFonts w:hint="eastAsia"/>
                <w:color w:val="auto"/>
                <w:highlight w:val="none"/>
              </w:rPr>
              <w:t>5000万以上每增加</w:t>
            </w:r>
            <w:r>
              <w:rPr>
                <w:color w:val="auto"/>
                <w:highlight w:val="none"/>
              </w:rPr>
              <w:t>0.5</w:t>
            </w:r>
            <w:r>
              <w:rPr>
                <w:rFonts w:hint="eastAsia"/>
                <w:color w:val="auto"/>
                <w:highlight w:val="none"/>
              </w:rPr>
              <w:t>亿(不足0.5亿不增加)</w:t>
            </w:r>
          </w:p>
        </w:tc>
        <w:tc>
          <w:tcPr>
            <w:tcW w:w="5967" w:type="dxa"/>
            <w:shd w:val="clear" w:color="auto" w:fill="auto"/>
            <w:vAlign w:val="center"/>
          </w:tcPr>
          <w:p>
            <w:pPr>
              <w:spacing w:line="360" w:lineRule="auto"/>
              <w:ind w:firstLine="441" w:firstLineChars="210"/>
              <w:jc w:val="center"/>
              <w:rPr>
                <w:rFonts w:hAnsi="宋体" w:cs="宋体"/>
                <w:color w:val="auto"/>
                <w:highlight w:val="none"/>
              </w:rPr>
            </w:pPr>
            <w:r>
              <w:rPr>
                <w:rFonts w:hint="eastAsia" w:hAnsi="宋体" w:cs="宋体"/>
                <w:color w:val="auto"/>
                <w:highlight w:val="none"/>
              </w:rPr>
              <w:t>增加10天</w:t>
            </w:r>
          </w:p>
        </w:tc>
      </w:tr>
    </w:tbl>
    <w:p>
      <w:pPr>
        <w:spacing w:line="360" w:lineRule="auto"/>
        <w:ind w:firstLine="420" w:firstLineChars="200"/>
        <w:jc w:val="left"/>
        <w:rPr>
          <w:rFonts w:hAnsi="宋体"/>
          <w:color w:val="auto"/>
          <w:highlight w:val="none"/>
        </w:rPr>
      </w:pPr>
      <w:r>
        <w:rPr>
          <w:rFonts w:hint="eastAsia" w:hAnsi="宋体" w:cs="宋体"/>
          <w:color w:val="auto"/>
          <w:highlight w:val="none"/>
        </w:rPr>
        <w:t>因承包人提供的结算资料不完整而需要补充或承包人不按时对账耽误时间时，审查时间应相应顺延。</w:t>
      </w:r>
    </w:p>
    <w:p>
      <w:pPr>
        <w:spacing w:line="400" w:lineRule="exact"/>
        <w:ind w:firstLine="411" w:firstLineChars="196"/>
        <w:rPr>
          <w:rFonts w:hAnsi="宋体"/>
          <w:color w:val="auto"/>
          <w:highlight w:val="none"/>
        </w:rPr>
      </w:pPr>
      <w:r>
        <w:rPr>
          <w:rFonts w:hint="eastAsia" w:hAnsi="宋体" w:cs="宋体"/>
          <w:color w:val="auto"/>
          <w:highlight w:val="none"/>
        </w:rPr>
        <w:t>竣工结算审核约定：</w:t>
      </w:r>
    </w:p>
    <w:p>
      <w:pPr>
        <w:numPr>
          <w:ilvl w:val="0"/>
          <w:numId w:val="5"/>
        </w:numPr>
        <w:spacing w:line="400" w:lineRule="exact"/>
        <w:ind w:firstLine="411" w:firstLineChars="196"/>
        <w:rPr>
          <w:rFonts w:hAnsi="宋体" w:cs="宋体"/>
          <w:color w:val="auto"/>
          <w:highlight w:val="none"/>
          <w:u w:val="single"/>
        </w:rPr>
      </w:pPr>
      <w:r>
        <w:rPr>
          <w:rFonts w:hint="eastAsia" w:hAnsi="宋体" w:cs="宋体"/>
          <w:color w:val="auto"/>
          <w:highlight w:val="none"/>
          <w:u w:val="single"/>
        </w:rPr>
        <w:t>本工程最终结算价以发包人聘请的有资质的造价咨询机构出具的审计结果为准，如需政府有关部门审批的，以政府有关部门审批为准。，并经双方签字认可后28天内扣除质保金后付清。承包人应按本合同约定和国家有关规定如实编制结算文件，不得高估冒算。</w:t>
      </w:r>
    </w:p>
    <w:p>
      <w:pPr>
        <w:numPr>
          <w:ilvl w:val="0"/>
          <w:numId w:val="5"/>
        </w:numPr>
        <w:spacing w:line="400" w:lineRule="exact"/>
        <w:ind w:firstLine="411" w:firstLineChars="196"/>
        <w:rPr>
          <w:rFonts w:hAnsi="宋体" w:cs="宋体"/>
          <w:color w:val="auto"/>
          <w:highlight w:val="none"/>
          <w:u w:val="single"/>
        </w:rPr>
      </w:pPr>
      <w:r>
        <w:rPr>
          <w:rFonts w:hint="eastAsia" w:hAnsi="宋体" w:cs="宋体"/>
          <w:color w:val="auto"/>
          <w:highlight w:val="none"/>
          <w:u w:val="single"/>
        </w:rPr>
        <w:t>承包人提交的竣工结算书与核对后双方确认的竣工结算书金额相差不得超过6%。如果超过6%，则承包人按超出部分（超出结算审定价的6%）的金额的10%直接抵扣工程款。工程结算送审承诺书</w:t>
      </w:r>
      <w:r>
        <w:rPr>
          <w:rFonts w:hint="eastAsia"/>
          <w:color w:val="auto"/>
          <w:highlight w:val="none"/>
        </w:rPr>
        <w:t>见合同附件15。</w:t>
      </w:r>
    </w:p>
    <w:p>
      <w:pPr>
        <w:numPr>
          <w:ilvl w:val="0"/>
          <w:numId w:val="5"/>
        </w:numPr>
        <w:spacing w:line="400" w:lineRule="exact"/>
        <w:ind w:firstLine="411" w:firstLineChars="196"/>
        <w:jc w:val="left"/>
        <w:rPr>
          <w:rFonts w:hAnsi="宋体" w:cs="宋体"/>
          <w:color w:val="auto"/>
          <w:highlight w:val="none"/>
          <w:u w:val="single"/>
        </w:rPr>
      </w:pPr>
      <w:r>
        <w:rPr>
          <w:rFonts w:hint="eastAsia" w:hAnsi="宋体" w:cs="宋体"/>
          <w:color w:val="auto"/>
          <w:highlight w:val="none"/>
          <w:u w:val="single"/>
        </w:rPr>
        <w:t>发包人、承包人均有责任加强对造价的控制，不得随意变更、签证。由变更引起费用的增加超出项目合同金额的10%的，超出部分得不到支付。</w:t>
      </w:r>
    </w:p>
    <w:p>
      <w:pPr>
        <w:numPr>
          <w:ilvl w:val="0"/>
          <w:numId w:val="5"/>
        </w:numPr>
        <w:spacing w:line="400" w:lineRule="exact"/>
        <w:ind w:firstLine="411" w:firstLineChars="196"/>
        <w:rPr>
          <w:rFonts w:hAnsi="宋体" w:cs="宋体"/>
          <w:color w:val="auto"/>
          <w:highlight w:val="none"/>
          <w:u w:val="single"/>
        </w:rPr>
      </w:pPr>
      <w:r>
        <w:rPr>
          <w:rFonts w:hint="eastAsia" w:hAnsi="宋体" w:cs="宋体"/>
          <w:color w:val="auto"/>
          <w:highlight w:val="none"/>
          <w:u w:val="single"/>
        </w:rPr>
        <w:t>工程竣工验收报告经发包人认可后</w:t>
      </w:r>
      <w:r>
        <w:rPr>
          <w:rFonts w:hAnsi="宋体" w:cs="宋体"/>
          <w:color w:val="auto"/>
          <w:highlight w:val="none"/>
          <w:u w:val="single"/>
        </w:rPr>
        <w:t>14</w:t>
      </w:r>
      <w:r>
        <w:rPr>
          <w:rFonts w:hint="eastAsia" w:hAnsi="宋体" w:cs="宋体"/>
          <w:color w:val="auto"/>
          <w:highlight w:val="none"/>
          <w:u w:val="single"/>
        </w:rPr>
        <w:t>天内，承包人向发包人递交竣工验收合格资料及完整的结算资料和报告，双方按照本工程合同约定的价格形式及价款调整办法进行工程竣工结算。</w:t>
      </w:r>
    </w:p>
    <w:p>
      <w:pPr>
        <w:numPr>
          <w:ilvl w:val="0"/>
          <w:numId w:val="5"/>
        </w:numPr>
        <w:spacing w:line="400" w:lineRule="exact"/>
        <w:ind w:firstLine="411" w:firstLineChars="196"/>
        <w:rPr>
          <w:rFonts w:hAnsi="宋体"/>
          <w:color w:val="auto"/>
          <w:highlight w:val="none"/>
          <w:u w:val="single"/>
        </w:rPr>
      </w:pPr>
      <w:r>
        <w:rPr>
          <w:rFonts w:hint="eastAsia" w:hAnsi="宋体" w:cs="宋体"/>
          <w:color w:val="auto"/>
          <w:highlight w:val="none"/>
          <w:u w:val="single"/>
        </w:rPr>
        <w:t>发包人收到承包人递交的竣工结算报告及结算资料之日起</w:t>
      </w:r>
      <w:r>
        <w:rPr>
          <w:rFonts w:hAnsi="宋体"/>
          <w:color w:val="auto"/>
          <w:highlight w:val="none"/>
          <w:u w:val="single"/>
        </w:rPr>
        <w:t>14</w:t>
      </w:r>
      <w:r>
        <w:rPr>
          <w:rFonts w:hint="eastAsia" w:hAnsi="宋体" w:cs="宋体"/>
          <w:color w:val="auto"/>
          <w:highlight w:val="none"/>
          <w:u w:val="single"/>
        </w:rPr>
        <w:t>天内进行审核，并给予确认或者提出审核意见。发包人逾期未完成审核且未提出异议的视为发包人已同意承包人提交的竣工结算报告及结算价款，并以此作为竣工结算的依据。承包人对发包人确认的结算价款或审核意见有异议的，应在收到发包人确认的价款或审核意见之日起</w:t>
      </w:r>
      <w:r>
        <w:rPr>
          <w:rFonts w:hAnsi="宋体" w:cs="宋体"/>
          <w:color w:val="auto"/>
          <w:highlight w:val="none"/>
          <w:u w:val="single"/>
        </w:rPr>
        <w:t>7</w:t>
      </w:r>
      <w:r>
        <w:rPr>
          <w:rFonts w:hint="eastAsia" w:hAnsi="宋体" w:cs="宋体"/>
          <w:color w:val="auto"/>
          <w:highlight w:val="none"/>
          <w:u w:val="single"/>
        </w:rPr>
        <w:t>天内提出异议，必要时合同当事人要当面核对，直至完成工程竣工结算。除非有特殊情形，否则从承包人递交竣工结算报告到完成竣工结算的时间应控制在“发包人审核竣工付款申请单的期限”要求的时间范围内。</w:t>
      </w:r>
    </w:p>
    <w:p>
      <w:pPr>
        <w:numPr>
          <w:ilvl w:val="0"/>
          <w:numId w:val="5"/>
        </w:numPr>
        <w:spacing w:line="400" w:lineRule="exact"/>
        <w:ind w:firstLine="411" w:firstLineChars="196"/>
        <w:rPr>
          <w:rFonts w:hAnsi="宋体"/>
          <w:color w:val="auto"/>
          <w:highlight w:val="none"/>
          <w:u w:val="single"/>
        </w:rPr>
      </w:pPr>
      <w:r>
        <w:rPr>
          <w:rFonts w:hint="eastAsia" w:hAnsi="宋体" w:cs="宋体"/>
          <w:color w:val="auto"/>
          <w:highlight w:val="none"/>
          <w:u w:val="single"/>
        </w:rPr>
        <w:t>自竣工结算完毕之日起</w:t>
      </w:r>
      <w:r>
        <w:rPr>
          <w:rFonts w:hAnsi="宋体"/>
          <w:color w:val="auto"/>
          <w:highlight w:val="none"/>
          <w:u w:val="single"/>
        </w:rPr>
        <w:t>14</w:t>
      </w:r>
      <w:r>
        <w:rPr>
          <w:rFonts w:hint="eastAsia" w:hAnsi="宋体" w:cs="宋体"/>
          <w:color w:val="auto"/>
          <w:highlight w:val="none"/>
          <w:u w:val="single"/>
        </w:rPr>
        <w:t>天内，发包人按审定后的竣工结算价款，通知经办银行向承包人支付结算价款。</w:t>
      </w:r>
    </w:p>
    <w:p>
      <w:pPr>
        <w:spacing w:line="360" w:lineRule="auto"/>
        <w:ind w:firstLine="420" w:firstLineChars="200"/>
        <w:jc w:val="left"/>
        <w:rPr>
          <w:color w:val="auto"/>
          <w:highlight w:val="none"/>
          <w:u w:val="single"/>
        </w:rPr>
      </w:pPr>
      <w:r>
        <w:rPr>
          <w:rFonts w:hint="eastAsia" w:hAnsi="宋体" w:cs="宋体"/>
          <w:color w:val="auto"/>
          <w:highlight w:val="none"/>
        </w:rPr>
        <w:t>备注：对于国有投资项目结算审核约定，双方可结合各地政府或有关部门出台的管理规定进行局部调整。</w:t>
      </w:r>
    </w:p>
    <w:p>
      <w:pPr>
        <w:pStyle w:val="5"/>
        <w:rPr>
          <w:color w:val="auto"/>
          <w:highlight w:val="none"/>
        </w:rPr>
      </w:pPr>
      <w:bookmarkStart w:id="1352" w:name="_Toc407135264"/>
      <w:bookmarkStart w:id="1353" w:name="_Toc21267"/>
      <w:bookmarkStart w:id="1354" w:name="_Toc373227761"/>
      <w:bookmarkStart w:id="1355" w:name="_Toc373478408"/>
      <w:bookmarkStart w:id="1356" w:name="_Toc66186468"/>
      <w:bookmarkStart w:id="1357" w:name="_Toc389065326"/>
      <w:r>
        <w:rPr>
          <w:color w:val="auto"/>
          <w:highlight w:val="none"/>
        </w:rPr>
        <w:t xml:space="preserve">14.4 </w:t>
      </w:r>
      <w:r>
        <w:rPr>
          <w:rFonts w:hint="eastAsia" w:hAnsi="宋体" w:cs="黑体"/>
          <w:color w:val="auto"/>
          <w:highlight w:val="none"/>
        </w:rPr>
        <w:t>最终结清</w:t>
      </w:r>
      <w:bookmarkEnd w:id="1352"/>
      <w:bookmarkEnd w:id="1353"/>
      <w:bookmarkEnd w:id="1354"/>
      <w:bookmarkEnd w:id="1355"/>
      <w:bookmarkEnd w:id="1356"/>
      <w:bookmarkEnd w:id="1357"/>
    </w:p>
    <w:p>
      <w:pPr>
        <w:spacing w:line="360" w:lineRule="auto"/>
        <w:ind w:firstLine="420" w:firstLineChars="200"/>
        <w:jc w:val="left"/>
        <w:rPr>
          <w:color w:val="auto"/>
          <w:kern w:val="0"/>
          <w:highlight w:val="none"/>
        </w:rPr>
      </w:pPr>
      <w:r>
        <w:rPr>
          <w:color w:val="auto"/>
          <w:kern w:val="0"/>
          <w:highlight w:val="none"/>
        </w:rPr>
        <w:t xml:space="preserve">14.4.1 </w:t>
      </w:r>
      <w:r>
        <w:rPr>
          <w:rFonts w:hint="eastAsia" w:hAnsi="宋体" w:cs="宋体"/>
          <w:color w:val="auto"/>
          <w:kern w:val="0"/>
          <w:highlight w:val="none"/>
        </w:rPr>
        <w:t>最终结清申请单</w:t>
      </w:r>
    </w:p>
    <w:p>
      <w:pPr>
        <w:spacing w:line="360" w:lineRule="auto"/>
        <w:ind w:firstLine="420" w:firstLineChars="200"/>
        <w:jc w:val="left"/>
        <w:rPr>
          <w:color w:val="auto"/>
          <w:kern w:val="0"/>
          <w:highlight w:val="none"/>
        </w:rPr>
      </w:pPr>
      <w:r>
        <w:rPr>
          <w:rFonts w:hint="eastAsia" w:hAnsi="宋体" w:cs="宋体"/>
          <w:color w:val="auto"/>
          <w:kern w:val="0"/>
          <w:highlight w:val="none"/>
        </w:rPr>
        <w:t>承包人提交最终结清申请单的份数：</w:t>
      </w:r>
      <w:r>
        <w:rPr>
          <w:rFonts w:hint="eastAsia"/>
          <w:color w:val="auto"/>
          <w:highlight w:val="none"/>
          <w:u w:val="single"/>
        </w:rPr>
        <w:t>一式四份</w:t>
      </w:r>
      <w:r>
        <w:rPr>
          <w:rFonts w:hint="eastAsia" w:hAnsi="宋体" w:cs="宋体"/>
          <w:color w:val="auto"/>
          <w:highlight w:val="none"/>
        </w:rPr>
        <w:t>。</w:t>
      </w:r>
    </w:p>
    <w:p>
      <w:pPr>
        <w:spacing w:line="360" w:lineRule="auto"/>
        <w:ind w:firstLine="420" w:firstLineChars="200"/>
        <w:jc w:val="left"/>
        <w:rPr>
          <w:color w:val="auto"/>
          <w:highlight w:val="none"/>
        </w:rPr>
      </w:pPr>
      <w:r>
        <w:rPr>
          <w:rFonts w:hint="eastAsia" w:hAnsi="宋体" w:cs="宋体"/>
          <w:color w:val="auto"/>
          <w:kern w:val="0"/>
          <w:highlight w:val="none"/>
        </w:rPr>
        <w:t>承包人提交最终结算申请单的期限：</w:t>
      </w:r>
      <w:r>
        <w:rPr>
          <w:rFonts w:hint="eastAsia"/>
          <w:color w:val="auto"/>
          <w:highlight w:val="none"/>
          <w:u w:val="single"/>
        </w:rPr>
        <w:t>缺陷责任期终止证书签发后14天内</w:t>
      </w:r>
      <w:r>
        <w:rPr>
          <w:rFonts w:hint="eastAsia" w:hAnsi="宋体" w:cs="宋体"/>
          <w:color w:val="auto"/>
          <w:highlight w:val="none"/>
        </w:rPr>
        <w:t>。</w:t>
      </w:r>
      <w:r>
        <w:rPr>
          <w:color w:val="auto"/>
          <w:highlight w:val="none"/>
        </w:rPr>
        <w:t xml:space="preserve"> </w:t>
      </w:r>
    </w:p>
    <w:p>
      <w:pPr>
        <w:spacing w:line="360" w:lineRule="auto"/>
        <w:ind w:firstLine="420" w:firstLineChars="200"/>
        <w:jc w:val="left"/>
        <w:rPr>
          <w:color w:val="auto"/>
          <w:highlight w:val="none"/>
        </w:rPr>
      </w:pPr>
      <w:r>
        <w:rPr>
          <w:rFonts w:hint="eastAsia"/>
          <w:color w:val="auto"/>
          <w:highlight w:val="none"/>
        </w:rPr>
        <w:t>最终结算款支付申请（核准）表见合同附件13。</w:t>
      </w:r>
    </w:p>
    <w:p>
      <w:pPr>
        <w:spacing w:line="360" w:lineRule="auto"/>
        <w:ind w:firstLine="420" w:firstLineChars="200"/>
        <w:jc w:val="left"/>
        <w:rPr>
          <w:color w:val="auto"/>
          <w:highlight w:val="none"/>
        </w:rPr>
      </w:pPr>
      <w:r>
        <w:rPr>
          <w:color w:val="auto"/>
          <w:highlight w:val="none"/>
        </w:rPr>
        <w:t xml:space="preserve">14.4.2 </w:t>
      </w:r>
      <w:r>
        <w:rPr>
          <w:rFonts w:hint="eastAsia" w:hAnsi="宋体" w:cs="宋体"/>
          <w:color w:val="auto"/>
          <w:highlight w:val="none"/>
        </w:rPr>
        <w:t>最终结清证书和支付</w:t>
      </w:r>
    </w:p>
    <w:p>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1</w:t>
      </w:r>
      <w:r>
        <w:rPr>
          <w:rFonts w:hint="eastAsia" w:hAnsi="宋体" w:cs="宋体"/>
          <w:color w:val="auto"/>
          <w:highlight w:val="none"/>
        </w:rPr>
        <w:t>）发包人完成最终结清申请单的审批并颁发最终结清证书的期限：</w:t>
      </w:r>
      <w:r>
        <w:rPr>
          <w:rFonts w:hint="eastAsia"/>
          <w:color w:val="auto"/>
          <w:highlight w:val="none"/>
          <w:u w:val="single"/>
        </w:rPr>
        <w:t>按通用合同条款14.4.2执行</w:t>
      </w:r>
      <w:r>
        <w:rPr>
          <w:rFonts w:hint="eastAsia" w:hAnsi="宋体" w:cs="宋体"/>
          <w:color w:val="auto"/>
          <w:highlight w:val="none"/>
        </w:rPr>
        <w:t>。</w:t>
      </w:r>
    </w:p>
    <w:p>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）发包人完成支付的期限：</w:t>
      </w:r>
      <w:r>
        <w:rPr>
          <w:rFonts w:hint="eastAsia"/>
          <w:color w:val="auto"/>
          <w:highlight w:val="none"/>
          <w:u w:val="single"/>
        </w:rPr>
        <w:t>按通用合同条款14.4.2执行</w:t>
      </w:r>
      <w:r>
        <w:rPr>
          <w:rFonts w:hint="eastAsia" w:hAnsi="宋体" w:cs="宋体"/>
          <w:color w:val="auto"/>
          <w:highlight w:val="none"/>
        </w:rPr>
        <w:t>。</w:t>
      </w:r>
    </w:p>
    <w:bookmarkEnd w:id="1308"/>
    <w:bookmarkEnd w:id="1309"/>
    <w:bookmarkEnd w:id="1310"/>
    <w:bookmarkEnd w:id="1311"/>
    <w:bookmarkEnd w:id="1312"/>
    <w:bookmarkEnd w:id="1313"/>
    <w:bookmarkEnd w:id="1314"/>
    <w:bookmarkEnd w:id="1320"/>
    <w:p>
      <w:pPr>
        <w:pStyle w:val="4"/>
        <w:rPr>
          <w:color w:val="auto"/>
          <w:highlight w:val="none"/>
        </w:rPr>
      </w:pPr>
      <w:bookmarkStart w:id="1358" w:name="_Toc389065327"/>
      <w:bookmarkStart w:id="1359" w:name="_Toc373227762"/>
      <w:bookmarkStart w:id="1360" w:name="_Toc28797"/>
      <w:bookmarkStart w:id="1361" w:name="_Toc407135265"/>
      <w:bookmarkStart w:id="1362" w:name="_Toc373478409"/>
      <w:bookmarkStart w:id="1363" w:name="_Toc66186469"/>
      <w:bookmarkStart w:id="1364" w:name="_Toc351203647"/>
      <w:bookmarkStart w:id="1365" w:name="_Toc267251483"/>
      <w:bookmarkStart w:id="1366" w:name="_Toc267251484"/>
      <w:bookmarkStart w:id="1367" w:name="_Toc267251482"/>
      <w:bookmarkStart w:id="1368" w:name="_Toc267251485"/>
      <w:bookmarkStart w:id="1369" w:name="_Toc267251490"/>
      <w:bookmarkStart w:id="1370" w:name="_Toc267251488"/>
      <w:bookmarkStart w:id="1371" w:name="_Toc267251489"/>
      <w:bookmarkStart w:id="1372" w:name="_Toc267251486"/>
      <w:bookmarkStart w:id="1373" w:name="_Toc267251501"/>
      <w:bookmarkStart w:id="1374" w:name="_Toc267251502"/>
      <w:bookmarkStart w:id="1375" w:name="_Toc267251493"/>
      <w:bookmarkStart w:id="1376" w:name="_Toc267251503"/>
      <w:bookmarkStart w:id="1377" w:name="_Toc267251496"/>
      <w:bookmarkStart w:id="1378" w:name="_Toc267251494"/>
      <w:bookmarkStart w:id="1379" w:name="_Toc267251497"/>
      <w:bookmarkStart w:id="1380" w:name="_Toc267251492"/>
      <w:bookmarkStart w:id="1381" w:name="_Toc267251499"/>
      <w:bookmarkStart w:id="1382" w:name="_Toc267251495"/>
      <w:bookmarkStart w:id="1383" w:name="_Toc267251491"/>
      <w:bookmarkStart w:id="1384" w:name="_Toc267251498"/>
      <w:bookmarkStart w:id="1385" w:name="_Toc267251504"/>
      <w:bookmarkStart w:id="1386" w:name="_Toc267251506"/>
      <w:bookmarkStart w:id="1387" w:name="_Toc267251507"/>
      <w:bookmarkStart w:id="1388" w:name="_Toc267251508"/>
      <w:bookmarkStart w:id="1389" w:name="_Toc267251509"/>
      <w:bookmarkStart w:id="1390" w:name="_Toc267251511"/>
      <w:bookmarkStart w:id="1391" w:name="_Toc267251515"/>
      <w:bookmarkStart w:id="1392" w:name="_Toc267251514"/>
      <w:bookmarkStart w:id="1393" w:name="_Toc267251513"/>
      <w:bookmarkStart w:id="1394" w:name="_Toc267251510"/>
      <w:r>
        <w:rPr>
          <w:color w:val="auto"/>
          <w:highlight w:val="none"/>
        </w:rPr>
        <w:t xml:space="preserve">15. </w:t>
      </w:r>
      <w:r>
        <w:rPr>
          <w:rFonts w:hint="eastAsia" w:cs="黑体"/>
          <w:color w:val="auto"/>
          <w:highlight w:val="none"/>
        </w:rPr>
        <w:t>缺陷责任期与保修</w:t>
      </w:r>
      <w:bookmarkEnd w:id="1358"/>
      <w:bookmarkEnd w:id="1359"/>
      <w:bookmarkEnd w:id="1360"/>
      <w:bookmarkEnd w:id="1361"/>
      <w:bookmarkEnd w:id="1362"/>
      <w:bookmarkEnd w:id="1363"/>
      <w:bookmarkEnd w:id="1364"/>
    </w:p>
    <w:p>
      <w:pPr>
        <w:pStyle w:val="5"/>
        <w:rPr>
          <w:color w:val="auto"/>
          <w:highlight w:val="none"/>
        </w:rPr>
      </w:pPr>
      <w:bookmarkStart w:id="1395" w:name="_Toc373478410"/>
      <w:bookmarkStart w:id="1396" w:name="_Toc373227763"/>
      <w:bookmarkStart w:id="1397" w:name="_Toc66186470"/>
      <w:bookmarkStart w:id="1398" w:name="_Toc389065328"/>
      <w:bookmarkStart w:id="1399" w:name="_Toc407135266"/>
      <w:bookmarkStart w:id="1400" w:name="_Toc26625"/>
      <w:r>
        <w:rPr>
          <w:color w:val="auto"/>
          <w:highlight w:val="none"/>
        </w:rPr>
        <w:t xml:space="preserve">15.2 </w:t>
      </w:r>
      <w:r>
        <w:rPr>
          <w:rFonts w:hint="eastAsia" w:hAnsi="宋体" w:cs="黑体"/>
          <w:color w:val="auto"/>
          <w:highlight w:val="none"/>
        </w:rPr>
        <w:t>缺陷责任期</w:t>
      </w:r>
      <w:bookmarkEnd w:id="1365"/>
      <w:bookmarkEnd w:id="1395"/>
      <w:bookmarkEnd w:id="1396"/>
      <w:bookmarkEnd w:id="1397"/>
      <w:bookmarkEnd w:id="1398"/>
      <w:bookmarkEnd w:id="1399"/>
      <w:bookmarkEnd w:id="1400"/>
    </w:p>
    <w:p>
      <w:pPr>
        <w:spacing w:line="360" w:lineRule="auto"/>
        <w:ind w:firstLine="420" w:firstLineChars="200"/>
        <w:jc w:val="left"/>
        <w:rPr>
          <w:color w:val="auto"/>
          <w:highlight w:val="none"/>
          <w:u w:val="single"/>
        </w:rPr>
      </w:pPr>
      <w:r>
        <w:rPr>
          <w:rFonts w:hint="eastAsia" w:hAnsi="宋体" w:cs="宋体"/>
          <w:color w:val="auto"/>
          <w:highlight w:val="none"/>
        </w:rPr>
        <w:t>缺陷责任期的具体期限：</w:t>
      </w:r>
      <w:r>
        <w:rPr>
          <w:color w:val="auto"/>
          <w:highlight w:val="none"/>
          <w:u w:val="single"/>
        </w:rPr>
        <w:t>2</w:t>
      </w:r>
      <w:r>
        <w:rPr>
          <w:rFonts w:hint="eastAsia"/>
          <w:color w:val="auto"/>
          <w:highlight w:val="none"/>
          <w:u w:val="single"/>
        </w:rPr>
        <w:t>年</w:t>
      </w:r>
      <w:r>
        <w:rPr>
          <w:rFonts w:hint="eastAsia" w:hAnsi="宋体" w:cs="宋体"/>
          <w:color w:val="auto"/>
          <w:highlight w:val="none"/>
        </w:rPr>
        <w:t>。</w:t>
      </w:r>
    </w:p>
    <w:p>
      <w:pPr>
        <w:pStyle w:val="5"/>
        <w:rPr>
          <w:color w:val="auto"/>
          <w:highlight w:val="none"/>
        </w:rPr>
      </w:pPr>
      <w:bookmarkStart w:id="1401" w:name="_Toc389065329"/>
      <w:bookmarkStart w:id="1402" w:name="_Toc24095"/>
      <w:bookmarkStart w:id="1403" w:name="_Toc373227764"/>
      <w:bookmarkStart w:id="1404" w:name="_Toc373478411"/>
      <w:bookmarkStart w:id="1405" w:name="_Toc66186471"/>
      <w:bookmarkStart w:id="1406" w:name="_Toc407135267"/>
      <w:r>
        <w:rPr>
          <w:color w:val="auto"/>
          <w:highlight w:val="none"/>
        </w:rPr>
        <w:t xml:space="preserve">15.3 </w:t>
      </w:r>
      <w:r>
        <w:rPr>
          <w:rFonts w:hint="eastAsia" w:hAnsi="宋体" w:cs="黑体"/>
          <w:color w:val="auto"/>
          <w:highlight w:val="none"/>
        </w:rPr>
        <w:t>质量保证金</w:t>
      </w:r>
      <w:bookmarkEnd w:id="1401"/>
      <w:bookmarkEnd w:id="1402"/>
      <w:bookmarkEnd w:id="1403"/>
      <w:bookmarkEnd w:id="1404"/>
      <w:bookmarkEnd w:id="1405"/>
      <w:bookmarkEnd w:id="1406"/>
    </w:p>
    <w:p>
      <w:pPr>
        <w:spacing w:line="360" w:lineRule="auto"/>
        <w:ind w:firstLine="420" w:firstLineChars="200"/>
        <w:jc w:val="left"/>
        <w:rPr>
          <w:rFonts w:hAnsi="宋体" w:cs="宋体"/>
          <w:color w:val="auto"/>
          <w:highlight w:val="none"/>
        </w:rPr>
      </w:pPr>
      <w:r>
        <w:rPr>
          <w:rFonts w:hint="eastAsia" w:hAnsi="宋体" w:cs="宋体"/>
          <w:color w:val="auto"/>
          <w:highlight w:val="none"/>
        </w:rPr>
        <w:t>关于是否扣留质量保证金的约定：</w:t>
      </w:r>
      <w:r>
        <w:rPr>
          <w:rFonts w:hint="eastAsia" w:hAnsi="宋体" w:cs="宋体"/>
          <w:color w:val="auto"/>
          <w:highlight w:val="none"/>
          <w:u w:val="single"/>
        </w:rPr>
        <w:t>是</w:t>
      </w:r>
      <w:r>
        <w:rPr>
          <w:rFonts w:hint="eastAsia" w:hAnsi="宋体" w:cs="宋体"/>
          <w:color w:val="auto"/>
          <w:highlight w:val="none"/>
        </w:rPr>
        <w:t>。</w:t>
      </w:r>
    </w:p>
    <w:p>
      <w:pPr>
        <w:spacing w:line="360" w:lineRule="auto"/>
        <w:ind w:firstLine="420" w:firstLineChars="200"/>
        <w:jc w:val="left"/>
        <w:rPr>
          <w:color w:val="auto"/>
          <w:highlight w:val="none"/>
        </w:rPr>
      </w:pPr>
      <w:r>
        <w:rPr>
          <w:rFonts w:hint="eastAsia" w:hAnsi="宋体" w:cs="宋体"/>
          <w:color w:val="auto"/>
          <w:highlight w:val="none"/>
        </w:rPr>
        <w:t>在工程项目竣工前，承包人按专用合同条款第3.7条提供履约担保的，发包人不得同时预留工程质量保证金。</w:t>
      </w:r>
    </w:p>
    <w:p>
      <w:pPr>
        <w:rPr>
          <w:color w:val="auto"/>
          <w:highlight w:val="none"/>
        </w:rPr>
      </w:pPr>
      <w:r>
        <w:rPr>
          <w:color w:val="auto"/>
          <w:highlight w:val="none"/>
        </w:rPr>
        <w:t xml:space="preserve">15.3.1 </w:t>
      </w:r>
      <w:r>
        <w:rPr>
          <w:rFonts w:hint="eastAsia" w:hAnsi="宋体" w:cs="宋体"/>
          <w:color w:val="auto"/>
          <w:highlight w:val="none"/>
        </w:rPr>
        <w:t>承包人提供质量保证金的方式</w:t>
      </w:r>
    </w:p>
    <w:p>
      <w:pPr>
        <w:spacing w:line="360" w:lineRule="auto"/>
        <w:ind w:firstLine="420" w:firstLineChars="200"/>
        <w:jc w:val="left"/>
        <w:rPr>
          <w:color w:val="auto"/>
          <w:highlight w:val="none"/>
        </w:rPr>
      </w:pPr>
      <w:r>
        <w:rPr>
          <w:rFonts w:hint="eastAsia" w:hAnsi="宋体" w:cs="宋体"/>
          <w:color w:val="auto"/>
          <w:highlight w:val="none"/>
        </w:rPr>
        <w:t>质量保证金采用以下第</w:t>
      </w:r>
      <w:r>
        <w:rPr>
          <w:color w:val="auto"/>
          <w:highlight w:val="none"/>
          <w:u w:val="single"/>
        </w:rPr>
        <w:t xml:space="preserve">  2 </w:t>
      </w:r>
      <w:r>
        <w:rPr>
          <w:rFonts w:hint="eastAsia" w:hAnsi="宋体" w:cs="宋体"/>
          <w:color w:val="auto"/>
          <w:highlight w:val="none"/>
        </w:rPr>
        <w:t>种方式：</w:t>
      </w:r>
    </w:p>
    <w:p>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）质量保证金保函，保证金额为：</w:t>
      </w:r>
      <w:r>
        <w:rPr>
          <w:color w:val="auto"/>
          <w:kern w:val="0"/>
          <w:highlight w:val="none"/>
          <w:u w:val="single"/>
        </w:rPr>
        <w:t>/</w:t>
      </w:r>
      <w:r>
        <w:rPr>
          <w:rFonts w:hint="eastAsia" w:hAnsi="宋体" w:cs="宋体"/>
          <w:color w:val="auto"/>
          <w:kern w:val="0"/>
          <w:highlight w:val="none"/>
        </w:rPr>
        <w:t>；</w:t>
      </w:r>
    </w:p>
    <w:p>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w:t>
      </w:r>
      <w:r>
        <w:rPr>
          <w:rFonts w:hint="eastAsia" w:hAnsi="宋体" w:cs="宋体"/>
          <w:color w:val="auto"/>
          <w:highlight w:val="none"/>
        </w:rPr>
        <w:t>发包人按工程价款结算总额的</w:t>
      </w:r>
      <w:r>
        <w:rPr>
          <w:rFonts w:hAnsi="宋体"/>
          <w:color w:val="auto"/>
          <w:highlight w:val="none"/>
          <w:u w:val="single"/>
        </w:rPr>
        <w:t xml:space="preserve">3 </w:t>
      </w:r>
      <w:r>
        <w:rPr>
          <w:color w:val="auto"/>
          <w:highlight w:val="none"/>
        </w:rPr>
        <w:t>%</w:t>
      </w:r>
      <w:r>
        <w:rPr>
          <w:rFonts w:hint="eastAsia" w:cs="宋体"/>
          <w:color w:val="auto"/>
          <w:highlight w:val="none"/>
        </w:rPr>
        <w:t>（不得超过</w:t>
      </w:r>
      <w:r>
        <w:rPr>
          <w:color w:val="auto"/>
          <w:highlight w:val="none"/>
        </w:rPr>
        <w:t>3%</w:t>
      </w:r>
      <w:r>
        <w:rPr>
          <w:rFonts w:hint="eastAsia" w:cs="宋体"/>
          <w:color w:val="auto"/>
          <w:highlight w:val="none"/>
        </w:rPr>
        <w:t>）</w:t>
      </w:r>
      <w:r>
        <w:rPr>
          <w:rFonts w:hint="eastAsia" w:hAnsi="宋体" w:cs="宋体"/>
          <w:color w:val="auto"/>
          <w:highlight w:val="none"/>
        </w:rPr>
        <w:t>预留工程质量保证金，待缺陷责任期满后返还，是否付息及利息计算方式为：</w:t>
      </w:r>
      <w:r>
        <w:rPr>
          <w:rFonts w:hint="eastAsia" w:hAnsi="宋体" w:cs="宋体"/>
          <w:color w:val="auto"/>
          <w:highlight w:val="none"/>
          <w:u w:val="single"/>
        </w:rPr>
        <w:t xml:space="preserve">否 </w:t>
      </w:r>
      <w:r>
        <w:rPr>
          <w:rFonts w:hint="eastAsia" w:hAnsi="宋体" w:cs="宋体"/>
          <w:color w:val="auto"/>
          <w:kern w:val="0"/>
          <w:highlight w:val="none"/>
        </w:rPr>
        <w:t>；</w:t>
      </w:r>
    </w:p>
    <w:p>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）其他方式</w:t>
      </w:r>
      <w:r>
        <w:rPr>
          <w:rFonts w:hint="eastAsia" w:cs="宋体"/>
          <w:color w:val="auto"/>
          <w:kern w:val="0"/>
          <w:highlight w:val="none"/>
        </w:rPr>
        <w:t>：</w:t>
      </w:r>
      <w:r>
        <w:rPr>
          <w:rFonts w:hAnsi="宋体"/>
          <w:color w:val="auto"/>
          <w:highlight w:val="none"/>
          <w:u w:val="single"/>
        </w:rPr>
        <w:t xml:space="preserve">/ </w:t>
      </w:r>
      <w:r>
        <w:rPr>
          <w:rFonts w:hint="eastAsia" w:hAnsi="宋体" w:cs="宋体"/>
          <w:color w:val="auto"/>
          <w:highlight w:val="none"/>
        </w:rPr>
        <w:t>。</w:t>
      </w:r>
    </w:p>
    <w:p>
      <w:pPr>
        <w:spacing w:line="360" w:lineRule="auto"/>
        <w:ind w:firstLine="420" w:firstLineChars="200"/>
        <w:jc w:val="left"/>
        <w:rPr>
          <w:color w:val="auto"/>
          <w:highlight w:val="none"/>
        </w:rPr>
      </w:pPr>
      <w:r>
        <w:rPr>
          <w:color w:val="auto"/>
          <w:highlight w:val="none"/>
        </w:rPr>
        <w:t xml:space="preserve">15.3.2 </w:t>
      </w:r>
      <w:r>
        <w:rPr>
          <w:rFonts w:hint="eastAsia" w:hAnsi="宋体" w:cs="宋体"/>
          <w:color w:val="auto"/>
          <w:highlight w:val="none"/>
        </w:rPr>
        <w:t>质量保证金的扣留</w:t>
      </w:r>
    </w:p>
    <w:p>
      <w:pPr>
        <w:spacing w:line="360" w:lineRule="auto"/>
        <w:ind w:firstLine="420" w:firstLineChars="200"/>
        <w:jc w:val="left"/>
        <w:rPr>
          <w:color w:val="auto"/>
          <w:highlight w:val="none"/>
        </w:rPr>
      </w:pPr>
      <w:r>
        <w:rPr>
          <w:rFonts w:hint="eastAsia" w:hAnsi="宋体" w:cs="宋体"/>
          <w:color w:val="auto"/>
          <w:highlight w:val="none"/>
        </w:rPr>
        <w:t>质量保证金的扣留采取以下第</w:t>
      </w:r>
      <w:r>
        <w:rPr>
          <w:color w:val="auto"/>
          <w:highlight w:val="none"/>
          <w:u w:val="single"/>
        </w:rPr>
        <w:t xml:space="preserve"> 2 </w:t>
      </w:r>
      <w:r>
        <w:rPr>
          <w:rFonts w:hint="eastAsia" w:hAnsi="宋体" w:cs="宋体"/>
          <w:color w:val="auto"/>
          <w:highlight w:val="none"/>
        </w:rPr>
        <w:t>种方式：</w:t>
      </w:r>
    </w:p>
    <w:p>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）在</w:t>
      </w:r>
      <w:r>
        <w:rPr>
          <w:rFonts w:hAnsi="宋体" w:cs="宋体"/>
          <w:color w:val="auto"/>
          <w:kern w:val="0"/>
          <w:highlight w:val="none"/>
        </w:rPr>
        <w:t>不缴纳</w:t>
      </w:r>
      <w:r>
        <w:rPr>
          <w:rFonts w:hint="eastAsia" w:hAnsi="宋体" w:cs="宋体"/>
          <w:color w:val="auto"/>
          <w:kern w:val="0"/>
          <w:highlight w:val="none"/>
          <w:lang w:eastAsia="zh-CN"/>
        </w:rPr>
        <w:t>履约</w:t>
      </w:r>
      <w:r>
        <w:rPr>
          <w:rFonts w:hint="eastAsia" w:hAnsi="宋体" w:cs="宋体"/>
          <w:color w:val="auto"/>
          <w:kern w:val="0"/>
          <w:highlight w:val="none"/>
        </w:rPr>
        <w:t>保</w:t>
      </w:r>
      <w:r>
        <w:rPr>
          <w:rFonts w:hAnsi="宋体" w:cs="宋体"/>
          <w:color w:val="auto"/>
          <w:kern w:val="0"/>
          <w:highlight w:val="none"/>
        </w:rPr>
        <w:t>证金情况下</w:t>
      </w:r>
      <w:r>
        <w:rPr>
          <w:rFonts w:hint="eastAsia" w:hAnsi="宋体" w:cs="宋体"/>
          <w:color w:val="auto"/>
          <w:kern w:val="0"/>
          <w:highlight w:val="none"/>
        </w:rPr>
        <w:t>，按支付工程进度款时逐次扣留，质量保证金的计算基数不包括预付款的支付、扣回以及价格调整的金额；</w:t>
      </w:r>
    </w:p>
    <w:p>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）工程竣工结算时，一次性扣留质量保证金，</w:t>
      </w:r>
      <w:r>
        <w:rPr>
          <w:rFonts w:hAnsi="宋体" w:cs="宋体"/>
          <w:color w:val="auto"/>
          <w:kern w:val="0"/>
          <w:highlight w:val="none"/>
        </w:rPr>
        <w:t>由承包人以银行保函</w:t>
      </w:r>
      <w:r>
        <w:rPr>
          <w:rFonts w:hint="eastAsia" w:hAnsi="宋体" w:cs="宋体"/>
          <w:color w:val="auto"/>
          <w:kern w:val="0"/>
          <w:highlight w:val="none"/>
        </w:rPr>
        <w:t>、保证保险</w:t>
      </w:r>
      <w:r>
        <w:rPr>
          <w:rFonts w:hAnsi="宋体" w:cs="宋体"/>
          <w:color w:val="auto"/>
          <w:kern w:val="0"/>
          <w:highlight w:val="none"/>
        </w:rPr>
        <w:t>替代预留</w:t>
      </w:r>
      <w:r>
        <w:rPr>
          <w:rFonts w:hint="eastAsia" w:hAnsi="宋体" w:cs="宋体"/>
          <w:color w:val="auto"/>
          <w:kern w:val="0"/>
          <w:highlight w:val="none"/>
        </w:rPr>
        <w:t>质量</w:t>
      </w:r>
      <w:r>
        <w:rPr>
          <w:rFonts w:hAnsi="宋体" w:cs="宋体"/>
          <w:color w:val="auto"/>
          <w:kern w:val="0"/>
          <w:highlight w:val="none"/>
        </w:rPr>
        <w:t>保证金</w:t>
      </w:r>
      <w:r>
        <w:rPr>
          <w:rFonts w:hint="eastAsia" w:hAnsi="宋体" w:cs="宋体"/>
          <w:color w:val="auto"/>
          <w:kern w:val="0"/>
          <w:highlight w:val="none"/>
        </w:rPr>
        <w:t>，</w:t>
      </w:r>
      <w:r>
        <w:rPr>
          <w:rFonts w:hAnsi="宋体" w:cs="宋体"/>
          <w:color w:val="auto"/>
          <w:kern w:val="0"/>
          <w:highlight w:val="none"/>
        </w:rPr>
        <w:t>保函金额不得高</w:t>
      </w:r>
      <w:r>
        <w:rPr>
          <w:rFonts w:hint="eastAsia" w:hAnsi="宋体" w:cs="宋体"/>
          <w:color w:val="auto"/>
          <w:kern w:val="0"/>
          <w:highlight w:val="none"/>
        </w:rPr>
        <w:t>于</w:t>
      </w:r>
      <w:r>
        <w:rPr>
          <w:rFonts w:hAnsi="宋体" w:cs="宋体"/>
          <w:color w:val="auto"/>
          <w:kern w:val="0"/>
          <w:highlight w:val="none"/>
        </w:rPr>
        <w:t>工程价款结算总额的</w:t>
      </w:r>
      <w:r>
        <w:rPr>
          <w:rFonts w:hint="eastAsia" w:hAnsi="宋体" w:cs="宋体"/>
          <w:color w:val="auto"/>
          <w:kern w:val="0"/>
          <w:highlight w:val="none"/>
        </w:rPr>
        <w:t>3</w:t>
      </w:r>
      <w:r>
        <w:rPr>
          <w:rFonts w:hAnsi="宋体" w:cs="宋体"/>
          <w:color w:val="auto"/>
          <w:kern w:val="0"/>
          <w:highlight w:val="none"/>
        </w:rPr>
        <w:t>%</w:t>
      </w:r>
      <w:r>
        <w:rPr>
          <w:rFonts w:hint="eastAsia" w:hAnsi="宋体" w:cs="宋体"/>
          <w:color w:val="auto"/>
          <w:kern w:val="0"/>
          <w:highlight w:val="none"/>
        </w:rPr>
        <w:t>；</w:t>
      </w:r>
    </w:p>
    <w:p>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）其他扣留方式</w:t>
      </w:r>
      <w:r>
        <w:rPr>
          <w:color w:val="auto"/>
          <w:kern w:val="0"/>
          <w:highlight w:val="none"/>
        </w:rPr>
        <w:t>:</w:t>
      </w:r>
      <w:r>
        <w:rPr>
          <w:color w:val="auto"/>
          <w:kern w:val="0"/>
          <w:highlight w:val="none"/>
          <w:u w:val="single"/>
        </w:rPr>
        <w:t xml:space="preserve"> </w:t>
      </w:r>
      <w:r>
        <w:rPr>
          <w:rFonts w:hint="eastAsia"/>
          <w:color w:val="auto"/>
          <w:kern w:val="0"/>
          <w:highlight w:val="none"/>
          <w:u w:val="single"/>
        </w:rPr>
        <w:t>/</w:t>
      </w:r>
      <w:r>
        <w:rPr>
          <w:color w:val="auto"/>
          <w:kern w:val="0"/>
          <w:highlight w:val="none"/>
          <w:u w:val="single"/>
        </w:rPr>
        <w:t xml:space="preserve"> </w:t>
      </w:r>
      <w:r>
        <w:rPr>
          <w:rFonts w:hint="eastAsia" w:hAnsi="宋体" w:cs="宋体"/>
          <w:color w:val="auto"/>
          <w:kern w:val="0"/>
          <w:highlight w:val="none"/>
        </w:rPr>
        <w:t>。</w:t>
      </w:r>
    </w:p>
    <w:p>
      <w:pPr>
        <w:spacing w:line="360" w:lineRule="auto"/>
        <w:ind w:firstLine="420" w:firstLineChars="200"/>
        <w:jc w:val="left"/>
        <w:rPr>
          <w:color w:val="auto"/>
          <w:kern w:val="0"/>
          <w:highlight w:val="none"/>
          <w:u w:val="single"/>
        </w:rPr>
      </w:pPr>
      <w:r>
        <w:rPr>
          <w:rFonts w:hint="eastAsia" w:hAnsi="宋体" w:cs="宋体"/>
          <w:color w:val="auto"/>
          <w:highlight w:val="none"/>
        </w:rPr>
        <w:t>关于质量保证金的补充约定：</w:t>
      </w:r>
      <w:r>
        <w:rPr>
          <w:color w:val="auto"/>
          <w:kern w:val="0"/>
          <w:highlight w:val="none"/>
          <w:u w:val="single"/>
        </w:rPr>
        <w:t xml:space="preserve">/ </w:t>
      </w:r>
      <w:r>
        <w:rPr>
          <w:rFonts w:hint="eastAsia" w:hAnsi="宋体" w:cs="宋体"/>
          <w:color w:val="auto"/>
          <w:kern w:val="0"/>
          <w:highlight w:val="none"/>
        </w:rPr>
        <w:t>。</w:t>
      </w:r>
    </w:p>
    <w:bookmarkEnd w:id="1366"/>
    <w:bookmarkEnd w:id="1367"/>
    <w:p>
      <w:pPr>
        <w:pStyle w:val="5"/>
        <w:rPr>
          <w:color w:val="auto"/>
          <w:highlight w:val="none"/>
        </w:rPr>
      </w:pPr>
      <w:bookmarkStart w:id="1407" w:name="_Toc407135268"/>
      <w:bookmarkStart w:id="1408" w:name="_Toc16888"/>
      <w:bookmarkStart w:id="1409" w:name="_Toc373227765"/>
      <w:bookmarkStart w:id="1410" w:name="_Toc66186472"/>
      <w:bookmarkStart w:id="1411" w:name="_Toc389065330"/>
      <w:bookmarkStart w:id="1412" w:name="_Toc373478412"/>
      <w:r>
        <w:rPr>
          <w:color w:val="auto"/>
          <w:highlight w:val="none"/>
        </w:rPr>
        <w:t xml:space="preserve">15.4 </w:t>
      </w:r>
      <w:r>
        <w:rPr>
          <w:rFonts w:hint="eastAsia" w:hAnsi="宋体" w:cs="黑体"/>
          <w:color w:val="auto"/>
          <w:highlight w:val="none"/>
        </w:rPr>
        <w:t>保修</w:t>
      </w:r>
      <w:bookmarkEnd w:id="1407"/>
      <w:bookmarkEnd w:id="1408"/>
      <w:bookmarkEnd w:id="1409"/>
      <w:bookmarkEnd w:id="1410"/>
      <w:bookmarkEnd w:id="1411"/>
      <w:bookmarkEnd w:id="1412"/>
    </w:p>
    <w:bookmarkEnd w:id="1368"/>
    <w:p>
      <w:pPr>
        <w:rPr>
          <w:color w:val="auto"/>
          <w:highlight w:val="none"/>
        </w:rPr>
      </w:pPr>
      <w:r>
        <w:rPr>
          <w:color w:val="auto"/>
          <w:highlight w:val="none"/>
        </w:rPr>
        <w:t xml:space="preserve">15.4.1 </w:t>
      </w:r>
      <w:r>
        <w:rPr>
          <w:rFonts w:hint="eastAsia" w:hAnsi="宋体" w:cs="宋体"/>
          <w:color w:val="auto"/>
          <w:highlight w:val="none"/>
        </w:rPr>
        <w:t>保修责任</w:t>
      </w:r>
    </w:p>
    <w:p>
      <w:pPr>
        <w:spacing w:line="360" w:lineRule="auto"/>
        <w:ind w:firstLine="409" w:firstLineChars="195"/>
        <w:jc w:val="left"/>
        <w:rPr>
          <w:rFonts w:hAnsi="宋体"/>
          <w:color w:val="auto"/>
          <w:kern w:val="0"/>
          <w:highlight w:val="none"/>
        </w:rPr>
      </w:pPr>
      <w:r>
        <w:rPr>
          <w:rFonts w:hint="eastAsia" w:hAnsi="宋体" w:cs="宋体"/>
          <w:color w:val="auto"/>
          <w:highlight w:val="none"/>
        </w:rPr>
        <w:t>工程保修期为：</w:t>
      </w:r>
      <w:r>
        <w:rPr>
          <w:rFonts w:hint="eastAsia" w:ascii="宋体" w:hAnsi="宋体"/>
          <w:color w:val="auto"/>
          <w:kern w:val="0"/>
          <w:highlight w:val="none"/>
          <w:u w:val="single"/>
        </w:rPr>
        <w:t>见合同附件2</w:t>
      </w:r>
      <w:r>
        <w:rPr>
          <w:rFonts w:hint="eastAsia" w:hAnsi="宋体" w:cs="宋体"/>
          <w:color w:val="auto"/>
          <w:kern w:val="0"/>
          <w:highlight w:val="none"/>
        </w:rPr>
        <w:t>。</w:t>
      </w:r>
    </w:p>
    <w:p>
      <w:pPr>
        <w:spacing w:line="360" w:lineRule="auto"/>
        <w:ind w:firstLine="409" w:firstLineChars="195"/>
        <w:jc w:val="left"/>
        <w:rPr>
          <w:color w:val="auto"/>
          <w:kern w:val="0"/>
          <w:highlight w:val="none"/>
          <w:u w:val="single"/>
        </w:rPr>
      </w:pPr>
      <w:r>
        <w:rPr>
          <w:rFonts w:hint="eastAsia" w:ascii="宋体" w:hAnsi="宋体" w:cs="宋体"/>
          <w:color w:val="auto"/>
          <w:highlight w:val="none"/>
        </w:rPr>
        <w:t>工程保修书具体内容见合同附件2。</w:t>
      </w:r>
    </w:p>
    <w:p>
      <w:pPr>
        <w:spacing w:line="360" w:lineRule="auto"/>
        <w:ind w:firstLine="409" w:firstLineChars="195"/>
        <w:jc w:val="left"/>
        <w:rPr>
          <w:color w:val="auto"/>
          <w:highlight w:val="none"/>
        </w:rPr>
      </w:pPr>
      <w:r>
        <w:rPr>
          <w:color w:val="auto"/>
          <w:highlight w:val="none"/>
        </w:rPr>
        <w:t xml:space="preserve">15.4.3 </w:t>
      </w:r>
      <w:r>
        <w:rPr>
          <w:rFonts w:hint="eastAsia" w:hAnsi="宋体" w:cs="宋体"/>
          <w:color w:val="auto"/>
          <w:highlight w:val="none"/>
        </w:rPr>
        <w:t>修复通知</w:t>
      </w:r>
    </w:p>
    <w:p>
      <w:pPr>
        <w:spacing w:line="360" w:lineRule="auto"/>
        <w:ind w:firstLine="409" w:firstLineChars="195"/>
        <w:jc w:val="left"/>
        <w:rPr>
          <w:color w:val="auto"/>
          <w:kern w:val="0"/>
          <w:highlight w:val="none"/>
          <w:u w:val="single"/>
        </w:rPr>
      </w:pPr>
      <w:r>
        <w:rPr>
          <w:rFonts w:hint="eastAsia" w:hAnsi="宋体" w:cs="宋体"/>
          <w:color w:val="auto"/>
          <w:kern w:val="0"/>
          <w:highlight w:val="none"/>
        </w:rPr>
        <w:t>承包人收到保修通知并到达工程现场的合理时间：</w:t>
      </w:r>
      <w:r>
        <w:rPr>
          <w:rFonts w:hint="eastAsia" w:ascii="宋体" w:hAnsi="宋体"/>
          <w:color w:val="auto"/>
          <w:kern w:val="0"/>
          <w:highlight w:val="none"/>
          <w:u w:val="single"/>
        </w:rPr>
        <w:t>收到通知后24小时内</w:t>
      </w:r>
      <w:r>
        <w:rPr>
          <w:rFonts w:hint="eastAsia" w:hAnsi="宋体" w:cs="宋体"/>
          <w:color w:val="auto"/>
          <w:kern w:val="0"/>
          <w:highlight w:val="none"/>
        </w:rPr>
        <w:t>。</w:t>
      </w:r>
    </w:p>
    <w:bookmarkEnd w:id="1369"/>
    <w:bookmarkEnd w:id="1370"/>
    <w:bookmarkEnd w:id="1371"/>
    <w:bookmarkEnd w:id="1372"/>
    <w:p>
      <w:pPr>
        <w:pStyle w:val="4"/>
        <w:rPr>
          <w:color w:val="auto"/>
          <w:highlight w:val="none"/>
        </w:rPr>
      </w:pPr>
      <w:bookmarkStart w:id="1413" w:name="_Toc373227766"/>
      <w:bookmarkStart w:id="1414" w:name="_Toc407135269"/>
      <w:bookmarkStart w:id="1415" w:name="_Toc373478413"/>
      <w:bookmarkStart w:id="1416" w:name="_Toc66186473"/>
      <w:bookmarkStart w:id="1417" w:name="_Toc351203648"/>
      <w:bookmarkStart w:id="1418" w:name="_Toc28481"/>
      <w:bookmarkStart w:id="1419" w:name="_Toc389065331"/>
      <w:bookmarkStart w:id="1420" w:name="_Toc280868717"/>
      <w:bookmarkStart w:id="1421" w:name="_Toc280868718"/>
      <w:r>
        <w:rPr>
          <w:color w:val="auto"/>
          <w:highlight w:val="none"/>
        </w:rPr>
        <w:t xml:space="preserve">16. </w:t>
      </w:r>
      <w:r>
        <w:rPr>
          <w:rFonts w:hint="eastAsia" w:hAnsi="宋体" w:cs="黑体"/>
          <w:color w:val="auto"/>
          <w:highlight w:val="none"/>
        </w:rPr>
        <w:t>违约</w:t>
      </w:r>
      <w:bookmarkEnd w:id="1413"/>
      <w:bookmarkEnd w:id="1414"/>
      <w:bookmarkEnd w:id="1415"/>
      <w:bookmarkEnd w:id="1416"/>
      <w:bookmarkEnd w:id="1417"/>
      <w:bookmarkEnd w:id="1418"/>
      <w:bookmarkEnd w:id="1419"/>
    </w:p>
    <w:p>
      <w:pPr>
        <w:pStyle w:val="5"/>
        <w:rPr>
          <w:color w:val="auto"/>
          <w:highlight w:val="none"/>
        </w:rPr>
      </w:pPr>
      <w:bookmarkStart w:id="1422" w:name="_Toc373227767"/>
      <w:bookmarkStart w:id="1423" w:name="_Toc389065332"/>
      <w:bookmarkStart w:id="1424" w:name="_Toc407135270"/>
      <w:bookmarkStart w:id="1425" w:name="_Toc373478414"/>
      <w:bookmarkStart w:id="1426" w:name="_Toc66186474"/>
      <w:bookmarkStart w:id="1427" w:name="_Toc6811"/>
      <w:r>
        <w:rPr>
          <w:color w:val="auto"/>
          <w:highlight w:val="none"/>
        </w:rPr>
        <w:t xml:space="preserve">16.1 </w:t>
      </w:r>
      <w:r>
        <w:rPr>
          <w:rFonts w:hint="eastAsia" w:hAnsi="宋体" w:cs="黑体"/>
          <w:color w:val="auto"/>
          <w:highlight w:val="none"/>
        </w:rPr>
        <w:t>发包人违约</w:t>
      </w:r>
      <w:bookmarkEnd w:id="1422"/>
      <w:bookmarkEnd w:id="1423"/>
      <w:bookmarkEnd w:id="1424"/>
      <w:bookmarkEnd w:id="1425"/>
      <w:bookmarkEnd w:id="1426"/>
      <w:bookmarkEnd w:id="1427"/>
    </w:p>
    <w:p>
      <w:pPr>
        <w:spacing w:line="360" w:lineRule="auto"/>
        <w:ind w:firstLine="420" w:firstLineChars="200"/>
        <w:jc w:val="left"/>
        <w:rPr>
          <w:color w:val="auto"/>
          <w:highlight w:val="none"/>
        </w:rPr>
      </w:pPr>
      <w:r>
        <w:rPr>
          <w:color w:val="auto"/>
          <w:highlight w:val="none"/>
        </w:rPr>
        <w:t>16.1.1</w:t>
      </w:r>
      <w:r>
        <w:rPr>
          <w:rFonts w:hint="eastAsia" w:hAnsi="宋体" w:cs="宋体"/>
          <w:color w:val="auto"/>
          <w:highlight w:val="none"/>
        </w:rPr>
        <w:t>发包人违约的情形</w:t>
      </w:r>
    </w:p>
    <w:p>
      <w:pPr>
        <w:spacing w:line="360" w:lineRule="auto"/>
        <w:ind w:firstLine="420" w:firstLineChars="200"/>
        <w:jc w:val="left"/>
        <w:rPr>
          <w:rFonts w:hAnsi="宋体" w:cs="宋体"/>
          <w:color w:val="auto"/>
          <w:kern w:val="0"/>
          <w:highlight w:val="none"/>
        </w:rPr>
      </w:pPr>
      <w:r>
        <w:rPr>
          <w:rFonts w:hint="eastAsia" w:hAnsi="宋体" w:cs="宋体"/>
          <w:color w:val="auto"/>
          <w:kern w:val="0"/>
          <w:highlight w:val="none"/>
        </w:rPr>
        <w:t>发包人违约的其他情形：</w:t>
      </w:r>
    </w:p>
    <w:p>
      <w:pPr>
        <w:spacing w:line="360" w:lineRule="auto"/>
        <w:ind w:firstLine="420" w:firstLineChars="200"/>
        <w:jc w:val="left"/>
        <w:rPr>
          <w:color w:val="auto"/>
          <w:kern w:val="0"/>
          <w:highlight w:val="none"/>
          <w:u w:val="single"/>
        </w:rPr>
      </w:pPr>
      <w:r>
        <w:rPr>
          <w:rFonts w:hint="eastAsia"/>
          <w:color w:val="auto"/>
          <w:kern w:val="0"/>
          <w:highlight w:val="none"/>
          <w:u w:val="single"/>
        </w:rPr>
        <w:t>（1）因发包人原因未能在计划开工日期前7天内下达开工通知的；</w:t>
      </w:r>
    </w:p>
    <w:p>
      <w:pPr>
        <w:spacing w:line="360" w:lineRule="auto"/>
        <w:ind w:firstLine="420" w:firstLineChars="200"/>
        <w:jc w:val="left"/>
        <w:rPr>
          <w:color w:val="auto"/>
          <w:kern w:val="0"/>
          <w:highlight w:val="none"/>
          <w:u w:val="single"/>
        </w:rPr>
      </w:pPr>
      <w:r>
        <w:rPr>
          <w:rFonts w:hint="eastAsia"/>
          <w:color w:val="auto"/>
          <w:kern w:val="0"/>
          <w:highlight w:val="none"/>
          <w:u w:val="single"/>
        </w:rPr>
        <w:t>（2）因发包人原因未能按合同约定支付合同价款的；</w:t>
      </w:r>
    </w:p>
    <w:p>
      <w:pPr>
        <w:spacing w:line="360" w:lineRule="auto"/>
        <w:ind w:firstLine="420" w:firstLineChars="200"/>
        <w:jc w:val="left"/>
        <w:rPr>
          <w:color w:val="auto"/>
          <w:kern w:val="0"/>
          <w:highlight w:val="none"/>
          <w:u w:val="single"/>
        </w:rPr>
      </w:pPr>
      <w:r>
        <w:rPr>
          <w:rFonts w:hint="eastAsia"/>
          <w:color w:val="auto"/>
          <w:kern w:val="0"/>
          <w:highlight w:val="none"/>
          <w:u w:val="single"/>
        </w:rPr>
        <w:t>（3）发包人违反第10.1款〔变更的范围〕第（2）项约定，自行实施被取消的工作或转由他人实施的；</w:t>
      </w:r>
    </w:p>
    <w:p>
      <w:pPr>
        <w:spacing w:line="360" w:lineRule="auto"/>
        <w:ind w:firstLine="420" w:firstLineChars="200"/>
        <w:jc w:val="left"/>
        <w:rPr>
          <w:color w:val="auto"/>
          <w:kern w:val="0"/>
          <w:highlight w:val="none"/>
          <w:u w:val="single"/>
        </w:rPr>
      </w:pPr>
      <w:r>
        <w:rPr>
          <w:rFonts w:hint="eastAsia"/>
          <w:color w:val="auto"/>
          <w:kern w:val="0"/>
          <w:highlight w:val="none"/>
          <w:u w:val="single"/>
        </w:rPr>
        <w:t>（4）发包人提供的材料、工程设备的规格、数量或质量不符合合同约定，或因发包人原因导致交货日期延误或交货地点变更等情况的；</w:t>
      </w:r>
    </w:p>
    <w:p>
      <w:pPr>
        <w:spacing w:line="360" w:lineRule="auto"/>
        <w:ind w:firstLine="420" w:firstLineChars="200"/>
        <w:jc w:val="left"/>
        <w:rPr>
          <w:color w:val="auto"/>
          <w:kern w:val="0"/>
          <w:highlight w:val="none"/>
          <w:u w:val="single"/>
        </w:rPr>
      </w:pPr>
      <w:r>
        <w:rPr>
          <w:rFonts w:hint="eastAsia"/>
          <w:color w:val="auto"/>
          <w:kern w:val="0"/>
          <w:highlight w:val="none"/>
          <w:u w:val="single"/>
        </w:rPr>
        <w:t>（5）因发包人违反合同约定造成暂停施工的；</w:t>
      </w:r>
    </w:p>
    <w:p>
      <w:pPr>
        <w:spacing w:line="360" w:lineRule="auto"/>
        <w:ind w:firstLine="420" w:firstLineChars="200"/>
        <w:jc w:val="left"/>
        <w:rPr>
          <w:color w:val="auto"/>
          <w:kern w:val="0"/>
          <w:highlight w:val="none"/>
          <w:u w:val="single"/>
        </w:rPr>
      </w:pPr>
      <w:r>
        <w:rPr>
          <w:rFonts w:hint="eastAsia"/>
          <w:color w:val="auto"/>
          <w:kern w:val="0"/>
          <w:highlight w:val="none"/>
          <w:u w:val="single"/>
        </w:rPr>
        <w:t>（6）发包人无正当理由没有在约定期限内发出复工指示，导致承包人无法复工的；</w:t>
      </w:r>
    </w:p>
    <w:p>
      <w:pPr>
        <w:spacing w:line="360" w:lineRule="auto"/>
        <w:ind w:firstLine="420" w:firstLineChars="200"/>
        <w:jc w:val="left"/>
        <w:rPr>
          <w:color w:val="auto"/>
          <w:kern w:val="0"/>
          <w:highlight w:val="none"/>
          <w:u w:val="single"/>
        </w:rPr>
      </w:pPr>
      <w:r>
        <w:rPr>
          <w:rFonts w:hint="eastAsia"/>
          <w:color w:val="auto"/>
          <w:kern w:val="0"/>
          <w:highlight w:val="none"/>
          <w:u w:val="single"/>
        </w:rPr>
        <w:t>（7）发包人明确表示或者以其行为表明不履行合同主要义务的；</w:t>
      </w:r>
    </w:p>
    <w:p>
      <w:pPr>
        <w:spacing w:line="360" w:lineRule="auto"/>
        <w:ind w:firstLine="420" w:firstLineChars="200"/>
        <w:jc w:val="left"/>
        <w:rPr>
          <w:color w:val="auto"/>
          <w:kern w:val="0"/>
          <w:highlight w:val="none"/>
          <w:u w:val="single"/>
        </w:rPr>
      </w:pPr>
      <w:r>
        <w:rPr>
          <w:rFonts w:hint="eastAsia"/>
          <w:color w:val="auto"/>
          <w:kern w:val="0"/>
          <w:highlight w:val="none"/>
          <w:u w:val="single"/>
        </w:rPr>
        <w:t>（8）发包人未能按照合同约定履行其他义务的。</w:t>
      </w:r>
    </w:p>
    <w:p>
      <w:pPr>
        <w:spacing w:line="360" w:lineRule="auto"/>
        <w:ind w:firstLine="420" w:firstLineChars="200"/>
        <w:jc w:val="left"/>
        <w:rPr>
          <w:rFonts w:hAnsi="宋体"/>
          <w:color w:val="auto"/>
          <w:kern w:val="0"/>
          <w:highlight w:val="none"/>
        </w:rPr>
      </w:pPr>
      <w:r>
        <w:rPr>
          <w:rFonts w:hint="eastAsia"/>
          <w:color w:val="auto"/>
          <w:kern w:val="0"/>
          <w:highlight w:val="none"/>
          <w:u w:val="single"/>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r>
        <w:rPr>
          <w:rFonts w:hint="eastAsia" w:hAnsi="宋体" w:cs="宋体"/>
          <w:color w:val="auto"/>
          <w:kern w:val="0"/>
          <w:highlight w:val="none"/>
        </w:rPr>
        <w:t>。</w:t>
      </w:r>
    </w:p>
    <w:p>
      <w:pPr>
        <w:spacing w:line="360" w:lineRule="auto"/>
        <w:ind w:firstLine="420" w:firstLineChars="200"/>
        <w:jc w:val="left"/>
        <w:rPr>
          <w:color w:val="auto"/>
          <w:kern w:val="0"/>
          <w:highlight w:val="none"/>
        </w:rPr>
      </w:pPr>
      <w:r>
        <w:rPr>
          <w:color w:val="auto"/>
          <w:kern w:val="0"/>
          <w:highlight w:val="none"/>
        </w:rPr>
        <w:t xml:space="preserve">16.1.2 </w:t>
      </w:r>
      <w:r>
        <w:rPr>
          <w:rFonts w:hint="eastAsia" w:hAnsi="宋体" w:cs="宋体"/>
          <w:color w:val="auto"/>
          <w:kern w:val="0"/>
          <w:highlight w:val="none"/>
        </w:rPr>
        <w:t>发包人违约的责任</w:t>
      </w:r>
    </w:p>
    <w:p>
      <w:pPr>
        <w:spacing w:line="360" w:lineRule="auto"/>
        <w:ind w:firstLine="420" w:firstLineChars="200"/>
        <w:jc w:val="left"/>
        <w:rPr>
          <w:color w:val="auto"/>
          <w:kern w:val="0"/>
          <w:highlight w:val="none"/>
        </w:rPr>
      </w:pPr>
      <w:r>
        <w:rPr>
          <w:rFonts w:hint="eastAsia" w:hAnsi="宋体" w:cs="宋体"/>
          <w:color w:val="auto"/>
          <w:kern w:val="0"/>
          <w:highlight w:val="none"/>
        </w:rPr>
        <w:t>发包人违约责任的承担方式和计算方法：</w:t>
      </w:r>
    </w:p>
    <w:p>
      <w:pPr>
        <w:spacing w:line="360" w:lineRule="auto"/>
        <w:ind w:firstLine="420" w:firstLineChars="200"/>
        <w:jc w:val="left"/>
        <w:rPr>
          <w:color w:val="auto"/>
          <w:kern w:val="0"/>
          <w:highlight w:val="none"/>
          <w:u w:val="singl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）因发包人原因未能在计划开工日期前</w:t>
      </w:r>
      <w:r>
        <w:rPr>
          <w:color w:val="auto"/>
          <w:kern w:val="0"/>
          <w:highlight w:val="none"/>
        </w:rPr>
        <w:t>7</w:t>
      </w:r>
      <w:r>
        <w:rPr>
          <w:rFonts w:hint="eastAsia" w:hAnsi="宋体" w:cs="宋体"/>
          <w:color w:val="auto"/>
          <w:kern w:val="0"/>
          <w:highlight w:val="none"/>
        </w:rPr>
        <w:t>天内下达开工通知的违约责任：</w:t>
      </w:r>
      <w:r>
        <w:rPr>
          <w:color w:val="auto"/>
          <w:kern w:val="0"/>
          <w:highlight w:val="none"/>
          <w:u w:val="single"/>
        </w:rPr>
        <w:t xml:space="preserve"> 双方另行协商</w:t>
      </w:r>
      <w:r>
        <w:rPr>
          <w:rFonts w:hint="eastAsia" w:hAnsi="宋体" w:cs="宋体"/>
          <w:color w:val="auto"/>
          <w:kern w:val="0"/>
          <w:highlight w:val="none"/>
        </w:rPr>
        <w:t>。</w:t>
      </w:r>
    </w:p>
    <w:p>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）因发包人原因未能按合同约定支付合同价款的违约责任：</w:t>
      </w:r>
      <w:r>
        <w:rPr>
          <w:rFonts w:hint="eastAsia"/>
          <w:color w:val="auto"/>
          <w:kern w:val="0"/>
          <w:highlight w:val="none"/>
          <w:u w:val="single"/>
        </w:rPr>
        <w:t>承包人与发包人签订延期付款协议，延期付款协议须经承包人认可</w:t>
      </w:r>
      <w:r>
        <w:rPr>
          <w:rFonts w:hint="eastAsia" w:hAnsi="宋体" w:cs="宋体"/>
          <w:color w:val="auto"/>
          <w:kern w:val="0"/>
          <w:highlight w:val="none"/>
        </w:rPr>
        <w:t>。</w:t>
      </w:r>
    </w:p>
    <w:p>
      <w:pPr>
        <w:spacing w:line="360" w:lineRule="auto"/>
        <w:ind w:firstLine="420" w:firstLineChars="200"/>
        <w:jc w:val="left"/>
        <w:rPr>
          <w:color w:val="auto"/>
          <w:kern w:val="0"/>
          <w:highlight w:val="none"/>
          <w:u w:val="single"/>
        </w:rPr>
      </w:pP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）发包人违反第</w:t>
      </w:r>
      <w:r>
        <w:rPr>
          <w:color w:val="auto"/>
          <w:kern w:val="0"/>
          <w:highlight w:val="none"/>
        </w:rPr>
        <w:t>10.1</w:t>
      </w:r>
      <w:r>
        <w:rPr>
          <w:rFonts w:hint="eastAsia" w:hAnsi="宋体" w:cs="宋体"/>
          <w:color w:val="auto"/>
          <w:kern w:val="0"/>
          <w:highlight w:val="none"/>
        </w:rPr>
        <w:t>款〔变更的范围〕第（</w:t>
      </w:r>
      <w:r>
        <w:rPr>
          <w:color w:val="auto"/>
          <w:kern w:val="0"/>
          <w:highlight w:val="none"/>
        </w:rPr>
        <w:t>2</w:t>
      </w:r>
      <w:r>
        <w:rPr>
          <w:rFonts w:hint="eastAsia" w:hAnsi="宋体" w:cs="宋体"/>
          <w:color w:val="auto"/>
          <w:kern w:val="0"/>
          <w:highlight w:val="none"/>
        </w:rPr>
        <w:t>）项约定，自行实施被取消的工作或转由他人实施的违约责任：</w:t>
      </w:r>
      <w:r>
        <w:rPr>
          <w:rFonts w:hint="eastAsia"/>
          <w:color w:val="auto"/>
          <w:kern w:val="0"/>
          <w:highlight w:val="none"/>
          <w:u w:val="single"/>
        </w:rPr>
        <w:t>双方另行协商。</w:t>
      </w:r>
    </w:p>
    <w:p>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4</w:t>
      </w:r>
      <w:r>
        <w:rPr>
          <w:rFonts w:hint="eastAsia" w:hAnsi="宋体" w:cs="宋体"/>
          <w:color w:val="auto"/>
          <w:kern w:val="0"/>
          <w:highlight w:val="none"/>
        </w:rPr>
        <w:t>）发包人提供的材料、工程设备的规格、数量或质量不符合合同约定，或因发包人原因导致交货日期延误或交货地点变更等情况的违约责任：</w:t>
      </w:r>
      <w:r>
        <w:rPr>
          <w:rFonts w:hint="eastAsia"/>
          <w:color w:val="auto"/>
          <w:kern w:val="0"/>
          <w:highlight w:val="none"/>
          <w:u w:val="single"/>
        </w:rPr>
        <w:t>发包人承担承包人因暂停施工所导致的工程费用的增加（须经发包人确认），包括但不限于承包人施工人员管理费、工人误工费、机械设备和内外脚手架的闲置租金费、材料损耗费及其他发生的费用等，且工期相应顺延（须经发包人确认）</w:t>
      </w:r>
      <w:r>
        <w:rPr>
          <w:rFonts w:hint="eastAsia" w:hAnsi="宋体" w:cs="宋体"/>
          <w:color w:val="auto"/>
          <w:kern w:val="0"/>
          <w:highlight w:val="none"/>
        </w:rPr>
        <w:t>。</w:t>
      </w:r>
    </w:p>
    <w:p>
      <w:pPr>
        <w:spacing w:line="360" w:lineRule="auto"/>
        <w:ind w:firstLine="420" w:firstLineChars="200"/>
        <w:jc w:val="left"/>
        <w:rPr>
          <w:color w:val="auto"/>
          <w:kern w:val="0"/>
          <w:highlight w:val="none"/>
          <w:u w:val="single"/>
        </w:rPr>
      </w:pPr>
      <w:r>
        <w:rPr>
          <w:rFonts w:hint="eastAsia" w:hAnsi="宋体" w:cs="宋体"/>
          <w:color w:val="auto"/>
          <w:kern w:val="0"/>
          <w:highlight w:val="none"/>
        </w:rPr>
        <w:t>（</w:t>
      </w:r>
      <w:r>
        <w:rPr>
          <w:color w:val="auto"/>
          <w:kern w:val="0"/>
          <w:highlight w:val="none"/>
        </w:rPr>
        <w:t>5</w:t>
      </w:r>
      <w:r>
        <w:rPr>
          <w:rFonts w:hint="eastAsia" w:hAnsi="宋体" w:cs="宋体"/>
          <w:color w:val="auto"/>
          <w:kern w:val="0"/>
          <w:highlight w:val="none"/>
        </w:rPr>
        <w:t>）因发包人违反合同约定造成暂停施工的违约责任：</w:t>
      </w:r>
      <w:r>
        <w:rPr>
          <w:rFonts w:hint="eastAsia"/>
          <w:color w:val="auto"/>
          <w:kern w:val="0"/>
          <w:highlight w:val="none"/>
          <w:u w:val="single"/>
        </w:rPr>
        <w:t>按本合同通用条款 16.1.2 执行</w:t>
      </w:r>
      <w:r>
        <w:rPr>
          <w:rFonts w:hint="eastAsia" w:hAnsi="宋体" w:cs="宋体"/>
          <w:color w:val="auto"/>
          <w:kern w:val="0"/>
          <w:highlight w:val="none"/>
        </w:rPr>
        <w:t>。</w:t>
      </w:r>
    </w:p>
    <w:p>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6</w:t>
      </w:r>
      <w:r>
        <w:rPr>
          <w:rFonts w:hint="eastAsia" w:hAnsi="宋体" w:cs="宋体"/>
          <w:color w:val="auto"/>
          <w:kern w:val="0"/>
          <w:highlight w:val="none"/>
        </w:rPr>
        <w:t>）发包人无正当理由没有在约定期限内发出复工指示，导致承包人无法复工的违约责任：</w:t>
      </w:r>
      <w:r>
        <w:rPr>
          <w:rFonts w:hint="eastAsia"/>
          <w:color w:val="auto"/>
          <w:kern w:val="0"/>
          <w:highlight w:val="none"/>
          <w:u w:val="single"/>
        </w:rPr>
        <w:t>可顺延工期</w:t>
      </w:r>
      <w:r>
        <w:rPr>
          <w:color w:val="auto"/>
          <w:kern w:val="0"/>
          <w:highlight w:val="none"/>
          <w:u w:val="single"/>
        </w:rPr>
        <w:t xml:space="preserve"> </w:t>
      </w:r>
      <w:r>
        <w:rPr>
          <w:rFonts w:hint="eastAsia" w:hAnsi="宋体" w:cs="宋体"/>
          <w:color w:val="auto"/>
          <w:kern w:val="0"/>
          <w:highlight w:val="none"/>
        </w:rPr>
        <w:t>。</w:t>
      </w:r>
    </w:p>
    <w:p>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7</w:t>
      </w:r>
      <w:r>
        <w:rPr>
          <w:rFonts w:hint="eastAsia" w:hAnsi="宋体" w:cs="宋体"/>
          <w:color w:val="auto"/>
          <w:kern w:val="0"/>
          <w:highlight w:val="none"/>
        </w:rPr>
        <w:t>）其他：</w:t>
      </w:r>
      <w:r>
        <w:rPr>
          <w:rFonts w:hint="eastAsia"/>
          <w:color w:val="auto"/>
          <w:kern w:val="0"/>
          <w:highlight w:val="none"/>
          <w:u w:val="single"/>
        </w:rPr>
        <w:t>可顺延工期，但发包人不赔偿</w:t>
      </w:r>
      <w:r>
        <w:rPr>
          <w:rFonts w:hint="eastAsia"/>
          <w:color w:val="auto"/>
          <w:kern w:val="0"/>
          <w:highlight w:val="none"/>
          <w:u w:val="single"/>
          <w:lang w:eastAsia="zh-CN"/>
        </w:rPr>
        <w:t>其他</w:t>
      </w:r>
      <w:r>
        <w:rPr>
          <w:rFonts w:hint="eastAsia"/>
          <w:color w:val="auto"/>
          <w:kern w:val="0"/>
          <w:highlight w:val="none"/>
          <w:u w:val="single"/>
        </w:rPr>
        <w:t>损失</w:t>
      </w:r>
      <w:r>
        <w:rPr>
          <w:rFonts w:hint="eastAsia" w:hAnsi="宋体" w:cs="宋体"/>
          <w:color w:val="auto"/>
          <w:kern w:val="0"/>
          <w:highlight w:val="none"/>
        </w:rPr>
        <w:t>。</w:t>
      </w:r>
    </w:p>
    <w:p>
      <w:pPr>
        <w:spacing w:line="360" w:lineRule="auto"/>
        <w:ind w:firstLine="420" w:firstLineChars="200"/>
        <w:jc w:val="left"/>
        <w:rPr>
          <w:color w:val="auto"/>
          <w:highlight w:val="none"/>
        </w:rPr>
      </w:pPr>
      <w:r>
        <w:rPr>
          <w:color w:val="auto"/>
          <w:highlight w:val="none"/>
        </w:rPr>
        <w:t xml:space="preserve">16.1.3 </w:t>
      </w:r>
      <w:r>
        <w:rPr>
          <w:rFonts w:hint="eastAsia" w:hAnsi="宋体" w:cs="宋体"/>
          <w:color w:val="auto"/>
          <w:highlight w:val="none"/>
        </w:rPr>
        <w:t>因发包人违约解除合同</w:t>
      </w:r>
    </w:p>
    <w:p>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承包人按</w:t>
      </w:r>
      <w:r>
        <w:rPr>
          <w:color w:val="auto"/>
          <w:kern w:val="0"/>
          <w:highlight w:val="none"/>
        </w:rPr>
        <w:t>16.1.1</w:t>
      </w:r>
      <w:r>
        <w:rPr>
          <w:rFonts w:hint="eastAsia" w:hAnsi="宋体" w:cs="宋体"/>
          <w:color w:val="auto"/>
          <w:kern w:val="0"/>
          <w:highlight w:val="none"/>
        </w:rPr>
        <w:t>项〔发包人违约的情形〕约定暂停施工满</w:t>
      </w:r>
      <w:r>
        <w:rPr>
          <w:color w:val="auto"/>
          <w:kern w:val="0"/>
          <w:highlight w:val="none"/>
          <w:u w:val="single"/>
        </w:rPr>
        <w:t xml:space="preserve"> 84 </w:t>
      </w:r>
      <w:r>
        <w:rPr>
          <w:rFonts w:hint="eastAsia" w:hAnsi="宋体" w:cs="宋体"/>
          <w:color w:val="auto"/>
          <w:kern w:val="0"/>
          <w:highlight w:val="none"/>
        </w:rPr>
        <w:t>天后发包人仍不纠正其违约行为并致使合同目的不能实现的，承包人有权解除合同。</w:t>
      </w:r>
    </w:p>
    <w:p>
      <w:pPr>
        <w:pStyle w:val="5"/>
        <w:rPr>
          <w:color w:val="auto"/>
          <w:highlight w:val="none"/>
        </w:rPr>
      </w:pPr>
      <w:bookmarkStart w:id="1428" w:name="_Toc373478415"/>
      <w:bookmarkStart w:id="1429" w:name="_Toc389065333"/>
      <w:bookmarkStart w:id="1430" w:name="_Toc1502"/>
      <w:bookmarkStart w:id="1431" w:name="_Toc407135271"/>
      <w:bookmarkStart w:id="1432" w:name="_Toc66186475"/>
      <w:bookmarkStart w:id="1433" w:name="_Toc373227768"/>
      <w:r>
        <w:rPr>
          <w:color w:val="auto"/>
          <w:highlight w:val="none"/>
        </w:rPr>
        <w:t xml:space="preserve">16.2 </w:t>
      </w:r>
      <w:r>
        <w:rPr>
          <w:rFonts w:hint="eastAsia" w:hAnsi="宋体" w:cs="黑体"/>
          <w:color w:val="auto"/>
          <w:highlight w:val="none"/>
        </w:rPr>
        <w:t>承包人违约</w:t>
      </w:r>
      <w:bookmarkEnd w:id="1428"/>
      <w:bookmarkEnd w:id="1429"/>
      <w:bookmarkEnd w:id="1430"/>
      <w:bookmarkEnd w:id="1431"/>
      <w:bookmarkEnd w:id="1432"/>
      <w:bookmarkEnd w:id="1433"/>
    </w:p>
    <w:p>
      <w:pPr>
        <w:spacing w:line="360" w:lineRule="auto"/>
        <w:ind w:firstLine="420" w:firstLineChars="200"/>
        <w:jc w:val="left"/>
        <w:rPr>
          <w:color w:val="auto"/>
          <w:kern w:val="0"/>
          <w:highlight w:val="none"/>
        </w:rPr>
      </w:pPr>
      <w:r>
        <w:rPr>
          <w:color w:val="auto"/>
          <w:kern w:val="0"/>
          <w:highlight w:val="none"/>
        </w:rPr>
        <w:t xml:space="preserve">16.2.1 </w:t>
      </w:r>
      <w:r>
        <w:rPr>
          <w:rFonts w:hint="eastAsia" w:hAnsi="宋体" w:cs="宋体"/>
          <w:color w:val="auto"/>
          <w:kern w:val="0"/>
          <w:highlight w:val="none"/>
        </w:rPr>
        <w:t>承包人违约的情形</w:t>
      </w:r>
    </w:p>
    <w:p>
      <w:pPr>
        <w:spacing w:line="360" w:lineRule="auto"/>
        <w:ind w:firstLine="420" w:firstLineChars="200"/>
        <w:jc w:val="left"/>
        <w:rPr>
          <w:color w:val="auto"/>
          <w:kern w:val="0"/>
          <w:highlight w:val="none"/>
          <w:u w:val="single"/>
        </w:rPr>
      </w:pPr>
      <w:r>
        <w:rPr>
          <w:rFonts w:hint="eastAsia" w:hAnsi="宋体" w:cs="宋体"/>
          <w:color w:val="auto"/>
          <w:kern w:val="0"/>
          <w:highlight w:val="none"/>
        </w:rPr>
        <w:t>承包人违约的其他情形：</w:t>
      </w:r>
      <w:r>
        <w:rPr>
          <w:rFonts w:hint="eastAsia" w:ascii="宋体" w:hAnsi="宋体"/>
          <w:color w:val="auto"/>
          <w:kern w:val="0"/>
          <w:highlight w:val="none"/>
          <w:u w:val="single"/>
        </w:rPr>
        <w:t>结算资料和竣工验收资料不全、不及时、不按约定清场、不给予或不配合分包管理等其他事项</w:t>
      </w:r>
      <w:r>
        <w:rPr>
          <w:rFonts w:hint="eastAsia" w:hAnsi="宋体" w:cs="宋体"/>
          <w:color w:val="auto"/>
          <w:kern w:val="0"/>
          <w:highlight w:val="none"/>
        </w:rPr>
        <w:t>。</w:t>
      </w:r>
    </w:p>
    <w:p>
      <w:pPr>
        <w:rPr>
          <w:color w:val="auto"/>
          <w:kern w:val="0"/>
          <w:highlight w:val="none"/>
        </w:rPr>
      </w:pPr>
      <w:r>
        <w:rPr>
          <w:color w:val="auto"/>
          <w:kern w:val="0"/>
          <w:highlight w:val="none"/>
        </w:rPr>
        <w:t>16.2.2</w:t>
      </w:r>
      <w:r>
        <w:rPr>
          <w:rFonts w:hint="eastAsia" w:hAnsi="宋体" w:cs="宋体"/>
          <w:color w:val="auto"/>
          <w:kern w:val="0"/>
          <w:highlight w:val="none"/>
        </w:rPr>
        <w:t>承包人违约的责任</w:t>
      </w:r>
    </w:p>
    <w:p>
      <w:pPr>
        <w:spacing w:line="360" w:lineRule="auto"/>
        <w:ind w:firstLine="420" w:firstLineChars="200"/>
        <w:jc w:val="left"/>
        <w:rPr>
          <w:color w:val="auto"/>
          <w:kern w:val="0"/>
          <w:highlight w:val="none"/>
        </w:rPr>
      </w:pPr>
      <w:r>
        <w:rPr>
          <w:rFonts w:hint="eastAsia" w:hAnsi="宋体" w:cs="宋体"/>
          <w:color w:val="auto"/>
          <w:kern w:val="0"/>
          <w:highlight w:val="none"/>
        </w:rPr>
        <w:t>承包人违约责任的承担方式和计算方法：</w:t>
      </w:r>
    </w:p>
    <w:p>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）承包人有本合同通用条款第</w:t>
      </w:r>
      <w:r>
        <w:rPr>
          <w:color w:val="auto"/>
          <w:kern w:val="0"/>
          <w:highlight w:val="none"/>
        </w:rPr>
        <w:t>16.2.1</w:t>
      </w: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）条内容情形的，承包人无条件返工处理，修复至工程质量要求并承担相关费用，并在发包人规定的时间内完成返工，否则发包人有权扣罚该分项工程</w:t>
      </w:r>
      <w:r>
        <w:rPr>
          <w:color w:val="auto"/>
          <w:kern w:val="0"/>
          <w:highlight w:val="none"/>
        </w:rPr>
        <w:t>10%</w:t>
      </w:r>
      <w:r>
        <w:rPr>
          <w:rFonts w:hint="eastAsia" w:hAnsi="宋体" w:cs="宋体"/>
          <w:color w:val="auto"/>
          <w:kern w:val="0"/>
          <w:highlight w:val="none"/>
        </w:rPr>
        <w:t>的工程款作为处罚。</w:t>
      </w:r>
    </w:p>
    <w:p>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）承包人有本合同通用条款第</w:t>
      </w:r>
      <w:r>
        <w:rPr>
          <w:color w:val="auto"/>
          <w:kern w:val="0"/>
          <w:highlight w:val="none"/>
        </w:rPr>
        <w:t>16.2.1</w:t>
      </w:r>
      <w:r>
        <w:rPr>
          <w:rFonts w:hint="eastAsia" w:hAnsi="宋体" w:cs="宋体"/>
          <w:color w:val="auto"/>
          <w:kern w:val="0"/>
          <w:highlight w:val="none"/>
        </w:rPr>
        <w:t>（</w:t>
      </w:r>
      <w:r>
        <w:rPr>
          <w:color w:val="auto"/>
          <w:kern w:val="0"/>
          <w:highlight w:val="none"/>
        </w:rPr>
        <w:t>6</w:t>
      </w:r>
      <w:r>
        <w:rPr>
          <w:rFonts w:hint="eastAsia" w:hAnsi="宋体" w:cs="宋体"/>
          <w:color w:val="auto"/>
          <w:kern w:val="0"/>
          <w:highlight w:val="none"/>
        </w:rPr>
        <w:t>）条情形的，或经监理人检验认为修复质量不合格而承包人拒绝再进行修补的，发包人将扣除承包人全部质量保证金。</w:t>
      </w:r>
    </w:p>
    <w:p>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）承包人有本专用合同条款</w:t>
      </w:r>
      <w:r>
        <w:rPr>
          <w:color w:val="auto"/>
          <w:kern w:val="0"/>
          <w:highlight w:val="none"/>
        </w:rPr>
        <w:t>3.2</w:t>
      </w:r>
      <w:r>
        <w:rPr>
          <w:rFonts w:hint="eastAsia" w:hAnsi="宋体" w:cs="宋体"/>
          <w:color w:val="auto"/>
          <w:kern w:val="0"/>
          <w:highlight w:val="none"/>
        </w:rPr>
        <w:t>、</w:t>
      </w:r>
      <w:r>
        <w:rPr>
          <w:color w:val="auto"/>
          <w:kern w:val="0"/>
          <w:highlight w:val="none"/>
        </w:rPr>
        <w:t>3.3</w:t>
      </w:r>
      <w:r>
        <w:rPr>
          <w:rFonts w:hint="eastAsia" w:hAnsi="宋体" w:cs="宋体"/>
          <w:color w:val="auto"/>
          <w:kern w:val="0"/>
          <w:highlight w:val="none"/>
        </w:rPr>
        <w:t>条违约责任的，发包人有权扣除承包人的违约金。违约金金额均在承包人的履约保证金及计量支付款内扣除。监理人预先下发含有罚款意向的指令，如承包人不及时采取措施纠正，则在指令下达后十五天下发罚款通知书（不再陈述罚款理由）。承包人履约保证金被罚款后由发包人从最后一次计量支付时扣除相应金额补足履约保证金。承包人在合同期内，完成合同规定的全部工程，且质量合格，在本工程施工竣工验收后十五天内可申请返还全部或部分罚款，返还金额由监理人审核，发包人批准。罚款金额返还时不包括银行利息。</w:t>
      </w:r>
    </w:p>
    <w:p>
      <w:pPr>
        <w:spacing w:line="360" w:lineRule="auto"/>
        <w:ind w:firstLine="420" w:firstLineChars="200"/>
        <w:jc w:val="left"/>
        <w:rPr>
          <w:rFonts w:hAnsi="宋体"/>
          <w:color w:val="auto"/>
          <w:highlight w:val="none"/>
        </w:rPr>
      </w:pPr>
      <w:r>
        <w:rPr>
          <w:color w:val="auto"/>
          <w:highlight w:val="none"/>
        </w:rPr>
        <w:t xml:space="preserve">16.2.3 </w:t>
      </w:r>
      <w:r>
        <w:rPr>
          <w:rFonts w:hint="eastAsia" w:hAnsi="宋体" w:cs="宋体"/>
          <w:color w:val="auto"/>
          <w:highlight w:val="none"/>
        </w:rPr>
        <w:t>因承包人违约解除合同</w:t>
      </w:r>
    </w:p>
    <w:p>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关于承包人违约解除合同的特别约定：</w:t>
      </w:r>
      <w:r>
        <w:rPr>
          <w:rFonts w:hint="eastAsia" w:hAnsi="宋体" w:cs="宋体"/>
          <w:color w:val="auto"/>
          <w:kern w:val="0"/>
          <w:highlight w:val="none"/>
          <w:u w:val="single"/>
        </w:rPr>
        <w:t>承包人有违反以下情况之一的，发包人有权解除合同，并没收其全部履约保证金</w:t>
      </w:r>
      <w:r>
        <w:rPr>
          <w:rFonts w:hint="eastAsia" w:hAnsi="宋体" w:cs="宋体"/>
          <w:color w:val="auto"/>
          <w:kern w:val="0"/>
          <w:highlight w:val="none"/>
        </w:rPr>
        <w:t>。</w:t>
      </w:r>
    </w:p>
    <w:p>
      <w:pPr>
        <w:spacing w:line="360" w:lineRule="auto"/>
        <w:ind w:firstLine="420" w:firstLineChars="200"/>
        <w:jc w:val="left"/>
        <w:rPr>
          <w:rFonts w:hAnsi="宋体"/>
          <w:color w:val="auto"/>
          <w:kern w:val="0"/>
          <w:highlight w:val="none"/>
        </w:rPr>
      </w:pPr>
      <w:r>
        <w:rPr>
          <w:color w:val="auto"/>
          <w:kern w:val="0"/>
          <w:highlight w:val="none"/>
        </w:rPr>
        <w:t>(1)</w:t>
      </w:r>
      <w:r>
        <w:rPr>
          <w:rFonts w:hint="eastAsia" w:hAnsi="宋体" w:cs="宋体"/>
          <w:color w:val="auto"/>
          <w:kern w:val="0"/>
          <w:highlight w:val="none"/>
        </w:rPr>
        <w:t>承包人无正当理由不按开工通知的要求及时进场组织施工和不按签订协议书时商定的进度计划有效地开展施工准备，造成工期延误的；</w:t>
      </w:r>
    </w:p>
    <w:p>
      <w:pPr>
        <w:spacing w:line="360" w:lineRule="auto"/>
        <w:ind w:firstLine="420" w:firstLineChars="200"/>
        <w:jc w:val="left"/>
        <w:rPr>
          <w:rFonts w:hAnsi="宋体"/>
          <w:color w:val="auto"/>
          <w:kern w:val="0"/>
          <w:highlight w:val="none"/>
        </w:rPr>
      </w:pPr>
      <w:r>
        <w:rPr>
          <w:color w:val="auto"/>
          <w:kern w:val="0"/>
          <w:highlight w:val="none"/>
        </w:rPr>
        <w:t>(2)</w:t>
      </w:r>
      <w:r>
        <w:rPr>
          <w:rFonts w:hint="eastAsia" w:hAnsi="宋体" w:cs="宋体"/>
          <w:color w:val="auto"/>
          <w:kern w:val="0"/>
          <w:highlight w:val="none"/>
        </w:rPr>
        <w:t>承包人违反本合同通用条款第</w:t>
      </w:r>
      <w:r>
        <w:rPr>
          <w:color w:val="auto"/>
          <w:kern w:val="0"/>
          <w:highlight w:val="none"/>
        </w:rPr>
        <w:t>3.5</w:t>
      </w:r>
      <w:r>
        <w:rPr>
          <w:rFonts w:hint="eastAsia" w:hAnsi="宋体" w:cs="宋体"/>
          <w:color w:val="auto"/>
          <w:kern w:val="0"/>
          <w:highlight w:val="none"/>
        </w:rPr>
        <w:t>条规定私自将合同或合同的任何部分或任何权利转让给其他人，或私自将工程或工程的一部分分包出去的；</w:t>
      </w:r>
    </w:p>
    <w:p>
      <w:pPr>
        <w:spacing w:line="360" w:lineRule="auto"/>
        <w:ind w:firstLine="420" w:firstLineChars="200"/>
        <w:jc w:val="left"/>
        <w:rPr>
          <w:rFonts w:hAnsi="宋体"/>
          <w:color w:val="auto"/>
          <w:kern w:val="0"/>
          <w:highlight w:val="none"/>
        </w:rPr>
      </w:pPr>
      <w:r>
        <w:rPr>
          <w:color w:val="auto"/>
          <w:kern w:val="0"/>
          <w:highlight w:val="none"/>
        </w:rPr>
        <w:t>(3)</w:t>
      </w:r>
      <w:r>
        <w:rPr>
          <w:rFonts w:hint="eastAsia" w:hAnsi="宋体" w:cs="宋体"/>
          <w:color w:val="auto"/>
          <w:kern w:val="0"/>
          <w:highlight w:val="none"/>
        </w:rPr>
        <w:t>未经监理人批准，承包人私自将已按投标文件承诺进入工地的工程设备、施工设备、临时工程或材料撤离工地的；</w:t>
      </w:r>
    </w:p>
    <w:p>
      <w:pPr>
        <w:spacing w:line="360" w:lineRule="auto"/>
        <w:ind w:firstLine="420" w:firstLineChars="200"/>
        <w:jc w:val="left"/>
        <w:rPr>
          <w:color w:val="auto"/>
          <w:kern w:val="0"/>
          <w:highlight w:val="none"/>
        </w:rPr>
      </w:pPr>
      <w:r>
        <w:rPr>
          <w:color w:val="auto"/>
          <w:kern w:val="0"/>
          <w:highlight w:val="none"/>
        </w:rPr>
        <w:t>(4)</w:t>
      </w:r>
      <w:r>
        <w:rPr>
          <w:rFonts w:hint="eastAsia" w:hAnsi="宋体" w:cs="宋体"/>
          <w:color w:val="auto"/>
          <w:kern w:val="0"/>
          <w:highlight w:val="none"/>
        </w:rPr>
        <w:t>由于承包人原因拒绝按合同进度计划及时完成合同规定的工程，而又未采取有效措施赶上进度，造成工期严重延误的；</w:t>
      </w:r>
    </w:p>
    <w:p>
      <w:pPr>
        <w:spacing w:line="360" w:lineRule="auto"/>
        <w:ind w:firstLine="420" w:firstLineChars="200"/>
        <w:rPr>
          <w:color w:val="auto"/>
          <w:kern w:val="0"/>
          <w:highlight w:val="none"/>
        </w:rPr>
      </w:pPr>
      <w:r>
        <w:rPr>
          <w:color w:val="auto"/>
          <w:kern w:val="0"/>
          <w:highlight w:val="none"/>
        </w:rPr>
        <w:t>(5)</w:t>
      </w:r>
      <w:r>
        <w:rPr>
          <w:rFonts w:hint="eastAsia" w:hAnsi="宋体" w:cs="宋体"/>
          <w:color w:val="auto"/>
          <w:kern w:val="0"/>
          <w:highlight w:val="none"/>
        </w:rPr>
        <w:t>承包人否认合同有效或拒绝履行合同规定的承包人义务，或由于法律、财务等原因导致承包人无法继续履行或实质上已停止履行合同的义务的；</w:t>
      </w:r>
    </w:p>
    <w:p>
      <w:pPr>
        <w:spacing w:line="360" w:lineRule="auto"/>
        <w:ind w:firstLine="420" w:firstLineChars="200"/>
        <w:rPr>
          <w:color w:val="auto"/>
          <w:kern w:val="0"/>
          <w:highlight w:val="none"/>
        </w:rPr>
      </w:pPr>
      <w:r>
        <w:rPr>
          <w:color w:val="auto"/>
          <w:kern w:val="0"/>
          <w:highlight w:val="none"/>
        </w:rPr>
        <w:t>(6)</w:t>
      </w:r>
      <w:r>
        <w:rPr>
          <w:rFonts w:hint="eastAsia" w:hAnsi="宋体" w:cs="宋体"/>
          <w:color w:val="auto"/>
          <w:kern w:val="0"/>
          <w:highlight w:val="none"/>
        </w:rPr>
        <w:t>合同签订</w:t>
      </w:r>
      <w:r>
        <w:rPr>
          <w:rFonts w:hint="eastAsia" w:ascii="仿宋_GB2312" w:hAnsi="宋体" w:cs="宋体"/>
          <w:color w:val="auto"/>
          <w:highlight w:val="none"/>
        </w:rPr>
        <w:t>且具备法定开工条件后</w:t>
      </w:r>
      <w:r>
        <w:rPr>
          <w:rFonts w:hint="eastAsia" w:hAnsi="宋体" w:cs="宋体"/>
          <w:color w:val="auto"/>
          <w:kern w:val="0"/>
          <w:highlight w:val="none"/>
        </w:rPr>
        <w:t>之日起十五日内，承包人无法按合同规定及投标文件的承诺进场经监理工程师认可的该</w:t>
      </w:r>
      <w:r>
        <w:rPr>
          <w:rFonts w:hAnsi="宋体" w:cs="宋体"/>
          <w:color w:val="auto"/>
          <w:kern w:val="0"/>
          <w:highlight w:val="none"/>
        </w:rPr>
        <w:t>施工</w:t>
      </w:r>
      <w:r>
        <w:rPr>
          <w:rFonts w:hint="eastAsia" w:hAnsi="宋体" w:cs="宋体"/>
          <w:color w:val="auto"/>
          <w:kern w:val="0"/>
          <w:highlight w:val="none"/>
        </w:rPr>
        <w:t>阶段</w:t>
      </w:r>
      <w:r>
        <w:rPr>
          <w:rFonts w:hAnsi="宋体" w:cs="宋体"/>
          <w:color w:val="auto"/>
          <w:kern w:val="0"/>
          <w:highlight w:val="none"/>
        </w:rPr>
        <w:t>应有的</w:t>
      </w:r>
      <w:r>
        <w:rPr>
          <w:rFonts w:hint="eastAsia" w:hAnsi="宋体" w:cs="宋体"/>
          <w:color w:val="auto"/>
          <w:kern w:val="0"/>
          <w:highlight w:val="none"/>
        </w:rPr>
        <w:t>全部人员和机械的。</w:t>
      </w:r>
    </w:p>
    <w:p>
      <w:pPr>
        <w:spacing w:line="360" w:lineRule="auto"/>
        <w:ind w:firstLine="420" w:firstLineChars="200"/>
        <w:jc w:val="left"/>
        <w:rPr>
          <w:color w:val="auto"/>
          <w:kern w:val="0"/>
          <w:highlight w:val="none"/>
        </w:rPr>
      </w:pPr>
      <w:r>
        <w:rPr>
          <w:rFonts w:hint="eastAsia" w:hAnsi="宋体" w:cs="宋体"/>
          <w:color w:val="auto"/>
          <w:kern w:val="0"/>
          <w:highlight w:val="none"/>
        </w:rPr>
        <w:t>发包人继续使用承包人在施工现场的材料、设备、临时工程、承包人文件和由承包人或以其名义编制的其他文件的费用承担方式：</w:t>
      </w:r>
      <w:r>
        <w:rPr>
          <w:rFonts w:hint="eastAsia"/>
          <w:color w:val="auto"/>
          <w:kern w:val="0"/>
          <w:highlight w:val="none"/>
          <w:u w:val="single"/>
        </w:rPr>
        <w:t>双方协商确定</w:t>
      </w:r>
      <w:r>
        <w:rPr>
          <w:rFonts w:hint="eastAsia"/>
          <w:color w:val="auto"/>
          <w:kern w:val="0"/>
          <w:highlight w:val="none"/>
        </w:rPr>
        <w:t>。</w:t>
      </w:r>
    </w:p>
    <w:p>
      <w:pPr>
        <w:pStyle w:val="4"/>
        <w:rPr>
          <w:color w:val="auto"/>
          <w:highlight w:val="none"/>
        </w:rPr>
      </w:pPr>
      <w:bookmarkStart w:id="1434" w:name="_Toc373478416"/>
      <w:bookmarkStart w:id="1435" w:name="_Toc10067"/>
      <w:bookmarkStart w:id="1436" w:name="_Toc66186476"/>
      <w:bookmarkStart w:id="1437" w:name="_Toc351203649"/>
      <w:bookmarkStart w:id="1438" w:name="_Toc407135272"/>
      <w:bookmarkStart w:id="1439" w:name="_Toc389065334"/>
      <w:bookmarkStart w:id="1440" w:name="_Toc373227769"/>
      <w:r>
        <w:rPr>
          <w:color w:val="auto"/>
          <w:highlight w:val="none"/>
        </w:rPr>
        <w:t xml:space="preserve">17. </w:t>
      </w:r>
      <w:r>
        <w:rPr>
          <w:rFonts w:hint="eastAsia" w:hAnsi="宋体" w:cs="黑体"/>
          <w:color w:val="auto"/>
          <w:highlight w:val="none"/>
        </w:rPr>
        <w:t>不可抗力</w:t>
      </w:r>
      <w:bookmarkEnd w:id="1434"/>
      <w:bookmarkEnd w:id="1435"/>
      <w:bookmarkEnd w:id="1436"/>
      <w:bookmarkEnd w:id="1437"/>
      <w:bookmarkEnd w:id="1438"/>
      <w:bookmarkEnd w:id="1439"/>
      <w:bookmarkEnd w:id="1440"/>
      <w:r>
        <w:rPr>
          <w:color w:val="auto"/>
          <w:highlight w:val="none"/>
        </w:rPr>
        <w:t xml:space="preserve"> </w:t>
      </w:r>
      <w:bookmarkEnd w:id="1420"/>
    </w:p>
    <w:p>
      <w:pPr>
        <w:pStyle w:val="5"/>
        <w:rPr>
          <w:color w:val="auto"/>
          <w:highlight w:val="none"/>
        </w:rPr>
      </w:pPr>
      <w:bookmarkStart w:id="1441" w:name="_Toc373227770"/>
      <w:bookmarkStart w:id="1442" w:name="_Toc66186477"/>
      <w:bookmarkStart w:id="1443" w:name="_Toc389065335"/>
      <w:bookmarkStart w:id="1444" w:name="_Toc373478417"/>
      <w:bookmarkStart w:id="1445" w:name="_Toc22445"/>
      <w:bookmarkStart w:id="1446" w:name="_Toc407135273"/>
      <w:r>
        <w:rPr>
          <w:color w:val="auto"/>
          <w:highlight w:val="none"/>
        </w:rPr>
        <w:t xml:space="preserve">17.1 </w:t>
      </w:r>
      <w:r>
        <w:rPr>
          <w:rFonts w:hint="eastAsia" w:cs="黑体"/>
          <w:color w:val="auto"/>
          <w:highlight w:val="none"/>
        </w:rPr>
        <w:t>不可抗力的确认</w:t>
      </w:r>
      <w:bookmarkEnd w:id="1441"/>
      <w:bookmarkEnd w:id="1442"/>
      <w:bookmarkEnd w:id="1443"/>
      <w:bookmarkEnd w:id="1444"/>
      <w:bookmarkEnd w:id="1445"/>
      <w:bookmarkEnd w:id="1446"/>
    </w:p>
    <w:p>
      <w:pPr>
        <w:spacing w:line="360" w:lineRule="auto"/>
        <w:ind w:firstLine="420" w:firstLineChars="200"/>
        <w:jc w:val="left"/>
        <w:rPr>
          <w:color w:val="auto"/>
          <w:kern w:val="0"/>
          <w:highlight w:val="none"/>
          <w:u w:val="single"/>
        </w:rPr>
      </w:pPr>
      <w:r>
        <w:rPr>
          <w:rFonts w:hint="eastAsia" w:hAnsi="宋体" w:cs="宋体"/>
          <w:color w:val="auto"/>
          <w:highlight w:val="none"/>
        </w:rPr>
        <w:t>除通用合同条款约定的不可抗力事件之外，视为不可抗力的其他情形：</w:t>
      </w:r>
      <w:r>
        <w:rPr>
          <w:rFonts w:hint="eastAsia"/>
          <w:color w:val="auto"/>
          <w:kern w:val="0"/>
          <w:highlight w:val="none"/>
          <w:u w:val="single"/>
        </w:rPr>
        <w:t>①6级以上的地震；②6级以上持续一天的大风；③暴雨级以上持续1天的大雨；④50年以上未发生过，持续2天的高温天气；⑤50年以上未发生过，持续2天的低温天气；⑥50年以上未发生过的洪水</w:t>
      </w:r>
      <w:r>
        <w:rPr>
          <w:rFonts w:hint="eastAsia" w:hAnsi="宋体" w:cs="宋体"/>
          <w:color w:val="auto"/>
          <w:kern w:val="0"/>
          <w:highlight w:val="none"/>
        </w:rPr>
        <w:t>。</w:t>
      </w:r>
    </w:p>
    <w:p>
      <w:pPr>
        <w:pStyle w:val="5"/>
        <w:rPr>
          <w:color w:val="auto"/>
          <w:highlight w:val="none"/>
        </w:rPr>
      </w:pPr>
      <w:bookmarkStart w:id="1447" w:name="_Toc373478418"/>
      <w:bookmarkStart w:id="1448" w:name="_Toc373227771"/>
      <w:bookmarkStart w:id="1449" w:name="_Toc407135274"/>
      <w:bookmarkStart w:id="1450" w:name="_Toc3363"/>
      <w:bookmarkStart w:id="1451" w:name="_Toc66186478"/>
      <w:bookmarkStart w:id="1452" w:name="_Toc389065336"/>
      <w:r>
        <w:rPr>
          <w:color w:val="auto"/>
          <w:highlight w:val="none"/>
        </w:rPr>
        <w:t xml:space="preserve">17.4 </w:t>
      </w:r>
      <w:r>
        <w:rPr>
          <w:rFonts w:hint="eastAsia" w:cs="黑体"/>
          <w:color w:val="auto"/>
          <w:highlight w:val="none"/>
        </w:rPr>
        <w:t>因不可抗力解除合同</w:t>
      </w:r>
      <w:bookmarkEnd w:id="1447"/>
      <w:bookmarkEnd w:id="1448"/>
      <w:bookmarkEnd w:id="1449"/>
      <w:bookmarkEnd w:id="1450"/>
      <w:bookmarkEnd w:id="1451"/>
      <w:bookmarkEnd w:id="1452"/>
    </w:p>
    <w:p>
      <w:pPr>
        <w:spacing w:line="360" w:lineRule="auto"/>
        <w:ind w:firstLine="420" w:firstLineChars="200"/>
        <w:jc w:val="left"/>
        <w:rPr>
          <w:color w:val="auto"/>
          <w:highlight w:val="none"/>
        </w:rPr>
      </w:pPr>
      <w:r>
        <w:rPr>
          <w:rFonts w:hint="eastAsia" w:hAnsi="宋体" w:cs="宋体"/>
          <w:color w:val="auto"/>
          <w:highlight w:val="none"/>
        </w:rPr>
        <w:t>合同解除后，发包人应在商定或确定发包人应支付款项后</w:t>
      </w:r>
      <w:r>
        <w:rPr>
          <w:color w:val="auto"/>
          <w:highlight w:val="none"/>
          <w:u w:val="single"/>
        </w:rPr>
        <w:t xml:space="preserve"> 30 </w:t>
      </w:r>
      <w:r>
        <w:rPr>
          <w:rFonts w:hint="eastAsia" w:hAnsi="宋体" w:cs="宋体"/>
          <w:color w:val="auto"/>
          <w:highlight w:val="none"/>
        </w:rPr>
        <w:t>天内完成款项的支付。</w:t>
      </w:r>
    </w:p>
    <w:p>
      <w:pPr>
        <w:pStyle w:val="4"/>
        <w:rPr>
          <w:color w:val="auto"/>
          <w:highlight w:val="none"/>
        </w:rPr>
      </w:pPr>
      <w:bookmarkStart w:id="1453" w:name="_Toc389065337"/>
      <w:bookmarkStart w:id="1454" w:name="_Toc373478419"/>
      <w:bookmarkStart w:id="1455" w:name="_Toc373227772"/>
      <w:bookmarkStart w:id="1456" w:name="_Toc66186479"/>
      <w:bookmarkStart w:id="1457" w:name="_Toc19238"/>
      <w:bookmarkStart w:id="1458" w:name="_Toc351203650"/>
      <w:bookmarkStart w:id="1459" w:name="_Toc407135275"/>
      <w:r>
        <w:rPr>
          <w:color w:val="auto"/>
          <w:highlight w:val="none"/>
        </w:rPr>
        <w:t xml:space="preserve">18. </w:t>
      </w:r>
      <w:r>
        <w:rPr>
          <w:rFonts w:hint="eastAsia" w:hAnsi="宋体" w:cs="黑体"/>
          <w:color w:val="auto"/>
          <w:highlight w:val="none"/>
        </w:rPr>
        <w:t>保险</w:t>
      </w:r>
      <w:bookmarkEnd w:id="1453"/>
      <w:bookmarkEnd w:id="1454"/>
      <w:bookmarkEnd w:id="1455"/>
      <w:bookmarkEnd w:id="1456"/>
      <w:bookmarkEnd w:id="1457"/>
      <w:bookmarkEnd w:id="1458"/>
      <w:bookmarkEnd w:id="1459"/>
    </w:p>
    <w:bookmarkEnd w:id="1421"/>
    <w:p>
      <w:pPr>
        <w:pStyle w:val="5"/>
        <w:rPr>
          <w:color w:val="auto"/>
          <w:highlight w:val="none"/>
        </w:rPr>
      </w:pPr>
      <w:bookmarkStart w:id="1460" w:name="_Toc66186480"/>
      <w:bookmarkStart w:id="1461" w:name="_Toc8222"/>
      <w:bookmarkStart w:id="1462" w:name="_Toc373227773"/>
      <w:bookmarkStart w:id="1463" w:name="_Toc389065338"/>
      <w:bookmarkStart w:id="1464" w:name="_Toc373478420"/>
      <w:bookmarkStart w:id="1465" w:name="_Toc407135276"/>
      <w:r>
        <w:rPr>
          <w:color w:val="auto"/>
          <w:highlight w:val="none"/>
        </w:rPr>
        <w:t xml:space="preserve">18.1 </w:t>
      </w:r>
      <w:r>
        <w:rPr>
          <w:rFonts w:hint="eastAsia" w:hAnsi="宋体" w:cs="黑体"/>
          <w:color w:val="auto"/>
          <w:highlight w:val="none"/>
        </w:rPr>
        <w:t>工程保险</w:t>
      </w:r>
      <w:bookmarkEnd w:id="1460"/>
      <w:bookmarkEnd w:id="1461"/>
      <w:bookmarkEnd w:id="1462"/>
      <w:bookmarkEnd w:id="1463"/>
      <w:bookmarkEnd w:id="1464"/>
      <w:bookmarkEnd w:id="1465"/>
    </w:p>
    <w:p>
      <w:pPr>
        <w:spacing w:line="360" w:lineRule="auto"/>
        <w:ind w:firstLine="420" w:firstLineChars="200"/>
        <w:jc w:val="left"/>
        <w:rPr>
          <w:color w:val="auto"/>
          <w:highlight w:val="none"/>
        </w:rPr>
      </w:pPr>
      <w:r>
        <w:rPr>
          <w:rFonts w:hint="eastAsia" w:hAnsi="宋体" w:cs="宋体"/>
          <w:color w:val="auto"/>
          <w:highlight w:val="none"/>
        </w:rPr>
        <w:t>关于工程保险的特别约定：</w:t>
      </w:r>
      <w:r>
        <w:rPr>
          <w:color w:val="auto"/>
          <w:highlight w:val="none"/>
          <w:u w:val="single"/>
        </w:rPr>
        <w:t>承包人应为其在施工现场工作的全部员工办理建设工程意外伤害险</w:t>
      </w:r>
      <w:r>
        <w:rPr>
          <w:rFonts w:hint="eastAsia" w:hAnsi="宋体" w:cs="宋体"/>
          <w:color w:val="auto"/>
          <w:kern w:val="0"/>
          <w:highlight w:val="none"/>
        </w:rPr>
        <w:t>。</w:t>
      </w:r>
    </w:p>
    <w:p>
      <w:pPr>
        <w:pStyle w:val="5"/>
        <w:rPr>
          <w:color w:val="auto"/>
          <w:highlight w:val="none"/>
        </w:rPr>
      </w:pPr>
      <w:bookmarkStart w:id="1466" w:name="_Toc373478421"/>
      <w:bookmarkStart w:id="1467" w:name="_Toc389065339"/>
      <w:bookmarkStart w:id="1468" w:name="_Toc13729"/>
      <w:bookmarkStart w:id="1469" w:name="_Toc373227774"/>
      <w:bookmarkStart w:id="1470" w:name="_Toc407135277"/>
      <w:bookmarkStart w:id="1471" w:name="_Toc66186481"/>
      <w:r>
        <w:rPr>
          <w:color w:val="auto"/>
          <w:highlight w:val="none"/>
        </w:rPr>
        <w:t xml:space="preserve">18.3 </w:t>
      </w:r>
      <w:r>
        <w:rPr>
          <w:rFonts w:hint="eastAsia" w:hAnsi="宋体" w:cs="黑体"/>
          <w:color w:val="auto"/>
          <w:highlight w:val="none"/>
        </w:rPr>
        <w:t>其他保险</w:t>
      </w:r>
      <w:bookmarkEnd w:id="1466"/>
      <w:bookmarkEnd w:id="1467"/>
      <w:bookmarkEnd w:id="1468"/>
      <w:bookmarkEnd w:id="1469"/>
      <w:bookmarkEnd w:id="1470"/>
      <w:bookmarkEnd w:id="1471"/>
    </w:p>
    <w:p>
      <w:pPr>
        <w:spacing w:line="360" w:lineRule="auto"/>
        <w:ind w:firstLine="420" w:firstLineChars="200"/>
        <w:jc w:val="left"/>
        <w:rPr>
          <w:color w:val="auto"/>
          <w:kern w:val="0"/>
          <w:highlight w:val="none"/>
        </w:rPr>
      </w:pPr>
      <w:r>
        <w:rPr>
          <w:rFonts w:hint="eastAsia" w:hAnsi="宋体" w:cs="宋体"/>
          <w:color w:val="auto"/>
          <w:highlight w:val="none"/>
        </w:rPr>
        <w:t>关于其他保险的约定：</w:t>
      </w:r>
      <w:r>
        <w:rPr>
          <w:rFonts w:hint="eastAsia" w:ascii="宋体" w:hAnsi="宋体"/>
          <w:color w:val="auto"/>
          <w:highlight w:val="none"/>
          <w:u w:val="single"/>
        </w:rPr>
        <w:t>承包人必须为施工现场从事施工的所有作业人员和管理人员办理意外伤害保险，并支付保险费</w:t>
      </w:r>
      <w:r>
        <w:rPr>
          <w:rFonts w:hint="eastAsia" w:hAnsi="宋体" w:cs="宋体"/>
          <w:color w:val="auto"/>
          <w:highlight w:val="none"/>
        </w:rPr>
        <w:t>。</w:t>
      </w:r>
    </w:p>
    <w:p>
      <w:pPr>
        <w:spacing w:line="360" w:lineRule="auto"/>
        <w:ind w:firstLine="420" w:firstLineChars="200"/>
        <w:jc w:val="left"/>
        <w:rPr>
          <w:color w:val="auto"/>
          <w:highlight w:val="none"/>
          <w:u w:val="single"/>
        </w:rPr>
      </w:pPr>
      <w:r>
        <w:rPr>
          <w:rFonts w:hint="eastAsia" w:hAnsi="宋体" w:cs="宋体"/>
          <w:color w:val="auto"/>
          <w:highlight w:val="none"/>
        </w:rPr>
        <w:t>承包人是否应为其施工设备等办理财产保险：</w:t>
      </w:r>
      <w:r>
        <w:rPr>
          <w:rFonts w:hint="eastAsia" w:hAnsi="宋体" w:cs="宋体"/>
          <w:color w:val="auto"/>
          <w:highlight w:val="none"/>
          <w:u w:val="single"/>
        </w:rPr>
        <w:t>按</w:t>
      </w:r>
      <w:r>
        <w:rPr>
          <w:rFonts w:hint="eastAsia" w:ascii="宋体" w:hAnsi="宋体"/>
          <w:color w:val="auto"/>
          <w:highlight w:val="none"/>
          <w:u w:val="single"/>
        </w:rPr>
        <w:t>通用条款18.3条执行</w:t>
      </w:r>
      <w:r>
        <w:rPr>
          <w:rFonts w:hint="eastAsia" w:hAnsi="宋体" w:cs="宋体"/>
          <w:color w:val="auto"/>
          <w:highlight w:val="none"/>
        </w:rPr>
        <w:t>。</w:t>
      </w:r>
    </w:p>
    <w:p>
      <w:pPr>
        <w:pStyle w:val="5"/>
        <w:rPr>
          <w:color w:val="auto"/>
          <w:highlight w:val="none"/>
        </w:rPr>
      </w:pPr>
      <w:bookmarkStart w:id="1472" w:name="_Toc13189"/>
      <w:bookmarkStart w:id="1473" w:name="_Toc389065340"/>
      <w:bookmarkStart w:id="1474" w:name="_Toc373227775"/>
      <w:bookmarkStart w:id="1475" w:name="_Toc407135278"/>
      <w:bookmarkStart w:id="1476" w:name="_Toc66186482"/>
      <w:bookmarkStart w:id="1477" w:name="_Toc373478422"/>
      <w:r>
        <w:rPr>
          <w:color w:val="auto"/>
          <w:highlight w:val="none"/>
        </w:rPr>
        <w:t xml:space="preserve">18.7 </w:t>
      </w:r>
      <w:r>
        <w:rPr>
          <w:rFonts w:hint="eastAsia" w:hAnsi="宋体" w:cs="黑体"/>
          <w:color w:val="auto"/>
          <w:highlight w:val="none"/>
        </w:rPr>
        <w:t>通知义务</w:t>
      </w:r>
      <w:bookmarkEnd w:id="1472"/>
      <w:bookmarkEnd w:id="1473"/>
      <w:bookmarkEnd w:id="1474"/>
      <w:bookmarkEnd w:id="1475"/>
      <w:bookmarkEnd w:id="1476"/>
      <w:bookmarkEnd w:id="1477"/>
    </w:p>
    <w:p>
      <w:pPr>
        <w:spacing w:line="360" w:lineRule="auto"/>
        <w:ind w:firstLine="420" w:firstLineChars="200"/>
        <w:jc w:val="left"/>
        <w:rPr>
          <w:color w:val="auto"/>
          <w:highlight w:val="none"/>
          <w:u w:val="single"/>
        </w:rPr>
      </w:pPr>
      <w:r>
        <w:rPr>
          <w:rFonts w:hint="eastAsia" w:hAnsi="宋体" w:cs="宋体"/>
          <w:color w:val="auto"/>
          <w:kern w:val="0"/>
          <w:highlight w:val="none"/>
        </w:rPr>
        <w:t>关于变更保险合同时的通知义务的约定：</w:t>
      </w:r>
      <w:r>
        <w:rPr>
          <w:rFonts w:hint="eastAsia" w:ascii="宋体" w:hAnsi="宋体"/>
          <w:color w:val="auto"/>
          <w:highlight w:val="none"/>
          <w:u w:val="single"/>
        </w:rPr>
        <w:t xml:space="preserve"> </w:t>
      </w:r>
      <w:r>
        <w:rPr>
          <w:rFonts w:ascii="宋体" w:hAnsi="宋体"/>
          <w:color w:val="auto"/>
          <w:highlight w:val="none"/>
          <w:u w:val="single"/>
        </w:rPr>
        <w:t xml:space="preserve"> /  </w:t>
      </w:r>
      <w:r>
        <w:rPr>
          <w:rFonts w:hint="eastAsia" w:hAnsi="宋体" w:cs="宋体"/>
          <w:color w:val="auto"/>
          <w:highlight w:val="none"/>
        </w:rPr>
        <w:t>。</w:t>
      </w:r>
    </w:p>
    <w:bookmarkEnd w:id="1373"/>
    <w:bookmarkEnd w:id="1374"/>
    <w:bookmarkEnd w:id="1375"/>
    <w:bookmarkEnd w:id="1376"/>
    <w:bookmarkEnd w:id="1377"/>
    <w:bookmarkEnd w:id="1378"/>
    <w:bookmarkEnd w:id="1379"/>
    <w:bookmarkEnd w:id="1380"/>
    <w:bookmarkEnd w:id="1381"/>
    <w:bookmarkEnd w:id="1382"/>
    <w:bookmarkEnd w:id="1383"/>
    <w:bookmarkEnd w:id="1384"/>
    <w:p>
      <w:pPr>
        <w:pStyle w:val="4"/>
        <w:rPr>
          <w:color w:val="auto"/>
          <w:highlight w:val="none"/>
        </w:rPr>
      </w:pPr>
      <w:bookmarkStart w:id="1478" w:name="_Toc373227776"/>
      <w:bookmarkStart w:id="1479" w:name="_Toc351203651"/>
      <w:bookmarkStart w:id="1480" w:name="_Toc389065341"/>
      <w:bookmarkStart w:id="1481" w:name="_Toc373478423"/>
      <w:bookmarkStart w:id="1482" w:name="_Toc407135279"/>
      <w:bookmarkStart w:id="1483" w:name="_Toc19325"/>
      <w:bookmarkStart w:id="1484" w:name="_Toc66186483"/>
      <w:r>
        <w:rPr>
          <w:color w:val="auto"/>
          <w:highlight w:val="none"/>
        </w:rPr>
        <w:t xml:space="preserve">20. </w:t>
      </w:r>
      <w:r>
        <w:rPr>
          <w:rFonts w:hint="eastAsia" w:hAnsi="宋体" w:cs="黑体"/>
          <w:color w:val="auto"/>
          <w:highlight w:val="none"/>
        </w:rPr>
        <w:t>争议解决</w:t>
      </w:r>
      <w:bookmarkEnd w:id="1478"/>
      <w:bookmarkEnd w:id="1479"/>
      <w:bookmarkEnd w:id="1480"/>
      <w:bookmarkEnd w:id="1481"/>
      <w:bookmarkEnd w:id="1482"/>
      <w:bookmarkEnd w:id="1483"/>
      <w:bookmarkEnd w:id="1484"/>
    </w:p>
    <w:bookmarkEnd w:id="1385"/>
    <w:bookmarkEnd w:id="1386"/>
    <w:p>
      <w:pPr>
        <w:pStyle w:val="5"/>
        <w:rPr>
          <w:color w:val="auto"/>
          <w:highlight w:val="none"/>
        </w:rPr>
      </w:pPr>
      <w:bookmarkStart w:id="1485" w:name="_Toc373478424"/>
      <w:bookmarkStart w:id="1486" w:name="_Toc10199"/>
      <w:bookmarkStart w:id="1487" w:name="_Toc389065342"/>
      <w:bookmarkStart w:id="1488" w:name="_Toc66186484"/>
      <w:bookmarkStart w:id="1489" w:name="_Toc407135280"/>
      <w:bookmarkStart w:id="1490" w:name="_Toc373227777"/>
      <w:r>
        <w:rPr>
          <w:color w:val="auto"/>
          <w:highlight w:val="none"/>
        </w:rPr>
        <w:t xml:space="preserve">20.3 </w:t>
      </w:r>
      <w:r>
        <w:rPr>
          <w:rFonts w:hint="eastAsia" w:hAnsi="宋体" w:cs="黑体"/>
          <w:color w:val="auto"/>
          <w:highlight w:val="none"/>
        </w:rPr>
        <w:t>争</w:t>
      </w:r>
      <w:bookmarkEnd w:id="1387"/>
      <w:r>
        <w:rPr>
          <w:rFonts w:hint="eastAsia" w:hAnsi="宋体" w:cs="黑体"/>
          <w:color w:val="auto"/>
          <w:highlight w:val="none"/>
        </w:rPr>
        <w:t>议评审</w:t>
      </w:r>
      <w:bookmarkEnd w:id="1485"/>
      <w:bookmarkEnd w:id="1486"/>
      <w:bookmarkEnd w:id="1487"/>
      <w:bookmarkEnd w:id="1488"/>
      <w:bookmarkEnd w:id="1489"/>
      <w:bookmarkEnd w:id="1490"/>
    </w:p>
    <w:p>
      <w:pPr>
        <w:spacing w:line="360" w:lineRule="auto"/>
        <w:ind w:left="149" w:leftChars="71" w:firstLine="315" w:firstLineChars="150"/>
        <w:jc w:val="left"/>
        <w:rPr>
          <w:color w:val="auto"/>
          <w:highlight w:val="none"/>
          <w:u w:val="single"/>
        </w:rPr>
      </w:pPr>
      <w:r>
        <w:rPr>
          <w:rFonts w:hint="eastAsia" w:hAnsi="宋体" w:cs="宋体"/>
          <w:color w:val="auto"/>
          <w:highlight w:val="none"/>
        </w:rPr>
        <w:t>合同当事人是否同意将工程争议提交争议评审小组决定：</w:t>
      </w:r>
      <w:r>
        <w:rPr>
          <w:rFonts w:hint="eastAsia" w:ascii="宋体" w:hAnsi="宋体"/>
          <w:color w:val="auto"/>
          <w:highlight w:val="none"/>
          <w:u w:val="single"/>
        </w:rPr>
        <w:t>否</w:t>
      </w:r>
      <w:r>
        <w:rPr>
          <w:rFonts w:hint="eastAsia" w:hAnsi="宋体" w:cs="宋体"/>
          <w:color w:val="auto"/>
          <w:highlight w:val="none"/>
        </w:rPr>
        <w:t>。</w:t>
      </w:r>
    </w:p>
    <w:p>
      <w:pPr>
        <w:rPr>
          <w:color w:val="auto"/>
          <w:highlight w:val="none"/>
        </w:rPr>
      </w:pPr>
      <w:r>
        <w:rPr>
          <w:color w:val="auto"/>
          <w:highlight w:val="none"/>
        </w:rPr>
        <w:t xml:space="preserve">20.3.1 </w:t>
      </w:r>
      <w:r>
        <w:rPr>
          <w:rFonts w:hint="eastAsia" w:hAnsi="宋体" w:cs="宋体"/>
          <w:color w:val="auto"/>
          <w:highlight w:val="none"/>
        </w:rPr>
        <w:t>争议评审小组的确定</w:t>
      </w:r>
    </w:p>
    <w:p>
      <w:pPr>
        <w:spacing w:line="360" w:lineRule="auto"/>
        <w:ind w:firstLine="420" w:firstLineChars="200"/>
        <w:jc w:val="left"/>
        <w:rPr>
          <w:color w:val="auto"/>
          <w:highlight w:val="none"/>
          <w:u w:val="single"/>
        </w:rPr>
      </w:pPr>
      <w:r>
        <w:rPr>
          <w:rFonts w:hint="eastAsia" w:hAnsi="宋体" w:cs="宋体"/>
          <w:color w:val="auto"/>
          <w:highlight w:val="none"/>
        </w:rPr>
        <w:t>争议评审小组成员的确定：</w:t>
      </w:r>
      <w:r>
        <w:rPr>
          <w:rFonts w:hint="eastAsia"/>
          <w:color w:val="auto"/>
          <w:highlight w:val="none"/>
          <w:u w:val="single"/>
        </w:rPr>
        <w:t>/</w:t>
      </w:r>
      <w:r>
        <w:rPr>
          <w:rFonts w:hint="eastAsia" w:hAnsi="宋体" w:cs="宋体"/>
          <w:color w:val="auto"/>
          <w:highlight w:val="none"/>
        </w:rPr>
        <w:t>。</w:t>
      </w:r>
    </w:p>
    <w:p>
      <w:pPr>
        <w:spacing w:line="360" w:lineRule="auto"/>
        <w:ind w:firstLine="420" w:firstLineChars="200"/>
        <w:jc w:val="left"/>
        <w:rPr>
          <w:color w:val="auto"/>
          <w:highlight w:val="none"/>
        </w:rPr>
      </w:pPr>
      <w:r>
        <w:rPr>
          <w:rFonts w:hint="eastAsia" w:hAnsi="宋体" w:cs="宋体"/>
          <w:color w:val="auto"/>
          <w:highlight w:val="none"/>
        </w:rPr>
        <w:t>选定争议评审员的期限：</w:t>
      </w:r>
      <w:r>
        <w:rPr>
          <w:color w:val="auto"/>
          <w:highlight w:val="none"/>
          <w:u w:val="single"/>
        </w:rPr>
        <w:t>/</w:t>
      </w:r>
      <w:r>
        <w:rPr>
          <w:rFonts w:hint="eastAsia" w:hAnsi="宋体" w:cs="宋体"/>
          <w:color w:val="auto"/>
          <w:highlight w:val="none"/>
        </w:rPr>
        <w:t>。</w:t>
      </w:r>
    </w:p>
    <w:p>
      <w:pPr>
        <w:spacing w:line="360" w:lineRule="auto"/>
        <w:ind w:firstLine="420" w:firstLineChars="200"/>
        <w:jc w:val="left"/>
        <w:rPr>
          <w:color w:val="auto"/>
          <w:highlight w:val="none"/>
        </w:rPr>
      </w:pPr>
      <w:r>
        <w:rPr>
          <w:rFonts w:hint="eastAsia" w:hAnsi="宋体" w:cs="宋体"/>
          <w:color w:val="auto"/>
          <w:highlight w:val="none"/>
        </w:rPr>
        <w:t>争议评审小组成员的报酬承担方式：</w:t>
      </w:r>
      <w:r>
        <w:rPr>
          <w:color w:val="auto"/>
          <w:highlight w:val="none"/>
          <w:u w:val="single"/>
        </w:rPr>
        <w:t xml:space="preserve">/ </w:t>
      </w:r>
      <w:r>
        <w:rPr>
          <w:rFonts w:hint="eastAsia" w:hAnsi="宋体" w:cs="宋体"/>
          <w:color w:val="auto"/>
          <w:highlight w:val="none"/>
        </w:rPr>
        <w:t>。</w:t>
      </w:r>
    </w:p>
    <w:p>
      <w:pPr>
        <w:spacing w:line="360" w:lineRule="auto"/>
        <w:ind w:firstLine="420" w:firstLineChars="200"/>
        <w:jc w:val="left"/>
        <w:rPr>
          <w:color w:val="auto"/>
          <w:highlight w:val="none"/>
        </w:rPr>
      </w:pPr>
      <w:r>
        <w:rPr>
          <w:rFonts w:hint="eastAsia" w:hAnsi="宋体" w:cs="宋体"/>
          <w:color w:val="auto"/>
          <w:highlight w:val="none"/>
        </w:rPr>
        <w:t>其他事项的约定：</w:t>
      </w:r>
      <w:r>
        <w:rPr>
          <w:color w:val="auto"/>
          <w:highlight w:val="none"/>
          <w:u w:val="single"/>
        </w:rPr>
        <w:t>/</w:t>
      </w:r>
      <w:r>
        <w:rPr>
          <w:rFonts w:hint="eastAsia" w:hAnsi="宋体" w:cs="宋体"/>
          <w:color w:val="auto"/>
          <w:highlight w:val="none"/>
        </w:rPr>
        <w:t>。</w:t>
      </w:r>
    </w:p>
    <w:p>
      <w:pPr>
        <w:autoSpaceDE w:val="0"/>
        <w:autoSpaceDN w:val="0"/>
        <w:adjustRightInd w:val="0"/>
        <w:spacing w:line="360" w:lineRule="auto"/>
        <w:ind w:firstLine="420" w:firstLineChars="200"/>
        <w:jc w:val="left"/>
        <w:rPr>
          <w:color w:val="auto"/>
          <w:kern w:val="0"/>
          <w:highlight w:val="none"/>
        </w:rPr>
      </w:pPr>
      <w:r>
        <w:rPr>
          <w:color w:val="auto"/>
          <w:kern w:val="0"/>
          <w:highlight w:val="none"/>
        </w:rPr>
        <w:t xml:space="preserve">20.3.2 </w:t>
      </w:r>
      <w:r>
        <w:rPr>
          <w:rFonts w:hint="eastAsia" w:hAnsi="宋体" w:cs="宋体"/>
          <w:color w:val="auto"/>
          <w:kern w:val="0"/>
          <w:highlight w:val="none"/>
        </w:rPr>
        <w:t>争议评审小组的决定</w:t>
      </w:r>
    </w:p>
    <w:p>
      <w:pPr>
        <w:spacing w:line="360" w:lineRule="auto"/>
        <w:ind w:firstLine="420" w:firstLineChars="200"/>
        <w:jc w:val="left"/>
        <w:rPr>
          <w:color w:val="auto"/>
          <w:highlight w:val="none"/>
        </w:rPr>
      </w:pPr>
      <w:r>
        <w:rPr>
          <w:rFonts w:hint="eastAsia" w:hAnsi="宋体" w:cs="宋体"/>
          <w:color w:val="auto"/>
          <w:highlight w:val="none"/>
        </w:rPr>
        <w:t>合同当事人关于本项的约定：</w:t>
      </w:r>
      <w:r>
        <w:rPr>
          <w:color w:val="auto"/>
          <w:highlight w:val="none"/>
          <w:u w:val="single"/>
        </w:rPr>
        <w:t>/</w:t>
      </w:r>
      <w:r>
        <w:rPr>
          <w:rFonts w:hint="eastAsia" w:hAnsi="宋体" w:cs="宋体"/>
          <w:color w:val="auto"/>
          <w:highlight w:val="none"/>
        </w:rPr>
        <w:t>。</w:t>
      </w:r>
    </w:p>
    <w:p>
      <w:pPr>
        <w:pStyle w:val="5"/>
        <w:rPr>
          <w:color w:val="auto"/>
          <w:highlight w:val="none"/>
        </w:rPr>
      </w:pPr>
      <w:bookmarkStart w:id="1491" w:name="_Toc389065343"/>
      <w:bookmarkStart w:id="1492" w:name="_Toc373227778"/>
      <w:bookmarkStart w:id="1493" w:name="_Toc373478425"/>
      <w:bookmarkStart w:id="1494" w:name="_Toc23154"/>
      <w:bookmarkStart w:id="1495" w:name="_Toc66186485"/>
      <w:bookmarkStart w:id="1496" w:name="_Toc407135281"/>
      <w:r>
        <w:rPr>
          <w:color w:val="auto"/>
          <w:highlight w:val="none"/>
        </w:rPr>
        <w:t xml:space="preserve">20.4 </w:t>
      </w:r>
      <w:r>
        <w:rPr>
          <w:rFonts w:hint="eastAsia" w:hAnsi="宋体" w:cs="黑体"/>
          <w:color w:val="auto"/>
          <w:highlight w:val="none"/>
        </w:rPr>
        <w:t>仲裁或诉讼</w:t>
      </w:r>
      <w:bookmarkEnd w:id="1388"/>
      <w:bookmarkEnd w:id="1491"/>
      <w:bookmarkEnd w:id="1492"/>
      <w:bookmarkEnd w:id="1493"/>
      <w:bookmarkEnd w:id="1494"/>
      <w:bookmarkEnd w:id="1495"/>
      <w:bookmarkEnd w:id="1496"/>
    </w:p>
    <w:p>
      <w:pPr>
        <w:spacing w:line="360" w:lineRule="auto"/>
        <w:ind w:firstLine="420" w:firstLineChars="200"/>
        <w:rPr>
          <w:color w:val="auto"/>
          <w:highlight w:val="none"/>
        </w:rPr>
      </w:pPr>
      <w:r>
        <w:rPr>
          <w:rFonts w:hint="eastAsia" w:hAnsi="宋体" w:cs="宋体"/>
          <w:color w:val="auto"/>
          <w:highlight w:val="none"/>
        </w:rPr>
        <w:t>因合同及合同有关事项发生的争议，按下列第</w:t>
      </w:r>
      <w:r>
        <w:rPr>
          <w:color w:val="auto"/>
          <w:highlight w:val="none"/>
          <w:u w:val="single"/>
        </w:rPr>
        <w:t xml:space="preserve"> 2 </w:t>
      </w:r>
      <w:r>
        <w:rPr>
          <w:rFonts w:hint="eastAsia" w:hAnsi="宋体" w:cs="宋体"/>
          <w:color w:val="auto"/>
          <w:highlight w:val="none"/>
        </w:rPr>
        <w:t>种方式解决：</w:t>
      </w:r>
    </w:p>
    <w:p>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1</w:t>
      </w:r>
      <w:r>
        <w:rPr>
          <w:rFonts w:hint="eastAsia" w:hAnsi="宋体" w:cs="宋体"/>
          <w:color w:val="auto"/>
          <w:highlight w:val="none"/>
        </w:rPr>
        <w:t>）提请</w:t>
      </w:r>
      <w:r>
        <w:rPr>
          <w:color w:val="auto"/>
          <w:highlight w:val="none"/>
          <w:u w:val="single"/>
        </w:rPr>
        <w:t xml:space="preserve"> / </w:t>
      </w:r>
      <w:r>
        <w:rPr>
          <w:rFonts w:hint="eastAsia" w:hAnsi="宋体" w:cs="宋体"/>
          <w:color w:val="auto"/>
          <w:highlight w:val="none"/>
        </w:rPr>
        <w:t>仲裁委员会按照该会仲裁规则进行仲裁，仲裁裁决是终局的，对合同双方均有约束力。</w:t>
      </w:r>
    </w:p>
    <w:p>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）向</w:t>
      </w:r>
      <w:r>
        <w:rPr>
          <w:color w:val="auto"/>
          <w:highlight w:val="none"/>
          <w:u w:val="single"/>
        </w:rPr>
        <w:t xml:space="preserve"> </w:t>
      </w:r>
      <w:r>
        <w:rPr>
          <w:rFonts w:hint="eastAsia"/>
          <w:color w:val="auto"/>
          <w:highlight w:val="none"/>
          <w:u w:val="single"/>
        </w:rPr>
        <w:t>工程项目所在地</w:t>
      </w:r>
      <w:r>
        <w:rPr>
          <w:rFonts w:hint="eastAsia" w:hAnsi="宋体" w:cs="宋体"/>
          <w:color w:val="auto"/>
          <w:highlight w:val="none"/>
        </w:rPr>
        <w:t>人民法院起诉。</w:t>
      </w:r>
      <w:bookmarkEnd w:id="1389"/>
      <w:bookmarkEnd w:id="1390"/>
      <w:bookmarkEnd w:id="1391"/>
      <w:bookmarkEnd w:id="1392"/>
      <w:bookmarkEnd w:id="1393"/>
      <w:bookmarkEnd w:id="1394"/>
    </w:p>
    <w:p>
      <w:pPr>
        <w:spacing w:line="360" w:lineRule="auto"/>
        <w:jc w:val="left"/>
        <w:rPr>
          <w:rFonts w:eastAsia="黑体"/>
          <w:b/>
          <w:color w:val="auto"/>
          <w:sz w:val="28"/>
          <w:szCs w:val="28"/>
          <w:highlight w:val="none"/>
        </w:rPr>
      </w:pPr>
      <w:bookmarkStart w:id="1497" w:name="_Toc351203652"/>
      <w:r>
        <w:rPr>
          <w:rFonts w:hint="eastAsia" w:eastAsia="黑体" w:cs="黑体"/>
          <w:b/>
          <w:color w:val="auto"/>
          <w:sz w:val="28"/>
          <w:szCs w:val="28"/>
          <w:highlight w:val="none"/>
        </w:rPr>
        <w:t>附件</w:t>
      </w:r>
      <w:bookmarkEnd w:id="1497"/>
    </w:p>
    <w:p>
      <w:pPr>
        <w:spacing w:line="360" w:lineRule="auto"/>
        <w:jc w:val="left"/>
        <w:rPr>
          <w:rFonts w:ascii="宋体" w:hAnsi="宋体" w:cs="宋体"/>
          <w:color w:val="auto"/>
          <w:highlight w:val="none"/>
        </w:rPr>
      </w:pPr>
      <w:r>
        <w:rPr>
          <w:rFonts w:hint="eastAsia" w:ascii="宋体" w:hAnsi="宋体" w:cs="宋体"/>
          <w:color w:val="auto"/>
          <w:highlight w:val="none"/>
        </w:rPr>
        <w:t>附件</w:t>
      </w:r>
      <w:r>
        <w:rPr>
          <w:rFonts w:ascii="宋体" w:hAnsi="宋体" w:cs="宋体"/>
          <w:color w:val="auto"/>
          <w:highlight w:val="none"/>
        </w:rPr>
        <w:t>1</w:t>
      </w:r>
      <w:r>
        <w:rPr>
          <w:rFonts w:hint="eastAsia" w:ascii="宋体" w:hAnsi="宋体" w:cs="宋体"/>
          <w:color w:val="auto"/>
          <w:highlight w:val="none"/>
        </w:rPr>
        <w:t>：承包人承揽工程项目一览表</w:t>
      </w:r>
    </w:p>
    <w:p>
      <w:pPr>
        <w:spacing w:line="360" w:lineRule="auto"/>
        <w:jc w:val="left"/>
        <w:rPr>
          <w:rFonts w:ascii="宋体" w:hAnsi="宋体" w:cs="宋体"/>
          <w:color w:val="auto"/>
          <w:highlight w:val="none"/>
        </w:rPr>
      </w:pPr>
      <w:r>
        <w:rPr>
          <w:rFonts w:hint="eastAsia" w:ascii="宋体" w:hAnsi="宋体" w:cs="宋体"/>
          <w:color w:val="auto"/>
          <w:highlight w:val="none"/>
        </w:rPr>
        <w:t>附件2：工程质量保修书</w:t>
      </w:r>
    </w:p>
    <w:p>
      <w:pPr>
        <w:spacing w:line="360" w:lineRule="auto"/>
        <w:jc w:val="left"/>
        <w:rPr>
          <w:rFonts w:ascii="宋体" w:hAnsi="宋体" w:cs="宋体"/>
          <w:color w:val="auto"/>
          <w:highlight w:val="none"/>
        </w:rPr>
      </w:pPr>
      <w:r>
        <w:rPr>
          <w:rFonts w:ascii="宋体" w:hAnsi="宋体" w:cs="宋体"/>
          <w:color w:val="auto"/>
          <w:highlight w:val="none"/>
        </w:rPr>
        <w:t>附件</w:t>
      </w:r>
      <w:r>
        <w:rPr>
          <w:rFonts w:hint="eastAsia" w:ascii="宋体" w:hAnsi="宋体" w:cs="宋体"/>
          <w:color w:val="auto"/>
          <w:highlight w:val="none"/>
        </w:rPr>
        <w:t>3</w:t>
      </w:r>
      <w:r>
        <w:rPr>
          <w:rFonts w:ascii="宋体" w:hAnsi="宋体" w:cs="宋体"/>
          <w:color w:val="auto"/>
          <w:highlight w:val="none"/>
        </w:rPr>
        <w:t>：主要建设工程文件目录</w:t>
      </w:r>
    </w:p>
    <w:p>
      <w:pPr>
        <w:spacing w:line="360" w:lineRule="auto"/>
        <w:jc w:val="left"/>
        <w:rPr>
          <w:rFonts w:ascii="宋体" w:hAnsi="宋体" w:cs="宋体"/>
          <w:color w:val="auto"/>
          <w:highlight w:val="none"/>
        </w:rPr>
      </w:pPr>
      <w:r>
        <w:rPr>
          <w:rFonts w:hint="eastAsia" w:ascii="宋体" w:hAnsi="宋体" w:cs="宋体"/>
          <w:color w:val="auto"/>
          <w:highlight w:val="none"/>
        </w:rPr>
        <w:t>附件4：承包人用于本工程施工的机械设备表</w:t>
      </w:r>
    </w:p>
    <w:p>
      <w:pPr>
        <w:spacing w:line="360" w:lineRule="auto"/>
        <w:jc w:val="left"/>
        <w:rPr>
          <w:rFonts w:ascii="宋体"/>
          <w:color w:val="auto"/>
          <w:highlight w:val="none"/>
        </w:rPr>
      </w:pPr>
      <w:r>
        <w:rPr>
          <w:rFonts w:hint="eastAsia" w:ascii="宋体" w:hAnsi="宋体" w:cs="宋体"/>
          <w:color w:val="auto"/>
          <w:highlight w:val="none"/>
        </w:rPr>
        <w:t>附件5：承包人主要施工管理人员表</w:t>
      </w:r>
    </w:p>
    <w:p>
      <w:pPr>
        <w:spacing w:line="360" w:lineRule="auto"/>
        <w:jc w:val="left"/>
        <w:rPr>
          <w:rFonts w:ascii="宋体"/>
          <w:color w:val="auto"/>
          <w:highlight w:val="none"/>
        </w:rPr>
      </w:pPr>
      <w:r>
        <w:rPr>
          <w:rFonts w:hint="eastAsia" w:ascii="宋体" w:hAnsi="宋体" w:cs="宋体"/>
          <w:color w:val="auto"/>
          <w:highlight w:val="none"/>
        </w:rPr>
        <w:t>附件6：分包人主要施工管理人员表</w:t>
      </w:r>
    </w:p>
    <w:p>
      <w:pPr>
        <w:spacing w:line="360" w:lineRule="auto"/>
        <w:jc w:val="left"/>
        <w:rPr>
          <w:rFonts w:ascii="宋体"/>
          <w:color w:val="auto"/>
          <w:highlight w:val="none"/>
        </w:rPr>
      </w:pPr>
      <w:r>
        <w:rPr>
          <w:rFonts w:hint="eastAsia" w:ascii="宋体" w:hAnsi="宋体" w:cs="宋体"/>
          <w:color w:val="auto"/>
          <w:highlight w:val="none"/>
        </w:rPr>
        <w:t>附件7：履约担保格式</w:t>
      </w:r>
    </w:p>
    <w:p>
      <w:pPr>
        <w:spacing w:line="360" w:lineRule="auto"/>
        <w:jc w:val="left"/>
        <w:rPr>
          <w:rFonts w:ascii="宋体" w:hAnsi="宋体" w:cs="宋体"/>
          <w:color w:val="auto"/>
          <w:highlight w:val="none"/>
        </w:rPr>
      </w:pPr>
      <w:r>
        <w:rPr>
          <w:rFonts w:hint="eastAsia" w:ascii="宋体" w:hAnsi="宋体" w:cs="宋体"/>
          <w:color w:val="auto"/>
          <w:highlight w:val="none"/>
        </w:rPr>
        <w:t>附件8：预付款担保格式</w:t>
      </w:r>
    </w:p>
    <w:p>
      <w:pPr>
        <w:spacing w:line="360" w:lineRule="auto"/>
        <w:jc w:val="left"/>
        <w:rPr>
          <w:rFonts w:ascii="宋体" w:hAnsi="宋体" w:cs="宋体"/>
          <w:color w:val="auto"/>
          <w:highlight w:val="none"/>
        </w:rPr>
      </w:pPr>
      <w:r>
        <w:rPr>
          <w:rFonts w:hint="eastAsia" w:ascii="宋体" w:hAnsi="宋体" w:cs="宋体"/>
          <w:color w:val="auto"/>
          <w:highlight w:val="none"/>
        </w:rPr>
        <w:t>附件9：支付担保格式</w:t>
      </w:r>
    </w:p>
    <w:p>
      <w:pPr>
        <w:spacing w:line="360" w:lineRule="auto"/>
        <w:jc w:val="left"/>
        <w:rPr>
          <w:color w:val="auto"/>
          <w:highlight w:val="none"/>
        </w:rPr>
      </w:pPr>
      <w:r>
        <w:rPr>
          <w:rFonts w:hint="eastAsia" w:ascii="宋体" w:hAnsi="宋体" w:cs="宋体"/>
          <w:color w:val="auto"/>
          <w:highlight w:val="none"/>
        </w:rPr>
        <w:t>附件10：预付款</w:t>
      </w:r>
      <w:r>
        <w:rPr>
          <w:rFonts w:hint="eastAsia"/>
          <w:color w:val="auto"/>
          <w:highlight w:val="none"/>
        </w:rPr>
        <w:t>支付申请（核准）表</w:t>
      </w:r>
    </w:p>
    <w:p>
      <w:pPr>
        <w:spacing w:line="360" w:lineRule="auto"/>
        <w:jc w:val="left"/>
        <w:rPr>
          <w:color w:val="auto"/>
          <w:highlight w:val="none"/>
        </w:rPr>
      </w:pPr>
      <w:r>
        <w:rPr>
          <w:rFonts w:hint="eastAsia" w:ascii="宋体" w:hAnsi="宋体" w:cs="宋体"/>
          <w:color w:val="auto"/>
          <w:highlight w:val="none"/>
        </w:rPr>
        <w:t>附件11：</w:t>
      </w:r>
      <w:r>
        <w:rPr>
          <w:rFonts w:hint="eastAsia"/>
          <w:color w:val="auto"/>
          <w:highlight w:val="none"/>
        </w:rPr>
        <w:t>进度款支付申请（核准）表</w:t>
      </w:r>
    </w:p>
    <w:p>
      <w:pPr>
        <w:spacing w:line="360" w:lineRule="auto"/>
        <w:jc w:val="left"/>
        <w:rPr>
          <w:color w:val="auto"/>
          <w:highlight w:val="none"/>
        </w:rPr>
      </w:pPr>
      <w:r>
        <w:rPr>
          <w:rFonts w:hint="eastAsia" w:ascii="宋体" w:hAnsi="宋体" w:cs="宋体"/>
          <w:color w:val="auto"/>
          <w:highlight w:val="none"/>
        </w:rPr>
        <w:t>附件12：竣工结算</w:t>
      </w:r>
      <w:r>
        <w:rPr>
          <w:rFonts w:hint="eastAsia"/>
          <w:color w:val="auto"/>
          <w:highlight w:val="none"/>
        </w:rPr>
        <w:t>款支付申请（核准）表</w:t>
      </w:r>
    </w:p>
    <w:p>
      <w:pPr>
        <w:spacing w:line="360" w:lineRule="auto"/>
        <w:jc w:val="left"/>
        <w:rPr>
          <w:color w:val="auto"/>
          <w:highlight w:val="none"/>
        </w:rPr>
      </w:pPr>
      <w:r>
        <w:rPr>
          <w:rFonts w:hint="eastAsia" w:ascii="宋体" w:hAnsi="宋体" w:cs="宋体"/>
          <w:color w:val="auto"/>
          <w:highlight w:val="none"/>
        </w:rPr>
        <w:t>附件13：最终结算</w:t>
      </w:r>
      <w:r>
        <w:rPr>
          <w:rFonts w:hint="eastAsia"/>
          <w:color w:val="auto"/>
          <w:highlight w:val="none"/>
        </w:rPr>
        <w:t>款支付申请（核准）表</w:t>
      </w:r>
    </w:p>
    <w:p>
      <w:pPr>
        <w:spacing w:line="360" w:lineRule="auto"/>
        <w:jc w:val="left"/>
        <w:rPr>
          <w:color w:val="auto"/>
          <w:highlight w:val="none"/>
        </w:rPr>
      </w:pPr>
      <w:r>
        <w:rPr>
          <w:rFonts w:hint="eastAsia"/>
          <w:color w:val="auto"/>
          <w:highlight w:val="none"/>
        </w:rPr>
        <w:t>附件14：总价合同进度款支付分解表</w:t>
      </w:r>
    </w:p>
    <w:p>
      <w:pPr>
        <w:pStyle w:val="43"/>
        <w:rPr>
          <w:rFonts w:ascii="宋体" w:hAnsi="宋体" w:cs="宋体"/>
          <w:color w:val="auto"/>
          <w:spacing w:val="0"/>
          <w:kern w:val="2"/>
          <w:sz w:val="21"/>
          <w:szCs w:val="21"/>
          <w:highlight w:val="none"/>
        </w:rPr>
      </w:pPr>
      <w:r>
        <w:rPr>
          <w:rFonts w:hint="eastAsia" w:ascii="宋体" w:hAnsi="宋体" w:cs="宋体"/>
          <w:color w:val="auto"/>
          <w:spacing w:val="0"/>
          <w:kern w:val="2"/>
          <w:sz w:val="21"/>
          <w:szCs w:val="21"/>
          <w:highlight w:val="none"/>
        </w:rPr>
        <w:t>附件15：</w:t>
      </w:r>
      <w:r>
        <w:rPr>
          <w:rFonts w:hint="eastAsia" w:hAnsi="宋体" w:cs="宋体"/>
          <w:color w:val="auto"/>
          <w:sz w:val="21"/>
          <w:szCs w:val="21"/>
          <w:highlight w:val="none"/>
          <w:u w:val="single"/>
        </w:rPr>
        <w:t>工程结算送审承诺书</w:t>
      </w:r>
    </w:p>
    <w:p>
      <w:pPr>
        <w:spacing w:line="460" w:lineRule="exact"/>
        <w:ind w:firstLine="420" w:firstLineChars="200"/>
        <w:rPr>
          <w:color w:val="auto"/>
          <w:highlight w:val="none"/>
        </w:rPr>
      </w:pPr>
    </w:p>
    <w:p>
      <w:pPr>
        <w:spacing w:line="460" w:lineRule="exact"/>
        <w:ind w:firstLine="420" w:firstLineChars="200"/>
        <w:rPr>
          <w:color w:val="auto"/>
          <w:highlight w:val="none"/>
        </w:rPr>
      </w:pPr>
    </w:p>
    <w:p>
      <w:pPr>
        <w:spacing w:line="460" w:lineRule="exact"/>
        <w:ind w:firstLine="420" w:firstLineChars="200"/>
        <w:rPr>
          <w:color w:val="auto"/>
          <w:highlight w:val="none"/>
        </w:rPr>
        <w:sectPr>
          <w:pgSz w:w="11907" w:h="16840"/>
          <w:pgMar w:top="1440" w:right="1440" w:bottom="1440" w:left="1797" w:header="851" w:footer="851" w:gutter="0"/>
          <w:cols w:space="720" w:num="1"/>
          <w:docGrid w:linePitch="312" w:charSpace="0"/>
        </w:sectPr>
      </w:pPr>
    </w:p>
    <w:p>
      <w:pPr>
        <w:spacing w:beforeLines="50" w:afterLines="50" w:line="440" w:lineRule="exact"/>
        <w:jc w:val="left"/>
        <w:rPr>
          <w:rFonts w:ascii="仿宋_GB2312" w:eastAsia="仿宋_GB2312"/>
          <w:color w:val="auto"/>
          <w:sz w:val="30"/>
          <w:szCs w:val="30"/>
          <w:highlight w:val="none"/>
        </w:rPr>
      </w:pPr>
      <w:r>
        <w:rPr>
          <w:rFonts w:hint="eastAsia" w:ascii="仿宋_GB2312" w:eastAsia="仿宋_GB2312" w:cs="仿宋_GB2312"/>
          <w:color w:val="auto"/>
          <w:sz w:val="30"/>
          <w:szCs w:val="30"/>
          <w:highlight w:val="none"/>
        </w:rPr>
        <w:t>附件</w:t>
      </w:r>
      <w:r>
        <w:rPr>
          <w:rFonts w:ascii="仿宋_GB2312" w:eastAsia="仿宋_GB2312" w:cs="仿宋_GB2312"/>
          <w:color w:val="auto"/>
          <w:sz w:val="30"/>
          <w:szCs w:val="30"/>
          <w:highlight w:val="none"/>
        </w:rPr>
        <w:t>1</w:t>
      </w:r>
      <w:r>
        <w:rPr>
          <w:rFonts w:hint="eastAsia" w:ascii="仿宋_GB2312" w:eastAsia="仿宋_GB2312" w:cs="仿宋_GB2312"/>
          <w:color w:val="auto"/>
          <w:sz w:val="30"/>
          <w:szCs w:val="30"/>
          <w:highlight w:val="none"/>
        </w:rPr>
        <w:t>：</w:t>
      </w:r>
    </w:p>
    <w:p>
      <w:pPr>
        <w:spacing w:beforeLines="50" w:afterLines="50" w:line="440" w:lineRule="exact"/>
        <w:jc w:val="center"/>
        <w:rPr>
          <w:rFonts w:eastAsia="黑体"/>
          <w:color w:val="auto"/>
          <w:sz w:val="30"/>
          <w:szCs w:val="30"/>
          <w:highlight w:val="none"/>
        </w:rPr>
      </w:pPr>
      <w:r>
        <w:rPr>
          <w:rFonts w:hint="eastAsia" w:eastAsia="黑体" w:cs="黑体"/>
          <w:color w:val="auto"/>
          <w:sz w:val="30"/>
          <w:szCs w:val="30"/>
          <w:highlight w:val="none"/>
        </w:rPr>
        <w:t>承包人承揽工程项目一览表</w:t>
      </w:r>
    </w:p>
    <w:tbl>
      <w:tblPr>
        <w:tblStyle w:val="42"/>
        <w:tblW w:w="138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40"/>
        <w:gridCol w:w="1440"/>
        <w:gridCol w:w="1620"/>
        <w:gridCol w:w="1661"/>
        <w:gridCol w:w="850"/>
        <w:gridCol w:w="1560"/>
        <w:gridCol w:w="2126"/>
        <w:gridCol w:w="1417"/>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440" w:type="dxa"/>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单位工程名称</w:t>
            </w:r>
          </w:p>
        </w:tc>
        <w:tc>
          <w:tcPr>
            <w:tcW w:w="1440" w:type="dxa"/>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建设规模</w:t>
            </w:r>
          </w:p>
        </w:tc>
        <w:tc>
          <w:tcPr>
            <w:tcW w:w="1620" w:type="dxa"/>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建筑面积</w:t>
            </w:r>
            <w:r>
              <w:rPr>
                <w:rFonts w:eastAsia="仿宋_GB2312"/>
                <w:color w:val="auto"/>
                <w:sz w:val="28"/>
                <w:szCs w:val="28"/>
                <w:highlight w:val="none"/>
              </w:rPr>
              <w:t>(</w:t>
            </w:r>
            <w:r>
              <w:rPr>
                <w:rFonts w:hint="eastAsia" w:eastAsia="仿宋_GB2312" w:cs="仿宋_GB2312"/>
                <w:color w:val="auto"/>
                <w:sz w:val="28"/>
                <w:szCs w:val="28"/>
                <w:highlight w:val="none"/>
              </w:rPr>
              <w:t>平方米</w:t>
            </w:r>
            <w:r>
              <w:rPr>
                <w:rFonts w:eastAsia="仿宋_GB2312"/>
                <w:color w:val="auto"/>
                <w:sz w:val="28"/>
                <w:szCs w:val="28"/>
                <w:highlight w:val="none"/>
              </w:rPr>
              <w:t>)</w:t>
            </w:r>
          </w:p>
        </w:tc>
        <w:tc>
          <w:tcPr>
            <w:tcW w:w="1661" w:type="dxa"/>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结构形式</w:t>
            </w:r>
          </w:p>
        </w:tc>
        <w:tc>
          <w:tcPr>
            <w:tcW w:w="850" w:type="dxa"/>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层数</w:t>
            </w:r>
          </w:p>
        </w:tc>
        <w:tc>
          <w:tcPr>
            <w:tcW w:w="1560" w:type="dxa"/>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生产能力</w:t>
            </w:r>
          </w:p>
        </w:tc>
        <w:tc>
          <w:tcPr>
            <w:tcW w:w="2126" w:type="dxa"/>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设备安装内容</w:t>
            </w:r>
          </w:p>
        </w:tc>
        <w:tc>
          <w:tcPr>
            <w:tcW w:w="1417" w:type="dxa"/>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合同价格（元）</w:t>
            </w:r>
          </w:p>
        </w:tc>
        <w:tc>
          <w:tcPr>
            <w:tcW w:w="851" w:type="dxa"/>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开工日期</w:t>
            </w:r>
          </w:p>
        </w:tc>
        <w:tc>
          <w:tcPr>
            <w:tcW w:w="850" w:type="dxa"/>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竣工日期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44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4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62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661"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5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56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2126"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17"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51"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5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44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4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62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661"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5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56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2126"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17"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51"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5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44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4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62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661"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5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56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2126"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17"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51"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5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44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4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62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661"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5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56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2126"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17"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51"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5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44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4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62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661"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5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56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2126"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17"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51"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5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44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4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62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661"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5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56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2126"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17"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51"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5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44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4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62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661"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5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56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2126"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17"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51"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5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44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4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62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661"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5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56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2126"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17"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51"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5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44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4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62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661"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5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56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2126"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17"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51"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5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44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4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62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661"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5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56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2126"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17"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51"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5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bl>
    <w:p>
      <w:pPr>
        <w:spacing w:line="460" w:lineRule="exact"/>
        <w:ind w:firstLine="420" w:firstLineChars="200"/>
        <w:rPr>
          <w:color w:val="auto"/>
          <w:highlight w:val="none"/>
        </w:rPr>
      </w:pPr>
    </w:p>
    <w:p>
      <w:pPr>
        <w:spacing w:line="460" w:lineRule="exact"/>
        <w:ind w:firstLine="420" w:firstLineChars="200"/>
        <w:rPr>
          <w:color w:val="auto"/>
          <w:highlight w:val="none"/>
        </w:rPr>
      </w:pPr>
    </w:p>
    <w:p>
      <w:pPr>
        <w:spacing w:line="460" w:lineRule="exact"/>
        <w:ind w:firstLine="420" w:firstLineChars="200"/>
        <w:rPr>
          <w:color w:val="auto"/>
          <w:highlight w:val="none"/>
        </w:rPr>
        <w:sectPr>
          <w:pgSz w:w="16840" w:h="11907" w:orient="landscape"/>
          <w:pgMar w:top="1440" w:right="1440" w:bottom="1440" w:left="1797" w:header="851" w:footer="851" w:gutter="0"/>
          <w:cols w:space="720" w:num="1"/>
          <w:docGrid w:linePitch="312" w:charSpace="0"/>
        </w:sectPr>
      </w:pPr>
    </w:p>
    <w:p>
      <w:pPr>
        <w:spacing w:line="440" w:lineRule="exact"/>
        <w:rPr>
          <w:color w:val="auto"/>
          <w:sz w:val="30"/>
          <w:szCs w:val="30"/>
          <w:highlight w:val="none"/>
        </w:rPr>
      </w:pPr>
      <w:r>
        <w:rPr>
          <w:rFonts w:hint="eastAsia" w:hAnsi="宋体" w:cs="宋体"/>
          <w:color w:val="auto"/>
          <w:sz w:val="30"/>
          <w:szCs w:val="30"/>
          <w:highlight w:val="none"/>
        </w:rPr>
        <w:t>附件</w:t>
      </w:r>
      <w:r>
        <w:rPr>
          <w:rFonts w:hint="eastAsia"/>
          <w:color w:val="auto"/>
          <w:sz w:val="30"/>
          <w:szCs w:val="30"/>
          <w:highlight w:val="none"/>
        </w:rPr>
        <w:t>2</w:t>
      </w:r>
      <w:r>
        <w:rPr>
          <w:rFonts w:hint="eastAsia" w:hAnsi="宋体" w:cs="宋体"/>
          <w:color w:val="auto"/>
          <w:sz w:val="30"/>
          <w:szCs w:val="30"/>
          <w:highlight w:val="none"/>
        </w:rPr>
        <w:t>：</w:t>
      </w:r>
    </w:p>
    <w:p>
      <w:pPr>
        <w:spacing w:beforeLines="50" w:afterLines="50" w:line="440" w:lineRule="exact"/>
        <w:jc w:val="center"/>
        <w:rPr>
          <w:rFonts w:ascii="黑体" w:eastAsia="黑体"/>
          <w:color w:val="auto"/>
          <w:sz w:val="32"/>
          <w:szCs w:val="32"/>
          <w:highlight w:val="none"/>
        </w:rPr>
      </w:pPr>
      <w:r>
        <w:rPr>
          <w:rFonts w:hint="eastAsia" w:ascii="黑体" w:hAnsi="宋体" w:eastAsia="黑体" w:cs="黑体"/>
          <w:color w:val="auto"/>
          <w:sz w:val="32"/>
          <w:szCs w:val="32"/>
          <w:highlight w:val="none"/>
        </w:rPr>
        <w:t>工程质量保修书（房屋建筑工程）</w:t>
      </w:r>
    </w:p>
    <w:p>
      <w:pPr>
        <w:spacing w:line="440" w:lineRule="exact"/>
        <w:ind w:firstLine="420" w:firstLineChars="200"/>
        <w:rPr>
          <w:color w:val="auto"/>
          <w:highlight w:val="none"/>
        </w:rPr>
      </w:pPr>
      <w:r>
        <w:rPr>
          <w:rFonts w:hint="eastAsia" w:hAnsi="宋体" w:cs="宋体"/>
          <w:color w:val="auto"/>
          <w:highlight w:val="none"/>
        </w:rPr>
        <w:t>发包人（全称）：</w:t>
      </w:r>
      <w:r>
        <w:rPr>
          <w:color w:val="auto"/>
          <w:highlight w:val="none"/>
          <w:u w:val="single"/>
        </w:rPr>
        <w:t xml:space="preserve">                                </w:t>
      </w:r>
      <w:r>
        <w:rPr>
          <w:color w:val="auto"/>
          <w:highlight w:val="none"/>
        </w:rPr>
        <w:t xml:space="preserve"> </w:t>
      </w:r>
    </w:p>
    <w:p>
      <w:pPr>
        <w:spacing w:line="440" w:lineRule="exact"/>
        <w:ind w:firstLine="420" w:firstLineChars="200"/>
        <w:rPr>
          <w:color w:val="auto"/>
          <w:highlight w:val="none"/>
        </w:rPr>
      </w:pPr>
      <w:r>
        <w:rPr>
          <w:rFonts w:hint="eastAsia" w:hAnsi="宋体" w:cs="宋体"/>
          <w:color w:val="auto"/>
          <w:highlight w:val="none"/>
        </w:rPr>
        <w:t>承包人（全称）：</w:t>
      </w:r>
      <w:r>
        <w:rPr>
          <w:color w:val="auto"/>
          <w:highlight w:val="none"/>
          <w:u w:val="single"/>
        </w:rPr>
        <w:t xml:space="preserve">                                </w:t>
      </w:r>
      <w:r>
        <w:rPr>
          <w:color w:val="auto"/>
          <w:highlight w:val="none"/>
        </w:rPr>
        <w:t xml:space="preserve"> </w:t>
      </w:r>
    </w:p>
    <w:p>
      <w:pPr>
        <w:spacing w:line="440" w:lineRule="exact"/>
        <w:rPr>
          <w:color w:val="auto"/>
          <w:highlight w:val="none"/>
        </w:rPr>
      </w:pPr>
    </w:p>
    <w:p>
      <w:pPr>
        <w:spacing w:line="360" w:lineRule="auto"/>
        <w:ind w:firstLine="420" w:firstLineChars="200"/>
        <w:rPr>
          <w:rFonts w:hAnsi="宋体"/>
          <w:color w:val="auto"/>
          <w:highlight w:val="none"/>
        </w:rPr>
      </w:pPr>
      <w:r>
        <w:rPr>
          <w:rFonts w:hint="eastAsia" w:hAnsi="宋体" w:cs="宋体"/>
          <w:color w:val="auto"/>
          <w:highlight w:val="none"/>
        </w:rPr>
        <w:t>发包人和承包人根据《中华人民共和国建筑法》和《建设工程质量管理条例》，经协商一致就</w:t>
      </w:r>
      <w:r>
        <w:rPr>
          <w:color w:val="auto"/>
          <w:highlight w:val="none"/>
          <w:u w:val="single"/>
        </w:rPr>
        <w:t xml:space="preserve">                                   </w:t>
      </w:r>
      <w:r>
        <w:rPr>
          <w:rFonts w:hint="eastAsia" w:hAnsi="宋体" w:cs="宋体"/>
          <w:color w:val="auto"/>
          <w:highlight w:val="none"/>
        </w:rPr>
        <w:t>（工程全称）签订工程质量保修书。</w:t>
      </w:r>
    </w:p>
    <w:p>
      <w:pPr>
        <w:spacing w:line="360" w:lineRule="auto"/>
        <w:ind w:firstLine="420" w:firstLineChars="200"/>
        <w:rPr>
          <w:rFonts w:ascii="黑体" w:hAnsi="宋体" w:eastAsia="黑体"/>
          <w:color w:val="auto"/>
          <w:highlight w:val="none"/>
        </w:rPr>
      </w:pPr>
      <w:r>
        <w:rPr>
          <w:rFonts w:hint="eastAsia" w:ascii="黑体" w:hAnsi="宋体" w:eastAsia="黑体" w:cs="黑体"/>
          <w:color w:val="auto"/>
          <w:highlight w:val="none"/>
        </w:rPr>
        <w:t>一、工程质量保修范围和内容</w:t>
      </w:r>
    </w:p>
    <w:p>
      <w:pPr>
        <w:spacing w:line="360" w:lineRule="auto"/>
        <w:ind w:firstLine="420" w:firstLineChars="200"/>
        <w:rPr>
          <w:color w:val="auto"/>
          <w:highlight w:val="none"/>
        </w:rPr>
      </w:pPr>
      <w:r>
        <w:rPr>
          <w:rFonts w:hint="eastAsia" w:hAnsi="宋体" w:cs="宋体"/>
          <w:color w:val="auto"/>
          <w:highlight w:val="none"/>
        </w:rPr>
        <w:t>承包人在质量保修期内，按照有关法律规定和合同约定，承担工程质量保修责任。</w:t>
      </w:r>
    </w:p>
    <w:p>
      <w:pPr>
        <w:spacing w:line="360" w:lineRule="auto"/>
        <w:ind w:firstLine="420"/>
        <w:rPr>
          <w:rFonts w:hAnsi="宋体"/>
          <w:color w:val="auto"/>
          <w:highlight w:val="none"/>
        </w:rPr>
      </w:pPr>
      <w:r>
        <w:rPr>
          <w:rFonts w:hint="eastAsia" w:hAnsi="宋体" w:cs="宋体"/>
          <w:color w:val="auto"/>
          <w:highlight w:val="none"/>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pPr>
        <w:spacing w:line="360" w:lineRule="auto"/>
        <w:ind w:firstLine="420"/>
        <w:rPr>
          <w:rFonts w:hAnsi="宋体"/>
          <w:color w:val="auto"/>
          <w:highlight w:val="none"/>
        </w:rPr>
      </w:pPr>
      <w:r>
        <w:rPr>
          <w:color w:val="auto"/>
          <w:highlight w:val="none"/>
          <w:u w:val="single"/>
        </w:rPr>
        <w:t xml:space="preserve">                                                                                                                                                            </w:t>
      </w:r>
      <w:r>
        <w:rPr>
          <w:rFonts w:hint="eastAsia" w:hAnsi="宋体" w:cs="宋体"/>
          <w:color w:val="auto"/>
          <w:highlight w:val="none"/>
        </w:rPr>
        <w:t>。</w:t>
      </w:r>
    </w:p>
    <w:p>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二、质量保修期</w:t>
      </w:r>
    </w:p>
    <w:p>
      <w:pPr>
        <w:spacing w:line="360" w:lineRule="auto"/>
        <w:ind w:firstLine="420"/>
        <w:rPr>
          <w:rFonts w:hAnsi="宋体"/>
          <w:color w:val="auto"/>
          <w:highlight w:val="none"/>
        </w:rPr>
      </w:pPr>
      <w:r>
        <w:rPr>
          <w:rFonts w:hint="eastAsia" w:hAnsi="宋体" w:cs="宋体"/>
          <w:color w:val="auto"/>
          <w:highlight w:val="none"/>
        </w:rPr>
        <w:t>根据《建设工程质量管理条例》及有关规定，工程的质量保修期如下：</w:t>
      </w:r>
    </w:p>
    <w:p>
      <w:pPr>
        <w:spacing w:line="360" w:lineRule="auto"/>
        <w:ind w:firstLine="420"/>
        <w:rPr>
          <w:rFonts w:ascii="宋体" w:hAnsi="宋体"/>
          <w:color w:val="auto"/>
          <w:highlight w:val="none"/>
        </w:rPr>
      </w:pPr>
      <w:r>
        <w:rPr>
          <w:rFonts w:ascii="宋体" w:hAnsi="宋体"/>
          <w:color w:val="auto"/>
          <w:highlight w:val="none"/>
        </w:rPr>
        <w:t>1</w:t>
      </w:r>
      <w:r>
        <w:rPr>
          <w:rFonts w:hint="eastAsia" w:ascii="宋体" w:hAnsi="宋体" w:cs="宋体"/>
          <w:color w:val="auto"/>
          <w:highlight w:val="none"/>
        </w:rPr>
        <w:t>．地基基础工程和主体结构工程为设计文件规定的工程合理使用年限；</w:t>
      </w:r>
    </w:p>
    <w:p>
      <w:pPr>
        <w:spacing w:line="360" w:lineRule="auto"/>
        <w:ind w:firstLine="420"/>
        <w:rPr>
          <w:rFonts w:ascii="宋体" w:hAnsi="宋体"/>
          <w:color w:val="auto"/>
          <w:highlight w:val="none"/>
        </w:rPr>
      </w:pPr>
      <w:r>
        <w:rPr>
          <w:rFonts w:ascii="宋体" w:hAnsi="宋体"/>
          <w:color w:val="auto"/>
          <w:highlight w:val="none"/>
        </w:rPr>
        <w:t>2</w:t>
      </w:r>
      <w:r>
        <w:rPr>
          <w:rFonts w:hint="eastAsia" w:ascii="宋体" w:hAnsi="宋体" w:cs="宋体"/>
          <w:color w:val="auto"/>
          <w:highlight w:val="none"/>
        </w:rPr>
        <w:t>．屋面防水工程、有防水要求的卫生间、房间和外墙面的防渗为</w:t>
      </w:r>
      <w:r>
        <w:rPr>
          <w:rFonts w:ascii="宋体" w:hAnsi="宋体"/>
          <w:color w:val="auto"/>
          <w:highlight w:val="none"/>
          <w:u w:val="single"/>
        </w:rPr>
        <w:t xml:space="preserve"> </w:t>
      </w:r>
      <w:r>
        <w:rPr>
          <w:rFonts w:hint="eastAsia" w:ascii="宋体" w:hAnsi="宋体"/>
          <w:color w:val="auto"/>
          <w:highlight w:val="none"/>
          <w:u w:val="single"/>
        </w:rPr>
        <w:t>5</w:t>
      </w:r>
      <w:r>
        <w:rPr>
          <w:rFonts w:ascii="宋体" w:hAnsi="宋体"/>
          <w:color w:val="auto"/>
          <w:highlight w:val="none"/>
          <w:u w:val="single"/>
        </w:rPr>
        <w:t xml:space="preserve"> </w:t>
      </w:r>
      <w:r>
        <w:rPr>
          <w:rFonts w:hint="eastAsia" w:ascii="宋体" w:hAnsi="宋体" w:cs="宋体"/>
          <w:color w:val="auto"/>
          <w:highlight w:val="none"/>
        </w:rPr>
        <w:t>年；</w:t>
      </w:r>
    </w:p>
    <w:p>
      <w:pPr>
        <w:spacing w:line="360" w:lineRule="auto"/>
        <w:ind w:firstLine="420"/>
        <w:rPr>
          <w:rFonts w:ascii="宋体" w:hAnsi="宋体"/>
          <w:color w:val="auto"/>
          <w:highlight w:val="none"/>
        </w:rPr>
      </w:pPr>
      <w:r>
        <w:rPr>
          <w:rFonts w:ascii="宋体" w:hAnsi="宋体"/>
          <w:color w:val="auto"/>
          <w:highlight w:val="none"/>
        </w:rPr>
        <w:t>3</w:t>
      </w:r>
      <w:r>
        <w:rPr>
          <w:rFonts w:hint="eastAsia" w:ascii="宋体" w:hAnsi="宋体" w:cs="宋体"/>
          <w:color w:val="auto"/>
          <w:highlight w:val="none"/>
        </w:rPr>
        <w:t>．装修工程为</w:t>
      </w:r>
      <w:r>
        <w:rPr>
          <w:rFonts w:ascii="宋体" w:hAnsi="宋体"/>
          <w:color w:val="auto"/>
          <w:highlight w:val="none"/>
          <w:u w:val="single"/>
        </w:rPr>
        <w:t xml:space="preserve"> </w:t>
      </w:r>
      <w:r>
        <w:rPr>
          <w:rFonts w:hint="eastAsia" w:ascii="宋体" w:hAnsi="宋体"/>
          <w:color w:val="auto"/>
          <w:highlight w:val="none"/>
          <w:u w:val="single"/>
        </w:rPr>
        <w:t>2</w:t>
      </w:r>
      <w:r>
        <w:rPr>
          <w:rFonts w:ascii="宋体" w:hAnsi="宋体"/>
          <w:color w:val="auto"/>
          <w:highlight w:val="none"/>
          <w:u w:val="single"/>
        </w:rPr>
        <w:t xml:space="preserve"> </w:t>
      </w:r>
      <w:r>
        <w:rPr>
          <w:rFonts w:hint="eastAsia" w:ascii="宋体" w:hAnsi="宋体" w:cs="宋体"/>
          <w:color w:val="auto"/>
          <w:highlight w:val="none"/>
        </w:rPr>
        <w:t>年；</w:t>
      </w:r>
    </w:p>
    <w:p>
      <w:pPr>
        <w:spacing w:line="360" w:lineRule="auto"/>
        <w:ind w:firstLine="420"/>
        <w:rPr>
          <w:rFonts w:ascii="宋体" w:hAnsi="宋体"/>
          <w:color w:val="auto"/>
          <w:highlight w:val="none"/>
        </w:rPr>
      </w:pPr>
      <w:r>
        <w:rPr>
          <w:rFonts w:ascii="宋体" w:hAnsi="宋体"/>
          <w:color w:val="auto"/>
          <w:highlight w:val="none"/>
        </w:rPr>
        <w:t>4</w:t>
      </w:r>
      <w:r>
        <w:rPr>
          <w:rFonts w:hint="eastAsia" w:ascii="宋体" w:hAnsi="宋体" w:cs="宋体"/>
          <w:color w:val="auto"/>
          <w:highlight w:val="none"/>
        </w:rPr>
        <w:t>．电气管线、给排水管道、设备安装工程为</w:t>
      </w:r>
      <w:r>
        <w:rPr>
          <w:rFonts w:ascii="宋体" w:hAnsi="宋体"/>
          <w:color w:val="auto"/>
          <w:highlight w:val="none"/>
          <w:u w:val="single"/>
        </w:rPr>
        <w:t xml:space="preserve"> </w:t>
      </w:r>
      <w:r>
        <w:rPr>
          <w:rFonts w:hint="eastAsia" w:ascii="宋体" w:hAnsi="宋体"/>
          <w:color w:val="auto"/>
          <w:highlight w:val="none"/>
          <w:u w:val="single"/>
        </w:rPr>
        <w:t>2</w:t>
      </w:r>
      <w:r>
        <w:rPr>
          <w:rFonts w:ascii="宋体" w:hAnsi="宋体"/>
          <w:color w:val="auto"/>
          <w:highlight w:val="none"/>
          <w:u w:val="single"/>
        </w:rPr>
        <w:t xml:space="preserve"> </w:t>
      </w:r>
      <w:r>
        <w:rPr>
          <w:rFonts w:hint="eastAsia" w:ascii="宋体" w:hAnsi="宋体" w:cs="宋体"/>
          <w:color w:val="auto"/>
          <w:highlight w:val="none"/>
        </w:rPr>
        <w:t>年；</w:t>
      </w:r>
    </w:p>
    <w:p>
      <w:pPr>
        <w:spacing w:line="360" w:lineRule="auto"/>
        <w:ind w:firstLine="420"/>
        <w:rPr>
          <w:rFonts w:ascii="宋体" w:hAnsi="宋体"/>
          <w:color w:val="auto"/>
          <w:highlight w:val="none"/>
        </w:rPr>
      </w:pPr>
      <w:r>
        <w:rPr>
          <w:rFonts w:ascii="宋体" w:hAnsi="宋体"/>
          <w:color w:val="auto"/>
          <w:highlight w:val="none"/>
        </w:rPr>
        <w:t>5</w:t>
      </w:r>
      <w:r>
        <w:rPr>
          <w:rFonts w:hint="eastAsia" w:ascii="宋体" w:hAnsi="宋体" w:cs="宋体"/>
          <w:color w:val="auto"/>
          <w:highlight w:val="none"/>
        </w:rPr>
        <w:t>．供热与供冷系统为</w:t>
      </w:r>
      <w:r>
        <w:rPr>
          <w:rFonts w:ascii="宋体" w:hAnsi="宋体"/>
          <w:color w:val="auto"/>
          <w:highlight w:val="none"/>
          <w:u w:val="single"/>
        </w:rPr>
        <w:t xml:space="preserve"> </w:t>
      </w:r>
      <w:r>
        <w:rPr>
          <w:rFonts w:hint="eastAsia" w:ascii="宋体" w:hAnsi="宋体"/>
          <w:color w:val="auto"/>
          <w:highlight w:val="none"/>
          <w:u w:val="single"/>
        </w:rPr>
        <w:t>2</w:t>
      </w:r>
      <w:r>
        <w:rPr>
          <w:rFonts w:ascii="宋体" w:hAnsi="宋体"/>
          <w:color w:val="auto"/>
          <w:highlight w:val="none"/>
          <w:u w:val="single"/>
        </w:rPr>
        <w:t xml:space="preserve"> </w:t>
      </w:r>
      <w:r>
        <w:rPr>
          <w:rFonts w:hint="eastAsia" w:ascii="宋体" w:hAnsi="宋体" w:cs="宋体"/>
          <w:color w:val="auto"/>
          <w:highlight w:val="none"/>
        </w:rPr>
        <w:t>个采暖期、供冷期；</w:t>
      </w:r>
    </w:p>
    <w:p>
      <w:pPr>
        <w:spacing w:line="360" w:lineRule="auto"/>
        <w:ind w:firstLine="420"/>
        <w:rPr>
          <w:rFonts w:ascii="宋体" w:hAnsi="宋体"/>
          <w:color w:val="auto"/>
          <w:highlight w:val="none"/>
        </w:rPr>
      </w:pPr>
      <w:r>
        <w:rPr>
          <w:rFonts w:ascii="宋体" w:hAnsi="宋体"/>
          <w:color w:val="auto"/>
          <w:highlight w:val="none"/>
        </w:rPr>
        <w:t>6</w:t>
      </w:r>
      <w:r>
        <w:rPr>
          <w:rFonts w:hint="eastAsia" w:ascii="宋体" w:hAnsi="宋体" w:cs="宋体"/>
          <w:color w:val="auto"/>
          <w:highlight w:val="none"/>
        </w:rPr>
        <w:t>．住宅小区内的给排水设施、道路等配套工程为</w:t>
      </w:r>
      <w:r>
        <w:rPr>
          <w:rFonts w:ascii="宋体" w:hAnsi="宋体"/>
          <w:color w:val="auto"/>
          <w:highlight w:val="none"/>
          <w:u w:val="single"/>
        </w:rPr>
        <w:t xml:space="preserve"> </w:t>
      </w:r>
      <w:r>
        <w:rPr>
          <w:rFonts w:hint="eastAsia" w:ascii="宋体" w:hAnsi="宋体"/>
          <w:color w:val="auto"/>
          <w:highlight w:val="none"/>
          <w:u w:val="single"/>
        </w:rPr>
        <w:t>2</w:t>
      </w:r>
      <w:r>
        <w:rPr>
          <w:rFonts w:ascii="宋体" w:hAnsi="宋体"/>
          <w:color w:val="auto"/>
          <w:highlight w:val="none"/>
          <w:u w:val="single"/>
        </w:rPr>
        <w:t xml:space="preserve"> </w:t>
      </w:r>
      <w:r>
        <w:rPr>
          <w:rFonts w:hint="eastAsia" w:ascii="宋体" w:hAnsi="宋体" w:cs="宋体"/>
          <w:color w:val="auto"/>
          <w:highlight w:val="none"/>
        </w:rPr>
        <w:t>年；</w:t>
      </w:r>
    </w:p>
    <w:p>
      <w:pPr>
        <w:spacing w:line="360" w:lineRule="auto"/>
        <w:ind w:firstLine="420"/>
        <w:rPr>
          <w:rFonts w:hAnsi="宋体"/>
          <w:color w:val="auto"/>
          <w:highlight w:val="none"/>
        </w:rPr>
      </w:pPr>
      <w:r>
        <w:rPr>
          <w:color w:val="auto"/>
          <w:highlight w:val="none"/>
        </w:rPr>
        <w:t>7</w:t>
      </w:r>
      <w:r>
        <w:rPr>
          <w:rFonts w:hint="eastAsia" w:hAnsi="宋体" w:cs="宋体"/>
          <w:color w:val="auto"/>
          <w:highlight w:val="none"/>
        </w:rPr>
        <w:t>．其他项目保修期限约定如下：</w:t>
      </w:r>
    </w:p>
    <w:p>
      <w:pPr>
        <w:spacing w:line="360" w:lineRule="auto"/>
        <w:ind w:firstLine="420"/>
        <w:rPr>
          <w:rFonts w:hAnsi="宋体"/>
          <w:color w:val="auto"/>
          <w:highlight w:val="none"/>
        </w:rPr>
      </w:pPr>
      <w:r>
        <w:rPr>
          <w:color w:val="auto"/>
          <w:highlight w:val="none"/>
          <w:u w:val="single"/>
        </w:rPr>
        <w:t xml:space="preserve">                                                                                                                                                             </w:t>
      </w:r>
      <w:r>
        <w:rPr>
          <w:rFonts w:hint="eastAsia" w:hAnsi="宋体" w:cs="宋体"/>
          <w:color w:val="auto"/>
          <w:highlight w:val="none"/>
        </w:rPr>
        <w:t>。</w:t>
      </w:r>
    </w:p>
    <w:p>
      <w:pPr>
        <w:spacing w:line="360" w:lineRule="auto"/>
        <w:ind w:firstLine="420"/>
        <w:rPr>
          <w:rFonts w:hAnsi="宋体"/>
          <w:color w:val="auto"/>
          <w:highlight w:val="none"/>
        </w:rPr>
      </w:pPr>
      <w:r>
        <w:rPr>
          <w:rFonts w:hint="eastAsia" w:hAnsi="宋体" w:cs="宋体"/>
          <w:color w:val="auto"/>
          <w:highlight w:val="none"/>
        </w:rPr>
        <w:t>质量保修期自工程竣工验收合格之日起计算。</w:t>
      </w:r>
    </w:p>
    <w:p>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三、缺陷责任期</w:t>
      </w:r>
    </w:p>
    <w:p>
      <w:pPr>
        <w:spacing w:line="360" w:lineRule="auto"/>
        <w:ind w:firstLine="420"/>
        <w:rPr>
          <w:rFonts w:hAnsi="宋体"/>
          <w:color w:val="auto"/>
          <w:highlight w:val="none"/>
        </w:rPr>
      </w:pPr>
      <w:r>
        <w:rPr>
          <w:rFonts w:hint="eastAsia" w:hAnsi="宋体" w:cs="宋体"/>
          <w:color w:val="auto"/>
          <w:highlight w:val="none"/>
        </w:rPr>
        <w:t>工程缺陷责任期为</w:t>
      </w:r>
      <w:r>
        <w:rPr>
          <w:rFonts w:ascii="宋体" w:hAnsi="宋体"/>
          <w:color w:val="auto"/>
          <w:highlight w:val="none"/>
          <w:u w:val="single"/>
        </w:rPr>
        <w:t>24</w:t>
      </w:r>
      <w:r>
        <w:rPr>
          <w:rFonts w:hint="eastAsia" w:hAnsi="宋体" w:cs="宋体"/>
          <w:color w:val="auto"/>
          <w:highlight w:val="none"/>
        </w:rPr>
        <w:t>个月（最长不超过</w:t>
      </w:r>
      <w:r>
        <w:rPr>
          <w:rFonts w:hAnsi="宋体"/>
          <w:color w:val="auto"/>
          <w:highlight w:val="none"/>
        </w:rPr>
        <w:t>24</w:t>
      </w:r>
      <w:r>
        <w:rPr>
          <w:rFonts w:hint="eastAsia" w:hAnsi="宋体" w:cs="宋体"/>
          <w:color w:val="auto"/>
          <w:highlight w:val="none"/>
        </w:rPr>
        <w:t>个月），缺陷责任期自工程竣工验收合格之日起计算。单位工程先于全部工程进行验收，单位工程缺陷责任期自单位工程验收合格之日起算。</w:t>
      </w:r>
    </w:p>
    <w:p>
      <w:pPr>
        <w:spacing w:line="360" w:lineRule="auto"/>
        <w:ind w:firstLine="420"/>
        <w:rPr>
          <w:rFonts w:hAnsi="宋体"/>
          <w:color w:val="auto"/>
          <w:highlight w:val="none"/>
        </w:rPr>
      </w:pPr>
      <w:r>
        <w:rPr>
          <w:rFonts w:hint="eastAsia" w:hAnsi="宋体" w:cs="宋体"/>
          <w:color w:val="auto"/>
          <w:highlight w:val="none"/>
        </w:rPr>
        <w:t>缺陷责任期</w:t>
      </w:r>
      <w:r>
        <w:rPr>
          <w:rFonts w:hint="eastAsia" w:hAnsi="宋体" w:cs="宋体"/>
          <w:color w:val="auto"/>
          <w:highlight w:val="none"/>
          <w:u w:val="single"/>
        </w:rPr>
        <w:t>满</w:t>
      </w:r>
      <w:r>
        <w:rPr>
          <w:rFonts w:hint="eastAsia" w:ascii="仿宋_GB2312" w:hAnsi="宋体"/>
          <w:color w:val="auto"/>
          <w:highlight w:val="none"/>
        </w:rPr>
        <w:t>之日起</w:t>
      </w:r>
      <w:r>
        <w:rPr>
          <w:rFonts w:hint="eastAsia" w:ascii="仿宋_GB2312" w:hAnsi="宋体"/>
          <w:color w:val="auto"/>
          <w:highlight w:val="none"/>
          <w:u w:val="single"/>
        </w:rPr>
        <w:t xml:space="preserve"> </w:t>
      </w:r>
      <w:r>
        <w:rPr>
          <w:rFonts w:ascii="仿宋_GB2312" w:hAnsi="宋体"/>
          <w:color w:val="auto"/>
          <w:highlight w:val="none"/>
          <w:u w:val="single"/>
        </w:rPr>
        <w:t xml:space="preserve">  </w:t>
      </w:r>
      <w:r>
        <w:rPr>
          <w:rFonts w:hint="eastAsia" w:ascii="仿宋_GB2312" w:hAnsi="宋体"/>
          <w:color w:val="auto"/>
          <w:highlight w:val="none"/>
          <w:u w:val="single"/>
        </w:rPr>
        <w:t xml:space="preserve"> </w:t>
      </w:r>
      <w:r>
        <w:rPr>
          <w:rFonts w:hint="eastAsia" w:ascii="仿宋_GB2312" w:hAnsi="宋体"/>
          <w:color w:val="auto"/>
          <w:highlight w:val="none"/>
        </w:rPr>
        <w:t>天</w:t>
      </w:r>
      <w:r>
        <w:rPr>
          <w:rFonts w:hint="eastAsia" w:hAnsi="宋体" w:cs="宋体"/>
          <w:color w:val="auto"/>
          <w:highlight w:val="none"/>
          <w:u w:val="single"/>
        </w:rPr>
        <w:t>（按</w:t>
      </w:r>
      <w:r>
        <w:rPr>
          <w:rFonts w:hAnsi="宋体" w:cs="宋体"/>
          <w:color w:val="auto"/>
          <w:highlight w:val="none"/>
          <w:u w:val="single"/>
        </w:rPr>
        <w:t>合同约定期限）</w:t>
      </w:r>
      <w:r>
        <w:rPr>
          <w:rFonts w:hint="eastAsia" w:hAnsi="宋体" w:cs="宋体"/>
          <w:color w:val="auto"/>
          <w:highlight w:val="none"/>
          <w:u w:val="single"/>
        </w:rPr>
        <w:t>，</w:t>
      </w:r>
      <w:r>
        <w:rPr>
          <w:rFonts w:hint="eastAsia" w:hAnsi="宋体" w:cs="宋体"/>
          <w:color w:val="auto"/>
          <w:highlight w:val="none"/>
        </w:rPr>
        <w:t>发包人应退还剩余的质量保证金。</w:t>
      </w:r>
    </w:p>
    <w:p>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四、质量保修责任</w:t>
      </w:r>
    </w:p>
    <w:p>
      <w:pPr>
        <w:spacing w:line="360" w:lineRule="auto"/>
        <w:ind w:left="105" w:leftChars="50" w:firstLine="430" w:firstLineChars="205"/>
        <w:rPr>
          <w:rFonts w:hAnsi="宋体"/>
          <w:color w:val="auto"/>
          <w:highlight w:val="none"/>
        </w:rPr>
      </w:pPr>
      <w:r>
        <w:rPr>
          <w:color w:val="auto"/>
          <w:highlight w:val="none"/>
        </w:rPr>
        <w:t>1</w:t>
      </w:r>
      <w:r>
        <w:rPr>
          <w:rFonts w:hint="eastAsia" w:hAnsi="宋体" w:cs="宋体"/>
          <w:color w:val="auto"/>
          <w:highlight w:val="none"/>
        </w:rPr>
        <w:t>．属于保修范围、内容的项目，承包人应当在接到保修通知之日起</w:t>
      </w:r>
      <w:r>
        <w:rPr>
          <w:rFonts w:hint="eastAsia" w:ascii="宋体" w:hAnsi="宋体"/>
          <w:color w:val="auto"/>
          <w:highlight w:val="none"/>
          <w:u w:val="single"/>
        </w:rPr>
        <w:t>7</w:t>
      </w:r>
      <w:r>
        <w:rPr>
          <w:rFonts w:hint="eastAsia" w:hAnsi="宋体" w:cs="宋体"/>
          <w:color w:val="auto"/>
          <w:highlight w:val="none"/>
        </w:rPr>
        <w:t>天内派人保修。承包人不在约定期限内派人保修的，发包人可以委托他人修理，修理费用从质量保证金内扣除。</w:t>
      </w:r>
    </w:p>
    <w:p>
      <w:pPr>
        <w:spacing w:line="360" w:lineRule="auto"/>
        <w:ind w:firstLine="420"/>
        <w:rPr>
          <w:rFonts w:hAnsi="宋体"/>
          <w:color w:val="auto"/>
          <w:highlight w:val="none"/>
        </w:rPr>
      </w:pPr>
      <w:r>
        <w:rPr>
          <w:color w:val="auto"/>
          <w:highlight w:val="none"/>
        </w:rPr>
        <w:t>2</w:t>
      </w:r>
      <w:r>
        <w:rPr>
          <w:rFonts w:hint="eastAsia" w:hAnsi="宋体" w:cs="宋体"/>
          <w:color w:val="auto"/>
          <w:highlight w:val="none"/>
        </w:rPr>
        <w:t>．发生紧急事故需抢修的，承包人在接到事故通知后，应当立即到达事故现场抢修。</w:t>
      </w:r>
    </w:p>
    <w:p>
      <w:pPr>
        <w:spacing w:line="360" w:lineRule="auto"/>
        <w:ind w:firstLine="420"/>
        <w:rPr>
          <w:rFonts w:hAnsi="宋体"/>
          <w:color w:val="auto"/>
          <w:highlight w:val="none"/>
        </w:rPr>
      </w:pPr>
      <w:r>
        <w:rPr>
          <w:color w:val="auto"/>
          <w:highlight w:val="none"/>
        </w:rPr>
        <w:t>3</w:t>
      </w:r>
      <w:r>
        <w:rPr>
          <w:rFonts w:hint="eastAsia" w:hAnsi="宋体" w:cs="宋体"/>
          <w:color w:val="auto"/>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spacing w:line="360" w:lineRule="auto"/>
        <w:ind w:firstLine="420"/>
        <w:rPr>
          <w:rFonts w:hAnsi="宋体"/>
          <w:color w:val="auto"/>
          <w:highlight w:val="none"/>
        </w:rPr>
      </w:pPr>
      <w:r>
        <w:rPr>
          <w:color w:val="auto"/>
          <w:highlight w:val="none"/>
        </w:rPr>
        <w:t>4</w:t>
      </w:r>
      <w:r>
        <w:rPr>
          <w:rFonts w:hint="eastAsia" w:hAnsi="宋体" w:cs="宋体"/>
          <w:color w:val="auto"/>
          <w:highlight w:val="none"/>
        </w:rPr>
        <w:t>．质量保修完成后，由发包人组织验收。</w:t>
      </w:r>
    </w:p>
    <w:p>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五、保修费用</w:t>
      </w:r>
    </w:p>
    <w:p>
      <w:pPr>
        <w:tabs>
          <w:tab w:val="left" w:pos="7380"/>
        </w:tabs>
        <w:spacing w:line="360" w:lineRule="auto"/>
        <w:ind w:firstLine="420"/>
        <w:rPr>
          <w:rFonts w:hAnsi="宋体"/>
          <w:color w:val="auto"/>
          <w:highlight w:val="none"/>
        </w:rPr>
      </w:pPr>
      <w:r>
        <w:rPr>
          <w:rFonts w:hint="eastAsia" w:hAnsi="宋体" w:cs="宋体"/>
          <w:color w:val="auto"/>
          <w:highlight w:val="none"/>
        </w:rPr>
        <w:t>保修费用由造成质量缺陷的责任方承担。</w:t>
      </w:r>
    </w:p>
    <w:p>
      <w:pPr>
        <w:spacing w:line="360" w:lineRule="auto"/>
        <w:ind w:firstLine="420"/>
        <w:rPr>
          <w:rFonts w:ascii="黑体" w:hAnsi="宋体" w:eastAsia="黑体" w:cs="黑体"/>
          <w:color w:val="auto"/>
          <w:highlight w:val="none"/>
        </w:rPr>
      </w:pPr>
      <w:r>
        <w:rPr>
          <w:rFonts w:hint="eastAsia" w:ascii="黑体" w:hAnsi="宋体" w:eastAsia="黑体" w:cs="黑体"/>
          <w:color w:val="auto"/>
          <w:highlight w:val="none"/>
        </w:rPr>
        <w:t>六、双方约定的其他工程质量保修事项：</w:t>
      </w:r>
      <w:r>
        <w:rPr>
          <w:rFonts w:ascii="黑体" w:hAnsi="宋体" w:eastAsia="黑体" w:cs="黑体"/>
          <w:color w:val="auto"/>
          <w:highlight w:val="none"/>
        </w:rPr>
        <w:t xml:space="preserve"> </w:t>
      </w:r>
    </w:p>
    <w:p>
      <w:pPr>
        <w:spacing w:line="360" w:lineRule="auto"/>
        <w:ind w:firstLine="420" w:firstLineChars="200"/>
        <w:jc w:val="left"/>
        <w:rPr>
          <w:color w:val="auto"/>
          <w:highlight w:val="none"/>
        </w:rPr>
      </w:pPr>
      <w:r>
        <w:rPr>
          <w:color w:val="auto"/>
          <w:highlight w:val="none"/>
          <w:u w:val="single"/>
        </w:rPr>
        <w:t xml:space="preserve">                                                                                                                                                             </w:t>
      </w:r>
      <w:r>
        <w:rPr>
          <w:rFonts w:hint="eastAsia" w:hAnsi="宋体" w:cs="宋体"/>
          <w:color w:val="auto"/>
          <w:highlight w:val="none"/>
        </w:rPr>
        <w:t>。</w:t>
      </w:r>
    </w:p>
    <w:p>
      <w:pPr>
        <w:spacing w:line="360" w:lineRule="auto"/>
        <w:ind w:firstLine="399" w:firstLineChars="190"/>
        <w:rPr>
          <w:color w:val="auto"/>
          <w:highlight w:val="none"/>
        </w:rPr>
      </w:pPr>
      <w:r>
        <w:rPr>
          <w:rFonts w:hint="eastAsia" w:hAnsi="宋体" w:cs="宋体"/>
          <w:color w:val="auto"/>
          <w:highlight w:val="none"/>
        </w:rPr>
        <w:t>工程质量保修书由发包人、承包人在工程竣工验收前共同签署，作为施工合同附件，其有效期限至保修期满。</w:t>
      </w:r>
    </w:p>
    <w:p>
      <w:pPr>
        <w:spacing w:line="360" w:lineRule="auto"/>
        <w:ind w:firstLine="420"/>
        <w:rPr>
          <w:color w:val="auto"/>
          <w:highlight w:val="none"/>
        </w:rPr>
      </w:pPr>
    </w:p>
    <w:p>
      <w:pPr>
        <w:spacing w:line="360" w:lineRule="auto"/>
        <w:rPr>
          <w:color w:val="auto"/>
          <w:highlight w:val="none"/>
        </w:rPr>
      </w:pPr>
      <w:r>
        <w:rPr>
          <w:rFonts w:hAnsi="宋体"/>
          <w:color w:val="auto"/>
          <w:highlight w:val="none"/>
        </w:rPr>
        <w:t>发包人</w:t>
      </w:r>
      <w:r>
        <w:rPr>
          <w:rFonts w:hint="eastAsia"/>
          <w:color w:val="auto"/>
          <w:highlight w:val="none"/>
        </w:rPr>
        <w:t>（</w:t>
      </w:r>
      <w:r>
        <w:rPr>
          <w:rFonts w:hAnsi="宋体"/>
          <w:color w:val="auto"/>
          <w:highlight w:val="none"/>
        </w:rPr>
        <w:t>公章</w:t>
      </w:r>
      <w:r>
        <w:rPr>
          <w:rFonts w:hint="eastAsia"/>
          <w:color w:val="auto"/>
          <w:highlight w:val="none"/>
        </w:rPr>
        <w:t>）</w:t>
      </w:r>
      <w:r>
        <w:rPr>
          <w:rFonts w:hAnsi="宋体"/>
          <w:color w:val="auto"/>
          <w:highlight w:val="none"/>
        </w:rPr>
        <w:t>：</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承包人</w:t>
      </w:r>
      <w:r>
        <w:rPr>
          <w:rFonts w:hint="eastAsia"/>
          <w:color w:val="auto"/>
          <w:highlight w:val="none"/>
        </w:rPr>
        <w:t>（</w:t>
      </w:r>
      <w:r>
        <w:rPr>
          <w:rFonts w:hAnsi="宋体"/>
          <w:color w:val="auto"/>
          <w:highlight w:val="none"/>
        </w:rPr>
        <w:t>公章</w:t>
      </w:r>
      <w:r>
        <w:rPr>
          <w:rFonts w:hint="eastAsia"/>
          <w:color w:val="auto"/>
          <w:highlight w:val="none"/>
        </w:rPr>
        <w:t>）</w:t>
      </w:r>
      <w:r>
        <w:rPr>
          <w:rFonts w:hAnsi="宋体"/>
          <w:color w:val="auto"/>
          <w:highlight w:val="none"/>
        </w:rPr>
        <w:t>：</w:t>
      </w:r>
      <w:r>
        <w:rPr>
          <w:rFonts w:ascii="宋体" w:hAnsi="宋体"/>
          <w:color w:val="auto"/>
          <w:highlight w:val="none"/>
          <w:u w:val="single"/>
        </w:rPr>
        <w:t></w:t>
      </w:r>
      <w:r>
        <w:rPr>
          <w:color w:val="auto"/>
          <w:highlight w:val="none"/>
          <w:u w:val="single"/>
        </w:rPr>
        <w:t xml:space="preserve">          </w:t>
      </w:r>
      <w:r>
        <w:rPr>
          <w:rFonts w:ascii="宋体" w:hAnsi="宋体"/>
          <w:color w:val="auto"/>
          <w:highlight w:val="none"/>
          <w:u w:val="single"/>
        </w:rPr>
        <w:t></w:t>
      </w:r>
    </w:p>
    <w:p>
      <w:pPr>
        <w:spacing w:line="360" w:lineRule="auto"/>
        <w:rPr>
          <w:color w:val="auto"/>
          <w:highlight w:val="none"/>
        </w:rPr>
      </w:pPr>
      <w:r>
        <w:rPr>
          <w:rFonts w:hAnsi="宋体"/>
          <w:color w:val="auto"/>
          <w:highlight w:val="none"/>
        </w:rPr>
        <w:t>地</w:t>
      </w:r>
      <w:r>
        <w:rPr>
          <w:color w:val="auto"/>
          <w:highlight w:val="none"/>
        </w:rPr>
        <w:t xml:space="preserve">  </w:t>
      </w:r>
      <w:r>
        <w:rPr>
          <w:rFonts w:hAnsi="宋体"/>
          <w:color w:val="auto"/>
          <w:highlight w:val="none"/>
        </w:rPr>
        <w:t>址：</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地</w:t>
      </w:r>
      <w:r>
        <w:rPr>
          <w:color w:val="auto"/>
          <w:highlight w:val="none"/>
        </w:rPr>
        <w:t xml:space="preserve">  </w:t>
      </w:r>
      <w:r>
        <w:rPr>
          <w:rFonts w:hAnsi="宋体"/>
          <w:color w:val="auto"/>
          <w:highlight w:val="none"/>
        </w:rPr>
        <w:t>址：</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rFonts w:ascii="宋体" w:hAnsi="宋体"/>
          <w:color w:val="auto"/>
          <w:highlight w:val="none"/>
          <w:u w:val="single"/>
        </w:rPr>
        <w:t></w:t>
      </w:r>
    </w:p>
    <w:p>
      <w:pPr>
        <w:spacing w:line="360" w:lineRule="auto"/>
        <w:rPr>
          <w:color w:val="auto"/>
          <w:highlight w:val="none"/>
        </w:rPr>
      </w:pPr>
      <w:r>
        <w:rPr>
          <w:rFonts w:hAnsi="宋体"/>
          <w:color w:val="auto"/>
          <w:highlight w:val="none"/>
        </w:rPr>
        <w:t>法定代表人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法定代表人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pPr>
        <w:spacing w:line="360" w:lineRule="auto"/>
        <w:rPr>
          <w:color w:val="auto"/>
          <w:highlight w:val="none"/>
        </w:rPr>
      </w:pPr>
      <w:r>
        <w:rPr>
          <w:rFonts w:hAnsi="宋体"/>
          <w:color w:val="auto"/>
          <w:highlight w:val="none"/>
        </w:rPr>
        <w:t>委托代理人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委托代理人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pPr>
        <w:spacing w:line="360" w:lineRule="auto"/>
        <w:rPr>
          <w:color w:val="auto"/>
          <w:highlight w:val="none"/>
        </w:rPr>
      </w:pPr>
      <w:r>
        <w:rPr>
          <w:rFonts w:hAnsi="宋体"/>
          <w:color w:val="auto"/>
          <w:highlight w:val="none"/>
        </w:rPr>
        <w:t>电</w:t>
      </w:r>
      <w:r>
        <w:rPr>
          <w:color w:val="auto"/>
          <w:highlight w:val="none"/>
        </w:rPr>
        <w:t xml:space="preserve">  </w:t>
      </w:r>
      <w:r>
        <w:rPr>
          <w:rFonts w:hAnsi="宋体"/>
          <w:color w:val="auto"/>
          <w:highlight w:val="none"/>
        </w:rPr>
        <w:t>话：</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电</w:t>
      </w:r>
      <w:r>
        <w:rPr>
          <w:color w:val="auto"/>
          <w:highlight w:val="none"/>
        </w:rPr>
        <w:t xml:space="preserve">  </w:t>
      </w:r>
      <w:r>
        <w:rPr>
          <w:rFonts w:hAnsi="宋体"/>
          <w:color w:val="auto"/>
          <w:highlight w:val="none"/>
        </w:rPr>
        <w:t>话：</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pPr>
        <w:spacing w:line="360" w:lineRule="auto"/>
        <w:rPr>
          <w:color w:val="auto"/>
          <w:highlight w:val="none"/>
        </w:rPr>
      </w:pPr>
      <w:r>
        <w:rPr>
          <w:rFonts w:hAnsi="宋体"/>
          <w:color w:val="auto"/>
          <w:highlight w:val="none"/>
        </w:rPr>
        <w:t>传</w:t>
      </w:r>
      <w:r>
        <w:rPr>
          <w:color w:val="auto"/>
          <w:highlight w:val="none"/>
        </w:rPr>
        <w:t xml:space="preserve">  </w:t>
      </w:r>
      <w:r>
        <w:rPr>
          <w:rFonts w:hAnsi="宋体"/>
          <w:color w:val="auto"/>
          <w:highlight w:val="none"/>
        </w:rPr>
        <w:t>真：</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传</w:t>
      </w:r>
      <w:r>
        <w:rPr>
          <w:color w:val="auto"/>
          <w:highlight w:val="none"/>
        </w:rPr>
        <w:t xml:space="preserve">  </w:t>
      </w:r>
      <w:r>
        <w:rPr>
          <w:rFonts w:hAnsi="宋体"/>
          <w:color w:val="auto"/>
          <w:highlight w:val="none"/>
        </w:rPr>
        <w:t>真：</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rFonts w:ascii="宋体" w:hAnsi="宋体"/>
          <w:color w:val="auto"/>
          <w:highlight w:val="none"/>
          <w:u w:val="single"/>
        </w:rPr>
        <w:t></w:t>
      </w:r>
    </w:p>
    <w:p>
      <w:pPr>
        <w:spacing w:line="360" w:lineRule="auto"/>
        <w:rPr>
          <w:color w:val="auto"/>
          <w:highlight w:val="none"/>
        </w:rPr>
      </w:pPr>
      <w:r>
        <w:rPr>
          <w:rFonts w:hAnsi="宋体"/>
          <w:color w:val="auto"/>
          <w:highlight w:val="none"/>
        </w:rPr>
        <w:t>开户银行：</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开户银行：</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pPr>
        <w:tabs>
          <w:tab w:val="left" w:pos="2880"/>
          <w:tab w:val="left" w:pos="3060"/>
          <w:tab w:val="left" w:pos="4500"/>
        </w:tabs>
        <w:spacing w:line="360" w:lineRule="auto"/>
        <w:rPr>
          <w:color w:val="auto"/>
          <w:highlight w:val="none"/>
        </w:rPr>
      </w:pPr>
      <w:r>
        <w:rPr>
          <w:rFonts w:hAnsi="宋体"/>
          <w:color w:val="auto"/>
          <w:highlight w:val="none"/>
        </w:rPr>
        <w:t>账</w:t>
      </w:r>
      <w:r>
        <w:rPr>
          <w:color w:val="auto"/>
          <w:highlight w:val="none"/>
        </w:rPr>
        <w:t xml:space="preserve">  </w:t>
      </w:r>
      <w:r>
        <w:rPr>
          <w:rFonts w:hAnsi="宋体"/>
          <w:color w:val="auto"/>
          <w:highlight w:val="none"/>
        </w:rPr>
        <w:t>号：</w:t>
      </w:r>
      <w:r>
        <w:rPr>
          <w:rFonts w:ascii="宋体" w:hAnsi="宋体"/>
          <w:color w:val="auto"/>
          <w:highlight w:val="none"/>
          <w:u w:val="single"/>
        </w:rPr>
        <w:t></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账</w:t>
      </w:r>
      <w:r>
        <w:rPr>
          <w:color w:val="auto"/>
          <w:highlight w:val="none"/>
        </w:rPr>
        <w:t xml:space="preserve">  </w:t>
      </w:r>
      <w:r>
        <w:rPr>
          <w:rFonts w:hAnsi="宋体"/>
          <w:color w:val="auto"/>
          <w:highlight w:val="none"/>
        </w:rPr>
        <w:t>号：</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pPr>
        <w:tabs>
          <w:tab w:val="left" w:pos="7200"/>
          <w:tab w:val="left" w:pos="7380"/>
          <w:tab w:val="left" w:pos="7560"/>
        </w:tabs>
        <w:spacing w:line="360" w:lineRule="auto"/>
        <w:rPr>
          <w:color w:val="auto"/>
          <w:highlight w:val="none"/>
        </w:rPr>
      </w:pPr>
      <w:r>
        <w:rPr>
          <w:rFonts w:hAnsi="宋体"/>
          <w:color w:val="auto"/>
          <w:highlight w:val="none"/>
        </w:rPr>
        <w:t>邮政编码：</w:t>
      </w:r>
      <w:r>
        <w:rPr>
          <w:color w:val="auto"/>
          <w:highlight w:val="none"/>
          <w:u w:val="single"/>
        </w:rPr>
        <w:t xml:space="preserve"> </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邮政编码：</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pPr>
        <w:spacing w:beforeLines="50" w:afterLines="50" w:line="440" w:lineRule="exact"/>
        <w:jc w:val="center"/>
        <w:rPr>
          <w:rFonts w:ascii="黑体" w:hAnsi="宋体" w:eastAsia="黑体"/>
          <w:color w:val="auto"/>
          <w:sz w:val="32"/>
          <w:szCs w:val="32"/>
          <w:highlight w:val="none"/>
        </w:rPr>
      </w:pPr>
    </w:p>
    <w:p>
      <w:pPr>
        <w:spacing w:beforeLines="50" w:afterLines="50" w:line="440" w:lineRule="exact"/>
        <w:jc w:val="center"/>
        <w:rPr>
          <w:rFonts w:ascii="黑体" w:hAnsi="宋体" w:eastAsia="黑体"/>
          <w:color w:val="auto"/>
          <w:sz w:val="32"/>
          <w:szCs w:val="32"/>
          <w:highlight w:val="none"/>
        </w:rPr>
      </w:pPr>
    </w:p>
    <w:p>
      <w:pPr>
        <w:spacing w:beforeLines="50" w:afterLines="50" w:line="440" w:lineRule="exact"/>
        <w:jc w:val="center"/>
        <w:rPr>
          <w:rFonts w:ascii="黑体" w:hAnsi="宋体" w:eastAsia="黑体"/>
          <w:color w:val="auto"/>
          <w:sz w:val="32"/>
          <w:szCs w:val="32"/>
          <w:highlight w:val="none"/>
        </w:rPr>
      </w:pPr>
    </w:p>
    <w:p>
      <w:pPr>
        <w:spacing w:beforeLines="50" w:afterLines="50" w:line="440" w:lineRule="exact"/>
        <w:jc w:val="center"/>
        <w:rPr>
          <w:rFonts w:ascii="黑体" w:hAnsi="宋体" w:eastAsia="黑体"/>
          <w:color w:val="auto"/>
          <w:sz w:val="32"/>
          <w:szCs w:val="32"/>
          <w:highlight w:val="none"/>
        </w:rPr>
      </w:pPr>
    </w:p>
    <w:p>
      <w:pPr>
        <w:spacing w:beforeLines="50" w:afterLines="50" w:line="440" w:lineRule="exact"/>
        <w:jc w:val="center"/>
        <w:rPr>
          <w:rFonts w:ascii="黑体" w:hAnsi="宋体" w:eastAsia="黑体"/>
          <w:color w:val="auto"/>
          <w:sz w:val="32"/>
          <w:szCs w:val="32"/>
          <w:highlight w:val="none"/>
        </w:rPr>
      </w:pPr>
    </w:p>
    <w:p>
      <w:pPr>
        <w:spacing w:beforeLines="50" w:afterLines="50" w:line="440" w:lineRule="exact"/>
        <w:jc w:val="center"/>
        <w:rPr>
          <w:rFonts w:ascii="黑体" w:hAnsi="宋体" w:eastAsia="黑体"/>
          <w:color w:val="auto"/>
          <w:sz w:val="32"/>
          <w:szCs w:val="32"/>
          <w:highlight w:val="none"/>
        </w:rPr>
      </w:pPr>
    </w:p>
    <w:p>
      <w:pPr>
        <w:spacing w:beforeLines="50" w:afterLines="50" w:line="440" w:lineRule="exact"/>
        <w:jc w:val="center"/>
        <w:rPr>
          <w:rFonts w:ascii="黑体" w:hAnsi="宋体" w:eastAsia="黑体"/>
          <w:color w:val="auto"/>
          <w:sz w:val="32"/>
          <w:szCs w:val="32"/>
          <w:highlight w:val="none"/>
        </w:rPr>
      </w:pPr>
    </w:p>
    <w:p>
      <w:pPr>
        <w:spacing w:beforeLines="50" w:afterLines="50" w:line="440" w:lineRule="exact"/>
        <w:jc w:val="center"/>
        <w:rPr>
          <w:rFonts w:ascii="黑体" w:hAnsi="宋体" w:eastAsia="黑体"/>
          <w:color w:val="auto"/>
          <w:sz w:val="32"/>
          <w:szCs w:val="32"/>
          <w:highlight w:val="none"/>
        </w:rPr>
      </w:pPr>
    </w:p>
    <w:p>
      <w:pPr>
        <w:spacing w:line="360" w:lineRule="auto"/>
        <w:rPr>
          <w:rFonts w:ascii="宋体"/>
          <w:color w:val="auto"/>
          <w:highlight w:val="none"/>
        </w:rPr>
      </w:pPr>
    </w:p>
    <w:p>
      <w:pPr>
        <w:spacing w:line="440" w:lineRule="exact"/>
        <w:rPr>
          <w:rFonts w:eastAsia="黑体"/>
          <w:color w:val="auto"/>
          <w:sz w:val="30"/>
          <w:szCs w:val="30"/>
          <w:highlight w:val="none"/>
        </w:rPr>
      </w:pPr>
      <w:r>
        <w:rPr>
          <w:rFonts w:eastAsia="仿宋_GB2312"/>
          <w:color w:val="auto"/>
          <w:sz w:val="30"/>
          <w:szCs w:val="30"/>
          <w:highlight w:val="none"/>
        </w:rPr>
        <w:t>附件</w:t>
      </w:r>
      <w:r>
        <w:rPr>
          <w:rFonts w:hint="eastAsia" w:eastAsia="仿宋_GB2312"/>
          <w:color w:val="auto"/>
          <w:sz w:val="30"/>
          <w:szCs w:val="30"/>
          <w:highlight w:val="none"/>
        </w:rPr>
        <w:t>3</w:t>
      </w:r>
      <w:r>
        <w:rPr>
          <w:rFonts w:eastAsia="仿宋_GB2312"/>
          <w:color w:val="auto"/>
          <w:sz w:val="30"/>
          <w:szCs w:val="30"/>
          <w:highlight w:val="none"/>
        </w:rPr>
        <w:t>：</w:t>
      </w:r>
    </w:p>
    <w:p>
      <w:pPr>
        <w:spacing w:beforeLines="50" w:afterLines="50" w:line="440" w:lineRule="exact"/>
        <w:jc w:val="center"/>
        <w:rPr>
          <w:rFonts w:eastAsia="黑体"/>
          <w:color w:val="auto"/>
          <w:sz w:val="30"/>
          <w:szCs w:val="30"/>
          <w:highlight w:val="none"/>
        </w:rPr>
      </w:pPr>
      <w:r>
        <w:rPr>
          <w:rFonts w:eastAsia="黑体"/>
          <w:color w:val="auto"/>
          <w:sz w:val="30"/>
          <w:szCs w:val="30"/>
          <w:highlight w:val="none"/>
        </w:rPr>
        <w:t>主要建设工程文件目录</w:t>
      </w:r>
    </w:p>
    <w:tbl>
      <w:tblPr>
        <w:tblStyle w:val="42"/>
        <w:tblW w:w="903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953" w:type="dxa"/>
            <w:tcBorders>
              <w:top w:val="single" w:color="auto" w:sz="12" w:space="0"/>
              <w:bottom w:val="double" w:color="auto" w:sz="6" w:space="0"/>
            </w:tcBorders>
            <w:shd w:val="clear" w:color="auto" w:fill="auto"/>
            <w:vAlign w:val="center"/>
          </w:tcPr>
          <w:p>
            <w:pPr>
              <w:pStyle w:val="2"/>
              <w:keepNext/>
              <w:spacing w:after="0" w:line="440" w:lineRule="exact"/>
              <w:ind w:left="63" w:right="63"/>
              <w:rPr>
                <w:rFonts w:eastAsia="仿宋_GB2312"/>
                <w:color w:val="auto"/>
                <w:sz w:val="28"/>
                <w:szCs w:val="30"/>
                <w:highlight w:val="none"/>
              </w:rPr>
            </w:pPr>
            <w:r>
              <w:rPr>
                <w:rFonts w:eastAsia="仿宋_GB2312"/>
                <w:color w:val="auto"/>
                <w:sz w:val="28"/>
                <w:szCs w:val="30"/>
                <w:highlight w:val="none"/>
              </w:rPr>
              <w:t>文件名称</w:t>
            </w:r>
          </w:p>
        </w:tc>
        <w:tc>
          <w:tcPr>
            <w:tcW w:w="1276" w:type="dxa"/>
            <w:tcBorders>
              <w:top w:val="single" w:color="auto" w:sz="12" w:space="0"/>
              <w:bottom w:val="double" w:color="auto" w:sz="6" w:space="0"/>
            </w:tcBorders>
            <w:shd w:val="clear" w:color="auto" w:fill="auto"/>
            <w:vAlign w:val="center"/>
          </w:tcPr>
          <w:p>
            <w:pPr>
              <w:pStyle w:val="2"/>
              <w:keepNext/>
              <w:spacing w:after="0" w:line="440" w:lineRule="exact"/>
              <w:ind w:left="63" w:right="63"/>
              <w:rPr>
                <w:rFonts w:eastAsia="仿宋_GB2312"/>
                <w:color w:val="auto"/>
                <w:sz w:val="28"/>
                <w:szCs w:val="30"/>
                <w:highlight w:val="none"/>
              </w:rPr>
            </w:pPr>
            <w:r>
              <w:rPr>
                <w:rFonts w:eastAsia="仿宋_GB2312"/>
                <w:color w:val="auto"/>
                <w:sz w:val="28"/>
                <w:szCs w:val="30"/>
                <w:highlight w:val="none"/>
              </w:rPr>
              <w:t>套数</w:t>
            </w:r>
          </w:p>
        </w:tc>
        <w:tc>
          <w:tcPr>
            <w:tcW w:w="1450" w:type="dxa"/>
            <w:tcBorders>
              <w:top w:val="single" w:color="auto" w:sz="12" w:space="0"/>
              <w:bottom w:val="double" w:color="auto" w:sz="6" w:space="0"/>
            </w:tcBorders>
            <w:shd w:val="clear" w:color="auto" w:fill="auto"/>
            <w:vAlign w:val="center"/>
          </w:tcPr>
          <w:p>
            <w:pPr>
              <w:pStyle w:val="2"/>
              <w:keepNext/>
              <w:spacing w:after="0" w:line="440" w:lineRule="exact"/>
              <w:ind w:left="63" w:right="63"/>
              <w:rPr>
                <w:rFonts w:eastAsia="仿宋_GB2312"/>
                <w:color w:val="auto"/>
                <w:sz w:val="28"/>
                <w:szCs w:val="30"/>
                <w:highlight w:val="none"/>
              </w:rPr>
            </w:pPr>
            <w:r>
              <w:rPr>
                <w:rFonts w:eastAsia="仿宋_GB2312"/>
                <w:color w:val="auto"/>
                <w:sz w:val="28"/>
                <w:szCs w:val="30"/>
                <w:highlight w:val="none"/>
              </w:rPr>
              <w:t>费用</w:t>
            </w:r>
            <w:r>
              <w:rPr>
                <w:rFonts w:hint="eastAsia" w:eastAsia="仿宋_GB2312"/>
                <w:color w:val="auto"/>
                <w:sz w:val="28"/>
                <w:szCs w:val="30"/>
                <w:highlight w:val="none"/>
              </w:rPr>
              <w:t>（元）</w:t>
            </w:r>
          </w:p>
        </w:tc>
        <w:tc>
          <w:tcPr>
            <w:tcW w:w="1243" w:type="dxa"/>
            <w:tcBorders>
              <w:top w:val="single" w:color="auto" w:sz="12" w:space="0"/>
              <w:bottom w:val="double" w:color="auto" w:sz="6" w:space="0"/>
            </w:tcBorders>
            <w:shd w:val="clear" w:color="auto" w:fill="auto"/>
            <w:vAlign w:val="center"/>
          </w:tcPr>
          <w:p>
            <w:pPr>
              <w:pStyle w:val="2"/>
              <w:keepNext/>
              <w:spacing w:after="0" w:line="440" w:lineRule="exact"/>
              <w:ind w:left="63" w:right="63"/>
              <w:rPr>
                <w:rFonts w:eastAsia="仿宋_GB2312"/>
                <w:color w:val="auto"/>
                <w:sz w:val="28"/>
                <w:szCs w:val="30"/>
                <w:highlight w:val="none"/>
              </w:rPr>
            </w:pPr>
            <w:r>
              <w:rPr>
                <w:rFonts w:eastAsia="仿宋_GB2312"/>
                <w:color w:val="auto"/>
                <w:sz w:val="28"/>
                <w:szCs w:val="30"/>
                <w:highlight w:val="none"/>
              </w:rPr>
              <w:t>质量</w:t>
            </w:r>
          </w:p>
        </w:tc>
        <w:tc>
          <w:tcPr>
            <w:tcW w:w="1450" w:type="dxa"/>
            <w:tcBorders>
              <w:top w:val="single" w:color="auto" w:sz="12" w:space="0"/>
              <w:bottom w:val="double" w:color="auto" w:sz="6" w:space="0"/>
            </w:tcBorders>
            <w:shd w:val="clear" w:color="auto" w:fill="auto"/>
          </w:tcPr>
          <w:p>
            <w:pPr>
              <w:spacing w:line="440" w:lineRule="exact"/>
              <w:jc w:val="center"/>
              <w:rPr>
                <w:rFonts w:eastAsia="仿宋_GB2312"/>
                <w:color w:val="auto"/>
                <w:sz w:val="28"/>
                <w:szCs w:val="30"/>
                <w:highlight w:val="none"/>
              </w:rPr>
            </w:pPr>
            <w:r>
              <w:rPr>
                <w:rFonts w:eastAsia="仿宋_GB2312"/>
                <w:color w:val="auto"/>
                <w:sz w:val="28"/>
                <w:szCs w:val="30"/>
                <w:highlight w:val="none"/>
              </w:rPr>
              <w:t>移交时间</w:t>
            </w:r>
          </w:p>
        </w:tc>
        <w:tc>
          <w:tcPr>
            <w:tcW w:w="1667" w:type="dxa"/>
            <w:tcBorders>
              <w:top w:val="single" w:color="auto" w:sz="12" w:space="0"/>
              <w:bottom w:val="double" w:color="auto" w:sz="6" w:space="0"/>
            </w:tcBorders>
            <w:shd w:val="clear" w:color="auto" w:fill="auto"/>
          </w:tcPr>
          <w:p>
            <w:pPr>
              <w:spacing w:line="440" w:lineRule="exact"/>
              <w:jc w:val="center"/>
              <w:rPr>
                <w:rFonts w:eastAsia="仿宋_GB2312"/>
                <w:color w:val="auto"/>
                <w:sz w:val="28"/>
                <w:szCs w:val="30"/>
                <w:highlight w:val="none"/>
              </w:rPr>
            </w:pPr>
            <w:r>
              <w:rPr>
                <w:rFonts w:eastAsia="仿宋_GB2312"/>
                <w:color w:val="auto"/>
                <w:sz w:val="28"/>
                <w:szCs w:val="30"/>
                <w:highlight w:val="none"/>
              </w:rPr>
              <w:t>责任人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276" w:type="dxa"/>
            <w:tcBorders>
              <w:top w:val="double" w:color="auto" w:sz="6" w:space="0"/>
              <w:bottom w:val="single" w:color="auto" w:sz="6" w:space="0"/>
            </w:tcBorders>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50" w:type="dxa"/>
            <w:tcBorders>
              <w:top w:val="double" w:color="auto" w:sz="6" w:space="0"/>
              <w:bottom w:val="single" w:color="auto" w:sz="6" w:space="0"/>
            </w:tcBorders>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243" w:type="dxa"/>
            <w:tcBorders>
              <w:top w:val="double" w:color="auto" w:sz="6" w:space="0"/>
              <w:bottom w:val="single" w:color="auto" w:sz="6" w:space="0"/>
            </w:tcBorders>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50" w:type="dxa"/>
            <w:tcBorders>
              <w:top w:val="double" w:color="auto" w:sz="6" w:space="0"/>
              <w:bottom w:val="single" w:color="auto" w:sz="6" w:space="0"/>
            </w:tcBorders>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667" w:type="dxa"/>
            <w:tcBorders>
              <w:top w:val="double" w:color="auto" w:sz="6" w:space="0"/>
              <w:bottom w:val="single" w:color="auto" w:sz="6" w:space="0"/>
            </w:tcBorders>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Borders>
              <w:top w:val="nil"/>
            </w:tcBorders>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276" w:type="dxa"/>
            <w:tcBorders>
              <w:top w:val="nil"/>
            </w:tcBorders>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50" w:type="dxa"/>
            <w:tcBorders>
              <w:top w:val="nil"/>
            </w:tcBorders>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243" w:type="dxa"/>
            <w:tcBorders>
              <w:top w:val="nil"/>
            </w:tcBorders>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50" w:type="dxa"/>
            <w:tcBorders>
              <w:top w:val="nil"/>
            </w:tcBorders>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667" w:type="dxa"/>
            <w:tcBorders>
              <w:top w:val="nil"/>
            </w:tcBorders>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276"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5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243"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5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667"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276"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5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243"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5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667"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276"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5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243"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5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667"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276"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5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243"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5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667"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276"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5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243"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5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667"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276"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5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243"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5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667"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shd w:val="clear" w:color="auto" w:fill="auto"/>
          </w:tcPr>
          <w:p>
            <w:pPr>
              <w:rPr>
                <w:rFonts w:eastAsia="仿宋_GB2312"/>
                <w:color w:val="auto"/>
                <w:sz w:val="30"/>
                <w:szCs w:val="30"/>
                <w:highlight w:val="none"/>
              </w:rPr>
            </w:pPr>
          </w:p>
        </w:tc>
        <w:tc>
          <w:tcPr>
            <w:tcW w:w="1276" w:type="dxa"/>
            <w:shd w:val="clear" w:color="auto" w:fill="auto"/>
          </w:tcPr>
          <w:p>
            <w:pPr>
              <w:rPr>
                <w:rFonts w:eastAsia="仿宋_GB2312"/>
                <w:color w:val="auto"/>
                <w:sz w:val="30"/>
                <w:szCs w:val="30"/>
                <w:highlight w:val="none"/>
              </w:rPr>
            </w:pPr>
          </w:p>
        </w:tc>
        <w:tc>
          <w:tcPr>
            <w:tcW w:w="1450" w:type="dxa"/>
            <w:shd w:val="clear" w:color="auto" w:fill="auto"/>
          </w:tcPr>
          <w:p>
            <w:pPr>
              <w:rPr>
                <w:rFonts w:eastAsia="仿宋_GB2312"/>
                <w:color w:val="auto"/>
                <w:sz w:val="30"/>
                <w:szCs w:val="30"/>
                <w:highlight w:val="none"/>
              </w:rPr>
            </w:pPr>
          </w:p>
        </w:tc>
        <w:tc>
          <w:tcPr>
            <w:tcW w:w="1243" w:type="dxa"/>
            <w:shd w:val="clear" w:color="auto" w:fill="auto"/>
          </w:tcPr>
          <w:p>
            <w:pPr>
              <w:rPr>
                <w:rFonts w:eastAsia="仿宋_GB2312"/>
                <w:color w:val="auto"/>
                <w:sz w:val="30"/>
                <w:szCs w:val="30"/>
                <w:highlight w:val="none"/>
              </w:rPr>
            </w:pPr>
          </w:p>
        </w:tc>
        <w:tc>
          <w:tcPr>
            <w:tcW w:w="1450" w:type="dxa"/>
            <w:shd w:val="clear" w:color="auto" w:fill="auto"/>
          </w:tcPr>
          <w:p>
            <w:pPr>
              <w:rPr>
                <w:rFonts w:eastAsia="仿宋_GB2312"/>
                <w:color w:val="auto"/>
                <w:sz w:val="30"/>
                <w:szCs w:val="30"/>
                <w:highlight w:val="none"/>
              </w:rPr>
            </w:pPr>
          </w:p>
        </w:tc>
        <w:tc>
          <w:tcPr>
            <w:tcW w:w="1667" w:type="dxa"/>
            <w:shd w:val="clear" w:color="auto" w:fill="auto"/>
          </w:tcPr>
          <w:p>
            <w:pPr>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276"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5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243"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5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667"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shd w:val="clear" w:color="auto" w:fill="auto"/>
          </w:tcPr>
          <w:p>
            <w:pPr>
              <w:rPr>
                <w:rFonts w:eastAsia="仿宋_GB2312"/>
                <w:color w:val="auto"/>
                <w:sz w:val="30"/>
                <w:szCs w:val="30"/>
                <w:highlight w:val="none"/>
              </w:rPr>
            </w:pPr>
          </w:p>
        </w:tc>
        <w:tc>
          <w:tcPr>
            <w:tcW w:w="1276" w:type="dxa"/>
            <w:shd w:val="clear" w:color="auto" w:fill="auto"/>
          </w:tcPr>
          <w:p>
            <w:pPr>
              <w:rPr>
                <w:rFonts w:eastAsia="仿宋_GB2312"/>
                <w:color w:val="auto"/>
                <w:sz w:val="30"/>
                <w:szCs w:val="30"/>
                <w:highlight w:val="none"/>
              </w:rPr>
            </w:pPr>
          </w:p>
        </w:tc>
        <w:tc>
          <w:tcPr>
            <w:tcW w:w="1450" w:type="dxa"/>
            <w:shd w:val="clear" w:color="auto" w:fill="auto"/>
          </w:tcPr>
          <w:p>
            <w:pPr>
              <w:rPr>
                <w:rFonts w:eastAsia="仿宋_GB2312"/>
                <w:color w:val="auto"/>
                <w:sz w:val="30"/>
                <w:szCs w:val="30"/>
                <w:highlight w:val="none"/>
              </w:rPr>
            </w:pPr>
          </w:p>
        </w:tc>
        <w:tc>
          <w:tcPr>
            <w:tcW w:w="1243" w:type="dxa"/>
            <w:shd w:val="clear" w:color="auto" w:fill="auto"/>
          </w:tcPr>
          <w:p>
            <w:pPr>
              <w:rPr>
                <w:rFonts w:eastAsia="仿宋_GB2312"/>
                <w:color w:val="auto"/>
                <w:sz w:val="30"/>
                <w:szCs w:val="30"/>
                <w:highlight w:val="none"/>
              </w:rPr>
            </w:pPr>
          </w:p>
        </w:tc>
        <w:tc>
          <w:tcPr>
            <w:tcW w:w="1450" w:type="dxa"/>
            <w:shd w:val="clear" w:color="auto" w:fill="auto"/>
          </w:tcPr>
          <w:p>
            <w:pPr>
              <w:rPr>
                <w:rFonts w:eastAsia="仿宋_GB2312"/>
                <w:color w:val="auto"/>
                <w:sz w:val="30"/>
                <w:szCs w:val="30"/>
                <w:highlight w:val="none"/>
              </w:rPr>
            </w:pPr>
          </w:p>
        </w:tc>
        <w:tc>
          <w:tcPr>
            <w:tcW w:w="1667" w:type="dxa"/>
            <w:shd w:val="clear" w:color="auto" w:fill="auto"/>
          </w:tcPr>
          <w:p>
            <w:pPr>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shd w:val="clear" w:color="auto" w:fill="auto"/>
          </w:tcPr>
          <w:p>
            <w:pPr>
              <w:rPr>
                <w:rFonts w:eastAsia="仿宋_GB2312"/>
                <w:color w:val="auto"/>
                <w:sz w:val="30"/>
                <w:szCs w:val="30"/>
                <w:highlight w:val="none"/>
              </w:rPr>
            </w:pPr>
          </w:p>
        </w:tc>
        <w:tc>
          <w:tcPr>
            <w:tcW w:w="1276" w:type="dxa"/>
            <w:shd w:val="clear" w:color="auto" w:fill="auto"/>
          </w:tcPr>
          <w:p>
            <w:pPr>
              <w:rPr>
                <w:rFonts w:eastAsia="仿宋_GB2312"/>
                <w:color w:val="auto"/>
                <w:sz w:val="30"/>
                <w:szCs w:val="30"/>
                <w:highlight w:val="none"/>
              </w:rPr>
            </w:pPr>
          </w:p>
        </w:tc>
        <w:tc>
          <w:tcPr>
            <w:tcW w:w="1450" w:type="dxa"/>
            <w:shd w:val="clear" w:color="auto" w:fill="auto"/>
          </w:tcPr>
          <w:p>
            <w:pPr>
              <w:rPr>
                <w:rFonts w:eastAsia="仿宋_GB2312"/>
                <w:color w:val="auto"/>
                <w:sz w:val="30"/>
                <w:szCs w:val="30"/>
                <w:highlight w:val="none"/>
              </w:rPr>
            </w:pPr>
          </w:p>
        </w:tc>
        <w:tc>
          <w:tcPr>
            <w:tcW w:w="1243" w:type="dxa"/>
            <w:shd w:val="clear" w:color="auto" w:fill="auto"/>
          </w:tcPr>
          <w:p>
            <w:pPr>
              <w:rPr>
                <w:rFonts w:eastAsia="仿宋_GB2312"/>
                <w:color w:val="auto"/>
                <w:sz w:val="30"/>
                <w:szCs w:val="30"/>
                <w:highlight w:val="none"/>
              </w:rPr>
            </w:pPr>
          </w:p>
        </w:tc>
        <w:tc>
          <w:tcPr>
            <w:tcW w:w="1450" w:type="dxa"/>
            <w:shd w:val="clear" w:color="auto" w:fill="auto"/>
          </w:tcPr>
          <w:p>
            <w:pPr>
              <w:rPr>
                <w:rFonts w:eastAsia="仿宋_GB2312"/>
                <w:color w:val="auto"/>
                <w:sz w:val="30"/>
                <w:szCs w:val="30"/>
                <w:highlight w:val="none"/>
              </w:rPr>
            </w:pPr>
          </w:p>
        </w:tc>
        <w:tc>
          <w:tcPr>
            <w:tcW w:w="1667" w:type="dxa"/>
            <w:shd w:val="clear" w:color="auto" w:fill="auto"/>
          </w:tcPr>
          <w:p>
            <w:pPr>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shd w:val="clear" w:color="auto" w:fill="auto"/>
          </w:tcPr>
          <w:p>
            <w:pPr>
              <w:rPr>
                <w:rFonts w:eastAsia="仿宋_GB2312"/>
                <w:color w:val="auto"/>
                <w:sz w:val="30"/>
                <w:szCs w:val="30"/>
                <w:highlight w:val="none"/>
              </w:rPr>
            </w:pPr>
          </w:p>
        </w:tc>
        <w:tc>
          <w:tcPr>
            <w:tcW w:w="1276" w:type="dxa"/>
            <w:shd w:val="clear" w:color="auto" w:fill="auto"/>
          </w:tcPr>
          <w:p>
            <w:pPr>
              <w:rPr>
                <w:rFonts w:eastAsia="仿宋_GB2312"/>
                <w:color w:val="auto"/>
                <w:sz w:val="30"/>
                <w:szCs w:val="30"/>
                <w:highlight w:val="none"/>
              </w:rPr>
            </w:pPr>
          </w:p>
        </w:tc>
        <w:tc>
          <w:tcPr>
            <w:tcW w:w="1450" w:type="dxa"/>
            <w:shd w:val="clear" w:color="auto" w:fill="auto"/>
          </w:tcPr>
          <w:p>
            <w:pPr>
              <w:rPr>
                <w:rFonts w:eastAsia="仿宋_GB2312"/>
                <w:color w:val="auto"/>
                <w:sz w:val="30"/>
                <w:szCs w:val="30"/>
                <w:highlight w:val="none"/>
              </w:rPr>
            </w:pPr>
          </w:p>
        </w:tc>
        <w:tc>
          <w:tcPr>
            <w:tcW w:w="1243" w:type="dxa"/>
            <w:shd w:val="clear" w:color="auto" w:fill="auto"/>
          </w:tcPr>
          <w:p>
            <w:pPr>
              <w:rPr>
                <w:rFonts w:eastAsia="仿宋_GB2312"/>
                <w:color w:val="auto"/>
                <w:sz w:val="30"/>
                <w:szCs w:val="30"/>
                <w:highlight w:val="none"/>
              </w:rPr>
            </w:pPr>
          </w:p>
        </w:tc>
        <w:tc>
          <w:tcPr>
            <w:tcW w:w="1450" w:type="dxa"/>
            <w:shd w:val="clear" w:color="auto" w:fill="auto"/>
          </w:tcPr>
          <w:p>
            <w:pPr>
              <w:rPr>
                <w:rFonts w:eastAsia="仿宋_GB2312"/>
                <w:color w:val="auto"/>
                <w:sz w:val="30"/>
                <w:szCs w:val="30"/>
                <w:highlight w:val="none"/>
              </w:rPr>
            </w:pPr>
          </w:p>
        </w:tc>
        <w:tc>
          <w:tcPr>
            <w:tcW w:w="1667" w:type="dxa"/>
            <w:shd w:val="clear" w:color="auto" w:fill="auto"/>
          </w:tcPr>
          <w:p>
            <w:pPr>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shd w:val="clear" w:color="auto" w:fill="auto"/>
          </w:tcPr>
          <w:p>
            <w:pPr>
              <w:rPr>
                <w:rFonts w:eastAsia="仿宋_GB2312"/>
                <w:color w:val="auto"/>
                <w:sz w:val="30"/>
                <w:szCs w:val="30"/>
                <w:highlight w:val="none"/>
              </w:rPr>
            </w:pPr>
          </w:p>
        </w:tc>
        <w:tc>
          <w:tcPr>
            <w:tcW w:w="1276" w:type="dxa"/>
            <w:shd w:val="clear" w:color="auto" w:fill="auto"/>
          </w:tcPr>
          <w:p>
            <w:pPr>
              <w:rPr>
                <w:rFonts w:eastAsia="仿宋_GB2312"/>
                <w:color w:val="auto"/>
                <w:sz w:val="30"/>
                <w:szCs w:val="30"/>
                <w:highlight w:val="none"/>
              </w:rPr>
            </w:pPr>
          </w:p>
        </w:tc>
        <w:tc>
          <w:tcPr>
            <w:tcW w:w="1450" w:type="dxa"/>
            <w:shd w:val="clear" w:color="auto" w:fill="auto"/>
          </w:tcPr>
          <w:p>
            <w:pPr>
              <w:rPr>
                <w:rFonts w:eastAsia="仿宋_GB2312"/>
                <w:color w:val="auto"/>
                <w:sz w:val="30"/>
                <w:szCs w:val="30"/>
                <w:highlight w:val="none"/>
              </w:rPr>
            </w:pPr>
          </w:p>
        </w:tc>
        <w:tc>
          <w:tcPr>
            <w:tcW w:w="1243" w:type="dxa"/>
            <w:shd w:val="clear" w:color="auto" w:fill="auto"/>
          </w:tcPr>
          <w:p>
            <w:pPr>
              <w:rPr>
                <w:rFonts w:eastAsia="仿宋_GB2312"/>
                <w:color w:val="auto"/>
                <w:sz w:val="30"/>
                <w:szCs w:val="30"/>
                <w:highlight w:val="none"/>
              </w:rPr>
            </w:pPr>
          </w:p>
        </w:tc>
        <w:tc>
          <w:tcPr>
            <w:tcW w:w="1450" w:type="dxa"/>
            <w:shd w:val="clear" w:color="auto" w:fill="auto"/>
          </w:tcPr>
          <w:p>
            <w:pPr>
              <w:rPr>
                <w:rFonts w:eastAsia="仿宋_GB2312"/>
                <w:color w:val="auto"/>
                <w:sz w:val="30"/>
                <w:szCs w:val="30"/>
                <w:highlight w:val="none"/>
              </w:rPr>
            </w:pPr>
          </w:p>
        </w:tc>
        <w:tc>
          <w:tcPr>
            <w:tcW w:w="1667" w:type="dxa"/>
            <w:shd w:val="clear" w:color="auto" w:fill="auto"/>
          </w:tcPr>
          <w:p>
            <w:pPr>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shd w:val="clear" w:color="auto" w:fill="auto"/>
          </w:tcPr>
          <w:p>
            <w:pPr>
              <w:rPr>
                <w:rFonts w:eastAsia="仿宋_GB2312"/>
                <w:color w:val="auto"/>
                <w:sz w:val="30"/>
                <w:szCs w:val="30"/>
                <w:highlight w:val="none"/>
              </w:rPr>
            </w:pPr>
          </w:p>
        </w:tc>
        <w:tc>
          <w:tcPr>
            <w:tcW w:w="1276" w:type="dxa"/>
            <w:shd w:val="clear" w:color="auto" w:fill="auto"/>
          </w:tcPr>
          <w:p>
            <w:pPr>
              <w:rPr>
                <w:rFonts w:eastAsia="仿宋_GB2312"/>
                <w:color w:val="auto"/>
                <w:sz w:val="30"/>
                <w:szCs w:val="30"/>
                <w:highlight w:val="none"/>
              </w:rPr>
            </w:pPr>
          </w:p>
        </w:tc>
        <w:tc>
          <w:tcPr>
            <w:tcW w:w="1450" w:type="dxa"/>
            <w:shd w:val="clear" w:color="auto" w:fill="auto"/>
          </w:tcPr>
          <w:p>
            <w:pPr>
              <w:rPr>
                <w:rFonts w:eastAsia="仿宋_GB2312"/>
                <w:color w:val="auto"/>
                <w:sz w:val="30"/>
                <w:szCs w:val="30"/>
                <w:highlight w:val="none"/>
              </w:rPr>
            </w:pPr>
          </w:p>
        </w:tc>
        <w:tc>
          <w:tcPr>
            <w:tcW w:w="1243" w:type="dxa"/>
            <w:shd w:val="clear" w:color="auto" w:fill="auto"/>
          </w:tcPr>
          <w:p>
            <w:pPr>
              <w:rPr>
                <w:rFonts w:eastAsia="仿宋_GB2312"/>
                <w:color w:val="auto"/>
                <w:sz w:val="30"/>
                <w:szCs w:val="30"/>
                <w:highlight w:val="none"/>
              </w:rPr>
            </w:pPr>
          </w:p>
        </w:tc>
        <w:tc>
          <w:tcPr>
            <w:tcW w:w="1450" w:type="dxa"/>
            <w:shd w:val="clear" w:color="auto" w:fill="auto"/>
          </w:tcPr>
          <w:p>
            <w:pPr>
              <w:rPr>
                <w:rFonts w:eastAsia="仿宋_GB2312"/>
                <w:color w:val="auto"/>
                <w:sz w:val="30"/>
                <w:szCs w:val="30"/>
                <w:highlight w:val="none"/>
              </w:rPr>
            </w:pPr>
          </w:p>
        </w:tc>
        <w:tc>
          <w:tcPr>
            <w:tcW w:w="1667" w:type="dxa"/>
            <w:shd w:val="clear" w:color="auto" w:fill="auto"/>
          </w:tcPr>
          <w:p>
            <w:pPr>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shd w:val="clear" w:color="auto" w:fill="auto"/>
          </w:tcPr>
          <w:p>
            <w:pPr>
              <w:rPr>
                <w:rFonts w:eastAsia="仿宋_GB2312"/>
                <w:color w:val="auto"/>
                <w:sz w:val="30"/>
                <w:szCs w:val="30"/>
                <w:highlight w:val="none"/>
              </w:rPr>
            </w:pPr>
          </w:p>
        </w:tc>
        <w:tc>
          <w:tcPr>
            <w:tcW w:w="1276" w:type="dxa"/>
            <w:shd w:val="clear" w:color="auto" w:fill="auto"/>
          </w:tcPr>
          <w:p>
            <w:pPr>
              <w:rPr>
                <w:rFonts w:eastAsia="仿宋_GB2312"/>
                <w:color w:val="auto"/>
                <w:sz w:val="30"/>
                <w:szCs w:val="30"/>
                <w:highlight w:val="none"/>
              </w:rPr>
            </w:pPr>
          </w:p>
        </w:tc>
        <w:tc>
          <w:tcPr>
            <w:tcW w:w="1450" w:type="dxa"/>
            <w:shd w:val="clear" w:color="auto" w:fill="auto"/>
          </w:tcPr>
          <w:p>
            <w:pPr>
              <w:rPr>
                <w:rFonts w:eastAsia="仿宋_GB2312"/>
                <w:color w:val="auto"/>
                <w:sz w:val="30"/>
                <w:szCs w:val="30"/>
                <w:highlight w:val="none"/>
              </w:rPr>
            </w:pPr>
          </w:p>
        </w:tc>
        <w:tc>
          <w:tcPr>
            <w:tcW w:w="1243" w:type="dxa"/>
            <w:shd w:val="clear" w:color="auto" w:fill="auto"/>
          </w:tcPr>
          <w:p>
            <w:pPr>
              <w:rPr>
                <w:rFonts w:eastAsia="仿宋_GB2312"/>
                <w:color w:val="auto"/>
                <w:sz w:val="30"/>
                <w:szCs w:val="30"/>
                <w:highlight w:val="none"/>
              </w:rPr>
            </w:pPr>
          </w:p>
        </w:tc>
        <w:tc>
          <w:tcPr>
            <w:tcW w:w="1450" w:type="dxa"/>
            <w:shd w:val="clear" w:color="auto" w:fill="auto"/>
          </w:tcPr>
          <w:p>
            <w:pPr>
              <w:rPr>
                <w:rFonts w:eastAsia="仿宋_GB2312"/>
                <w:color w:val="auto"/>
                <w:sz w:val="30"/>
                <w:szCs w:val="30"/>
                <w:highlight w:val="none"/>
              </w:rPr>
            </w:pPr>
          </w:p>
        </w:tc>
        <w:tc>
          <w:tcPr>
            <w:tcW w:w="1667" w:type="dxa"/>
            <w:shd w:val="clear" w:color="auto" w:fill="auto"/>
          </w:tcPr>
          <w:p>
            <w:pPr>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shd w:val="clear" w:color="auto" w:fill="auto"/>
          </w:tcPr>
          <w:p>
            <w:pPr>
              <w:rPr>
                <w:rFonts w:eastAsia="仿宋_GB2312"/>
                <w:color w:val="auto"/>
                <w:sz w:val="30"/>
                <w:szCs w:val="30"/>
                <w:highlight w:val="none"/>
              </w:rPr>
            </w:pPr>
          </w:p>
        </w:tc>
        <w:tc>
          <w:tcPr>
            <w:tcW w:w="1276" w:type="dxa"/>
            <w:shd w:val="clear" w:color="auto" w:fill="auto"/>
          </w:tcPr>
          <w:p>
            <w:pPr>
              <w:rPr>
                <w:rFonts w:eastAsia="仿宋_GB2312"/>
                <w:color w:val="auto"/>
                <w:sz w:val="30"/>
                <w:szCs w:val="30"/>
                <w:highlight w:val="none"/>
              </w:rPr>
            </w:pPr>
          </w:p>
        </w:tc>
        <w:tc>
          <w:tcPr>
            <w:tcW w:w="1450" w:type="dxa"/>
            <w:shd w:val="clear" w:color="auto" w:fill="auto"/>
          </w:tcPr>
          <w:p>
            <w:pPr>
              <w:rPr>
                <w:rFonts w:eastAsia="仿宋_GB2312"/>
                <w:color w:val="auto"/>
                <w:sz w:val="30"/>
                <w:szCs w:val="30"/>
                <w:highlight w:val="none"/>
              </w:rPr>
            </w:pPr>
          </w:p>
        </w:tc>
        <w:tc>
          <w:tcPr>
            <w:tcW w:w="1243" w:type="dxa"/>
            <w:shd w:val="clear" w:color="auto" w:fill="auto"/>
          </w:tcPr>
          <w:p>
            <w:pPr>
              <w:rPr>
                <w:rFonts w:eastAsia="仿宋_GB2312"/>
                <w:color w:val="auto"/>
                <w:sz w:val="30"/>
                <w:szCs w:val="30"/>
                <w:highlight w:val="none"/>
              </w:rPr>
            </w:pPr>
          </w:p>
        </w:tc>
        <w:tc>
          <w:tcPr>
            <w:tcW w:w="1450" w:type="dxa"/>
            <w:shd w:val="clear" w:color="auto" w:fill="auto"/>
          </w:tcPr>
          <w:p>
            <w:pPr>
              <w:rPr>
                <w:rFonts w:eastAsia="仿宋_GB2312"/>
                <w:color w:val="auto"/>
                <w:sz w:val="30"/>
                <w:szCs w:val="30"/>
                <w:highlight w:val="none"/>
              </w:rPr>
            </w:pPr>
          </w:p>
        </w:tc>
        <w:tc>
          <w:tcPr>
            <w:tcW w:w="1667" w:type="dxa"/>
            <w:shd w:val="clear" w:color="auto" w:fill="auto"/>
          </w:tcPr>
          <w:p>
            <w:pPr>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shd w:val="clear" w:color="auto" w:fill="auto"/>
          </w:tcPr>
          <w:p>
            <w:pPr>
              <w:rPr>
                <w:rFonts w:eastAsia="仿宋_GB2312"/>
                <w:color w:val="auto"/>
                <w:sz w:val="30"/>
                <w:szCs w:val="30"/>
                <w:highlight w:val="none"/>
              </w:rPr>
            </w:pPr>
          </w:p>
        </w:tc>
        <w:tc>
          <w:tcPr>
            <w:tcW w:w="1276" w:type="dxa"/>
            <w:shd w:val="clear" w:color="auto" w:fill="auto"/>
          </w:tcPr>
          <w:p>
            <w:pPr>
              <w:rPr>
                <w:rFonts w:eastAsia="仿宋_GB2312"/>
                <w:color w:val="auto"/>
                <w:sz w:val="30"/>
                <w:szCs w:val="30"/>
                <w:highlight w:val="none"/>
              </w:rPr>
            </w:pPr>
          </w:p>
        </w:tc>
        <w:tc>
          <w:tcPr>
            <w:tcW w:w="1450" w:type="dxa"/>
            <w:shd w:val="clear" w:color="auto" w:fill="auto"/>
          </w:tcPr>
          <w:p>
            <w:pPr>
              <w:rPr>
                <w:rFonts w:eastAsia="仿宋_GB2312"/>
                <w:color w:val="auto"/>
                <w:sz w:val="30"/>
                <w:szCs w:val="30"/>
                <w:highlight w:val="none"/>
              </w:rPr>
            </w:pPr>
          </w:p>
        </w:tc>
        <w:tc>
          <w:tcPr>
            <w:tcW w:w="1243" w:type="dxa"/>
            <w:shd w:val="clear" w:color="auto" w:fill="auto"/>
          </w:tcPr>
          <w:p>
            <w:pPr>
              <w:rPr>
                <w:rFonts w:eastAsia="仿宋_GB2312"/>
                <w:color w:val="auto"/>
                <w:sz w:val="30"/>
                <w:szCs w:val="30"/>
                <w:highlight w:val="none"/>
              </w:rPr>
            </w:pPr>
          </w:p>
        </w:tc>
        <w:tc>
          <w:tcPr>
            <w:tcW w:w="1450" w:type="dxa"/>
            <w:shd w:val="clear" w:color="auto" w:fill="auto"/>
          </w:tcPr>
          <w:p>
            <w:pPr>
              <w:rPr>
                <w:rFonts w:eastAsia="仿宋_GB2312"/>
                <w:color w:val="auto"/>
                <w:sz w:val="30"/>
                <w:szCs w:val="30"/>
                <w:highlight w:val="none"/>
              </w:rPr>
            </w:pPr>
          </w:p>
        </w:tc>
        <w:tc>
          <w:tcPr>
            <w:tcW w:w="1667" w:type="dxa"/>
            <w:shd w:val="clear" w:color="auto" w:fill="auto"/>
          </w:tcPr>
          <w:p>
            <w:pPr>
              <w:rPr>
                <w:rFonts w:eastAsia="仿宋_GB2312"/>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shd w:val="clear" w:color="auto" w:fill="auto"/>
          </w:tcPr>
          <w:p>
            <w:pPr>
              <w:rPr>
                <w:rFonts w:eastAsia="仿宋_GB2312"/>
                <w:color w:val="auto"/>
                <w:sz w:val="30"/>
                <w:szCs w:val="30"/>
                <w:highlight w:val="none"/>
              </w:rPr>
            </w:pPr>
          </w:p>
        </w:tc>
        <w:tc>
          <w:tcPr>
            <w:tcW w:w="1276" w:type="dxa"/>
            <w:shd w:val="clear" w:color="auto" w:fill="auto"/>
          </w:tcPr>
          <w:p>
            <w:pPr>
              <w:rPr>
                <w:rFonts w:eastAsia="仿宋_GB2312"/>
                <w:color w:val="auto"/>
                <w:sz w:val="30"/>
                <w:szCs w:val="30"/>
                <w:highlight w:val="none"/>
              </w:rPr>
            </w:pPr>
          </w:p>
        </w:tc>
        <w:tc>
          <w:tcPr>
            <w:tcW w:w="1450" w:type="dxa"/>
            <w:shd w:val="clear" w:color="auto" w:fill="auto"/>
          </w:tcPr>
          <w:p>
            <w:pPr>
              <w:rPr>
                <w:rFonts w:eastAsia="仿宋_GB2312"/>
                <w:color w:val="auto"/>
                <w:sz w:val="30"/>
                <w:szCs w:val="30"/>
                <w:highlight w:val="none"/>
              </w:rPr>
            </w:pPr>
          </w:p>
        </w:tc>
        <w:tc>
          <w:tcPr>
            <w:tcW w:w="1243" w:type="dxa"/>
            <w:shd w:val="clear" w:color="auto" w:fill="auto"/>
          </w:tcPr>
          <w:p>
            <w:pPr>
              <w:rPr>
                <w:rFonts w:eastAsia="仿宋_GB2312"/>
                <w:color w:val="auto"/>
                <w:sz w:val="30"/>
                <w:szCs w:val="30"/>
                <w:highlight w:val="none"/>
              </w:rPr>
            </w:pPr>
          </w:p>
        </w:tc>
        <w:tc>
          <w:tcPr>
            <w:tcW w:w="1450" w:type="dxa"/>
            <w:shd w:val="clear" w:color="auto" w:fill="auto"/>
          </w:tcPr>
          <w:p>
            <w:pPr>
              <w:rPr>
                <w:rFonts w:eastAsia="仿宋_GB2312"/>
                <w:color w:val="auto"/>
                <w:sz w:val="30"/>
                <w:szCs w:val="30"/>
                <w:highlight w:val="none"/>
              </w:rPr>
            </w:pPr>
          </w:p>
        </w:tc>
        <w:tc>
          <w:tcPr>
            <w:tcW w:w="1667" w:type="dxa"/>
            <w:shd w:val="clear" w:color="auto" w:fill="auto"/>
          </w:tcPr>
          <w:p>
            <w:pPr>
              <w:rPr>
                <w:rFonts w:eastAsia="仿宋_GB2312"/>
                <w:color w:val="auto"/>
                <w:sz w:val="30"/>
                <w:szCs w:val="30"/>
                <w:highlight w:val="none"/>
              </w:rPr>
            </w:pPr>
          </w:p>
        </w:tc>
      </w:tr>
    </w:tbl>
    <w:p>
      <w:pPr>
        <w:spacing w:line="440" w:lineRule="exact"/>
        <w:rPr>
          <w:rFonts w:eastAsia="仿宋_GB2312"/>
          <w:color w:val="auto"/>
          <w:sz w:val="30"/>
          <w:szCs w:val="30"/>
          <w:highlight w:val="none"/>
        </w:rPr>
      </w:pPr>
    </w:p>
    <w:p>
      <w:pPr>
        <w:spacing w:line="440" w:lineRule="exact"/>
        <w:rPr>
          <w:rFonts w:eastAsia="黑体"/>
          <w:color w:val="auto"/>
          <w:sz w:val="30"/>
          <w:szCs w:val="30"/>
          <w:highlight w:val="none"/>
        </w:rPr>
      </w:pPr>
      <w:r>
        <w:rPr>
          <w:rFonts w:eastAsia="仿宋_GB2312"/>
          <w:color w:val="auto"/>
          <w:sz w:val="30"/>
          <w:szCs w:val="30"/>
          <w:highlight w:val="none"/>
        </w:rPr>
        <w:br w:type="page"/>
      </w:r>
      <w:r>
        <w:rPr>
          <w:rFonts w:hint="eastAsia" w:eastAsia="仿宋_GB2312" w:cs="仿宋_GB2312"/>
          <w:color w:val="auto"/>
          <w:sz w:val="30"/>
          <w:szCs w:val="30"/>
          <w:highlight w:val="none"/>
        </w:rPr>
        <w:t>附件</w:t>
      </w:r>
      <w:r>
        <w:rPr>
          <w:rFonts w:hint="eastAsia" w:eastAsia="仿宋_GB2312"/>
          <w:color w:val="auto"/>
          <w:sz w:val="30"/>
          <w:szCs w:val="30"/>
          <w:highlight w:val="none"/>
        </w:rPr>
        <w:t>4</w:t>
      </w:r>
      <w:r>
        <w:rPr>
          <w:rFonts w:hint="eastAsia" w:eastAsia="仿宋_GB2312" w:cs="仿宋_GB2312"/>
          <w:color w:val="auto"/>
          <w:sz w:val="30"/>
          <w:szCs w:val="30"/>
          <w:highlight w:val="none"/>
        </w:rPr>
        <w:t>：</w:t>
      </w:r>
    </w:p>
    <w:p>
      <w:pPr>
        <w:spacing w:beforeLines="50" w:afterLines="50" w:line="440" w:lineRule="exact"/>
        <w:jc w:val="center"/>
        <w:rPr>
          <w:rFonts w:eastAsia="黑体"/>
          <w:color w:val="auto"/>
          <w:sz w:val="30"/>
          <w:szCs w:val="30"/>
          <w:highlight w:val="none"/>
        </w:rPr>
      </w:pPr>
      <w:r>
        <w:rPr>
          <w:rFonts w:hint="eastAsia" w:eastAsia="黑体" w:cs="黑体"/>
          <w:color w:val="auto"/>
          <w:sz w:val="30"/>
          <w:szCs w:val="30"/>
          <w:highlight w:val="none"/>
        </w:rPr>
        <w:t>承包人用于本工程施工的机械设备表</w:t>
      </w:r>
    </w:p>
    <w:tbl>
      <w:tblPr>
        <w:tblStyle w:val="42"/>
        <w:tblW w:w="980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162" w:type="dxa"/>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序号</w:t>
            </w:r>
          </w:p>
        </w:tc>
        <w:tc>
          <w:tcPr>
            <w:tcW w:w="1418" w:type="dxa"/>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机械或设备名称</w:t>
            </w:r>
          </w:p>
        </w:tc>
        <w:tc>
          <w:tcPr>
            <w:tcW w:w="850" w:type="dxa"/>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规格型号</w:t>
            </w:r>
          </w:p>
        </w:tc>
        <w:tc>
          <w:tcPr>
            <w:tcW w:w="1058" w:type="dxa"/>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数量</w:t>
            </w:r>
          </w:p>
        </w:tc>
        <w:tc>
          <w:tcPr>
            <w:tcW w:w="880" w:type="dxa"/>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产地</w:t>
            </w:r>
          </w:p>
        </w:tc>
        <w:tc>
          <w:tcPr>
            <w:tcW w:w="1020" w:type="dxa"/>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制造年份</w:t>
            </w:r>
          </w:p>
        </w:tc>
        <w:tc>
          <w:tcPr>
            <w:tcW w:w="1480" w:type="dxa"/>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额定功率（</w:t>
            </w:r>
            <w:r>
              <w:rPr>
                <w:rFonts w:eastAsia="仿宋_GB2312"/>
                <w:color w:val="auto"/>
                <w:sz w:val="28"/>
                <w:szCs w:val="28"/>
                <w:highlight w:val="none"/>
              </w:rPr>
              <w:t>kW</w:t>
            </w:r>
            <w:r>
              <w:rPr>
                <w:rFonts w:hint="eastAsia" w:eastAsia="仿宋_GB2312" w:cs="仿宋_GB2312"/>
                <w:color w:val="auto"/>
                <w:sz w:val="28"/>
                <w:szCs w:val="28"/>
                <w:highlight w:val="none"/>
              </w:rPr>
              <w:t>）</w:t>
            </w:r>
          </w:p>
        </w:tc>
        <w:tc>
          <w:tcPr>
            <w:tcW w:w="1020" w:type="dxa"/>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生产能力</w:t>
            </w:r>
          </w:p>
        </w:tc>
        <w:tc>
          <w:tcPr>
            <w:tcW w:w="921" w:type="dxa"/>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16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18"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5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058"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8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02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8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02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921"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16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18"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5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058"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8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02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8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02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921"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16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18"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5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058"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8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02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8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02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921"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16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18"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5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058"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8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02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8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02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921"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16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18"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5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058"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8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02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8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02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921"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16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18"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5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058"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8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02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8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02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921"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16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18"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5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058"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8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02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8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02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921"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16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18"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5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058"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8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02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8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02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921"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162" w:type="dxa"/>
            <w:shd w:val="clear" w:color="auto" w:fill="auto"/>
          </w:tcPr>
          <w:p>
            <w:pPr>
              <w:rPr>
                <w:rFonts w:eastAsia="仿宋_GB2312"/>
                <w:color w:val="auto"/>
                <w:sz w:val="30"/>
                <w:szCs w:val="30"/>
                <w:highlight w:val="none"/>
              </w:rPr>
            </w:pPr>
          </w:p>
        </w:tc>
        <w:tc>
          <w:tcPr>
            <w:tcW w:w="1418" w:type="dxa"/>
            <w:shd w:val="clear" w:color="auto" w:fill="auto"/>
          </w:tcPr>
          <w:p>
            <w:pPr>
              <w:rPr>
                <w:rFonts w:eastAsia="仿宋_GB2312"/>
                <w:color w:val="auto"/>
                <w:sz w:val="30"/>
                <w:szCs w:val="30"/>
                <w:highlight w:val="none"/>
              </w:rPr>
            </w:pPr>
          </w:p>
        </w:tc>
        <w:tc>
          <w:tcPr>
            <w:tcW w:w="850" w:type="dxa"/>
            <w:shd w:val="clear" w:color="auto" w:fill="auto"/>
          </w:tcPr>
          <w:p>
            <w:pPr>
              <w:rPr>
                <w:rFonts w:eastAsia="仿宋_GB2312"/>
                <w:color w:val="auto"/>
                <w:sz w:val="30"/>
                <w:szCs w:val="30"/>
                <w:highlight w:val="none"/>
              </w:rPr>
            </w:pPr>
          </w:p>
        </w:tc>
        <w:tc>
          <w:tcPr>
            <w:tcW w:w="1058" w:type="dxa"/>
            <w:shd w:val="clear" w:color="auto" w:fill="auto"/>
          </w:tcPr>
          <w:p>
            <w:pPr>
              <w:rPr>
                <w:rFonts w:eastAsia="仿宋_GB2312"/>
                <w:color w:val="auto"/>
                <w:sz w:val="30"/>
                <w:szCs w:val="30"/>
                <w:highlight w:val="none"/>
              </w:rPr>
            </w:pPr>
          </w:p>
        </w:tc>
        <w:tc>
          <w:tcPr>
            <w:tcW w:w="880" w:type="dxa"/>
            <w:shd w:val="clear" w:color="auto" w:fill="auto"/>
          </w:tcPr>
          <w:p>
            <w:pPr>
              <w:rPr>
                <w:rFonts w:eastAsia="仿宋_GB2312"/>
                <w:color w:val="auto"/>
                <w:sz w:val="30"/>
                <w:szCs w:val="30"/>
                <w:highlight w:val="none"/>
              </w:rPr>
            </w:pPr>
          </w:p>
        </w:tc>
        <w:tc>
          <w:tcPr>
            <w:tcW w:w="1020" w:type="dxa"/>
            <w:shd w:val="clear" w:color="auto" w:fill="auto"/>
          </w:tcPr>
          <w:p>
            <w:pPr>
              <w:rPr>
                <w:rFonts w:eastAsia="仿宋_GB2312"/>
                <w:color w:val="auto"/>
                <w:sz w:val="30"/>
                <w:szCs w:val="30"/>
                <w:highlight w:val="none"/>
              </w:rPr>
            </w:pPr>
          </w:p>
        </w:tc>
        <w:tc>
          <w:tcPr>
            <w:tcW w:w="1480" w:type="dxa"/>
            <w:shd w:val="clear" w:color="auto" w:fill="auto"/>
          </w:tcPr>
          <w:p>
            <w:pPr>
              <w:rPr>
                <w:rFonts w:eastAsia="仿宋_GB2312"/>
                <w:color w:val="auto"/>
                <w:sz w:val="30"/>
                <w:szCs w:val="30"/>
                <w:highlight w:val="none"/>
              </w:rPr>
            </w:pPr>
          </w:p>
        </w:tc>
        <w:tc>
          <w:tcPr>
            <w:tcW w:w="1020" w:type="dxa"/>
            <w:shd w:val="clear" w:color="auto" w:fill="auto"/>
          </w:tcPr>
          <w:p>
            <w:pPr>
              <w:rPr>
                <w:rFonts w:eastAsia="仿宋_GB2312"/>
                <w:color w:val="auto"/>
                <w:sz w:val="30"/>
                <w:szCs w:val="30"/>
                <w:highlight w:val="none"/>
              </w:rPr>
            </w:pPr>
          </w:p>
        </w:tc>
        <w:tc>
          <w:tcPr>
            <w:tcW w:w="921" w:type="dxa"/>
            <w:shd w:val="clear" w:color="auto" w:fill="auto"/>
          </w:tcPr>
          <w:p>
            <w:pPr>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16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18"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5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058"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88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02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48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020"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921"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162" w:type="dxa"/>
            <w:shd w:val="clear" w:color="auto" w:fill="auto"/>
          </w:tcPr>
          <w:p>
            <w:pPr>
              <w:rPr>
                <w:rFonts w:eastAsia="仿宋_GB2312"/>
                <w:color w:val="auto"/>
                <w:sz w:val="30"/>
                <w:szCs w:val="30"/>
                <w:highlight w:val="none"/>
              </w:rPr>
            </w:pPr>
          </w:p>
        </w:tc>
        <w:tc>
          <w:tcPr>
            <w:tcW w:w="1418" w:type="dxa"/>
            <w:shd w:val="clear" w:color="auto" w:fill="auto"/>
          </w:tcPr>
          <w:p>
            <w:pPr>
              <w:rPr>
                <w:rFonts w:eastAsia="仿宋_GB2312"/>
                <w:color w:val="auto"/>
                <w:sz w:val="30"/>
                <w:szCs w:val="30"/>
                <w:highlight w:val="none"/>
              </w:rPr>
            </w:pPr>
          </w:p>
        </w:tc>
        <w:tc>
          <w:tcPr>
            <w:tcW w:w="850" w:type="dxa"/>
            <w:shd w:val="clear" w:color="auto" w:fill="auto"/>
          </w:tcPr>
          <w:p>
            <w:pPr>
              <w:rPr>
                <w:rFonts w:eastAsia="仿宋_GB2312"/>
                <w:color w:val="auto"/>
                <w:sz w:val="30"/>
                <w:szCs w:val="30"/>
                <w:highlight w:val="none"/>
              </w:rPr>
            </w:pPr>
          </w:p>
        </w:tc>
        <w:tc>
          <w:tcPr>
            <w:tcW w:w="1058" w:type="dxa"/>
            <w:shd w:val="clear" w:color="auto" w:fill="auto"/>
          </w:tcPr>
          <w:p>
            <w:pPr>
              <w:rPr>
                <w:rFonts w:eastAsia="仿宋_GB2312"/>
                <w:color w:val="auto"/>
                <w:sz w:val="30"/>
                <w:szCs w:val="30"/>
                <w:highlight w:val="none"/>
              </w:rPr>
            </w:pPr>
          </w:p>
        </w:tc>
        <w:tc>
          <w:tcPr>
            <w:tcW w:w="880" w:type="dxa"/>
            <w:shd w:val="clear" w:color="auto" w:fill="auto"/>
          </w:tcPr>
          <w:p>
            <w:pPr>
              <w:rPr>
                <w:rFonts w:eastAsia="仿宋_GB2312"/>
                <w:color w:val="auto"/>
                <w:sz w:val="30"/>
                <w:szCs w:val="30"/>
                <w:highlight w:val="none"/>
              </w:rPr>
            </w:pPr>
          </w:p>
        </w:tc>
        <w:tc>
          <w:tcPr>
            <w:tcW w:w="1020" w:type="dxa"/>
            <w:shd w:val="clear" w:color="auto" w:fill="auto"/>
          </w:tcPr>
          <w:p>
            <w:pPr>
              <w:rPr>
                <w:rFonts w:eastAsia="仿宋_GB2312"/>
                <w:color w:val="auto"/>
                <w:sz w:val="30"/>
                <w:szCs w:val="30"/>
                <w:highlight w:val="none"/>
              </w:rPr>
            </w:pPr>
          </w:p>
        </w:tc>
        <w:tc>
          <w:tcPr>
            <w:tcW w:w="1480" w:type="dxa"/>
            <w:shd w:val="clear" w:color="auto" w:fill="auto"/>
          </w:tcPr>
          <w:p>
            <w:pPr>
              <w:rPr>
                <w:rFonts w:eastAsia="仿宋_GB2312"/>
                <w:color w:val="auto"/>
                <w:sz w:val="30"/>
                <w:szCs w:val="30"/>
                <w:highlight w:val="none"/>
              </w:rPr>
            </w:pPr>
          </w:p>
        </w:tc>
        <w:tc>
          <w:tcPr>
            <w:tcW w:w="1020" w:type="dxa"/>
            <w:shd w:val="clear" w:color="auto" w:fill="auto"/>
          </w:tcPr>
          <w:p>
            <w:pPr>
              <w:rPr>
                <w:rFonts w:eastAsia="仿宋_GB2312"/>
                <w:color w:val="auto"/>
                <w:sz w:val="30"/>
                <w:szCs w:val="30"/>
                <w:highlight w:val="none"/>
              </w:rPr>
            </w:pPr>
          </w:p>
        </w:tc>
        <w:tc>
          <w:tcPr>
            <w:tcW w:w="921" w:type="dxa"/>
            <w:shd w:val="clear" w:color="auto" w:fill="auto"/>
          </w:tcPr>
          <w:p>
            <w:pPr>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162" w:type="dxa"/>
            <w:shd w:val="clear" w:color="auto" w:fill="auto"/>
          </w:tcPr>
          <w:p>
            <w:pPr>
              <w:rPr>
                <w:rFonts w:eastAsia="仿宋_GB2312"/>
                <w:color w:val="auto"/>
                <w:sz w:val="30"/>
                <w:szCs w:val="30"/>
                <w:highlight w:val="none"/>
              </w:rPr>
            </w:pPr>
          </w:p>
        </w:tc>
        <w:tc>
          <w:tcPr>
            <w:tcW w:w="1418" w:type="dxa"/>
            <w:shd w:val="clear" w:color="auto" w:fill="auto"/>
          </w:tcPr>
          <w:p>
            <w:pPr>
              <w:rPr>
                <w:rFonts w:eastAsia="仿宋_GB2312"/>
                <w:color w:val="auto"/>
                <w:sz w:val="30"/>
                <w:szCs w:val="30"/>
                <w:highlight w:val="none"/>
              </w:rPr>
            </w:pPr>
          </w:p>
        </w:tc>
        <w:tc>
          <w:tcPr>
            <w:tcW w:w="850" w:type="dxa"/>
            <w:shd w:val="clear" w:color="auto" w:fill="auto"/>
          </w:tcPr>
          <w:p>
            <w:pPr>
              <w:rPr>
                <w:rFonts w:eastAsia="仿宋_GB2312"/>
                <w:color w:val="auto"/>
                <w:sz w:val="30"/>
                <w:szCs w:val="30"/>
                <w:highlight w:val="none"/>
              </w:rPr>
            </w:pPr>
          </w:p>
        </w:tc>
        <w:tc>
          <w:tcPr>
            <w:tcW w:w="1058" w:type="dxa"/>
            <w:shd w:val="clear" w:color="auto" w:fill="auto"/>
          </w:tcPr>
          <w:p>
            <w:pPr>
              <w:rPr>
                <w:rFonts w:eastAsia="仿宋_GB2312"/>
                <w:color w:val="auto"/>
                <w:sz w:val="30"/>
                <w:szCs w:val="30"/>
                <w:highlight w:val="none"/>
              </w:rPr>
            </w:pPr>
          </w:p>
        </w:tc>
        <w:tc>
          <w:tcPr>
            <w:tcW w:w="880" w:type="dxa"/>
            <w:shd w:val="clear" w:color="auto" w:fill="auto"/>
          </w:tcPr>
          <w:p>
            <w:pPr>
              <w:rPr>
                <w:rFonts w:eastAsia="仿宋_GB2312"/>
                <w:color w:val="auto"/>
                <w:sz w:val="30"/>
                <w:szCs w:val="30"/>
                <w:highlight w:val="none"/>
              </w:rPr>
            </w:pPr>
          </w:p>
        </w:tc>
        <w:tc>
          <w:tcPr>
            <w:tcW w:w="1020" w:type="dxa"/>
            <w:shd w:val="clear" w:color="auto" w:fill="auto"/>
          </w:tcPr>
          <w:p>
            <w:pPr>
              <w:rPr>
                <w:rFonts w:eastAsia="仿宋_GB2312"/>
                <w:color w:val="auto"/>
                <w:sz w:val="30"/>
                <w:szCs w:val="30"/>
                <w:highlight w:val="none"/>
              </w:rPr>
            </w:pPr>
          </w:p>
        </w:tc>
        <w:tc>
          <w:tcPr>
            <w:tcW w:w="1480" w:type="dxa"/>
            <w:shd w:val="clear" w:color="auto" w:fill="auto"/>
          </w:tcPr>
          <w:p>
            <w:pPr>
              <w:rPr>
                <w:rFonts w:eastAsia="仿宋_GB2312"/>
                <w:color w:val="auto"/>
                <w:sz w:val="30"/>
                <w:szCs w:val="30"/>
                <w:highlight w:val="none"/>
              </w:rPr>
            </w:pPr>
          </w:p>
        </w:tc>
        <w:tc>
          <w:tcPr>
            <w:tcW w:w="1020" w:type="dxa"/>
            <w:shd w:val="clear" w:color="auto" w:fill="auto"/>
          </w:tcPr>
          <w:p>
            <w:pPr>
              <w:rPr>
                <w:rFonts w:eastAsia="仿宋_GB2312"/>
                <w:color w:val="auto"/>
                <w:sz w:val="30"/>
                <w:szCs w:val="30"/>
                <w:highlight w:val="none"/>
              </w:rPr>
            </w:pPr>
          </w:p>
        </w:tc>
        <w:tc>
          <w:tcPr>
            <w:tcW w:w="921" w:type="dxa"/>
            <w:shd w:val="clear" w:color="auto" w:fill="auto"/>
          </w:tcPr>
          <w:p>
            <w:pPr>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162" w:type="dxa"/>
            <w:shd w:val="clear" w:color="auto" w:fill="auto"/>
          </w:tcPr>
          <w:p>
            <w:pPr>
              <w:rPr>
                <w:rFonts w:eastAsia="仿宋_GB2312"/>
                <w:color w:val="auto"/>
                <w:sz w:val="30"/>
                <w:szCs w:val="30"/>
                <w:highlight w:val="none"/>
              </w:rPr>
            </w:pPr>
          </w:p>
        </w:tc>
        <w:tc>
          <w:tcPr>
            <w:tcW w:w="1418" w:type="dxa"/>
            <w:shd w:val="clear" w:color="auto" w:fill="auto"/>
          </w:tcPr>
          <w:p>
            <w:pPr>
              <w:rPr>
                <w:rFonts w:eastAsia="仿宋_GB2312"/>
                <w:color w:val="auto"/>
                <w:sz w:val="30"/>
                <w:szCs w:val="30"/>
                <w:highlight w:val="none"/>
              </w:rPr>
            </w:pPr>
          </w:p>
        </w:tc>
        <w:tc>
          <w:tcPr>
            <w:tcW w:w="850" w:type="dxa"/>
            <w:shd w:val="clear" w:color="auto" w:fill="auto"/>
          </w:tcPr>
          <w:p>
            <w:pPr>
              <w:rPr>
                <w:rFonts w:eastAsia="仿宋_GB2312"/>
                <w:color w:val="auto"/>
                <w:sz w:val="30"/>
                <w:szCs w:val="30"/>
                <w:highlight w:val="none"/>
              </w:rPr>
            </w:pPr>
          </w:p>
        </w:tc>
        <w:tc>
          <w:tcPr>
            <w:tcW w:w="1058" w:type="dxa"/>
            <w:shd w:val="clear" w:color="auto" w:fill="auto"/>
          </w:tcPr>
          <w:p>
            <w:pPr>
              <w:rPr>
                <w:rFonts w:eastAsia="仿宋_GB2312"/>
                <w:color w:val="auto"/>
                <w:sz w:val="30"/>
                <w:szCs w:val="30"/>
                <w:highlight w:val="none"/>
              </w:rPr>
            </w:pPr>
          </w:p>
        </w:tc>
        <w:tc>
          <w:tcPr>
            <w:tcW w:w="880" w:type="dxa"/>
            <w:shd w:val="clear" w:color="auto" w:fill="auto"/>
          </w:tcPr>
          <w:p>
            <w:pPr>
              <w:rPr>
                <w:rFonts w:eastAsia="仿宋_GB2312"/>
                <w:color w:val="auto"/>
                <w:sz w:val="30"/>
                <w:szCs w:val="30"/>
                <w:highlight w:val="none"/>
              </w:rPr>
            </w:pPr>
          </w:p>
        </w:tc>
        <w:tc>
          <w:tcPr>
            <w:tcW w:w="1020" w:type="dxa"/>
            <w:shd w:val="clear" w:color="auto" w:fill="auto"/>
          </w:tcPr>
          <w:p>
            <w:pPr>
              <w:rPr>
                <w:rFonts w:eastAsia="仿宋_GB2312"/>
                <w:color w:val="auto"/>
                <w:sz w:val="30"/>
                <w:szCs w:val="30"/>
                <w:highlight w:val="none"/>
              </w:rPr>
            </w:pPr>
          </w:p>
        </w:tc>
        <w:tc>
          <w:tcPr>
            <w:tcW w:w="1480" w:type="dxa"/>
            <w:shd w:val="clear" w:color="auto" w:fill="auto"/>
          </w:tcPr>
          <w:p>
            <w:pPr>
              <w:rPr>
                <w:rFonts w:eastAsia="仿宋_GB2312"/>
                <w:color w:val="auto"/>
                <w:sz w:val="30"/>
                <w:szCs w:val="30"/>
                <w:highlight w:val="none"/>
              </w:rPr>
            </w:pPr>
          </w:p>
        </w:tc>
        <w:tc>
          <w:tcPr>
            <w:tcW w:w="1020" w:type="dxa"/>
            <w:shd w:val="clear" w:color="auto" w:fill="auto"/>
          </w:tcPr>
          <w:p>
            <w:pPr>
              <w:rPr>
                <w:rFonts w:eastAsia="仿宋_GB2312"/>
                <w:color w:val="auto"/>
                <w:sz w:val="30"/>
                <w:szCs w:val="30"/>
                <w:highlight w:val="none"/>
              </w:rPr>
            </w:pPr>
          </w:p>
        </w:tc>
        <w:tc>
          <w:tcPr>
            <w:tcW w:w="921" w:type="dxa"/>
            <w:shd w:val="clear" w:color="auto" w:fill="auto"/>
          </w:tcPr>
          <w:p>
            <w:pPr>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162" w:type="dxa"/>
            <w:shd w:val="clear" w:color="auto" w:fill="auto"/>
          </w:tcPr>
          <w:p>
            <w:pPr>
              <w:rPr>
                <w:rFonts w:eastAsia="仿宋_GB2312"/>
                <w:color w:val="auto"/>
                <w:sz w:val="30"/>
                <w:szCs w:val="30"/>
                <w:highlight w:val="none"/>
              </w:rPr>
            </w:pPr>
          </w:p>
        </w:tc>
        <w:tc>
          <w:tcPr>
            <w:tcW w:w="1418" w:type="dxa"/>
            <w:shd w:val="clear" w:color="auto" w:fill="auto"/>
          </w:tcPr>
          <w:p>
            <w:pPr>
              <w:rPr>
                <w:rFonts w:eastAsia="仿宋_GB2312"/>
                <w:color w:val="auto"/>
                <w:sz w:val="30"/>
                <w:szCs w:val="30"/>
                <w:highlight w:val="none"/>
              </w:rPr>
            </w:pPr>
          </w:p>
        </w:tc>
        <w:tc>
          <w:tcPr>
            <w:tcW w:w="850" w:type="dxa"/>
            <w:shd w:val="clear" w:color="auto" w:fill="auto"/>
          </w:tcPr>
          <w:p>
            <w:pPr>
              <w:rPr>
                <w:rFonts w:eastAsia="仿宋_GB2312"/>
                <w:color w:val="auto"/>
                <w:sz w:val="30"/>
                <w:szCs w:val="30"/>
                <w:highlight w:val="none"/>
              </w:rPr>
            </w:pPr>
          </w:p>
        </w:tc>
        <w:tc>
          <w:tcPr>
            <w:tcW w:w="1058" w:type="dxa"/>
            <w:shd w:val="clear" w:color="auto" w:fill="auto"/>
          </w:tcPr>
          <w:p>
            <w:pPr>
              <w:rPr>
                <w:rFonts w:eastAsia="仿宋_GB2312"/>
                <w:color w:val="auto"/>
                <w:sz w:val="30"/>
                <w:szCs w:val="30"/>
                <w:highlight w:val="none"/>
              </w:rPr>
            </w:pPr>
          </w:p>
        </w:tc>
        <w:tc>
          <w:tcPr>
            <w:tcW w:w="880" w:type="dxa"/>
            <w:shd w:val="clear" w:color="auto" w:fill="auto"/>
          </w:tcPr>
          <w:p>
            <w:pPr>
              <w:rPr>
                <w:rFonts w:eastAsia="仿宋_GB2312"/>
                <w:color w:val="auto"/>
                <w:sz w:val="30"/>
                <w:szCs w:val="30"/>
                <w:highlight w:val="none"/>
              </w:rPr>
            </w:pPr>
          </w:p>
        </w:tc>
        <w:tc>
          <w:tcPr>
            <w:tcW w:w="1020" w:type="dxa"/>
            <w:shd w:val="clear" w:color="auto" w:fill="auto"/>
          </w:tcPr>
          <w:p>
            <w:pPr>
              <w:rPr>
                <w:rFonts w:eastAsia="仿宋_GB2312"/>
                <w:color w:val="auto"/>
                <w:sz w:val="30"/>
                <w:szCs w:val="30"/>
                <w:highlight w:val="none"/>
              </w:rPr>
            </w:pPr>
          </w:p>
        </w:tc>
        <w:tc>
          <w:tcPr>
            <w:tcW w:w="1480" w:type="dxa"/>
            <w:shd w:val="clear" w:color="auto" w:fill="auto"/>
          </w:tcPr>
          <w:p>
            <w:pPr>
              <w:rPr>
                <w:rFonts w:eastAsia="仿宋_GB2312"/>
                <w:color w:val="auto"/>
                <w:sz w:val="30"/>
                <w:szCs w:val="30"/>
                <w:highlight w:val="none"/>
              </w:rPr>
            </w:pPr>
          </w:p>
        </w:tc>
        <w:tc>
          <w:tcPr>
            <w:tcW w:w="1020" w:type="dxa"/>
            <w:shd w:val="clear" w:color="auto" w:fill="auto"/>
          </w:tcPr>
          <w:p>
            <w:pPr>
              <w:rPr>
                <w:rFonts w:eastAsia="仿宋_GB2312"/>
                <w:color w:val="auto"/>
                <w:sz w:val="30"/>
                <w:szCs w:val="30"/>
                <w:highlight w:val="none"/>
              </w:rPr>
            </w:pPr>
          </w:p>
        </w:tc>
        <w:tc>
          <w:tcPr>
            <w:tcW w:w="921" w:type="dxa"/>
            <w:shd w:val="clear" w:color="auto" w:fill="auto"/>
          </w:tcPr>
          <w:p>
            <w:pPr>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162" w:type="dxa"/>
            <w:shd w:val="clear" w:color="auto" w:fill="auto"/>
          </w:tcPr>
          <w:p>
            <w:pPr>
              <w:rPr>
                <w:rFonts w:eastAsia="仿宋_GB2312"/>
                <w:color w:val="auto"/>
                <w:sz w:val="30"/>
                <w:szCs w:val="30"/>
                <w:highlight w:val="none"/>
              </w:rPr>
            </w:pPr>
          </w:p>
        </w:tc>
        <w:tc>
          <w:tcPr>
            <w:tcW w:w="1418" w:type="dxa"/>
            <w:shd w:val="clear" w:color="auto" w:fill="auto"/>
          </w:tcPr>
          <w:p>
            <w:pPr>
              <w:rPr>
                <w:rFonts w:eastAsia="仿宋_GB2312"/>
                <w:color w:val="auto"/>
                <w:sz w:val="30"/>
                <w:szCs w:val="30"/>
                <w:highlight w:val="none"/>
              </w:rPr>
            </w:pPr>
          </w:p>
        </w:tc>
        <w:tc>
          <w:tcPr>
            <w:tcW w:w="850" w:type="dxa"/>
            <w:shd w:val="clear" w:color="auto" w:fill="auto"/>
          </w:tcPr>
          <w:p>
            <w:pPr>
              <w:rPr>
                <w:rFonts w:eastAsia="仿宋_GB2312"/>
                <w:color w:val="auto"/>
                <w:sz w:val="30"/>
                <w:szCs w:val="30"/>
                <w:highlight w:val="none"/>
              </w:rPr>
            </w:pPr>
          </w:p>
        </w:tc>
        <w:tc>
          <w:tcPr>
            <w:tcW w:w="1058" w:type="dxa"/>
            <w:shd w:val="clear" w:color="auto" w:fill="auto"/>
          </w:tcPr>
          <w:p>
            <w:pPr>
              <w:rPr>
                <w:rFonts w:eastAsia="仿宋_GB2312"/>
                <w:color w:val="auto"/>
                <w:sz w:val="30"/>
                <w:szCs w:val="30"/>
                <w:highlight w:val="none"/>
              </w:rPr>
            </w:pPr>
          </w:p>
        </w:tc>
        <w:tc>
          <w:tcPr>
            <w:tcW w:w="880" w:type="dxa"/>
            <w:shd w:val="clear" w:color="auto" w:fill="auto"/>
          </w:tcPr>
          <w:p>
            <w:pPr>
              <w:rPr>
                <w:rFonts w:eastAsia="仿宋_GB2312"/>
                <w:color w:val="auto"/>
                <w:sz w:val="30"/>
                <w:szCs w:val="30"/>
                <w:highlight w:val="none"/>
              </w:rPr>
            </w:pPr>
          </w:p>
        </w:tc>
        <w:tc>
          <w:tcPr>
            <w:tcW w:w="1020" w:type="dxa"/>
            <w:shd w:val="clear" w:color="auto" w:fill="auto"/>
          </w:tcPr>
          <w:p>
            <w:pPr>
              <w:rPr>
                <w:rFonts w:eastAsia="仿宋_GB2312"/>
                <w:color w:val="auto"/>
                <w:sz w:val="30"/>
                <w:szCs w:val="30"/>
                <w:highlight w:val="none"/>
              </w:rPr>
            </w:pPr>
          </w:p>
        </w:tc>
        <w:tc>
          <w:tcPr>
            <w:tcW w:w="1480" w:type="dxa"/>
            <w:shd w:val="clear" w:color="auto" w:fill="auto"/>
          </w:tcPr>
          <w:p>
            <w:pPr>
              <w:rPr>
                <w:rFonts w:eastAsia="仿宋_GB2312"/>
                <w:color w:val="auto"/>
                <w:sz w:val="30"/>
                <w:szCs w:val="30"/>
                <w:highlight w:val="none"/>
              </w:rPr>
            </w:pPr>
          </w:p>
        </w:tc>
        <w:tc>
          <w:tcPr>
            <w:tcW w:w="1020" w:type="dxa"/>
            <w:shd w:val="clear" w:color="auto" w:fill="auto"/>
          </w:tcPr>
          <w:p>
            <w:pPr>
              <w:rPr>
                <w:rFonts w:eastAsia="仿宋_GB2312"/>
                <w:color w:val="auto"/>
                <w:sz w:val="30"/>
                <w:szCs w:val="30"/>
                <w:highlight w:val="none"/>
              </w:rPr>
            </w:pPr>
          </w:p>
        </w:tc>
        <w:tc>
          <w:tcPr>
            <w:tcW w:w="921" w:type="dxa"/>
            <w:shd w:val="clear" w:color="auto" w:fill="auto"/>
          </w:tcPr>
          <w:p>
            <w:pPr>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162" w:type="dxa"/>
            <w:shd w:val="clear" w:color="auto" w:fill="auto"/>
          </w:tcPr>
          <w:p>
            <w:pPr>
              <w:rPr>
                <w:rFonts w:eastAsia="仿宋_GB2312"/>
                <w:color w:val="auto"/>
                <w:sz w:val="30"/>
                <w:szCs w:val="30"/>
                <w:highlight w:val="none"/>
              </w:rPr>
            </w:pPr>
          </w:p>
        </w:tc>
        <w:tc>
          <w:tcPr>
            <w:tcW w:w="1418" w:type="dxa"/>
            <w:shd w:val="clear" w:color="auto" w:fill="auto"/>
          </w:tcPr>
          <w:p>
            <w:pPr>
              <w:rPr>
                <w:rFonts w:eastAsia="仿宋_GB2312"/>
                <w:color w:val="auto"/>
                <w:sz w:val="30"/>
                <w:szCs w:val="30"/>
                <w:highlight w:val="none"/>
              </w:rPr>
            </w:pPr>
          </w:p>
        </w:tc>
        <w:tc>
          <w:tcPr>
            <w:tcW w:w="850" w:type="dxa"/>
            <w:shd w:val="clear" w:color="auto" w:fill="auto"/>
          </w:tcPr>
          <w:p>
            <w:pPr>
              <w:rPr>
                <w:rFonts w:eastAsia="仿宋_GB2312"/>
                <w:color w:val="auto"/>
                <w:sz w:val="30"/>
                <w:szCs w:val="30"/>
                <w:highlight w:val="none"/>
              </w:rPr>
            </w:pPr>
          </w:p>
        </w:tc>
        <w:tc>
          <w:tcPr>
            <w:tcW w:w="1058" w:type="dxa"/>
            <w:shd w:val="clear" w:color="auto" w:fill="auto"/>
          </w:tcPr>
          <w:p>
            <w:pPr>
              <w:rPr>
                <w:rFonts w:eastAsia="仿宋_GB2312"/>
                <w:color w:val="auto"/>
                <w:sz w:val="30"/>
                <w:szCs w:val="30"/>
                <w:highlight w:val="none"/>
              </w:rPr>
            </w:pPr>
          </w:p>
        </w:tc>
        <w:tc>
          <w:tcPr>
            <w:tcW w:w="880" w:type="dxa"/>
            <w:shd w:val="clear" w:color="auto" w:fill="auto"/>
          </w:tcPr>
          <w:p>
            <w:pPr>
              <w:rPr>
                <w:rFonts w:eastAsia="仿宋_GB2312"/>
                <w:color w:val="auto"/>
                <w:sz w:val="30"/>
                <w:szCs w:val="30"/>
                <w:highlight w:val="none"/>
              </w:rPr>
            </w:pPr>
          </w:p>
        </w:tc>
        <w:tc>
          <w:tcPr>
            <w:tcW w:w="1020" w:type="dxa"/>
            <w:shd w:val="clear" w:color="auto" w:fill="auto"/>
          </w:tcPr>
          <w:p>
            <w:pPr>
              <w:rPr>
                <w:rFonts w:eastAsia="仿宋_GB2312"/>
                <w:color w:val="auto"/>
                <w:sz w:val="30"/>
                <w:szCs w:val="30"/>
                <w:highlight w:val="none"/>
              </w:rPr>
            </w:pPr>
          </w:p>
        </w:tc>
        <w:tc>
          <w:tcPr>
            <w:tcW w:w="1480" w:type="dxa"/>
            <w:shd w:val="clear" w:color="auto" w:fill="auto"/>
          </w:tcPr>
          <w:p>
            <w:pPr>
              <w:rPr>
                <w:rFonts w:eastAsia="仿宋_GB2312"/>
                <w:color w:val="auto"/>
                <w:sz w:val="30"/>
                <w:szCs w:val="30"/>
                <w:highlight w:val="none"/>
              </w:rPr>
            </w:pPr>
          </w:p>
        </w:tc>
        <w:tc>
          <w:tcPr>
            <w:tcW w:w="1020" w:type="dxa"/>
            <w:shd w:val="clear" w:color="auto" w:fill="auto"/>
          </w:tcPr>
          <w:p>
            <w:pPr>
              <w:rPr>
                <w:rFonts w:eastAsia="仿宋_GB2312"/>
                <w:color w:val="auto"/>
                <w:sz w:val="30"/>
                <w:szCs w:val="30"/>
                <w:highlight w:val="none"/>
              </w:rPr>
            </w:pPr>
          </w:p>
        </w:tc>
        <w:tc>
          <w:tcPr>
            <w:tcW w:w="921" w:type="dxa"/>
            <w:shd w:val="clear" w:color="auto" w:fill="auto"/>
          </w:tcPr>
          <w:p>
            <w:pPr>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162" w:type="dxa"/>
            <w:shd w:val="clear" w:color="auto" w:fill="auto"/>
          </w:tcPr>
          <w:p>
            <w:pPr>
              <w:rPr>
                <w:rFonts w:eastAsia="仿宋_GB2312"/>
                <w:color w:val="auto"/>
                <w:sz w:val="30"/>
                <w:szCs w:val="30"/>
                <w:highlight w:val="none"/>
              </w:rPr>
            </w:pPr>
          </w:p>
        </w:tc>
        <w:tc>
          <w:tcPr>
            <w:tcW w:w="1418" w:type="dxa"/>
            <w:shd w:val="clear" w:color="auto" w:fill="auto"/>
          </w:tcPr>
          <w:p>
            <w:pPr>
              <w:rPr>
                <w:rFonts w:eastAsia="仿宋_GB2312"/>
                <w:color w:val="auto"/>
                <w:sz w:val="30"/>
                <w:szCs w:val="30"/>
                <w:highlight w:val="none"/>
              </w:rPr>
            </w:pPr>
          </w:p>
        </w:tc>
        <w:tc>
          <w:tcPr>
            <w:tcW w:w="850" w:type="dxa"/>
            <w:shd w:val="clear" w:color="auto" w:fill="auto"/>
          </w:tcPr>
          <w:p>
            <w:pPr>
              <w:rPr>
                <w:rFonts w:eastAsia="仿宋_GB2312"/>
                <w:color w:val="auto"/>
                <w:sz w:val="30"/>
                <w:szCs w:val="30"/>
                <w:highlight w:val="none"/>
              </w:rPr>
            </w:pPr>
          </w:p>
        </w:tc>
        <w:tc>
          <w:tcPr>
            <w:tcW w:w="1058" w:type="dxa"/>
            <w:shd w:val="clear" w:color="auto" w:fill="auto"/>
          </w:tcPr>
          <w:p>
            <w:pPr>
              <w:rPr>
                <w:rFonts w:eastAsia="仿宋_GB2312"/>
                <w:color w:val="auto"/>
                <w:sz w:val="30"/>
                <w:szCs w:val="30"/>
                <w:highlight w:val="none"/>
              </w:rPr>
            </w:pPr>
          </w:p>
        </w:tc>
        <w:tc>
          <w:tcPr>
            <w:tcW w:w="880" w:type="dxa"/>
            <w:shd w:val="clear" w:color="auto" w:fill="auto"/>
          </w:tcPr>
          <w:p>
            <w:pPr>
              <w:rPr>
                <w:rFonts w:eastAsia="仿宋_GB2312"/>
                <w:color w:val="auto"/>
                <w:sz w:val="30"/>
                <w:szCs w:val="30"/>
                <w:highlight w:val="none"/>
              </w:rPr>
            </w:pPr>
          </w:p>
        </w:tc>
        <w:tc>
          <w:tcPr>
            <w:tcW w:w="1020" w:type="dxa"/>
            <w:shd w:val="clear" w:color="auto" w:fill="auto"/>
          </w:tcPr>
          <w:p>
            <w:pPr>
              <w:rPr>
                <w:rFonts w:eastAsia="仿宋_GB2312"/>
                <w:color w:val="auto"/>
                <w:sz w:val="30"/>
                <w:szCs w:val="30"/>
                <w:highlight w:val="none"/>
              </w:rPr>
            </w:pPr>
          </w:p>
        </w:tc>
        <w:tc>
          <w:tcPr>
            <w:tcW w:w="1480" w:type="dxa"/>
            <w:shd w:val="clear" w:color="auto" w:fill="auto"/>
          </w:tcPr>
          <w:p>
            <w:pPr>
              <w:rPr>
                <w:rFonts w:eastAsia="仿宋_GB2312"/>
                <w:color w:val="auto"/>
                <w:sz w:val="30"/>
                <w:szCs w:val="30"/>
                <w:highlight w:val="none"/>
              </w:rPr>
            </w:pPr>
          </w:p>
        </w:tc>
        <w:tc>
          <w:tcPr>
            <w:tcW w:w="1020" w:type="dxa"/>
            <w:shd w:val="clear" w:color="auto" w:fill="auto"/>
          </w:tcPr>
          <w:p>
            <w:pPr>
              <w:rPr>
                <w:rFonts w:eastAsia="仿宋_GB2312"/>
                <w:color w:val="auto"/>
                <w:sz w:val="30"/>
                <w:szCs w:val="30"/>
                <w:highlight w:val="none"/>
              </w:rPr>
            </w:pPr>
          </w:p>
        </w:tc>
        <w:tc>
          <w:tcPr>
            <w:tcW w:w="921" w:type="dxa"/>
            <w:shd w:val="clear" w:color="auto" w:fill="auto"/>
          </w:tcPr>
          <w:p>
            <w:pPr>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162" w:type="dxa"/>
            <w:shd w:val="clear" w:color="auto" w:fill="auto"/>
          </w:tcPr>
          <w:p>
            <w:pPr>
              <w:rPr>
                <w:rFonts w:eastAsia="仿宋_GB2312"/>
                <w:color w:val="auto"/>
                <w:sz w:val="30"/>
                <w:szCs w:val="30"/>
                <w:highlight w:val="none"/>
              </w:rPr>
            </w:pPr>
          </w:p>
        </w:tc>
        <w:tc>
          <w:tcPr>
            <w:tcW w:w="1418" w:type="dxa"/>
            <w:shd w:val="clear" w:color="auto" w:fill="auto"/>
          </w:tcPr>
          <w:p>
            <w:pPr>
              <w:rPr>
                <w:rFonts w:eastAsia="仿宋_GB2312"/>
                <w:color w:val="auto"/>
                <w:sz w:val="30"/>
                <w:szCs w:val="30"/>
                <w:highlight w:val="none"/>
              </w:rPr>
            </w:pPr>
          </w:p>
        </w:tc>
        <w:tc>
          <w:tcPr>
            <w:tcW w:w="850" w:type="dxa"/>
            <w:shd w:val="clear" w:color="auto" w:fill="auto"/>
          </w:tcPr>
          <w:p>
            <w:pPr>
              <w:rPr>
                <w:rFonts w:eastAsia="仿宋_GB2312"/>
                <w:color w:val="auto"/>
                <w:sz w:val="30"/>
                <w:szCs w:val="30"/>
                <w:highlight w:val="none"/>
              </w:rPr>
            </w:pPr>
          </w:p>
        </w:tc>
        <w:tc>
          <w:tcPr>
            <w:tcW w:w="1058" w:type="dxa"/>
            <w:shd w:val="clear" w:color="auto" w:fill="auto"/>
          </w:tcPr>
          <w:p>
            <w:pPr>
              <w:rPr>
                <w:rFonts w:eastAsia="仿宋_GB2312"/>
                <w:color w:val="auto"/>
                <w:sz w:val="30"/>
                <w:szCs w:val="30"/>
                <w:highlight w:val="none"/>
              </w:rPr>
            </w:pPr>
          </w:p>
        </w:tc>
        <w:tc>
          <w:tcPr>
            <w:tcW w:w="880" w:type="dxa"/>
            <w:shd w:val="clear" w:color="auto" w:fill="auto"/>
          </w:tcPr>
          <w:p>
            <w:pPr>
              <w:rPr>
                <w:rFonts w:eastAsia="仿宋_GB2312"/>
                <w:color w:val="auto"/>
                <w:sz w:val="30"/>
                <w:szCs w:val="30"/>
                <w:highlight w:val="none"/>
              </w:rPr>
            </w:pPr>
          </w:p>
        </w:tc>
        <w:tc>
          <w:tcPr>
            <w:tcW w:w="1020" w:type="dxa"/>
            <w:shd w:val="clear" w:color="auto" w:fill="auto"/>
          </w:tcPr>
          <w:p>
            <w:pPr>
              <w:rPr>
                <w:rFonts w:eastAsia="仿宋_GB2312"/>
                <w:color w:val="auto"/>
                <w:sz w:val="30"/>
                <w:szCs w:val="30"/>
                <w:highlight w:val="none"/>
              </w:rPr>
            </w:pPr>
          </w:p>
        </w:tc>
        <w:tc>
          <w:tcPr>
            <w:tcW w:w="1480" w:type="dxa"/>
            <w:shd w:val="clear" w:color="auto" w:fill="auto"/>
          </w:tcPr>
          <w:p>
            <w:pPr>
              <w:rPr>
                <w:rFonts w:eastAsia="仿宋_GB2312"/>
                <w:color w:val="auto"/>
                <w:sz w:val="30"/>
                <w:szCs w:val="30"/>
                <w:highlight w:val="none"/>
              </w:rPr>
            </w:pPr>
          </w:p>
        </w:tc>
        <w:tc>
          <w:tcPr>
            <w:tcW w:w="1020" w:type="dxa"/>
            <w:shd w:val="clear" w:color="auto" w:fill="auto"/>
          </w:tcPr>
          <w:p>
            <w:pPr>
              <w:rPr>
                <w:rFonts w:eastAsia="仿宋_GB2312"/>
                <w:color w:val="auto"/>
                <w:sz w:val="30"/>
                <w:szCs w:val="30"/>
                <w:highlight w:val="none"/>
              </w:rPr>
            </w:pPr>
          </w:p>
        </w:tc>
        <w:tc>
          <w:tcPr>
            <w:tcW w:w="921" w:type="dxa"/>
            <w:shd w:val="clear" w:color="auto" w:fill="auto"/>
          </w:tcPr>
          <w:p>
            <w:pPr>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162" w:type="dxa"/>
            <w:shd w:val="clear" w:color="auto" w:fill="auto"/>
          </w:tcPr>
          <w:p>
            <w:pPr>
              <w:rPr>
                <w:rFonts w:eastAsia="仿宋_GB2312"/>
                <w:color w:val="auto"/>
                <w:sz w:val="30"/>
                <w:szCs w:val="30"/>
                <w:highlight w:val="none"/>
              </w:rPr>
            </w:pPr>
          </w:p>
        </w:tc>
        <w:tc>
          <w:tcPr>
            <w:tcW w:w="1418" w:type="dxa"/>
            <w:shd w:val="clear" w:color="auto" w:fill="auto"/>
          </w:tcPr>
          <w:p>
            <w:pPr>
              <w:rPr>
                <w:rFonts w:eastAsia="仿宋_GB2312"/>
                <w:color w:val="auto"/>
                <w:sz w:val="30"/>
                <w:szCs w:val="30"/>
                <w:highlight w:val="none"/>
              </w:rPr>
            </w:pPr>
          </w:p>
        </w:tc>
        <w:tc>
          <w:tcPr>
            <w:tcW w:w="850" w:type="dxa"/>
            <w:shd w:val="clear" w:color="auto" w:fill="auto"/>
          </w:tcPr>
          <w:p>
            <w:pPr>
              <w:rPr>
                <w:rFonts w:eastAsia="仿宋_GB2312"/>
                <w:color w:val="auto"/>
                <w:sz w:val="30"/>
                <w:szCs w:val="30"/>
                <w:highlight w:val="none"/>
              </w:rPr>
            </w:pPr>
          </w:p>
        </w:tc>
        <w:tc>
          <w:tcPr>
            <w:tcW w:w="1058" w:type="dxa"/>
            <w:shd w:val="clear" w:color="auto" w:fill="auto"/>
          </w:tcPr>
          <w:p>
            <w:pPr>
              <w:rPr>
                <w:rFonts w:eastAsia="仿宋_GB2312"/>
                <w:color w:val="auto"/>
                <w:sz w:val="30"/>
                <w:szCs w:val="30"/>
                <w:highlight w:val="none"/>
              </w:rPr>
            </w:pPr>
          </w:p>
        </w:tc>
        <w:tc>
          <w:tcPr>
            <w:tcW w:w="880" w:type="dxa"/>
            <w:shd w:val="clear" w:color="auto" w:fill="auto"/>
          </w:tcPr>
          <w:p>
            <w:pPr>
              <w:rPr>
                <w:rFonts w:eastAsia="仿宋_GB2312"/>
                <w:color w:val="auto"/>
                <w:sz w:val="30"/>
                <w:szCs w:val="30"/>
                <w:highlight w:val="none"/>
              </w:rPr>
            </w:pPr>
          </w:p>
        </w:tc>
        <w:tc>
          <w:tcPr>
            <w:tcW w:w="1020" w:type="dxa"/>
            <w:shd w:val="clear" w:color="auto" w:fill="auto"/>
          </w:tcPr>
          <w:p>
            <w:pPr>
              <w:rPr>
                <w:rFonts w:eastAsia="仿宋_GB2312"/>
                <w:color w:val="auto"/>
                <w:sz w:val="30"/>
                <w:szCs w:val="30"/>
                <w:highlight w:val="none"/>
              </w:rPr>
            </w:pPr>
          </w:p>
        </w:tc>
        <w:tc>
          <w:tcPr>
            <w:tcW w:w="1480" w:type="dxa"/>
            <w:shd w:val="clear" w:color="auto" w:fill="auto"/>
          </w:tcPr>
          <w:p>
            <w:pPr>
              <w:rPr>
                <w:rFonts w:eastAsia="仿宋_GB2312"/>
                <w:color w:val="auto"/>
                <w:sz w:val="30"/>
                <w:szCs w:val="30"/>
                <w:highlight w:val="none"/>
              </w:rPr>
            </w:pPr>
          </w:p>
        </w:tc>
        <w:tc>
          <w:tcPr>
            <w:tcW w:w="1020" w:type="dxa"/>
            <w:shd w:val="clear" w:color="auto" w:fill="auto"/>
          </w:tcPr>
          <w:p>
            <w:pPr>
              <w:rPr>
                <w:rFonts w:eastAsia="仿宋_GB2312"/>
                <w:color w:val="auto"/>
                <w:sz w:val="30"/>
                <w:szCs w:val="30"/>
                <w:highlight w:val="none"/>
              </w:rPr>
            </w:pPr>
          </w:p>
        </w:tc>
        <w:tc>
          <w:tcPr>
            <w:tcW w:w="921" w:type="dxa"/>
            <w:shd w:val="clear" w:color="auto" w:fill="auto"/>
          </w:tcPr>
          <w:p>
            <w:pPr>
              <w:rPr>
                <w:rFonts w:eastAsia="仿宋_GB2312"/>
                <w:color w:val="auto"/>
                <w:sz w:val="30"/>
                <w:szCs w:val="30"/>
                <w:highlight w:val="none"/>
              </w:rPr>
            </w:pPr>
          </w:p>
        </w:tc>
      </w:tr>
    </w:tbl>
    <w:p>
      <w:pPr>
        <w:spacing w:line="440" w:lineRule="exact"/>
        <w:rPr>
          <w:rFonts w:eastAsia="仿宋_GB2312"/>
          <w:color w:val="auto"/>
          <w:sz w:val="30"/>
          <w:szCs w:val="30"/>
          <w:highlight w:val="none"/>
        </w:rPr>
        <w:sectPr>
          <w:pgSz w:w="11907" w:h="16840"/>
          <w:pgMar w:top="1440" w:right="1440" w:bottom="1440" w:left="1797" w:header="851" w:footer="851" w:gutter="0"/>
          <w:cols w:space="720" w:num="1"/>
          <w:docGrid w:linePitch="312" w:charSpace="0"/>
        </w:sectPr>
      </w:pPr>
    </w:p>
    <w:p>
      <w:pPr>
        <w:spacing w:line="440" w:lineRule="exact"/>
        <w:jc w:val="left"/>
        <w:rPr>
          <w:rFonts w:eastAsia="黑体"/>
          <w:color w:val="auto"/>
          <w:sz w:val="30"/>
          <w:szCs w:val="30"/>
          <w:highlight w:val="none"/>
        </w:rPr>
      </w:pPr>
      <w:r>
        <w:rPr>
          <w:rFonts w:hint="eastAsia" w:eastAsia="仿宋_GB2312" w:cs="仿宋_GB2312"/>
          <w:color w:val="auto"/>
          <w:sz w:val="30"/>
          <w:szCs w:val="30"/>
          <w:highlight w:val="none"/>
        </w:rPr>
        <w:t>附</w:t>
      </w:r>
      <w:bookmarkStart w:id="1498" w:name="_Toc296347227"/>
      <w:bookmarkStart w:id="1499" w:name="_Toc296891056"/>
      <w:bookmarkStart w:id="1500" w:name="_Toc296503228"/>
      <w:bookmarkStart w:id="1501" w:name="_Toc267261699"/>
      <w:bookmarkStart w:id="1502" w:name="_Toc296944567"/>
      <w:bookmarkStart w:id="1503" w:name="_Toc296891268"/>
      <w:bookmarkStart w:id="1504" w:name="_Toc296346729"/>
      <w:r>
        <w:rPr>
          <w:rFonts w:hint="eastAsia" w:eastAsia="仿宋_GB2312" w:cs="仿宋_GB2312"/>
          <w:color w:val="auto"/>
          <w:sz w:val="30"/>
          <w:szCs w:val="30"/>
          <w:highlight w:val="none"/>
        </w:rPr>
        <w:t>件</w:t>
      </w:r>
      <w:r>
        <w:rPr>
          <w:rFonts w:hint="eastAsia" w:eastAsia="仿宋_GB2312"/>
          <w:color w:val="auto"/>
          <w:sz w:val="30"/>
          <w:szCs w:val="30"/>
          <w:highlight w:val="none"/>
        </w:rPr>
        <w:t>5</w:t>
      </w:r>
      <w:r>
        <w:rPr>
          <w:rFonts w:hint="eastAsia" w:eastAsia="仿宋_GB2312" w:cs="仿宋_GB2312"/>
          <w:color w:val="auto"/>
          <w:sz w:val="30"/>
          <w:szCs w:val="30"/>
          <w:highlight w:val="none"/>
        </w:rPr>
        <w:t>：</w:t>
      </w:r>
    </w:p>
    <w:bookmarkEnd w:id="1498"/>
    <w:bookmarkEnd w:id="1499"/>
    <w:bookmarkEnd w:id="1500"/>
    <w:bookmarkEnd w:id="1501"/>
    <w:bookmarkEnd w:id="1502"/>
    <w:bookmarkEnd w:id="1503"/>
    <w:bookmarkEnd w:id="1504"/>
    <w:p>
      <w:pPr>
        <w:spacing w:beforeLines="50" w:afterLines="50" w:line="440" w:lineRule="exact"/>
        <w:jc w:val="center"/>
        <w:rPr>
          <w:rFonts w:eastAsia="黑体"/>
          <w:color w:val="auto"/>
          <w:sz w:val="30"/>
          <w:szCs w:val="30"/>
          <w:highlight w:val="none"/>
        </w:rPr>
      </w:pPr>
      <w:r>
        <w:rPr>
          <w:rFonts w:hint="eastAsia" w:eastAsia="黑体" w:cs="黑体"/>
          <w:color w:val="auto"/>
          <w:sz w:val="30"/>
          <w:szCs w:val="30"/>
          <w:highlight w:val="none"/>
        </w:rPr>
        <w:t>承包人主要施工管理人员表</w:t>
      </w:r>
    </w:p>
    <w:tbl>
      <w:tblPr>
        <w:tblStyle w:val="42"/>
        <w:tblW w:w="980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134"/>
        <w:gridCol w:w="1134"/>
        <w:gridCol w:w="4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名</w:t>
            </w:r>
            <w:r>
              <w:rPr>
                <w:rFonts w:eastAsia="仿宋_GB2312"/>
                <w:color w:val="auto"/>
                <w:sz w:val="28"/>
                <w:szCs w:val="28"/>
                <w:highlight w:val="none"/>
              </w:rPr>
              <w:t xml:space="preserve">    </w:t>
            </w:r>
            <w:r>
              <w:rPr>
                <w:rFonts w:hint="eastAsia" w:eastAsia="仿宋_GB2312" w:cs="仿宋_GB2312"/>
                <w:color w:val="auto"/>
                <w:sz w:val="28"/>
                <w:szCs w:val="28"/>
                <w:highlight w:val="none"/>
              </w:rPr>
              <w:t>称</w:t>
            </w:r>
          </w:p>
        </w:tc>
        <w:tc>
          <w:tcPr>
            <w:tcW w:w="1418" w:type="dxa"/>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姓名</w:t>
            </w: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r>
              <w:rPr>
                <w:rFonts w:hint="eastAsia" w:eastAsia="仿宋_GB2312" w:cs="仿宋_GB2312"/>
                <w:color w:val="auto"/>
                <w:sz w:val="30"/>
                <w:szCs w:val="30"/>
                <w:highlight w:val="none"/>
              </w:rPr>
              <w:t>职务</w:t>
            </w: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r>
              <w:rPr>
                <w:rFonts w:hint="eastAsia" w:eastAsia="仿宋_GB2312" w:cs="仿宋_GB2312"/>
                <w:color w:val="auto"/>
                <w:sz w:val="30"/>
                <w:szCs w:val="30"/>
                <w:highlight w:val="none"/>
              </w:rPr>
              <w:t>职称</w:t>
            </w:r>
          </w:p>
        </w:tc>
        <w:tc>
          <w:tcPr>
            <w:tcW w:w="4252" w:type="dxa"/>
            <w:shd w:val="clear" w:color="auto" w:fill="auto"/>
            <w:vAlign w:val="center"/>
          </w:tcPr>
          <w:p>
            <w:pPr>
              <w:pStyle w:val="2"/>
              <w:keepNext/>
              <w:spacing w:after="0" w:line="440" w:lineRule="exact"/>
              <w:ind w:left="0" w:leftChars="0" w:right="63"/>
              <w:rPr>
                <w:rFonts w:eastAsia="仿宋_GB2312"/>
                <w:color w:val="auto"/>
                <w:sz w:val="30"/>
                <w:szCs w:val="30"/>
                <w:highlight w:val="none"/>
              </w:rPr>
            </w:pPr>
            <w:r>
              <w:rPr>
                <w:rFonts w:hint="eastAsia" w:eastAsia="仿宋_GB2312" w:cs="仿宋_GB2312"/>
                <w:color w:val="auto"/>
                <w:sz w:val="30"/>
                <w:szCs w:val="30"/>
                <w:highlight w:val="none"/>
              </w:rPr>
              <w:t>计划进场时间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9809" w:type="dxa"/>
            <w:gridSpan w:val="5"/>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一、总部人员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项目主管</w:t>
            </w:r>
          </w:p>
        </w:tc>
        <w:tc>
          <w:tcPr>
            <w:tcW w:w="1418" w:type="dxa"/>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425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restart"/>
            <w:shd w:val="clear" w:color="auto" w:fill="auto"/>
            <w:vAlign w:val="center"/>
          </w:tcPr>
          <w:p>
            <w:pPr>
              <w:pStyle w:val="2"/>
              <w:keepNext/>
              <w:spacing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其他人员</w:t>
            </w:r>
          </w:p>
        </w:tc>
        <w:tc>
          <w:tcPr>
            <w:tcW w:w="1418" w:type="dxa"/>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425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continue"/>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418" w:type="dxa"/>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425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continue"/>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418" w:type="dxa"/>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425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9809" w:type="dxa"/>
            <w:gridSpan w:val="5"/>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二、现场人员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项目经理</w:t>
            </w:r>
          </w:p>
        </w:tc>
        <w:tc>
          <w:tcPr>
            <w:tcW w:w="1418" w:type="dxa"/>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425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项目副经理</w:t>
            </w:r>
          </w:p>
        </w:tc>
        <w:tc>
          <w:tcPr>
            <w:tcW w:w="1418" w:type="dxa"/>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425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技术负责人</w:t>
            </w:r>
          </w:p>
        </w:tc>
        <w:tc>
          <w:tcPr>
            <w:tcW w:w="1418" w:type="dxa"/>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425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造价管理</w:t>
            </w:r>
          </w:p>
        </w:tc>
        <w:tc>
          <w:tcPr>
            <w:tcW w:w="1418" w:type="dxa"/>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425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restart"/>
            <w:shd w:val="clear" w:color="auto" w:fill="auto"/>
            <w:vAlign w:val="center"/>
          </w:tcPr>
          <w:p>
            <w:pPr>
              <w:pStyle w:val="2"/>
              <w:keepNext/>
              <w:spacing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质量管理</w:t>
            </w:r>
          </w:p>
        </w:tc>
        <w:tc>
          <w:tcPr>
            <w:tcW w:w="1418" w:type="dxa"/>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425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continue"/>
            <w:shd w:val="clear" w:color="auto" w:fill="auto"/>
            <w:vAlign w:val="center"/>
          </w:tcPr>
          <w:p>
            <w:pPr>
              <w:pStyle w:val="2"/>
              <w:keepNext/>
              <w:spacing w:line="440" w:lineRule="exact"/>
              <w:ind w:left="63" w:right="63"/>
              <w:rPr>
                <w:rFonts w:eastAsia="仿宋_GB2312"/>
                <w:color w:val="auto"/>
                <w:sz w:val="28"/>
                <w:szCs w:val="28"/>
                <w:highlight w:val="none"/>
              </w:rPr>
            </w:pPr>
          </w:p>
        </w:tc>
        <w:tc>
          <w:tcPr>
            <w:tcW w:w="1418" w:type="dxa"/>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425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continue"/>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418" w:type="dxa"/>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425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材料管理</w:t>
            </w:r>
          </w:p>
        </w:tc>
        <w:tc>
          <w:tcPr>
            <w:tcW w:w="1418" w:type="dxa"/>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425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计划管理</w:t>
            </w:r>
          </w:p>
        </w:tc>
        <w:tc>
          <w:tcPr>
            <w:tcW w:w="1418" w:type="dxa"/>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425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restart"/>
            <w:shd w:val="clear" w:color="auto" w:fill="auto"/>
            <w:vAlign w:val="center"/>
          </w:tcPr>
          <w:p>
            <w:pPr>
              <w:pStyle w:val="2"/>
              <w:keepNext/>
              <w:spacing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安全管理</w:t>
            </w:r>
          </w:p>
        </w:tc>
        <w:tc>
          <w:tcPr>
            <w:tcW w:w="1418" w:type="dxa"/>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425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continue"/>
            <w:shd w:val="clear" w:color="auto" w:fill="auto"/>
            <w:vAlign w:val="center"/>
          </w:tcPr>
          <w:p>
            <w:pPr>
              <w:pStyle w:val="2"/>
              <w:keepNext/>
              <w:spacing w:line="440" w:lineRule="exact"/>
              <w:ind w:left="63" w:right="63"/>
              <w:rPr>
                <w:rFonts w:eastAsia="仿宋_GB2312"/>
                <w:color w:val="auto"/>
                <w:sz w:val="28"/>
                <w:szCs w:val="28"/>
                <w:highlight w:val="none"/>
              </w:rPr>
            </w:pPr>
          </w:p>
        </w:tc>
        <w:tc>
          <w:tcPr>
            <w:tcW w:w="1418" w:type="dxa"/>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425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continue"/>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418" w:type="dxa"/>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425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restart"/>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其他人员</w:t>
            </w:r>
          </w:p>
        </w:tc>
        <w:tc>
          <w:tcPr>
            <w:tcW w:w="1418" w:type="dxa"/>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425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continue"/>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418" w:type="dxa"/>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425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continue"/>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418" w:type="dxa"/>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425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continue"/>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418" w:type="dxa"/>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425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continue"/>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418" w:type="dxa"/>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425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continue"/>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418" w:type="dxa"/>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425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bl>
    <w:p>
      <w:pPr>
        <w:spacing w:line="440" w:lineRule="exact"/>
        <w:rPr>
          <w:rFonts w:eastAsia="黑体"/>
          <w:color w:val="auto"/>
          <w:sz w:val="30"/>
          <w:szCs w:val="30"/>
          <w:highlight w:val="none"/>
        </w:rPr>
      </w:pPr>
      <w:r>
        <w:rPr>
          <w:rFonts w:eastAsia="仿宋_GB2312"/>
          <w:color w:val="auto"/>
          <w:sz w:val="30"/>
          <w:szCs w:val="30"/>
          <w:highlight w:val="none"/>
        </w:rPr>
        <w:br w:type="page"/>
      </w:r>
      <w:r>
        <w:rPr>
          <w:rFonts w:hint="eastAsia" w:eastAsia="仿宋_GB2312" w:cs="仿宋_GB2312"/>
          <w:color w:val="auto"/>
          <w:sz w:val="30"/>
          <w:szCs w:val="30"/>
          <w:highlight w:val="none"/>
        </w:rPr>
        <w:t>附</w:t>
      </w:r>
      <w:bookmarkStart w:id="1505" w:name="_Toc296891057"/>
      <w:bookmarkStart w:id="1506" w:name="_Toc296503229"/>
      <w:bookmarkStart w:id="1507" w:name="_Toc296891269"/>
      <w:bookmarkStart w:id="1508" w:name="_Toc296347228"/>
      <w:bookmarkStart w:id="1509" w:name="_Toc296944568"/>
      <w:bookmarkStart w:id="1510" w:name="_Toc296346730"/>
      <w:r>
        <w:rPr>
          <w:rFonts w:hint="eastAsia" w:eastAsia="仿宋_GB2312" w:cs="仿宋_GB2312"/>
          <w:color w:val="auto"/>
          <w:sz w:val="30"/>
          <w:szCs w:val="30"/>
          <w:highlight w:val="none"/>
        </w:rPr>
        <w:t>件</w:t>
      </w:r>
      <w:r>
        <w:rPr>
          <w:rFonts w:hint="eastAsia" w:eastAsia="仿宋_GB2312"/>
          <w:color w:val="auto"/>
          <w:sz w:val="30"/>
          <w:szCs w:val="30"/>
          <w:highlight w:val="none"/>
        </w:rPr>
        <w:t>6</w:t>
      </w:r>
      <w:r>
        <w:rPr>
          <w:rFonts w:hint="eastAsia" w:eastAsia="仿宋_GB2312" w:cs="仿宋_GB2312"/>
          <w:color w:val="auto"/>
          <w:sz w:val="30"/>
          <w:szCs w:val="30"/>
          <w:highlight w:val="none"/>
        </w:rPr>
        <w:t>：</w:t>
      </w:r>
    </w:p>
    <w:bookmarkEnd w:id="1505"/>
    <w:bookmarkEnd w:id="1506"/>
    <w:bookmarkEnd w:id="1507"/>
    <w:bookmarkEnd w:id="1508"/>
    <w:bookmarkEnd w:id="1509"/>
    <w:bookmarkEnd w:id="1510"/>
    <w:p>
      <w:pPr>
        <w:spacing w:beforeLines="50" w:afterLines="50" w:line="440" w:lineRule="exact"/>
        <w:jc w:val="center"/>
        <w:rPr>
          <w:rFonts w:eastAsia="黑体"/>
          <w:color w:val="auto"/>
          <w:sz w:val="30"/>
          <w:szCs w:val="30"/>
          <w:highlight w:val="none"/>
        </w:rPr>
      </w:pPr>
      <w:r>
        <w:rPr>
          <w:rFonts w:hint="eastAsia" w:eastAsia="黑体" w:cs="黑体"/>
          <w:color w:val="auto"/>
          <w:sz w:val="30"/>
          <w:szCs w:val="30"/>
          <w:highlight w:val="none"/>
        </w:rPr>
        <w:t>分包人主要施工管理人员表</w:t>
      </w:r>
    </w:p>
    <w:tbl>
      <w:tblPr>
        <w:tblStyle w:val="42"/>
        <w:tblW w:w="980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134"/>
        <w:gridCol w:w="1134"/>
        <w:gridCol w:w="4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名</w:t>
            </w:r>
            <w:r>
              <w:rPr>
                <w:rFonts w:eastAsia="仿宋_GB2312"/>
                <w:color w:val="auto"/>
                <w:sz w:val="28"/>
                <w:szCs w:val="28"/>
                <w:highlight w:val="none"/>
              </w:rPr>
              <w:t xml:space="preserve">    </w:t>
            </w:r>
            <w:r>
              <w:rPr>
                <w:rFonts w:hint="eastAsia" w:eastAsia="仿宋_GB2312" w:cs="仿宋_GB2312"/>
                <w:color w:val="auto"/>
                <w:sz w:val="28"/>
                <w:szCs w:val="28"/>
                <w:highlight w:val="none"/>
              </w:rPr>
              <w:t>称</w:t>
            </w:r>
          </w:p>
        </w:tc>
        <w:tc>
          <w:tcPr>
            <w:tcW w:w="1418" w:type="dxa"/>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姓名</w:t>
            </w: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r>
              <w:rPr>
                <w:rFonts w:hint="eastAsia" w:eastAsia="仿宋_GB2312" w:cs="仿宋_GB2312"/>
                <w:color w:val="auto"/>
                <w:sz w:val="30"/>
                <w:szCs w:val="30"/>
                <w:highlight w:val="none"/>
              </w:rPr>
              <w:t>职务</w:t>
            </w: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r>
              <w:rPr>
                <w:rFonts w:hint="eastAsia" w:eastAsia="仿宋_GB2312" w:cs="仿宋_GB2312"/>
                <w:color w:val="auto"/>
                <w:sz w:val="30"/>
                <w:szCs w:val="30"/>
                <w:highlight w:val="none"/>
              </w:rPr>
              <w:t>职称</w:t>
            </w:r>
          </w:p>
        </w:tc>
        <w:tc>
          <w:tcPr>
            <w:tcW w:w="4252" w:type="dxa"/>
            <w:shd w:val="clear" w:color="auto" w:fill="auto"/>
            <w:vAlign w:val="center"/>
          </w:tcPr>
          <w:p>
            <w:pPr>
              <w:pStyle w:val="2"/>
              <w:keepNext/>
              <w:spacing w:after="0" w:line="440" w:lineRule="exact"/>
              <w:ind w:left="63" w:right="63"/>
              <w:rPr>
                <w:rFonts w:eastAsia="仿宋_GB2312"/>
                <w:color w:val="auto"/>
                <w:sz w:val="30"/>
                <w:szCs w:val="30"/>
                <w:highlight w:val="none"/>
              </w:rPr>
            </w:pPr>
            <w:r>
              <w:rPr>
                <w:rFonts w:hint="eastAsia" w:eastAsia="仿宋_GB2312" w:cs="仿宋_GB2312"/>
                <w:color w:val="auto"/>
                <w:sz w:val="30"/>
                <w:szCs w:val="30"/>
                <w:highlight w:val="none"/>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9809" w:type="dxa"/>
            <w:gridSpan w:val="5"/>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一、总部人员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项目主管</w:t>
            </w:r>
          </w:p>
        </w:tc>
        <w:tc>
          <w:tcPr>
            <w:tcW w:w="1418" w:type="dxa"/>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425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restart"/>
            <w:shd w:val="clear" w:color="auto" w:fill="auto"/>
            <w:vAlign w:val="center"/>
          </w:tcPr>
          <w:p>
            <w:pPr>
              <w:pStyle w:val="2"/>
              <w:keepNext/>
              <w:spacing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其他人员</w:t>
            </w:r>
          </w:p>
        </w:tc>
        <w:tc>
          <w:tcPr>
            <w:tcW w:w="1418" w:type="dxa"/>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425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continue"/>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418" w:type="dxa"/>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425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continue"/>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418" w:type="dxa"/>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425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9809" w:type="dxa"/>
            <w:gridSpan w:val="5"/>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二、现场人员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项目经理</w:t>
            </w:r>
          </w:p>
        </w:tc>
        <w:tc>
          <w:tcPr>
            <w:tcW w:w="1418" w:type="dxa"/>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425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项目副经理</w:t>
            </w:r>
          </w:p>
        </w:tc>
        <w:tc>
          <w:tcPr>
            <w:tcW w:w="1418" w:type="dxa"/>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425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技术负责人</w:t>
            </w:r>
          </w:p>
        </w:tc>
        <w:tc>
          <w:tcPr>
            <w:tcW w:w="1418" w:type="dxa"/>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425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造价管理</w:t>
            </w:r>
          </w:p>
        </w:tc>
        <w:tc>
          <w:tcPr>
            <w:tcW w:w="1418" w:type="dxa"/>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425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质量管理</w:t>
            </w:r>
          </w:p>
        </w:tc>
        <w:tc>
          <w:tcPr>
            <w:tcW w:w="1418" w:type="dxa"/>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425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材料管理</w:t>
            </w:r>
          </w:p>
        </w:tc>
        <w:tc>
          <w:tcPr>
            <w:tcW w:w="1418" w:type="dxa"/>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425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计划管理</w:t>
            </w:r>
          </w:p>
        </w:tc>
        <w:tc>
          <w:tcPr>
            <w:tcW w:w="1418" w:type="dxa"/>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425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安全管理</w:t>
            </w:r>
          </w:p>
        </w:tc>
        <w:tc>
          <w:tcPr>
            <w:tcW w:w="1418" w:type="dxa"/>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425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restart"/>
            <w:shd w:val="clear" w:color="auto" w:fill="auto"/>
            <w:vAlign w:val="center"/>
          </w:tcPr>
          <w:p>
            <w:pPr>
              <w:pStyle w:val="2"/>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其他人员</w:t>
            </w:r>
          </w:p>
        </w:tc>
        <w:tc>
          <w:tcPr>
            <w:tcW w:w="1418" w:type="dxa"/>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425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continue"/>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418" w:type="dxa"/>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425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continue"/>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418" w:type="dxa"/>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425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continue"/>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418" w:type="dxa"/>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425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continue"/>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418" w:type="dxa"/>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425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continue"/>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418" w:type="dxa"/>
            <w:shd w:val="clear" w:color="auto" w:fill="auto"/>
            <w:vAlign w:val="center"/>
          </w:tcPr>
          <w:p>
            <w:pPr>
              <w:pStyle w:val="2"/>
              <w:keepNext/>
              <w:spacing w:after="0" w:line="440" w:lineRule="exact"/>
              <w:ind w:left="63" w:right="63"/>
              <w:rPr>
                <w:rFonts w:eastAsia="仿宋_GB2312"/>
                <w:color w:val="auto"/>
                <w:sz w:val="28"/>
                <w:szCs w:val="28"/>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1134"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c>
          <w:tcPr>
            <w:tcW w:w="4252" w:type="dxa"/>
            <w:shd w:val="clear" w:color="auto" w:fill="auto"/>
            <w:vAlign w:val="center"/>
          </w:tcPr>
          <w:p>
            <w:pPr>
              <w:pStyle w:val="2"/>
              <w:keepNext/>
              <w:spacing w:after="0" w:line="440" w:lineRule="exact"/>
              <w:ind w:left="63" w:right="63"/>
              <w:rPr>
                <w:rFonts w:eastAsia="仿宋_GB2312"/>
                <w:color w:val="auto"/>
                <w:sz w:val="30"/>
                <w:szCs w:val="30"/>
                <w:highlight w:val="none"/>
              </w:rPr>
            </w:pPr>
          </w:p>
        </w:tc>
      </w:tr>
    </w:tbl>
    <w:p>
      <w:pPr>
        <w:spacing w:line="440" w:lineRule="exact"/>
        <w:rPr>
          <w:rFonts w:eastAsia="黑体"/>
          <w:color w:val="auto"/>
          <w:sz w:val="30"/>
          <w:szCs w:val="30"/>
          <w:highlight w:val="none"/>
        </w:rPr>
      </w:pPr>
      <w:r>
        <w:rPr>
          <w:rFonts w:eastAsia="仿宋_GB2312"/>
          <w:color w:val="auto"/>
          <w:sz w:val="30"/>
          <w:szCs w:val="30"/>
          <w:highlight w:val="none"/>
        </w:rPr>
        <w:br w:type="page"/>
      </w:r>
      <w:bookmarkStart w:id="1511" w:name="_Toc267261701"/>
      <w:r>
        <w:rPr>
          <w:rFonts w:hint="eastAsia" w:eastAsia="仿宋_GB2312" w:cs="仿宋_GB2312"/>
          <w:color w:val="auto"/>
          <w:sz w:val="30"/>
          <w:szCs w:val="30"/>
          <w:highlight w:val="none"/>
        </w:rPr>
        <w:t>附</w:t>
      </w:r>
      <w:bookmarkStart w:id="1512" w:name="_Toc296346732"/>
      <w:bookmarkStart w:id="1513" w:name="_Toc296503231"/>
      <w:bookmarkStart w:id="1514" w:name="_Toc296891271"/>
      <w:bookmarkStart w:id="1515" w:name="_Toc296891059"/>
      <w:bookmarkStart w:id="1516" w:name="_Toc296944570"/>
      <w:bookmarkStart w:id="1517" w:name="_Toc296347230"/>
      <w:r>
        <w:rPr>
          <w:rFonts w:hint="eastAsia" w:eastAsia="仿宋_GB2312" w:cs="仿宋_GB2312"/>
          <w:color w:val="auto"/>
          <w:sz w:val="30"/>
          <w:szCs w:val="30"/>
          <w:highlight w:val="none"/>
        </w:rPr>
        <w:t>件</w:t>
      </w:r>
      <w:r>
        <w:rPr>
          <w:rFonts w:hint="eastAsia" w:eastAsia="仿宋_GB2312"/>
          <w:color w:val="auto"/>
          <w:sz w:val="30"/>
          <w:szCs w:val="30"/>
          <w:highlight w:val="none"/>
        </w:rPr>
        <w:t>7</w:t>
      </w:r>
      <w:r>
        <w:rPr>
          <w:rFonts w:hint="eastAsia" w:eastAsia="仿宋_GB2312" w:cs="仿宋_GB2312"/>
          <w:color w:val="auto"/>
          <w:sz w:val="30"/>
          <w:szCs w:val="30"/>
          <w:highlight w:val="none"/>
        </w:rPr>
        <w:t>：</w:t>
      </w:r>
    </w:p>
    <w:bookmarkEnd w:id="1511"/>
    <w:bookmarkEnd w:id="1512"/>
    <w:bookmarkEnd w:id="1513"/>
    <w:bookmarkEnd w:id="1514"/>
    <w:bookmarkEnd w:id="1515"/>
    <w:bookmarkEnd w:id="1516"/>
    <w:bookmarkEnd w:id="1517"/>
    <w:p>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履约保函</w:t>
      </w:r>
    </w:p>
    <w:p>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（独立保函）</w:t>
      </w:r>
    </w:p>
    <w:p>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申请人：</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r>
        <w:rPr>
          <w:rFonts w:ascii="宋体" w:hAnsi="宋体"/>
          <w:color w:val="auto"/>
          <w:sz w:val="24"/>
          <w:szCs w:val="24"/>
          <w:highlight w:val="none"/>
        </w:rPr>
        <w:t>：</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受益人：</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开立人：</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地址：</w:t>
      </w:r>
    </w:p>
    <w:p>
      <w:pPr>
        <w:spacing w:line="360" w:lineRule="auto"/>
        <w:rPr>
          <w:rFonts w:ascii="宋体" w:hAnsi="宋体"/>
          <w:color w:val="auto"/>
          <w:sz w:val="24"/>
          <w:szCs w:val="24"/>
          <w:highlight w:val="none"/>
        </w:rPr>
      </w:pPr>
      <w:r>
        <w:rPr>
          <w:rFonts w:ascii="宋体" w:hAnsi="宋体"/>
          <w:color w:val="auto"/>
          <w:sz w:val="24"/>
          <w:szCs w:val="24"/>
          <w:highlight w:val="none"/>
        </w:rPr>
        <w:t xml:space="preserve"> </w:t>
      </w:r>
    </w:p>
    <w:p>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受益人</w:t>
      </w:r>
      <w:r>
        <w:rPr>
          <w:rFonts w:ascii="宋体" w:hAnsi="宋体"/>
          <w:color w:val="auto"/>
          <w:sz w:val="24"/>
          <w:szCs w:val="24"/>
          <w:highlight w:val="none"/>
        </w:rPr>
        <w:t xml:space="preserve">名称）：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受益人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申请人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（以下简称“基础合同”），我方（即“开立人”）根据基础合同了解到申请人为基础合同项下之承包人，受益人为基础合同项下之发包人，基于申请人</w:t>
      </w:r>
      <w:r>
        <w:rPr>
          <w:rFonts w:ascii="宋体" w:hAnsi="宋体"/>
          <w:color w:val="auto"/>
          <w:sz w:val="24"/>
          <w:szCs w:val="24"/>
          <w:highlight w:val="none"/>
        </w:rPr>
        <w:t>的请求，我方同意就</w:t>
      </w:r>
      <w:r>
        <w:rPr>
          <w:rFonts w:hint="eastAsia" w:ascii="宋体" w:hAnsi="宋体"/>
          <w:color w:val="auto"/>
          <w:sz w:val="24"/>
          <w:szCs w:val="24"/>
          <w:highlight w:val="none"/>
        </w:rPr>
        <w:t>申请人</w:t>
      </w:r>
      <w:r>
        <w:rPr>
          <w:rFonts w:ascii="宋体" w:hAnsi="宋体"/>
          <w:color w:val="auto"/>
          <w:sz w:val="24"/>
          <w:szCs w:val="24"/>
          <w:highlight w:val="none"/>
        </w:rPr>
        <w:t>履行</w:t>
      </w:r>
      <w:r>
        <w:rPr>
          <w:rFonts w:hint="eastAsia" w:ascii="宋体" w:hAnsi="宋体"/>
          <w:color w:val="auto"/>
          <w:sz w:val="24"/>
          <w:szCs w:val="24"/>
          <w:highlight w:val="none"/>
        </w:rPr>
        <w:t>与贵方签订的基础合同</w:t>
      </w:r>
      <w:r>
        <w:rPr>
          <w:rFonts w:ascii="宋体" w:hAnsi="宋体"/>
          <w:color w:val="auto"/>
          <w:sz w:val="24"/>
          <w:szCs w:val="24"/>
          <w:highlight w:val="none"/>
        </w:rPr>
        <w:t>项下的义务</w:t>
      </w:r>
      <w:r>
        <w:rPr>
          <w:rFonts w:hint="eastAsia" w:ascii="宋体" w:hAnsi="宋体"/>
          <w:color w:val="auto"/>
          <w:sz w:val="24"/>
          <w:szCs w:val="24"/>
          <w:highlight w:val="none"/>
        </w:rPr>
        <w:t>，</w:t>
      </w:r>
      <w:r>
        <w:rPr>
          <w:rFonts w:ascii="宋体" w:hAnsi="宋体"/>
          <w:color w:val="auto"/>
          <w:sz w:val="24"/>
          <w:szCs w:val="24"/>
          <w:highlight w:val="none"/>
        </w:rPr>
        <w:t>向贵方提供不可撤销、</w:t>
      </w:r>
      <w:r>
        <w:rPr>
          <w:rFonts w:hint="eastAsia" w:ascii="宋体" w:hAnsi="宋体"/>
          <w:color w:val="auto"/>
          <w:sz w:val="24"/>
          <w:szCs w:val="24"/>
          <w:highlight w:val="none"/>
        </w:rPr>
        <w:t>不可转让的见索即付</w:t>
      </w:r>
      <w:r>
        <w:rPr>
          <w:rFonts w:ascii="宋体" w:hAnsi="宋体"/>
          <w:color w:val="auto"/>
          <w:sz w:val="24"/>
          <w:szCs w:val="24"/>
          <w:highlight w:val="none"/>
        </w:rPr>
        <w:t>独立</w:t>
      </w:r>
      <w:r>
        <w:rPr>
          <w:rFonts w:hint="eastAsia" w:ascii="宋体" w:hAnsi="宋体"/>
          <w:color w:val="auto"/>
          <w:sz w:val="24"/>
          <w:szCs w:val="24"/>
          <w:highlight w:val="none"/>
        </w:rPr>
        <w:t>保函（以下简称“本保函”）</w:t>
      </w:r>
      <w:r>
        <w:rPr>
          <w:rFonts w:ascii="宋体" w:hAnsi="宋体"/>
          <w:color w:val="auto"/>
          <w:sz w:val="24"/>
          <w:szCs w:val="24"/>
          <w:highlight w:val="none"/>
        </w:rPr>
        <w:t xml:space="preserve">。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一、本保函担保范围：承包人未按照基础合同的约定履行义务，应当向贵方承担的违约责任和赔偿因此造成的损失、利息、律师费、诉讼费用等实现债权的费用。</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二、本保函担保金额最高不超过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三、本保函</w:t>
      </w:r>
      <w:r>
        <w:rPr>
          <w:rFonts w:ascii="宋体" w:hAnsi="宋体"/>
          <w:color w:val="auto"/>
          <w:sz w:val="24"/>
          <w:szCs w:val="24"/>
          <w:highlight w:val="none"/>
        </w:rPr>
        <w:t>有效期自</w:t>
      </w:r>
      <w:r>
        <w:rPr>
          <w:rFonts w:hint="eastAsia" w:ascii="宋体" w:hAnsi="宋体"/>
          <w:color w:val="auto"/>
          <w:sz w:val="24"/>
          <w:szCs w:val="24"/>
          <w:highlight w:val="none"/>
        </w:rPr>
        <w:t>开立之日起</w:t>
      </w:r>
      <w:r>
        <w:rPr>
          <w:rFonts w:ascii="宋体" w:hAnsi="宋体"/>
          <w:color w:val="auto"/>
          <w:sz w:val="24"/>
          <w:szCs w:val="24"/>
          <w:highlight w:val="none"/>
        </w:rPr>
        <w:t>至</w:t>
      </w:r>
      <w:r>
        <w:rPr>
          <w:rFonts w:hint="eastAsia" w:ascii="宋体" w:hAnsi="宋体"/>
          <w:color w:val="auto"/>
          <w:sz w:val="24"/>
          <w:szCs w:val="24"/>
          <w:highlight w:val="none"/>
        </w:rPr>
        <w:t>基础合同约定的缺陷责任期</w:t>
      </w:r>
      <w:r>
        <w:rPr>
          <w:rFonts w:ascii="宋体" w:hAnsi="宋体"/>
          <w:color w:val="auto"/>
          <w:sz w:val="24"/>
          <w:szCs w:val="24"/>
          <w:highlight w:val="none"/>
        </w:rPr>
        <w:t>后</w:t>
      </w:r>
      <w:r>
        <w:rPr>
          <w:rFonts w:ascii="宋体" w:hAnsi="宋体"/>
          <w:color w:val="auto"/>
          <w:sz w:val="24"/>
          <w:szCs w:val="24"/>
          <w:highlight w:val="none"/>
          <w:u w:val="single"/>
        </w:rPr>
        <w:t xml:space="preserve">   </w:t>
      </w:r>
      <w:r>
        <w:rPr>
          <w:rFonts w:hint="eastAsia" w:ascii="宋体" w:hAnsi="宋体"/>
          <w:color w:val="auto"/>
          <w:sz w:val="24"/>
          <w:szCs w:val="24"/>
          <w:highlight w:val="none"/>
        </w:rPr>
        <w:t>日止，最迟不超过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四、我方承诺，在收到受益人发来的书面付款通知后的</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日内无条件支付，前述书面付款通知即为付款要求之单据，且应满足以下要求：</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（1）付款通知到达的日期在本保函的有效期内；</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（2）载明要求支付的金额；</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（3）载明申请人违反合同义务的条款和内容；</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（4）声明不存在合同文件约定或我国法律规定免除申请人或开立人支付责任的情形；</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（5）付款通知应在本保函有效期内到达的地址是：</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受益人发出的书面付款通知应由其为鉴明受益人法定代表人（负责人）或授权代理人签字并加盖公章。</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五、</w:t>
      </w:r>
      <w:r>
        <w:rPr>
          <w:rFonts w:ascii="宋体" w:hAnsi="宋体"/>
          <w:color w:val="auto"/>
          <w:sz w:val="24"/>
          <w:szCs w:val="24"/>
          <w:highlight w:val="none"/>
        </w:rPr>
        <w:t>本保函项下的权利不得转让，不得设定担保。贵方未经我方书面同意转 让本保函或其项下任何权利，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六、与</w:t>
      </w:r>
      <w:r>
        <w:rPr>
          <w:rFonts w:ascii="宋体" w:hAnsi="宋体"/>
          <w:color w:val="auto"/>
          <w:sz w:val="24"/>
          <w:szCs w:val="24"/>
          <w:highlight w:val="none"/>
        </w:rPr>
        <w:t>本保函</w:t>
      </w:r>
      <w:r>
        <w:rPr>
          <w:rFonts w:hint="eastAsia" w:ascii="宋体" w:hAnsi="宋体"/>
          <w:color w:val="auto"/>
          <w:sz w:val="24"/>
          <w:szCs w:val="24"/>
          <w:highlight w:val="none"/>
        </w:rPr>
        <w:t>有关</w:t>
      </w:r>
      <w:r>
        <w:rPr>
          <w:rFonts w:ascii="宋体" w:hAnsi="宋体"/>
          <w:color w:val="auto"/>
          <w:sz w:val="24"/>
          <w:szCs w:val="24"/>
          <w:highlight w:val="none"/>
        </w:rPr>
        <w:t>的</w:t>
      </w:r>
      <w:r>
        <w:rPr>
          <w:rFonts w:hint="eastAsia" w:ascii="宋体" w:hAnsi="宋体"/>
          <w:color w:val="auto"/>
          <w:sz w:val="24"/>
          <w:szCs w:val="24"/>
          <w:highlight w:val="none"/>
        </w:rPr>
        <w:t>基础</w:t>
      </w:r>
      <w:r>
        <w:rPr>
          <w:rFonts w:ascii="宋体" w:hAnsi="宋体"/>
          <w:color w:val="auto"/>
          <w:sz w:val="24"/>
          <w:szCs w:val="24"/>
          <w:highlight w:val="none"/>
        </w:rPr>
        <w:t xml:space="preserve">合同不成立、不生效、无效、被撤销、被解除，不影响本保函的独立有效。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七、</w:t>
      </w:r>
      <w:r>
        <w:rPr>
          <w:rFonts w:ascii="宋体" w:hAnsi="宋体"/>
          <w:color w:val="auto"/>
          <w:sz w:val="24"/>
          <w:szCs w:val="24"/>
          <w:highlight w:val="none"/>
        </w:rPr>
        <w:t>贵方应在本保函到期后的七日内将本保函正本退回我方注销，但是不论贵方是否按此要求将本保函正本退回我方，我方在本保函项下的义务和责任均在保函</w:t>
      </w:r>
      <w:r>
        <w:rPr>
          <w:rFonts w:hint="eastAsia" w:ascii="宋体" w:hAnsi="宋体"/>
          <w:color w:val="auto"/>
          <w:sz w:val="24"/>
          <w:szCs w:val="24"/>
          <w:highlight w:val="none"/>
        </w:rPr>
        <w:t>有效期</w:t>
      </w:r>
      <w:r>
        <w:rPr>
          <w:rFonts w:ascii="宋体" w:hAnsi="宋体"/>
          <w:color w:val="auto"/>
          <w:sz w:val="24"/>
          <w:szCs w:val="24"/>
          <w:highlight w:val="none"/>
        </w:rPr>
        <w:t xml:space="preserve">到期后自动消灭。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八、</w:t>
      </w:r>
      <w:r>
        <w:rPr>
          <w:rFonts w:ascii="宋体" w:hAnsi="宋体"/>
          <w:color w:val="auto"/>
          <w:sz w:val="24"/>
          <w:szCs w:val="24"/>
          <w:highlight w:val="none"/>
        </w:rPr>
        <w:t>本保函</w:t>
      </w:r>
      <w:r>
        <w:rPr>
          <w:rFonts w:hint="eastAsia" w:ascii="宋体" w:hAnsi="宋体"/>
          <w:color w:val="auto"/>
          <w:sz w:val="24"/>
          <w:szCs w:val="24"/>
          <w:highlight w:val="none"/>
        </w:rPr>
        <w:t>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九、</w:t>
      </w:r>
      <w:r>
        <w:rPr>
          <w:rFonts w:ascii="宋体" w:hAnsi="宋体"/>
          <w:color w:val="auto"/>
          <w:sz w:val="24"/>
          <w:szCs w:val="24"/>
          <w:highlight w:val="none"/>
        </w:rPr>
        <w:t>本保函自我方法定代表人</w:t>
      </w:r>
      <w:r>
        <w:rPr>
          <w:rFonts w:hint="eastAsia" w:ascii="宋体" w:hAnsi="宋体"/>
          <w:color w:val="auto"/>
          <w:sz w:val="24"/>
          <w:szCs w:val="24"/>
          <w:highlight w:val="none"/>
        </w:rPr>
        <w:t>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 立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pPr>
        <w:spacing w:line="360" w:lineRule="auto"/>
        <w:ind w:left="525" w:leftChars="250"/>
        <w:rPr>
          <w:color w:val="auto"/>
          <w:highlight w:val="none"/>
        </w:rPr>
      </w:pPr>
      <w:r>
        <w:rPr>
          <w:rFonts w:hint="eastAsia" w:ascii="宋体" w:hAnsi="宋体"/>
          <w:color w:val="auto"/>
          <w:sz w:val="24"/>
          <w:szCs w:val="24"/>
          <w:highlight w:val="none"/>
        </w:rPr>
        <w:t>开立时间：</w:t>
      </w:r>
      <w:r>
        <w:rPr>
          <w:rFonts w:ascii="宋体" w:hAnsi="宋体"/>
          <w:color w:val="auto"/>
          <w:sz w:val="24"/>
          <w:szCs w:val="24"/>
          <w:highlight w:val="none"/>
        </w:rPr>
        <w:t xml:space="preserve">      年      月   </w:t>
      </w:r>
    </w:p>
    <w:p>
      <w:pPr>
        <w:spacing w:line="360" w:lineRule="auto"/>
        <w:jc w:val="center"/>
        <w:rPr>
          <w:rFonts w:ascii="宋体" w:hAnsi="宋体"/>
          <w:b/>
          <w:color w:val="auto"/>
          <w:sz w:val="32"/>
          <w:szCs w:val="32"/>
          <w:highlight w:val="none"/>
        </w:rPr>
      </w:pPr>
      <w:r>
        <w:rPr>
          <w:rFonts w:hAnsi="宋体" w:cs="宋体"/>
          <w:color w:val="auto"/>
          <w:highlight w:val="none"/>
        </w:rPr>
        <w:br w:type="page"/>
      </w:r>
      <w:r>
        <w:rPr>
          <w:rFonts w:hint="eastAsia" w:ascii="宋体" w:hAnsi="宋体"/>
          <w:b/>
          <w:color w:val="auto"/>
          <w:sz w:val="32"/>
          <w:szCs w:val="32"/>
          <w:highlight w:val="none"/>
        </w:rPr>
        <w:t>履约保函</w:t>
      </w:r>
    </w:p>
    <w:p>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（非独立保函）</w:t>
      </w:r>
    </w:p>
    <w:p>
      <w:pPr>
        <w:spacing w:line="360" w:lineRule="auto"/>
        <w:jc w:val="center"/>
        <w:rPr>
          <w:rFonts w:ascii="宋体" w:hAnsi="宋体"/>
          <w:b/>
          <w:color w:val="auto"/>
          <w:sz w:val="32"/>
          <w:szCs w:val="32"/>
          <w:highlight w:val="none"/>
        </w:rPr>
      </w:pPr>
    </w:p>
    <w:p>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承包人：</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r>
        <w:rPr>
          <w:rFonts w:ascii="宋体" w:hAnsi="宋体"/>
          <w:color w:val="auto"/>
          <w:sz w:val="24"/>
          <w:szCs w:val="24"/>
          <w:highlight w:val="none"/>
        </w:rPr>
        <w:t>：</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担保权人/发包人：</w:t>
      </w:r>
      <w:r>
        <w:rPr>
          <w:rFonts w:ascii="宋体" w:hAnsi="宋体"/>
          <w:color w:val="auto"/>
          <w:sz w:val="24"/>
          <w:szCs w:val="24"/>
          <w:highlight w:val="none"/>
        </w:rPr>
        <w:t xml:space="preserve"> </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保证人：</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pPr>
        <w:spacing w:line="360" w:lineRule="auto"/>
        <w:rPr>
          <w:rFonts w:ascii="宋体" w:hAnsi="宋体"/>
          <w:color w:val="auto"/>
          <w:sz w:val="24"/>
          <w:szCs w:val="24"/>
          <w:highlight w:val="none"/>
        </w:rPr>
      </w:pPr>
    </w:p>
    <w:p>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发包人</w:t>
      </w:r>
      <w:r>
        <w:rPr>
          <w:rFonts w:ascii="宋体" w:hAnsi="宋体"/>
          <w:color w:val="auto"/>
          <w:sz w:val="24"/>
          <w:szCs w:val="24"/>
          <w:highlight w:val="none"/>
        </w:rPr>
        <w:t xml:space="preserve">名称）：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发包人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承包人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（以下简称“主合同”），我方即保证人基于承包人</w:t>
      </w:r>
      <w:r>
        <w:rPr>
          <w:rFonts w:ascii="宋体" w:hAnsi="宋体"/>
          <w:color w:val="auto"/>
          <w:sz w:val="24"/>
          <w:szCs w:val="24"/>
          <w:highlight w:val="none"/>
        </w:rPr>
        <w:t>的请求，同意就</w:t>
      </w:r>
      <w:r>
        <w:rPr>
          <w:rFonts w:hint="eastAsia" w:ascii="宋体" w:hAnsi="宋体"/>
          <w:color w:val="auto"/>
          <w:sz w:val="24"/>
          <w:szCs w:val="24"/>
          <w:highlight w:val="none"/>
        </w:rPr>
        <w:t>承包人</w:t>
      </w:r>
      <w:r>
        <w:rPr>
          <w:rFonts w:ascii="宋体" w:hAnsi="宋体"/>
          <w:color w:val="auto"/>
          <w:sz w:val="24"/>
          <w:szCs w:val="24"/>
          <w:highlight w:val="none"/>
        </w:rPr>
        <w:t>履行</w:t>
      </w:r>
      <w:r>
        <w:rPr>
          <w:rFonts w:hint="eastAsia" w:ascii="宋体" w:hAnsi="宋体"/>
          <w:color w:val="auto"/>
          <w:sz w:val="24"/>
          <w:szCs w:val="24"/>
          <w:highlight w:val="none"/>
        </w:rPr>
        <w:t>与贵方签订的主合同</w:t>
      </w:r>
      <w:r>
        <w:rPr>
          <w:rFonts w:ascii="宋体" w:hAnsi="宋体"/>
          <w:color w:val="auto"/>
          <w:sz w:val="24"/>
          <w:szCs w:val="24"/>
          <w:highlight w:val="none"/>
        </w:rPr>
        <w:t>项下的义务</w:t>
      </w:r>
      <w:r>
        <w:rPr>
          <w:rFonts w:hint="eastAsia" w:ascii="宋体" w:hAnsi="宋体"/>
          <w:color w:val="auto"/>
          <w:sz w:val="24"/>
          <w:szCs w:val="24"/>
          <w:highlight w:val="none"/>
        </w:rPr>
        <w:t>，</w:t>
      </w:r>
      <w:r>
        <w:rPr>
          <w:rFonts w:ascii="宋体" w:hAnsi="宋体"/>
          <w:color w:val="auto"/>
          <w:sz w:val="24"/>
          <w:szCs w:val="24"/>
          <w:highlight w:val="none"/>
        </w:rPr>
        <w:t>向贵方提供</w:t>
      </w:r>
      <w:r>
        <w:rPr>
          <w:rFonts w:hint="eastAsia" w:ascii="宋体" w:hAnsi="宋体"/>
          <w:color w:val="auto"/>
          <w:sz w:val="24"/>
          <w:szCs w:val="24"/>
          <w:highlight w:val="none"/>
        </w:rPr>
        <w:t>如下保证担保（以下简称“本保证担保”）</w:t>
      </w:r>
      <w:r>
        <w:rPr>
          <w:rFonts w:ascii="宋体" w:hAnsi="宋体"/>
          <w:color w:val="auto"/>
          <w:sz w:val="24"/>
          <w:szCs w:val="24"/>
          <w:highlight w:val="none"/>
        </w:rPr>
        <w:t xml:space="preserve">。 </w:t>
      </w:r>
    </w:p>
    <w:p>
      <w:pPr>
        <w:spacing w:line="360" w:lineRule="auto"/>
        <w:rPr>
          <w:rFonts w:ascii="宋体" w:hAnsi="宋体"/>
          <w:b/>
          <w:color w:val="auto"/>
          <w:sz w:val="24"/>
          <w:szCs w:val="24"/>
          <w:highlight w:val="none"/>
        </w:rPr>
      </w:pPr>
      <w:r>
        <w:rPr>
          <w:rFonts w:hint="eastAsia" w:ascii="宋体" w:hAnsi="宋体"/>
          <w:color w:val="auto"/>
          <w:sz w:val="24"/>
          <w:szCs w:val="24"/>
          <w:highlight w:val="none"/>
        </w:rPr>
        <w:t xml:space="preserve">    </w:t>
      </w:r>
      <w:r>
        <w:rPr>
          <w:rFonts w:hint="eastAsia" w:ascii="宋体" w:hAnsi="宋体"/>
          <w:b/>
          <w:color w:val="auto"/>
          <w:sz w:val="24"/>
          <w:szCs w:val="24"/>
          <w:highlight w:val="none"/>
        </w:rPr>
        <w:t>一、保证担保的范围及保证担保金额</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w:t>
      </w:r>
      <w:r>
        <w:rPr>
          <w:rFonts w:hint="eastAsia" w:ascii="宋体" w:hAnsi="宋体"/>
          <w:color w:val="auto"/>
          <w:sz w:val="24"/>
          <w:szCs w:val="24"/>
          <w:highlight w:val="none"/>
        </w:rPr>
        <w:t>保证担保范围：承包人未按照主合同的约定履行义务，应当向贵方承担的违约责任和赔偿因此造成的损失、利息、律师费、诉讼费用等实现债权的费用。</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pPr>
        <w:spacing w:line="360" w:lineRule="auto"/>
        <w:ind w:firstLine="482" w:firstLineChars="200"/>
        <w:rPr>
          <w:rFonts w:ascii="宋体" w:hAnsi="宋体"/>
          <w:b/>
          <w:color w:val="auto"/>
          <w:sz w:val="24"/>
          <w:szCs w:val="24"/>
          <w:highlight w:val="none"/>
        </w:rPr>
      </w:pPr>
      <w:r>
        <w:rPr>
          <w:rFonts w:hint="eastAsia" w:ascii="宋体" w:hAnsi="宋体"/>
          <w:b/>
          <w:color w:val="auto"/>
          <w:sz w:val="24"/>
          <w:szCs w:val="24"/>
          <w:highlight w:val="none"/>
        </w:rPr>
        <w:t>二、保证担保的方式及保证期间</w:t>
      </w:r>
      <w:r>
        <w:rPr>
          <w:rFonts w:ascii="宋体" w:hAnsi="宋体"/>
          <w:b/>
          <w:color w:val="auto"/>
          <w:sz w:val="24"/>
          <w:szCs w:val="24"/>
          <w:highlight w:val="none"/>
        </w:rPr>
        <w:t xml:space="preserve">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1.保证担保方式：连带责任保证。</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保证期间：</w:t>
      </w:r>
      <w:r>
        <w:rPr>
          <w:rFonts w:ascii="宋体" w:hAnsi="宋体"/>
          <w:color w:val="auto"/>
          <w:sz w:val="24"/>
          <w:szCs w:val="24"/>
          <w:highlight w:val="none"/>
        </w:rPr>
        <w:t>自</w:t>
      </w:r>
      <w:r>
        <w:rPr>
          <w:rFonts w:hint="eastAsia" w:ascii="宋体" w:hAnsi="宋体"/>
          <w:color w:val="auto"/>
          <w:sz w:val="24"/>
          <w:szCs w:val="24"/>
          <w:highlight w:val="none"/>
        </w:rPr>
        <w:t>出具之日起</w:t>
      </w:r>
      <w:r>
        <w:rPr>
          <w:rFonts w:ascii="宋体" w:hAnsi="宋体"/>
          <w:color w:val="auto"/>
          <w:sz w:val="24"/>
          <w:szCs w:val="24"/>
          <w:highlight w:val="none"/>
        </w:rPr>
        <w:t>至</w:t>
      </w:r>
      <w:r>
        <w:rPr>
          <w:rFonts w:hint="eastAsia" w:ascii="宋体" w:hAnsi="宋体"/>
          <w:color w:val="auto"/>
          <w:sz w:val="24"/>
          <w:szCs w:val="24"/>
          <w:highlight w:val="none"/>
        </w:rPr>
        <w:t>主合同约定的缺陷责任期</w:t>
      </w:r>
      <w:r>
        <w:rPr>
          <w:rFonts w:ascii="宋体" w:hAnsi="宋体"/>
          <w:color w:val="auto"/>
          <w:sz w:val="24"/>
          <w:szCs w:val="24"/>
          <w:highlight w:val="none"/>
        </w:rPr>
        <w:t>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pPr>
        <w:spacing w:line="360" w:lineRule="auto"/>
        <w:ind w:firstLine="482" w:firstLineChars="200"/>
        <w:rPr>
          <w:rFonts w:ascii="宋体" w:hAnsi="宋体"/>
          <w:b/>
          <w:color w:val="auto"/>
          <w:sz w:val="24"/>
          <w:szCs w:val="24"/>
          <w:highlight w:val="none"/>
        </w:rPr>
      </w:pPr>
      <w:r>
        <w:rPr>
          <w:rFonts w:hint="eastAsia" w:ascii="宋体" w:hAnsi="宋体"/>
          <w:b/>
          <w:color w:val="auto"/>
          <w:sz w:val="24"/>
          <w:szCs w:val="24"/>
          <w:highlight w:val="none"/>
        </w:rPr>
        <w:t>三、承担保证担保责任的形式</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我方按照贵方的要求以下列方式之一承担保证担保责任：</w:t>
      </w:r>
      <w:r>
        <w:rPr>
          <w:rFonts w:ascii="宋体" w:hAnsi="宋体"/>
          <w:color w:val="auto"/>
          <w:sz w:val="24"/>
          <w:szCs w:val="24"/>
          <w:highlight w:val="none"/>
        </w:rPr>
        <w:t xml:space="preserve">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1.向承包人资金、设备或者技术援助，使其能继续履行合同义务；</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2.直接接管该项工程或者委托经贵方同意的其他承包商，继续履行合同义务；</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3.在保证担保金额最高限额内，按照合同约定，向贵方承担违约责任和赔偿因此造成的损失，以及利息和律师费、诉讼费用等实现债权的费用。</w:t>
      </w:r>
    </w:p>
    <w:p>
      <w:pPr>
        <w:spacing w:line="360" w:lineRule="auto"/>
        <w:ind w:firstLine="482" w:firstLineChars="200"/>
        <w:rPr>
          <w:rFonts w:ascii="宋体" w:hAnsi="宋体"/>
          <w:b/>
          <w:color w:val="auto"/>
          <w:sz w:val="24"/>
          <w:szCs w:val="24"/>
          <w:highlight w:val="none"/>
        </w:rPr>
      </w:pPr>
      <w:r>
        <w:rPr>
          <w:rFonts w:hint="eastAsia" w:ascii="宋体" w:hAnsi="宋体"/>
          <w:b/>
          <w:color w:val="auto"/>
          <w:sz w:val="24"/>
          <w:szCs w:val="24"/>
          <w:highlight w:val="none"/>
        </w:rPr>
        <w:t>四、代偿的安排</w:t>
      </w:r>
      <w:r>
        <w:rPr>
          <w:rFonts w:ascii="宋体" w:hAnsi="宋体"/>
          <w:b/>
          <w:color w:val="auto"/>
          <w:sz w:val="24"/>
          <w:szCs w:val="24"/>
          <w:highlight w:val="none"/>
        </w:rPr>
        <w:t xml:space="preserve">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贵方要求我方承担保证责任的，应向我方发出书面索赔通知及承包人未履行主合同约定义务的证明材料。索赔通知应写明要求索赔的金额，支付款项应到达的帐号，并附有说明承包人违反主合同造成贵方损失情况的证明材料。</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2.贵方以工程质量不符合主合同约定标准为由，向我方提出违约索赔的，还需同时提供符合相应条件要求的工程质量检测部门出具的质量说明材料。</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3.我方收到贵方的书面索赔通知及相应证明材料后，在</w:t>
      </w:r>
      <w:r>
        <w:rPr>
          <w:rFonts w:ascii="宋体" w:hAnsi="宋体"/>
          <w:color w:val="auto"/>
          <w:sz w:val="24"/>
          <w:szCs w:val="24"/>
          <w:highlight w:val="none"/>
          <w:u w:val="single"/>
        </w:rPr>
        <w:t xml:space="preserve">   </w:t>
      </w:r>
      <w:r>
        <w:rPr>
          <w:rFonts w:hint="eastAsia" w:ascii="宋体" w:hAnsi="宋体"/>
          <w:color w:val="auto"/>
          <w:sz w:val="24"/>
          <w:szCs w:val="24"/>
          <w:highlight w:val="none"/>
        </w:rPr>
        <w:t>工作日内进行核定后按照本保函的承诺承担保证责任。</w:t>
      </w:r>
    </w:p>
    <w:p>
      <w:pPr>
        <w:spacing w:line="360" w:lineRule="auto"/>
        <w:ind w:firstLine="482" w:firstLineChars="200"/>
        <w:rPr>
          <w:rFonts w:ascii="宋体" w:hAnsi="宋体"/>
          <w:b/>
          <w:color w:val="auto"/>
          <w:sz w:val="24"/>
          <w:szCs w:val="24"/>
          <w:highlight w:val="none"/>
        </w:rPr>
      </w:pPr>
      <w:r>
        <w:rPr>
          <w:rFonts w:hint="eastAsia" w:ascii="宋体" w:hAnsi="宋体"/>
          <w:b/>
          <w:color w:val="auto"/>
          <w:sz w:val="24"/>
          <w:szCs w:val="24"/>
          <w:highlight w:val="none"/>
        </w:rPr>
        <w:t>五、保证担保责任的解除</w:t>
      </w:r>
      <w:r>
        <w:rPr>
          <w:rFonts w:ascii="宋体" w:hAnsi="宋体"/>
          <w:b/>
          <w:color w:val="auto"/>
          <w:sz w:val="24"/>
          <w:szCs w:val="24"/>
          <w:highlight w:val="none"/>
        </w:rPr>
        <w:t xml:space="preserve">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 xml:space="preserve">保证期间届满贵方未向我方书面主张保证责任的，自保证期间届满次日起，我方解除保证责任。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我方按照本</w:t>
      </w:r>
      <w:r>
        <w:rPr>
          <w:rFonts w:hint="eastAsia" w:ascii="宋体" w:hAnsi="宋体"/>
          <w:color w:val="auto"/>
          <w:sz w:val="24"/>
          <w:szCs w:val="24"/>
          <w:highlight w:val="none"/>
        </w:rPr>
        <w:t>保证担保</w:t>
      </w:r>
      <w:r>
        <w:rPr>
          <w:rFonts w:ascii="宋体" w:hAnsi="宋体"/>
          <w:color w:val="auto"/>
          <w:sz w:val="24"/>
          <w:szCs w:val="24"/>
          <w:highlight w:val="none"/>
        </w:rPr>
        <w:t>向贵方履行了</w:t>
      </w:r>
      <w:r>
        <w:rPr>
          <w:rFonts w:hint="eastAsia" w:ascii="宋体" w:hAnsi="宋体"/>
          <w:color w:val="auto"/>
          <w:sz w:val="24"/>
          <w:szCs w:val="24"/>
          <w:highlight w:val="none"/>
        </w:rPr>
        <w:t>保证担保责任</w:t>
      </w:r>
      <w:r>
        <w:rPr>
          <w:rFonts w:ascii="宋体" w:hAnsi="宋体"/>
          <w:color w:val="auto"/>
          <w:sz w:val="24"/>
          <w:szCs w:val="24"/>
          <w:highlight w:val="none"/>
        </w:rPr>
        <w:t>后，自我方向贵方支付</w:t>
      </w:r>
      <w:r>
        <w:rPr>
          <w:rFonts w:hint="eastAsia" w:ascii="宋体" w:hAnsi="宋体"/>
          <w:color w:val="auto"/>
          <w:sz w:val="24"/>
          <w:szCs w:val="24"/>
          <w:highlight w:val="none"/>
        </w:rPr>
        <w:t>的金额达到最高保证担保金额</w:t>
      </w:r>
      <w:r>
        <w:rPr>
          <w:rFonts w:ascii="宋体" w:hAnsi="宋体"/>
          <w:color w:val="auto"/>
          <w:sz w:val="24"/>
          <w:szCs w:val="24"/>
          <w:highlight w:val="none"/>
        </w:rPr>
        <w:t>之日起，</w:t>
      </w:r>
      <w:r>
        <w:rPr>
          <w:rFonts w:hint="eastAsia" w:ascii="宋体" w:hAnsi="宋体"/>
          <w:color w:val="auto"/>
          <w:sz w:val="24"/>
          <w:szCs w:val="24"/>
          <w:highlight w:val="none"/>
        </w:rPr>
        <w:t>保证担保责任</w:t>
      </w:r>
      <w:r>
        <w:rPr>
          <w:rFonts w:ascii="宋体" w:hAnsi="宋体"/>
          <w:color w:val="auto"/>
          <w:sz w:val="24"/>
          <w:szCs w:val="24"/>
          <w:highlight w:val="none"/>
        </w:rPr>
        <w:t xml:space="preserve">解除。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按照法律法规的规定应解除我方保证</w:t>
      </w:r>
      <w:r>
        <w:rPr>
          <w:rFonts w:hint="eastAsia" w:ascii="宋体" w:hAnsi="宋体"/>
          <w:color w:val="auto"/>
          <w:sz w:val="24"/>
          <w:szCs w:val="24"/>
          <w:highlight w:val="none"/>
        </w:rPr>
        <w:t>担保</w:t>
      </w:r>
      <w:r>
        <w:rPr>
          <w:rFonts w:ascii="宋体" w:hAnsi="宋体"/>
          <w:color w:val="auto"/>
          <w:sz w:val="24"/>
          <w:szCs w:val="24"/>
          <w:highlight w:val="none"/>
        </w:rPr>
        <w:t>责任的</w:t>
      </w:r>
      <w:r>
        <w:rPr>
          <w:rFonts w:hint="eastAsia" w:ascii="宋体" w:hAnsi="宋体"/>
          <w:color w:val="auto"/>
          <w:sz w:val="24"/>
          <w:szCs w:val="24"/>
          <w:highlight w:val="none"/>
          <w:lang w:eastAsia="zh-CN"/>
        </w:rPr>
        <w:t>其他</w:t>
      </w:r>
      <w:r>
        <w:rPr>
          <w:rFonts w:ascii="宋体" w:hAnsi="宋体"/>
          <w:color w:val="auto"/>
          <w:sz w:val="24"/>
          <w:szCs w:val="24"/>
          <w:highlight w:val="none"/>
        </w:rPr>
        <w:t>情形的，我方在本保证担保项下的保证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责任亦解除。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4.我方解除保证责任后，贵方应按上述约定，自我方保证担保责任解除之日起七</w:t>
      </w:r>
      <w:r>
        <w:rPr>
          <w:rFonts w:ascii="宋体" w:hAnsi="宋体"/>
          <w:color w:val="auto"/>
          <w:sz w:val="24"/>
          <w:szCs w:val="24"/>
          <w:highlight w:val="none"/>
        </w:rPr>
        <w:t>日内，将本保证担保原件返还我方。但是不论贵方是否按此要求将本保证担保</w:t>
      </w:r>
      <w:r>
        <w:rPr>
          <w:rFonts w:hint="eastAsia" w:ascii="宋体" w:hAnsi="宋体"/>
          <w:color w:val="auto"/>
          <w:sz w:val="24"/>
          <w:szCs w:val="24"/>
          <w:highlight w:val="none"/>
        </w:rPr>
        <w:t>原件</w:t>
      </w:r>
      <w:r>
        <w:rPr>
          <w:rFonts w:ascii="宋体" w:hAnsi="宋体"/>
          <w:color w:val="auto"/>
          <w:sz w:val="24"/>
          <w:szCs w:val="24"/>
          <w:highlight w:val="none"/>
        </w:rPr>
        <w:t>退回我方，我方在本保证担保项下的义务和责任均</w:t>
      </w:r>
      <w:r>
        <w:rPr>
          <w:rFonts w:hint="eastAsia" w:ascii="宋体" w:hAnsi="宋体"/>
          <w:color w:val="auto"/>
          <w:sz w:val="24"/>
          <w:szCs w:val="24"/>
          <w:highlight w:val="none"/>
        </w:rPr>
        <w:t>自保证担保责任解除之日</w:t>
      </w:r>
      <w:r>
        <w:rPr>
          <w:rFonts w:ascii="宋体" w:hAnsi="宋体"/>
          <w:color w:val="auto"/>
          <w:sz w:val="24"/>
          <w:szCs w:val="24"/>
          <w:highlight w:val="none"/>
        </w:rPr>
        <w:t>自动消灭。</w:t>
      </w:r>
    </w:p>
    <w:p>
      <w:pPr>
        <w:spacing w:line="360" w:lineRule="auto"/>
        <w:ind w:firstLine="482" w:firstLineChars="200"/>
        <w:rPr>
          <w:rFonts w:ascii="宋体" w:hAnsi="宋体"/>
          <w:b/>
          <w:color w:val="auto"/>
          <w:sz w:val="24"/>
          <w:szCs w:val="24"/>
          <w:highlight w:val="none"/>
        </w:rPr>
      </w:pPr>
      <w:r>
        <w:rPr>
          <w:rFonts w:hint="eastAsia" w:ascii="宋体" w:hAnsi="宋体"/>
          <w:b/>
          <w:color w:val="auto"/>
          <w:sz w:val="24"/>
          <w:szCs w:val="24"/>
          <w:highlight w:val="none"/>
        </w:rPr>
        <w:t>六、免责条款</w:t>
      </w:r>
      <w:r>
        <w:rPr>
          <w:rFonts w:ascii="宋体" w:hAnsi="宋体"/>
          <w:b/>
          <w:color w:val="auto"/>
          <w:sz w:val="24"/>
          <w:szCs w:val="24"/>
          <w:highlight w:val="none"/>
        </w:rPr>
        <w:t xml:space="preserve">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因贵方</w:t>
      </w:r>
      <w:r>
        <w:rPr>
          <w:rFonts w:hint="eastAsia" w:ascii="宋体" w:hAnsi="宋体"/>
          <w:color w:val="auto"/>
          <w:sz w:val="24"/>
          <w:szCs w:val="24"/>
          <w:highlight w:val="none"/>
        </w:rPr>
        <w:t>原因</w:t>
      </w:r>
      <w:r>
        <w:rPr>
          <w:rFonts w:ascii="宋体" w:hAnsi="宋体"/>
          <w:color w:val="auto"/>
          <w:sz w:val="24"/>
          <w:szCs w:val="24"/>
          <w:highlight w:val="none"/>
        </w:rPr>
        <w:t>致使</w:t>
      </w:r>
      <w:r>
        <w:rPr>
          <w:rFonts w:hint="eastAsia" w:ascii="宋体" w:hAnsi="宋体"/>
          <w:color w:val="auto"/>
          <w:sz w:val="24"/>
          <w:szCs w:val="24"/>
          <w:highlight w:val="none"/>
        </w:rPr>
        <w:t>承包人未按照主合同约定履行义务的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依照法律规定或贵方与</w:t>
      </w:r>
      <w:r>
        <w:rPr>
          <w:rFonts w:hint="eastAsia" w:ascii="宋体" w:hAnsi="宋体"/>
          <w:color w:val="auto"/>
          <w:sz w:val="24"/>
          <w:szCs w:val="24"/>
          <w:highlight w:val="none"/>
        </w:rPr>
        <w:t>发包</w:t>
      </w:r>
      <w:r>
        <w:rPr>
          <w:rFonts w:ascii="宋体" w:hAnsi="宋体"/>
          <w:color w:val="auto"/>
          <w:sz w:val="24"/>
          <w:szCs w:val="24"/>
          <w:highlight w:val="none"/>
        </w:rPr>
        <w:t>人的另行约定，免除</w:t>
      </w:r>
      <w:r>
        <w:rPr>
          <w:rFonts w:hint="eastAsia" w:ascii="宋体" w:hAnsi="宋体"/>
          <w:color w:val="auto"/>
          <w:sz w:val="24"/>
          <w:szCs w:val="24"/>
          <w:highlight w:val="none"/>
        </w:rPr>
        <w:t>承包</w:t>
      </w:r>
      <w:r>
        <w:rPr>
          <w:rFonts w:ascii="宋体" w:hAnsi="宋体"/>
          <w:color w:val="auto"/>
          <w:sz w:val="24"/>
          <w:szCs w:val="24"/>
          <w:highlight w:val="none"/>
        </w:rPr>
        <w:t>人部分或全部义务的，我方亦免除其相应的保证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因不可抗力造成</w:t>
      </w:r>
      <w:r>
        <w:rPr>
          <w:rFonts w:hint="eastAsia" w:ascii="宋体" w:hAnsi="宋体"/>
          <w:color w:val="auto"/>
          <w:sz w:val="24"/>
          <w:szCs w:val="24"/>
          <w:highlight w:val="none"/>
        </w:rPr>
        <w:t>承包人未按照主合同约定履行义务的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责任。</w:t>
      </w:r>
    </w:p>
    <w:p>
      <w:pPr>
        <w:spacing w:line="360" w:lineRule="auto"/>
        <w:ind w:firstLine="482" w:firstLineChars="200"/>
        <w:rPr>
          <w:rFonts w:ascii="宋体" w:hAnsi="宋体"/>
          <w:b/>
          <w:color w:val="auto"/>
          <w:sz w:val="24"/>
          <w:szCs w:val="24"/>
          <w:highlight w:val="none"/>
        </w:rPr>
      </w:pPr>
      <w:r>
        <w:rPr>
          <w:rFonts w:hint="eastAsia" w:ascii="宋体" w:hAnsi="宋体"/>
          <w:b/>
          <w:color w:val="auto"/>
          <w:sz w:val="24"/>
          <w:szCs w:val="24"/>
          <w:highlight w:val="none"/>
        </w:rPr>
        <w:t>七、其他</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本保证担保项下的权利不得转让，不得设定担保。贵方未经我方书面同意转让本保证担保或其项下任何权利，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.本</w:t>
      </w:r>
      <w:r>
        <w:rPr>
          <w:rFonts w:hint="eastAsia" w:ascii="宋体" w:hAnsi="宋体"/>
          <w:color w:val="auto"/>
          <w:sz w:val="24"/>
          <w:szCs w:val="24"/>
          <w:highlight w:val="none"/>
        </w:rPr>
        <w:t>保证担保适用的法律为中华人民共和国法律，争议裁判管辖地为中华人民共和国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r>
        <w:rPr>
          <w:rFonts w:ascii="宋体" w:hAnsi="宋体"/>
          <w:color w:val="auto"/>
          <w:sz w:val="24"/>
          <w:szCs w:val="24"/>
          <w:highlight w:val="none"/>
        </w:rPr>
        <w:t xml:space="preserve">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.本</w:t>
      </w:r>
      <w:r>
        <w:rPr>
          <w:rFonts w:hint="eastAsia" w:ascii="宋体" w:hAnsi="宋体"/>
          <w:color w:val="auto"/>
          <w:sz w:val="24"/>
          <w:szCs w:val="24"/>
          <w:highlight w:val="none"/>
        </w:rPr>
        <w:t>保证担保</w:t>
      </w:r>
      <w:r>
        <w:rPr>
          <w:rFonts w:ascii="宋体" w:hAnsi="宋体"/>
          <w:color w:val="auto"/>
          <w:sz w:val="24"/>
          <w:szCs w:val="24"/>
          <w:highlight w:val="none"/>
        </w:rPr>
        <w:t>自我方法定代表</w:t>
      </w:r>
      <w:r>
        <w:rPr>
          <w:rFonts w:hint="eastAsia" w:ascii="宋体" w:hAnsi="宋体"/>
          <w:color w:val="auto"/>
          <w:sz w:val="24"/>
          <w:szCs w:val="24"/>
          <w:highlight w:val="none"/>
        </w:rPr>
        <w:t>人或授权代表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pPr>
        <w:spacing w:line="360" w:lineRule="auto"/>
        <w:ind w:firstLine="480" w:firstLineChars="200"/>
        <w:rPr>
          <w:rFonts w:ascii="宋体" w:hAnsi="宋体"/>
          <w:color w:val="auto"/>
          <w:sz w:val="24"/>
          <w:szCs w:val="24"/>
          <w:highlight w:val="none"/>
        </w:rPr>
      </w:pP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保 证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（公</w:t>
      </w:r>
      <w:r>
        <w:rPr>
          <w:rFonts w:ascii="宋体" w:hAnsi="宋体"/>
          <w:color w:val="auto"/>
          <w:sz w:val="24"/>
          <w:szCs w:val="24"/>
          <w:highlight w:val="none"/>
        </w:rPr>
        <w:t xml:space="preserve">章）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时 </w:t>
      </w:r>
      <w:r>
        <w:rPr>
          <w:rFonts w:ascii="宋体" w:hAnsi="宋体"/>
          <w:color w:val="auto"/>
          <w:sz w:val="24"/>
          <w:szCs w:val="24"/>
          <w:highlight w:val="none"/>
        </w:rPr>
        <w:t xml:space="preserve">   </w:t>
      </w:r>
      <w:r>
        <w:rPr>
          <w:rFonts w:hint="eastAsia" w:ascii="宋体" w:hAnsi="宋体"/>
          <w:color w:val="auto"/>
          <w:sz w:val="24"/>
          <w:szCs w:val="24"/>
          <w:highlight w:val="none"/>
        </w:rPr>
        <w:t>间：</w:t>
      </w:r>
      <w:r>
        <w:rPr>
          <w:rFonts w:ascii="宋体" w:hAnsi="宋体"/>
          <w:color w:val="auto"/>
          <w:sz w:val="24"/>
          <w:szCs w:val="24"/>
          <w:highlight w:val="none"/>
        </w:rPr>
        <w:t xml:space="preserve">      年      月        日</w:t>
      </w:r>
    </w:p>
    <w:p>
      <w:pPr>
        <w:spacing w:line="360" w:lineRule="auto"/>
        <w:ind w:right="150" w:firstLine="420" w:firstLineChars="200"/>
        <w:jc w:val="left"/>
        <w:rPr>
          <w:rFonts w:hAnsi="宋体" w:cs="宋体"/>
          <w:color w:val="auto"/>
          <w:highlight w:val="none"/>
        </w:rPr>
      </w:pPr>
    </w:p>
    <w:p>
      <w:pPr>
        <w:spacing w:line="360" w:lineRule="auto"/>
        <w:ind w:right="150" w:firstLine="420" w:firstLineChars="200"/>
        <w:jc w:val="left"/>
        <w:rPr>
          <w:rFonts w:hAnsi="宋体" w:cs="宋体"/>
          <w:color w:val="auto"/>
          <w:highlight w:val="none"/>
        </w:rPr>
      </w:pPr>
    </w:p>
    <w:p>
      <w:pPr>
        <w:spacing w:line="360" w:lineRule="auto"/>
        <w:ind w:right="150" w:firstLine="420" w:firstLineChars="200"/>
        <w:jc w:val="left"/>
        <w:rPr>
          <w:rFonts w:hAnsi="宋体" w:cs="宋体"/>
          <w:color w:val="auto"/>
          <w:highlight w:val="none"/>
        </w:rPr>
      </w:pPr>
    </w:p>
    <w:p>
      <w:pPr>
        <w:spacing w:line="360" w:lineRule="auto"/>
        <w:ind w:right="150" w:firstLine="420" w:firstLineChars="200"/>
        <w:jc w:val="left"/>
        <w:rPr>
          <w:color w:val="auto"/>
          <w:highlight w:val="none"/>
        </w:rPr>
      </w:pPr>
      <w:r>
        <w:rPr>
          <w:rFonts w:hint="eastAsia" w:hAnsi="宋体" w:cs="宋体"/>
          <w:color w:val="auto"/>
          <w:highlight w:val="none"/>
        </w:rPr>
        <w:t>（备注</w:t>
      </w:r>
      <w:r>
        <w:rPr>
          <w:rFonts w:hAnsi="宋体" w:cs="宋体"/>
          <w:color w:val="auto"/>
          <w:highlight w:val="none"/>
        </w:rPr>
        <w:t>：</w:t>
      </w:r>
      <w:r>
        <w:rPr>
          <w:rFonts w:hint="eastAsia" w:hAnsi="宋体" w:cs="宋体"/>
          <w:color w:val="auto"/>
          <w:highlight w:val="none"/>
        </w:rPr>
        <w:t>银行、保险公司和担保公司出具的</w:t>
      </w:r>
      <w:r>
        <w:rPr>
          <w:rFonts w:hint="eastAsia" w:ascii="仿宋_GB2312" w:hAnsi="宋体" w:cs="宋体"/>
          <w:color w:val="auto"/>
          <w:highlight w:val="none"/>
        </w:rPr>
        <w:t>保函格式和文本可</w:t>
      </w:r>
      <w:r>
        <w:rPr>
          <w:rFonts w:ascii="仿宋_GB2312" w:hAnsi="宋体" w:cs="宋体"/>
          <w:color w:val="auto"/>
          <w:highlight w:val="none"/>
        </w:rPr>
        <w:t>以自拟，</w:t>
      </w:r>
      <w:r>
        <w:rPr>
          <w:rFonts w:hint="eastAsia" w:ascii="仿宋_GB2312" w:hAnsi="宋体" w:cs="宋体"/>
          <w:color w:val="auto"/>
          <w:highlight w:val="none"/>
        </w:rPr>
        <w:t>但是必须包含以上条款所列全部内容</w:t>
      </w:r>
      <w:r>
        <w:rPr>
          <w:rFonts w:ascii="仿宋_GB2312" w:hAnsi="宋体" w:cs="宋体"/>
          <w:color w:val="auto"/>
          <w:highlight w:val="none"/>
        </w:rPr>
        <w:t>）</w:t>
      </w:r>
    </w:p>
    <w:p>
      <w:pPr>
        <w:pStyle w:val="3"/>
        <w:rPr>
          <w:rFonts w:eastAsia="宋体"/>
          <w:color w:val="auto"/>
          <w:sz w:val="21"/>
          <w:szCs w:val="21"/>
          <w:highlight w:val="none"/>
          <w:lang w:val="en-US"/>
        </w:rPr>
        <w:sectPr>
          <w:pgSz w:w="11907" w:h="16840"/>
          <w:pgMar w:top="1440" w:right="1440" w:bottom="1440" w:left="1797" w:header="851" w:footer="851" w:gutter="0"/>
          <w:cols w:space="720" w:num="1"/>
          <w:docGrid w:linePitch="312" w:charSpace="0"/>
        </w:sectPr>
      </w:pPr>
    </w:p>
    <w:p>
      <w:pPr>
        <w:spacing w:line="360" w:lineRule="auto"/>
        <w:rPr>
          <w:rFonts w:eastAsia="黑体"/>
          <w:color w:val="auto"/>
          <w:sz w:val="30"/>
          <w:szCs w:val="30"/>
          <w:highlight w:val="none"/>
        </w:rPr>
      </w:pPr>
      <w:r>
        <w:rPr>
          <w:rFonts w:hint="eastAsia" w:eastAsia="仿宋_GB2312" w:cs="仿宋_GB2312"/>
          <w:color w:val="auto"/>
          <w:sz w:val="30"/>
          <w:szCs w:val="30"/>
          <w:highlight w:val="none"/>
        </w:rPr>
        <w:t>附件</w:t>
      </w:r>
      <w:r>
        <w:rPr>
          <w:rFonts w:hint="eastAsia" w:eastAsia="仿宋_GB2312"/>
          <w:color w:val="auto"/>
          <w:sz w:val="30"/>
          <w:szCs w:val="30"/>
          <w:highlight w:val="none"/>
        </w:rPr>
        <w:t>8</w:t>
      </w:r>
      <w:r>
        <w:rPr>
          <w:rFonts w:hint="eastAsia" w:eastAsia="仿宋_GB2312" w:cs="仿宋_GB2312"/>
          <w:color w:val="auto"/>
          <w:sz w:val="30"/>
          <w:szCs w:val="30"/>
          <w:highlight w:val="none"/>
        </w:rPr>
        <w:t>：</w:t>
      </w:r>
    </w:p>
    <w:p>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预付款保函</w:t>
      </w:r>
    </w:p>
    <w:p>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（独立保函）</w:t>
      </w:r>
    </w:p>
    <w:p>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pPr>
        <w:spacing w:line="360" w:lineRule="auto"/>
        <w:rPr>
          <w:rFonts w:ascii="宋体" w:hAnsi="宋体"/>
          <w:color w:val="auto"/>
          <w:sz w:val="24"/>
          <w:szCs w:val="24"/>
          <w:highlight w:val="none"/>
        </w:rPr>
      </w:pPr>
    </w:p>
    <w:p>
      <w:pPr>
        <w:spacing w:line="360" w:lineRule="auto"/>
        <w:rPr>
          <w:rFonts w:ascii="宋体" w:hAnsi="宋体"/>
          <w:color w:val="auto"/>
          <w:sz w:val="24"/>
          <w:szCs w:val="24"/>
          <w:highlight w:val="none"/>
        </w:rPr>
      </w:pPr>
      <w:r>
        <w:rPr>
          <w:rFonts w:hint="eastAsia" w:ascii="宋体" w:hAnsi="宋体"/>
          <w:color w:val="auto"/>
          <w:sz w:val="24"/>
          <w:szCs w:val="24"/>
          <w:highlight w:val="none"/>
        </w:rPr>
        <w:t>申请人：</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r>
        <w:rPr>
          <w:rFonts w:ascii="宋体" w:hAnsi="宋体"/>
          <w:color w:val="auto"/>
          <w:sz w:val="24"/>
          <w:szCs w:val="24"/>
          <w:highlight w:val="none"/>
        </w:rPr>
        <w:t>：</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受益人：</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开立人：</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地址：</w:t>
      </w:r>
    </w:p>
    <w:p>
      <w:pPr>
        <w:spacing w:line="360" w:lineRule="auto"/>
        <w:rPr>
          <w:rFonts w:ascii="宋体" w:hAnsi="宋体"/>
          <w:color w:val="auto"/>
          <w:sz w:val="24"/>
          <w:szCs w:val="24"/>
          <w:highlight w:val="none"/>
        </w:rPr>
      </w:pPr>
      <w:r>
        <w:rPr>
          <w:rFonts w:ascii="宋体" w:hAnsi="宋体"/>
          <w:color w:val="auto"/>
          <w:sz w:val="24"/>
          <w:szCs w:val="24"/>
          <w:highlight w:val="none"/>
        </w:rPr>
        <w:t xml:space="preserve"> </w:t>
      </w:r>
    </w:p>
    <w:p>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受益人</w:t>
      </w:r>
      <w:r>
        <w:rPr>
          <w:rFonts w:ascii="宋体" w:hAnsi="宋体"/>
          <w:color w:val="auto"/>
          <w:sz w:val="24"/>
          <w:szCs w:val="24"/>
          <w:highlight w:val="none"/>
        </w:rPr>
        <w:t xml:space="preserve">名称）：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受益人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申请人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（以下简称“基础合同”），我方（即“开立人”）根据主合同了解到申请人为主合同项下之承包人，受益人为主合同项下之发包人，基于申请人</w:t>
      </w:r>
      <w:r>
        <w:rPr>
          <w:rFonts w:ascii="宋体" w:hAnsi="宋体"/>
          <w:color w:val="auto"/>
          <w:sz w:val="24"/>
          <w:szCs w:val="24"/>
          <w:highlight w:val="none"/>
        </w:rPr>
        <w:t>的请求，我方同意就</w:t>
      </w:r>
      <w:r>
        <w:rPr>
          <w:rFonts w:hint="eastAsia" w:ascii="宋体" w:hAnsi="宋体"/>
          <w:color w:val="auto"/>
          <w:sz w:val="24"/>
          <w:szCs w:val="24"/>
          <w:highlight w:val="none"/>
        </w:rPr>
        <w:t>申请人按照合同约定正确和合理地为合同目的使用预付款，</w:t>
      </w:r>
      <w:r>
        <w:rPr>
          <w:rFonts w:ascii="宋体" w:hAnsi="宋体"/>
          <w:color w:val="auto"/>
          <w:sz w:val="24"/>
          <w:szCs w:val="24"/>
          <w:highlight w:val="none"/>
        </w:rPr>
        <w:t>向贵方提供不可撤销、</w:t>
      </w:r>
      <w:r>
        <w:rPr>
          <w:rFonts w:hint="eastAsia" w:ascii="宋体" w:hAnsi="宋体"/>
          <w:color w:val="auto"/>
          <w:sz w:val="24"/>
          <w:szCs w:val="24"/>
          <w:highlight w:val="none"/>
        </w:rPr>
        <w:t>不可转让的见索即付</w:t>
      </w:r>
      <w:r>
        <w:rPr>
          <w:rFonts w:ascii="宋体" w:hAnsi="宋体"/>
          <w:color w:val="auto"/>
          <w:sz w:val="24"/>
          <w:szCs w:val="24"/>
          <w:highlight w:val="none"/>
        </w:rPr>
        <w:t>独立</w:t>
      </w:r>
      <w:r>
        <w:rPr>
          <w:rFonts w:hint="eastAsia" w:ascii="宋体" w:hAnsi="宋体"/>
          <w:color w:val="auto"/>
          <w:sz w:val="24"/>
          <w:szCs w:val="24"/>
          <w:highlight w:val="none"/>
        </w:rPr>
        <w:t>保函（以下简称“本保函”）</w:t>
      </w:r>
      <w:r>
        <w:rPr>
          <w:rFonts w:ascii="宋体" w:hAnsi="宋体"/>
          <w:color w:val="auto"/>
          <w:sz w:val="24"/>
          <w:szCs w:val="24"/>
          <w:highlight w:val="none"/>
        </w:rPr>
        <w:t xml:space="preserve">。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一、本保函担保范围：申请人未按照合同约定正确和合理地为合同目的使用预付款，应当向贵方承担的违约责任和赔偿因此造成的损失、利息、律师费、诉讼费用等实现债权的费用。</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二、本保函担保金额最高不超过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三、本保函</w:t>
      </w:r>
      <w:r>
        <w:rPr>
          <w:rFonts w:ascii="宋体" w:hAnsi="宋体"/>
          <w:color w:val="auto"/>
          <w:sz w:val="24"/>
          <w:szCs w:val="24"/>
          <w:highlight w:val="none"/>
        </w:rPr>
        <w:t>有效期自</w:t>
      </w:r>
      <w:r>
        <w:rPr>
          <w:rFonts w:hint="eastAsia" w:ascii="宋体" w:hAnsi="宋体"/>
          <w:color w:val="auto"/>
          <w:sz w:val="24"/>
          <w:szCs w:val="24"/>
          <w:highlight w:val="none"/>
        </w:rPr>
        <w:t>开立之日起</w:t>
      </w:r>
      <w:r>
        <w:rPr>
          <w:rFonts w:ascii="宋体" w:hAnsi="宋体"/>
          <w:color w:val="auto"/>
          <w:sz w:val="24"/>
          <w:szCs w:val="24"/>
          <w:highlight w:val="none"/>
        </w:rPr>
        <w:t>至</w:t>
      </w:r>
      <w:r>
        <w:rPr>
          <w:rFonts w:hint="eastAsia" w:ascii="宋体" w:hAnsi="宋体"/>
          <w:color w:val="auto"/>
          <w:sz w:val="24"/>
          <w:szCs w:val="24"/>
          <w:highlight w:val="none"/>
        </w:rPr>
        <w:t>发包人全额扣回预付款后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四、我方承诺，在收到受益人发来的书面付款通知后的</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日内无条件支付，前述书面付款通知即为付款要求之单据，且应满足以下要求：</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（1）付款通知到达的日期在本保函的有效期内；</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（2）载明要求支付的金额；</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（3）载明申请人违反合同义务的条款和内容；</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（4）声明不存在合同文件约定或我国法律规定免除申请人或开立人支付责任的情形；</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（5）付款通知应在本保函有效期内到达的地址是：</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受益人发出的书面付款通知应由其为鉴明受益人法定代表人（负责人）或授权代理人签字并加盖公章。</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五、</w:t>
      </w:r>
      <w:r>
        <w:rPr>
          <w:rFonts w:ascii="宋体" w:hAnsi="宋体"/>
          <w:color w:val="auto"/>
          <w:sz w:val="24"/>
          <w:szCs w:val="24"/>
          <w:highlight w:val="none"/>
        </w:rPr>
        <w:t>本保函项下的权利不得转让，不得设定担保。贵方未经我方书面同意转 让本保函或其项下任何权利，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六、与</w:t>
      </w:r>
      <w:r>
        <w:rPr>
          <w:rFonts w:ascii="宋体" w:hAnsi="宋体"/>
          <w:color w:val="auto"/>
          <w:sz w:val="24"/>
          <w:szCs w:val="24"/>
          <w:highlight w:val="none"/>
        </w:rPr>
        <w:t>本保函</w:t>
      </w:r>
      <w:r>
        <w:rPr>
          <w:rFonts w:hint="eastAsia" w:ascii="宋体" w:hAnsi="宋体"/>
          <w:color w:val="auto"/>
          <w:sz w:val="24"/>
          <w:szCs w:val="24"/>
          <w:highlight w:val="none"/>
        </w:rPr>
        <w:t>有关</w:t>
      </w:r>
      <w:r>
        <w:rPr>
          <w:rFonts w:ascii="宋体" w:hAnsi="宋体"/>
          <w:color w:val="auto"/>
          <w:sz w:val="24"/>
          <w:szCs w:val="24"/>
          <w:highlight w:val="none"/>
        </w:rPr>
        <w:t>的</w:t>
      </w:r>
      <w:r>
        <w:rPr>
          <w:rFonts w:hint="eastAsia" w:ascii="宋体" w:hAnsi="宋体"/>
          <w:color w:val="auto"/>
          <w:sz w:val="24"/>
          <w:szCs w:val="24"/>
          <w:highlight w:val="none"/>
        </w:rPr>
        <w:t>基础</w:t>
      </w:r>
      <w:r>
        <w:rPr>
          <w:rFonts w:ascii="宋体" w:hAnsi="宋体"/>
          <w:color w:val="auto"/>
          <w:sz w:val="24"/>
          <w:szCs w:val="24"/>
          <w:highlight w:val="none"/>
        </w:rPr>
        <w:t xml:space="preserve">合同不成立、不生效、无效、被撤销、被解除，不影响本保函的独立有效。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七、</w:t>
      </w:r>
      <w:r>
        <w:rPr>
          <w:rFonts w:ascii="宋体" w:hAnsi="宋体"/>
          <w:color w:val="auto"/>
          <w:sz w:val="24"/>
          <w:szCs w:val="24"/>
          <w:highlight w:val="none"/>
        </w:rPr>
        <w:t>贵方应在本保函到期后的七日内将本保函正本退回我方注销，但是不论贵方是否按此要求将本保函正本退回我方，我方在本保函项下的义务和责任均在保函</w:t>
      </w:r>
      <w:r>
        <w:rPr>
          <w:rFonts w:hint="eastAsia" w:ascii="宋体" w:hAnsi="宋体"/>
          <w:color w:val="auto"/>
          <w:sz w:val="24"/>
          <w:szCs w:val="24"/>
          <w:highlight w:val="none"/>
        </w:rPr>
        <w:t>有效期</w:t>
      </w:r>
      <w:r>
        <w:rPr>
          <w:rFonts w:ascii="宋体" w:hAnsi="宋体"/>
          <w:color w:val="auto"/>
          <w:sz w:val="24"/>
          <w:szCs w:val="24"/>
          <w:highlight w:val="none"/>
        </w:rPr>
        <w:t xml:space="preserve">到期后自动消灭。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八、</w:t>
      </w:r>
      <w:r>
        <w:rPr>
          <w:rFonts w:ascii="宋体" w:hAnsi="宋体"/>
          <w:color w:val="auto"/>
          <w:sz w:val="24"/>
          <w:szCs w:val="24"/>
          <w:highlight w:val="none"/>
        </w:rPr>
        <w:t>本保函</w:t>
      </w:r>
      <w:r>
        <w:rPr>
          <w:rFonts w:hint="eastAsia" w:ascii="宋体" w:hAnsi="宋体"/>
          <w:color w:val="auto"/>
          <w:sz w:val="24"/>
          <w:szCs w:val="24"/>
          <w:highlight w:val="none"/>
        </w:rPr>
        <w:t>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九、</w:t>
      </w:r>
      <w:r>
        <w:rPr>
          <w:rFonts w:ascii="宋体" w:hAnsi="宋体"/>
          <w:color w:val="auto"/>
          <w:sz w:val="24"/>
          <w:szCs w:val="24"/>
          <w:highlight w:val="none"/>
        </w:rPr>
        <w:t>本保函自我方法定代表人</w:t>
      </w:r>
      <w:r>
        <w:rPr>
          <w:rFonts w:hint="eastAsia" w:ascii="宋体" w:hAnsi="宋体"/>
          <w:color w:val="auto"/>
          <w:sz w:val="24"/>
          <w:szCs w:val="24"/>
          <w:highlight w:val="none"/>
        </w:rPr>
        <w:t>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pPr>
        <w:spacing w:line="360" w:lineRule="auto"/>
        <w:ind w:firstLine="480" w:firstLineChars="200"/>
        <w:rPr>
          <w:rFonts w:ascii="宋体" w:hAnsi="宋体"/>
          <w:color w:val="auto"/>
          <w:sz w:val="24"/>
          <w:szCs w:val="24"/>
          <w:highlight w:val="none"/>
        </w:rPr>
      </w:pPr>
    </w:p>
    <w:p>
      <w:pPr>
        <w:spacing w:line="360" w:lineRule="auto"/>
        <w:ind w:firstLine="480" w:firstLineChars="200"/>
        <w:rPr>
          <w:rFonts w:ascii="宋体" w:hAnsi="宋体"/>
          <w:color w:val="auto"/>
          <w:sz w:val="24"/>
          <w:szCs w:val="24"/>
          <w:highlight w:val="none"/>
        </w:rPr>
      </w:pP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 立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pPr>
        <w:rPr>
          <w:color w:val="auto"/>
          <w:highlight w:val="none"/>
        </w:rPr>
      </w:pPr>
      <w:r>
        <w:rPr>
          <w:rFonts w:hint="eastAsia" w:ascii="宋体" w:hAnsi="宋体"/>
          <w:color w:val="auto"/>
          <w:sz w:val="24"/>
          <w:szCs w:val="24"/>
          <w:highlight w:val="none"/>
        </w:rPr>
        <w:t xml:space="preserve">    开立时间：</w:t>
      </w:r>
      <w:r>
        <w:rPr>
          <w:rFonts w:ascii="宋体" w:hAnsi="宋体"/>
          <w:color w:val="auto"/>
          <w:sz w:val="24"/>
          <w:szCs w:val="24"/>
          <w:highlight w:val="none"/>
        </w:rPr>
        <w:t xml:space="preserve">      年      月        日</w:t>
      </w:r>
    </w:p>
    <w:p>
      <w:pPr>
        <w:spacing w:line="360" w:lineRule="auto"/>
        <w:jc w:val="center"/>
        <w:rPr>
          <w:rFonts w:ascii="宋体" w:hAnsi="宋体"/>
          <w:b/>
          <w:color w:val="auto"/>
          <w:sz w:val="32"/>
          <w:szCs w:val="32"/>
          <w:highlight w:val="none"/>
        </w:rPr>
      </w:pPr>
    </w:p>
    <w:p>
      <w:pPr>
        <w:spacing w:line="360" w:lineRule="auto"/>
        <w:jc w:val="center"/>
        <w:rPr>
          <w:rFonts w:ascii="宋体" w:hAnsi="宋体"/>
          <w:b/>
          <w:color w:val="auto"/>
          <w:sz w:val="32"/>
          <w:szCs w:val="32"/>
          <w:highlight w:val="none"/>
        </w:rPr>
      </w:pPr>
      <w:r>
        <w:rPr>
          <w:rFonts w:hAnsi="宋体"/>
          <w:color w:val="auto"/>
          <w:highlight w:val="none"/>
        </w:rPr>
        <w:br w:type="page"/>
      </w:r>
      <w:r>
        <w:rPr>
          <w:rFonts w:hint="eastAsia" w:ascii="宋体" w:hAnsi="宋体"/>
          <w:b/>
          <w:color w:val="auto"/>
          <w:sz w:val="32"/>
          <w:szCs w:val="32"/>
          <w:highlight w:val="none"/>
        </w:rPr>
        <w:t>预付款保函</w:t>
      </w:r>
    </w:p>
    <w:p>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（非独立保函）</w:t>
      </w:r>
    </w:p>
    <w:p>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pPr>
        <w:spacing w:line="360" w:lineRule="auto"/>
        <w:rPr>
          <w:rFonts w:ascii="宋体" w:hAnsi="宋体"/>
          <w:color w:val="auto"/>
          <w:sz w:val="24"/>
          <w:szCs w:val="24"/>
          <w:highlight w:val="none"/>
        </w:rPr>
      </w:pPr>
    </w:p>
    <w:p>
      <w:pPr>
        <w:spacing w:line="360" w:lineRule="auto"/>
        <w:rPr>
          <w:rFonts w:ascii="宋体" w:hAnsi="宋体"/>
          <w:color w:val="auto"/>
          <w:sz w:val="24"/>
          <w:szCs w:val="24"/>
          <w:highlight w:val="none"/>
        </w:rPr>
      </w:pPr>
      <w:r>
        <w:rPr>
          <w:rFonts w:hint="eastAsia" w:ascii="宋体" w:hAnsi="宋体"/>
          <w:color w:val="auto"/>
          <w:sz w:val="24"/>
          <w:szCs w:val="24"/>
          <w:highlight w:val="none"/>
        </w:rPr>
        <w:t>担保权人/发包人：</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r>
        <w:rPr>
          <w:rFonts w:ascii="宋体" w:hAnsi="宋体"/>
          <w:color w:val="auto"/>
          <w:sz w:val="24"/>
          <w:szCs w:val="24"/>
          <w:highlight w:val="none"/>
        </w:rPr>
        <w:t>：</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承包人：</w:t>
      </w:r>
      <w:r>
        <w:rPr>
          <w:rFonts w:ascii="宋体" w:hAnsi="宋体"/>
          <w:color w:val="auto"/>
          <w:sz w:val="24"/>
          <w:szCs w:val="24"/>
          <w:highlight w:val="none"/>
        </w:rPr>
        <w:t xml:space="preserve"> </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保证人：</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pPr>
        <w:spacing w:line="360" w:lineRule="auto"/>
        <w:rPr>
          <w:rFonts w:ascii="宋体" w:hAnsi="宋体"/>
          <w:color w:val="auto"/>
          <w:sz w:val="24"/>
          <w:szCs w:val="24"/>
          <w:highlight w:val="none"/>
        </w:rPr>
      </w:pPr>
    </w:p>
    <w:p>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发包人</w:t>
      </w:r>
      <w:r>
        <w:rPr>
          <w:rFonts w:ascii="宋体" w:hAnsi="宋体"/>
          <w:color w:val="auto"/>
          <w:sz w:val="24"/>
          <w:szCs w:val="24"/>
          <w:highlight w:val="none"/>
        </w:rPr>
        <w:t xml:space="preserve">名称）：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发包人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承包人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（以下简称“主合同”），我方即保证人基于承包人</w:t>
      </w:r>
      <w:r>
        <w:rPr>
          <w:rFonts w:ascii="宋体" w:hAnsi="宋体"/>
          <w:color w:val="auto"/>
          <w:sz w:val="24"/>
          <w:szCs w:val="24"/>
          <w:highlight w:val="none"/>
        </w:rPr>
        <w:t>的请求，同意就</w:t>
      </w:r>
      <w:r>
        <w:rPr>
          <w:rFonts w:hint="eastAsia" w:ascii="宋体" w:hAnsi="宋体"/>
          <w:color w:val="auto"/>
          <w:sz w:val="24"/>
          <w:szCs w:val="24"/>
          <w:highlight w:val="none"/>
        </w:rPr>
        <w:t>承包人按照合同约定正确和合理地为合同目的使用预付款，不将预付款挪作他用，</w:t>
      </w:r>
      <w:r>
        <w:rPr>
          <w:rFonts w:ascii="宋体" w:hAnsi="宋体"/>
          <w:color w:val="auto"/>
          <w:sz w:val="24"/>
          <w:szCs w:val="24"/>
          <w:highlight w:val="none"/>
        </w:rPr>
        <w:t>向贵方提供</w:t>
      </w:r>
      <w:r>
        <w:rPr>
          <w:rFonts w:hint="eastAsia" w:ascii="宋体" w:hAnsi="宋体"/>
          <w:color w:val="auto"/>
          <w:sz w:val="24"/>
          <w:szCs w:val="24"/>
          <w:highlight w:val="none"/>
        </w:rPr>
        <w:t>如下保证担保（以下简称“本保证担保”）</w:t>
      </w:r>
      <w:r>
        <w:rPr>
          <w:rFonts w:ascii="宋体" w:hAnsi="宋体"/>
          <w:color w:val="auto"/>
          <w:sz w:val="24"/>
          <w:szCs w:val="24"/>
          <w:highlight w:val="none"/>
        </w:rPr>
        <w:t xml:space="preserve">。 </w:t>
      </w:r>
    </w:p>
    <w:p>
      <w:pPr>
        <w:spacing w:line="360" w:lineRule="auto"/>
        <w:ind w:firstLine="482" w:firstLineChars="200"/>
        <w:rPr>
          <w:rFonts w:ascii="宋体" w:hAnsi="宋体"/>
          <w:b/>
          <w:color w:val="auto"/>
          <w:sz w:val="24"/>
          <w:szCs w:val="24"/>
          <w:highlight w:val="none"/>
        </w:rPr>
      </w:pPr>
      <w:r>
        <w:rPr>
          <w:rFonts w:hint="eastAsia" w:ascii="宋体" w:hAnsi="宋体"/>
          <w:b/>
          <w:color w:val="auto"/>
          <w:sz w:val="24"/>
          <w:szCs w:val="24"/>
          <w:highlight w:val="none"/>
        </w:rPr>
        <w:t>一、保证担保的范围及保证担保金额</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w:t>
      </w:r>
      <w:r>
        <w:rPr>
          <w:rFonts w:hint="eastAsia" w:ascii="宋体" w:hAnsi="宋体"/>
          <w:color w:val="auto"/>
          <w:sz w:val="24"/>
          <w:szCs w:val="24"/>
          <w:highlight w:val="none"/>
        </w:rPr>
        <w:t>保证担保范围：申请人未按照合同约定正确和合理地为合同目的使用预付款，应当向贵方承担的违约责任和赔偿因此造成的损失、利息、律师费、诉讼费用等实现债权的费用。</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pPr>
        <w:spacing w:line="360" w:lineRule="auto"/>
        <w:ind w:firstLine="482" w:firstLineChars="200"/>
        <w:rPr>
          <w:rFonts w:ascii="宋体" w:hAnsi="宋体"/>
          <w:b/>
          <w:color w:val="auto"/>
          <w:sz w:val="24"/>
          <w:szCs w:val="24"/>
          <w:highlight w:val="none"/>
        </w:rPr>
      </w:pPr>
      <w:r>
        <w:rPr>
          <w:rFonts w:hint="eastAsia" w:ascii="宋体" w:hAnsi="宋体"/>
          <w:b/>
          <w:color w:val="auto"/>
          <w:sz w:val="24"/>
          <w:szCs w:val="24"/>
          <w:highlight w:val="none"/>
        </w:rPr>
        <w:t>二、保证担保的方式及保证期间</w:t>
      </w:r>
      <w:r>
        <w:rPr>
          <w:rFonts w:ascii="宋体" w:hAnsi="宋体"/>
          <w:b/>
          <w:color w:val="auto"/>
          <w:sz w:val="24"/>
          <w:szCs w:val="24"/>
          <w:highlight w:val="none"/>
        </w:rPr>
        <w:t xml:space="preserve">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1.保证担保方式：连带责任保证。</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保证期间：</w:t>
      </w:r>
      <w:r>
        <w:rPr>
          <w:rFonts w:ascii="宋体" w:hAnsi="宋体"/>
          <w:color w:val="auto"/>
          <w:sz w:val="24"/>
          <w:szCs w:val="24"/>
          <w:highlight w:val="none"/>
        </w:rPr>
        <w:t>自</w:t>
      </w:r>
      <w:r>
        <w:rPr>
          <w:rFonts w:hint="eastAsia" w:ascii="宋体" w:hAnsi="宋体"/>
          <w:color w:val="auto"/>
          <w:sz w:val="24"/>
          <w:szCs w:val="24"/>
          <w:highlight w:val="none"/>
        </w:rPr>
        <w:t>出具之日起</w:t>
      </w:r>
      <w:r>
        <w:rPr>
          <w:rFonts w:ascii="宋体" w:hAnsi="宋体"/>
          <w:color w:val="auto"/>
          <w:sz w:val="24"/>
          <w:szCs w:val="24"/>
          <w:highlight w:val="none"/>
        </w:rPr>
        <w:t>至</w:t>
      </w:r>
      <w:r>
        <w:rPr>
          <w:rFonts w:hint="eastAsia" w:ascii="宋体" w:hAnsi="宋体"/>
          <w:color w:val="auto"/>
          <w:sz w:val="24"/>
          <w:szCs w:val="24"/>
          <w:highlight w:val="none"/>
        </w:rPr>
        <w:t>发包人全额扣回预付款后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pPr>
        <w:spacing w:line="360" w:lineRule="auto"/>
        <w:ind w:firstLine="482" w:firstLineChars="200"/>
        <w:rPr>
          <w:rFonts w:ascii="宋体" w:hAnsi="宋体"/>
          <w:b/>
          <w:color w:val="auto"/>
          <w:sz w:val="24"/>
          <w:szCs w:val="24"/>
          <w:highlight w:val="none"/>
        </w:rPr>
      </w:pPr>
      <w:r>
        <w:rPr>
          <w:rFonts w:hint="eastAsia" w:ascii="宋体" w:hAnsi="宋体"/>
          <w:b/>
          <w:color w:val="auto"/>
          <w:sz w:val="24"/>
          <w:szCs w:val="24"/>
          <w:highlight w:val="none"/>
        </w:rPr>
        <w:t>三、承担保证担保责任的形式</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发生应承担保证责任情形的，我方在保证金额内向贵方支付，并赔偿因此给贵方造成的损失，以及利息和律师费、诉讼费用等实现债权的费用。</w:t>
      </w:r>
    </w:p>
    <w:p>
      <w:pPr>
        <w:spacing w:line="360" w:lineRule="auto"/>
        <w:ind w:firstLine="482" w:firstLineChars="200"/>
        <w:rPr>
          <w:rFonts w:ascii="宋体" w:hAnsi="宋体"/>
          <w:b/>
          <w:color w:val="auto"/>
          <w:sz w:val="24"/>
          <w:szCs w:val="24"/>
          <w:highlight w:val="none"/>
        </w:rPr>
      </w:pPr>
      <w:r>
        <w:rPr>
          <w:rFonts w:hint="eastAsia" w:ascii="宋体" w:hAnsi="宋体"/>
          <w:b/>
          <w:color w:val="auto"/>
          <w:sz w:val="24"/>
          <w:szCs w:val="24"/>
          <w:highlight w:val="none"/>
        </w:rPr>
        <w:t>四、代偿的安排</w:t>
      </w:r>
      <w:r>
        <w:rPr>
          <w:rFonts w:ascii="宋体" w:hAnsi="宋体"/>
          <w:b/>
          <w:color w:val="auto"/>
          <w:sz w:val="24"/>
          <w:szCs w:val="24"/>
          <w:highlight w:val="none"/>
        </w:rPr>
        <w:t xml:space="preserve">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贵方要求我方承担保证责任的，应向我方发出书面索赔通知及承包人未履行主合同约定义务的证明材料。索赔通知应写明要求索赔的金额，支付款项应到达的帐号，并附有说明承包人违反主合同造成贵方损失情况的证明材料。</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2.我方收到贵方的书面索赔通知及相应证明材料后，在</w:t>
      </w:r>
      <w:r>
        <w:rPr>
          <w:rFonts w:ascii="宋体" w:hAnsi="宋体"/>
          <w:color w:val="auto"/>
          <w:sz w:val="24"/>
          <w:szCs w:val="24"/>
          <w:highlight w:val="none"/>
          <w:u w:val="single"/>
        </w:rPr>
        <w:t xml:space="preserve">    </w:t>
      </w:r>
      <w:r>
        <w:rPr>
          <w:rFonts w:hint="eastAsia" w:ascii="宋体" w:hAnsi="宋体"/>
          <w:color w:val="auto"/>
          <w:sz w:val="24"/>
          <w:szCs w:val="24"/>
          <w:highlight w:val="none"/>
        </w:rPr>
        <w:t>工作日内进行核定后按照本保函的承诺承担保证责任。</w:t>
      </w:r>
    </w:p>
    <w:p>
      <w:pPr>
        <w:spacing w:line="360" w:lineRule="auto"/>
        <w:ind w:firstLine="482" w:firstLineChars="200"/>
        <w:rPr>
          <w:rFonts w:ascii="宋体" w:hAnsi="宋体"/>
          <w:b/>
          <w:color w:val="auto"/>
          <w:sz w:val="24"/>
          <w:szCs w:val="24"/>
          <w:highlight w:val="none"/>
        </w:rPr>
      </w:pPr>
      <w:r>
        <w:rPr>
          <w:rFonts w:hint="eastAsia" w:ascii="宋体" w:hAnsi="宋体"/>
          <w:b/>
          <w:color w:val="auto"/>
          <w:sz w:val="24"/>
          <w:szCs w:val="24"/>
          <w:highlight w:val="none"/>
        </w:rPr>
        <w:t>五、保证担保责任的解除</w:t>
      </w:r>
      <w:r>
        <w:rPr>
          <w:rFonts w:ascii="宋体" w:hAnsi="宋体"/>
          <w:b/>
          <w:color w:val="auto"/>
          <w:sz w:val="24"/>
          <w:szCs w:val="24"/>
          <w:highlight w:val="none"/>
        </w:rPr>
        <w:t xml:space="preserve">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 xml:space="preserve">保证期间届满贵方未向我方书面主张保证责任的，自保证期间届满次日起，我方解除保证责任。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我方按照本</w:t>
      </w:r>
      <w:r>
        <w:rPr>
          <w:rFonts w:hint="eastAsia" w:ascii="宋体" w:hAnsi="宋体"/>
          <w:color w:val="auto"/>
          <w:sz w:val="24"/>
          <w:szCs w:val="24"/>
          <w:highlight w:val="none"/>
        </w:rPr>
        <w:t>保证担保</w:t>
      </w:r>
      <w:r>
        <w:rPr>
          <w:rFonts w:ascii="宋体" w:hAnsi="宋体"/>
          <w:color w:val="auto"/>
          <w:sz w:val="24"/>
          <w:szCs w:val="24"/>
          <w:highlight w:val="none"/>
        </w:rPr>
        <w:t>向贵方履行了</w:t>
      </w:r>
      <w:r>
        <w:rPr>
          <w:rFonts w:hint="eastAsia" w:ascii="宋体" w:hAnsi="宋体"/>
          <w:color w:val="auto"/>
          <w:sz w:val="24"/>
          <w:szCs w:val="24"/>
          <w:highlight w:val="none"/>
        </w:rPr>
        <w:t>保证担保责任</w:t>
      </w:r>
      <w:r>
        <w:rPr>
          <w:rFonts w:ascii="宋体" w:hAnsi="宋体"/>
          <w:color w:val="auto"/>
          <w:sz w:val="24"/>
          <w:szCs w:val="24"/>
          <w:highlight w:val="none"/>
        </w:rPr>
        <w:t>后，自我方向贵方支付</w:t>
      </w:r>
      <w:r>
        <w:rPr>
          <w:rFonts w:hint="eastAsia" w:ascii="宋体" w:hAnsi="宋体"/>
          <w:color w:val="auto"/>
          <w:sz w:val="24"/>
          <w:szCs w:val="24"/>
          <w:highlight w:val="none"/>
        </w:rPr>
        <w:t>的金额达到最高保证担保金额</w:t>
      </w:r>
      <w:r>
        <w:rPr>
          <w:rFonts w:ascii="宋体" w:hAnsi="宋体"/>
          <w:color w:val="auto"/>
          <w:sz w:val="24"/>
          <w:szCs w:val="24"/>
          <w:highlight w:val="none"/>
        </w:rPr>
        <w:t>之日起，</w:t>
      </w:r>
      <w:r>
        <w:rPr>
          <w:rFonts w:hint="eastAsia" w:ascii="宋体" w:hAnsi="宋体"/>
          <w:color w:val="auto"/>
          <w:sz w:val="24"/>
          <w:szCs w:val="24"/>
          <w:highlight w:val="none"/>
        </w:rPr>
        <w:t>保证担保责任</w:t>
      </w:r>
      <w:r>
        <w:rPr>
          <w:rFonts w:ascii="宋体" w:hAnsi="宋体"/>
          <w:color w:val="auto"/>
          <w:sz w:val="24"/>
          <w:szCs w:val="24"/>
          <w:highlight w:val="none"/>
        </w:rPr>
        <w:t xml:space="preserve">解除。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按照法律法规的规定应解除我方保证</w:t>
      </w:r>
      <w:r>
        <w:rPr>
          <w:rFonts w:hint="eastAsia" w:ascii="宋体" w:hAnsi="宋体"/>
          <w:color w:val="auto"/>
          <w:sz w:val="24"/>
          <w:szCs w:val="24"/>
          <w:highlight w:val="none"/>
        </w:rPr>
        <w:t>担保</w:t>
      </w:r>
      <w:r>
        <w:rPr>
          <w:rFonts w:ascii="宋体" w:hAnsi="宋体"/>
          <w:color w:val="auto"/>
          <w:sz w:val="24"/>
          <w:szCs w:val="24"/>
          <w:highlight w:val="none"/>
        </w:rPr>
        <w:t>责任的其它情形的，我方在本保证担保项下的保证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责任亦解除。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4.我方解除保证责任后，贵方应按上述约定，自我方保证担保责任解除之日起七</w:t>
      </w:r>
      <w:r>
        <w:rPr>
          <w:rFonts w:ascii="宋体" w:hAnsi="宋体"/>
          <w:color w:val="auto"/>
          <w:sz w:val="24"/>
          <w:szCs w:val="24"/>
          <w:highlight w:val="none"/>
        </w:rPr>
        <w:t>日内，将本保证担保原件返还我方。但是不论贵方是否按此要求将本保证担保</w:t>
      </w:r>
      <w:r>
        <w:rPr>
          <w:rFonts w:hint="eastAsia" w:ascii="宋体" w:hAnsi="宋体"/>
          <w:color w:val="auto"/>
          <w:sz w:val="24"/>
          <w:szCs w:val="24"/>
          <w:highlight w:val="none"/>
        </w:rPr>
        <w:t>原件</w:t>
      </w:r>
      <w:r>
        <w:rPr>
          <w:rFonts w:ascii="宋体" w:hAnsi="宋体"/>
          <w:color w:val="auto"/>
          <w:sz w:val="24"/>
          <w:szCs w:val="24"/>
          <w:highlight w:val="none"/>
        </w:rPr>
        <w:t>退回我方，我方在本保证担保项下的义务和责任均</w:t>
      </w:r>
      <w:r>
        <w:rPr>
          <w:rFonts w:hint="eastAsia" w:ascii="宋体" w:hAnsi="宋体"/>
          <w:color w:val="auto"/>
          <w:sz w:val="24"/>
          <w:szCs w:val="24"/>
          <w:highlight w:val="none"/>
        </w:rPr>
        <w:t>自保证担保责任解除之日</w:t>
      </w:r>
      <w:r>
        <w:rPr>
          <w:rFonts w:ascii="宋体" w:hAnsi="宋体"/>
          <w:color w:val="auto"/>
          <w:sz w:val="24"/>
          <w:szCs w:val="24"/>
          <w:highlight w:val="none"/>
        </w:rPr>
        <w:t>自动消灭。</w:t>
      </w:r>
    </w:p>
    <w:p>
      <w:pPr>
        <w:spacing w:line="360" w:lineRule="auto"/>
        <w:ind w:firstLine="482" w:firstLineChars="200"/>
        <w:rPr>
          <w:rFonts w:ascii="宋体" w:hAnsi="宋体"/>
          <w:b/>
          <w:color w:val="auto"/>
          <w:sz w:val="24"/>
          <w:szCs w:val="24"/>
          <w:highlight w:val="none"/>
        </w:rPr>
      </w:pPr>
      <w:r>
        <w:rPr>
          <w:rFonts w:hint="eastAsia" w:ascii="宋体" w:hAnsi="宋体"/>
          <w:b/>
          <w:color w:val="auto"/>
          <w:sz w:val="24"/>
          <w:szCs w:val="24"/>
          <w:highlight w:val="none"/>
        </w:rPr>
        <w:t>六、免责条款</w:t>
      </w:r>
      <w:r>
        <w:rPr>
          <w:rFonts w:ascii="宋体" w:hAnsi="宋体"/>
          <w:b/>
          <w:color w:val="auto"/>
          <w:sz w:val="24"/>
          <w:szCs w:val="24"/>
          <w:highlight w:val="none"/>
        </w:rPr>
        <w:t xml:space="preserve">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因贵方</w:t>
      </w:r>
      <w:r>
        <w:rPr>
          <w:rFonts w:hint="eastAsia" w:ascii="宋体" w:hAnsi="宋体"/>
          <w:color w:val="auto"/>
          <w:sz w:val="24"/>
          <w:szCs w:val="24"/>
          <w:highlight w:val="none"/>
        </w:rPr>
        <w:t>原因</w:t>
      </w:r>
      <w:r>
        <w:rPr>
          <w:rFonts w:ascii="宋体" w:hAnsi="宋体"/>
          <w:color w:val="auto"/>
          <w:sz w:val="24"/>
          <w:szCs w:val="24"/>
          <w:highlight w:val="none"/>
        </w:rPr>
        <w:t>致使</w:t>
      </w:r>
      <w:r>
        <w:rPr>
          <w:rFonts w:hint="eastAsia" w:ascii="宋体" w:hAnsi="宋体"/>
          <w:color w:val="auto"/>
          <w:sz w:val="24"/>
          <w:szCs w:val="24"/>
          <w:highlight w:val="none"/>
        </w:rPr>
        <w:t>发生应承担保证责任情形的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依照法律规定或贵方与</w:t>
      </w:r>
      <w:r>
        <w:rPr>
          <w:rFonts w:hint="eastAsia" w:ascii="宋体" w:hAnsi="宋体"/>
          <w:color w:val="auto"/>
          <w:sz w:val="24"/>
          <w:szCs w:val="24"/>
          <w:highlight w:val="none"/>
        </w:rPr>
        <w:t>承包</w:t>
      </w:r>
      <w:r>
        <w:rPr>
          <w:rFonts w:ascii="宋体" w:hAnsi="宋体"/>
          <w:color w:val="auto"/>
          <w:sz w:val="24"/>
          <w:szCs w:val="24"/>
          <w:highlight w:val="none"/>
        </w:rPr>
        <w:t>人的另行约定，免除</w:t>
      </w:r>
      <w:r>
        <w:rPr>
          <w:rFonts w:hint="eastAsia" w:ascii="宋体" w:hAnsi="宋体"/>
          <w:color w:val="auto"/>
          <w:sz w:val="24"/>
          <w:szCs w:val="24"/>
          <w:highlight w:val="none"/>
        </w:rPr>
        <w:t>承包</w:t>
      </w:r>
      <w:r>
        <w:rPr>
          <w:rFonts w:ascii="宋体" w:hAnsi="宋体"/>
          <w:color w:val="auto"/>
          <w:sz w:val="24"/>
          <w:szCs w:val="24"/>
          <w:highlight w:val="none"/>
        </w:rPr>
        <w:t>人部分或全部义务的，我方亦免除其相应的保证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因不可抗力造成</w:t>
      </w:r>
      <w:r>
        <w:rPr>
          <w:rFonts w:hint="eastAsia" w:ascii="宋体" w:hAnsi="宋体"/>
          <w:color w:val="auto"/>
          <w:sz w:val="24"/>
          <w:szCs w:val="24"/>
          <w:highlight w:val="none"/>
        </w:rPr>
        <w:t>发生应承担保证责任情形的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责任。</w:t>
      </w:r>
    </w:p>
    <w:p>
      <w:pPr>
        <w:spacing w:line="360" w:lineRule="auto"/>
        <w:ind w:firstLine="482" w:firstLineChars="200"/>
        <w:rPr>
          <w:rFonts w:ascii="宋体" w:hAnsi="宋体"/>
          <w:b/>
          <w:color w:val="auto"/>
          <w:sz w:val="24"/>
          <w:szCs w:val="24"/>
          <w:highlight w:val="none"/>
        </w:rPr>
      </w:pPr>
      <w:r>
        <w:rPr>
          <w:rFonts w:hint="eastAsia" w:ascii="宋体" w:hAnsi="宋体"/>
          <w:b/>
          <w:color w:val="auto"/>
          <w:sz w:val="24"/>
          <w:szCs w:val="24"/>
          <w:highlight w:val="none"/>
        </w:rPr>
        <w:t>七、其他</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本保证担保项下的权利不得转让，不得设定担保。贵方未经我方书面同意转让本保证担保或其项下任何权利，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.本</w:t>
      </w:r>
      <w:r>
        <w:rPr>
          <w:rFonts w:hint="eastAsia" w:ascii="宋体" w:hAnsi="宋体"/>
          <w:color w:val="auto"/>
          <w:sz w:val="24"/>
          <w:szCs w:val="24"/>
          <w:highlight w:val="none"/>
        </w:rPr>
        <w:t>保证担保适用的法律为中华人民共和国法律，争议裁判管辖地为中华人民共和国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r>
        <w:rPr>
          <w:rFonts w:ascii="宋体" w:hAnsi="宋体"/>
          <w:color w:val="auto"/>
          <w:sz w:val="24"/>
          <w:szCs w:val="24"/>
          <w:highlight w:val="none"/>
        </w:rPr>
        <w:t xml:space="preserve">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.本</w:t>
      </w:r>
      <w:r>
        <w:rPr>
          <w:rFonts w:hint="eastAsia" w:ascii="宋体" w:hAnsi="宋体"/>
          <w:color w:val="auto"/>
          <w:sz w:val="24"/>
          <w:szCs w:val="24"/>
          <w:highlight w:val="none"/>
        </w:rPr>
        <w:t>保证担保</w:t>
      </w:r>
      <w:r>
        <w:rPr>
          <w:rFonts w:ascii="宋体" w:hAnsi="宋体"/>
          <w:color w:val="auto"/>
          <w:sz w:val="24"/>
          <w:szCs w:val="24"/>
          <w:highlight w:val="none"/>
        </w:rPr>
        <w:t>自我方法定代表</w:t>
      </w:r>
      <w:r>
        <w:rPr>
          <w:rFonts w:hint="eastAsia" w:ascii="宋体" w:hAnsi="宋体"/>
          <w:color w:val="auto"/>
          <w:sz w:val="24"/>
          <w:szCs w:val="24"/>
          <w:highlight w:val="none"/>
        </w:rPr>
        <w:t>人或授权代表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pPr>
        <w:spacing w:line="360" w:lineRule="auto"/>
        <w:ind w:firstLine="480" w:firstLineChars="200"/>
        <w:rPr>
          <w:rFonts w:ascii="宋体" w:hAnsi="宋体"/>
          <w:color w:val="auto"/>
          <w:sz w:val="24"/>
          <w:szCs w:val="24"/>
          <w:highlight w:val="none"/>
        </w:rPr>
      </w:pP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保 证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时 </w:t>
      </w:r>
      <w:r>
        <w:rPr>
          <w:rFonts w:ascii="宋体" w:hAnsi="宋体"/>
          <w:color w:val="auto"/>
          <w:sz w:val="24"/>
          <w:szCs w:val="24"/>
          <w:highlight w:val="none"/>
        </w:rPr>
        <w:t xml:space="preserve">   </w:t>
      </w:r>
      <w:r>
        <w:rPr>
          <w:rFonts w:hint="eastAsia" w:ascii="宋体" w:hAnsi="宋体"/>
          <w:color w:val="auto"/>
          <w:sz w:val="24"/>
          <w:szCs w:val="24"/>
          <w:highlight w:val="none"/>
        </w:rPr>
        <w:t>间：</w:t>
      </w:r>
      <w:r>
        <w:rPr>
          <w:rFonts w:ascii="宋体" w:hAnsi="宋体"/>
          <w:color w:val="auto"/>
          <w:sz w:val="24"/>
          <w:szCs w:val="24"/>
          <w:highlight w:val="none"/>
        </w:rPr>
        <w:t xml:space="preserve">      年      月        日</w:t>
      </w:r>
    </w:p>
    <w:p>
      <w:pPr>
        <w:spacing w:line="480" w:lineRule="auto"/>
        <w:rPr>
          <w:rFonts w:hAnsi="宋体"/>
          <w:color w:val="auto"/>
          <w:highlight w:val="none"/>
        </w:rPr>
      </w:pPr>
    </w:p>
    <w:p>
      <w:pPr>
        <w:spacing w:line="360" w:lineRule="auto"/>
        <w:ind w:right="150" w:firstLine="420" w:firstLineChars="200"/>
        <w:jc w:val="left"/>
        <w:rPr>
          <w:color w:val="auto"/>
          <w:highlight w:val="none"/>
        </w:rPr>
      </w:pPr>
      <w:r>
        <w:rPr>
          <w:rFonts w:hint="eastAsia" w:hAnsi="宋体" w:cs="宋体"/>
          <w:color w:val="auto"/>
          <w:highlight w:val="none"/>
        </w:rPr>
        <w:t>（备注</w:t>
      </w:r>
      <w:r>
        <w:rPr>
          <w:rFonts w:hAnsi="宋体" w:cs="宋体"/>
          <w:color w:val="auto"/>
          <w:highlight w:val="none"/>
        </w:rPr>
        <w:t>：</w:t>
      </w:r>
      <w:r>
        <w:rPr>
          <w:rFonts w:hint="eastAsia" w:hAnsi="宋体" w:cs="宋体"/>
          <w:color w:val="auto"/>
          <w:highlight w:val="none"/>
        </w:rPr>
        <w:t>银行、保险公司和担保公司出具的</w:t>
      </w:r>
      <w:r>
        <w:rPr>
          <w:rFonts w:hint="eastAsia" w:ascii="仿宋_GB2312" w:hAnsi="宋体" w:cs="宋体"/>
          <w:color w:val="auto"/>
          <w:highlight w:val="none"/>
        </w:rPr>
        <w:t>保函格式和文本可</w:t>
      </w:r>
      <w:r>
        <w:rPr>
          <w:rFonts w:ascii="仿宋_GB2312" w:hAnsi="宋体" w:cs="宋体"/>
          <w:color w:val="auto"/>
          <w:highlight w:val="none"/>
        </w:rPr>
        <w:t>以自拟，</w:t>
      </w:r>
      <w:r>
        <w:rPr>
          <w:rFonts w:hint="eastAsia" w:ascii="仿宋_GB2312" w:hAnsi="宋体" w:cs="宋体"/>
          <w:color w:val="auto"/>
          <w:highlight w:val="none"/>
        </w:rPr>
        <w:t>但是必须包含以上条款所列全部内容</w:t>
      </w:r>
      <w:r>
        <w:rPr>
          <w:rFonts w:ascii="仿宋_GB2312" w:hAnsi="宋体" w:cs="宋体"/>
          <w:color w:val="auto"/>
          <w:highlight w:val="none"/>
        </w:rPr>
        <w:t>）</w:t>
      </w:r>
    </w:p>
    <w:p>
      <w:pPr>
        <w:spacing w:line="480" w:lineRule="auto"/>
        <w:rPr>
          <w:rFonts w:hAnsi="宋体"/>
          <w:color w:val="auto"/>
          <w:highlight w:val="none"/>
        </w:rPr>
        <w:sectPr>
          <w:pgSz w:w="11907" w:h="16840"/>
          <w:pgMar w:top="1440" w:right="1440" w:bottom="1440" w:left="1797" w:header="851" w:footer="851" w:gutter="0"/>
          <w:cols w:space="720" w:num="1"/>
          <w:docGrid w:linePitch="312" w:charSpace="0"/>
        </w:sectPr>
      </w:pPr>
    </w:p>
    <w:p>
      <w:pPr>
        <w:spacing w:line="440" w:lineRule="exact"/>
        <w:jc w:val="left"/>
        <w:rPr>
          <w:rFonts w:eastAsia="黑体"/>
          <w:color w:val="auto"/>
          <w:sz w:val="30"/>
          <w:szCs w:val="30"/>
          <w:highlight w:val="none"/>
        </w:rPr>
      </w:pPr>
      <w:r>
        <w:rPr>
          <w:rFonts w:hint="eastAsia" w:eastAsia="仿宋_GB2312" w:cs="仿宋_GB2312"/>
          <w:color w:val="auto"/>
          <w:sz w:val="30"/>
          <w:szCs w:val="30"/>
          <w:highlight w:val="none"/>
        </w:rPr>
        <w:t>附件</w:t>
      </w:r>
      <w:r>
        <w:rPr>
          <w:rFonts w:hint="eastAsia" w:eastAsia="仿宋_GB2312"/>
          <w:color w:val="auto"/>
          <w:sz w:val="30"/>
          <w:szCs w:val="30"/>
          <w:highlight w:val="none"/>
        </w:rPr>
        <w:t>9</w:t>
      </w:r>
      <w:r>
        <w:rPr>
          <w:rFonts w:hint="eastAsia" w:eastAsia="仿宋_GB2312" w:cs="仿宋_GB2312"/>
          <w:color w:val="auto"/>
          <w:sz w:val="30"/>
          <w:szCs w:val="30"/>
          <w:highlight w:val="none"/>
        </w:rPr>
        <w:t>：</w:t>
      </w:r>
    </w:p>
    <w:p>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支付保函</w:t>
      </w:r>
    </w:p>
    <w:p>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（独立保函）</w:t>
      </w:r>
    </w:p>
    <w:p>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申请人：</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r>
        <w:rPr>
          <w:rFonts w:ascii="宋体" w:hAnsi="宋体"/>
          <w:color w:val="auto"/>
          <w:sz w:val="24"/>
          <w:szCs w:val="24"/>
          <w:highlight w:val="none"/>
        </w:rPr>
        <w:t>：</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受益人：</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开立人：</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地址：</w:t>
      </w:r>
    </w:p>
    <w:p>
      <w:pPr>
        <w:spacing w:line="360" w:lineRule="auto"/>
        <w:rPr>
          <w:rFonts w:ascii="宋体" w:hAnsi="宋体"/>
          <w:color w:val="auto"/>
          <w:sz w:val="24"/>
          <w:szCs w:val="24"/>
          <w:highlight w:val="none"/>
        </w:rPr>
      </w:pPr>
      <w:r>
        <w:rPr>
          <w:rFonts w:ascii="宋体" w:hAnsi="宋体"/>
          <w:color w:val="auto"/>
          <w:sz w:val="24"/>
          <w:szCs w:val="24"/>
          <w:highlight w:val="none"/>
        </w:rPr>
        <w:t xml:space="preserve"> </w:t>
      </w:r>
    </w:p>
    <w:p>
      <w:pPr>
        <w:spacing w:line="360" w:lineRule="auto"/>
        <w:rPr>
          <w:rFonts w:ascii="宋体" w:hAnsi="宋体"/>
          <w:color w:val="auto"/>
          <w:sz w:val="24"/>
          <w:szCs w:val="24"/>
          <w:highlight w:val="none"/>
        </w:rPr>
      </w:pPr>
      <w:bookmarkStart w:id="1518" w:name="_Hlk40355074"/>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受益人</w:t>
      </w:r>
      <w:r>
        <w:rPr>
          <w:rFonts w:ascii="宋体" w:hAnsi="宋体"/>
          <w:color w:val="auto"/>
          <w:sz w:val="24"/>
          <w:szCs w:val="24"/>
          <w:highlight w:val="none"/>
        </w:rPr>
        <w:t xml:space="preserve">名称）： </w:t>
      </w:r>
    </w:p>
    <w:bookmarkEnd w:id="1518"/>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受益人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申请人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（以下简称基础合同”），我方（即“开立人”）根据基础合同了解到申请人为基础合同项下之发包人，受益人为基础合同项下之承包人，基于申请人</w:t>
      </w:r>
      <w:r>
        <w:rPr>
          <w:rFonts w:ascii="宋体" w:hAnsi="宋体"/>
          <w:color w:val="auto"/>
          <w:sz w:val="24"/>
          <w:szCs w:val="24"/>
          <w:highlight w:val="none"/>
        </w:rPr>
        <w:t>的请求，我方同意就</w:t>
      </w:r>
      <w:r>
        <w:rPr>
          <w:rFonts w:hint="eastAsia" w:ascii="宋体" w:hAnsi="宋体"/>
          <w:color w:val="auto"/>
          <w:sz w:val="24"/>
          <w:szCs w:val="24"/>
          <w:highlight w:val="none"/>
        </w:rPr>
        <w:t>申请人</w:t>
      </w:r>
      <w:r>
        <w:rPr>
          <w:rFonts w:ascii="宋体" w:hAnsi="宋体"/>
          <w:color w:val="auto"/>
          <w:sz w:val="24"/>
          <w:szCs w:val="24"/>
          <w:highlight w:val="none"/>
        </w:rPr>
        <w:t>履行</w:t>
      </w:r>
      <w:r>
        <w:rPr>
          <w:rFonts w:hint="eastAsia" w:ascii="宋体" w:hAnsi="宋体"/>
          <w:color w:val="auto"/>
          <w:sz w:val="24"/>
          <w:szCs w:val="24"/>
          <w:highlight w:val="none"/>
        </w:rPr>
        <w:t>与贵方签订的基础合同</w:t>
      </w:r>
      <w:r>
        <w:rPr>
          <w:rFonts w:ascii="宋体" w:hAnsi="宋体"/>
          <w:color w:val="auto"/>
          <w:sz w:val="24"/>
          <w:szCs w:val="24"/>
          <w:highlight w:val="none"/>
        </w:rPr>
        <w:t>项下的</w:t>
      </w:r>
      <w:r>
        <w:rPr>
          <w:rFonts w:hint="eastAsia" w:ascii="宋体" w:hAnsi="宋体"/>
          <w:color w:val="auto"/>
          <w:sz w:val="24"/>
          <w:szCs w:val="24"/>
          <w:highlight w:val="none"/>
        </w:rPr>
        <w:t>工程款（指基础合同约定的除工程质量保修金以外的工程款）付款</w:t>
      </w:r>
      <w:r>
        <w:rPr>
          <w:rFonts w:ascii="宋体" w:hAnsi="宋体"/>
          <w:color w:val="auto"/>
          <w:sz w:val="24"/>
          <w:szCs w:val="24"/>
          <w:highlight w:val="none"/>
        </w:rPr>
        <w:t>义务</w:t>
      </w:r>
      <w:r>
        <w:rPr>
          <w:rFonts w:hint="eastAsia" w:ascii="宋体" w:hAnsi="宋体"/>
          <w:color w:val="auto"/>
          <w:sz w:val="24"/>
          <w:szCs w:val="24"/>
          <w:highlight w:val="none"/>
        </w:rPr>
        <w:t>，</w:t>
      </w:r>
      <w:r>
        <w:rPr>
          <w:rFonts w:ascii="宋体" w:hAnsi="宋体"/>
          <w:color w:val="auto"/>
          <w:sz w:val="24"/>
          <w:szCs w:val="24"/>
          <w:highlight w:val="none"/>
        </w:rPr>
        <w:t>向贵方提供不可撤销、</w:t>
      </w:r>
      <w:r>
        <w:rPr>
          <w:rFonts w:hint="eastAsia" w:ascii="宋体" w:hAnsi="宋体"/>
          <w:color w:val="auto"/>
          <w:sz w:val="24"/>
          <w:szCs w:val="24"/>
          <w:highlight w:val="none"/>
        </w:rPr>
        <w:t>不可转让的见索即付</w:t>
      </w:r>
      <w:r>
        <w:rPr>
          <w:rFonts w:ascii="宋体" w:hAnsi="宋体"/>
          <w:color w:val="auto"/>
          <w:sz w:val="24"/>
          <w:szCs w:val="24"/>
          <w:highlight w:val="none"/>
        </w:rPr>
        <w:t>独立</w:t>
      </w:r>
      <w:r>
        <w:rPr>
          <w:rFonts w:hint="eastAsia" w:ascii="宋体" w:hAnsi="宋体"/>
          <w:color w:val="auto"/>
          <w:sz w:val="24"/>
          <w:szCs w:val="24"/>
          <w:highlight w:val="none"/>
        </w:rPr>
        <w:t>保函（以下简称“本保函”）</w:t>
      </w:r>
      <w:r>
        <w:rPr>
          <w:rFonts w:ascii="宋体" w:hAnsi="宋体"/>
          <w:color w:val="auto"/>
          <w:sz w:val="24"/>
          <w:szCs w:val="24"/>
          <w:highlight w:val="none"/>
        </w:rPr>
        <w:t xml:space="preserve">。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一、本保函担保范围：申请人未履行基础合同约定的工程款支付义务，应当向贵方承担的违约责任和赔偿因此造成的损失、利息、律师费、诉讼费用等实现债权的费用。</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二、本保函担保金额最高不超过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三、本保函</w:t>
      </w:r>
      <w:r>
        <w:rPr>
          <w:rFonts w:ascii="宋体" w:hAnsi="宋体"/>
          <w:color w:val="auto"/>
          <w:sz w:val="24"/>
          <w:szCs w:val="24"/>
          <w:highlight w:val="none"/>
        </w:rPr>
        <w:t>有效期自</w:t>
      </w:r>
      <w:r>
        <w:rPr>
          <w:rFonts w:hint="eastAsia" w:ascii="宋体" w:hAnsi="宋体"/>
          <w:color w:val="auto"/>
          <w:sz w:val="24"/>
          <w:szCs w:val="24"/>
          <w:highlight w:val="none"/>
        </w:rPr>
        <w:t>开立之日起</w:t>
      </w:r>
      <w:r>
        <w:rPr>
          <w:rFonts w:ascii="宋体" w:hAnsi="宋体"/>
          <w:color w:val="auto"/>
          <w:sz w:val="24"/>
          <w:szCs w:val="24"/>
          <w:highlight w:val="none"/>
        </w:rPr>
        <w:t>至</w:t>
      </w:r>
      <w:r>
        <w:rPr>
          <w:rFonts w:hint="eastAsia" w:ascii="宋体" w:hAnsi="宋体"/>
          <w:color w:val="auto"/>
          <w:sz w:val="24"/>
          <w:szCs w:val="24"/>
          <w:highlight w:val="none"/>
        </w:rPr>
        <w:t>基础合同约定的除工程质量保修金以外的全部工程结算款项支付之日后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四、我方承诺，在收到受益人发来的书面付款通知后的</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日内无条件支付，前述书面付款通知即为付款要求之单据，且应满足以下要求：</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（1）付款通知到达的日期在本保函的有效期内；</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（2）载明要求支付的金额；</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（3）载明申请人违反合同义务的条款和内容；</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（4）声明不存在合同文件约定或我国法律规定免除申请人或开立人支付责任的情形；</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（5）付款通知应在本保函有效期内到达的地址是：</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受益人发出的书面付款通知应由其为鉴明受益人法定代表人（负责人）或授权代理人签字并加盖公章。</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五、</w:t>
      </w:r>
      <w:r>
        <w:rPr>
          <w:rFonts w:ascii="宋体" w:hAnsi="宋体"/>
          <w:color w:val="auto"/>
          <w:sz w:val="24"/>
          <w:szCs w:val="24"/>
          <w:highlight w:val="none"/>
        </w:rPr>
        <w:t>本保函项下的权利不得转让，不得设定担保。贵方未经我方书面同意转 让本保函或其项下任何权利，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六、与</w:t>
      </w:r>
      <w:r>
        <w:rPr>
          <w:rFonts w:ascii="宋体" w:hAnsi="宋体"/>
          <w:color w:val="auto"/>
          <w:sz w:val="24"/>
          <w:szCs w:val="24"/>
          <w:highlight w:val="none"/>
        </w:rPr>
        <w:t>本保函</w:t>
      </w:r>
      <w:r>
        <w:rPr>
          <w:rFonts w:hint="eastAsia" w:ascii="宋体" w:hAnsi="宋体"/>
          <w:color w:val="auto"/>
          <w:sz w:val="24"/>
          <w:szCs w:val="24"/>
          <w:highlight w:val="none"/>
        </w:rPr>
        <w:t>有关</w:t>
      </w:r>
      <w:r>
        <w:rPr>
          <w:rFonts w:ascii="宋体" w:hAnsi="宋体"/>
          <w:color w:val="auto"/>
          <w:sz w:val="24"/>
          <w:szCs w:val="24"/>
          <w:highlight w:val="none"/>
        </w:rPr>
        <w:t>的基础</w:t>
      </w:r>
      <w:r>
        <w:rPr>
          <w:rFonts w:hint="eastAsia" w:ascii="宋体" w:hAnsi="宋体"/>
          <w:color w:val="auto"/>
          <w:sz w:val="24"/>
          <w:szCs w:val="24"/>
          <w:highlight w:val="none"/>
        </w:rPr>
        <w:t>合同</w:t>
      </w:r>
      <w:r>
        <w:rPr>
          <w:rFonts w:ascii="宋体" w:hAnsi="宋体"/>
          <w:color w:val="auto"/>
          <w:sz w:val="24"/>
          <w:szCs w:val="24"/>
          <w:highlight w:val="none"/>
        </w:rPr>
        <w:t xml:space="preserve">不成立、不生效、无效、被撤销、被解除，不影响本保函的独立有效。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七、</w:t>
      </w:r>
      <w:r>
        <w:rPr>
          <w:rFonts w:ascii="宋体" w:hAnsi="宋体"/>
          <w:color w:val="auto"/>
          <w:sz w:val="24"/>
          <w:szCs w:val="24"/>
          <w:highlight w:val="none"/>
        </w:rPr>
        <w:t>贵方应在本保函到期后的七日内将本保函正本退回我方注销，但是不论贵方是否按此要求将本保函正本退回我方，我方在本保函项下的义务和责任均在保函</w:t>
      </w:r>
      <w:r>
        <w:rPr>
          <w:rFonts w:hint="eastAsia" w:ascii="宋体" w:hAnsi="宋体"/>
          <w:color w:val="auto"/>
          <w:sz w:val="24"/>
          <w:szCs w:val="24"/>
          <w:highlight w:val="none"/>
        </w:rPr>
        <w:t>有效期</w:t>
      </w:r>
      <w:r>
        <w:rPr>
          <w:rFonts w:ascii="宋体" w:hAnsi="宋体"/>
          <w:color w:val="auto"/>
          <w:sz w:val="24"/>
          <w:szCs w:val="24"/>
          <w:highlight w:val="none"/>
        </w:rPr>
        <w:t xml:space="preserve">到期后自动消灭。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八、</w:t>
      </w:r>
      <w:r>
        <w:rPr>
          <w:rFonts w:ascii="宋体" w:hAnsi="宋体"/>
          <w:color w:val="auto"/>
          <w:sz w:val="24"/>
          <w:szCs w:val="24"/>
          <w:highlight w:val="none"/>
        </w:rPr>
        <w:t>本保函</w:t>
      </w:r>
      <w:r>
        <w:rPr>
          <w:rFonts w:hint="eastAsia" w:ascii="宋体" w:hAnsi="宋体"/>
          <w:color w:val="auto"/>
          <w:sz w:val="24"/>
          <w:szCs w:val="24"/>
          <w:highlight w:val="none"/>
        </w:rPr>
        <w:t>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九、</w:t>
      </w:r>
      <w:r>
        <w:rPr>
          <w:rFonts w:ascii="宋体" w:hAnsi="宋体"/>
          <w:color w:val="auto"/>
          <w:sz w:val="24"/>
          <w:szCs w:val="24"/>
          <w:highlight w:val="none"/>
        </w:rPr>
        <w:t>本保函自我方法定代表人</w:t>
      </w:r>
      <w:bookmarkStart w:id="1519" w:name="_Hlk58487855"/>
      <w:r>
        <w:rPr>
          <w:rFonts w:hint="eastAsia" w:ascii="宋体" w:hAnsi="宋体"/>
          <w:color w:val="auto"/>
          <w:sz w:val="24"/>
          <w:szCs w:val="24"/>
          <w:highlight w:val="none"/>
        </w:rPr>
        <w:t>或授权代表</w:t>
      </w:r>
      <w:bookmarkEnd w:id="1519"/>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pPr>
        <w:spacing w:line="360" w:lineRule="auto"/>
        <w:ind w:firstLine="480" w:firstLineChars="200"/>
        <w:rPr>
          <w:rFonts w:ascii="宋体" w:hAnsi="宋体"/>
          <w:color w:val="auto"/>
          <w:sz w:val="24"/>
          <w:szCs w:val="24"/>
          <w:highlight w:val="none"/>
        </w:rPr>
      </w:pPr>
    </w:p>
    <w:p>
      <w:pPr>
        <w:spacing w:line="360" w:lineRule="auto"/>
        <w:ind w:firstLine="480" w:firstLineChars="200"/>
        <w:rPr>
          <w:rFonts w:ascii="宋体" w:hAnsi="宋体"/>
          <w:color w:val="auto"/>
          <w:sz w:val="24"/>
          <w:szCs w:val="24"/>
          <w:highlight w:val="none"/>
        </w:rPr>
      </w:pP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 立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pPr>
        <w:spacing w:line="360" w:lineRule="auto"/>
        <w:ind w:firstLine="480" w:firstLineChars="200"/>
        <w:rPr>
          <w:color w:val="auto"/>
          <w:highlight w:val="none"/>
        </w:rPr>
      </w:pPr>
      <w:r>
        <w:rPr>
          <w:rFonts w:hint="eastAsia" w:ascii="宋体" w:hAnsi="宋体"/>
          <w:color w:val="auto"/>
          <w:sz w:val="24"/>
          <w:szCs w:val="24"/>
          <w:highlight w:val="none"/>
        </w:rPr>
        <w:t>开立时间：</w:t>
      </w:r>
      <w:r>
        <w:rPr>
          <w:rFonts w:ascii="宋体" w:hAnsi="宋体"/>
          <w:color w:val="auto"/>
          <w:sz w:val="24"/>
          <w:szCs w:val="24"/>
          <w:highlight w:val="none"/>
        </w:rPr>
        <w:t xml:space="preserve">      年      月        日</w:t>
      </w:r>
    </w:p>
    <w:p>
      <w:pPr>
        <w:spacing w:line="360" w:lineRule="auto"/>
        <w:jc w:val="center"/>
        <w:rPr>
          <w:rFonts w:ascii="宋体" w:hAnsi="宋体"/>
          <w:b/>
          <w:color w:val="auto"/>
          <w:sz w:val="32"/>
          <w:szCs w:val="32"/>
          <w:highlight w:val="none"/>
        </w:rPr>
      </w:pPr>
      <w:r>
        <w:rPr>
          <w:rFonts w:hAnsi="宋体" w:cs="宋体"/>
          <w:color w:val="auto"/>
          <w:highlight w:val="none"/>
        </w:rPr>
        <w:br w:type="page"/>
      </w:r>
      <w:r>
        <w:rPr>
          <w:rFonts w:hint="eastAsia" w:ascii="宋体" w:hAnsi="宋体"/>
          <w:b/>
          <w:color w:val="auto"/>
          <w:sz w:val="32"/>
          <w:szCs w:val="32"/>
          <w:highlight w:val="none"/>
        </w:rPr>
        <w:t>支付保函</w:t>
      </w:r>
    </w:p>
    <w:p>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（非独立保函）</w:t>
      </w:r>
    </w:p>
    <w:p>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pPr>
        <w:wordWrap w:val="0"/>
        <w:spacing w:line="360" w:lineRule="auto"/>
        <w:jc w:val="right"/>
        <w:rPr>
          <w:rFonts w:ascii="宋体" w:hAnsi="宋体"/>
          <w:color w:val="auto"/>
          <w:highlight w:val="none"/>
        </w:rPr>
      </w:pPr>
      <w:r>
        <w:rPr>
          <w:rFonts w:ascii="宋体" w:hAnsi="宋体"/>
          <w:color w:val="auto"/>
          <w:highlight w:val="none"/>
        </w:rPr>
        <w:t xml:space="preserve">     </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发包人：</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r>
        <w:rPr>
          <w:rFonts w:ascii="宋体" w:hAnsi="宋体"/>
          <w:color w:val="auto"/>
          <w:sz w:val="24"/>
          <w:szCs w:val="24"/>
          <w:highlight w:val="none"/>
        </w:rPr>
        <w:t>：</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担保权人/承包人：</w:t>
      </w:r>
      <w:r>
        <w:rPr>
          <w:rFonts w:ascii="宋体" w:hAnsi="宋体"/>
          <w:color w:val="auto"/>
          <w:sz w:val="24"/>
          <w:szCs w:val="24"/>
          <w:highlight w:val="none"/>
        </w:rPr>
        <w:t xml:space="preserve"> </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保证人：</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pPr>
        <w:spacing w:line="360" w:lineRule="auto"/>
        <w:rPr>
          <w:rFonts w:ascii="宋体" w:hAnsi="宋体"/>
          <w:color w:val="auto"/>
          <w:sz w:val="24"/>
          <w:szCs w:val="24"/>
          <w:highlight w:val="none"/>
        </w:rPr>
      </w:pPr>
    </w:p>
    <w:p>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承包人</w:t>
      </w:r>
      <w:r>
        <w:rPr>
          <w:rFonts w:ascii="宋体" w:hAnsi="宋体"/>
          <w:color w:val="auto"/>
          <w:sz w:val="24"/>
          <w:szCs w:val="24"/>
          <w:highlight w:val="none"/>
        </w:rPr>
        <w:t xml:space="preserve">名称）：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发包人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承包人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（以下简称“主合同”），我方即保证人基于发包人</w:t>
      </w:r>
      <w:r>
        <w:rPr>
          <w:rFonts w:ascii="宋体" w:hAnsi="宋体"/>
          <w:color w:val="auto"/>
          <w:sz w:val="24"/>
          <w:szCs w:val="24"/>
          <w:highlight w:val="none"/>
        </w:rPr>
        <w:t>的请求，同意就</w:t>
      </w:r>
      <w:r>
        <w:rPr>
          <w:rFonts w:hint="eastAsia" w:ascii="宋体" w:hAnsi="宋体"/>
          <w:color w:val="auto"/>
          <w:sz w:val="24"/>
          <w:szCs w:val="24"/>
          <w:highlight w:val="none"/>
        </w:rPr>
        <w:t>发包人</w:t>
      </w:r>
      <w:r>
        <w:rPr>
          <w:rFonts w:ascii="宋体" w:hAnsi="宋体"/>
          <w:color w:val="auto"/>
          <w:sz w:val="24"/>
          <w:szCs w:val="24"/>
          <w:highlight w:val="none"/>
        </w:rPr>
        <w:t>履行</w:t>
      </w:r>
      <w:r>
        <w:rPr>
          <w:rFonts w:hint="eastAsia" w:ascii="宋体" w:hAnsi="宋体"/>
          <w:color w:val="auto"/>
          <w:sz w:val="24"/>
          <w:szCs w:val="24"/>
          <w:highlight w:val="none"/>
        </w:rPr>
        <w:t>与贵方签订的主合同</w:t>
      </w:r>
      <w:r>
        <w:rPr>
          <w:rFonts w:ascii="宋体" w:hAnsi="宋体"/>
          <w:color w:val="auto"/>
          <w:sz w:val="24"/>
          <w:szCs w:val="24"/>
          <w:highlight w:val="none"/>
        </w:rPr>
        <w:t>项下的</w:t>
      </w:r>
      <w:r>
        <w:rPr>
          <w:rFonts w:hint="eastAsia" w:ascii="宋体" w:hAnsi="宋体"/>
          <w:color w:val="auto"/>
          <w:sz w:val="24"/>
          <w:szCs w:val="24"/>
          <w:highlight w:val="none"/>
        </w:rPr>
        <w:t>工程款（指主合同约定的除工程质量保修金以外的全部工程结算款项）付款</w:t>
      </w:r>
      <w:r>
        <w:rPr>
          <w:rFonts w:ascii="宋体" w:hAnsi="宋体"/>
          <w:color w:val="auto"/>
          <w:sz w:val="24"/>
          <w:szCs w:val="24"/>
          <w:highlight w:val="none"/>
        </w:rPr>
        <w:t>义务</w:t>
      </w:r>
      <w:r>
        <w:rPr>
          <w:rFonts w:hint="eastAsia" w:ascii="宋体" w:hAnsi="宋体"/>
          <w:color w:val="auto"/>
          <w:sz w:val="24"/>
          <w:szCs w:val="24"/>
          <w:highlight w:val="none"/>
        </w:rPr>
        <w:t>，</w:t>
      </w:r>
      <w:r>
        <w:rPr>
          <w:rFonts w:ascii="宋体" w:hAnsi="宋体"/>
          <w:color w:val="auto"/>
          <w:sz w:val="24"/>
          <w:szCs w:val="24"/>
          <w:highlight w:val="none"/>
        </w:rPr>
        <w:t>向贵方提供</w:t>
      </w:r>
      <w:r>
        <w:rPr>
          <w:rFonts w:hint="eastAsia" w:ascii="宋体" w:hAnsi="宋体"/>
          <w:color w:val="auto"/>
          <w:sz w:val="24"/>
          <w:szCs w:val="24"/>
          <w:highlight w:val="none"/>
        </w:rPr>
        <w:t>如下保证担保（以下简称“本保证担保”）</w:t>
      </w:r>
      <w:r>
        <w:rPr>
          <w:rFonts w:ascii="宋体" w:hAnsi="宋体"/>
          <w:color w:val="auto"/>
          <w:sz w:val="24"/>
          <w:szCs w:val="24"/>
          <w:highlight w:val="none"/>
        </w:rPr>
        <w:t xml:space="preserve">。 </w:t>
      </w:r>
    </w:p>
    <w:p>
      <w:pPr>
        <w:spacing w:line="360" w:lineRule="auto"/>
        <w:ind w:firstLine="482" w:firstLineChars="200"/>
        <w:rPr>
          <w:rFonts w:ascii="宋体" w:hAnsi="宋体"/>
          <w:b/>
          <w:color w:val="auto"/>
          <w:sz w:val="24"/>
          <w:szCs w:val="24"/>
          <w:highlight w:val="none"/>
        </w:rPr>
      </w:pPr>
      <w:r>
        <w:rPr>
          <w:rFonts w:hint="eastAsia" w:ascii="宋体" w:hAnsi="宋体"/>
          <w:b/>
          <w:color w:val="auto"/>
          <w:sz w:val="24"/>
          <w:szCs w:val="24"/>
          <w:highlight w:val="none"/>
        </w:rPr>
        <w:t>一、保证担保的范围及保证担保金额</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w:t>
      </w:r>
      <w:r>
        <w:rPr>
          <w:rFonts w:hint="eastAsia" w:ascii="宋体" w:hAnsi="宋体"/>
          <w:color w:val="auto"/>
          <w:sz w:val="24"/>
          <w:szCs w:val="24"/>
          <w:highlight w:val="none"/>
        </w:rPr>
        <w:t>保证担保范围：申请人未履行主合同约定的工程款支付义务，应当向贵方承担的违约责任和赔偿因此造成的损失、利息、律师费、诉讼费用等实现债权的费用。</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pPr>
        <w:spacing w:line="360" w:lineRule="auto"/>
        <w:ind w:firstLine="482" w:firstLineChars="200"/>
        <w:rPr>
          <w:rFonts w:ascii="宋体" w:hAnsi="宋体"/>
          <w:b/>
          <w:color w:val="auto"/>
          <w:sz w:val="24"/>
          <w:szCs w:val="24"/>
          <w:highlight w:val="none"/>
        </w:rPr>
      </w:pPr>
      <w:r>
        <w:rPr>
          <w:rFonts w:hint="eastAsia" w:ascii="宋体" w:hAnsi="宋体"/>
          <w:b/>
          <w:color w:val="auto"/>
          <w:sz w:val="24"/>
          <w:szCs w:val="24"/>
          <w:highlight w:val="none"/>
        </w:rPr>
        <w:t>二、保证担保的方式及保证期间</w:t>
      </w:r>
      <w:r>
        <w:rPr>
          <w:rFonts w:ascii="宋体" w:hAnsi="宋体"/>
          <w:b/>
          <w:color w:val="auto"/>
          <w:sz w:val="24"/>
          <w:szCs w:val="24"/>
          <w:highlight w:val="none"/>
        </w:rPr>
        <w:t xml:space="preserve">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1.保证担保方式：连带责任保证。</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保证期间：</w:t>
      </w:r>
      <w:r>
        <w:rPr>
          <w:rFonts w:ascii="宋体" w:hAnsi="宋体"/>
          <w:color w:val="auto"/>
          <w:sz w:val="24"/>
          <w:szCs w:val="24"/>
          <w:highlight w:val="none"/>
        </w:rPr>
        <w:t>自</w:t>
      </w:r>
      <w:r>
        <w:rPr>
          <w:rFonts w:hint="eastAsia" w:ascii="宋体" w:hAnsi="宋体"/>
          <w:color w:val="auto"/>
          <w:sz w:val="24"/>
          <w:szCs w:val="24"/>
          <w:highlight w:val="none"/>
        </w:rPr>
        <w:t>出具之日起</w:t>
      </w:r>
      <w:r>
        <w:rPr>
          <w:rFonts w:ascii="宋体" w:hAnsi="宋体"/>
          <w:color w:val="auto"/>
          <w:sz w:val="24"/>
          <w:szCs w:val="24"/>
          <w:highlight w:val="none"/>
        </w:rPr>
        <w:t>至</w:t>
      </w:r>
      <w:r>
        <w:rPr>
          <w:rFonts w:hint="eastAsia" w:ascii="宋体" w:hAnsi="宋体"/>
          <w:color w:val="auto"/>
          <w:sz w:val="24"/>
          <w:szCs w:val="24"/>
          <w:highlight w:val="none"/>
        </w:rPr>
        <w:t>主合同约定的除工程质量保修金以外的工程款支付之日后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pPr>
        <w:spacing w:line="360" w:lineRule="auto"/>
        <w:ind w:firstLine="482" w:firstLineChars="200"/>
        <w:rPr>
          <w:rFonts w:ascii="宋体" w:hAnsi="宋体"/>
          <w:b/>
          <w:color w:val="auto"/>
          <w:sz w:val="24"/>
          <w:szCs w:val="24"/>
          <w:highlight w:val="none"/>
        </w:rPr>
      </w:pPr>
      <w:r>
        <w:rPr>
          <w:rFonts w:hint="eastAsia" w:ascii="宋体" w:hAnsi="宋体"/>
          <w:b/>
          <w:color w:val="auto"/>
          <w:sz w:val="24"/>
          <w:szCs w:val="24"/>
          <w:highlight w:val="none"/>
        </w:rPr>
        <w:t>三、承担保证担保责任的形式</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发包人未按合同约定向贵方支付主合同项下工程款的，由我方在保证金额内代为支付，并赔偿因此给贵方造成的损失，以及利息和律师费、诉讼费用等实现债权的费用。</w:t>
      </w:r>
    </w:p>
    <w:p>
      <w:pPr>
        <w:spacing w:line="360" w:lineRule="auto"/>
        <w:ind w:firstLine="482" w:firstLineChars="200"/>
        <w:rPr>
          <w:rFonts w:ascii="宋体" w:hAnsi="宋体"/>
          <w:b/>
          <w:color w:val="auto"/>
          <w:sz w:val="24"/>
          <w:szCs w:val="24"/>
          <w:highlight w:val="none"/>
        </w:rPr>
      </w:pPr>
      <w:r>
        <w:rPr>
          <w:rFonts w:hint="eastAsia" w:ascii="宋体" w:hAnsi="宋体"/>
          <w:b/>
          <w:color w:val="auto"/>
          <w:sz w:val="24"/>
          <w:szCs w:val="24"/>
          <w:highlight w:val="none"/>
        </w:rPr>
        <w:t>四、代偿的安排</w:t>
      </w:r>
      <w:r>
        <w:rPr>
          <w:rFonts w:ascii="宋体" w:hAnsi="宋体"/>
          <w:b/>
          <w:color w:val="auto"/>
          <w:sz w:val="24"/>
          <w:szCs w:val="24"/>
          <w:highlight w:val="none"/>
        </w:rPr>
        <w:t xml:space="preserve">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1.贵方要求我方承担保证责任的，应向我方发出书面索赔通知及发包人未支付主合同约定工程款的证明材料。索赔通知应写明要求索赔的金额，支付款项应到达的帐号。</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在出现贵方与发包人因工程质量发生争议，发包人拒绝向贵方支付工程款的情形时，贵方要求我方履行保证责任代为支付的，还需提供项目总监理工程师、监理单位或符合相应条件要求的工程质量检测机构出具的质量说明材料。</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3.我方收到贵方的书面索赔通知及相应证明材料后，在</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工作日内进行核定后按照本保函的承诺承担保证责任。</w:t>
      </w:r>
    </w:p>
    <w:p>
      <w:pPr>
        <w:spacing w:line="360" w:lineRule="auto"/>
        <w:ind w:firstLine="482" w:firstLineChars="200"/>
        <w:rPr>
          <w:rFonts w:ascii="宋体" w:hAnsi="宋体"/>
          <w:b/>
          <w:color w:val="auto"/>
          <w:sz w:val="24"/>
          <w:szCs w:val="24"/>
          <w:highlight w:val="none"/>
        </w:rPr>
      </w:pPr>
      <w:r>
        <w:rPr>
          <w:rFonts w:hint="eastAsia" w:ascii="宋体" w:hAnsi="宋体"/>
          <w:b/>
          <w:color w:val="auto"/>
          <w:sz w:val="24"/>
          <w:szCs w:val="24"/>
          <w:highlight w:val="none"/>
        </w:rPr>
        <w:t>五、保证担保责任的解除</w:t>
      </w:r>
      <w:r>
        <w:rPr>
          <w:rFonts w:ascii="宋体" w:hAnsi="宋体"/>
          <w:b/>
          <w:color w:val="auto"/>
          <w:sz w:val="24"/>
          <w:szCs w:val="24"/>
          <w:highlight w:val="none"/>
        </w:rPr>
        <w:t xml:space="preserve">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 xml:space="preserve">保证期间届满贵方未向我方书面主张保证责任的，自保证期间届满次日起，我方解除保证责任。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我方按照本</w:t>
      </w:r>
      <w:r>
        <w:rPr>
          <w:rFonts w:hint="eastAsia" w:ascii="宋体" w:hAnsi="宋体"/>
          <w:color w:val="auto"/>
          <w:sz w:val="24"/>
          <w:szCs w:val="24"/>
          <w:highlight w:val="none"/>
        </w:rPr>
        <w:t>保证担保</w:t>
      </w:r>
      <w:r>
        <w:rPr>
          <w:rFonts w:ascii="宋体" w:hAnsi="宋体"/>
          <w:color w:val="auto"/>
          <w:sz w:val="24"/>
          <w:szCs w:val="24"/>
          <w:highlight w:val="none"/>
        </w:rPr>
        <w:t>向贵方履行了</w:t>
      </w:r>
      <w:r>
        <w:rPr>
          <w:rFonts w:hint="eastAsia" w:ascii="宋体" w:hAnsi="宋体"/>
          <w:color w:val="auto"/>
          <w:sz w:val="24"/>
          <w:szCs w:val="24"/>
          <w:highlight w:val="none"/>
        </w:rPr>
        <w:t>保证担保责任</w:t>
      </w:r>
      <w:r>
        <w:rPr>
          <w:rFonts w:ascii="宋体" w:hAnsi="宋体"/>
          <w:color w:val="auto"/>
          <w:sz w:val="24"/>
          <w:szCs w:val="24"/>
          <w:highlight w:val="none"/>
        </w:rPr>
        <w:t>后，自我方向贵方支付</w:t>
      </w:r>
      <w:r>
        <w:rPr>
          <w:rFonts w:hint="eastAsia" w:ascii="宋体" w:hAnsi="宋体"/>
          <w:color w:val="auto"/>
          <w:sz w:val="24"/>
          <w:szCs w:val="24"/>
          <w:highlight w:val="none"/>
        </w:rPr>
        <w:t>的金额达到最高保证担保金额</w:t>
      </w:r>
      <w:r>
        <w:rPr>
          <w:rFonts w:ascii="宋体" w:hAnsi="宋体"/>
          <w:color w:val="auto"/>
          <w:sz w:val="24"/>
          <w:szCs w:val="24"/>
          <w:highlight w:val="none"/>
        </w:rPr>
        <w:t>之日起，</w:t>
      </w:r>
      <w:r>
        <w:rPr>
          <w:rFonts w:hint="eastAsia" w:ascii="宋体" w:hAnsi="宋体"/>
          <w:color w:val="auto"/>
          <w:sz w:val="24"/>
          <w:szCs w:val="24"/>
          <w:highlight w:val="none"/>
        </w:rPr>
        <w:t>保证担保责任</w:t>
      </w:r>
      <w:r>
        <w:rPr>
          <w:rFonts w:ascii="宋体" w:hAnsi="宋体"/>
          <w:color w:val="auto"/>
          <w:sz w:val="24"/>
          <w:szCs w:val="24"/>
          <w:highlight w:val="none"/>
        </w:rPr>
        <w:t xml:space="preserve">解除。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按照法律法规的规定应解除我方保证</w:t>
      </w:r>
      <w:r>
        <w:rPr>
          <w:rFonts w:hint="eastAsia" w:ascii="宋体" w:hAnsi="宋体"/>
          <w:color w:val="auto"/>
          <w:sz w:val="24"/>
          <w:szCs w:val="24"/>
          <w:highlight w:val="none"/>
        </w:rPr>
        <w:t>担保</w:t>
      </w:r>
      <w:r>
        <w:rPr>
          <w:rFonts w:ascii="宋体" w:hAnsi="宋体"/>
          <w:color w:val="auto"/>
          <w:sz w:val="24"/>
          <w:szCs w:val="24"/>
          <w:highlight w:val="none"/>
        </w:rPr>
        <w:t>责任的其它情形的，我方在本保证担保项下的保证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责任亦解除。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4.我方解除保证责任后，贵方应按上述约定，自我方保证担保责任解除之日起七</w:t>
      </w:r>
      <w:r>
        <w:rPr>
          <w:rFonts w:ascii="宋体" w:hAnsi="宋体"/>
          <w:color w:val="auto"/>
          <w:sz w:val="24"/>
          <w:szCs w:val="24"/>
          <w:highlight w:val="none"/>
        </w:rPr>
        <w:t>日内，将本保证担保原件返还我方。但是不论贵方是否按此要求将本保证担保</w:t>
      </w:r>
      <w:r>
        <w:rPr>
          <w:rFonts w:hint="eastAsia" w:ascii="宋体" w:hAnsi="宋体"/>
          <w:color w:val="auto"/>
          <w:sz w:val="24"/>
          <w:szCs w:val="24"/>
          <w:highlight w:val="none"/>
        </w:rPr>
        <w:t>原件</w:t>
      </w:r>
      <w:r>
        <w:rPr>
          <w:rFonts w:ascii="宋体" w:hAnsi="宋体"/>
          <w:color w:val="auto"/>
          <w:sz w:val="24"/>
          <w:szCs w:val="24"/>
          <w:highlight w:val="none"/>
        </w:rPr>
        <w:t>退回我方，我方在本保证担保项下的义务和责任均</w:t>
      </w:r>
      <w:r>
        <w:rPr>
          <w:rFonts w:hint="eastAsia" w:ascii="宋体" w:hAnsi="宋体"/>
          <w:color w:val="auto"/>
          <w:sz w:val="24"/>
          <w:szCs w:val="24"/>
          <w:highlight w:val="none"/>
        </w:rPr>
        <w:t>自保证担保责任解除之日</w:t>
      </w:r>
      <w:r>
        <w:rPr>
          <w:rFonts w:ascii="宋体" w:hAnsi="宋体"/>
          <w:color w:val="auto"/>
          <w:sz w:val="24"/>
          <w:szCs w:val="24"/>
          <w:highlight w:val="none"/>
        </w:rPr>
        <w:t>自动消灭。</w:t>
      </w:r>
    </w:p>
    <w:p>
      <w:pPr>
        <w:spacing w:line="360" w:lineRule="auto"/>
        <w:ind w:firstLine="482" w:firstLineChars="200"/>
        <w:rPr>
          <w:rFonts w:ascii="宋体" w:hAnsi="宋体"/>
          <w:b/>
          <w:color w:val="auto"/>
          <w:sz w:val="24"/>
          <w:szCs w:val="24"/>
          <w:highlight w:val="none"/>
        </w:rPr>
      </w:pPr>
      <w:r>
        <w:rPr>
          <w:rFonts w:hint="eastAsia" w:ascii="宋体" w:hAnsi="宋体"/>
          <w:b/>
          <w:color w:val="auto"/>
          <w:sz w:val="24"/>
          <w:szCs w:val="24"/>
          <w:highlight w:val="none"/>
        </w:rPr>
        <w:t>六、免责条款</w:t>
      </w:r>
      <w:r>
        <w:rPr>
          <w:rFonts w:ascii="宋体" w:hAnsi="宋体"/>
          <w:b/>
          <w:color w:val="auto"/>
          <w:sz w:val="24"/>
          <w:szCs w:val="24"/>
          <w:highlight w:val="none"/>
        </w:rPr>
        <w:t xml:space="preserve">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因贵方</w:t>
      </w:r>
      <w:r>
        <w:rPr>
          <w:rFonts w:hint="eastAsia" w:ascii="宋体" w:hAnsi="宋体"/>
          <w:color w:val="auto"/>
          <w:sz w:val="24"/>
          <w:szCs w:val="24"/>
          <w:highlight w:val="none"/>
        </w:rPr>
        <w:t>原因</w:t>
      </w:r>
      <w:r>
        <w:rPr>
          <w:rFonts w:ascii="宋体" w:hAnsi="宋体"/>
          <w:color w:val="auto"/>
          <w:sz w:val="24"/>
          <w:szCs w:val="24"/>
          <w:highlight w:val="none"/>
        </w:rPr>
        <w:t>致使</w:t>
      </w:r>
      <w:r>
        <w:rPr>
          <w:rFonts w:hint="eastAsia" w:ascii="宋体" w:hAnsi="宋体"/>
          <w:color w:val="auto"/>
          <w:sz w:val="24"/>
          <w:szCs w:val="24"/>
          <w:highlight w:val="none"/>
        </w:rPr>
        <w:t>发包人未履行主合同项下工程款付款义务的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依照法律规定或贵方与</w:t>
      </w:r>
      <w:r>
        <w:rPr>
          <w:rFonts w:hint="eastAsia" w:ascii="宋体" w:hAnsi="宋体"/>
          <w:color w:val="auto"/>
          <w:sz w:val="24"/>
          <w:szCs w:val="24"/>
          <w:highlight w:val="none"/>
        </w:rPr>
        <w:t>发包</w:t>
      </w:r>
      <w:r>
        <w:rPr>
          <w:rFonts w:ascii="宋体" w:hAnsi="宋体"/>
          <w:color w:val="auto"/>
          <w:sz w:val="24"/>
          <w:szCs w:val="24"/>
          <w:highlight w:val="none"/>
        </w:rPr>
        <w:t>人的另行约定，免除</w:t>
      </w:r>
      <w:r>
        <w:rPr>
          <w:rFonts w:hint="eastAsia" w:ascii="宋体" w:hAnsi="宋体"/>
          <w:color w:val="auto"/>
          <w:sz w:val="24"/>
          <w:szCs w:val="24"/>
          <w:highlight w:val="none"/>
        </w:rPr>
        <w:t>发包</w:t>
      </w:r>
      <w:r>
        <w:rPr>
          <w:rFonts w:ascii="宋体" w:hAnsi="宋体"/>
          <w:color w:val="auto"/>
          <w:sz w:val="24"/>
          <w:szCs w:val="24"/>
          <w:highlight w:val="none"/>
        </w:rPr>
        <w:t>人部分或全部义务的，我方亦免除其相应的保证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因不可抗力造成</w:t>
      </w:r>
      <w:r>
        <w:rPr>
          <w:rFonts w:hint="eastAsia" w:ascii="宋体" w:hAnsi="宋体"/>
          <w:color w:val="auto"/>
          <w:sz w:val="24"/>
          <w:szCs w:val="24"/>
          <w:highlight w:val="none"/>
        </w:rPr>
        <w:t>发包</w:t>
      </w:r>
      <w:r>
        <w:rPr>
          <w:rFonts w:ascii="宋体" w:hAnsi="宋体"/>
          <w:color w:val="auto"/>
          <w:sz w:val="24"/>
          <w:szCs w:val="24"/>
          <w:highlight w:val="none"/>
        </w:rPr>
        <w:t>人</w:t>
      </w:r>
      <w:r>
        <w:rPr>
          <w:rFonts w:hint="eastAsia" w:ascii="宋体" w:hAnsi="宋体"/>
          <w:color w:val="auto"/>
          <w:sz w:val="24"/>
          <w:szCs w:val="24"/>
          <w:highlight w:val="none"/>
        </w:rPr>
        <w:t>未履行主合同项下工程款付款义务的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责任。</w:t>
      </w:r>
    </w:p>
    <w:p>
      <w:pPr>
        <w:spacing w:line="360" w:lineRule="auto"/>
        <w:ind w:firstLine="482" w:firstLineChars="200"/>
        <w:rPr>
          <w:rFonts w:ascii="宋体" w:hAnsi="宋体"/>
          <w:b/>
          <w:color w:val="auto"/>
          <w:sz w:val="24"/>
          <w:szCs w:val="24"/>
          <w:highlight w:val="none"/>
        </w:rPr>
      </w:pPr>
      <w:r>
        <w:rPr>
          <w:rFonts w:hint="eastAsia" w:ascii="宋体" w:hAnsi="宋体"/>
          <w:b/>
          <w:color w:val="auto"/>
          <w:sz w:val="24"/>
          <w:szCs w:val="24"/>
          <w:highlight w:val="none"/>
        </w:rPr>
        <w:t>七、其他</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本保证担保项下的权利不得转让，不得设定担保。贵方未经我方书面同意转让本保证担保或其项下任何权利，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.本</w:t>
      </w:r>
      <w:r>
        <w:rPr>
          <w:rFonts w:hint="eastAsia" w:ascii="宋体" w:hAnsi="宋体"/>
          <w:color w:val="auto"/>
          <w:sz w:val="24"/>
          <w:szCs w:val="24"/>
          <w:highlight w:val="none"/>
        </w:rPr>
        <w:t>保证担保适用的法律为中华人民共和国法律，争议裁判管辖地为中华人民共和国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r>
        <w:rPr>
          <w:rFonts w:ascii="宋体" w:hAnsi="宋体"/>
          <w:color w:val="auto"/>
          <w:sz w:val="24"/>
          <w:szCs w:val="24"/>
          <w:highlight w:val="none"/>
        </w:rPr>
        <w:t xml:space="preserve">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.本</w:t>
      </w:r>
      <w:r>
        <w:rPr>
          <w:rFonts w:hint="eastAsia" w:ascii="宋体" w:hAnsi="宋体"/>
          <w:color w:val="auto"/>
          <w:sz w:val="24"/>
          <w:szCs w:val="24"/>
          <w:highlight w:val="none"/>
        </w:rPr>
        <w:t>保证担保</w:t>
      </w:r>
      <w:r>
        <w:rPr>
          <w:rFonts w:ascii="宋体" w:hAnsi="宋体"/>
          <w:color w:val="auto"/>
          <w:sz w:val="24"/>
          <w:szCs w:val="24"/>
          <w:highlight w:val="none"/>
        </w:rPr>
        <w:t>自我方法定代表</w:t>
      </w:r>
      <w:r>
        <w:rPr>
          <w:rFonts w:hint="eastAsia" w:ascii="宋体" w:hAnsi="宋体"/>
          <w:color w:val="auto"/>
          <w:sz w:val="24"/>
          <w:szCs w:val="24"/>
          <w:highlight w:val="none"/>
        </w:rPr>
        <w:t>人或授权代表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pPr>
        <w:spacing w:line="360" w:lineRule="auto"/>
        <w:ind w:firstLine="480" w:firstLineChars="200"/>
        <w:rPr>
          <w:rFonts w:ascii="宋体" w:hAnsi="宋体"/>
          <w:color w:val="auto"/>
          <w:sz w:val="24"/>
          <w:szCs w:val="24"/>
          <w:highlight w:val="none"/>
        </w:rPr>
      </w:pP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保 证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时 </w:t>
      </w:r>
      <w:r>
        <w:rPr>
          <w:rFonts w:ascii="宋体" w:hAnsi="宋体"/>
          <w:color w:val="auto"/>
          <w:sz w:val="24"/>
          <w:szCs w:val="24"/>
          <w:highlight w:val="none"/>
        </w:rPr>
        <w:t xml:space="preserve">   </w:t>
      </w:r>
      <w:r>
        <w:rPr>
          <w:rFonts w:hint="eastAsia" w:ascii="宋体" w:hAnsi="宋体"/>
          <w:color w:val="auto"/>
          <w:sz w:val="24"/>
          <w:szCs w:val="24"/>
          <w:highlight w:val="none"/>
        </w:rPr>
        <w:t>间：</w:t>
      </w:r>
      <w:r>
        <w:rPr>
          <w:rFonts w:ascii="宋体" w:hAnsi="宋体"/>
          <w:color w:val="auto"/>
          <w:sz w:val="24"/>
          <w:szCs w:val="24"/>
          <w:highlight w:val="none"/>
        </w:rPr>
        <w:t xml:space="preserve">      年      月        日</w:t>
      </w:r>
    </w:p>
    <w:p>
      <w:pPr>
        <w:spacing w:line="360" w:lineRule="auto"/>
        <w:ind w:right="150" w:firstLine="420" w:firstLineChars="200"/>
        <w:jc w:val="left"/>
        <w:rPr>
          <w:rFonts w:hAnsi="宋体" w:cs="宋体"/>
          <w:color w:val="auto"/>
          <w:highlight w:val="none"/>
        </w:rPr>
      </w:pPr>
    </w:p>
    <w:p>
      <w:pPr>
        <w:spacing w:line="360" w:lineRule="auto"/>
        <w:ind w:right="150" w:firstLine="420" w:firstLineChars="200"/>
        <w:jc w:val="left"/>
        <w:rPr>
          <w:rFonts w:hAnsi="宋体" w:cs="宋体"/>
          <w:color w:val="auto"/>
          <w:highlight w:val="none"/>
        </w:rPr>
      </w:pPr>
    </w:p>
    <w:p>
      <w:pPr>
        <w:spacing w:line="360" w:lineRule="auto"/>
        <w:ind w:right="150" w:firstLine="420" w:firstLineChars="200"/>
        <w:jc w:val="left"/>
        <w:rPr>
          <w:color w:val="auto"/>
          <w:highlight w:val="none"/>
        </w:rPr>
      </w:pPr>
      <w:r>
        <w:rPr>
          <w:rFonts w:hint="eastAsia" w:hAnsi="宋体" w:cs="宋体"/>
          <w:color w:val="auto"/>
          <w:highlight w:val="none"/>
        </w:rPr>
        <w:t>（备注</w:t>
      </w:r>
      <w:r>
        <w:rPr>
          <w:rFonts w:hAnsi="宋体" w:cs="宋体"/>
          <w:color w:val="auto"/>
          <w:highlight w:val="none"/>
        </w:rPr>
        <w:t>：</w:t>
      </w:r>
      <w:r>
        <w:rPr>
          <w:rFonts w:hint="eastAsia" w:hAnsi="宋体" w:cs="宋体"/>
          <w:color w:val="auto"/>
          <w:highlight w:val="none"/>
        </w:rPr>
        <w:t>银行、保险公司和担保公司出具的</w:t>
      </w:r>
      <w:r>
        <w:rPr>
          <w:rFonts w:hint="eastAsia" w:ascii="仿宋_GB2312" w:hAnsi="宋体" w:cs="宋体"/>
          <w:color w:val="auto"/>
          <w:highlight w:val="none"/>
        </w:rPr>
        <w:t>保函格式和文本可</w:t>
      </w:r>
      <w:r>
        <w:rPr>
          <w:rFonts w:ascii="仿宋_GB2312" w:hAnsi="宋体" w:cs="宋体"/>
          <w:color w:val="auto"/>
          <w:highlight w:val="none"/>
        </w:rPr>
        <w:t>以自拟，</w:t>
      </w:r>
      <w:r>
        <w:rPr>
          <w:rFonts w:hint="eastAsia" w:ascii="仿宋_GB2312" w:hAnsi="宋体" w:cs="宋体"/>
          <w:color w:val="auto"/>
          <w:highlight w:val="none"/>
        </w:rPr>
        <w:t>但是必须包含以上条款所列全部内容</w:t>
      </w:r>
      <w:r>
        <w:rPr>
          <w:rFonts w:ascii="仿宋_GB2312" w:hAnsi="宋体" w:cs="宋体"/>
          <w:color w:val="auto"/>
          <w:highlight w:val="none"/>
        </w:rPr>
        <w:t>）</w:t>
      </w:r>
    </w:p>
    <w:p>
      <w:pPr>
        <w:jc w:val="left"/>
        <w:rPr>
          <w:rFonts w:hAnsi="宋体" w:cs="宋体"/>
          <w:color w:val="auto"/>
          <w:sz w:val="30"/>
          <w:szCs w:val="30"/>
          <w:highlight w:val="none"/>
        </w:rPr>
      </w:pPr>
      <w:r>
        <w:rPr>
          <w:rFonts w:hAnsi="宋体" w:cs="宋体"/>
          <w:color w:val="auto"/>
          <w:sz w:val="30"/>
          <w:szCs w:val="30"/>
          <w:highlight w:val="none"/>
        </w:rPr>
        <w:br w:type="page"/>
      </w:r>
      <w:r>
        <w:rPr>
          <w:rFonts w:eastAsia="仿宋_GB2312"/>
          <w:color w:val="auto"/>
          <w:sz w:val="30"/>
          <w:szCs w:val="30"/>
          <w:highlight w:val="none"/>
        </w:rPr>
        <w:t xml:space="preserve"> </w:t>
      </w:r>
      <w:bookmarkStart w:id="1520" w:name="_Toc358569763"/>
      <w:r>
        <w:rPr>
          <w:rFonts w:hint="eastAsia" w:hAnsi="宋体" w:cs="宋体"/>
          <w:color w:val="auto"/>
          <w:sz w:val="30"/>
          <w:szCs w:val="30"/>
          <w:highlight w:val="none"/>
        </w:rPr>
        <w:t>附件10：</w:t>
      </w:r>
    </w:p>
    <w:p>
      <w:pPr>
        <w:jc w:val="center"/>
        <w:rPr>
          <w:b/>
          <w:color w:val="auto"/>
          <w:sz w:val="36"/>
          <w:szCs w:val="36"/>
          <w:highlight w:val="none"/>
        </w:rPr>
      </w:pPr>
      <w:r>
        <w:rPr>
          <w:rFonts w:hint="eastAsia"/>
          <w:b/>
          <w:color w:val="auto"/>
          <w:sz w:val="36"/>
          <w:szCs w:val="36"/>
          <w:highlight w:val="none"/>
        </w:rPr>
        <w:t>预付款支付申请（核准）表</w:t>
      </w:r>
    </w:p>
    <w:p>
      <w:pPr>
        <w:rPr>
          <w:color w:val="auto"/>
          <w:sz w:val="24"/>
          <w:szCs w:val="24"/>
          <w:highlight w:val="none"/>
        </w:rPr>
      </w:pPr>
      <w:r>
        <w:rPr>
          <w:rFonts w:hint="eastAsia"/>
          <w:color w:val="auto"/>
          <w:sz w:val="24"/>
          <w:szCs w:val="24"/>
          <w:highlight w:val="none"/>
        </w:rPr>
        <w:t>工程名称：                                             编号：</w:t>
      </w:r>
    </w:p>
    <w:tbl>
      <w:tblPr>
        <w:tblStyle w:val="42"/>
        <w:tblW w:w="918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8"/>
        <w:gridCol w:w="4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248" w:hRule="atLeast"/>
          <w:jc w:val="center"/>
        </w:trPr>
        <w:tc>
          <w:tcPr>
            <w:tcW w:w="9185" w:type="dxa"/>
            <w:gridSpan w:val="2"/>
            <w:shd w:val="clear" w:color="auto" w:fill="auto"/>
          </w:tcPr>
          <w:p>
            <w:pPr>
              <w:spacing w:line="480" w:lineRule="exact"/>
              <w:ind w:left="525" w:leftChars="149" w:hanging="212" w:hangingChars="101"/>
              <w:rPr>
                <w:color w:val="auto"/>
                <w:highlight w:val="none"/>
                <w:u w:val="single"/>
              </w:rPr>
            </w:pPr>
            <w:r>
              <w:rPr>
                <w:rFonts w:hint="eastAsia"/>
                <w:color w:val="auto"/>
                <w:highlight w:val="none"/>
              </w:rPr>
              <w:t>致：</w:t>
            </w:r>
            <w:r>
              <w:rPr>
                <w:rFonts w:hint="eastAsia"/>
                <w:color w:val="auto"/>
                <w:highlight w:val="none"/>
                <w:u w:val="single"/>
              </w:rPr>
              <w:t xml:space="preserve">                                   （发包人全称）</w:t>
            </w:r>
          </w:p>
          <w:p>
            <w:pPr>
              <w:spacing w:line="400" w:lineRule="exact"/>
              <w:ind w:left="-4" w:leftChars="-2" w:firstLine="315" w:firstLineChars="150"/>
              <w:rPr>
                <w:color w:val="auto"/>
                <w:highlight w:val="none"/>
              </w:rPr>
            </w:pPr>
            <w:r>
              <w:rPr>
                <w:rFonts w:hint="eastAsia"/>
                <w:color w:val="auto"/>
                <w:highlight w:val="none"/>
              </w:rPr>
              <w:t>我方根据施工合同的约定，现申请支付工程预付款额为(大写)</w:t>
            </w:r>
            <w:r>
              <w:rPr>
                <w:rFonts w:hint="eastAsia"/>
                <w:color w:val="auto"/>
                <w:highlight w:val="none"/>
                <w:u w:val="single"/>
              </w:rPr>
              <w:t xml:space="preserve">            </w:t>
            </w:r>
            <w:r>
              <w:rPr>
                <w:rFonts w:hint="eastAsia"/>
                <w:color w:val="auto"/>
                <w:highlight w:val="none"/>
              </w:rPr>
              <w:t>元，(小写)</w:t>
            </w:r>
          </w:p>
          <w:p>
            <w:pPr>
              <w:spacing w:line="400" w:lineRule="exact"/>
              <w:rPr>
                <w:color w:val="auto"/>
                <w:highlight w:val="none"/>
              </w:rPr>
            </w:pPr>
            <w:r>
              <w:rPr>
                <w:rFonts w:hint="eastAsia"/>
                <w:color w:val="auto"/>
                <w:highlight w:val="none"/>
                <w:u w:val="single"/>
              </w:rPr>
              <w:t xml:space="preserve">         </w:t>
            </w:r>
            <w:r>
              <w:rPr>
                <w:rFonts w:hint="eastAsia"/>
                <w:color w:val="auto"/>
                <w:highlight w:val="none"/>
              </w:rPr>
              <w:t>元，请予核准。</w:t>
            </w:r>
          </w:p>
          <w:tbl>
            <w:tblPr>
              <w:tblStyle w:val="42"/>
              <w:tblpPr w:leftFromText="180" w:rightFromText="180" w:vertAnchor="page" w:horzAnchor="margin" w:tblpY="1309"/>
              <w:tblOverlap w:val="never"/>
              <w:tblW w:w="8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340"/>
              <w:gridCol w:w="1764"/>
              <w:gridCol w:w="224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trPr>
              <w:tc>
                <w:tcPr>
                  <w:tcW w:w="535" w:type="dxa"/>
                  <w:shd w:val="clear" w:color="auto" w:fill="auto"/>
                  <w:vAlign w:val="center"/>
                </w:tcPr>
                <w:p>
                  <w:pPr>
                    <w:spacing w:line="280" w:lineRule="exact"/>
                    <w:jc w:val="center"/>
                    <w:rPr>
                      <w:color w:val="auto"/>
                      <w:highlight w:val="none"/>
                    </w:rPr>
                  </w:pPr>
                  <w:r>
                    <w:rPr>
                      <w:rFonts w:hint="eastAsia"/>
                      <w:color w:val="auto"/>
                      <w:highlight w:val="none"/>
                    </w:rPr>
                    <w:t>序号</w:t>
                  </w:r>
                </w:p>
              </w:tc>
              <w:tc>
                <w:tcPr>
                  <w:tcW w:w="3340" w:type="dxa"/>
                  <w:shd w:val="clear" w:color="auto" w:fill="auto"/>
                  <w:vAlign w:val="center"/>
                </w:tcPr>
                <w:p>
                  <w:pPr>
                    <w:spacing w:line="280" w:lineRule="exact"/>
                    <w:jc w:val="center"/>
                    <w:rPr>
                      <w:color w:val="auto"/>
                      <w:highlight w:val="none"/>
                    </w:rPr>
                  </w:pPr>
                  <w:r>
                    <w:rPr>
                      <w:rFonts w:hint="eastAsia"/>
                      <w:color w:val="auto"/>
                      <w:highlight w:val="none"/>
                    </w:rPr>
                    <w:t>名      称</w:t>
                  </w:r>
                </w:p>
              </w:tc>
              <w:tc>
                <w:tcPr>
                  <w:tcW w:w="1764" w:type="dxa"/>
                  <w:shd w:val="clear" w:color="auto" w:fill="auto"/>
                  <w:vAlign w:val="center"/>
                </w:tcPr>
                <w:p>
                  <w:pPr>
                    <w:spacing w:line="280" w:lineRule="exact"/>
                    <w:jc w:val="center"/>
                    <w:rPr>
                      <w:color w:val="auto"/>
                      <w:highlight w:val="none"/>
                    </w:rPr>
                  </w:pPr>
                  <w:r>
                    <w:rPr>
                      <w:rFonts w:hint="eastAsia"/>
                      <w:color w:val="auto"/>
                      <w:highlight w:val="none"/>
                    </w:rPr>
                    <w:t>申请金额（元）</w:t>
                  </w:r>
                </w:p>
              </w:tc>
              <w:tc>
                <w:tcPr>
                  <w:tcW w:w="2240" w:type="dxa"/>
                  <w:shd w:val="clear" w:color="auto" w:fill="auto"/>
                  <w:vAlign w:val="center"/>
                </w:tcPr>
                <w:p>
                  <w:pPr>
                    <w:spacing w:line="280" w:lineRule="exact"/>
                    <w:jc w:val="center"/>
                    <w:rPr>
                      <w:color w:val="auto"/>
                      <w:highlight w:val="none"/>
                    </w:rPr>
                  </w:pPr>
                  <w:r>
                    <w:rPr>
                      <w:rFonts w:hint="eastAsia"/>
                      <w:color w:val="auto"/>
                      <w:highlight w:val="none"/>
                    </w:rPr>
                    <w:t>复核金额（元）</w:t>
                  </w:r>
                </w:p>
              </w:tc>
              <w:tc>
                <w:tcPr>
                  <w:tcW w:w="1080" w:type="dxa"/>
                  <w:shd w:val="clear" w:color="auto" w:fill="auto"/>
                  <w:vAlign w:val="center"/>
                </w:tcPr>
                <w:p>
                  <w:pPr>
                    <w:spacing w:line="280" w:lineRule="exact"/>
                    <w:jc w:val="center"/>
                    <w:rPr>
                      <w:color w:val="auto"/>
                      <w:highlight w:val="none"/>
                    </w:rPr>
                  </w:pPr>
                  <w:r>
                    <w:rPr>
                      <w:rFonts w:hint="eastAsia"/>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shd w:val="clear" w:color="auto" w:fill="auto"/>
                </w:tcPr>
                <w:p>
                  <w:pPr>
                    <w:spacing w:line="280" w:lineRule="exact"/>
                    <w:jc w:val="center"/>
                    <w:rPr>
                      <w:color w:val="auto"/>
                      <w:highlight w:val="none"/>
                    </w:rPr>
                  </w:pPr>
                  <w:r>
                    <w:rPr>
                      <w:rFonts w:hint="eastAsia"/>
                      <w:color w:val="auto"/>
                      <w:highlight w:val="none"/>
                    </w:rPr>
                    <w:t>1</w:t>
                  </w:r>
                </w:p>
              </w:tc>
              <w:tc>
                <w:tcPr>
                  <w:tcW w:w="3340" w:type="dxa"/>
                  <w:shd w:val="clear" w:color="auto" w:fill="auto"/>
                </w:tcPr>
                <w:p>
                  <w:pPr>
                    <w:spacing w:line="280" w:lineRule="exact"/>
                    <w:rPr>
                      <w:color w:val="auto"/>
                      <w:highlight w:val="none"/>
                    </w:rPr>
                  </w:pPr>
                  <w:r>
                    <w:rPr>
                      <w:rFonts w:hint="eastAsia"/>
                      <w:color w:val="auto"/>
                      <w:highlight w:val="none"/>
                    </w:rPr>
                    <w:t>已签约合同价款金额</w:t>
                  </w:r>
                </w:p>
              </w:tc>
              <w:tc>
                <w:tcPr>
                  <w:tcW w:w="1764" w:type="dxa"/>
                  <w:shd w:val="clear" w:color="auto" w:fill="auto"/>
                </w:tcPr>
                <w:p>
                  <w:pPr>
                    <w:spacing w:line="280" w:lineRule="exact"/>
                    <w:rPr>
                      <w:color w:val="auto"/>
                      <w:highlight w:val="none"/>
                    </w:rPr>
                  </w:pPr>
                </w:p>
              </w:tc>
              <w:tc>
                <w:tcPr>
                  <w:tcW w:w="2240" w:type="dxa"/>
                  <w:shd w:val="clear" w:color="auto" w:fill="auto"/>
                </w:tcPr>
                <w:p>
                  <w:pPr>
                    <w:spacing w:line="280" w:lineRule="exact"/>
                    <w:rPr>
                      <w:color w:val="auto"/>
                      <w:highlight w:val="none"/>
                    </w:rPr>
                  </w:pPr>
                </w:p>
              </w:tc>
              <w:tc>
                <w:tcPr>
                  <w:tcW w:w="1080" w:type="dxa"/>
                  <w:shd w:val="clear" w:color="auto" w:fill="auto"/>
                </w:tcPr>
                <w:p>
                  <w:pPr>
                    <w:spacing w:line="2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shd w:val="clear" w:color="auto" w:fill="auto"/>
                </w:tcPr>
                <w:p>
                  <w:pPr>
                    <w:spacing w:line="280" w:lineRule="exact"/>
                    <w:jc w:val="center"/>
                    <w:rPr>
                      <w:color w:val="auto"/>
                      <w:highlight w:val="none"/>
                    </w:rPr>
                  </w:pPr>
                  <w:r>
                    <w:rPr>
                      <w:rFonts w:hint="eastAsia"/>
                      <w:color w:val="auto"/>
                      <w:highlight w:val="none"/>
                    </w:rPr>
                    <w:t>2</w:t>
                  </w:r>
                </w:p>
              </w:tc>
              <w:tc>
                <w:tcPr>
                  <w:tcW w:w="3340" w:type="dxa"/>
                  <w:shd w:val="clear" w:color="auto" w:fill="auto"/>
                </w:tcPr>
                <w:p>
                  <w:pPr>
                    <w:spacing w:line="280" w:lineRule="exact"/>
                    <w:rPr>
                      <w:color w:val="auto"/>
                      <w:highlight w:val="none"/>
                    </w:rPr>
                  </w:pPr>
                  <w:r>
                    <w:rPr>
                      <w:rFonts w:hint="eastAsia"/>
                      <w:color w:val="auto"/>
                      <w:highlight w:val="none"/>
                    </w:rPr>
                    <w:t>其中：安全文明施工费</w:t>
                  </w:r>
                </w:p>
              </w:tc>
              <w:tc>
                <w:tcPr>
                  <w:tcW w:w="1764" w:type="dxa"/>
                  <w:shd w:val="clear" w:color="auto" w:fill="auto"/>
                </w:tcPr>
                <w:p>
                  <w:pPr>
                    <w:spacing w:line="280" w:lineRule="exact"/>
                    <w:rPr>
                      <w:color w:val="auto"/>
                      <w:highlight w:val="none"/>
                    </w:rPr>
                  </w:pPr>
                </w:p>
              </w:tc>
              <w:tc>
                <w:tcPr>
                  <w:tcW w:w="2240" w:type="dxa"/>
                  <w:shd w:val="clear" w:color="auto" w:fill="auto"/>
                </w:tcPr>
                <w:p>
                  <w:pPr>
                    <w:spacing w:line="280" w:lineRule="exact"/>
                    <w:rPr>
                      <w:color w:val="auto"/>
                      <w:highlight w:val="none"/>
                    </w:rPr>
                  </w:pPr>
                </w:p>
              </w:tc>
              <w:tc>
                <w:tcPr>
                  <w:tcW w:w="1080" w:type="dxa"/>
                  <w:shd w:val="clear" w:color="auto" w:fill="auto"/>
                </w:tcPr>
                <w:p>
                  <w:pPr>
                    <w:spacing w:line="2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shd w:val="clear" w:color="auto" w:fill="auto"/>
                </w:tcPr>
                <w:p>
                  <w:pPr>
                    <w:spacing w:line="280" w:lineRule="exact"/>
                    <w:jc w:val="center"/>
                    <w:rPr>
                      <w:color w:val="auto"/>
                      <w:highlight w:val="none"/>
                    </w:rPr>
                  </w:pPr>
                  <w:r>
                    <w:rPr>
                      <w:rFonts w:hint="eastAsia"/>
                      <w:color w:val="auto"/>
                      <w:highlight w:val="none"/>
                    </w:rPr>
                    <w:t>3</w:t>
                  </w:r>
                </w:p>
              </w:tc>
              <w:tc>
                <w:tcPr>
                  <w:tcW w:w="3340" w:type="dxa"/>
                  <w:shd w:val="clear" w:color="auto" w:fill="auto"/>
                </w:tcPr>
                <w:p>
                  <w:pPr>
                    <w:spacing w:line="280" w:lineRule="exact"/>
                    <w:rPr>
                      <w:color w:val="auto"/>
                      <w:highlight w:val="none"/>
                    </w:rPr>
                  </w:pPr>
                  <w:r>
                    <w:rPr>
                      <w:rFonts w:hint="eastAsia"/>
                      <w:color w:val="auto"/>
                      <w:highlight w:val="none"/>
                    </w:rPr>
                    <w:t>应支付的预付款</w:t>
                  </w:r>
                </w:p>
              </w:tc>
              <w:tc>
                <w:tcPr>
                  <w:tcW w:w="1764" w:type="dxa"/>
                  <w:shd w:val="clear" w:color="auto" w:fill="auto"/>
                </w:tcPr>
                <w:p>
                  <w:pPr>
                    <w:spacing w:line="280" w:lineRule="exact"/>
                    <w:rPr>
                      <w:color w:val="auto"/>
                      <w:highlight w:val="none"/>
                    </w:rPr>
                  </w:pPr>
                </w:p>
              </w:tc>
              <w:tc>
                <w:tcPr>
                  <w:tcW w:w="2240" w:type="dxa"/>
                  <w:shd w:val="clear" w:color="auto" w:fill="auto"/>
                </w:tcPr>
                <w:p>
                  <w:pPr>
                    <w:spacing w:line="280" w:lineRule="exact"/>
                    <w:rPr>
                      <w:color w:val="auto"/>
                      <w:highlight w:val="none"/>
                    </w:rPr>
                  </w:pPr>
                </w:p>
              </w:tc>
              <w:tc>
                <w:tcPr>
                  <w:tcW w:w="1080" w:type="dxa"/>
                  <w:shd w:val="clear" w:color="auto" w:fill="auto"/>
                </w:tcPr>
                <w:p>
                  <w:pPr>
                    <w:spacing w:line="2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shd w:val="clear" w:color="auto" w:fill="auto"/>
                </w:tcPr>
                <w:p>
                  <w:pPr>
                    <w:spacing w:line="280" w:lineRule="exact"/>
                    <w:jc w:val="center"/>
                    <w:rPr>
                      <w:color w:val="auto"/>
                      <w:highlight w:val="none"/>
                    </w:rPr>
                  </w:pPr>
                  <w:r>
                    <w:rPr>
                      <w:rFonts w:hint="eastAsia"/>
                      <w:color w:val="auto"/>
                      <w:highlight w:val="none"/>
                    </w:rPr>
                    <w:t>4</w:t>
                  </w:r>
                </w:p>
              </w:tc>
              <w:tc>
                <w:tcPr>
                  <w:tcW w:w="3340" w:type="dxa"/>
                  <w:shd w:val="clear" w:color="auto" w:fill="auto"/>
                </w:tcPr>
                <w:p>
                  <w:pPr>
                    <w:spacing w:line="280" w:lineRule="exact"/>
                    <w:rPr>
                      <w:color w:val="auto"/>
                      <w:highlight w:val="none"/>
                    </w:rPr>
                  </w:pPr>
                  <w:r>
                    <w:rPr>
                      <w:rFonts w:hint="eastAsia"/>
                      <w:color w:val="auto"/>
                      <w:highlight w:val="none"/>
                    </w:rPr>
                    <w:t>应支付的安全文明施工费预付款</w:t>
                  </w:r>
                </w:p>
              </w:tc>
              <w:tc>
                <w:tcPr>
                  <w:tcW w:w="1764" w:type="dxa"/>
                  <w:shd w:val="clear" w:color="auto" w:fill="auto"/>
                </w:tcPr>
                <w:p>
                  <w:pPr>
                    <w:spacing w:line="280" w:lineRule="exact"/>
                    <w:rPr>
                      <w:color w:val="auto"/>
                      <w:highlight w:val="none"/>
                    </w:rPr>
                  </w:pPr>
                </w:p>
              </w:tc>
              <w:tc>
                <w:tcPr>
                  <w:tcW w:w="2240" w:type="dxa"/>
                  <w:shd w:val="clear" w:color="auto" w:fill="auto"/>
                </w:tcPr>
                <w:p>
                  <w:pPr>
                    <w:spacing w:line="280" w:lineRule="exact"/>
                    <w:rPr>
                      <w:color w:val="auto"/>
                      <w:highlight w:val="none"/>
                    </w:rPr>
                  </w:pPr>
                </w:p>
              </w:tc>
              <w:tc>
                <w:tcPr>
                  <w:tcW w:w="1080" w:type="dxa"/>
                  <w:shd w:val="clear" w:color="auto" w:fill="auto"/>
                </w:tcPr>
                <w:p>
                  <w:pPr>
                    <w:spacing w:line="2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shd w:val="clear" w:color="auto" w:fill="auto"/>
                </w:tcPr>
                <w:p>
                  <w:pPr>
                    <w:spacing w:line="280" w:lineRule="exact"/>
                    <w:jc w:val="center"/>
                    <w:rPr>
                      <w:color w:val="auto"/>
                      <w:highlight w:val="none"/>
                    </w:rPr>
                  </w:pPr>
                  <w:r>
                    <w:rPr>
                      <w:rFonts w:hint="eastAsia"/>
                      <w:color w:val="auto"/>
                      <w:highlight w:val="none"/>
                    </w:rPr>
                    <w:t>5</w:t>
                  </w:r>
                </w:p>
              </w:tc>
              <w:tc>
                <w:tcPr>
                  <w:tcW w:w="3340" w:type="dxa"/>
                  <w:shd w:val="clear" w:color="auto" w:fill="auto"/>
                </w:tcPr>
                <w:p>
                  <w:pPr>
                    <w:spacing w:line="280" w:lineRule="exact"/>
                    <w:rPr>
                      <w:color w:val="auto"/>
                      <w:highlight w:val="none"/>
                    </w:rPr>
                  </w:pPr>
                  <w:r>
                    <w:rPr>
                      <w:rFonts w:hint="eastAsia"/>
                      <w:color w:val="auto"/>
                      <w:highlight w:val="none"/>
                    </w:rPr>
                    <w:t>合计应支付的预付款</w:t>
                  </w:r>
                </w:p>
              </w:tc>
              <w:tc>
                <w:tcPr>
                  <w:tcW w:w="1764" w:type="dxa"/>
                  <w:shd w:val="clear" w:color="auto" w:fill="auto"/>
                </w:tcPr>
                <w:p>
                  <w:pPr>
                    <w:spacing w:line="280" w:lineRule="exact"/>
                    <w:rPr>
                      <w:color w:val="auto"/>
                      <w:highlight w:val="none"/>
                    </w:rPr>
                  </w:pPr>
                </w:p>
              </w:tc>
              <w:tc>
                <w:tcPr>
                  <w:tcW w:w="2240" w:type="dxa"/>
                  <w:shd w:val="clear" w:color="auto" w:fill="auto"/>
                </w:tcPr>
                <w:p>
                  <w:pPr>
                    <w:spacing w:line="280" w:lineRule="exact"/>
                    <w:rPr>
                      <w:color w:val="auto"/>
                      <w:highlight w:val="none"/>
                    </w:rPr>
                  </w:pPr>
                </w:p>
              </w:tc>
              <w:tc>
                <w:tcPr>
                  <w:tcW w:w="1080" w:type="dxa"/>
                  <w:shd w:val="clear" w:color="auto" w:fill="auto"/>
                </w:tcPr>
                <w:p>
                  <w:pPr>
                    <w:spacing w:line="2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shd w:val="clear" w:color="auto" w:fill="auto"/>
                </w:tcPr>
                <w:p>
                  <w:pPr>
                    <w:spacing w:line="280" w:lineRule="exact"/>
                    <w:jc w:val="center"/>
                    <w:rPr>
                      <w:color w:val="auto"/>
                      <w:highlight w:val="none"/>
                    </w:rPr>
                  </w:pPr>
                </w:p>
              </w:tc>
              <w:tc>
                <w:tcPr>
                  <w:tcW w:w="3340" w:type="dxa"/>
                  <w:shd w:val="clear" w:color="auto" w:fill="auto"/>
                </w:tcPr>
                <w:p>
                  <w:pPr>
                    <w:spacing w:line="280" w:lineRule="exact"/>
                    <w:rPr>
                      <w:color w:val="auto"/>
                      <w:highlight w:val="none"/>
                    </w:rPr>
                  </w:pPr>
                </w:p>
              </w:tc>
              <w:tc>
                <w:tcPr>
                  <w:tcW w:w="1764" w:type="dxa"/>
                  <w:shd w:val="clear" w:color="auto" w:fill="auto"/>
                </w:tcPr>
                <w:p>
                  <w:pPr>
                    <w:spacing w:line="280" w:lineRule="exact"/>
                    <w:rPr>
                      <w:color w:val="auto"/>
                      <w:highlight w:val="none"/>
                    </w:rPr>
                  </w:pPr>
                </w:p>
              </w:tc>
              <w:tc>
                <w:tcPr>
                  <w:tcW w:w="2240" w:type="dxa"/>
                  <w:shd w:val="clear" w:color="auto" w:fill="auto"/>
                </w:tcPr>
                <w:p>
                  <w:pPr>
                    <w:spacing w:line="280" w:lineRule="exact"/>
                    <w:rPr>
                      <w:color w:val="auto"/>
                      <w:highlight w:val="none"/>
                    </w:rPr>
                  </w:pPr>
                </w:p>
              </w:tc>
              <w:tc>
                <w:tcPr>
                  <w:tcW w:w="1080" w:type="dxa"/>
                  <w:shd w:val="clear" w:color="auto" w:fill="auto"/>
                </w:tcPr>
                <w:p>
                  <w:pPr>
                    <w:spacing w:line="280" w:lineRule="exact"/>
                    <w:rPr>
                      <w:color w:val="auto"/>
                      <w:highlight w:val="none"/>
                    </w:rPr>
                  </w:pPr>
                </w:p>
              </w:tc>
            </w:tr>
          </w:tbl>
          <w:p>
            <w:pPr>
              <w:wordWrap w:val="0"/>
              <w:spacing w:line="400" w:lineRule="exact"/>
              <w:ind w:right="420"/>
              <w:rPr>
                <w:color w:val="auto"/>
                <w:highlight w:val="none"/>
              </w:rPr>
            </w:pPr>
          </w:p>
          <w:p>
            <w:pPr>
              <w:wordWrap w:val="0"/>
              <w:spacing w:line="400" w:lineRule="exact"/>
              <w:ind w:right="420"/>
              <w:rPr>
                <w:color w:val="auto"/>
                <w:highlight w:val="none"/>
              </w:rPr>
            </w:pPr>
            <w:r>
              <w:rPr>
                <w:rFonts w:hint="eastAsia"/>
                <w:color w:val="auto"/>
                <w:highlight w:val="none"/>
              </w:rPr>
              <w:t xml:space="preserve">                                            承包人（章）             </w:t>
            </w:r>
          </w:p>
          <w:p>
            <w:pPr>
              <w:spacing w:line="400" w:lineRule="exact"/>
              <w:ind w:right="420" w:firstLine="435"/>
              <w:rPr>
                <w:color w:val="auto"/>
                <w:highlight w:val="none"/>
              </w:rPr>
            </w:pPr>
            <w:r>
              <w:rPr>
                <w:rFonts w:hint="eastAsia"/>
                <w:color w:val="auto"/>
                <w:highlight w:val="none"/>
              </w:rPr>
              <w:t>造价人员</w:t>
            </w:r>
            <w:r>
              <w:rPr>
                <w:rFonts w:hint="eastAsia"/>
                <w:color w:val="auto"/>
                <w:highlight w:val="none"/>
                <w:u w:val="single"/>
              </w:rPr>
              <w:t xml:space="preserve">               </w:t>
            </w:r>
            <w:r>
              <w:rPr>
                <w:rFonts w:hint="eastAsia"/>
                <w:color w:val="auto"/>
                <w:highlight w:val="none"/>
              </w:rPr>
              <w:t>承包人代表</w:t>
            </w:r>
            <w:r>
              <w:rPr>
                <w:rFonts w:hint="eastAsia"/>
                <w:color w:val="auto"/>
                <w:highlight w:val="none"/>
                <w:u w:val="single"/>
              </w:rPr>
              <w:t xml:space="preserve">               </w:t>
            </w:r>
            <w:r>
              <w:rPr>
                <w:rFonts w:hint="eastAsia"/>
                <w:color w:val="auto"/>
                <w:highlight w:val="none"/>
              </w:rPr>
              <w:t>日      期</w:t>
            </w:r>
            <w:r>
              <w:rPr>
                <w:rFonts w:hint="eastAsia"/>
                <w:color w:val="auto"/>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2" w:hRule="atLeast"/>
          <w:jc w:val="center"/>
        </w:trPr>
        <w:tc>
          <w:tcPr>
            <w:tcW w:w="4488" w:type="dxa"/>
            <w:shd w:val="clear" w:color="auto" w:fill="auto"/>
          </w:tcPr>
          <w:p>
            <w:pPr>
              <w:spacing w:line="360" w:lineRule="exact"/>
              <w:rPr>
                <w:color w:val="auto"/>
                <w:highlight w:val="none"/>
              </w:rPr>
            </w:pPr>
            <w:r>
              <w:rPr>
                <w:rFonts w:hint="eastAsia"/>
                <w:color w:val="auto"/>
                <w:highlight w:val="none"/>
              </w:rPr>
              <w:t>复核意见：</w:t>
            </w:r>
          </w:p>
          <w:p>
            <w:pPr>
              <w:spacing w:line="360" w:lineRule="exact"/>
              <w:ind w:firstLine="312"/>
              <w:rPr>
                <w:color w:val="auto"/>
                <w:highlight w:val="none"/>
              </w:rPr>
            </w:pPr>
            <w:r>
              <w:rPr>
                <w:rFonts w:hint="eastAsia"/>
                <w:color w:val="auto"/>
                <w:highlight w:val="none"/>
              </w:rPr>
              <w:t>□与合同约定不相符，修改意见见附件。</w:t>
            </w:r>
          </w:p>
          <w:p>
            <w:pPr>
              <w:spacing w:line="360" w:lineRule="exact"/>
              <w:ind w:firstLine="312"/>
              <w:rPr>
                <w:color w:val="auto"/>
                <w:highlight w:val="none"/>
              </w:rPr>
            </w:pPr>
            <w:r>
              <w:rPr>
                <w:rFonts w:hint="eastAsia"/>
                <w:color w:val="auto"/>
                <w:highlight w:val="none"/>
              </w:rPr>
              <w:t>□与合同约定相符，具体金额由造价工程师复核。</w:t>
            </w:r>
          </w:p>
          <w:p>
            <w:pPr>
              <w:spacing w:line="360" w:lineRule="exact"/>
              <w:ind w:firstLine="435"/>
              <w:jc w:val="right"/>
              <w:rPr>
                <w:color w:val="auto"/>
                <w:highlight w:val="none"/>
              </w:rPr>
            </w:pPr>
          </w:p>
          <w:p>
            <w:pPr>
              <w:spacing w:line="360" w:lineRule="exact"/>
              <w:ind w:firstLine="435"/>
              <w:jc w:val="center"/>
              <w:rPr>
                <w:color w:val="auto"/>
                <w:highlight w:val="none"/>
                <w:u w:val="single"/>
              </w:rPr>
            </w:pPr>
            <w:r>
              <w:rPr>
                <w:color w:val="auto"/>
                <w:highlight w:val="none"/>
              </w:rPr>
              <w:t xml:space="preserve">    </w:t>
            </w:r>
            <w:r>
              <w:rPr>
                <w:rFonts w:hint="eastAsia"/>
                <w:color w:val="auto"/>
                <w:highlight w:val="none"/>
              </w:rPr>
              <w:t xml:space="preserve">     监理工程师</w:t>
            </w:r>
            <w:r>
              <w:rPr>
                <w:rFonts w:hint="eastAsia"/>
                <w:color w:val="auto"/>
                <w:highlight w:val="none"/>
                <w:u w:val="single"/>
              </w:rPr>
              <w:t xml:space="preserve">           </w:t>
            </w:r>
          </w:p>
          <w:p>
            <w:pPr>
              <w:spacing w:line="360" w:lineRule="exact"/>
              <w:ind w:firstLine="435"/>
              <w:jc w:val="center"/>
              <w:rPr>
                <w:color w:val="auto"/>
                <w:highlight w:val="none"/>
                <w:u w:val="single"/>
              </w:rPr>
            </w:pPr>
            <w:r>
              <w:rPr>
                <w:color w:val="auto"/>
                <w:highlight w:val="none"/>
              </w:rPr>
              <w:t xml:space="preserve">    </w:t>
            </w:r>
            <w:r>
              <w:rPr>
                <w:rFonts w:hint="eastAsia"/>
                <w:color w:val="auto"/>
                <w:highlight w:val="none"/>
              </w:rPr>
              <w:t xml:space="preserve">    日      期</w:t>
            </w:r>
            <w:r>
              <w:rPr>
                <w:rFonts w:hint="eastAsia"/>
                <w:color w:val="auto"/>
                <w:highlight w:val="none"/>
                <w:u w:val="single"/>
              </w:rPr>
              <w:t xml:space="preserve">           </w:t>
            </w:r>
          </w:p>
        </w:tc>
        <w:tc>
          <w:tcPr>
            <w:tcW w:w="4697" w:type="dxa"/>
            <w:shd w:val="clear" w:color="auto" w:fill="auto"/>
          </w:tcPr>
          <w:p>
            <w:pPr>
              <w:spacing w:line="360" w:lineRule="exact"/>
              <w:rPr>
                <w:color w:val="auto"/>
                <w:highlight w:val="none"/>
              </w:rPr>
            </w:pPr>
            <w:r>
              <w:rPr>
                <w:rFonts w:hint="eastAsia"/>
                <w:color w:val="auto"/>
                <w:highlight w:val="none"/>
              </w:rPr>
              <w:t>复核意见：</w:t>
            </w:r>
          </w:p>
          <w:p>
            <w:pPr>
              <w:spacing w:line="360" w:lineRule="exact"/>
              <w:ind w:firstLine="435"/>
              <w:rPr>
                <w:color w:val="auto"/>
                <w:highlight w:val="none"/>
              </w:rPr>
            </w:pPr>
            <w:r>
              <w:rPr>
                <w:rFonts w:hint="eastAsia"/>
                <w:color w:val="auto"/>
                <w:highlight w:val="none"/>
              </w:rPr>
              <w:t>你方提出的支付申请经复核，应支付预付款金额为(大写)</w:t>
            </w:r>
            <w:r>
              <w:rPr>
                <w:rFonts w:hint="eastAsia"/>
                <w:color w:val="auto"/>
                <w:highlight w:val="none"/>
                <w:u w:val="single"/>
              </w:rPr>
              <w:t xml:space="preserve">                </w:t>
            </w:r>
            <w:r>
              <w:rPr>
                <w:rFonts w:hint="eastAsia"/>
                <w:color w:val="auto"/>
                <w:highlight w:val="none"/>
              </w:rPr>
              <w:t>元，（小写）</w:t>
            </w:r>
          </w:p>
          <w:p>
            <w:pPr>
              <w:spacing w:line="360" w:lineRule="exact"/>
              <w:rPr>
                <w:color w:val="auto"/>
                <w:highlight w:val="none"/>
              </w:rPr>
            </w:pPr>
            <w:r>
              <w:rPr>
                <w:rFonts w:hint="eastAsia"/>
                <w:color w:val="auto"/>
                <w:highlight w:val="none"/>
                <w:u w:val="single"/>
              </w:rPr>
              <w:t xml:space="preserve">          </w:t>
            </w:r>
            <w:r>
              <w:rPr>
                <w:rFonts w:hint="eastAsia"/>
                <w:color w:val="auto"/>
                <w:highlight w:val="none"/>
              </w:rPr>
              <w:t xml:space="preserve"> 元。</w:t>
            </w:r>
          </w:p>
          <w:p>
            <w:pPr>
              <w:spacing w:line="360" w:lineRule="exact"/>
              <w:rPr>
                <w:color w:val="auto"/>
                <w:highlight w:val="none"/>
                <w:u w:val="single"/>
              </w:rPr>
            </w:pPr>
          </w:p>
          <w:p>
            <w:pPr>
              <w:spacing w:line="360" w:lineRule="exact"/>
              <w:ind w:firstLine="435"/>
              <w:jc w:val="center"/>
              <w:rPr>
                <w:color w:val="auto"/>
                <w:highlight w:val="none"/>
                <w:u w:val="single"/>
              </w:rPr>
            </w:pPr>
            <w:r>
              <w:rPr>
                <w:color w:val="auto"/>
                <w:highlight w:val="none"/>
              </w:rPr>
              <w:t xml:space="preserve">    </w:t>
            </w:r>
            <w:r>
              <w:rPr>
                <w:rFonts w:hint="eastAsia"/>
                <w:color w:val="auto"/>
                <w:highlight w:val="none"/>
              </w:rPr>
              <w:t xml:space="preserve">    造价工程师</w:t>
            </w:r>
            <w:r>
              <w:rPr>
                <w:rFonts w:hint="eastAsia"/>
                <w:color w:val="auto"/>
                <w:highlight w:val="none"/>
                <w:u w:val="single"/>
              </w:rPr>
              <w:t xml:space="preserve">           </w:t>
            </w:r>
          </w:p>
          <w:p>
            <w:pPr>
              <w:spacing w:line="360" w:lineRule="exact"/>
              <w:ind w:firstLine="435"/>
              <w:jc w:val="center"/>
              <w:rPr>
                <w:color w:val="auto"/>
                <w:highlight w:val="none"/>
                <w:u w:val="single"/>
              </w:rPr>
            </w:pPr>
            <w:r>
              <w:rPr>
                <w:color w:val="auto"/>
                <w:highlight w:val="none"/>
              </w:rPr>
              <w:t xml:space="preserve">    </w:t>
            </w:r>
            <w:r>
              <w:rPr>
                <w:rFonts w:hint="eastAsia"/>
                <w:color w:val="auto"/>
                <w:highlight w:val="none"/>
              </w:rPr>
              <w:t xml:space="preserve">    日      期</w:t>
            </w:r>
            <w:r>
              <w:rPr>
                <w:rFonts w:hint="eastAsia"/>
                <w:color w:val="auto"/>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1" w:hRule="atLeast"/>
          <w:jc w:val="center"/>
        </w:trPr>
        <w:tc>
          <w:tcPr>
            <w:tcW w:w="9185" w:type="dxa"/>
            <w:gridSpan w:val="2"/>
            <w:shd w:val="clear" w:color="auto" w:fill="auto"/>
          </w:tcPr>
          <w:p>
            <w:pPr>
              <w:spacing w:line="400" w:lineRule="exact"/>
              <w:rPr>
                <w:color w:val="auto"/>
                <w:highlight w:val="none"/>
              </w:rPr>
            </w:pPr>
            <w:r>
              <w:rPr>
                <w:rFonts w:hint="eastAsia"/>
                <w:color w:val="auto"/>
                <w:highlight w:val="none"/>
              </w:rPr>
              <w:t>审核意见：</w:t>
            </w:r>
          </w:p>
          <w:p>
            <w:pPr>
              <w:spacing w:line="400" w:lineRule="exact"/>
              <w:ind w:firstLine="435"/>
              <w:rPr>
                <w:color w:val="auto"/>
                <w:highlight w:val="none"/>
              </w:rPr>
            </w:pPr>
            <w:r>
              <w:rPr>
                <w:rFonts w:hint="eastAsia"/>
                <w:color w:val="auto"/>
                <w:highlight w:val="none"/>
              </w:rPr>
              <w:t>□不同意。</w:t>
            </w:r>
          </w:p>
          <w:p>
            <w:pPr>
              <w:spacing w:line="400" w:lineRule="exact"/>
              <w:ind w:firstLine="420" w:firstLineChars="200"/>
              <w:rPr>
                <w:color w:val="auto"/>
                <w:highlight w:val="none"/>
              </w:rPr>
            </w:pPr>
            <w:r>
              <w:rPr>
                <w:rFonts w:hint="eastAsia"/>
                <w:color w:val="auto"/>
                <w:highlight w:val="none"/>
              </w:rPr>
              <w:t>□同意，支付时间为本表签发后的</w:t>
            </w:r>
            <w:r>
              <w:rPr>
                <w:rFonts w:hint="eastAsia"/>
                <w:color w:val="auto"/>
                <w:highlight w:val="none"/>
                <w:u w:val="single"/>
              </w:rPr>
              <w:t xml:space="preserve"> </w:t>
            </w:r>
            <w:r>
              <w:rPr>
                <w:color w:val="auto"/>
                <w:highlight w:val="none"/>
                <w:u w:val="single"/>
              </w:rPr>
              <w:t xml:space="preserve">   </w:t>
            </w:r>
            <w:r>
              <w:rPr>
                <w:rFonts w:hint="eastAsia"/>
                <w:color w:val="auto"/>
                <w:highlight w:val="none"/>
              </w:rPr>
              <w:t>天内。</w:t>
            </w:r>
          </w:p>
          <w:p>
            <w:pPr>
              <w:wordWrap w:val="0"/>
              <w:spacing w:line="400" w:lineRule="exact"/>
              <w:ind w:firstLine="420" w:firstLineChars="200"/>
              <w:jc w:val="right"/>
              <w:rPr>
                <w:color w:val="auto"/>
                <w:highlight w:val="none"/>
              </w:rPr>
            </w:pPr>
            <w:r>
              <w:rPr>
                <w:rFonts w:hint="eastAsia"/>
                <w:color w:val="auto"/>
                <w:highlight w:val="none"/>
              </w:rPr>
              <w:t xml:space="preserve">发包人（章）           </w:t>
            </w:r>
          </w:p>
          <w:p>
            <w:pPr>
              <w:wordWrap w:val="0"/>
              <w:spacing w:line="400" w:lineRule="exact"/>
              <w:ind w:firstLine="420" w:firstLineChars="200"/>
              <w:jc w:val="right"/>
              <w:rPr>
                <w:color w:val="auto"/>
                <w:highlight w:val="none"/>
                <w:u w:val="single"/>
              </w:rPr>
            </w:pPr>
            <w:r>
              <w:rPr>
                <w:rFonts w:hint="eastAsia"/>
                <w:color w:val="auto"/>
                <w:highlight w:val="none"/>
              </w:rPr>
              <w:t>发包人代表</w:t>
            </w:r>
            <w:r>
              <w:rPr>
                <w:rFonts w:hint="eastAsia"/>
                <w:color w:val="auto"/>
                <w:highlight w:val="none"/>
                <w:u w:val="single"/>
              </w:rPr>
              <w:t xml:space="preserve">             </w:t>
            </w:r>
          </w:p>
          <w:p>
            <w:pPr>
              <w:wordWrap w:val="0"/>
              <w:spacing w:line="400" w:lineRule="exact"/>
              <w:ind w:firstLine="420" w:firstLineChars="200"/>
              <w:jc w:val="right"/>
              <w:rPr>
                <w:color w:val="auto"/>
                <w:highlight w:val="none"/>
                <w:u w:val="single"/>
              </w:rPr>
            </w:pPr>
            <w:r>
              <w:rPr>
                <w:rFonts w:hint="eastAsia"/>
                <w:color w:val="auto"/>
                <w:highlight w:val="none"/>
              </w:rPr>
              <w:t>日      期</w:t>
            </w:r>
            <w:r>
              <w:rPr>
                <w:rFonts w:hint="eastAsia"/>
                <w:color w:val="auto"/>
                <w:highlight w:val="none"/>
                <w:u w:val="single"/>
              </w:rPr>
              <w:t xml:space="preserve">             </w:t>
            </w:r>
          </w:p>
        </w:tc>
      </w:tr>
    </w:tbl>
    <w:p>
      <w:pPr>
        <w:spacing w:beforeLines="50"/>
        <w:ind w:firstLine="360" w:firstLineChars="200"/>
        <w:rPr>
          <w:color w:val="auto"/>
          <w:sz w:val="18"/>
          <w:szCs w:val="18"/>
          <w:highlight w:val="none"/>
        </w:rPr>
      </w:pPr>
      <w:r>
        <w:rPr>
          <w:rFonts w:hint="eastAsia"/>
          <w:color w:val="auto"/>
          <w:sz w:val="18"/>
          <w:szCs w:val="18"/>
          <w:highlight w:val="none"/>
        </w:rPr>
        <w:t xml:space="preserve">注：1.在选择栏中的“□”内作标识“√”。 </w:t>
      </w:r>
    </w:p>
    <w:p>
      <w:pPr>
        <w:spacing w:beforeLines="50"/>
        <w:ind w:left="720" w:hanging="720" w:hangingChars="400"/>
        <w:rPr>
          <w:rFonts w:eastAsia="仿宋_GB2312"/>
          <w:color w:val="auto"/>
          <w:sz w:val="30"/>
          <w:szCs w:val="30"/>
          <w:highlight w:val="none"/>
        </w:rPr>
      </w:pPr>
      <w:r>
        <w:rPr>
          <w:rFonts w:hint="eastAsia"/>
          <w:color w:val="auto"/>
          <w:sz w:val="18"/>
          <w:szCs w:val="18"/>
          <w:highlight w:val="none"/>
        </w:rPr>
        <w:t xml:space="preserve">    </w:t>
      </w:r>
      <w:r>
        <w:rPr>
          <w:color w:val="auto"/>
          <w:sz w:val="18"/>
          <w:szCs w:val="18"/>
          <w:highlight w:val="none"/>
        </w:rPr>
        <w:t xml:space="preserve">  </w:t>
      </w:r>
      <w:r>
        <w:rPr>
          <w:rFonts w:hint="eastAsia"/>
          <w:color w:val="auto"/>
          <w:sz w:val="18"/>
          <w:szCs w:val="18"/>
          <w:highlight w:val="none"/>
        </w:rPr>
        <w:t xml:space="preserve">  2.本表一式四份，由承包人填报，发包人、监理人、造价咨询人、承包人各存一份。</w:t>
      </w:r>
    </w:p>
    <w:p>
      <w:pPr>
        <w:spacing w:beforeLines="50"/>
        <w:ind w:left="1200" w:hanging="1200" w:hangingChars="400"/>
        <w:rPr>
          <w:rFonts w:eastAsia="仿宋_GB2312"/>
          <w:color w:val="auto"/>
          <w:sz w:val="30"/>
          <w:szCs w:val="30"/>
          <w:highlight w:val="none"/>
        </w:rPr>
      </w:pPr>
    </w:p>
    <w:p>
      <w:pPr>
        <w:spacing w:beforeLines="50"/>
        <w:ind w:left="1200" w:hanging="1200" w:hangingChars="400"/>
        <w:rPr>
          <w:rFonts w:eastAsia="仿宋_GB2312"/>
          <w:color w:val="auto"/>
          <w:sz w:val="30"/>
          <w:szCs w:val="30"/>
          <w:highlight w:val="none"/>
        </w:rPr>
      </w:pPr>
      <w:r>
        <w:rPr>
          <w:rFonts w:hint="eastAsia" w:eastAsia="仿宋_GB2312"/>
          <w:color w:val="auto"/>
          <w:sz w:val="30"/>
          <w:szCs w:val="30"/>
          <w:highlight w:val="none"/>
        </w:rPr>
        <w:t>附件11：</w:t>
      </w:r>
    </w:p>
    <w:p>
      <w:pPr>
        <w:jc w:val="center"/>
        <w:rPr>
          <w:b/>
          <w:color w:val="auto"/>
          <w:sz w:val="36"/>
          <w:szCs w:val="36"/>
          <w:highlight w:val="none"/>
        </w:rPr>
      </w:pPr>
      <w:r>
        <w:rPr>
          <w:rFonts w:hint="eastAsia"/>
          <w:b/>
          <w:color w:val="auto"/>
          <w:sz w:val="36"/>
          <w:szCs w:val="36"/>
          <w:highlight w:val="none"/>
        </w:rPr>
        <w:t>进度款支付申请（核准）表</w:t>
      </w:r>
    </w:p>
    <w:p>
      <w:pPr>
        <w:rPr>
          <w:color w:val="auto"/>
          <w:sz w:val="24"/>
          <w:szCs w:val="24"/>
          <w:highlight w:val="none"/>
        </w:rPr>
      </w:pPr>
      <w:r>
        <w:rPr>
          <w:rFonts w:hint="eastAsia"/>
          <w:color w:val="auto"/>
          <w:sz w:val="24"/>
          <w:szCs w:val="24"/>
          <w:highlight w:val="none"/>
        </w:rPr>
        <w:t>工程名称：                                             编号：</w:t>
      </w:r>
    </w:p>
    <w:tbl>
      <w:tblPr>
        <w:tblStyle w:val="42"/>
        <w:tblW w:w="90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0"/>
        <w:gridCol w:w="4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8" w:hRule="atLeast"/>
          <w:jc w:val="center"/>
        </w:trPr>
        <w:tc>
          <w:tcPr>
            <w:tcW w:w="9072" w:type="dxa"/>
            <w:gridSpan w:val="2"/>
            <w:shd w:val="clear" w:color="auto" w:fill="auto"/>
          </w:tcPr>
          <w:p>
            <w:pPr>
              <w:spacing w:line="480" w:lineRule="exact"/>
              <w:ind w:left="525" w:leftChars="149" w:hanging="212" w:hangingChars="101"/>
              <w:rPr>
                <w:color w:val="auto"/>
                <w:highlight w:val="none"/>
                <w:u w:val="single"/>
              </w:rPr>
            </w:pPr>
            <w:r>
              <w:rPr>
                <w:rFonts w:hint="eastAsia"/>
                <w:color w:val="auto"/>
                <w:highlight w:val="none"/>
              </w:rPr>
              <w:t>致：</w:t>
            </w:r>
            <w:r>
              <w:rPr>
                <w:rFonts w:hint="eastAsia"/>
                <w:color w:val="auto"/>
                <w:highlight w:val="none"/>
                <w:u w:val="single"/>
              </w:rPr>
              <w:t xml:space="preserve">                                   （发包人全称）</w:t>
            </w:r>
          </w:p>
          <w:p>
            <w:pPr>
              <w:spacing w:line="400" w:lineRule="exact"/>
              <w:ind w:left="-4" w:leftChars="-2" w:firstLine="315" w:firstLineChars="150"/>
              <w:rPr>
                <w:color w:val="auto"/>
                <w:highlight w:val="none"/>
              </w:rPr>
            </w:pPr>
            <w:r>
              <w:rPr>
                <w:rFonts w:hint="eastAsia"/>
                <w:color w:val="auto"/>
                <w:highlight w:val="none"/>
              </w:rPr>
              <w:t>我方于</w:t>
            </w:r>
            <w:r>
              <w:rPr>
                <w:rFonts w:hint="eastAsia"/>
                <w:color w:val="auto"/>
                <w:highlight w:val="none"/>
                <w:u w:val="single"/>
              </w:rPr>
              <w:t xml:space="preserve">         </w:t>
            </w:r>
            <w:r>
              <w:rPr>
                <w:rFonts w:hint="eastAsia"/>
                <w:color w:val="auto"/>
                <w:highlight w:val="none"/>
              </w:rPr>
              <w:t>至</w:t>
            </w:r>
            <w:r>
              <w:rPr>
                <w:rFonts w:hint="eastAsia"/>
                <w:color w:val="auto"/>
                <w:highlight w:val="none"/>
                <w:u w:val="single"/>
              </w:rPr>
              <w:t xml:space="preserve">          </w:t>
            </w:r>
            <w:r>
              <w:rPr>
                <w:rFonts w:hint="eastAsia"/>
                <w:color w:val="auto"/>
                <w:highlight w:val="none"/>
              </w:rPr>
              <w:t>期间已完成了</w:t>
            </w:r>
            <w:r>
              <w:rPr>
                <w:rFonts w:hint="eastAsia"/>
                <w:color w:val="auto"/>
                <w:highlight w:val="none"/>
                <w:u w:val="single"/>
              </w:rPr>
              <w:t xml:space="preserve">               </w:t>
            </w:r>
            <w:r>
              <w:rPr>
                <w:rFonts w:hint="eastAsia"/>
                <w:color w:val="auto"/>
                <w:highlight w:val="none"/>
              </w:rPr>
              <w:t>工作，根据施工合同的约定，现申请支付本期的合同款额为(大写)</w:t>
            </w:r>
            <w:r>
              <w:rPr>
                <w:rFonts w:hint="eastAsia"/>
                <w:color w:val="auto"/>
                <w:highlight w:val="none"/>
                <w:u w:val="single"/>
              </w:rPr>
              <w:t xml:space="preserve">            </w:t>
            </w:r>
            <w:r>
              <w:rPr>
                <w:rFonts w:hint="eastAsia"/>
                <w:color w:val="auto"/>
                <w:highlight w:val="none"/>
              </w:rPr>
              <w:t>元，(小写)</w:t>
            </w:r>
            <w:r>
              <w:rPr>
                <w:rFonts w:hint="eastAsia"/>
                <w:color w:val="auto"/>
                <w:highlight w:val="none"/>
                <w:u w:val="single"/>
              </w:rPr>
              <w:t xml:space="preserve">         </w:t>
            </w:r>
            <w:r>
              <w:rPr>
                <w:rFonts w:hint="eastAsia"/>
                <w:color w:val="auto"/>
                <w:highlight w:val="none"/>
              </w:rPr>
              <w:t>元，请予核准。</w:t>
            </w:r>
          </w:p>
          <w:tbl>
            <w:tblPr>
              <w:tblStyle w:val="42"/>
              <w:tblpPr w:leftFromText="180" w:rightFromText="180" w:vertAnchor="page" w:horzAnchor="margin" w:tblpY="1309"/>
              <w:tblOverlap w:val="never"/>
              <w:tblW w:w="8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340"/>
              <w:gridCol w:w="1340"/>
              <w:gridCol w:w="1440"/>
              <w:gridCol w:w="1260"/>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trPr>
              <w:tc>
                <w:tcPr>
                  <w:tcW w:w="535" w:type="dxa"/>
                  <w:shd w:val="clear" w:color="auto" w:fill="auto"/>
                  <w:vAlign w:val="center"/>
                </w:tcPr>
                <w:p>
                  <w:pPr>
                    <w:spacing w:line="280" w:lineRule="exact"/>
                    <w:jc w:val="center"/>
                    <w:rPr>
                      <w:color w:val="auto"/>
                      <w:highlight w:val="none"/>
                    </w:rPr>
                  </w:pPr>
                  <w:r>
                    <w:rPr>
                      <w:rFonts w:hint="eastAsia"/>
                      <w:color w:val="auto"/>
                      <w:highlight w:val="none"/>
                    </w:rPr>
                    <w:t>序号</w:t>
                  </w:r>
                </w:p>
              </w:tc>
              <w:tc>
                <w:tcPr>
                  <w:tcW w:w="3340" w:type="dxa"/>
                  <w:shd w:val="clear" w:color="auto" w:fill="auto"/>
                  <w:vAlign w:val="center"/>
                </w:tcPr>
                <w:p>
                  <w:pPr>
                    <w:spacing w:line="280" w:lineRule="exact"/>
                    <w:jc w:val="center"/>
                    <w:rPr>
                      <w:color w:val="auto"/>
                      <w:highlight w:val="none"/>
                    </w:rPr>
                  </w:pPr>
                  <w:r>
                    <w:rPr>
                      <w:rFonts w:hint="eastAsia"/>
                      <w:color w:val="auto"/>
                      <w:highlight w:val="none"/>
                    </w:rPr>
                    <w:t>名      称</w:t>
                  </w:r>
                </w:p>
              </w:tc>
              <w:tc>
                <w:tcPr>
                  <w:tcW w:w="1340" w:type="dxa"/>
                  <w:shd w:val="clear" w:color="auto" w:fill="auto"/>
                  <w:vAlign w:val="center"/>
                </w:tcPr>
                <w:p>
                  <w:pPr>
                    <w:spacing w:line="280" w:lineRule="exact"/>
                    <w:jc w:val="center"/>
                    <w:rPr>
                      <w:color w:val="auto"/>
                      <w:highlight w:val="none"/>
                    </w:rPr>
                  </w:pPr>
                  <w:r>
                    <w:rPr>
                      <w:rFonts w:hint="eastAsia"/>
                      <w:color w:val="auto"/>
                      <w:highlight w:val="none"/>
                    </w:rPr>
                    <w:t>实际金额（元）</w:t>
                  </w:r>
                </w:p>
              </w:tc>
              <w:tc>
                <w:tcPr>
                  <w:tcW w:w="1440" w:type="dxa"/>
                  <w:shd w:val="clear" w:color="auto" w:fill="auto"/>
                  <w:vAlign w:val="center"/>
                </w:tcPr>
                <w:p>
                  <w:pPr>
                    <w:spacing w:line="280" w:lineRule="exact"/>
                    <w:jc w:val="center"/>
                    <w:rPr>
                      <w:color w:val="auto"/>
                      <w:highlight w:val="none"/>
                    </w:rPr>
                  </w:pPr>
                  <w:r>
                    <w:rPr>
                      <w:rFonts w:hint="eastAsia"/>
                      <w:color w:val="auto"/>
                      <w:highlight w:val="none"/>
                    </w:rPr>
                    <w:t>申请金额（元）</w:t>
                  </w:r>
                </w:p>
              </w:tc>
              <w:tc>
                <w:tcPr>
                  <w:tcW w:w="1260" w:type="dxa"/>
                  <w:shd w:val="clear" w:color="auto" w:fill="auto"/>
                  <w:vAlign w:val="center"/>
                </w:tcPr>
                <w:p>
                  <w:pPr>
                    <w:spacing w:line="280" w:lineRule="exact"/>
                    <w:jc w:val="center"/>
                    <w:rPr>
                      <w:color w:val="auto"/>
                      <w:highlight w:val="none"/>
                    </w:rPr>
                  </w:pPr>
                  <w:r>
                    <w:rPr>
                      <w:rFonts w:hint="eastAsia"/>
                      <w:color w:val="auto"/>
                      <w:highlight w:val="none"/>
                    </w:rPr>
                    <w:t>复核金额（元）</w:t>
                  </w:r>
                </w:p>
              </w:tc>
              <w:tc>
                <w:tcPr>
                  <w:tcW w:w="931" w:type="dxa"/>
                  <w:shd w:val="clear" w:color="auto" w:fill="auto"/>
                  <w:vAlign w:val="center"/>
                </w:tcPr>
                <w:p>
                  <w:pPr>
                    <w:spacing w:line="280" w:lineRule="exact"/>
                    <w:jc w:val="center"/>
                    <w:rPr>
                      <w:color w:val="auto"/>
                      <w:highlight w:val="none"/>
                    </w:rPr>
                  </w:pPr>
                  <w:r>
                    <w:rPr>
                      <w:rFonts w:hint="eastAsia"/>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shd w:val="clear" w:color="auto" w:fill="auto"/>
                </w:tcPr>
                <w:p>
                  <w:pPr>
                    <w:spacing w:line="280" w:lineRule="exact"/>
                    <w:jc w:val="center"/>
                    <w:rPr>
                      <w:color w:val="auto"/>
                      <w:highlight w:val="none"/>
                    </w:rPr>
                  </w:pPr>
                  <w:r>
                    <w:rPr>
                      <w:rFonts w:hint="eastAsia"/>
                      <w:color w:val="auto"/>
                      <w:highlight w:val="none"/>
                    </w:rPr>
                    <w:t>1</w:t>
                  </w:r>
                </w:p>
              </w:tc>
              <w:tc>
                <w:tcPr>
                  <w:tcW w:w="3340" w:type="dxa"/>
                  <w:shd w:val="clear" w:color="auto" w:fill="auto"/>
                </w:tcPr>
                <w:p>
                  <w:pPr>
                    <w:spacing w:line="280" w:lineRule="exact"/>
                    <w:rPr>
                      <w:color w:val="auto"/>
                      <w:highlight w:val="none"/>
                    </w:rPr>
                  </w:pPr>
                  <w:r>
                    <w:rPr>
                      <w:rFonts w:hint="eastAsia"/>
                      <w:color w:val="auto"/>
                      <w:highlight w:val="none"/>
                    </w:rPr>
                    <w:t>累计已完成的工程价款</w:t>
                  </w:r>
                </w:p>
              </w:tc>
              <w:tc>
                <w:tcPr>
                  <w:tcW w:w="1340" w:type="dxa"/>
                  <w:shd w:val="clear" w:color="auto" w:fill="auto"/>
                </w:tcPr>
                <w:p>
                  <w:pPr>
                    <w:spacing w:line="280" w:lineRule="exact"/>
                    <w:rPr>
                      <w:color w:val="auto"/>
                      <w:highlight w:val="none"/>
                    </w:rPr>
                  </w:pPr>
                </w:p>
              </w:tc>
              <w:tc>
                <w:tcPr>
                  <w:tcW w:w="1440" w:type="dxa"/>
                  <w:shd w:val="clear" w:color="auto" w:fill="auto"/>
                </w:tcPr>
                <w:p>
                  <w:pPr>
                    <w:spacing w:line="280" w:lineRule="exact"/>
                    <w:rPr>
                      <w:color w:val="auto"/>
                      <w:highlight w:val="none"/>
                    </w:rPr>
                  </w:pPr>
                </w:p>
              </w:tc>
              <w:tc>
                <w:tcPr>
                  <w:tcW w:w="1260" w:type="dxa"/>
                  <w:shd w:val="clear" w:color="auto" w:fill="auto"/>
                </w:tcPr>
                <w:p>
                  <w:pPr>
                    <w:spacing w:line="280" w:lineRule="exact"/>
                    <w:rPr>
                      <w:color w:val="auto"/>
                      <w:highlight w:val="none"/>
                    </w:rPr>
                  </w:pPr>
                </w:p>
              </w:tc>
              <w:tc>
                <w:tcPr>
                  <w:tcW w:w="931" w:type="dxa"/>
                  <w:shd w:val="clear" w:color="auto" w:fill="auto"/>
                </w:tcPr>
                <w:p>
                  <w:pPr>
                    <w:spacing w:line="2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shd w:val="clear" w:color="auto" w:fill="auto"/>
                </w:tcPr>
                <w:p>
                  <w:pPr>
                    <w:spacing w:line="280" w:lineRule="exact"/>
                    <w:jc w:val="center"/>
                    <w:rPr>
                      <w:color w:val="auto"/>
                      <w:highlight w:val="none"/>
                    </w:rPr>
                  </w:pPr>
                </w:p>
              </w:tc>
              <w:tc>
                <w:tcPr>
                  <w:tcW w:w="3340" w:type="dxa"/>
                  <w:shd w:val="clear" w:color="auto" w:fill="auto"/>
                </w:tcPr>
                <w:p>
                  <w:pPr>
                    <w:spacing w:line="280" w:lineRule="exact"/>
                    <w:rPr>
                      <w:color w:val="auto"/>
                      <w:highlight w:val="none"/>
                    </w:rPr>
                  </w:pPr>
                  <w:r>
                    <w:rPr>
                      <w:rFonts w:hint="eastAsia"/>
                      <w:color w:val="auto"/>
                      <w:highlight w:val="none"/>
                    </w:rPr>
                    <w:t>其中：人工费</w:t>
                  </w:r>
                </w:p>
              </w:tc>
              <w:tc>
                <w:tcPr>
                  <w:tcW w:w="1340" w:type="dxa"/>
                  <w:shd w:val="clear" w:color="auto" w:fill="auto"/>
                </w:tcPr>
                <w:p>
                  <w:pPr>
                    <w:spacing w:line="280" w:lineRule="exact"/>
                    <w:rPr>
                      <w:color w:val="auto"/>
                      <w:highlight w:val="none"/>
                    </w:rPr>
                  </w:pPr>
                </w:p>
              </w:tc>
              <w:tc>
                <w:tcPr>
                  <w:tcW w:w="1440" w:type="dxa"/>
                  <w:shd w:val="clear" w:color="auto" w:fill="auto"/>
                </w:tcPr>
                <w:p>
                  <w:pPr>
                    <w:spacing w:line="280" w:lineRule="exact"/>
                    <w:rPr>
                      <w:color w:val="auto"/>
                      <w:highlight w:val="none"/>
                    </w:rPr>
                  </w:pPr>
                </w:p>
              </w:tc>
              <w:tc>
                <w:tcPr>
                  <w:tcW w:w="1260" w:type="dxa"/>
                  <w:shd w:val="clear" w:color="auto" w:fill="auto"/>
                </w:tcPr>
                <w:p>
                  <w:pPr>
                    <w:spacing w:line="280" w:lineRule="exact"/>
                    <w:rPr>
                      <w:color w:val="auto"/>
                      <w:highlight w:val="none"/>
                    </w:rPr>
                  </w:pPr>
                </w:p>
              </w:tc>
              <w:tc>
                <w:tcPr>
                  <w:tcW w:w="931" w:type="dxa"/>
                  <w:shd w:val="clear" w:color="auto" w:fill="auto"/>
                </w:tcPr>
                <w:p>
                  <w:pPr>
                    <w:spacing w:line="2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shd w:val="clear" w:color="auto" w:fill="auto"/>
                </w:tcPr>
                <w:p>
                  <w:pPr>
                    <w:spacing w:line="280" w:lineRule="exact"/>
                    <w:jc w:val="center"/>
                    <w:rPr>
                      <w:color w:val="auto"/>
                      <w:highlight w:val="none"/>
                    </w:rPr>
                  </w:pPr>
                  <w:r>
                    <w:rPr>
                      <w:rFonts w:hint="eastAsia"/>
                      <w:color w:val="auto"/>
                      <w:highlight w:val="none"/>
                    </w:rPr>
                    <w:t>2</w:t>
                  </w:r>
                </w:p>
              </w:tc>
              <w:tc>
                <w:tcPr>
                  <w:tcW w:w="3340" w:type="dxa"/>
                  <w:shd w:val="clear" w:color="auto" w:fill="auto"/>
                </w:tcPr>
                <w:p>
                  <w:pPr>
                    <w:spacing w:line="280" w:lineRule="exact"/>
                    <w:rPr>
                      <w:color w:val="auto"/>
                      <w:highlight w:val="none"/>
                    </w:rPr>
                  </w:pPr>
                  <w:r>
                    <w:rPr>
                      <w:rFonts w:hint="eastAsia"/>
                      <w:color w:val="auto"/>
                      <w:highlight w:val="none"/>
                    </w:rPr>
                    <w:t>累计已实际支付的工程价款</w:t>
                  </w:r>
                </w:p>
              </w:tc>
              <w:tc>
                <w:tcPr>
                  <w:tcW w:w="1340" w:type="dxa"/>
                  <w:shd w:val="clear" w:color="auto" w:fill="auto"/>
                </w:tcPr>
                <w:p>
                  <w:pPr>
                    <w:spacing w:line="280" w:lineRule="exact"/>
                    <w:rPr>
                      <w:color w:val="auto"/>
                      <w:highlight w:val="none"/>
                    </w:rPr>
                  </w:pPr>
                </w:p>
              </w:tc>
              <w:tc>
                <w:tcPr>
                  <w:tcW w:w="1440" w:type="dxa"/>
                  <w:shd w:val="clear" w:color="auto" w:fill="auto"/>
                </w:tcPr>
                <w:p>
                  <w:pPr>
                    <w:spacing w:line="280" w:lineRule="exact"/>
                    <w:rPr>
                      <w:color w:val="auto"/>
                      <w:highlight w:val="none"/>
                    </w:rPr>
                  </w:pPr>
                </w:p>
              </w:tc>
              <w:tc>
                <w:tcPr>
                  <w:tcW w:w="1260" w:type="dxa"/>
                  <w:shd w:val="clear" w:color="auto" w:fill="auto"/>
                </w:tcPr>
                <w:p>
                  <w:pPr>
                    <w:spacing w:line="280" w:lineRule="exact"/>
                    <w:rPr>
                      <w:color w:val="auto"/>
                      <w:highlight w:val="none"/>
                    </w:rPr>
                  </w:pPr>
                </w:p>
              </w:tc>
              <w:tc>
                <w:tcPr>
                  <w:tcW w:w="931" w:type="dxa"/>
                  <w:shd w:val="clear" w:color="auto" w:fill="auto"/>
                </w:tcPr>
                <w:p>
                  <w:pPr>
                    <w:spacing w:line="2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shd w:val="clear" w:color="auto" w:fill="auto"/>
                </w:tcPr>
                <w:p>
                  <w:pPr>
                    <w:spacing w:line="280" w:lineRule="exact"/>
                    <w:jc w:val="center"/>
                    <w:rPr>
                      <w:color w:val="auto"/>
                      <w:highlight w:val="none"/>
                    </w:rPr>
                  </w:pPr>
                </w:p>
              </w:tc>
              <w:tc>
                <w:tcPr>
                  <w:tcW w:w="3340" w:type="dxa"/>
                  <w:shd w:val="clear" w:color="auto" w:fill="auto"/>
                </w:tcPr>
                <w:p>
                  <w:pPr>
                    <w:spacing w:line="280" w:lineRule="exact"/>
                    <w:rPr>
                      <w:color w:val="auto"/>
                      <w:highlight w:val="none"/>
                    </w:rPr>
                  </w:pPr>
                  <w:r>
                    <w:rPr>
                      <w:rFonts w:hint="eastAsia"/>
                      <w:color w:val="auto"/>
                      <w:highlight w:val="none"/>
                    </w:rPr>
                    <w:t>其中：人工费</w:t>
                  </w:r>
                </w:p>
              </w:tc>
              <w:tc>
                <w:tcPr>
                  <w:tcW w:w="1340" w:type="dxa"/>
                  <w:shd w:val="clear" w:color="auto" w:fill="auto"/>
                </w:tcPr>
                <w:p>
                  <w:pPr>
                    <w:spacing w:line="280" w:lineRule="exact"/>
                    <w:rPr>
                      <w:color w:val="auto"/>
                      <w:highlight w:val="none"/>
                    </w:rPr>
                  </w:pPr>
                </w:p>
              </w:tc>
              <w:tc>
                <w:tcPr>
                  <w:tcW w:w="1440" w:type="dxa"/>
                  <w:shd w:val="clear" w:color="auto" w:fill="auto"/>
                </w:tcPr>
                <w:p>
                  <w:pPr>
                    <w:spacing w:line="280" w:lineRule="exact"/>
                    <w:rPr>
                      <w:color w:val="auto"/>
                      <w:highlight w:val="none"/>
                    </w:rPr>
                  </w:pPr>
                </w:p>
              </w:tc>
              <w:tc>
                <w:tcPr>
                  <w:tcW w:w="1260" w:type="dxa"/>
                  <w:shd w:val="clear" w:color="auto" w:fill="auto"/>
                </w:tcPr>
                <w:p>
                  <w:pPr>
                    <w:spacing w:line="280" w:lineRule="exact"/>
                    <w:rPr>
                      <w:color w:val="auto"/>
                      <w:highlight w:val="none"/>
                    </w:rPr>
                  </w:pPr>
                </w:p>
              </w:tc>
              <w:tc>
                <w:tcPr>
                  <w:tcW w:w="931" w:type="dxa"/>
                  <w:shd w:val="clear" w:color="auto" w:fill="auto"/>
                </w:tcPr>
                <w:p>
                  <w:pPr>
                    <w:spacing w:line="2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shd w:val="clear" w:color="auto" w:fill="auto"/>
                </w:tcPr>
                <w:p>
                  <w:pPr>
                    <w:spacing w:line="280" w:lineRule="exact"/>
                    <w:jc w:val="center"/>
                    <w:rPr>
                      <w:color w:val="auto"/>
                      <w:highlight w:val="none"/>
                    </w:rPr>
                  </w:pPr>
                  <w:r>
                    <w:rPr>
                      <w:rFonts w:hint="eastAsia"/>
                      <w:color w:val="auto"/>
                      <w:highlight w:val="none"/>
                    </w:rPr>
                    <w:t>3</w:t>
                  </w:r>
                </w:p>
              </w:tc>
              <w:tc>
                <w:tcPr>
                  <w:tcW w:w="3340" w:type="dxa"/>
                  <w:shd w:val="clear" w:color="auto" w:fill="auto"/>
                </w:tcPr>
                <w:p>
                  <w:pPr>
                    <w:spacing w:line="280" w:lineRule="exact"/>
                    <w:rPr>
                      <w:color w:val="auto"/>
                      <w:highlight w:val="none"/>
                    </w:rPr>
                  </w:pPr>
                  <w:r>
                    <w:rPr>
                      <w:rFonts w:hint="eastAsia"/>
                      <w:color w:val="auto"/>
                      <w:highlight w:val="none"/>
                    </w:rPr>
                    <w:t>本周期已完成的工程价款</w:t>
                  </w:r>
                </w:p>
              </w:tc>
              <w:tc>
                <w:tcPr>
                  <w:tcW w:w="1340" w:type="dxa"/>
                  <w:shd w:val="clear" w:color="auto" w:fill="auto"/>
                </w:tcPr>
                <w:p>
                  <w:pPr>
                    <w:spacing w:line="280" w:lineRule="exact"/>
                    <w:rPr>
                      <w:color w:val="auto"/>
                      <w:highlight w:val="none"/>
                    </w:rPr>
                  </w:pPr>
                </w:p>
              </w:tc>
              <w:tc>
                <w:tcPr>
                  <w:tcW w:w="1440" w:type="dxa"/>
                  <w:shd w:val="clear" w:color="auto" w:fill="auto"/>
                </w:tcPr>
                <w:p>
                  <w:pPr>
                    <w:spacing w:line="280" w:lineRule="exact"/>
                    <w:rPr>
                      <w:color w:val="auto"/>
                      <w:highlight w:val="none"/>
                    </w:rPr>
                  </w:pPr>
                </w:p>
              </w:tc>
              <w:tc>
                <w:tcPr>
                  <w:tcW w:w="1260" w:type="dxa"/>
                  <w:shd w:val="clear" w:color="auto" w:fill="auto"/>
                </w:tcPr>
                <w:p>
                  <w:pPr>
                    <w:spacing w:line="280" w:lineRule="exact"/>
                    <w:rPr>
                      <w:color w:val="auto"/>
                      <w:highlight w:val="none"/>
                    </w:rPr>
                  </w:pPr>
                </w:p>
              </w:tc>
              <w:tc>
                <w:tcPr>
                  <w:tcW w:w="931" w:type="dxa"/>
                  <w:shd w:val="clear" w:color="auto" w:fill="auto"/>
                </w:tcPr>
                <w:p>
                  <w:pPr>
                    <w:spacing w:line="2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shd w:val="clear" w:color="auto" w:fill="auto"/>
                </w:tcPr>
                <w:p>
                  <w:pPr>
                    <w:spacing w:line="280" w:lineRule="exact"/>
                    <w:jc w:val="center"/>
                    <w:rPr>
                      <w:color w:val="auto"/>
                      <w:highlight w:val="none"/>
                    </w:rPr>
                  </w:pPr>
                </w:p>
              </w:tc>
              <w:tc>
                <w:tcPr>
                  <w:tcW w:w="3340" w:type="dxa"/>
                  <w:shd w:val="clear" w:color="auto" w:fill="auto"/>
                </w:tcPr>
                <w:p>
                  <w:pPr>
                    <w:spacing w:line="280" w:lineRule="exact"/>
                    <w:rPr>
                      <w:color w:val="auto"/>
                      <w:highlight w:val="none"/>
                    </w:rPr>
                  </w:pPr>
                  <w:r>
                    <w:rPr>
                      <w:rFonts w:hint="eastAsia"/>
                      <w:color w:val="auto"/>
                      <w:highlight w:val="none"/>
                    </w:rPr>
                    <w:t>其中：人工费</w:t>
                  </w:r>
                </w:p>
              </w:tc>
              <w:tc>
                <w:tcPr>
                  <w:tcW w:w="1340" w:type="dxa"/>
                  <w:shd w:val="clear" w:color="auto" w:fill="auto"/>
                </w:tcPr>
                <w:p>
                  <w:pPr>
                    <w:spacing w:line="280" w:lineRule="exact"/>
                    <w:rPr>
                      <w:color w:val="auto"/>
                      <w:highlight w:val="none"/>
                    </w:rPr>
                  </w:pPr>
                </w:p>
              </w:tc>
              <w:tc>
                <w:tcPr>
                  <w:tcW w:w="1440" w:type="dxa"/>
                  <w:shd w:val="clear" w:color="auto" w:fill="auto"/>
                </w:tcPr>
                <w:p>
                  <w:pPr>
                    <w:spacing w:line="280" w:lineRule="exact"/>
                    <w:rPr>
                      <w:color w:val="auto"/>
                      <w:highlight w:val="none"/>
                    </w:rPr>
                  </w:pPr>
                </w:p>
              </w:tc>
              <w:tc>
                <w:tcPr>
                  <w:tcW w:w="1260" w:type="dxa"/>
                  <w:shd w:val="clear" w:color="auto" w:fill="auto"/>
                </w:tcPr>
                <w:p>
                  <w:pPr>
                    <w:spacing w:line="280" w:lineRule="exact"/>
                    <w:rPr>
                      <w:color w:val="auto"/>
                      <w:highlight w:val="none"/>
                    </w:rPr>
                  </w:pPr>
                </w:p>
              </w:tc>
              <w:tc>
                <w:tcPr>
                  <w:tcW w:w="931" w:type="dxa"/>
                  <w:shd w:val="clear" w:color="auto" w:fill="auto"/>
                </w:tcPr>
                <w:p>
                  <w:pPr>
                    <w:spacing w:line="2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shd w:val="clear" w:color="auto" w:fill="auto"/>
                </w:tcPr>
                <w:p>
                  <w:pPr>
                    <w:spacing w:line="280" w:lineRule="exact"/>
                    <w:jc w:val="center"/>
                    <w:rPr>
                      <w:color w:val="auto"/>
                      <w:highlight w:val="none"/>
                    </w:rPr>
                  </w:pPr>
                  <w:r>
                    <w:rPr>
                      <w:rFonts w:hint="eastAsia"/>
                      <w:color w:val="auto"/>
                      <w:highlight w:val="none"/>
                    </w:rPr>
                    <w:t>4</w:t>
                  </w:r>
                </w:p>
              </w:tc>
              <w:tc>
                <w:tcPr>
                  <w:tcW w:w="3340" w:type="dxa"/>
                  <w:shd w:val="clear" w:color="auto" w:fill="auto"/>
                </w:tcPr>
                <w:p>
                  <w:pPr>
                    <w:spacing w:line="280" w:lineRule="exact"/>
                    <w:rPr>
                      <w:color w:val="auto"/>
                      <w:highlight w:val="none"/>
                    </w:rPr>
                  </w:pPr>
                  <w:r>
                    <w:rPr>
                      <w:rFonts w:hint="eastAsia"/>
                      <w:color w:val="auto"/>
                      <w:highlight w:val="none"/>
                    </w:rPr>
                    <w:t>本周期应扣减的金额</w:t>
                  </w:r>
                </w:p>
              </w:tc>
              <w:tc>
                <w:tcPr>
                  <w:tcW w:w="1340" w:type="dxa"/>
                  <w:shd w:val="clear" w:color="auto" w:fill="auto"/>
                </w:tcPr>
                <w:p>
                  <w:pPr>
                    <w:spacing w:line="280" w:lineRule="exact"/>
                    <w:rPr>
                      <w:color w:val="auto"/>
                      <w:highlight w:val="none"/>
                    </w:rPr>
                  </w:pPr>
                </w:p>
              </w:tc>
              <w:tc>
                <w:tcPr>
                  <w:tcW w:w="1440" w:type="dxa"/>
                  <w:shd w:val="clear" w:color="auto" w:fill="auto"/>
                </w:tcPr>
                <w:p>
                  <w:pPr>
                    <w:spacing w:line="280" w:lineRule="exact"/>
                    <w:rPr>
                      <w:color w:val="auto"/>
                      <w:highlight w:val="none"/>
                    </w:rPr>
                  </w:pPr>
                </w:p>
              </w:tc>
              <w:tc>
                <w:tcPr>
                  <w:tcW w:w="1260" w:type="dxa"/>
                  <w:shd w:val="clear" w:color="auto" w:fill="auto"/>
                </w:tcPr>
                <w:p>
                  <w:pPr>
                    <w:spacing w:line="280" w:lineRule="exact"/>
                    <w:rPr>
                      <w:color w:val="auto"/>
                      <w:highlight w:val="none"/>
                    </w:rPr>
                  </w:pPr>
                </w:p>
              </w:tc>
              <w:tc>
                <w:tcPr>
                  <w:tcW w:w="931" w:type="dxa"/>
                  <w:shd w:val="clear" w:color="auto" w:fill="auto"/>
                </w:tcPr>
                <w:p>
                  <w:pPr>
                    <w:spacing w:line="2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shd w:val="clear" w:color="auto" w:fill="auto"/>
                </w:tcPr>
                <w:p>
                  <w:pPr>
                    <w:spacing w:line="280" w:lineRule="exact"/>
                    <w:jc w:val="center"/>
                    <w:rPr>
                      <w:color w:val="auto"/>
                      <w:highlight w:val="none"/>
                    </w:rPr>
                  </w:pPr>
                  <w:r>
                    <w:rPr>
                      <w:rFonts w:hint="eastAsia"/>
                      <w:color w:val="auto"/>
                      <w:highlight w:val="none"/>
                    </w:rPr>
                    <w:t>4.1</w:t>
                  </w:r>
                </w:p>
              </w:tc>
              <w:tc>
                <w:tcPr>
                  <w:tcW w:w="3340" w:type="dxa"/>
                  <w:shd w:val="clear" w:color="auto" w:fill="auto"/>
                </w:tcPr>
                <w:p>
                  <w:pPr>
                    <w:spacing w:line="280" w:lineRule="exact"/>
                    <w:rPr>
                      <w:color w:val="auto"/>
                      <w:highlight w:val="none"/>
                    </w:rPr>
                  </w:pPr>
                  <w:r>
                    <w:rPr>
                      <w:rFonts w:hint="eastAsia"/>
                      <w:color w:val="auto"/>
                      <w:highlight w:val="none"/>
                    </w:rPr>
                    <w:t>本周期实际应抵扣的预付款</w:t>
                  </w:r>
                </w:p>
              </w:tc>
              <w:tc>
                <w:tcPr>
                  <w:tcW w:w="1340" w:type="dxa"/>
                  <w:shd w:val="clear" w:color="auto" w:fill="auto"/>
                </w:tcPr>
                <w:p>
                  <w:pPr>
                    <w:spacing w:line="280" w:lineRule="exact"/>
                    <w:rPr>
                      <w:color w:val="auto"/>
                      <w:highlight w:val="none"/>
                    </w:rPr>
                  </w:pPr>
                </w:p>
              </w:tc>
              <w:tc>
                <w:tcPr>
                  <w:tcW w:w="1440" w:type="dxa"/>
                  <w:shd w:val="clear" w:color="auto" w:fill="auto"/>
                </w:tcPr>
                <w:p>
                  <w:pPr>
                    <w:spacing w:line="280" w:lineRule="exact"/>
                    <w:rPr>
                      <w:color w:val="auto"/>
                      <w:highlight w:val="none"/>
                    </w:rPr>
                  </w:pPr>
                </w:p>
              </w:tc>
              <w:tc>
                <w:tcPr>
                  <w:tcW w:w="1260" w:type="dxa"/>
                  <w:shd w:val="clear" w:color="auto" w:fill="auto"/>
                </w:tcPr>
                <w:p>
                  <w:pPr>
                    <w:spacing w:line="280" w:lineRule="exact"/>
                    <w:rPr>
                      <w:color w:val="auto"/>
                      <w:highlight w:val="none"/>
                    </w:rPr>
                  </w:pPr>
                </w:p>
              </w:tc>
              <w:tc>
                <w:tcPr>
                  <w:tcW w:w="931" w:type="dxa"/>
                  <w:shd w:val="clear" w:color="auto" w:fill="auto"/>
                </w:tcPr>
                <w:p>
                  <w:pPr>
                    <w:spacing w:line="2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shd w:val="clear" w:color="auto" w:fill="auto"/>
                </w:tcPr>
                <w:p>
                  <w:pPr>
                    <w:spacing w:line="280" w:lineRule="exact"/>
                    <w:jc w:val="center"/>
                    <w:rPr>
                      <w:color w:val="auto"/>
                      <w:highlight w:val="none"/>
                    </w:rPr>
                  </w:pPr>
                  <w:r>
                    <w:rPr>
                      <w:rFonts w:hint="eastAsia"/>
                      <w:color w:val="auto"/>
                      <w:highlight w:val="none"/>
                    </w:rPr>
                    <w:t>4.2</w:t>
                  </w:r>
                </w:p>
              </w:tc>
              <w:tc>
                <w:tcPr>
                  <w:tcW w:w="3340" w:type="dxa"/>
                  <w:shd w:val="clear" w:color="auto" w:fill="auto"/>
                </w:tcPr>
                <w:p>
                  <w:pPr>
                    <w:spacing w:line="280" w:lineRule="exact"/>
                    <w:rPr>
                      <w:color w:val="auto"/>
                      <w:highlight w:val="none"/>
                    </w:rPr>
                  </w:pPr>
                  <w:r>
                    <w:rPr>
                      <w:rFonts w:hint="eastAsia"/>
                      <w:color w:val="auto"/>
                      <w:highlight w:val="none"/>
                    </w:rPr>
                    <w:t>本周期应扣减的金额</w:t>
                  </w:r>
                </w:p>
              </w:tc>
              <w:tc>
                <w:tcPr>
                  <w:tcW w:w="1340" w:type="dxa"/>
                  <w:shd w:val="clear" w:color="auto" w:fill="auto"/>
                </w:tcPr>
                <w:p>
                  <w:pPr>
                    <w:spacing w:line="280" w:lineRule="exact"/>
                    <w:rPr>
                      <w:color w:val="auto"/>
                      <w:highlight w:val="none"/>
                    </w:rPr>
                  </w:pPr>
                </w:p>
              </w:tc>
              <w:tc>
                <w:tcPr>
                  <w:tcW w:w="1440" w:type="dxa"/>
                  <w:shd w:val="clear" w:color="auto" w:fill="auto"/>
                </w:tcPr>
                <w:p>
                  <w:pPr>
                    <w:spacing w:line="280" w:lineRule="exact"/>
                    <w:rPr>
                      <w:color w:val="auto"/>
                      <w:highlight w:val="none"/>
                    </w:rPr>
                  </w:pPr>
                </w:p>
              </w:tc>
              <w:tc>
                <w:tcPr>
                  <w:tcW w:w="1260" w:type="dxa"/>
                  <w:shd w:val="clear" w:color="auto" w:fill="auto"/>
                </w:tcPr>
                <w:p>
                  <w:pPr>
                    <w:spacing w:line="280" w:lineRule="exact"/>
                    <w:rPr>
                      <w:color w:val="auto"/>
                      <w:highlight w:val="none"/>
                    </w:rPr>
                  </w:pPr>
                </w:p>
              </w:tc>
              <w:tc>
                <w:tcPr>
                  <w:tcW w:w="931" w:type="dxa"/>
                  <w:shd w:val="clear" w:color="auto" w:fill="auto"/>
                </w:tcPr>
                <w:p>
                  <w:pPr>
                    <w:spacing w:line="2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shd w:val="clear" w:color="auto" w:fill="auto"/>
                </w:tcPr>
                <w:p>
                  <w:pPr>
                    <w:spacing w:line="280" w:lineRule="exact"/>
                    <w:jc w:val="center"/>
                    <w:rPr>
                      <w:color w:val="auto"/>
                      <w:highlight w:val="none"/>
                    </w:rPr>
                  </w:pPr>
                  <w:r>
                    <w:rPr>
                      <w:rFonts w:hint="eastAsia"/>
                      <w:color w:val="auto"/>
                      <w:highlight w:val="none"/>
                    </w:rPr>
                    <w:t>5</w:t>
                  </w:r>
                </w:p>
              </w:tc>
              <w:tc>
                <w:tcPr>
                  <w:tcW w:w="3340" w:type="dxa"/>
                  <w:shd w:val="clear" w:color="auto" w:fill="auto"/>
                </w:tcPr>
                <w:p>
                  <w:pPr>
                    <w:spacing w:line="280" w:lineRule="exact"/>
                    <w:rPr>
                      <w:color w:val="auto"/>
                      <w:highlight w:val="none"/>
                    </w:rPr>
                  </w:pPr>
                  <w:r>
                    <w:rPr>
                      <w:rFonts w:hint="eastAsia"/>
                      <w:color w:val="auto"/>
                      <w:highlight w:val="none"/>
                    </w:rPr>
                    <w:t>本周期应支付的合同价款</w:t>
                  </w:r>
                </w:p>
              </w:tc>
              <w:tc>
                <w:tcPr>
                  <w:tcW w:w="1340" w:type="dxa"/>
                  <w:shd w:val="clear" w:color="auto" w:fill="auto"/>
                </w:tcPr>
                <w:p>
                  <w:pPr>
                    <w:spacing w:line="280" w:lineRule="exact"/>
                    <w:rPr>
                      <w:color w:val="auto"/>
                      <w:highlight w:val="none"/>
                    </w:rPr>
                  </w:pPr>
                </w:p>
              </w:tc>
              <w:tc>
                <w:tcPr>
                  <w:tcW w:w="1440" w:type="dxa"/>
                  <w:shd w:val="clear" w:color="auto" w:fill="auto"/>
                </w:tcPr>
                <w:p>
                  <w:pPr>
                    <w:spacing w:line="280" w:lineRule="exact"/>
                    <w:rPr>
                      <w:color w:val="auto"/>
                      <w:highlight w:val="none"/>
                    </w:rPr>
                  </w:pPr>
                </w:p>
              </w:tc>
              <w:tc>
                <w:tcPr>
                  <w:tcW w:w="1260" w:type="dxa"/>
                  <w:shd w:val="clear" w:color="auto" w:fill="auto"/>
                </w:tcPr>
                <w:p>
                  <w:pPr>
                    <w:spacing w:line="280" w:lineRule="exact"/>
                    <w:rPr>
                      <w:color w:val="auto"/>
                      <w:highlight w:val="none"/>
                    </w:rPr>
                  </w:pPr>
                </w:p>
              </w:tc>
              <w:tc>
                <w:tcPr>
                  <w:tcW w:w="931" w:type="dxa"/>
                  <w:shd w:val="clear" w:color="auto" w:fill="auto"/>
                </w:tcPr>
                <w:p>
                  <w:pPr>
                    <w:spacing w:line="2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shd w:val="clear" w:color="auto" w:fill="auto"/>
                </w:tcPr>
                <w:p>
                  <w:pPr>
                    <w:spacing w:line="280" w:lineRule="exact"/>
                    <w:jc w:val="center"/>
                    <w:rPr>
                      <w:color w:val="auto"/>
                      <w:highlight w:val="none"/>
                    </w:rPr>
                  </w:pPr>
                </w:p>
              </w:tc>
              <w:tc>
                <w:tcPr>
                  <w:tcW w:w="3340" w:type="dxa"/>
                  <w:shd w:val="clear" w:color="auto" w:fill="auto"/>
                </w:tcPr>
                <w:p>
                  <w:pPr>
                    <w:spacing w:line="280" w:lineRule="exact"/>
                    <w:rPr>
                      <w:color w:val="auto"/>
                      <w:highlight w:val="none"/>
                    </w:rPr>
                  </w:pPr>
                  <w:r>
                    <w:rPr>
                      <w:rFonts w:hint="eastAsia"/>
                      <w:color w:val="auto"/>
                      <w:highlight w:val="none"/>
                    </w:rPr>
                    <w:t>其中：人工费</w:t>
                  </w:r>
                </w:p>
              </w:tc>
              <w:tc>
                <w:tcPr>
                  <w:tcW w:w="1340" w:type="dxa"/>
                  <w:shd w:val="clear" w:color="auto" w:fill="auto"/>
                </w:tcPr>
                <w:p>
                  <w:pPr>
                    <w:spacing w:line="280" w:lineRule="exact"/>
                    <w:rPr>
                      <w:color w:val="auto"/>
                      <w:highlight w:val="none"/>
                    </w:rPr>
                  </w:pPr>
                </w:p>
              </w:tc>
              <w:tc>
                <w:tcPr>
                  <w:tcW w:w="1440" w:type="dxa"/>
                  <w:shd w:val="clear" w:color="auto" w:fill="auto"/>
                </w:tcPr>
                <w:p>
                  <w:pPr>
                    <w:spacing w:line="280" w:lineRule="exact"/>
                    <w:rPr>
                      <w:color w:val="auto"/>
                      <w:highlight w:val="none"/>
                    </w:rPr>
                  </w:pPr>
                </w:p>
              </w:tc>
              <w:tc>
                <w:tcPr>
                  <w:tcW w:w="1260" w:type="dxa"/>
                  <w:shd w:val="clear" w:color="auto" w:fill="auto"/>
                </w:tcPr>
                <w:p>
                  <w:pPr>
                    <w:spacing w:line="280" w:lineRule="exact"/>
                    <w:rPr>
                      <w:color w:val="auto"/>
                      <w:highlight w:val="none"/>
                    </w:rPr>
                  </w:pPr>
                </w:p>
              </w:tc>
              <w:tc>
                <w:tcPr>
                  <w:tcW w:w="931" w:type="dxa"/>
                  <w:shd w:val="clear" w:color="auto" w:fill="auto"/>
                </w:tcPr>
                <w:p>
                  <w:pPr>
                    <w:spacing w:line="280" w:lineRule="exact"/>
                    <w:rPr>
                      <w:color w:val="auto"/>
                      <w:highlight w:val="none"/>
                    </w:rPr>
                  </w:pPr>
                </w:p>
              </w:tc>
            </w:tr>
          </w:tbl>
          <w:p>
            <w:pPr>
              <w:wordWrap w:val="0"/>
              <w:spacing w:line="400" w:lineRule="exact"/>
              <w:ind w:right="420"/>
              <w:rPr>
                <w:color w:val="auto"/>
                <w:highlight w:val="none"/>
              </w:rPr>
            </w:pPr>
            <w:r>
              <w:rPr>
                <w:rFonts w:hint="eastAsia"/>
                <w:color w:val="auto"/>
                <w:highlight w:val="none"/>
              </w:rPr>
              <w:t>附：上述3、4详见附件清单。</w:t>
            </w:r>
          </w:p>
          <w:p>
            <w:pPr>
              <w:wordWrap w:val="0"/>
              <w:spacing w:line="400" w:lineRule="exact"/>
              <w:ind w:right="420"/>
              <w:rPr>
                <w:color w:val="auto"/>
                <w:highlight w:val="none"/>
              </w:rPr>
            </w:pPr>
            <w:r>
              <w:rPr>
                <w:rFonts w:hint="eastAsia"/>
                <w:color w:val="auto"/>
                <w:highlight w:val="none"/>
              </w:rPr>
              <w:t xml:space="preserve">                                            承包人（章）             </w:t>
            </w:r>
          </w:p>
          <w:p>
            <w:pPr>
              <w:spacing w:line="400" w:lineRule="exact"/>
              <w:ind w:right="420" w:firstLine="435"/>
              <w:rPr>
                <w:color w:val="auto"/>
                <w:highlight w:val="none"/>
              </w:rPr>
            </w:pPr>
            <w:r>
              <w:rPr>
                <w:rFonts w:hint="eastAsia"/>
                <w:color w:val="auto"/>
                <w:highlight w:val="none"/>
              </w:rPr>
              <w:t>造价人员</w:t>
            </w:r>
            <w:r>
              <w:rPr>
                <w:rFonts w:hint="eastAsia"/>
                <w:color w:val="auto"/>
                <w:highlight w:val="none"/>
                <w:u w:val="single"/>
              </w:rPr>
              <w:t xml:space="preserve">               </w:t>
            </w:r>
            <w:r>
              <w:rPr>
                <w:rFonts w:hint="eastAsia"/>
                <w:color w:val="auto"/>
                <w:highlight w:val="none"/>
              </w:rPr>
              <w:t>承包人代表</w:t>
            </w:r>
            <w:r>
              <w:rPr>
                <w:rFonts w:hint="eastAsia"/>
                <w:color w:val="auto"/>
                <w:highlight w:val="none"/>
                <w:u w:val="single"/>
              </w:rPr>
              <w:t xml:space="preserve">               </w:t>
            </w:r>
            <w:r>
              <w:rPr>
                <w:rFonts w:hint="eastAsia"/>
                <w:color w:val="auto"/>
                <w:highlight w:val="none"/>
              </w:rPr>
              <w:t>日      期</w:t>
            </w:r>
            <w:r>
              <w:rPr>
                <w:rFonts w:hint="eastAsia"/>
                <w:color w:val="auto"/>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2" w:hRule="atLeast"/>
          <w:jc w:val="center"/>
        </w:trPr>
        <w:tc>
          <w:tcPr>
            <w:tcW w:w="4520" w:type="dxa"/>
            <w:shd w:val="clear" w:color="auto" w:fill="auto"/>
          </w:tcPr>
          <w:p>
            <w:pPr>
              <w:spacing w:line="360" w:lineRule="exact"/>
              <w:rPr>
                <w:color w:val="auto"/>
                <w:highlight w:val="none"/>
              </w:rPr>
            </w:pPr>
            <w:r>
              <w:rPr>
                <w:rFonts w:hint="eastAsia"/>
                <w:color w:val="auto"/>
                <w:highlight w:val="none"/>
              </w:rPr>
              <w:t>复核意见：</w:t>
            </w:r>
          </w:p>
          <w:p>
            <w:pPr>
              <w:spacing w:line="360" w:lineRule="exact"/>
              <w:ind w:firstLine="312"/>
              <w:rPr>
                <w:color w:val="auto"/>
                <w:highlight w:val="none"/>
              </w:rPr>
            </w:pPr>
            <w:r>
              <w:rPr>
                <w:rFonts w:hint="eastAsia"/>
                <w:color w:val="auto"/>
                <w:highlight w:val="none"/>
              </w:rPr>
              <w:t>□与实际施工情况不相符，修改意见见附件。</w:t>
            </w:r>
          </w:p>
          <w:p>
            <w:pPr>
              <w:spacing w:line="360" w:lineRule="exact"/>
              <w:ind w:firstLine="312"/>
              <w:rPr>
                <w:color w:val="auto"/>
                <w:highlight w:val="none"/>
              </w:rPr>
            </w:pPr>
            <w:r>
              <w:rPr>
                <w:rFonts w:hint="eastAsia"/>
                <w:color w:val="auto"/>
                <w:highlight w:val="none"/>
              </w:rPr>
              <w:t>□与实际施工情况相符，具体金额由造价工程师复核。</w:t>
            </w:r>
          </w:p>
          <w:p>
            <w:pPr>
              <w:spacing w:line="360" w:lineRule="exact"/>
              <w:ind w:firstLine="435"/>
              <w:jc w:val="right"/>
              <w:rPr>
                <w:color w:val="auto"/>
                <w:highlight w:val="none"/>
              </w:rPr>
            </w:pPr>
          </w:p>
          <w:p>
            <w:pPr>
              <w:spacing w:line="360" w:lineRule="exact"/>
              <w:ind w:firstLine="435"/>
              <w:jc w:val="center"/>
              <w:rPr>
                <w:color w:val="auto"/>
                <w:highlight w:val="none"/>
                <w:u w:val="single"/>
              </w:rPr>
            </w:pPr>
            <w:r>
              <w:rPr>
                <w:color w:val="auto"/>
                <w:highlight w:val="none"/>
              </w:rPr>
              <w:t xml:space="preserve">    </w:t>
            </w:r>
            <w:r>
              <w:rPr>
                <w:rFonts w:hint="eastAsia"/>
                <w:color w:val="auto"/>
                <w:highlight w:val="none"/>
              </w:rPr>
              <w:t xml:space="preserve">     监理工程师</w:t>
            </w:r>
            <w:r>
              <w:rPr>
                <w:rFonts w:hint="eastAsia"/>
                <w:color w:val="auto"/>
                <w:highlight w:val="none"/>
                <w:u w:val="single"/>
              </w:rPr>
              <w:t xml:space="preserve">           </w:t>
            </w:r>
          </w:p>
          <w:p>
            <w:pPr>
              <w:spacing w:line="360" w:lineRule="exact"/>
              <w:ind w:firstLine="435"/>
              <w:jc w:val="center"/>
              <w:rPr>
                <w:color w:val="auto"/>
                <w:highlight w:val="none"/>
                <w:u w:val="single"/>
              </w:rPr>
            </w:pPr>
            <w:r>
              <w:rPr>
                <w:color w:val="auto"/>
                <w:highlight w:val="none"/>
              </w:rPr>
              <w:t xml:space="preserve">    </w:t>
            </w:r>
            <w:r>
              <w:rPr>
                <w:rFonts w:hint="eastAsia"/>
                <w:color w:val="auto"/>
                <w:highlight w:val="none"/>
              </w:rPr>
              <w:t xml:space="preserve">    日      期</w:t>
            </w:r>
            <w:r>
              <w:rPr>
                <w:rFonts w:hint="eastAsia"/>
                <w:color w:val="auto"/>
                <w:highlight w:val="none"/>
                <w:u w:val="single"/>
              </w:rPr>
              <w:t xml:space="preserve">           </w:t>
            </w:r>
          </w:p>
        </w:tc>
        <w:tc>
          <w:tcPr>
            <w:tcW w:w="4552" w:type="dxa"/>
            <w:shd w:val="clear" w:color="auto" w:fill="auto"/>
          </w:tcPr>
          <w:p>
            <w:pPr>
              <w:spacing w:line="360" w:lineRule="exact"/>
              <w:rPr>
                <w:color w:val="auto"/>
                <w:highlight w:val="none"/>
              </w:rPr>
            </w:pPr>
            <w:r>
              <w:rPr>
                <w:rFonts w:hint="eastAsia"/>
                <w:color w:val="auto"/>
                <w:highlight w:val="none"/>
              </w:rPr>
              <w:t>复核意见：</w:t>
            </w:r>
          </w:p>
          <w:p>
            <w:pPr>
              <w:spacing w:line="360" w:lineRule="exact"/>
              <w:ind w:firstLine="435"/>
              <w:rPr>
                <w:color w:val="auto"/>
                <w:highlight w:val="none"/>
              </w:rPr>
            </w:pPr>
            <w:r>
              <w:rPr>
                <w:rFonts w:hint="eastAsia"/>
                <w:color w:val="auto"/>
                <w:highlight w:val="none"/>
              </w:rPr>
              <w:t>你方提出的支付申请经复核，本周期已完成工程价款为(大写)</w:t>
            </w:r>
            <w:r>
              <w:rPr>
                <w:rFonts w:hint="eastAsia"/>
                <w:color w:val="auto"/>
                <w:highlight w:val="none"/>
                <w:u w:val="single"/>
              </w:rPr>
              <w:t xml:space="preserve">                </w:t>
            </w:r>
            <w:r>
              <w:rPr>
                <w:rFonts w:hint="eastAsia"/>
                <w:color w:val="auto"/>
                <w:highlight w:val="none"/>
              </w:rPr>
              <w:t>元，（小写）</w:t>
            </w:r>
          </w:p>
          <w:p>
            <w:pPr>
              <w:spacing w:line="360" w:lineRule="exact"/>
              <w:rPr>
                <w:color w:val="auto"/>
                <w:highlight w:val="none"/>
              </w:rPr>
            </w:pPr>
            <w:r>
              <w:rPr>
                <w:rFonts w:hint="eastAsia"/>
                <w:color w:val="auto"/>
                <w:highlight w:val="none"/>
                <w:u w:val="single"/>
              </w:rPr>
              <w:t xml:space="preserve">          </w:t>
            </w:r>
            <w:r>
              <w:rPr>
                <w:rFonts w:hint="eastAsia"/>
                <w:color w:val="auto"/>
                <w:highlight w:val="none"/>
              </w:rPr>
              <w:t xml:space="preserve"> 元，本期间应支付金额为（大写）</w:t>
            </w:r>
          </w:p>
          <w:p>
            <w:pPr>
              <w:spacing w:line="360" w:lineRule="exact"/>
              <w:rPr>
                <w:color w:val="auto"/>
                <w:highlight w:val="none"/>
                <w:u w:val="single"/>
              </w:rPr>
            </w:pPr>
            <w:r>
              <w:rPr>
                <w:rFonts w:hint="eastAsia"/>
                <w:color w:val="auto"/>
                <w:highlight w:val="none"/>
                <w:u w:val="single"/>
              </w:rPr>
              <w:t xml:space="preserve">                 </w:t>
            </w:r>
            <w:r>
              <w:rPr>
                <w:rFonts w:hint="eastAsia"/>
                <w:color w:val="auto"/>
                <w:highlight w:val="none"/>
              </w:rPr>
              <w:t>元，（小写）</w:t>
            </w:r>
            <w:r>
              <w:rPr>
                <w:rFonts w:hint="eastAsia"/>
                <w:color w:val="auto"/>
                <w:highlight w:val="none"/>
                <w:u w:val="single"/>
              </w:rPr>
              <w:t xml:space="preserve">         </w:t>
            </w:r>
            <w:r>
              <w:rPr>
                <w:rFonts w:hint="eastAsia"/>
                <w:color w:val="auto"/>
                <w:highlight w:val="none"/>
              </w:rPr>
              <w:t>元。</w:t>
            </w:r>
          </w:p>
          <w:p>
            <w:pPr>
              <w:spacing w:line="360" w:lineRule="exact"/>
              <w:ind w:firstLine="435"/>
              <w:jc w:val="center"/>
              <w:rPr>
                <w:color w:val="auto"/>
                <w:highlight w:val="none"/>
                <w:u w:val="single"/>
              </w:rPr>
            </w:pPr>
            <w:r>
              <w:rPr>
                <w:color w:val="auto"/>
                <w:highlight w:val="none"/>
              </w:rPr>
              <w:t xml:space="preserve">    </w:t>
            </w:r>
            <w:r>
              <w:rPr>
                <w:rFonts w:hint="eastAsia"/>
                <w:color w:val="auto"/>
                <w:highlight w:val="none"/>
              </w:rPr>
              <w:t xml:space="preserve">    造价工程师</w:t>
            </w:r>
            <w:r>
              <w:rPr>
                <w:rFonts w:hint="eastAsia"/>
                <w:color w:val="auto"/>
                <w:highlight w:val="none"/>
                <w:u w:val="single"/>
              </w:rPr>
              <w:t xml:space="preserve">           </w:t>
            </w:r>
          </w:p>
          <w:p>
            <w:pPr>
              <w:spacing w:line="360" w:lineRule="exact"/>
              <w:ind w:firstLine="435"/>
              <w:jc w:val="center"/>
              <w:rPr>
                <w:color w:val="auto"/>
                <w:highlight w:val="none"/>
                <w:u w:val="single"/>
              </w:rPr>
            </w:pPr>
            <w:r>
              <w:rPr>
                <w:color w:val="auto"/>
                <w:highlight w:val="none"/>
              </w:rPr>
              <w:t xml:space="preserve">    </w:t>
            </w:r>
            <w:r>
              <w:rPr>
                <w:rFonts w:hint="eastAsia"/>
                <w:color w:val="auto"/>
                <w:highlight w:val="none"/>
              </w:rPr>
              <w:t>日      期</w:t>
            </w:r>
            <w:r>
              <w:rPr>
                <w:rFonts w:hint="eastAsia"/>
                <w:color w:val="auto"/>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1" w:hRule="atLeast"/>
          <w:jc w:val="center"/>
        </w:trPr>
        <w:tc>
          <w:tcPr>
            <w:tcW w:w="9072" w:type="dxa"/>
            <w:gridSpan w:val="2"/>
            <w:shd w:val="clear" w:color="auto" w:fill="auto"/>
          </w:tcPr>
          <w:p>
            <w:pPr>
              <w:spacing w:line="400" w:lineRule="exact"/>
              <w:rPr>
                <w:color w:val="auto"/>
                <w:highlight w:val="none"/>
              </w:rPr>
            </w:pPr>
            <w:r>
              <w:rPr>
                <w:rFonts w:hint="eastAsia"/>
                <w:color w:val="auto"/>
                <w:highlight w:val="none"/>
              </w:rPr>
              <w:t>审核意见：</w:t>
            </w:r>
          </w:p>
          <w:p>
            <w:pPr>
              <w:spacing w:line="400" w:lineRule="exact"/>
              <w:ind w:firstLine="435"/>
              <w:rPr>
                <w:color w:val="auto"/>
                <w:highlight w:val="none"/>
              </w:rPr>
            </w:pPr>
            <w:r>
              <w:rPr>
                <w:rFonts w:hint="eastAsia"/>
                <w:color w:val="auto"/>
                <w:highlight w:val="none"/>
              </w:rPr>
              <w:t>□不同意。</w:t>
            </w:r>
          </w:p>
          <w:p>
            <w:pPr>
              <w:spacing w:line="400" w:lineRule="exact"/>
              <w:ind w:firstLine="420" w:firstLineChars="200"/>
              <w:rPr>
                <w:color w:val="auto"/>
                <w:highlight w:val="none"/>
              </w:rPr>
            </w:pPr>
            <w:r>
              <w:rPr>
                <w:rFonts w:hint="eastAsia"/>
                <w:color w:val="auto"/>
                <w:highlight w:val="none"/>
              </w:rPr>
              <w:t>□同意，支付时间为本表签发后的</w:t>
            </w:r>
            <w:r>
              <w:rPr>
                <w:rFonts w:hint="eastAsia"/>
                <w:color w:val="auto"/>
                <w:highlight w:val="none"/>
                <w:u w:val="single"/>
              </w:rPr>
              <w:t xml:space="preserve"> </w:t>
            </w:r>
            <w:r>
              <w:rPr>
                <w:color w:val="auto"/>
                <w:highlight w:val="none"/>
                <w:u w:val="single"/>
              </w:rPr>
              <w:t xml:space="preserve">   </w:t>
            </w:r>
            <w:r>
              <w:rPr>
                <w:rFonts w:hint="eastAsia"/>
                <w:color w:val="auto"/>
                <w:highlight w:val="none"/>
              </w:rPr>
              <w:t>天内。</w:t>
            </w:r>
          </w:p>
          <w:p>
            <w:pPr>
              <w:wordWrap w:val="0"/>
              <w:spacing w:line="400" w:lineRule="exact"/>
              <w:ind w:firstLine="420" w:firstLineChars="200"/>
              <w:jc w:val="right"/>
              <w:rPr>
                <w:color w:val="auto"/>
                <w:highlight w:val="none"/>
              </w:rPr>
            </w:pPr>
            <w:r>
              <w:rPr>
                <w:rFonts w:hint="eastAsia"/>
                <w:color w:val="auto"/>
                <w:highlight w:val="none"/>
              </w:rPr>
              <w:t xml:space="preserve">发包人（章）           </w:t>
            </w:r>
          </w:p>
          <w:p>
            <w:pPr>
              <w:wordWrap w:val="0"/>
              <w:spacing w:line="400" w:lineRule="exact"/>
              <w:ind w:firstLine="420" w:firstLineChars="200"/>
              <w:jc w:val="right"/>
              <w:rPr>
                <w:color w:val="auto"/>
                <w:highlight w:val="none"/>
                <w:u w:val="single"/>
              </w:rPr>
            </w:pPr>
            <w:r>
              <w:rPr>
                <w:rFonts w:hint="eastAsia"/>
                <w:color w:val="auto"/>
                <w:highlight w:val="none"/>
              </w:rPr>
              <w:t>发包人代表</w:t>
            </w:r>
            <w:r>
              <w:rPr>
                <w:rFonts w:hint="eastAsia"/>
                <w:color w:val="auto"/>
                <w:highlight w:val="none"/>
                <w:u w:val="single"/>
              </w:rPr>
              <w:t xml:space="preserve">             </w:t>
            </w:r>
          </w:p>
          <w:p>
            <w:pPr>
              <w:wordWrap w:val="0"/>
              <w:spacing w:line="400" w:lineRule="exact"/>
              <w:ind w:firstLine="420" w:firstLineChars="200"/>
              <w:jc w:val="right"/>
              <w:rPr>
                <w:color w:val="auto"/>
                <w:highlight w:val="none"/>
                <w:u w:val="single"/>
              </w:rPr>
            </w:pPr>
            <w:r>
              <w:rPr>
                <w:rFonts w:hint="eastAsia"/>
                <w:color w:val="auto"/>
                <w:highlight w:val="none"/>
              </w:rPr>
              <w:t>日      期</w:t>
            </w:r>
            <w:r>
              <w:rPr>
                <w:rFonts w:hint="eastAsia"/>
                <w:color w:val="auto"/>
                <w:highlight w:val="none"/>
                <w:u w:val="single"/>
              </w:rPr>
              <w:t xml:space="preserve">             </w:t>
            </w:r>
          </w:p>
        </w:tc>
      </w:tr>
    </w:tbl>
    <w:p>
      <w:pPr>
        <w:spacing w:beforeLines="50"/>
        <w:ind w:firstLine="360" w:firstLineChars="200"/>
        <w:rPr>
          <w:color w:val="auto"/>
          <w:sz w:val="18"/>
          <w:szCs w:val="18"/>
          <w:highlight w:val="none"/>
        </w:rPr>
      </w:pPr>
      <w:r>
        <w:rPr>
          <w:rFonts w:hint="eastAsia"/>
          <w:color w:val="auto"/>
          <w:sz w:val="18"/>
          <w:szCs w:val="18"/>
          <w:highlight w:val="none"/>
        </w:rPr>
        <w:t xml:space="preserve">注：1.在选择栏中的“□”内作标识“√”。 </w:t>
      </w:r>
    </w:p>
    <w:p>
      <w:pPr>
        <w:spacing w:beforeLines="50"/>
        <w:ind w:left="720" w:hanging="720" w:hangingChars="400"/>
        <w:rPr>
          <w:color w:val="auto"/>
          <w:sz w:val="18"/>
          <w:szCs w:val="18"/>
          <w:highlight w:val="none"/>
        </w:rPr>
      </w:pPr>
      <w:r>
        <w:rPr>
          <w:rFonts w:hint="eastAsia"/>
          <w:color w:val="auto"/>
          <w:sz w:val="18"/>
          <w:szCs w:val="18"/>
          <w:highlight w:val="none"/>
        </w:rPr>
        <w:t xml:space="preserve">    </w:t>
      </w:r>
      <w:r>
        <w:rPr>
          <w:color w:val="auto"/>
          <w:sz w:val="18"/>
          <w:szCs w:val="18"/>
          <w:highlight w:val="none"/>
        </w:rPr>
        <w:t xml:space="preserve">  </w:t>
      </w:r>
      <w:r>
        <w:rPr>
          <w:rFonts w:hint="eastAsia"/>
          <w:color w:val="auto"/>
          <w:sz w:val="18"/>
          <w:szCs w:val="18"/>
          <w:highlight w:val="none"/>
        </w:rPr>
        <w:t xml:space="preserve">  2.本表一式四份，由承包人填报，发包人、监理人、造价咨询人、承包人各存一份。</w:t>
      </w:r>
    </w:p>
    <w:p>
      <w:pPr>
        <w:spacing w:beforeLines="50"/>
        <w:ind w:left="840" w:hanging="840" w:hangingChars="400"/>
        <w:rPr>
          <w:rFonts w:ascii="宋体"/>
          <w:color w:val="auto"/>
          <w:highlight w:val="none"/>
        </w:rPr>
      </w:pPr>
    </w:p>
    <w:p>
      <w:pPr>
        <w:jc w:val="left"/>
        <w:rPr>
          <w:color w:val="auto"/>
          <w:sz w:val="30"/>
          <w:szCs w:val="30"/>
          <w:highlight w:val="none"/>
        </w:rPr>
      </w:pPr>
      <w:r>
        <w:rPr>
          <w:rFonts w:hint="eastAsia"/>
          <w:color w:val="auto"/>
          <w:sz w:val="30"/>
          <w:szCs w:val="30"/>
          <w:highlight w:val="none"/>
        </w:rPr>
        <w:t>附件12</w:t>
      </w:r>
    </w:p>
    <w:p>
      <w:pPr>
        <w:jc w:val="center"/>
        <w:rPr>
          <w:b/>
          <w:color w:val="auto"/>
          <w:sz w:val="36"/>
          <w:szCs w:val="36"/>
          <w:highlight w:val="none"/>
        </w:rPr>
      </w:pPr>
      <w:r>
        <w:rPr>
          <w:rFonts w:hint="eastAsia"/>
          <w:b/>
          <w:color w:val="auto"/>
          <w:sz w:val="36"/>
          <w:szCs w:val="36"/>
          <w:highlight w:val="none"/>
        </w:rPr>
        <w:t>竣工结算款支付申请（核准）表</w:t>
      </w:r>
    </w:p>
    <w:p>
      <w:pPr>
        <w:rPr>
          <w:color w:val="auto"/>
          <w:sz w:val="24"/>
          <w:szCs w:val="24"/>
          <w:highlight w:val="none"/>
        </w:rPr>
      </w:pPr>
      <w:r>
        <w:rPr>
          <w:rFonts w:hint="eastAsia"/>
          <w:color w:val="auto"/>
          <w:sz w:val="24"/>
          <w:szCs w:val="24"/>
          <w:highlight w:val="none"/>
        </w:rPr>
        <w:t>工程名称：                                              编号：</w:t>
      </w:r>
    </w:p>
    <w:tbl>
      <w:tblPr>
        <w:tblStyle w:val="42"/>
        <w:tblW w:w="90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9"/>
        <w:gridCol w:w="4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80" w:hRule="atLeast"/>
          <w:jc w:val="center"/>
        </w:trPr>
        <w:tc>
          <w:tcPr>
            <w:tcW w:w="9072" w:type="dxa"/>
            <w:gridSpan w:val="2"/>
            <w:shd w:val="clear" w:color="auto" w:fill="auto"/>
          </w:tcPr>
          <w:p>
            <w:pPr>
              <w:spacing w:line="480" w:lineRule="exact"/>
              <w:ind w:left="525" w:leftChars="149" w:hanging="212" w:hangingChars="101"/>
              <w:rPr>
                <w:color w:val="auto"/>
                <w:highlight w:val="none"/>
                <w:u w:val="single"/>
              </w:rPr>
            </w:pPr>
            <w:r>
              <w:rPr>
                <w:rFonts w:hint="eastAsia"/>
                <w:color w:val="auto"/>
                <w:highlight w:val="none"/>
              </w:rPr>
              <w:t>致：</w:t>
            </w:r>
            <w:r>
              <w:rPr>
                <w:rFonts w:hint="eastAsia"/>
                <w:color w:val="auto"/>
                <w:highlight w:val="none"/>
                <w:u w:val="single"/>
              </w:rPr>
              <w:t xml:space="preserve">                                   （发包人全称）</w:t>
            </w:r>
          </w:p>
          <w:p>
            <w:pPr>
              <w:spacing w:line="400" w:lineRule="exact"/>
              <w:ind w:left="-4" w:leftChars="-2" w:firstLine="315" w:firstLineChars="150"/>
              <w:rPr>
                <w:color w:val="auto"/>
                <w:highlight w:val="none"/>
              </w:rPr>
            </w:pPr>
            <w:r>
              <w:rPr>
                <w:rFonts w:hint="eastAsia"/>
                <w:color w:val="auto"/>
                <w:highlight w:val="none"/>
              </w:rPr>
              <w:t>我方于</w:t>
            </w:r>
            <w:r>
              <w:rPr>
                <w:rFonts w:hint="eastAsia"/>
                <w:color w:val="auto"/>
                <w:highlight w:val="none"/>
                <w:u w:val="single"/>
              </w:rPr>
              <w:t xml:space="preserve">         </w:t>
            </w:r>
            <w:r>
              <w:rPr>
                <w:rFonts w:hint="eastAsia"/>
                <w:color w:val="auto"/>
                <w:highlight w:val="none"/>
              </w:rPr>
              <w:t>至</w:t>
            </w:r>
            <w:r>
              <w:rPr>
                <w:rFonts w:hint="eastAsia"/>
                <w:color w:val="auto"/>
                <w:highlight w:val="none"/>
                <w:u w:val="single"/>
              </w:rPr>
              <w:t xml:space="preserve">          </w:t>
            </w:r>
            <w:r>
              <w:rPr>
                <w:rFonts w:hint="eastAsia"/>
                <w:color w:val="auto"/>
                <w:highlight w:val="none"/>
              </w:rPr>
              <w:t>期间已完成了合同约定的工作，根据施工合同的约定，现申请支付竣工结算的工程款额为(大写)</w:t>
            </w:r>
            <w:r>
              <w:rPr>
                <w:rFonts w:hint="eastAsia"/>
                <w:color w:val="auto"/>
                <w:highlight w:val="none"/>
                <w:u w:val="single"/>
              </w:rPr>
              <w:t xml:space="preserve">            </w:t>
            </w:r>
            <w:r>
              <w:rPr>
                <w:rFonts w:hint="eastAsia"/>
                <w:color w:val="auto"/>
                <w:highlight w:val="none"/>
              </w:rPr>
              <w:t>元，(小写)</w:t>
            </w:r>
            <w:r>
              <w:rPr>
                <w:rFonts w:hint="eastAsia"/>
                <w:color w:val="auto"/>
                <w:highlight w:val="none"/>
                <w:u w:val="single"/>
              </w:rPr>
              <w:t xml:space="preserve">         </w:t>
            </w:r>
            <w:r>
              <w:rPr>
                <w:rFonts w:hint="eastAsia"/>
                <w:color w:val="auto"/>
                <w:highlight w:val="none"/>
              </w:rPr>
              <w:t>元，请予核准。</w:t>
            </w:r>
          </w:p>
          <w:tbl>
            <w:tblPr>
              <w:tblStyle w:val="42"/>
              <w:tblpPr w:leftFromText="180" w:rightFromText="180" w:vertAnchor="page" w:horzAnchor="margin" w:tblpY="1309"/>
              <w:tblOverlap w:val="never"/>
              <w:tblW w:w="8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420"/>
              <w:gridCol w:w="1620"/>
              <w:gridCol w:w="1620"/>
              <w:gridCol w:w="1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trPr>
              <w:tc>
                <w:tcPr>
                  <w:tcW w:w="535" w:type="dxa"/>
                  <w:shd w:val="clear" w:color="auto" w:fill="auto"/>
                  <w:vAlign w:val="center"/>
                </w:tcPr>
                <w:p>
                  <w:pPr>
                    <w:spacing w:line="280" w:lineRule="exact"/>
                    <w:jc w:val="center"/>
                    <w:rPr>
                      <w:color w:val="auto"/>
                      <w:highlight w:val="none"/>
                    </w:rPr>
                  </w:pPr>
                  <w:r>
                    <w:rPr>
                      <w:rFonts w:hint="eastAsia"/>
                      <w:color w:val="auto"/>
                      <w:highlight w:val="none"/>
                    </w:rPr>
                    <w:t>序号</w:t>
                  </w:r>
                </w:p>
              </w:tc>
              <w:tc>
                <w:tcPr>
                  <w:tcW w:w="3420" w:type="dxa"/>
                  <w:shd w:val="clear" w:color="auto" w:fill="auto"/>
                  <w:vAlign w:val="center"/>
                </w:tcPr>
                <w:p>
                  <w:pPr>
                    <w:spacing w:line="280" w:lineRule="exact"/>
                    <w:jc w:val="center"/>
                    <w:rPr>
                      <w:color w:val="auto"/>
                      <w:highlight w:val="none"/>
                    </w:rPr>
                  </w:pPr>
                  <w:r>
                    <w:rPr>
                      <w:rFonts w:hint="eastAsia"/>
                      <w:color w:val="auto"/>
                      <w:highlight w:val="none"/>
                    </w:rPr>
                    <w:t>名      称</w:t>
                  </w:r>
                </w:p>
              </w:tc>
              <w:tc>
                <w:tcPr>
                  <w:tcW w:w="1620" w:type="dxa"/>
                  <w:shd w:val="clear" w:color="auto" w:fill="auto"/>
                  <w:vAlign w:val="center"/>
                </w:tcPr>
                <w:p>
                  <w:pPr>
                    <w:spacing w:line="280" w:lineRule="exact"/>
                    <w:jc w:val="center"/>
                    <w:rPr>
                      <w:color w:val="auto"/>
                      <w:highlight w:val="none"/>
                    </w:rPr>
                  </w:pPr>
                  <w:r>
                    <w:rPr>
                      <w:rFonts w:hint="eastAsia"/>
                      <w:color w:val="auto"/>
                      <w:highlight w:val="none"/>
                    </w:rPr>
                    <w:t>申请金额（元）</w:t>
                  </w:r>
                </w:p>
              </w:tc>
              <w:tc>
                <w:tcPr>
                  <w:tcW w:w="1620" w:type="dxa"/>
                  <w:shd w:val="clear" w:color="auto" w:fill="auto"/>
                  <w:vAlign w:val="center"/>
                </w:tcPr>
                <w:p>
                  <w:pPr>
                    <w:spacing w:line="280" w:lineRule="exact"/>
                    <w:jc w:val="center"/>
                    <w:rPr>
                      <w:color w:val="auto"/>
                      <w:highlight w:val="none"/>
                    </w:rPr>
                  </w:pPr>
                  <w:r>
                    <w:rPr>
                      <w:rFonts w:hint="eastAsia"/>
                      <w:color w:val="auto"/>
                      <w:highlight w:val="none"/>
                    </w:rPr>
                    <w:t>复核金额（元）</w:t>
                  </w:r>
                </w:p>
              </w:tc>
              <w:tc>
                <w:tcPr>
                  <w:tcW w:w="1651" w:type="dxa"/>
                  <w:shd w:val="clear" w:color="auto" w:fill="auto"/>
                  <w:vAlign w:val="center"/>
                </w:tcPr>
                <w:p>
                  <w:pPr>
                    <w:spacing w:line="280" w:lineRule="exact"/>
                    <w:jc w:val="center"/>
                    <w:rPr>
                      <w:color w:val="auto"/>
                      <w:highlight w:val="none"/>
                    </w:rPr>
                  </w:pPr>
                  <w:r>
                    <w:rPr>
                      <w:rFonts w:hint="eastAsia"/>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shd w:val="clear" w:color="auto" w:fill="auto"/>
                </w:tcPr>
                <w:p>
                  <w:pPr>
                    <w:spacing w:line="280" w:lineRule="exact"/>
                    <w:jc w:val="center"/>
                    <w:rPr>
                      <w:color w:val="auto"/>
                      <w:highlight w:val="none"/>
                    </w:rPr>
                  </w:pPr>
                  <w:r>
                    <w:rPr>
                      <w:rFonts w:hint="eastAsia"/>
                      <w:color w:val="auto"/>
                      <w:highlight w:val="none"/>
                    </w:rPr>
                    <w:t>1</w:t>
                  </w:r>
                </w:p>
              </w:tc>
              <w:tc>
                <w:tcPr>
                  <w:tcW w:w="3420" w:type="dxa"/>
                  <w:shd w:val="clear" w:color="auto" w:fill="auto"/>
                </w:tcPr>
                <w:p>
                  <w:pPr>
                    <w:spacing w:line="280" w:lineRule="exact"/>
                    <w:rPr>
                      <w:color w:val="auto"/>
                      <w:highlight w:val="none"/>
                    </w:rPr>
                  </w:pPr>
                  <w:r>
                    <w:rPr>
                      <w:rFonts w:hint="eastAsia"/>
                      <w:color w:val="auto"/>
                      <w:highlight w:val="none"/>
                    </w:rPr>
                    <w:t>竣工结算合同价款总额</w:t>
                  </w:r>
                </w:p>
              </w:tc>
              <w:tc>
                <w:tcPr>
                  <w:tcW w:w="1620" w:type="dxa"/>
                  <w:shd w:val="clear" w:color="auto" w:fill="auto"/>
                </w:tcPr>
                <w:p>
                  <w:pPr>
                    <w:spacing w:line="280" w:lineRule="exact"/>
                    <w:rPr>
                      <w:color w:val="auto"/>
                      <w:highlight w:val="none"/>
                    </w:rPr>
                  </w:pPr>
                </w:p>
              </w:tc>
              <w:tc>
                <w:tcPr>
                  <w:tcW w:w="1620" w:type="dxa"/>
                  <w:shd w:val="clear" w:color="auto" w:fill="auto"/>
                </w:tcPr>
                <w:p>
                  <w:pPr>
                    <w:spacing w:line="280" w:lineRule="exact"/>
                    <w:rPr>
                      <w:color w:val="auto"/>
                      <w:highlight w:val="none"/>
                    </w:rPr>
                  </w:pPr>
                </w:p>
              </w:tc>
              <w:tc>
                <w:tcPr>
                  <w:tcW w:w="1651" w:type="dxa"/>
                  <w:shd w:val="clear" w:color="auto" w:fill="auto"/>
                </w:tcPr>
                <w:p>
                  <w:pPr>
                    <w:spacing w:line="2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shd w:val="clear" w:color="auto" w:fill="auto"/>
                </w:tcPr>
                <w:p>
                  <w:pPr>
                    <w:spacing w:line="280" w:lineRule="exact"/>
                    <w:jc w:val="center"/>
                    <w:rPr>
                      <w:color w:val="auto"/>
                      <w:highlight w:val="none"/>
                    </w:rPr>
                  </w:pPr>
                  <w:r>
                    <w:rPr>
                      <w:rFonts w:hint="eastAsia"/>
                      <w:color w:val="auto"/>
                      <w:highlight w:val="none"/>
                    </w:rPr>
                    <w:t>2</w:t>
                  </w:r>
                </w:p>
              </w:tc>
              <w:tc>
                <w:tcPr>
                  <w:tcW w:w="3420" w:type="dxa"/>
                  <w:shd w:val="clear" w:color="auto" w:fill="auto"/>
                </w:tcPr>
                <w:p>
                  <w:pPr>
                    <w:spacing w:line="280" w:lineRule="exact"/>
                    <w:rPr>
                      <w:color w:val="auto"/>
                      <w:highlight w:val="none"/>
                    </w:rPr>
                  </w:pPr>
                  <w:r>
                    <w:rPr>
                      <w:rFonts w:hint="eastAsia"/>
                      <w:color w:val="auto"/>
                      <w:highlight w:val="none"/>
                    </w:rPr>
                    <w:t>累计已实际支付的合同价款</w:t>
                  </w:r>
                </w:p>
              </w:tc>
              <w:tc>
                <w:tcPr>
                  <w:tcW w:w="1620" w:type="dxa"/>
                  <w:shd w:val="clear" w:color="auto" w:fill="auto"/>
                </w:tcPr>
                <w:p>
                  <w:pPr>
                    <w:spacing w:line="280" w:lineRule="exact"/>
                    <w:rPr>
                      <w:color w:val="auto"/>
                      <w:highlight w:val="none"/>
                    </w:rPr>
                  </w:pPr>
                </w:p>
              </w:tc>
              <w:tc>
                <w:tcPr>
                  <w:tcW w:w="1620" w:type="dxa"/>
                  <w:shd w:val="clear" w:color="auto" w:fill="auto"/>
                </w:tcPr>
                <w:p>
                  <w:pPr>
                    <w:spacing w:line="280" w:lineRule="exact"/>
                    <w:rPr>
                      <w:color w:val="auto"/>
                      <w:highlight w:val="none"/>
                    </w:rPr>
                  </w:pPr>
                </w:p>
              </w:tc>
              <w:tc>
                <w:tcPr>
                  <w:tcW w:w="1651" w:type="dxa"/>
                  <w:shd w:val="clear" w:color="auto" w:fill="auto"/>
                </w:tcPr>
                <w:p>
                  <w:pPr>
                    <w:spacing w:line="2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shd w:val="clear" w:color="auto" w:fill="auto"/>
                </w:tcPr>
                <w:p>
                  <w:pPr>
                    <w:spacing w:line="280" w:lineRule="exact"/>
                    <w:jc w:val="center"/>
                    <w:rPr>
                      <w:color w:val="auto"/>
                      <w:highlight w:val="none"/>
                    </w:rPr>
                  </w:pPr>
                  <w:r>
                    <w:rPr>
                      <w:rFonts w:hint="eastAsia"/>
                      <w:color w:val="auto"/>
                      <w:highlight w:val="none"/>
                    </w:rPr>
                    <w:t>3</w:t>
                  </w:r>
                </w:p>
              </w:tc>
              <w:tc>
                <w:tcPr>
                  <w:tcW w:w="3420" w:type="dxa"/>
                  <w:shd w:val="clear" w:color="auto" w:fill="auto"/>
                </w:tcPr>
                <w:p>
                  <w:pPr>
                    <w:spacing w:line="280" w:lineRule="exact"/>
                    <w:rPr>
                      <w:color w:val="auto"/>
                      <w:highlight w:val="none"/>
                    </w:rPr>
                  </w:pPr>
                  <w:r>
                    <w:rPr>
                      <w:rFonts w:hint="eastAsia"/>
                      <w:color w:val="auto"/>
                      <w:highlight w:val="none"/>
                    </w:rPr>
                    <w:t>应预留的质量保证金</w:t>
                  </w:r>
                </w:p>
              </w:tc>
              <w:tc>
                <w:tcPr>
                  <w:tcW w:w="1620" w:type="dxa"/>
                  <w:shd w:val="clear" w:color="auto" w:fill="auto"/>
                </w:tcPr>
                <w:p>
                  <w:pPr>
                    <w:spacing w:line="280" w:lineRule="exact"/>
                    <w:rPr>
                      <w:color w:val="auto"/>
                      <w:highlight w:val="none"/>
                    </w:rPr>
                  </w:pPr>
                </w:p>
              </w:tc>
              <w:tc>
                <w:tcPr>
                  <w:tcW w:w="1620" w:type="dxa"/>
                  <w:shd w:val="clear" w:color="auto" w:fill="auto"/>
                </w:tcPr>
                <w:p>
                  <w:pPr>
                    <w:spacing w:line="280" w:lineRule="exact"/>
                    <w:rPr>
                      <w:color w:val="auto"/>
                      <w:highlight w:val="none"/>
                    </w:rPr>
                  </w:pPr>
                </w:p>
              </w:tc>
              <w:tc>
                <w:tcPr>
                  <w:tcW w:w="1651" w:type="dxa"/>
                  <w:shd w:val="clear" w:color="auto" w:fill="auto"/>
                </w:tcPr>
                <w:p>
                  <w:pPr>
                    <w:spacing w:line="2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shd w:val="clear" w:color="auto" w:fill="auto"/>
                </w:tcPr>
                <w:p>
                  <w:pPr>
                    <w:spacing w:line="280" w:lineRule="exact"/>
                    <w:jc w:val="center"/>
                    <w:rPr>
                      <w:color w:val="auto"/>
                      <w:highlight w:val="none"/>
                    </w:rPr>
                  </w:pPr>
                  <w:r>
                    <w:rPr>
                      <w:rFonts w:hint="eastAsia"/>
                      <w:color w:val="auto"/>
                      <w:highlight w:val="none"/>
                    </w:rPr>
                    <w:t>4</w:t>
                  </w:r>
                </w:p>
              </w:tc>
              <w:tc>
                <w:tcPr>
                  <w:tcW w:w="3420" w:type="dxa"/>
                  <w:shd w:val="clear" w:color="auto" w:fill="auto"/>
                </w:tcPr>
                <w:p>
                  <w:pPr>
                    <w:spacing w:line="280" w:lineRule="exact"/>
                    <w:rPr>
                      <w:color w:val="auto"/>
                      <w:highlight w:val="none"/>
                    </w:rPr>
                  </w:pPr>
                  <w:r>
                    <w:rPr>
                      <w:rFonts w:hint="eastAsia"/>
                      <w:color w:val="auto"/>
                      <w:highlight w:val="none"/>
                    </w:rPr>
                    <w:t>应支付的竣工结算款金额</w:t>
                  </w:r>
                </w:p>
              </w:tc>
              <w:tc>
                <w:tcPr>
                  <w:tcW w:w="1620" w:type="dxa"/>
                  <w:shd w:val="clear" w:color="auto" w:fill="auto"/>
                </w:tcPr>
                <w:p>
                  <w:pPr>
                    <w:spacing w:line="280" w:lineRule="exact"/>
                    <w:rPr>
                      <w:color w:val="auto"/>
                      <w:highlight w:val="none"/>
                    </w:rPr>
                  </w:pPr>
                </w:p>
              </w:tc>
              <w:tc>
                <w:tcPr>
                  <w:tcW w:w="1620" w:type="dxa"/>
                  <w:shd w:val="clear" w:color="auto" w:fill="auto"/>
                </w:tcPr>
                <w:p>
                  <w:pPr>
                    <w:spacing w:line="280" w:lineRule="exact"/>
                    <w:rPr>
                      <w:color w:val="auto"/>
                      <w:highlight w:val="none"/>
                    </w:rPr>
                  </w:pPr>
                </w:p>
              </w:tc>
              <w:tc>
                <w:tcPr>
                  <w:tcW w:w="1651" w:type="dxa"/>
                  <w:shd w:val="clear" w:color="auto" w:fill="auto"/>
                </w:tcPr>
                <w:p>
                  <w:pPr>
                    <w:spacing w:line="2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shd w:val="clear" w:color="auto" w:fill="auto"/>
                </w:tcPr>
                <w:p>
                  <w:pPr>
                    <w:spacing w:line="280" w:lineRule="exact"/>
                    <w:jc w:val="center"/>
                    <w:rPr>
                      <w:color w:val="auto"/>
                      <w:highlight w:val="none"/>
                    </w:rPr>
                  </w:pPr>
                </w:p>
              </w:tc>
              <w:tc>
                <w:tcPr>
                  <w:tcW w:w="3420" w:type="dxa"/>
                  <w:shd w:val="clear" w:color="auto" w:fill="auto"/>
                </w:tcPr>
                <w:p>
                  <w:pPr>
                    <w:spacing w:line="280" w:lineRule="exact"/>
                    <w:rPr>
                      <w:color w:val="auto"/>
                      <w:highlight w:val="none"/>
                    </w:rPr>
                  </w:pPr>
                </w:p>
              </w:tc>
              <w:tc>
                <w:tcPr>
                  <w:tcW w:w="1620" w:type="dxa"/>
                  <w:shd w:val="clear" w:color="auto" w:fill="auto"/>
                </w:tcPr>
                <w:p>
                  <w:pPr>
                    <w:spacing w:line="280" w:lineRule="exact"/>
                    <w:rPr>
                      <w:color w:val="auto"/>
                      <w:highlight w:val="none"/>
                    </w:rPr>
                  </w:pPr>
                </w:p>
              </w:tc>
              <w:tc>
                <w:tcPr>
                  <w:tcW w:w="1620" w:type="dxa"/>
                  <w:shd w:val="clear" w:color="auto" w:fill="auto"/>
                </w:tcPr>
                <w:p>
                  <w:pPr>
                    <w:spacing w:line="280" w:lineRule="exact"/>
                    <w:rPr>
                      <w:color w:val="auto"/>
                      <w:highlight w:val="none"/>
                    </w:rPr>
                  </w:pPr>
                </w:p>
              </w:tc>
              <w:tc>
                <w:tcPr>
                  <w:tcW w:w="1651" w:type="dxa"/>
                  <w:shd w:val="clear" w:color="auto" w:fill="auto"/>
                </w:tcPr>
                <w:p>
                  <w:pPr>
                    <w:spacing w:line="2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shd w:val="clear" w:color="auto" w:fill="auto"/>
                </w:tcPr>
                <w:p>
                  <w:pPr>
                    <w:spacing w:line="280" w:lineRule="exact"/>
                    <w:jc w:val="center"/>
                    <w:rPr>
                      <w:color w:val="auto"/>
                      <w:highlight w:val="none"/>
                    </w:rPr>
                  </w:pPr>
                </w:p>
              </w:tc>
              <w:tc>
                <w:tcPr>
                  <w:tcW w:w="3420" w:type="dxa"/>
                  <w:shd w:val="clear" w:color="auto" w:fill="auto"/>
                </w:tcPr>
                <w:p>
                  <w:pPr>
                    <w:spacing w:line="280" w:lineRule="exact"/>
                    <w:rPr>
                      <w:color w:val="auto"/>
                      <w:highlight w:val="none"/>
                    </w:rPr>
                  </w:pPr>
                </w:p>
              </w:tc>
              <w:tc>
                <w:tcPr>
                  <w:tcW w:w="1620" w:type="dxa"/>
                  <w:shd w:val="clear" w:color="auto" w:fill="auto"/>
                </w:tcPr>
                <w:p>
                  <w:pPr>
                    <w:spacing w:line="280" w:lineRule="exact"/>
                    <w:rPr>
                      <w:color w:val="auto"/>
                      <w:highlight w:val="none"/>
                    </w:rPr>
                  </w:pPr>
                </w:p>
              </w:tc>
              <w:tc>
                <w:tcPr>
                  <w:tcW w:w="1620" w:type="dxa"/>
                  <w:shd w:val="clear" w:color="auto" w:fill="auto"/>
                </w:tcPr>
                <w:p>
                  <w:pPr>
                    <w:spacing w:line="280" w:lineRule="exact"/>
                    <w:rPr>
                      <w:color w:val="auto"/>
                      <w:highlight w:val="none"/>
                    </w:rPr>
                  </w:pPr>
                </w:p>
              </w:tc>
              <w:tc>
                <w:tcPr>
                  <w:tcW w:w="1651" w:type="dxa"/>
                  <w:shd w:val="clear" w:color="auto" w:fill="auto"/>
                </w:tcPr>
                <w:p>
                  <w:pPr>
                    <w:spacing w:line="2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shd w:val="clear" w:color="auto" w:fill="auto"/>
                </w:tcPr>
                <w:p>
                  <w:pPr>
                    <w:spacing w:line="280" w:lineRule="exact"/>
                    <w:jc w:val="center"/>
                    <w:rPr>
                      <w:color w:val="auto"/>
                      <w:highlight w:val="none"/>
                    </w:rPr>
                  </w:pPr>
                </w:p>
              </w:tc>
              <w:tc>
                <w:tcPr>
                  <w:tcW w:w="3420" w:type="dxa"/>
                  <w:shd w:val="clear" w:color="auto" w:fill="auto"/>
                </w:tcPr>
                <w:p>
                  <w:pPr>
                    <w:spacing w:line="280" w:lineRule="exact"/>
                    <w:rPr>
                      <w:color w:val="auto"/>
                      <w:highlight w:val="none"/>
                    </w:rPr>
                  </w:pPr>
                </w:p>
              </w:tc>
              <w:tc>
                <w:tcPr>
                  <w:tcW w:w="1620" w:type="dxa"/>
                  <w:shd w:val="clear" w:color="auto" w:fill="auto"/>
                </w:tcPr>
                <w:p>
                  <w:pPr>
                    <w:spacing w:line="280" w:lineRule="exact"/>
                    <w:rPr>
                      <w:color w:val="auto"/>
                      <w:highlight w:val="none"/>
                    </w:rPr>
                  </w:pPr>
                </w:p>
              </w:tc>
              <w:tc>
                <w:tcPr>
                  <w:tcW w:w="1620" w:type="dxa"/>
                  <w:shd w:val="clear" w:color="auto" w:fill="auto"/>
                </w:tcPr>
                <w:p>
                  <w:pPr>
                    <w:spacing w:line="280" w:lineRule="exact"/>
                    <w:rPr>
                      <w:color w:val="auto"/>
                      <w:highlight w:val="none"/>
                    </w:rPr>
                  </w:pPr>
                </w:p>
              </w:tc>
              <w:tc>
                <w:tcPr>
                  <w:tcW w:w="1651" w:type="dxa"/>
                  <w:shd w:val="clear" w:color="auto" w:fill="auto"/>
                </w:tcPr>
                <w:p>
                  <w:pPr>
                    <w:spacing w:line="2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shd w:val="clear" w:color="auto" w:fill="auto"/>
                </w:tcPr>
                <w:p>
                  <w:pPr>
                    <w:spacing w:line="280" w:lineRule="exact"/>
                    <w:jc w:val="center"/>
                    <w:rPr>
                      <w:color w:val="auto"/>
                      <w:highlight w:val="none"/>
                    </w:rPr>
                  </w:pPr>
                </w:p>
              </w:tc>
              <w:tc>
                <w:tcPr>
                  <w:tcW w:w="3420" w:type="dxa"/>
                  <w:shd w:val="clear" w:color="auto" w:fill="auto"/>
                </w:tcPr>
                <w:p>
                  <w:pPr>
                    <w:spacing w:line="280" w:lineRule="exact"/>
                    <w:rPr>
                      <w:color w:val="auto"/>
                      <w:highlight w:val="none"/>
                    </w:rPr>
                  </w:pPr>
                </w:p>
              </w:tc>
              <w:tc>
                <w:tcPr>
                  <w:tcW w:w="1620" w:type="dxa"/>
                  <w:shd w:val="clear" w:color="auto" w:fill="auto"/>
                </w:tcPr>
                <w:p>
                  <w:pPr>
                    <w:spacing w:line="280" w:lineRule="exact"/>
                    <w:rPr>
                      <w:color w:val="auto"/>
                      <w:highlight w:val="none"/>
                    </w:rPr>
                  </w:pPr>
                </w:p>
              </w:tc>
              <w:tc>
                <w:tcPr>
                  <w:tcW w:w="1620" w:type="dxa"/>
                  <w:shd w:val="clear" w:color="auto" w:fill="auto"/>
                </w:tcPr>
                <w:p>
                  <w:pPr>
                    <w:spacing w:line="280" w:lineRule="exact"/>
                    <w:rPr>
                      <w:color w:val="auto"/>
                      <w:highlight w:val="none"/>
                    </w:rPr>
                  </w:pPr>
                </w:p>
              </w:tc>
              <w:tc>
                <w:tcPr>
                  <w:tcW w:w="1651" w:type="dxa"/>
                  <w:shd w:val="clear" w:color="auto" w:fill="auto"/>
                </w:tcPr>
                <w:p>
                  <w:pPr>
                    <w:spacing w:line="2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shd w:val="clear" w:color="auto" w:fill="auto"/>
                </w:tcPr>
                <w:p>
                  <w:pPr>
                    <w:spacing w:line="280" w:lineRule="exact"/>
                    <w:jc w:val="center"/>
                    <w:rPr>
                      <w:color w:val="auto"/>
                      <w:highlight w:val="none"/>
                    </w:rPr>
                  </w:pPr>
                </w:p>
              </w:tc>
              <w:tc>
                <w:tcPr>
                  <w:tcW w:w="3420" w:type="dxa"/>
                  <w:shd w:val="clear" w:color="auto" w:fill="auto"/>
                </w:tcPr>
                <w:p>
                  <w:pPr>
                    <w:spacing w:line="280" w:lineRule="exact"/>
                    <w:rPr>
                      <w:color w:val="auto"/>
                      <w:highlight w:val="none"/>
                    </w:rPr>
                  </w:pPr>
                </w:p>
              </w:tc>
              <w:tc>
                <w:tcPr>
                  <w:tcW w:w="1620" w:type="dxa"/>
                  <w:shd w:val="clear" w:color="auto" w:fill="auto"/>
                </w:tcPr>
                <w:p>
                  <w:pPr>
                    <w:spacing w:line="280" w:lineRule="exact"/>
                    <w:rPr>
                      <w:color w:val="auto"/>
                      <w:highlight w:val="none"/>
                    </w:rPr>
                  </w:pPr>
                </w:p>
              </w:tc>
              <w:tc>
                <w:tcPr>
                  <w:tcW w:w="1620" w:type="dxa"/>
                  <w:shd w:val="clear" w:color="auto" w:fill="auto"/>
                </w:tcPr>
                <w:p>
                  <w:pPr>
                    <w:spacing w:line="280" w:lineRule="exact"/>
                    <w:rPr>
                      <w:color w:val="auto"/>
                      <w:highlight w:val="none"/>
                    </w:rPr>
                  </w:pPr>
                </w:p>
              </w:tc>
              <w:tc>
                <w:tcPr>
                  <w:tcW w:w="1651" w:type="dxa"/>
                  <w:shd w:val="clear" w:color="auto" w:fill="auto"/>
                </w:tcPr>
                <w:p>
                  <w:pPr>
                    <w:spacing w:line="280" w:lineRule="exact"/>
                    <w:rPr>
                      <w:color w:val="auto"/>
                      <w:highlight w:val="none"/>
                    </w:rPr>
                  </w:pPr>
                </w:p>
              </w:tc>
            </w:tr>
          </w:tbl>
          <w:p>
            <w:pPr>
              <w:spacing w:line="400" w:lineRule="exact"/>
              <w:ind w:right="420" w:firstLine="435"/>
              <w:jc w:val="center"/>
              <w:rPr>
                <w:color w:val="auto"/>
                <w:highlight w:val="none"/>
              </w:rPr>
            </w:pPr>
          </w:p>
          <w:p>
            <w:pPr>
              <w:spacing w:line="400" w:lineRule="exact"/>
              <w:ind w:right="420" w:firstLine="435"/>
              <w:jc w:val="center"/>
              <w:rPr>
                <w:color w:val="auto"/>
                <w:highlight w:val="none"/>
              </w:rPr>
            </w:pPr>
            <w:r>
              <w:rPr>
                <w:rFonts w:hint="eastAsia"/>
                <w:color w:val="auto"/>
                <w:highlight w:val="none"/>
              </w:rPr>
              <w:t xml:space="preserve">                                            承包人（章）             </w:t>
            </w:r>
          </w:p>
          <w:p>
            <w:pPr>
              <w:spacing w:line="400" w:lineRule="exact"/>
              <w:ind w:right="420" w:firstLine="435"/>
              <w:rPr>
                <w:color w:val="auto"/>
                <w:highlight w:val="none"/>
              </w:rPr>
            </w:pPr>
            <w:r>
              <w:rPr>
                <w:rFonts w:hint="eastAsia"/>
                <w:color w:val="auto"/>
                <w:highlight w:val="none"/>
              </w:rPr>
              <w:t>造价人员</w:t>
            </w:r>
            <w:r>
              <w:rPr>
                <w:rFonts w:hint="eastAsia"/>
                <w:color w:val="auto"/>
                <w:highlight w:val="none"/>
                <w:u w:val="single"/>
              </w:rPr>
              <w:t xml:space="preserve">               </w:t>
            </w:r>
            <w:r>
              <w:rPr>
                <w:rFonts w:hint="eastAsia"/>
                <w:color w:val="auto"/>
                <w:highlight w:val="none"/>
              </w:rPr>
              <w:t>承包人代表</w:t>
            </w:r>
            <w:r>
              <w:rPr>
                <w:rFonts w:hint="eastAsia"/>
                <w:color w:val="auto"/>
                <w:highlight w:val="none"/>
                <w:u w:val="single"/>
              </w:rPr>
              <w:t xml:space="preserve">               </w:t>
            </w:r>
            <w:r>
              <w:rPr>
                <w:rFonts w:hint="eastAsia"/>
                <w:color w:val="auto"/>
                <w:highlight w:val="none"/>
              </w:rPr>
              <w:t>日      期</w:t>
            </w:r>
            <w:r>
              <w:rPr>
                <w:rFonts w:hint="eastAsia"/>
                <w:color w:val="auto"/>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0" w:hRule="atLeast"/>
          <w:jc w:val="center"/>
        </w:trPr>
        <w:tc>
          <w:tcPr>
            <w:tcW w:w="4539" w:type="dxa"/>
            <w:shd w:val="clear" w:color="auto" w:fill="auto"/>
          </w:tcPr>
          <w:p>
            <w:pPr>
              <w:spacing w:line="360" w:lineRule="exact"/>
              <w:rPr>
                <w:color w:val="auto"/>
                <w:highlight w:val="none"/>
              </w:rPr>
            </w:pPr>
            <w:r>
              <w:rPr>
                <w:rFonts w:hint="eastAsia"/>
                <w:color w:val="auto"/>
                <w:highlight w:val="none"/>
              </w:rPr>
              <w:t>复核意见：</w:t>
            </w:r>
          </w:p>
          <w:p>
            <w:pPr>
              <w:spacing w:line="360" w:lineRule="exact"/>
              <w:ind w:firstLine="312"/>
              <w:rPr>
                <w:color w:val="auto"/>
                <w:highlight w:val="none"/>
              </w:rPr>
            </w:pPr>
            <w:r>
              <w:rPr>
                <w:rFonts w:hint="eastAsia"/>
                <w:color w:val="auto"/>
                <w:highlight w:val="none"/>
              </w:rPr>
              <w:t>□与实际施工情况不相符，修改意见见附件。</w:t>
            </w:r>
          </w:p>
          <w:p>
            <w:pPr>
              <w:spacing w:line="360" w:lineRule="exact"/>
              <w:ind w:firstLine="312"/>
              <w:rPr>
                <w:color w:val="auto"/>
                <w:highlight w:val="none"/>
              </w:rPr>
            </w:pPr>
            <w:r>
              <w:rPr>
                <w:rFonts w:hint="eastAsia"/>
                <w:color w:val="auto"/>
                <w:highlight w:val="none"/>
              </w:rPr>
              <w:t>□与实际施工情况相符，具体金额由造价工程师复核。</w:t>
            </w:r>
          </w:p>
          <w:p>
            <w:pPr>
              <w:spacing w:line="360" w:lineRule="exact"/>
              <w:ind w:firstLine="435"/>
              <w:jc w:val="right"/>
              <w:rPr>
                <w:color w:val="auto"/>
                <w:highlight w:val="none"/>
              </w:rPr>
            </w:pPr>
          </w:p>
          <w:p>
            <w:pPr>
              <w:spacing w:line="360" w:lineRule="exact"/>
              <w:ind w:firstLine="435"/>
              <w:jc w:val="right"/>
              <w:rPr>
                <w:color w:val="auto"/>
                <w:highlight w:val="none"/>
              </w:rPr>
            </w:pPr>
          </w:p>
          <w:p>
            <w:pPr>
              <w:spacing w:line="360" w:lineRule="exact"/>
              <w:ind w:firstLine="435"/>
              <w:jc w:val="center"/>
              <w:rPr>
                <w:color w:val="auto"/>
                <w:highlight w:val="none"/>
              </w:rPr>
            </w:pPr>
            <w:r>
              <w:rPr>
                <w:color w:val="auto"/>
                <w:highlight w:val="none"/>
              </w:rPr>
              <w:t xml:space="preserve">    </w:t>
            </w:r>
            <w:r>
              <w:rPr>
                <w:rFonts w:hint="eastAsia"/>
                <w:color w:val="auto"/>
                <w:highlight w:val="none"/>
              </w:rPr>
              <w:t xml:space="preserve">     </w:t>
            </w:r>
          </w:p>
          <w:p>
            <w:pPr>
              <w:spacing w:line="360" w:lineRule="exact"/>
              <w:ind w:firstLine="435"/>
              <w:jc w:val="center"/>
              <w:rPr>
                <w:color w:val="auto"/>
                <w:highlight w:val="none"/>
                <w:u w:val="single"/>
              </w:rPr>
            </w:pPr>
            <w:r>
              <w:rPr>
                <w:rFonts w:hint="eastAsia"/>
                <w:color w:val="auto"/>
                <w:highlight w:val="none"/>
              </w:rPr>
              <w:t xml:space="preserve">      监理工程师</w:t>
            </w:r>
            <w:r>
              <w:rPr>
                <w:rFonts w:hint="eastAsia"/>
                <w:color w:val="auto"/>
                <w:highlight w:val="none"/>
                <w:u w:val="single"/>
              </w:rPr>
              <w:t xml:space="preserve">           </w:t>
            </w:r>
          </w:p>
          <w:p>
            <w:pPr>
              <w:spacing w:line="360" w:lineRule="exact"/>
              <w:ind w:firstLine="435"/>
              <w:jc w:val="center"/>
              <w:rPr>
                <w:color w:val="auto"/>
                <w:highlight w:val="none"/>
                <w:u w:val="single"/>
              </w:rPr>
            </w:pPr>
            <w:r>
              <w:rPr>
                <w:color w:val="auto"/>
                <w:highlight w:val="none"/>
              </w:rPr>
              <w:t xml:space="preserve">    </w:t>
            </w:r>
            <w:r>
              <w:rPr>
                <w:rFonts w:hint="eastAsia"/>
                <w:color w:val="auto"/>
                <w:highlight w:val="none"/>
              </w:rPr>
              <w:t xml:space="preserve">  日      期</w:t>
            </w:r>
            <w:r>
              <w:rPr>
                <w:rFonts w:hint="eastAsia"/>
                <w:color w:val="auto"/>
                <w:highlight w:val="none"/>
                <w:u w:val="single"/>
              </w:rPr>
              <w:t xml:space="preserve">           </w:t>
            </w:r>
          </w:p>
        </w:tc>
        <w:tc>
          <w:tcPr>
            <w:tcW w:w="4533" w:type="dxa"/>
            <w:shd w:val="clear" w:color="auto" w:fill="auto"/>
          </w:tcPr>
          <w:p>
            <w:pPr>
              <w:spacing w:line="360" w:lineRule="exact"/>
              <w:rPr>
                <w:color w:val="auto"/>
                <w:highlight w:val="none"/>
              </w:rPr>
            </w:pPr>
            <w:r>
              <w:rPr>
                <w:rFonts w:hint="eastAsia"/>
                <w:color w:val="auto"/>
                <w:highlight w:val="none"/>
              </w:rPr>
              <w:t>复核意见：</w:t>
            </w:r>
          </w:p>
          <w:p>
            <w:pPr>
              <w:spacing w:line="360" w:lineRule="exact"/>
              <w:ind w:firstLine="435"/>
              <w:rPr>
                <w:color w:val="auto"/>
                <w:highlight w:val="none"/>
                <w:u w:val="single"/>
              </w:rPr>
            </w:pPr>
            <w:r>
              <w:rPr>
                <w:rFonts w:hint="eastAsia"/>
                <w:color w:val="auto"/>
                <w:highlight w:val="none"/>
              </w:rPr>
              <w:t>你方提出的竣工结算支付申请经复核，竣工结算款总额为(大写)</w:t>
            </w:r>
            <w:r>
              <w:rPr>
                <w:rFonts w:hint="eastAsia"/>
                <w:color w:val="auto"/>
                <w:highlight w:val="none"/>
                <w:u w:val="single"/>
              </w:rPr>
              <w:t xml:space="preserve">                </w:t>
            </w:r>
            <w:r>
              <w:rPr>
                <w:rFonts w:hint="eastAsia"/>
                <w:color w:val="auto"/>
                <w:highlight w:val="none"/>
              </w:rPr>
              <w:t>元，（小写）</w:t>
            </w:r>
            <w:r>
              <w:rPr>
                <w:rFonts w:hint="eastAsia"/>
                <w:color w:val="auto"/>
                <w:highlight w:val="none"/>
                <w:u w:val="single"/>
              </w:rPr>
              <w:t xml:space="preserve">          </w:t>
            </w:r>
            <w:r>
              <w:rPr>
                <w:rFonts w:hint="eastAsia"/>
                <w:color w:val="auto"/>
                <w:highlight w:val="none"/>
              </w:rPr>
              <w:t xml:space="preserve"> 元，扣除前期支付以及质量保证金后应支付金额为（大写）</w:t>
            </w:r>
            <w:r>
              <w:rPr>
                <w:rFonts w:hint="eastAsia"/>
                <w:color w:val="auto"/>
                <w:highlight w:val="none"/>
                <w:u w:val="single"/>
              </w:rPr>
              <w:t xml:space="preserve">              </w:t>
            </w:r>
            <w:r>
              <w:rPr>
                <w:rFonts w:hint="eastAsia"/>
                <w:color w:val="auto"/>
                <w:highlight w:val="none"/>
              </w:rPr>
              <w:t>元，（小写）</w:t>
            </w:r>
            <w:r>
              <w:rPr>
                <w:rFonts w:hint="eastAsia"/>
                <w:color w:val="auto"/>
                <w:highlight w:val="none"/>
                <w:u w:val="single"/>
              </w:rPr>
              <w:t xml:space="preserve">         </w:t>
            </w:r>
            <w:r>
              <w:rPr>
                <w:rFonts w:hint="eastAsia"/>
                <w:color w:val="auto"/>
                <w:highlight w:val="none"/>
              </w:rPr>
              <w:t>元。</w:t>
            </w:r>
          </w:p>
          <w:p>
            <w:pPr>
              <w:spacing w:line="360" w:lineRule="exact"/>
              <w:ind w:firstLine="435"/>
              <w:jc w:val="center"/>
              <w:rPr>
                <w:color w:val="auto"/>
                <w:highlight w:val="none"/>
              </w:rPr>
            </w:pPr>
            <w:r>
              <w:rPr>
                <w:color w:val="auto"/>
                <w:highlight w:val="none"/>
              </w:rPr>
              <w:t xml:space="preserve">    </w:t>
            </w:r>
          </w:p>
          <w:p>
            <w:pPr>
              <w:spacing w:line="360" w:lineRule="exact"/>
              <w:ind w:firstLine="435"/>
              <w:jc w:val="center"/>
              <w:rPr>
                <w:color w:val="auto"/>
                <w:highlight w:val="none"/>
                <w:u w:val="single"/>
              </w:rPr>
            </w:pPr>
            <w:r>
              <w:rPr>
                <w:rFonts w:hint="eastAsia"/>
                <w:color w:val="auto"/>
                <w:highlight w:val="none"/>
              </w:rPr>
              <w:t xml:space="preserve">    造价工程师</w:t>
            </w:r>
            <w:r>
              <w:rPr>
                <w:rFonts w:hint="eastAsia"/>
                <w:color w:val="auto"/>
                <w:highlight w:val="none"/>
                <w:u w:val="single"/>
              </w:rPr>
              <w:t xml:space="preserve">           </w:t>
            </w:r>
          </w:p>
          <w:p>
            <w:pPr>
              <w:spacing w:line="360" w:lineRule="exact"/>
              <w:ind w:firstLine="435"/>
              <w:jc w:val="center"/>
              <w:rPr>
                <w:color w:val="auto"/>
                <w:highlight w:val="none"/>
                <w:u w:val="single"/>
              </w:rPr>
            </w:pPr>
            <w:r>
              <w:rPr>
                <w:color w:val="auto"/>
                <w:highlight w:val="none"/>
              </w:rPr>
              <w:t xml:space="preserve">    </w:t>
            </w:r>
            <w:r>
              <w:rPr>
                <w:rFonts w:hint="eastAsia"/>
                <w:color w:val="auto"/>
                <w:highlight w:val="none"/>
              </w:rPr>
              <w:t>日      期</w:t>
            </w:r>
            <w:r>
              <w:rPr>
                <w:rFonts w:hint="eastAsia"/>
                <w:color w:val="auto"/>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1" w:hRule="atLeast"/>
          <w:jc w:val="center"/>
        </w:trPr>
        <w:tc>
          <w:tcPr>
            <w:tcW w:w="9072" w:type="dxa"/>
            <w:gridSpan w:val="2"/>
            <w:shd w:val="clear" w:color="auto" w:fill="auto"/>
          </w:tcPr>
          <w:p>
            <w:pPr>
              <w:spacing w:line="400" w:lineRule="exact"/>
              <w:rPr>
                <w:color w:val="auto"/>
                <w:highlight w:val="none"/>
              </w:rPr>
            </w:pPr>
            <w:r>
              <w:rPr>
                <w:rFonts w:hint="eastAsia"/>
                <w:color w:val="auto"/>
                <w:highlight w:val="none"/>
              </w:rPr>
              <w:t>审核意见：</w:t>
            </w:r>
          </w:p>
          <w:p>
            <w:pPr>
              <w:spacing w:line="400" w:lineRule="exact"/>
              <w:ind w:firstLine="435"/>
              <w:rPr>
                <w:color w:val="auto"/>
                <w:highlight w:val="none"/>
              </w:rPr>
            </w:pPr>
            <w:r>
              <w:rPr>
                <w:rFonts w:hint="eastAsia"/>
                <w:color w:val="auto"/>
                <w:highlight w:val="none"/>
              </w:rPr>
              <w:t>□不同意。</w:t>
            </w:r>
          </w:p>
          <w:p>
            <w:pPr>
              <w:spacing w:line="400" w:lineRule="exact"/>
              <w:ind w:firstLine="420" w:firstLineChars="200"/>
              <w:rPr>
                <w:color w:val="auto"/>
                <w:highlight w:val="none"/>
              </w:rPr>
            </w:pPr>
            <w:r>
              <w:rPr>
                <w:rFonts w:hint="eastAsia"/>
                <w:color w:val="auto"/>
                <w:highlight w:val="none"/>
              </w:rPr>
              <w:t>□同意，支付时间为本表签发后的</w:t>
            </w:r>
            <w:r>
              <w:rPr>
                <w:rFonts w:hint="eastAsia"/>
                <w:color w:val="auto"/>
                <w:highlight w:val="none"/>
                <w:u w:val="single"/>
              </w:rPr>
              <w:t xml:space="preserve"> </w:t>
            </w:r>
            <w:r>
              <w:rPr>
                <w:color w:val="auto"/>
                <w:highlight w:val="none"/>
                <w:u w:val="single"/>
              </w:rPr>
              <w:t xml:space="preserve">   </w:t>
            </w:r>
            <w:r>
              <w:rPr>
                <w:rFonts w:hint="eastAsia"/>
                <w:color w:val="auto"/>
                <w:highlight w:val="none"/>
              </w:rPr>
              <w:t>天内。</w:t>
            </w:r>
          </w:p>
          <w:p>
            <w:pPr>
              <w:wordWrap w:val="0"/>
              <w:spacing w:line="400" w:lineRule="exact"/>
              <w:ind w:firstLine="420" w:firstLineChars="200"/>
              <w:jc w:val="right"/>
              <w:rPr>
                <w:color w:val="auto"/>
                <w:highlight w:val="none"/>
              </w:rPr>
            </w:pPr>
            <w:r>
              <w:rPr>
                <w:rFonts w:hint="eastAsia"/>
                <w:color w:val="auto"/>
                <w:highlight w:val="none"/>
              </w:rPr>
              <w:t xml:space="preserve">发包人（章）           </w:t>
            </w:r>
          </w:p>
          <w:p>
            <w:pPr>
              <w:wordWrap w:val="0"/>
              <w:spacing w:line="400" w:lineRule="exact"/>
              <w:ind w:firstLine="420" w:firstLineChars="200"/>
              <w:jc w:val="right"/>
              <w:rPr>
                <w:color w:val="auto"/>
                <w:highlight w:val="none"/>
                <w:u w:val="single"/>
              </w:rPr>
            </w:pPr>
            <w:r>
              <w:rPr>
                <w:rFonts w:hint="eastAsia"/>
                <w:color w:val="auto"/>
                <w:highlight w:val="none"/>
              </w:rPr>
              <w:t>发包人代表</w:t>
            </w:r>
            <w:r>
              <w:rPr>
                <w:rFonts w:hint="eastAsia"/>
                <w:color w:val="auto"/>
                <w:highlight w:val="none"/>
                <w:u w:val="single"/>
              </w:rPr>
              <w:t xml:space="preserve">             </w:t>
            </w:r>
          </w:p>
          <w:p>
            <w:pPr>
              <w:wordWrap w:val="0"/>
              <w:spacing w:line="400" w:lineRule="exact"/>
              <w:ind w:firstLine="420" w:firstLineChars="200"/>
              <w:jc w:val="right"/>
              <w:rPr>
                <w:color w:val="auto"/>
                <w:highlight w:val="none"/>
                <w:u w:val="single"/>
              </w:rPr>
            </w:pPr>
            <w:r>
              <w:rPr>
                <w:rFonts w:hint="eastAsia"/>
                <w:color w:val="auto"/>
                <w:highlight w:val="none"/>
              </w:rPr>
              <w:t>日      期</w:t>
            </w:r>
            <w:r>
              <w:rPr>
                <w:rFonts w:hint="eastAsia"/>
                <w:color w:val="auto"/>
                <w:highlight w:val="none"/>
                <w:u w:val="single"/>
              </w:rPr>
              <w:t xml:space="preserve">             </w:t>
            </w:r>
          </w:p>
        </w:tc>
      </w:tr>
    </w:tbl>
    <w:p>
      <w:pPr>
        <w:spacing w:beforeLines="50"/>
        <w:ind w:firstLine="360" w:firstLineChars="200"/>
        <w:rPr>
          <w:color w:val="auto"/>
          <w:sz w:val="18"/>
          <w:szCs w:val="18"/>
          <w:highlight w:val="none"/>
        </w:rPr>
      </w:pPr>
      <w:r>
        <w:rPr>
          <w:rFonts w:hint="eastAsia"/>
          <w:color w:val="auto"/>
          <w:sz w:val="18"/>
          <w:szCs w:val="18"/>
          <w:highlight w:val="none"/>
        </w:rPr>
        <w:t xml:space="preserve">注：1.在选择栏中的“□”内作标识“√”。 </w:t>
      </w:r>
    </w:p>
    <w:p>
      <w:pPr>
        <w:spacing w:beforeLines="50"/>
        <w:ind w:left="720" w:hanging="720" w:hangingChars="400"/>
        <w:rPr>
          <w:color w:val="auto"/>
          <w:sz w:val="18"/>
          <w:szCs w:val="18"/>
          <w:highlight w:val="none"/>
        </w:rPr>
      </w:pPr>
      <w:r>
        <w:rPr>
          <w:rFonts w:hint="eastAsia"/>
          <w:color w:val="auto"/>
          <w:sz w:val="18"/>
          <w:szCs w:val="18"/>
          <w:highlight w:val="none"/>
        </w:rPr>
        <w:t xml:space="preserve">    </w:t>
      </w:r>
      <w:r>
        <w:rPr>
          <w:color w:val="auto"/>
          <w:sz w:val="18"/>
          <w:szCs w:val="18"/>
          <w:highlight w:val="none"/>
        </w:rPr>
        <w:t xml:space="preserve">  </w:t>
      </w:r>
      <w:r>
        <w:rPr>
          <w:rFonts w:hint="eastAsia"/>
          <w:color w:val="auto"/>
          <w:sz w:val="18"/>
          <w:szCs w:val="18"/>
          <w:highlight w:val="none"/>
        </w:rPr>
        <w:t xml:space="preserve">  2.本表一式四份，由承包人填报，发包人、监理人、造价咨询人、承包人各存一份。</w:t>
      </w:r>
    </w:p>
    <w:p>
      <w:pPr>
        <w:ind w:right="360"/>
        <w:rPr>
          <w:color w:val="auto"/>
          <w:sz w:val="18"/>
          <w:szCs w:val="18"/>
          <w:highlight w:val="none"/>
        </w:rPr>
      </w:pPr>
      <w:r>
        <w:rPr>
          <w:rFonts w:hint="eastAsia"/>
          <w:color w:val="auto"/>
          <w:sz w:val="18"/>
          <w:szCs w:val="18"/>
          <w:highlight w:val="none"/>
        </w:rPr>
        <w:t xml:space="preserve">                                                                                            </w:t>
      </w:r>
    </w:p>
    <w:p>
      <w:pPr>
        <w:jc w:val="center"/>
        <w:rPr>
          <w:rFonts w:hAnsi="宋体" w:cs="宋体"/>
          <w:color w:val="auto"/>
          <w:highlight w:val="none"/>
        </w:rPr>
      </w:pPr>
    </w:p>
    <w:p>
      <w:pPr>
        <w:jc w:val="left"/>
        <w:rPr>
          <w:b/>
          <w:color w:val="auto"/>
          <w:sz w:val="30"/>
          <w:szCs w:val="30"/>
          <w:highlight w:val="none"/>
        </w:rPr>
      </w:pPr>
      <w:r>
        <w:rPr>
          <w:rFonts w:hint="eastAsia" w:hAnsi="宋体" w:cs="宋体"/>
          <w:color w:val="auto"/>
          <w:sz w:val="30"/>
          <w:szCs w:val="30"/>
          <w:highlight w:val="none"/>
        </w:rPr>
        <w:t>附件13：</w:t>
      </w:r>
    </w:p>
    <w:p>
      <w:pPr>
        <w:jc w:val="center"/>
        <w:rPr>
          <w:b/>
          <w:color w:val="auto"/>
          <w:sz w:val="36"/>
          <w:szCs w:val="36"/>
          <w:highlight w:val="none"/>
        </w:rPr>
      </w:pPr>
      <w:r>
        <w:rPr>
          <w:rFonts w:hint="eastAsia"/>
          <w:b/>
          <w:color w:val="auto"/>
          <w:sz w:val="36"/>
          <w:szCs w:val="36"/>
          <w:highlight w:val="none"/>
        </w:rPr>
        <w:t>最终结算款支付申请（核准）表</w:t>
      </w:r>
    </w:p>
    <w:p>
      <w:pPr>
        <w:rPr>
          <w:color w:val="auto"/>
          <w:sz w:val="24"/>
          <w:szCs w:val="24"/>
          <w:highlight w:val="none"/>
        </w:rPr>
      </w:pPr>
      <w:r>
        <w:rPr>
          <w:rFonts w:hint="eastAsia"/>
          <w:color w:val="auto"/>
          <w:sz w:val="24"/>
          <w:szCs w:val="24"/>
          <w:highlight w:val="none"/>
        </w:rPr>
        <w:t>工程名称：                                             编号：</w:t>
      </w:r>
    </w:p>
    <w:tbl>
      <w:tblPr>
        <w:tblStyle w:val="42"/>
        <w:tblW w:w="90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9"/>
        <w:gridCol w:w="4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4" w:hRule="atLeast"/>
          <w:jc w:val="center"/>
        </w:trPr>
        <w:tc>
          <w:tcPr>
            <w:tcW w:w="9072" w:type="dxa"/>
            <w:gridSpan w:val="2"/>
            <w:shd w:val="clear" w:color="auto" w:fill="auto"/>
          </w:tcPr>
          <w:p>
            <w:pPr>
              <w:spacing w:line="480" w:lineRule="exact"/>
              <w:ind w:left="525" w:leftChars="149" w:hanging="212" w:hangingChars="101"/>
              <w:rPr>
                <w:color w:val="auto"/>
                <w:highlight w:val="none"/>
                <w:u w:val="single"/>
              </w:rPr>
            </w:pPr>
            <w:r>
              <w:rPr>
                <w:rFonts w:hint="eastAsia"/>
                <w:color w:val="auto"/>
                <w:highlight w:val="none"/>
              </w:rPr>
              <w:t>致：</w:t>
            </w:r>
            <w:r>
              <w:rPr>
                <w:rFonts w:hint="eastAsia"/>
                <w:color w:val="auto"/>
                <w:highlight w:val="none"/>
                <w:u w:val="single"/>
              </w:rPr>
              <w:t xml:space="preserve">                                   （发包人全称）</w:t>
            </w:r>
          </w:p>
          <w:p>
            <w:pPr>
              <w:spacing w:line="400" w:lineRule="exact"/>
              <w:ind w:left="-4" w:leftChars="-2" w:firstLine="315" w:firstLineChars="150"/>
              <w:rPr>
                <w:color w:val="auto"/>
                <w:highlight w:val="none"/>
              </w:rPr>
            </w:pPr>
            <w:r>
              <w:rPr>
                <w:rFonts w:hint="eastAsia"/>
                <w:color w:val="auto"/>
                <w:highlight w:val="none"/>
              </w:rPr>
              <w:t>我方于</w:t>
            </w:r>
            <w:r>
              <w:rPr>
                <w:rFonts w:hint="eastAsia"/>
                <w:color w:val="auto"/>
                <w:highlight w:val="none"/>
                <w:u w:val="single"/>
              </w:rPr>
              <w:t xml:space="preserve">         </w:t>
            </w:r>
            <w:r>
              <w:rPr>
                <w:rFonts w:hint="eastAsia"/>
                <w:color w:val="auto"/>
                <w:highlight w:val="none"/>
              </w:rPr>
              <w:t>至</w:t>
            </w:r>
            <w:r>
              <w:rPr>
                <w:rFonts w:hint="eastAsia"/>
                <w:color w:val="auto"/>
                <w:highlight w:val="none"/>
                <w:u w:val="single"/>
              </w:rPr>
              <w:t xml:space="preserve">          </w:t>
            </w:r>
            <w:r>
              <w:rPr>
                <w:rFonts w:hint="eastAsia"/>
                <w:color w:val="auto"/>
                <w:highlight w:val="none"/>
              </w:rPr>
              <w:t>期间已完成了缺陷修复工作，根据施工合同的约定，现申请支付最终结清合同款额为(大写)</w:t>
            </w:r>
            <w:r>
              <w:rPr>
                <w:rFonts w:hint="eastAsia"/>
                <w:color w:val="auto"/>
                <w:highlight w:val="none"/>
                <w:u w:val="single"/>
              </w:rPr>
              <w:t xml:space="preserve">            </w:t>
            </w:r>
            <w:r>
              <w:rPr>
                <w:rFonts w:hint="eastAsia"/>
                <w:color w:val="auto"/>
                <w:highlight w:val="none"/>
              </w:rPr>
              <w:t>元，(小写)</w:t>
            </w:r>
            <w:r>
              <w:rPr>
                <w:rFonts w:hint="eastAsia"/>
                <w:color w:val="auto"/>
                <w:highlight w:val="none"/>
                <w:u w:val="single"/>
              </w:rPr>
              <w:t xml:space="preserve">         </w:t>
            </w:r>
            <w:r>
              <w:rPr>
                <w:rFonts w:hint="eastAsia"/>
                <w:color w:val="auto"/>
                <w:highlight w:val="none"/>
              </w:rPr>
              <w:t>元，请予核准。</w:t>
            </w:r>
          </w:p>
          <w:tbl>
            <w:tblPr>
              <w:tblStyle w:val="42"/>
              <w:tblpPr w:leftFromText="180" w:rightFromText="180" w:vertAnchor="page" w:horzAnchor="margin" w:tblpY="1309"/>
              <w:tblOverlap w:val="never"/>
              <w:tblW w:w="8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420"/>
              <w:gridCol w:w="1620"/>
              <w:gridCol w:w="1620"/>
              <w:gridCol w:w="1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trPr>
              <w:tc>
                <w:tcPr>
                  <w:tcW w:w="535" w:type="dxa"/>
                  <w:shd w:val="clear" w:color="auto" w:fill="auto"/>
                  <w:vAlign w:val="center"/>
                </w:tcPr>
                <w:p>
                  <w:pPr>
                    <w:spacing w:line="280" w:lineRule="exact"/>
                    <w:jc w:val="center"/>
                    <w:rPr>
                      <w:color w:val="auto"/>
                      <w:highlight w:val="none"/>
                    </w:rPr>
                  </w:pPr>
                  <w:r>
                    <w:rPr>
                      <w:rFonts w:hint="eastAsia"/>
                      <w:color w:val="auto"/>
                      <w:highlight w:val="none"/>
                    </w:rPr>
                    <w:t>序号</w:t>
                  </w:r>
                </w:p>
              </w:tc>
              <w:tc>
                <w:tcPr>
                  <w:tcW w:w="3420" w:type="dxa"/>
                  <w:shd w:val="clear" w:color="auto" w:fill="auto"/>
                  <w:vAlign w:val="center"/>
                </w:tcPr>
                <w:p>
                  <w:pPr>
                    <w:spacing w:line="280" w:lineRule="exact"/>
                    <w:jc w:val="center"/>
                    <w:rPr>
                      <w:color w:val="auto"/>
                      <w:highlight w:val="none"/>
                    </w:rPr>
                  </w:pPr>
                  <w:r>
                    <w:rPr>
                      <w:rFonts w:hint="eastAsia"/>
                      <w:color w:val="auto"/>
                      <w:highlight w:val="none"/>
                    </w:rPr>
                    <w:t>名      称</w:t>
                  </w:r>
                </w:p>
              </w:tc>
              <w:tc>
                <w:tcPr>
                  <w:tcW w:w="1620" w:type="dxa"/>
                  <w:shd w:val="clear" w:color="auto" w:fill="auto"/>
                  <w:vAlign w:val="center"/>
                </w:tcPr>
                <w:p>
                  <w:pPr>
                    <w:spacing w:line="280" w:lineRule="exact"/>
                    <w:jc w:val="center"/>
                    <w:rPr>
                      <w:color w:val="auto"/>
                      <w:highlight w:val="none"/>
                    </w:rPr>
                  </w:pPr>
                  <w:r>
                    <w:rPr>
                      <w:rFonts w:hint="eastAsia"/>
                      <w:color w:val="auto"/>
                      <w:highlight w:val="none"/>
                    </w:rPr>
                    <w:t>申请金额（元）</w:t>
                  </w:r>
                </w:p>
              </w:tc>
              <w:tc>
                <w:tcPr>
                  <w:tcW w:w="1620" w:type="dxa"/>
                  <w:shd w:val="clear" w:color="auto" w:fill="auto"/>
                  <w:vAlign w:val="center"/>
                </w:tcPr>
                <w:p>
                  <w:pPr>
                    <w:spacing w:line="280" w:lineRule="exact"/>
                    <w:jc w:val="center"/>
                    <w:rPr>
                      <w:color w:val="auto"/>
                      <w:highlight w:val="none"/>
                    </w:rPr>
                  </w:pPr>
                  <w:r>
                    <w:rPr>
                      <w:rFonts w:hint="eastAsia"/>
                      <w:color w:val="auto"/>
                      <w:highlight w:val="none"/>
                    </w:rPr>
                    <w:t>复核金额（元）</w:t>
                  </w:r>
                </w:p>
              </w:tc>
              <w:tc>
                <w:tcPr>
                  <w:tcW w:w="1651" w:type="dxa"/>
                  <w:shd w:val="clear" w:color="auto" w:fill="auto"/>
                  <w:vAlign w:val="center"/>
                </w:tcPr>
                <w:p>
                  <w:pPr>
                    <w:spacing w:line="280" w:lineRule="exact"/>
                    <w:jc w:val="center"/>
                    <w:rPr>
                      <w:color w:val="auto"/>
                      <w:highlight w:val="none"/>
                    </w:rPr>
                  </w:pPr>
                  <w:r>
                    <w:rPr>
                      <w:rFonts w:hint="eastAsia"/>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shd w:val="clear" w:color="auto" w:fill="auto"/>
                </w:tcPr>
                <w:p>
                  <w:pPr>
                    <w:spacing w:line="280" w:lineRule="exact"/>
                    <w:jc w:val="center"/>
                    <w:rPr>
                      <w:color w:val="auto"/>
                      <w:highlight w:val="none"/>
                    </w:rPr>
                  </w:pPr>
                  <w:r>
                    <w:rPr>
                      <w:rFonts w:hint="eastAsia"/>
                      <w:color w:val="auto"/>
                      <w:highlight w:val="none"/>
                    </w:rPr>
                    <w:t>1</w:t>
                  </w:r>
                </w:p>
              </w:tc>
              <w:tc>
                <w:tcPr>
                  <w:tcW w:w="3420" w:type="dxa"/>
                  <w:shd w:val="clear" w:color="auto" w:fill="auto"/>
                </w:tcPr>
                <w:p>
                  <w:pPr>
                    <w:spacing w:line="280" w:lineRule="exact"/>
                    <w:rPr>
                      <w:color w:val="auto"/>
                      <w:highlight w:val="none"/>
                    </w:rPr>
                  </w:pPr>
                  <w:r>
                    <w:rPr>
                      <w:rFonts w:hint="eastAsia"/>
                      <w:color w:val="auto"/>
                      <w:highlight w:val="none"/>
                    </w:rPr>
                    <w:t>已预留的质量保证金</w:t>
                  </w:r>
                </w:p>
              </w:tc>
              <w:tc>
                <w:tcPr>
                  <w:tcW w:w="1620" w:type="dxa"/>
                  <w:shd w:val="clear" w:color="auto" w:fill="auto"/>
                </w:tcPr>
                <w:p>
                  <w:pPr>
                    <w:spacing w:line="280" w:lineRule="exact"/>
                    <w:rPr>
                      <w:color w:val="auto"/>
                      <w:highlight w:val="none"/>
                    </w:rPr>
                  </w:pPr>
                </w:p>
              </w:tc>
              <w:tc>
                <w:tcPr>
                  <w:tcW w:w="1620" w:type="dxa"/>
                  <w:shd w:val="clear" w:color="auto" w:fill="auto"/>
                </w:tcPr>
                <w:p>
                  <w:pPr>
                    <w:spacing w:line="280" w:lineRule="exact"/>
                    <w:rPr>
                      <w:color w:val="auto"/>
                      <w:highlight w:val="none"/>
                    </w:rPr>
                  </w:pPr>
                </w:p>
              </w:tc>
              <w:tc>
                <w:tcPr>
                  <w:tcW w:w="1651" w:type="dxa"/>
                  <w:shd w:val="clear" w:color="auto" w:fill="auto"/>
                </w:tcPr>
                <w:p>
                  <w:pPr>
                    <w:spacing w:line="2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shd w:val="clear" w:color="auto" w:fill="auto"/>
                </w:tcPr>
                <w:p>
                  <w:pPr>
                    <w:spacing w:line="280" w:lineRule="exact"/>
                    <w:jc w:val="center"/>
                    <w:rPr>
                      <w:color w:val="auto"/>
                      <w:highlight w:val="none"/>
                    </w:rPr>
                  </w:pPr>
                  <w:r>
                    <w:rPr>
                      <w:rFonts w:hint="eastAsia"/>
                      <w:color w:val="auto"/>
                      <w:highlight w:val="none"/>
                    </w:rPr>
                    <w:t>2</w:t>
                  </w:r>
                </w:p>
              </w:tc>
              <w:tc>
                <w:tcPr>
                  <w:tcW w:w="3420" w:type="dxa"/>
                  <w:shd w:val="clear" w:color="auto" w:fill="auto"/>
                </w:tcPr>
                <w:p>
                  <w:pPr>
                    <w:spacing w:line="280" w:lineRule="exact"/>
                    <w:rPr>
                      <w:color w:val="auto"/>
                      <w:highlight w:val="none"/>
                    </w:rPr>
                  </w:pPr>
                  <w:r>
                    <w:rPr>
                      <w:rFonts w:hint="eastAsia"/>
                      <w:color w:val="auto"/>
                      <w:highlight w:val="none"/>
                    </w:rPr>
                    <w:t>应增加因发包人原因造成缺陷的修复金额</w:t>
                  </w:r>
                </w:p>
              </w:tc>
              <w:tc>
                <w:tcPr>
                  <w:tcW w:w="1620" w:type="dxa"/>
                  <w:shd w:val="clear" w:color="auto" w:fill="auto"/>
                </w:tcPr>
                <w:p>
                  <w:pPr>
                    <w:spacing w:line="280" w:lineRule="exact"/>
                    <w:rPr>
                      <w:color w:val="auto"/>
                      <w:highlight w:val="none"/>
                    </w:rPr>
                  </w:pPr>
                </w:p>
              </w:tc>
              <w:tc>
                <w:tcPr>
                  <w:tcW w:w="1620" w:type="dxa"/>
                  <w:shd w:val="clear" w:color="auto" w:fill="auto"/>
                </w:tcPr>
                <w:p>
                  <w:pPr>
                    <w:spacing w:line="280" w:lineRule="exact"/>
                    <w:rPr>
                      <w:color w:val="auto"/>
                      <w:highlight w:val="none"/>
                    </w:rPr>
                  </w:pPr>
                </w:p>
              </w:tc>
              <w:tc>
                <w:tcPr>
                  <w:tcW w:w="1651" w:type="dxa"/>
                  <w:shd w:val="clear" w:color="auto" w:fill="auto"/>
                </w:tcPr>
                <w:p>
                  <w:pPr>
                    <w:spacing w:line="2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shd w:val="clear" w:color="auto" w:fill="auto"/>
                </w:tcPr>
                <w:p>
                  <w:pPr>
                    <w:spacing w:line="280" w:lineRule="exact"/>
                    <w:jc w:val="center"/>
                    <w:rPr>
                      <w:color w:val="auto"/>
                      <w:highlight w:val="none"/>
                    </w:rPr>
                  </w:pPr>
                  <w:r>
                    <w:rPr>
                      <w:rFonts w:hint="eastAsia"/>
                      <w:color w:val="auto"/>
                      <w:highlight w:val="none"/>
                    </w:rPr>
                    <w:t>3</w:t>
                  </w:r>
                </w:p>
              </w:tc>
              <w:tc>
                <w:tcPr>
                  <w:tcW w:w="3420" w:type="dxa"/>
                  <w:shd w:val="clear" w:color="auto" w:fill="auto"/>
                </w:tcPr>
                <w:p>
                  <w:pPr>
                    <w:spacing w:line="280" w:lineRule="exact"/>
                    <w:rPr>
                      <w:color w:val="auto"/>
                      <w:highlight w:val="none"/>
                    </w:rPr>
                  </w:pPr>
                  <w:r>
                    <w:rPr>
                      <w:rFonts w:hint="eastAsia"/>
                      <w:color w:val="auto"/>
                      <w:highlight w:val="none"/>
                    </w:rPr>
                    <w:t>应扣减承包人不修复缺陷、发包人组织修复的金额</w:t>
                  </w:r>
                </w:p>
              </w:tc>
              <w:tc>
                <w:tcPr>
                  <w:tcW w:w="1620" w:type="dxa"/>
                  <w:shd w:val="clear" w:color="auto" w:fill="auto"/>
                </w:tcPr>
                <w:p>
                  <w:pPr>
                    <w:spacing w:line="280" w:lineRule="exact"/>
                    <w:rPr>
                      <w:color w:val="auto"/>
                      <w:highlight w:val="none"/>
                    </w:rPr>
                  </w:pPr>
                </w:p>
              </w:tc>
              <w:tc>
                <w:tcPr>
                  <w:tcW w:w="1620" w:type="dxa"/>
                  <w:shd w:val="clear" w:color="auto" w:fill="auto"/>
                </w:tcPr>
                <w:p>
                  <w:pPr>
                    <w:spacing w:line="280" w:lineRule="exact"/>
                    <w:rPr>
                      <w:color w:val="auto"/>
                      <w:highlight w:val="none"/>
                    </w:rPr>
                  </w:pPr>
                </w:p>
              </w:tc>
              <w:tc>
                <w:tcPr>
                  <w:tcW w:w="1651" w:type="dxa"/>
                  <w:shd w:val="clear" w:color="auto" w:fill="auto"/>
                </w:tcPr>
                <w:p>
                  <w:pPr>
                    <w:spacing w:line="2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shd w:val="clear" w:color="auto" w:fill="auto"/>
                </w:tcPr>
                <w:p>
                  <w:pPr>
                    <w:spacing w:line="280" w:lineRule="exact"/>
                    <w:jc w:val="center"/>
                    <w:rPr>
                      <w:color w:val="auto"/>
                      <w:highlight w:val="none"/>
                    </w:rPr>
                  </w:pPr>
                  <w:r>
                    <w:rPr>
                      <w:rFonts w:hint="eastAsia"/>
                      <w:color w:val="auto"/>
                      <w:highlight w:val="none"/>
                    </w:rPr>
                    <w:t>4</w:t>
                  </w:r>
                </w:p>
              </w:tc>
              <w:tc>
                <w:tcPr>
                  <w:tcW w:w="3420" w:type="dxa"/>
                  <w:shd w:val="clear" w:color="auto" w:fill="auto"/>
                </w:tcPr>
                <w:p>
                  <w:pPr>
                    <w:spacing w:line="280" w:lineRule="exact"/>
                    <w:rPr>
                      <w:color w:val="auto"/>
                      <w:highlight w:val="none"/>
                    </w:rPr>
                  </w:pPr>
                  <w:r>
                    <w:rPr>
                      <w:rFonts w:hint="eastAsia"/>
                      <w:color w:val="auto"/>
                      <w:highlight w:val="none"/>
                    </w:rPr>
                    <w:t>最终应支付的合同价款</w:t>
                  </w:r>
                </w:p>
              </w:tc>
              <w:tc>
                <w:tcPr>
                  <w:tcW w:w="1620" w:type="dxa"/>
                  <w:shd w:val="clear" w:color="auto" w:fill="auto"/>
                </w:tcPr>
                <w:p>
                  <w:pPr>
                    <w:spacing w:line="280" w:lineRule="exact"/>
                    <w:rPr>
                      <w:color w:val="auto"/>
                      <w:highlight w:val="none"/>
                    </w:rPr>
                  </w:pPr>
                </w:p>
              </w:tc>
              <w:tc>
                <w:tcPr>
                  <w:tcW w:w="1620" w:type="dxa"/>
                  <w:shd w:val="clear" w:color="auto" w:fill="auto"/>
                </w:tcPr>
                <w:p>
                  <w:pPr>
                    <w:spacing w:line="280" w:lineRule="exact"/>
                    <w:rPr>
                      <w:color w:val="auto"/>
                      <w:highlight w:val="none"/>
                    </w:rPr>
                  </w:pPr>
                </w:p>
              </w:tc>
              <w:tc>
                <w:tcPr>
                  <w:tcW w:w="1651" w:type="dxa"/>
                  <w:shd w:val="clear" w:color="auto" w:fill="auto"/>
                </w:tcPr>
                <w:p>
                  <w:pPr>
                    <w:spacing w:line="2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shd w:val="clear" w:color="auto" w:fill="auto"/>
                </w:tcPr>
                <w:p>
                  <w:pPr>
                    <w:spacing w:line="280" w:lineRule="exact"/>
                    <w:jc w:val="center"/>
                    <w:rPr>
                      <w:color w:val="auto"/>
                      <w:highlight w:val="none"/>
                    </w:rPr>
                  </w:pPr>
                </w:p>
              </w:tc>
              <w:tc>
                <w:tcPr>
                  <w:tcW w:w="3420" w:type="dxa"/>
                  <w:shd w:val="clear" w:color="auto" w:fill="auto"/>
                </w:tcPr>
                <w:p>
                  <w:pPr>
                    <w:spacing w:line="280" w:lineRule="exact"/>
                    <w:rPr>
                      <w:color w:val="auto"/>
                      <w:highlight w:val="none"/>
                    </w:rPr>
                  </w:pPr>
                </w:p>
              </w:tc>
              <w:tc>
                <w:tcPr>
                  <w:tcW w:w="1620" w:type="dxa"/>
                  <w:shd w:val="clear" w:color="auto" w:fill="auto"/>
                </w:tcPr>
                <w:p>
                  <w:pPr>
                    <w:spacing w:line="280" w:lineRule="exact"/>
                    <w:rPr>
                      <w:color w:val="auto"/>
                      <w:highlight w:val="none"/>
                    </w:rPr>
                  </w:pPr>
                </w:p>
              </w:tc>
              <w:tc>
                <w:tcPr>
                  <w:tcW w:w="1620" w:type="dxa"/>
                  <w:shd w:val="clear" w:color="auto" w:fill="auto"/>
                </w:tcPr>
                <w:p>
                  <w:pPr>
                    <w:spacing w:line="280" w:lineRule="exact"/>
                    <w:rPr>
                      <w:color w:val="auto"/>
                      <w:highlight w:val="none"/>
                    </w:rPr>
                  </w:pPr>
                </w:p>
              </w:tc>
              <w:tc>
                <w:tcPr>
                  <w:tcW w:w="1651" w:type="dxa"/>
                  <w:shd w:val="clear" w:color="auto" w:fill="auto"/>
                </w:tcPr>
                <w:p>
                  <w:pPr>
                    <w:spacing w:line="2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shd w:val="clear" w:color="auto" w:fill="auto"/>
                </w:tcPr>
                <w:p>
                  <w:pPr>
                    <w:spacing w:line="280" w:lineRule="exact"/>
                    <w:jc w:val="center"/>
                    <w:rPr>
                      <w:color w:val="auto"/>
                      <w:highlight w:val="none"/>
                    </w:rPr>
                  </w:pPr>
                </w:p>
              </w:tc>
              <w:tc>
                <w:tcPr>
                  <w:tcW w:w="3420" w:type="dxa"/>
                  <w:shd w:val="clear" w:color="auto" w:fill="auto"/>
                </w:tcPr>
                <w:p>
                  <w:pPr>
                    <w:spacing w:line="280" w:lineRule="exact"/>
                    <w:rPr>
                      <w:color w:val="auto"/>
                      <w:highlight w:val="none"/>
                    </w:rPr>
                  </w:pPr>
                </w:p>
              </w:tc>
              <w:tc>
                <w:tcPr>
                  <w:tcW w:w="1620" w:type="dxa"/>
                  <w:shd w:val="clear" w:color="auto" w:fill="auto"/>
                </w:tcPr>
                <w:p>
                  <w:pPr>
                    <w:spacing w:line="280" w:lineRule="exact"/>
                    <w:rPr>
                      <w:color w:val="auto"/>
                      <w:highlight w:val="none"/>
                    </w:rPr>
                  </w:pPr>
                </w:p>
              </w:tc>
              <w:tc>
                <w:tcPr>
                  <w:tcW w:w="1620" w:type="dxa"/>
                  <w:shd w:val="clear" w:color="auto" w:fill="auto"/>
                </w:tcPr>
                <w:p>
                  <w:pPr>
                    <w:spacing w:line="280" w:lineRule="exact"/>
                    <w:rPr>
                      <w:color w:val="auto"/>
                      <w:highlight w:val="none"/>
                    </w:rPr>
                  </w:pPr>
                </w:p>
              </w:tc>
              <w:tc>
                <w:tcPr>
                  <w:tcW w:w="1651" w:type="dxa"/>
                  <w:shd w:val="clear" w:color="auto" w:fill="auto"/>
                </w:tcPr>
                <w:p>
                  <w:pPr>
                    <w:spacing w:line="2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shd w:val="clear" w:color="auto" w:fill="auto"/>
                </w:tcPr>
                <w:p>
                  <w:pPr>
                    <w:spacing w:line="280" w:lineRule="exact"/>
                    <w:jc w:val="center"/>
                    <w:rPr>
                      <w:color w:val="auto"/>
                      <w:highlight w:val="none"/>
                    </w:rPr>
                  </w:pPr>
                </w:p>
              </w:tc>
              <w:tc>
                <w:tcPr>
                  <w:tcW w:w="3420" w:type="dxa"/>
                  <w:shd w:val="clear" w:color="auto" w:fill="auto"/>
                </w:tcPr>
                <w:p>
                  <w:pPr>
                    <w:spacing w:line="280" w:lineRule="exact"/>
                    <w:rPr>
                      <w:color w:val="auto"/>
                      <w:highlight w:val="none"/>
                    </w:rPr>
                  </w:pPr>
                </w:p>
              </w:tc>
              <w:tc>
                <w:tcPr>
                  <w:tcW w:w="1620" w:type="dxa"/>
                  <w:shd w:val="clear" w:color="auto" w:fill="auto"/>
                </w:tcPr>
                <w:p>
                  <w:pPr>
                    <w:spacing w:line="280" w:lineRule="exact"/>
                    <w:rPr>
                      <w:color w:val="auto"/>
                      <w:highlight w:val="none"/>
                    </w:rPr>
                  </w:pPr>
                </w:p>
              </w:tc>
              <w:tc>
                <w:tcPr>
                  <w:tcW w:w="1620" w:type="dxa"/>
                  <w:shd w:val="clear" w:color="auto" w:fill="auto"/>
                </w:tcPr>
                <w:p>
                  <w:pPr>
                    <w:spacing w:line="280" w:lineRule="exact"/>
                    <w:rPr>
                      <w:color w:val="auto"/>
                      <w:highlight w:val="none"/>
                    </w:rPr>
                  </w:pPr>
                </w:p>
              </w:tc>
              <w:tc>
                <w:tcPr>
                  <w:tcW w:w="1651" w:type="dxa"/>
                  <w:shd w:val="clear" w:color="auto" w:fill="auto"/>
                </w:tcPr>
                <w:p>
                  <w:pPr>
                    <w:spacing w:line="2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shd w:val="clear" w:color="auto" w:fill="auto"/>
                </w:tcPr>
                <w:p>
                  <w:pPr>
                    <w:spacing w:line="280" w:lineRule="exact"/>
                    <w:jc w:val="center"/>
                    <w:rPr>
                      <w:color w:val="auto"/>
                      <w:highlight w:val="none"/>
                    </w:rPr>
                  </w:pPr>
                </w:p>
              </w:tc>
              <w:tc>
                <w:tcPr>
                  <w:tcW w:w="3420" w:type="dxa"/>
                  <w:shd w:val="clear" w:color="auto" w:fill="auto"/>
                </w:tcPr>
                <w:p>
                  <w:pPr>
                    <w:spacing w:line="280" w:lineRule="exact"/>
                    <w:rPr>
                      <w:color w:val="auto"/>
                      <w:highlight w:val="none"/>
                    </w:rPr>
                  </w:pPr>
                </w:p>
              </w:tc>
              <w:tc>
                <w:tcPr>
                  <w:tcW w:w="1620" w:type="dxa"/>
                  <w:shd w:val="clear" w:color="auto" w:fill="auto"/>
                </w:tcPr>
                <w:p>
                  <w:pPr>
                    <w:spacing w:line="280" w:lineRule="exact"/>
                    <w:rPr>
                      <w:color w:val="auto"/>
                      <w:highlight w:val="none"/>
                    </w:rPr>
                  </w:pPr>
                </w:p>
              </w:tc>
              <w:tc>
                <w:tcPr>
                  <w:tcW w:w="1620" w:type="dxa"/>
                  <w:shd w:val="clear" w:color="auto" w:fill="auto"/>
                </w:tcPr>
                <w:p>
                  <w:pPr>
                    <w:spacing w:line="280" w:lineRule="exact"/>
                    <w:rPr>
                      <w:color w:val="auto"/>
                      <w:highlight w:val="none"/>
                    </w:rPr>
                  </w:pPr>
                </w:p>
              </w:tc>
              <w:tc>
                <w:tcPr>
                  <w:tcW w:w="1651" w:type="dxa"/>
                  <w:shd w:val="clear" w:color="auto" w:fill="auto"/>
                </w:tcPr>
                <w:p>
                  <w:pPr>
                    <w:spacing w:line="280" w:lineRule="exact"/>
                    <w:rPr>
                      <w:color w:val="auto"/>
                      <w:highlight w:val="none"/>
                    </w:rPr>
                  </w:pPr>
                </w:p>
              </w:tc>
            </w:tr>
          </w:tbl>
          <w:p>
            <w:pPr>
              <w:spacing w:line="400" w:lineRule="exact"/>
              <w:ind w:right="420" w:firstLine="435"/>
              <w:jc w:val="center"/>
              <w:rPr>
                <w:color w:val="auto"/>
                <w:highlight w:val="none"/>
              </w:rPr>
            </w:pPr>
            <w:r>
              <w:rPr>
                <w:rFonts w:hint="eastAsia"/>
                <w:color w:val="auto"/>
                <w:highlight w:val="none"/>
              </w:rPr>
              <w:t xml:space="preserve">                                            承包人（章）             </w:t>
            </w:r>
          </w:p>
          <w:p>
            <w:pPr>
              <w:spacing w:line="400" w:lineRule="exact"/>
              <w:ind w:right="420" w:firstLine="435"/>
              <w:rPr>
                <w:color w:val="auto"/>
                <w:highlight w:val="none"/>
              </w:rPr>
            </w:pPr>
            <w:r>
              <w:rPr>
                <w:rFonts w:hint="eastAsia"/>
                <w:color w:val="auto"/>
                <w:highlight w:val="none"/>
              </w:rPr>
              <w:t>造价人员</w:t>
            </w:r>
            <w:r>
              <w:rPr>
                <w:rFonts w:hint="eastAsia"/>
                <w:color w:val="auto"/>
                <w:highlight w:val="none"/>
                <w:u w:val="single"/>
              </w:rPr>
              <w:t xml:space="preserve">               </w:t>
            </w:r>
            <w:r>
              <w:rPr>
                <w:rFonts w:hint="eastAsia"/>
                <w:color w:val="auto"/>
                <w:highlight w:val="none"/>
              </w:rPr>
              <w:t>承包人代表</w:t>
            </w:r>
            <w:r>
              <w:rPr>
                <w:rFonts w:hint="eastAsia"/>
                <w:color w:val="auto"/>
                <w:highlight w:val="none"/>
                <w:u w:val="single"/>
              </w:rPr>
              <w:t xml:space="preserve">               </w:t>
            </w:r>
            <w:r>
              <w:rPr>
                <w:rFonts w:hint="eastAsia"/>
                <w:color w:val="auto"/>
                <w:highlight w:val="none"/>
              </w:rPr>
              <w:t>日      期</w:t>
            </w:r>
            <w:r>
              <w:rPr>
                <w:rFonts w:hint="eastAsia"/>
                <w:color w:val="auto"/>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0" w:hRule="atLeast"/>
          <w:jc w:val="center"/>
        </w:trPr>
        <w:tc>
          <w:tcPr>
            <w:tcW w:w="4539" w:type="dxa"/>
            <w:shd w:val="clear" w:color="auto" w:fill="auto"/>
          </w:tcPr>
          <w:p>
            <w:pPr>
              <w:spacing w:line="360" w:lineRule="exact"/>
              <w:rPr>
                <w:color w:val="auto"/>
                <w:highlight w:val="none"/>
              </w:rPr>
            </w:pPr>
            <w:r>
              <w:rPr>
                <w:rFonts w:hint="eastAsia"/>
                <w:color w:val="auto"/>
                <w:highlight w:val="none"/>
              </w:rPr>
              <w:t>复核意见：</w:t>
            </w:r>
          </w:p>
          <w:p>
            <w:pPr>
              <w:spacing w:line="360" w:lineRule="exact"/>
              <w:ind w:firstLine="312"/>
              <w:rPr>
                <w:color w:val="auto"/>
                <w:highlight w:val="none"/>
              </w:rPr>
            </w:pPr>
            <w:r>
              <w:rPr>
                <w:rFonts w:hint="eastAsia"/>
                <w:color w:val="auto"/>
                <w:highlight w:val="none"/>
              </w:rPr>
              <w:t>□与实际施工情况不相符，修改意见见附件。</w:t>
            </w:r>
          </w:p>
          <w:p>
            <w:pPr>
              <w:spacing w:line="360" w:lineRule="exact"/>
              <w:ind w:firstLine="312"/>
              <w:rPr>
                <w:color w:val="auto"/>
                <w:highlight w:val="none"/>
              </w:rPr>
            </w:pPr>
            <w:r>
              <w:rPr>
                <w:rFonts w:hint="eastAsia"/>
                <w:color w:val="auto"/>
                <w:highlight w:val="none"/>
              </w:rPr>
              <w:t>□与实际施工情况相符，具体金额由造价工程师复核。</w:t>
            </w:r>
          </w:p>
          <w:p>
            <w:pPr>
              <w:spacing w:line="360" w:lineRule="exact"/>
              <w:ind w:firstLine="435"/>
              <w:jc w:val="right"/>
              <w:rPr>
                <w:color w:val="auto"/>
                <w:highlight w:val="none"/>
              </w:rPr>
            </w:pPr>
          </w:p>
          <w:p>
            <w:pPr>
              <w:spacing w:line="360" w:lineRule="exact"/>
              <w:ind w:firstLine="435"/>
              <w:jc w:val="right"/>
              <w:rPr>
                <w:color w:val="auto"/>
                <w:highlight w:val="none"/>
              </w:rPr>
            </w:pPr>
          </w:p>
          <w:p>
            <w:pPr>
              <w:spacing w:line="360" w:lineRule="exact"/>
              <w:ind w:firstLine="435"/>
              <w:jc w:val="center"/>
              <w:rPr>
                <w:color w:val="auto"/>
                <w:highlight w:val="none"/>
              </w:rPr>
            </w:pPr>
            <w:r>
              <w:rPr>
                <w:color w:val="auto"/>
                <w:highlight w:val="none"/>
              </w:rPr>
              <w:t xml:space="preserve">    </w:t>
            </w:r>
            <w:r>
              <w:rPr>
                <w:rFonts w:hint="eastAsia"/>
                <w:color w:val="auto"/>
                <w:highlight w:val="none"/>
              </w:rPr>
              <w:t xml:space="preserve">     </w:t>
            </w:r>
          </w:p>
          <w:p>
            <w:pPr>
              <w:spacing w:line="360" w:lineRule="exact"/>
              <w:ind w:firstLine="435"/>
              <w:jc w:val="center"/>
              <w:rPr>
                <w:color w:val="auto"/>
                <w:highlight w:val="none"/>
                <w:u w:val="single"/>
              </w:rPr>
            </w:pPr>
            <w:r>
              <w:rPr>
                <w:rFonts w:hint="eastAsia"/>
                <w:color w:val="auto"/>
                <w:highlight w:val="none"/>
              </w:rPr>
              <w:t xml:space="preserve">        监理工程师</w:t>
            </w:r>
            <w:r>
              <w:rPr>
                <w:rFonts w:hint="eastAsia"/>
                <w:color w:val="auto"/>
                <w:highlight w:val="none"/>
                <w:u w:val="single"/>
              </w:rPr>
              <w:t xml:space="preserve">           </w:t>
            </w:r>
          </w:p>
          <w:p>
            <w:pPr>
              <w:spacing w:line="360" w:lineRule="exact"/>
              <w:ind w:firstLine="435"/>
              <w:jc w:val="center"/>
              <w:rPr>
                <w:color w:val="auto"/>
                <w:highlight w:val="none"/>
                <w:u w:val="single"/>
              </w:rPr>
            </w:pPr>
            <w:r>
              <w:rPr>
                <w:color w:val="auto"/>
                <w:highlight w:val="none"/>
              </w:rPr>
              <w:t xml:space="preserve">    </w:t>
            </w:r>
            <w:r>
              <w:rPr>
                <w:rFonts w:hint="eastAsia"/>
                <w:color w:val="auto"/>
                <w:highlight w:val="none"/>
              </w:rPr>
              <w:t xml:space="preserve">    日      期</w:t>
            </w:r>
            <w:r>
              <w:rPr>
                <w:rFonts w:hint="eastAsia"/>
                <w:color w:val="auto"/>
                <w:highlight w:val="none"/>
                <w:u w:val="single"/>
              </w:rPr>
              <w:t xml:space="preserve">           </w:t>
            </w:r>
          </w:p>
        </w:tc>
        <w:tc>
          <w:tcPr>
            <w:tcW w:w="4533" w:type="dxa"/>
            <w:shd w:val="clear" w:color="auto" w:fill="auto"/>
          </w:tcPr>
          <w:p>
            <w:pPr>
              <w:spacing w:line="360" w:lineRule="exact"/>
              <w:rPr>
                <w:color w:val="auto"/>
                <w:highlight w:val="none"/>
              </w:rPr>
            </w:pPr>
            <w:r>
              <w:rPr>
                <w:rFonts w:hint="eastAsia"/>
                <w:color w:val="auto"/>
                <w:highlight w:val="none"/>
              </w:rPr>
              <w:t>复核意见：</w:t>
            </w:r>
          </w:p>
          <w:p>
            <w:pPr>
              <w:spacing w:line="360" w:lineRule="exact"/>
              <w:ind w:firstLine="435"/>
              <w:rPr>
                <w:color w:val="auto"/>
                <w:highlight w:val="none"/>
                <w:u w:val="single"/>
              </w:rPr>
            </w:pPr>
            <w:r>
              <w:rPr>
                <w:rFonts w:hint="eastAsia"/>
                <w:color w:val="auto"/>
                <w:highlight w:val="none"/>
              </w:rPr>
              <w:t>你方提出的支付申请经复核，最终应支付金额为（大写）</w:t>
            </w:r>
            <w:r>
              <w:rPr>
                <w:rFonts w:hint="eastAsia"/>
                <w:color w:val="auto"/>
                <w:highlight w:val="none"/>
                <w:u w:val="single"/>
              </w:rPr>
              <w:t xml:space="preserve">          </w:t>
            </w:r>
            <w:r>
              <w:rPr>
                <w:rFonts w:hint="eastAsia"/>
                <w:color w:val="auto"/>
                <w:highlight w:val="none"/>
              </w:rPr>
              <w:t xml:space="preserve">元，（小写）  </w:t>
            </w:r>
            <w:r>
              <w:rPr>
                <w:rFonts w:hint="eastAsia"/>
                <w:color w:val="auto"/>
                <w:highlight w:val="none"/>
                <w:u w:val="single"/>
              </w:rPr>
              <w:t xml:space="preserve">       </w:t>
            </w:r>
            <w:r>
              <w:rPr>
                <w:rFonts w:hint="eastAsia"/>
                <w:color w:val="auto"/>
                <w:highlight w:val="none"/>
              </w:rPr>
              <w:t>元。</w:t>
            </w:r>
          </w:p>
          <w:p>
            <w:pPr>
              <w:spacing w:line="360" w:lineRule="exact"/>
              <w:ind w:firstLine="435"/>
              <w:jc w:val="center"/>
              <w:rPr>
                <w:color w:val="auto"/>
                <w:highlight w:val="none"/>
              </w:rPr>
            </w:pPr>
            <w:r>
              <w:rPr>
                <w:color w:val="auto"/>
                <w:highlight w:val="none"/>
              </w:rPr>
              <w:t xml:space="preserve">    </w:t>
            </w:r>
          </w:p>
          <w:p>
            <w:pPr>
              <w:spacing w:line="360" w:lineRule="exact"/>
              <w:ind w:firstLine="435"/>
              <w:jc w:val="center"/>
              <w:rPr>
                <w:color w:val="auto"/>
                <w:highlight w:val="none"/>
              </w:rPr>
            </w:pPr>
          </w:p>
          <w:p>
            <w:pPr>
              <w:spacing w:line="360" w:lineRule="exact"/>
              <w:ind w:firstLine="435"/>
              <w:jc w:val="center"/>
              <w:rPr>
                <w:color w:val="auto"/>
                <w:highlight w:val="none"/>
              </w:rPr>
            </w:pPr>
          </w:p>
          <w:p>
            <w:pPr>
              <w:spacing w:line="360" w:lineRule="exact"/>
              <w:ind w:firstLine="435"/>
              <w:jc w:val="center"/>
              <w:rPr>
                <w:color w:val="auto"/>
                <w:highlight w:val="none"/>
              </w:rPr>
            </w:pPr>
          </w:p>
          <w:p>
            <w:pPr>
              <w:spacing w:line="360" w:lineRule="exact"/>
              <w:ind w:firstLine="435"/>
              <w:jc w:val="center"/>
              <w:rPr>
                <w:color w:val="auto"/>
                <w:highlight w:val="none"/>
                <w:u w:val="single"/>
              </w:rPr>
            </w:pPr>
            <w:r>
              <w:rPr>
                <w:rFonts w:hint="eastAsia"/>
                <w:color w:val="auto"/>
                <w:highlight w:val="none"/>
              </w:rPr>
              <w:t xml:space="preserve">    造价工程师</w:t>
            </w:r>
            <w:r>
              <w:rPr>
                <w:rFonts w:hint="eastAsia"/>
                <w:color w:val="auto"/>
                <w:highlight w:val="none"/>
                <w:u w:val="single"/>
              </w:rPr>
              <w:t xml:space="preserve">           </w:t>
            </w:r>
          </w:p>
          <w:p>
            <w:pPr>
              <w:spacing w:line="360" w:lineRule="exact"/>
              <w:ind w:firstLine="435"/>
              <w:jc w:val="center"/>
              <w:rPr>
                <w:color w:val="auto"/>
                <w:highlight w:val="none"/>
                <w:u w:val="single"/>
              </w:rPr>
            </w:pPr>
            <w:r>
              <w:rPr>
                <w:color w:val="auto"/>
                <w:highlight w:val="none"/>
              </w:rPr>
              <w:t xml:space="preserve">    </w:t>
            </w:r>
            <w:r>
              <w:rPr>
                <w:rFonts w:hint="eastAsia"/>
                <w:color w:val="auto"/>
                <w:highlight w:val="none"/>
              </w:rPr>
              <w:t>日      期</w:t>
            </w:r>
            <w:r>
              <w:rPr>
                <w:rFonts w:hint="eastAsia"/>
                <w:color w:val="auto"/>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1" w:hRule="atLeast"/>
          <w:jc w:val="center"/>
        </w:trPr>
        <w:tc>
          <w:tcPr>
            <w:tcW w:w="9072" w:type="dxa"/>
            <w:gridSpan w:val="2"/>
            <w:shd w:val="clear" w:color="auto" w:fill="auto"/>
          </w:tcPr>
          <w:p>
            <w:pPr>
              <w:spacing w:line="400" w:lineRule="exact"/>
              <w:rPr>
                <w:color w:val="auto"/>
                <w:highlight w:val="none"/>
              </w:rPr>
            </w:pPr>
            <w:r>
              <w:rPr>
                <w:rFonts w:hint="eastAsia"/>
                <w:color w:val="auto"/>
                <w:highlight w:val="none"/>
              </w:rPr>
              <w:t>审核意见：</w:t>
            </w:r>
          </w:p>
          <w:p>
            <w:pPr>
              <w:spacing w:line="400" w:lineRule="exact"/>
              <w:ind w:firstLine="435"/>
              <w:rPr>
                <w:color w:val="auto"/>
                <w:highlight w:val="none"/>
              </w:rPr>
            </w:pPr>
            <w:r>
              <w:rPr>
                <w:rFonts w:hint="eastAsia"/>
                <w:color w:val="auto"/>
                <w:highlight w:val="none"/>
              </w:rPr>
              <w:t>□不同意。</w:t>
            </w:r>
          </w:p>
          <w:p>
            <w:pPr>
              <w:spacing w:line="400" w:lineRule="exact"/>
              <w:ind w:firstLine="420" w:firstLineChars="200"/>
              <w:rPr>
                <w:color w:val="auto"/>
                <w:highlight w:val="none"/>
              </w:rPr>
            </w:pPr>
            <w:r>
              <w:rPr>
                <w:rFonts w:hint="eastAsia"/>
                <w:color w:val="auto"/>
                <w:highlight w:val="none"/>
              </w:rPr>
              <w:t>□同意，支付时间为本表签发后的</w:t>
            </w:r>
            <w:r>
              <w:rPr>
                <w:rFonts w:hint="eastAsia"/>
                <w:color w:val="auto"/>
                <w:highlight w:val="none"/>
                <w:u w:val="single"/>
              </w:rPr>
              <w:t xml:space="preserve"> </w:t>
            </w:r>
            <w:r>
              <w:rPr>
                <w:color w:val="auto"/>
                <w:highlight w:val="none"/>
                <w:u w:val="single"/>
              </w:rPr>
              <w:t xml:space="preserve">   </w:t>
            </w:r>
            <w:r>
              <w:rPr>
                <w:rFonts w:hint="eastAsia"/>
                <w:color w:val="auto"/>
                <w:highlight w:val="none"/>
              </w:rPr>
              <w:t>天内。</w:t>
            </w:r>
          </w:p>
          <w:p>
            <w:pPr>
              <w:wordWrap w:val="0"/>
              <w:spacing w:line="400" w:lineRule="exact"/>
              <w:ind w:firstLine="420" w:firstLineChars="200"/>
              <w:jc w:val="right"/>
              <w:rPr>
                <w:color w:val="auto"/>
                <w:highlight w:val="none"/>
              </w:rPr>
            </w:pPr>
            <w:r>
              <w:rPr>
                <w:rFonts w:hint="eastAsia"/>
                <w:color w:val="auto"/>
                <w:highlight w:val="none"/>
              </w:rPr>
              <w:t xml:space="preserve">发包人（章）           </w:t>
            </w:r>
          </w:p>
          <w:p>
            <w:pPr>
              <w:wordWrap w:val="0"/>
              <w:spacing w:line="400" w:lineRule="exact"/>
              <w:ind w:firstLine="420" w:firstLineChars="200"/>
              <w:jc w:val="right"/>
              <w:rPr>
                <w:color w:val="auto"/>
                <w:highlight w:val="none"/>
                <w:u w:val="single"/>
              </w:rPr>
            </w:pPr>
            <w:r>
              <w:rPr>
                <w:rFonts w:hint="eastAsia"/>
                <w:color w:val="auto"/>
                <w:highlight w:val="none"/>
              </w:rPr>
              <w:t>发包人代表</w:t>
            </w:r>
            <w:r>
              <w:rPr>
                <w:rFonts w:hint="eastAsia"/>
                <w:color w:val="auto"/>
                <w:highlight w:val="none"/>
                <w:u w:val="single"/>
              </w:rPr>
              <w:t xml:space="preserve">             </w:t>
            </w:r>
          </w:p>
          <w:p>
            <w:pPr>
              <w:wordWrap w:val="0"/>
              <w:spacing w:line="400" w:lineRule="exact"/>
              <w:ind w:firstLine="420" w:firstLineChars="200"/>
              <w:jc w:val="right"/>
              <w:rPr>
                <w:color w:val="auto"/>
                <w:highlight w:val="none"/>
                <w:u w:val="single"/>
              </w:rPr>
            </w:pPr>
            <w:r>
              <w:rPr>
                <w:rFonts w:hint="eastAsia"/>
                <w:color w:val="auto"/>
                <w:highlight w:val="none"/>
              </w:rPr>
              <w:t>日      期</w:t>
            </w:r>
            <w:r>
              <w:rPr>
                <w:rFonts w:hint="eastAsia"/>
                <w:color w:val="auto"/>
                <w:highlight w:val="none"/>
                <w:u w:val="single"/>
              </w:rPr>
              <w:t xml:space="preserve">             </w:t>
            </w:r>
          </w:p>
        </w:tc>
      </w:tr>
    </w:tbl>
    <w:p>
      <w:pPr>
        <w:spacing w:beforeLines="50"/>
        <w:ind w:firstLine="360" w:firstLineChars="200"/>
        <w:rPr>
          <w:color w:val="auto"/>
          <w:sz w:val="18"/>
          <w:szCs w:val="18"/>
          <w:highlight w:val="none"/>
        </w:rPr>
      </w:pPr>
      <w:r>
        <w:rPr>
          <w:rFonts w:hint="eastAsia"/>
          <w:color w:val="auto"/>
          <w:sz w:val="18"/>
          <w:szCs w:val="18"/>
          <w:highlight w:val="none"/>
        </w:rPr>
        <w:t>注：1.在选择栏中的“□”内作标识“√”。 如监理人已退场，监理工程师栏可空缺。</w:t>
      </w:r>
    </w:p>
    <w:p>
      <w:pPr>
        <w:spacing w:beforeLines="50"/>
        <w:ind w:left="720" w:hanging="720" w:hangingChars="400"/>
        <w:rPr>
          <w:color w:val="auto"/>
          <w:sz w:val="18"/>
          <w:szCs w:val="18"/>
          <w:highlight w:val="none"/>
        </w:rPr>
      </w:pPr>
      <w:r>
        <w:rPr>
          <w:rFonts w:hint="eastAsia"/>
          <w:color w:val="auto"/>
          <w:sz w:val="18"/>
          <w:szCs w:val="18"/>
          <w:highlight w:val="none"/>
        </w:rPr>
        <w:t xml:space="preserve">    </w:t>
      </w:r>
      <w:r>
        <w:rPr>
          <w:color w:val="auto"/>
          <w:sz w:val="18"/>
          <w:szCs w:val="18"/>
          <w:highlight w:val="none"/>
        </w:rPr>
        <w:t xml:space="preserve">  </w:t>
      </w:r>
      <w:r>
        <w:rPr>
          <w:rFonts w:hint="eastAsia"/>
          <w:color w:val="auto"/>
          <w:sz w:val="18"/>
          <w:szCs w:val="18"/>
          <w:highlight w:val="none"/>
        </w:rPr>
        <w:t xml:space="preserve">  2.本表一式四份，由承包人填报，发包人、监理人、造价咨询人、承包人各存一份。</w:t>
      </w:r>
    </w:p>
    <w:p>
      <w:pPr>
        <w:spacing w:line="360" w:lineRule="auto"/>
        <w:ind w:firstLine="420" w:firstLineChars="200"/>
        <w:jc w:val="left"/>
        <w:rPr>
          <w:color w:val="auto"/>
          <w:highlight w:val="none"/>
          <w:u w:val="single"/>
        </w:rPr>
      </w:pPr>
    </w:p>
    <w:p>
      <w:pPr>
        <w:spacing w:beforeLines="50"/>
        <w:ind w:left="1200" w:hanging="1200" w:hangingChars="400"/>
        <w:rPr>
          <w:rFonts w:ascii="宋体"/>
          <w:color w:val="auto"/>
          <w:sz w:val="30"/>
          <w:szCs w:val="30"/>
          <w:highlight w:val="none"/>
        </w:rPr>
      </w:pPr>
    </w:p>
    <w:p>
      <w:pPr>
        <w:spacing w:line="360" w:lineRule="auto"/>
        <w:jc w:val="left"/>
        <w:rPr>
          <w:rFonts w:hAnsi="宋体" w:cs="宋体"/>
          <w:color w:val="auto"/>
          <w:sz w:val="30"/>
          <w:szCs w:val="30"/>
          <w:highlight w:val="none"/>
        </w:rPr>
      </w:pPr>
      <w:r>
        <w:rPr>
          <w:rFonts w:hint="eastAsia"/>
          <w:color w:val="auto"/>
          <w:sz w:val="30"/>
          <w:szCs w:val="30"/>
          <w:highlight w:val="none"/>
        </w:rPr>
        <w:t>附件14：</w:t>
      </w:r>
    </w:p>
    <w:p>
      <w:pPr>
        <w:spacing w:line="360" w:lineRule="auto"/>
        <w:ind w:firstLine="720" w:firstLineChars="200"/>
        <w:jc w:val="center"/>
        <w:rPr>
          <w:rFonts w:ascii="宋体" w:hAnsi="宋体" w:cs="宋体"/>
          <w:color w:val="auto"/>
          <w:kern w:val="0"/>
          <w:sz w:val="36"/>
          <w:szCs w:val="36"/>
          <w:highlight w:val="none"/>
        </w:rPr>
      </w:pPr>
      <w:r>
        <w:rPr>
          <w:rFonts w:hint="eastAsia" w:ascii="宋体" w:hAnsi="宋体" w:cs="宋体"/>
          <w:color w:val="auto"/>
          <w:kern w:val="0"/>
          <w:sz w:val="36"/>
          <w:szCs w:val="36"/>
          <w:highlight w:val="none"/>
        </w:rPr>
        <w:t>总价合同进度款支付分解表</w:t>
      </w:r>
    </w:p>
    <w:p>
      <w:pPr>
        <w:spacing w:line="360" w:lineRule="auto"/>
        <w:rPr>
          <w:rFonts w:ascii="宋体" w:hAnsi="宋体" w:cs="宋体"/>
          <w:color w:val="auto"/>
          <w:kern w:val="0"/>
          <w:highlight w:val="none"/>
        </w:rPr>
      </w:pPr>
      <w:r>
        <w:rPr>
          <w:rFonts w:hint="eastAsia" w:ascii="宋体" w:hAnsi="宋体" w:cs="宋体"/>
          <w:color w:val="auto"/>
          <w:kern w:val="0"/>
          <w:highlight w:val="none"/>
        </w:rPr>
        <w:t>工程名称：</w:t>
      </w:r>
    </w:p>
    <w:tbl>
      <w:tblPr>
        <w:tblStyle w:val="42"/>
        <w:tblW w:w="8867" w:type="dxa"/>
        <w:tblInd w:w="-1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
        <w:gridCol w:w="1417"/>
        <w:gridCol w:w="3119"/>
        <w:gridCol w:w="675"/>
        <w:gridCol w:w="2268"/>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112" w:type="dxa"/>
        </w:trPr>
        <w:tc>
          <w:tcPr>
            <w:tcW w:w="1417" w:type="dxa"/>
            <w:shd w:val="clear" w:color="auto" w:fill="auto"/>
          </w:tcPr>
          <w:p>
            <w:pPr>
              <w:spacing w:line="360" w:lineRule="auto"/>
              <w:jc w:val="center"/>
              <w:rPr>
                <w:rFonts w:ascii="宋体" w:hAnsi="宋体" w:cs="宋体"/>
                <w:color w:val="auto"/>
                <w:kern w:val="0"/>
                <w:highlight w:val="none"/>
              </w:rPr>
            </w:pPr>
            <w:r>
              <w:rPr>
                <w:rFonts w:hint="eastAsia" w:ascii="宋体" w:hAnsi="宋体" w:cs="宋体"/>
                <w:color w:val="auto"/>
                <w:kern w:val="0"/>
                <w:highlight w:val="none"/>
              </w:rPr>
              <w:t>进度款期次</w:t>
            </w:r>
          </w:p>
        </w:tc>
        <w:tc>
          <w:tcPr>
            <w:tcW w:w="3794" w:type="dxa"/>
            <w:gridSpan w:val="2"/>
            <w:shd w:val="clear" w:color="auto" w:fill="auto"/>
          </w:tcPr>
          <w:p>
            <w:pPr>
              <w:spacing w:line="360" w:lineRule="auto"/>
              <w:jc w:val="center"/>
              <w:rPr>
                <w:rFonts w:ascii="宋体" w:hAnsi="宋体" w:cs="宋体"/>
                <w:color w:val="auto"/>
                <w:kern w:val="0"/>
                <w:highlight w:val="none"/>
              </w:rPr>
            </w:pPr>
            <w:r>
              <w:rPr>
                <w:rFonts w:hint="eastAsia" w:ascii="宋体" w:hAnsi="宋体" w:cs="宋体"/>
                <w:color w:val="auto"/>
                <w:kern w:val="0"/>
                <w:highlight w:val="none"/>
              </w:rPr>
              <w:t>形象进度</w:t>
            </w:r>
          </w:p>
        </w:tc>
        <w:tc>
          <w:tcPr>
            <w:tcW w:w="2268" w:type="dxa"/>
            <w:shd w:val="clear" w:color="auto" w:fill="auto"/>
          </w:tcPr>
          <w:p>
            <w:pPr>
              <w:spacing w:line="360" w:lineRule="auto"/>
              <w:jc w:val="center"/>
              <w:rPr>
                <w:rFonts w:ascii="宋体" w:hAnsi="宋体" w:cs="宋体"/>
                <w:color w:val="auto"/>
                <w:kern w:val="0"/>
                <w:highlight w:val="none"/>
              </w:rPr>
            </w:pPr>
            <w:r>
              <w:rPr>
                <w:rFonts w:hint="eastAsia" w:ascii="宋体" w:hAnsi="宋体" w:cs="宋体"/>
                <w:color w:val="auto"/>
                <w:kern w:val="0"/>
                <w:highlight w:val="none"/>
              </w:rPr>
              <w:t>进度款付款金额（元）</w:t>
            </w:r>
          </w:p>
        </w:tc>
        <w:tc>
          <w:tcPr>
            <w:tcW w:w="1276" w:type="dxa"/>
            <w:shd w:val="clear" w:color="auto" w:fill="auto"/>
          </w:tcPr>
          <w:p>
            <w:pPr>
              <w:spacing w:line="360" w:lineRule="auto"/>
              <w:jc w:val="center"/>
              <w:rPr>
                <w:rFonts w:ascii="宋体" w:hAnsi="宋体" w:cs="宋体"/>
                <w:color w:val="auto"/>
                <w:kern w:val="0"/>
                <w:highlight w:val="none"/>
              </w:rPr>
            </w:pPr>
            <w:r>
              <w:rPr>
                <w:rFonts w:hint="eastAsia" w:ascii="宋体" w:hAnsi="宋体" w:cs="宋体"/>
                <w:color w:val="auto"/>
                <w:kern w:val="0"/>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112" w:type="dxa"/>
        </w:trPr>
        <w:tc>
          <w:tcPr>
            <w:tcW w:w="1417" w:type="dxa"/>
            <w:shd w:val="clear" w:color="auto" w:fill="auto"/>
          </w:tcPr>
          <w:p>
            <w:pPr>
              <w:spacing w:line="360" w:lineRule="auto"/>
              <w:jc w:val="center"/>
              <w:rPr>
                <w:rFonts w:ascii="宋体" w:hAnsi="宋体" w:cs="宋体"/>
                <w:color w:val="auto"/>
                <w:kern w:val="0"/>
                <w:highlight w:val="none"/>
              </w:rPr>
            </w:pPr>
            <w:r>
              <w:rPr>
                <w:rFonts w:hint="eastAsia" w:ascii="宋体" w:hAnsi="宋体" w:cs="宋体"/>
                <w:color w:val="auto"/>
                <w:kern w:val="0"/>
                <w:highlight w:val="none"/>
              </w:rPr>
              <w:t>第一期</w:t>
            </w:r>
          </w:p>
        </w:tc>
        <w:tc>
          <w:tcPr>
            <w:tcW w:w="3794" w:type="dxa"/>
            <w:gridSpan w:val="2"/>
            <w:shd w:val="clear" w:color="auto" w:fill="auto"/>
          </w:tcPr>
          <w:p>
            <w:pPr>
              <w:spacing w:line="360" w:lineRule="auto"/>
              <w:jc w:val="center"/>
              <w:rPr>
                <w:rFonts w:ascii="宋体" w:hAnsi="宋体" w:cs="宋体"/>
                <w:color w:val="auto"/>
                <w:kern w:val="0"/>
                <w:highlight w:val="none"/>
              </w:rPr>
            </w:pPr>
          </w:p>
        </w:tc>
        <w:tc>
          <w:tcPr>
            <w:tcW w:w="2268" w:type="dxa"/>
            <w:shd w:val="clear" w:color="auto" w:fill="auto"/>
          </w:tcPr>
          <w:p>
            <w:pPr>
              <w:spacing w:line="360" w:lineRule="auto"/>
              <w:jc w:val="center"/>
              <w:rPr>
                <w:rFonts w:ascii="宋体" w:hAnsi="宋体" w:cs="宋体"/>
                <w:color w:val="auto"/>
                <w:kern w:val="0"/>
                <w:highlight w:val="none"/>
              </w:rPr>
            </w:pPr>
          </w:p>
        </w:tc>
        <w:tc>
          <w:tcPr>
            <w:tcW w:w="1276" w:type="dxa"/>
            <w:shd w:val="clear" w:color="auto" w:fill="auto"/>
          </w:tcPr>
          <w:p>
            <w:pPr>
              <w:spacing w:line="360" w:lineRule="auto"/>
              <w:jc w:val="center"/>
              <w:rPr>
                <w:rFonts w:ascii="宋体" w:hAnsi="宋体" w:cs="宋体"/>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112" w:type="dxa"/>
        </w:trPr>
        <w:tc>
          <w:tcPr>
            <w:tcW w:w="1417" w:type="dxa"/>
            <w:shd w:val="clear" w:color="auto" w:fill="auto"/>
          </w:tcPr>
          <w:p>
            <w:pPr>
              <w:spacing w:line="360" w:lineRule="auto"/>
              <w:jc w:val="center"/>
              <w:rPr>
                <w:rFonts w:ascii="宋体" w:hAnsi="宋体" w:cs="宋体"/>
                <w:color w:val="auto"/>
                <w:kern w:val="0"/>
                <w:highlight w:val="none"/>
              </w:rPr>
            </w:pPr>
            <w:r>
              <w:rPr>
                <w:rFonts w:hint="eastAsia" w:ascii="宋体" w:hAnsi="宋体" w:cs="宋体"/>
                <w:color w:val="auto"/>
                <w:kern w:val="0"/>
                <w:highlight w:val="none"/>
              </w:rPr>
              <w:t>第二期</w:t>
            </w:r>
          </w:p>
        </w:tc>
        <w:tc>
          <w:tcPr>
            <w:tcW w:w="3794" w:type="dxa"/>
            <w:gridSpan w:val="2"/>
            <w:shd w:val="clear" w:color="auto" w:fill="auto"/>
          </w:tcPr>
          <w:p>
            <w:pPr>
              <w:spacing w:line="360" w:lineRule="auto"/>
              <w:jc w:val="center"/>
              <w:rPr>
                <w:rFonts w:ascii="宋体" w:hAnsi="宋体" w:cs="宋体"/>
                <w:color w:val="auto"/>
                <w:kern w:val="0"/>
                <w:highlight w:val="none"/>
              </w:rPr>
            </w:pPr>
          </w:p>
        </w:tc>
        <w:tc>
          <w:tcPr>
            <w:tcW w:w="2268" w:type="dxa"/>
            <w:shd w:val="clear" w:color="auto" w:fill="auto"/>
          </w:tcPr>
          <w:p>
            <w:pPr>
              <w:spacing w:line="360" w:lineRule="auto"/>
              <w:jc w:val="center"/>
              <w:rPr>
                <w:rFonts w:ascii="宋体" w:hAnsi="宋体" w:cs="宋体"/>
                <w:color w:val="auto"/>
                <w:kern w:val="0"/>
                <w:highlight w:val="none"/>
              </w:rPr>
            </w:pPr>
          </w:p>
        </w:tc>
        <w:tc>
          <w:tcPr>
            <w:tcW w:w="1276" w:type="dxa"/>
            <w:shd w:val="clear" w:color="auto" w:fill="auto"/>
          </w:tcPr>
          <w:p>
            <w:pPr>
              <w:spacing w:line="360" w:lineRule="auto"/>
              <w:jc w:val="center"/>
              <w:rPr>
                <w:rFonts w:ascii="宋体" w:hAnsi="宋体" w:cs="宋体"/>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112" w:type="dxa"/>
        </w:trPr>
        <w:tc>
          <w:tcPr>
            <w:tcW w:w="1417" w:type="dxa"/>
            <w:shd w:val="clear" w:color="auto" w:fill="auto"/>
          </w:tcPr>
          <w:p>
            <w:pPr>
              <w:spacing w:line="360" w:lineRule="auto"/>
              <w:jc w:val="center"/>
              <w:rPr>
                <w:rFonts w:ascii="宋体" w:hAnsi="宋体" w:cs="宋体"/>
                <w:color w:val="auto"/>
                <w:kern w:val="0"/>
                <w:highlight w:val="none"/>
              </w:rPr>
            </w:pPr>
            <w:r>
              <w:rPr>
                <w:rFonts w:hint="eastAsia" w:ascii="宋体" w:hAnsi="宋体" w:cs="宋体"/>
                <w:color w:val="auto"/>
                <w:kern w:val="0"/>
                <w:highlight w:val="none"/>
              </w:rPr>
              <w:t>第三期</w:t>
            </w:r>
          </w:p>
        </w:tc>
        <w:tc>
          <w:tcPr>
            <w:tcW w:w="3794" w:type="dxa"/>
            <w:gridSpan w:val="2"/>
            <w:shd w:val="clear" w:color="auto" w:fill="auto"/>
          </w:tcPr>
          <w:p>
            <w:pPr>
              <w:spacing w:line="360" w:lineRule="auto"/>
              <w:jc w:val="center"/>
              <w:rPr>
                <w:rFonts w:ascii="宋体" w:hAnsi="宋体" w:cs="宋体"/>
                <w:color w:val="auto"/>
                <w:kern w:val="0"/>
                <w:highlight w:val="none"/>
              </w:rPr>
            </w:pPr>
          </w:p>
        </w:tc>
        <w:tc>
          <w:tcPr>
            <w:tcW w:w="2268" w:type="dxa"/>
            <w:shd w:val="clear" w:color="auto" w:fill="auto"/>
          </w:tcPr>
          <w:p>
            <w:pPr>
              <w:spacing w:line="360" w:lineRule="auto"/>
              <w:jc w:val="center"/>
              <w:rPr>
                <w:rFonts w:ascii="宋体" w:hAnsi="宋体" w:cs="宋体"/>
                <w:color w:val="auto"/>
                <w:kern w:val="0"/>
                <w:highlight w:val="none"/>
              </w:rPr>
            </w:pPr>
          </w:p>
        </w:tc>
        <w:tc>
          <w:tcPr>
            <w:tcW w:w="1276" w:type="dxa"/>
            <w:shd w:val="clear" w:color="auto" w:fill="auto"/>
          </w:tcPr>
          <w:p>
            <w:pPr>
              <w:spacing w:line="360" w:lineRule="auto"/>
              <w:jc w:val="center"/>
              <w:rPr>
                <w:rFonts w:ascii="宋体" w:hAnsi="宋体" w:cs="宋体"/>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112" w:type="dxa"/>
        </w:trPr>
        <w:tc>
          <w:tcPr>
            <w:tcW w:w="1417" w:type="dxa"/>
            <w:shd w:val="clear" w:color="auto" w:fill="auto"/>
          </w:tcPr>
          <w:p>
            <w:pPr>
              <w:spacing w:line="360" w:lineRule="auto"/>
              <w:jc w:val="center"/>
              <w:rPr>
                <w:rFonts w:ascii="宋体" w:hAnsi="宋体" w:cs="宋体"/>
                <w:color w:val="auto"/>
                <w:kern w:val="0"/>
                <w:highlight w:val="none"/>
              </w:rPr>
            </w:pPr>
            <w:r>
              <w:rPr>
                <w:rFonts w:ascii="宋体" w:hAnsi="宋体" w:cs="宋体"/>
                <w:color w:val="auto"/>
                <w:kern w:val="0"/>
                <w:highlight w:val="none"/>
              </w:rPr>
              <w:t>……</w:t>
            </w:r>
          </w:p>
        </w:tc>
        <w:tc>
          <w:tcPr>
            <w:tcW w:w="3794" w:type="dxa"/>
            <w:gridSpan w:val="2"/>
            <w:shd w:val="clear" w:color="auto" w:fill="auto"/>
          </w:tcPr>
          <w:p>
            <w:pPr>
              <w:spacing w:line="360" w:lineRule="auto"/>
              <w:jc w:val="center"/>
              <w:rPr>
                <w:rFonts w:ascii="宋体" w:hAnsi="宋体" w:cs="宋体"/>
                <w:color w:val="auto"/>
                <w:kern w:val="0"/>
                <w:highlight w:val="none"/>
              </w:rPr>
            </w:pPr>
          </w:p>
        </w:tc>
        <w:tc>
          <w:tcPr>
            <w:tcW w:w="2268" w:type="dxa"/>
            <w:shd w:val="clear" w:color="auto" w:fill="auto"/>
          </w:tcPr>
          <w:p>
            <w:pPr>
              <w:spacing w:line="360" w:lineRule="auto"/>
              <w:jc w:val="center"/>
              <w:rPr>
                <w:rFonts w:ascii="宋体" w:hAnsi="宋体" w:cs="宋体"/>
                <w:color w:val="auto"/>
                <w:kern w:val="0"/>
                <w:highlight w:val="none"/>
              </w:rPr>
            </w:pPr>
          </w:p>
        </w:tc>
        <w:tc>
          <w:tcPr>
            <w:tcW w:w="1276" w:type="dxa"/>
            <w:shd w:val="clear" w:color="auto" w:fill="auto"/>
          </w:tcPr>
          <w:p>
            <w:pPr>
              <w:spacing w:line="360" w:lineRule="auto"/>
              <w:jc w:val="center"/>
              <w:rPr>
                <w:rFonts w:ascii="宋体" w:hAnsi="宋体" w:cs="宋体"/>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0" w:hRule="atLeast"/>
        </w:trPr>
        <w:tc>
          <w:tcPr>
            <w:tcW w:w="4648" w:type="dxa"/>
            <w:gridSpan w:val="3"/>
            <w:shd w:val="clear" w:color="auto" w:fill="auto"/>
          </w:tcPr>
          <w:p>
            <w:pPr>
              <w:spacing w:line="360" w:lineRule="exact"/>
              <w:ind w:firstLine="435"/>
              <w:jc w:val="right"/>
              <w:rPr>
                <w:color w:val="auto"/>
                <w:highlight w:val="none"/>
              </w:rPr>
            </w:pPr>
          </w:p>
          <w:p>
            <w:pPr>
              <w:spacing w:line="360" w:lineRule="exact"/>
              <w:ind w:firstLine="435"/>
              <w:jc w:val="center"/>
              <w:rPr>
                <w:color w:val="auto"/>
                <w:highlight w:val="none"/>
              </w:rPr>
            </w:pPr>
          </w:p>
          <w:p>
            <w:pPr>
              <w:spacing w:line="360" w:lineRule="exact"/>
              <w:ind w:firstLine="435"/>
              <w:jc w:val="center"/>
              <w:rPr>
                <w:color w:val="auto"/>
                <w:highlight w:val="none"/>
              </w:rPr>
            </w:pPr>
            <w:r>
              <w:rPr>
                <w:rFonts w:hint="eastAsia"/>
                <w:color w:val="auto"/>
                <w:highlight w:val="none"/>
              </w:rPr>
              <w:t>发包人代表签字：</w:t>
            </w:r>
          </w:p>
          <w:p>
            <w:pPr>
              <w:spacing w:line="360" w:lineRule="exact"/>
              <w:ind w:firstLine="435"/>
              <w:jc w:val="center"/>
              <w:rPr>
                <w:color w:val="auto"/>
                <w:highlight w:val="none"/>
              </w:rPr>
            </w:pPr>
          </w:p>
          <w:p>
            <w:pPr>
              <w:spacing w:line="360" w:lineRule="exact"/>
              <w:ind w:firstLine="435"/>
              <w:jc w:val="center"/>
              <w:rPr>
                <w:color w:val="auto"/>
                <w:highlight w:val="none"/>
              </w:rPr>
            </w:pPr>
            <w:r>
              <w:rPr>
                <w:rFonts w:hint="eastAsia"/>
                <w:color w:val="auto"/>
                <w:highlight w:val="none"/>
              </w:rPr>
              <w:t>发包人（盖公章）</w:t>
            </w:r>
          </w:p>
          <w:p>
            <w:pPr>
              <w:spacing w:line="360" w:lineRule="exact"/>
              <w:ind w:firstLine="435"/>
              <w:jc w:val="center"/>
              <w:rPr>
                <w:color w:val="auto"/>
                <w:highlight w:val="none"/>
              </w:rPr>
            </w:pPr>
          </w:p>
          <w:p>
            <w:pPr>
              <w:spacing w:line="360" w:lineRule="exact"/>
              <w:ind w:firstLine="435"/>
              <w:jc w:val="center"/>
              <w:rPr>
                <w:color w:val="auto"/>
                <w:highlight w:val="none"/>
                <w:u w:val="single"/>
              </w:rPr>
            </w:pPr>
            <w:r>
              <w:rPr>
                <w:color w:val="auto"/>
                <w:highlight w:val="none"/>
              </w:rPr>
              <w:t xml:space="preserve">    </w:t>
            </w:r>
            <w:r>
              <w:rPr>
                <w:rFonts w:hint="eastAsia"/>
                <w:color w:val="auto"/>
                <w:highlight w:val="none"/>
              </w:rPr>
              <w:t xml:space="preserve">    日      期        </w:t>
            </w:r>
            <w:r>
              <w:rPr>
                <w:rFonts w:hint="eastAsia"/>
                <w:color w:val="auto"/>
                <w:highlight w:val="none"/>
                <w:u w:val="single"/>
              </w:rPr>
              <w:t xml:space="preserve">   </w:t>
            </w:r>
          </w:p>
        </w:tc>
        <w:tc>
          <w:tcPr>
            <w:tcW w:w="4219" w:type="dxa"/>
            <w:gridSpan w:val="3"/>
            <w:shd w:val="clear" w:color="auto" w:fill="auto"/>
          </w:tcPr>
          <w:p>
            <w:pPr>
              <w:spacing w:line="360" w:lineRule="exact"/>
              <w:ind w:firstLine="435"/>
              <w:jc w:val="center"/>
              <w:rPr>
                <w:color w:val="auto"/>
                <w:highlight w:val="none"/>
              </w:rPr>
            </w:pPr>
          </w:p>
          <w:p>
            <w:pPr>
              <w:spacing w:line="360" w:lineRule="exact"/>
              <w:ind w:firstLine="435"/>
              <w:jc w:val="center"/>
              <w:rPr>
                <w:color w:val="auto"/>
                <w:highlight w:val="none"/>
                <w:u w:val="single"/>
              </w:rPr>
            </w:pPr>
          </w:p>
          <w:p>
            <w:pPr>
              <w:spacing w:line="360" w:lineRule="exact"/>
              <w:ind w:firstLine="435"/>
              <w:jc w:val="center"/>
              <w:rPr>
                <w:color w:val="auto"/>
                <w:highlight w:val="none"/>
              </w:rPr>
            </w:pPr>
            <w:r>
              <w:rPr>
                <w:rFonts w:hint="eastAsia"/>
                <w:color w:val="auto"/>
                <w:highlight w:val="none"/>
              </w:rPr>
              <w:t>承包人代表签字：</w:t>
            </w:r>
          </w:p>
          <w:p>
            <w:pPr>
              <w:spacing w:line="360" w:lineRule="exact"/>
              <w:ind w:firstLine="435"/>
              <w:jc w:val="center"/>
              <w:rPr>
                <w:color w:val="auto"/>
                <w:highlight w:val="none"/>
              </w:rPr>
            </w:pPr>
          </w:p>
          <w:p>
            <w:pPr>
              <w:spacing w:line="360" w:lineRule="exact"/>
              <w:ind w:firstLine="435"/>
              <w:jc w:val="center"/>
              <w:rPr>
                <w:color w:val="auto"/>
                <w:highlight w:val="none"/>
              </w:rPr>
            </w:pPr>
            <w:r>
              <w:rPr>
                <w:rFonts w:hint="eastAsia"/>
                <w:color w:val="auto"/>
                <w:highlight w:val="none"/>
              </w:rPr>
              <w:t>承包人（盖公章）</w:t>
            </w:r>
          </w:p>
          <w:p>
            <w:pPr>
              <w:spacing w:line="360" w:lineRule="exact"/>
              <w:ind w:firstLine="435"/>
              <w:jc w:val="center"/>
              <w:rPr>
                <w:color w:val="auto"/>
                <w:highlight w:val="none"/>
              </w:rPr>
            </w:pPr>
          </w:p>
          <w:p>
            <w:pPr>
              <w:spacing w:line="360" w:lineRule="exact"/>
              <w:ind w:firstLine="435"/>
              <w:jc w:val="center"/>
              <w:rPr>
                <w:color w:val="auto"/>
                <w:highlight w:val="none"/>
                <w:u w:val="single"/>
              </w:rPr>
            </w:pPr>
            <w:r>
              <w:rPr>
                <w:color w:val="auto"/>
                <w:highlight w:val="none"/>
              </w:rPr>
              <w:t xml:space="preserve">    </w:t>
            </w:r>
            <w:r>
              <w:rPr>
                <w:rFonts w:hint="eastAsia"/>
                <w:color w:val="auto"/>
                <w:highlight w:val="none"/>
              </w:rPr>
              <w:t xml:space="preserve">    日      期</w:t>
            </w:r>
            <w:r>
              <w:rPr>
                <w:rFonts w:hint="eastAsia"/>
                <w:color w:val="auto"/>
                <w:highlight w:val="none"/>
                <w:u w:val="single"/>
              </w:rPr>
              <w:t xml:space="preserve">        </w:t>
            </w:r>
          </w:p>
        </w:tc>
      </w:tr>
    </w:tbl>
    <w:p>
      <w:pPr>
        <w:spacing w:line="360" w:lineRule="auto"/>
        <w:rPr>
          <w:rFonts w:ascii="宋体"/>
          <w:color w:val="auto"/>
          <w:highlight w:val="none"/>
        </w:rPr>
      </w:pPr>
    </w:p>
    <w:p>
      <w:pPr>
        <w:spacing w:line="360" w:lineRule="auto"/>
        <w:rPr>
          <w:rFonts w:ascii="宋体"/>
          <w:color w:val="auto"/>
          <w:highlight w:val="none"/>
        </w:rPr>
      </w:pPr>
    </w:p>
    <w:p>
      <w:pPr>
        <w:spacing w:line="360" w:lineRule="auto"/>
        <w:rPr>
          <w:rFonts w:ascii="宋体"/>
          <w:color w:val="auto"/>
          <w:highlight w:val="none"/>
        </w:rPr>
      </w:pPr>
    </w:p>
    <w:p>
      <w:pPr>
        <w:spacing w:line="360" w:lineRule="auto"/>
        <w:rPr>
          <w:rFonts w:ascii="宋体"/>
          <w:color w:val="auto"/>
          <w:highlight w:val="none"/>
        </w:rPr>
      </w:pPr>
    </w:p>
    <w:p>
      <w:pPr>
        <w:spacing w:line="360" w:lineRule="auto"/>
        <w:rPr>
          <w:rFonts w:ascii="宋体"/>
          <w:color w:val="auto"/>
          <w:highlight w:val="none"/>
        </w:rPr>
      </w:pPr>
    </w:p>
    <w:p>
      <w:pPr>
        <w:spacing w:line="360" w:lineRule="auto"/>
        <w:rPr>
          <w:rFonts w:ascii="宋体"/>
          <w:color w:val="auto"/>
          <w:highlight w:val="none"/>
        </w:rPr>
      </w:pPr>
    </w:p>
    <w:p>
      <w:pPr>
        <w:spacing w:line="360" w:lineRule="auto"/>
        <w:rPr>
          <w:rFonts w:ascii="宋体"/>
          <w:color w:val="auto"/>
          <w:highlight w:val="none"/>
        </w:rPr>
      </w:pPr>
    </w:p>
    <w:p>
      <w:pPr>
        <w:spacing w:line="360" w:lineRule="auto"/>
        <w:rPr>
          <w:rFonts w:ascii="宋体"/>
          <w:color w:val="auto"/>
          <w:highlight w:val="none"/>
        </w:rPr>
      </w:pPr>
    </w:p>
    <w:p>
      <w:pPr>
        <w:spacing w:line="360" w:lineRule="auto"/>
        <w:rPr>
          <w:rFonts w:ascii="宋体"/>
          <w:color w:val="auto"/>
          <w:highlight w:val="none"/>
        </w:rPr>
      </w:pPr>
    </w:p>
    <w:p>
      <w:pPr>
        <w:spacing w:line="360" w:lineRule="auto"/>
        <w:rPr>
          <w:rFonts w:ascii="宋体"/>
          <w:color w:val="auto"/>
          <w:highlight w:val="none"/>
        </w:rPr>
      </w:pPr>
    </w:p>
    <w:p>
      <w:pPr>
        <w:spacing w:line="360" w:lineRule="auto"/>
        <w:rPr>
          <w:rFonts w:ascii="宋体"/>
          <w:color w:val="auto"/>
          <w:highlight w:val="none"/>
        </w:rPr>
      </w:pPr>
    </w:p>
    <w:p>
      <w:pPr>
        <w:spacing w:line="360" w:lineRule="auto"/>
        <w:rPr>
          <w:rFonts w:ascii="宋体"/>
          <w:color w:val="auto"/>
          <w:highlight w:val="none"/>
        </w:rPr>
      </w:pPr>
    </w:p>
    <w:p>
      <w:pPr>
        <w:spacing w:line="360" w:lineRule="auto"/>
        <w:rPr>
          <w:rFonts w:ascii="宋体"/>
          <w:color w:val="auto"/>
          <w:highlight w:val="none"/>
        </w:rPr>
      </w:pPr>
    </w:p>
    <w:p>
      <w:pPr>
        <w:spacing w:line="360" w:lineRule="auto"/>
        <w:rPr>
          <w:rFonts w:ascii="宋体"/>
          <w:color w:val="auto"/>
          <w:highlight w:val="none"/>
        </w:rPr>
      </w:pPr>
    </w:p>
    <w:p>
      <w:pPr>
        <w:pStyle w:val="43"/>
        <w:rPr>
          <w:rFonts w:ascii="宋体"/>
          <w:color w:val="auto"/>
          <w:highlight w:val="none"/>
        </w:rPr>
      </w:pPr>
    </w:p>
    <w:p>
      <w:pPr>
        <w:pStyle w:val="43"/>
        <w:rPr>
          <w:rFonts w:ascii="宋体"/>
          <w:color w:val="auto"/>
          <w:highlight w:val="none"/>
        </w:rPr>
      </w:pPr>
    </w:p>
    <w:p>
      <w:pPr>
        <w:pStyle w:val="43"/>
        <w:rPr>
          <w:rFonts w:ascii="宋体"/>
          <w:color w:val="auto"/>
          <w:highlight w:val="none"/>
        </w:rPr>
      </w:pPr>
    </w:p>
    <w:p>
      <w:pPr>
        <w:spacing w:line="360" w:lineRule="auto"/>
        <w:jc w:val="left"/>
        <w:rPr>
          <w:rFonts w:hAnsi="宋体" w:cs="宋体"/>
          <w:color w:val="auto"/>
          <w:sz w:val="30"/>
          <w:szCs w:val="30"/>
          <w:highlight w:val="none"/>
        </w:rPr>
      </w:pPr>
      <w:r>
        <w:rPr>
          <w:rFonts w:hint="eastAsia"/>
          <w:color w:val="auto"/>
          <w:sz w:val="30"/>
          <w:szCs w:val="30"/>
          <w:highlight w:val="none"/>
        </w:rPr>
        <w:t>附件15：</w:t>
      </w:r>
    </w:p>
    <w:p>
      <w:pPr>
        <w:jc w:val="center"/>
        <w:rPr>
          <w:b/>
          <w:color w:val="auto"/>
          <w:sz w:val="36"/>
          <w:szCs w:val="36"/>
          <w:highlight w:val="none"/>
        </w:rPr>
      </w:pPr>
      <w:r>
        <w:rPr>
          <w:rFonts w:hint="eastAsia"/>
          <w:b/>
          <w:color w:val="auto"/>
          <w:sz w:val="36"/>
          <w:szCs w:val="36"/>
          <w:highlight w:val="none"/>
        </w:rPr>
        <w:t>工程结算送审承诺书</w:t>
      </w:r>
    </w:p>
    <w:p>
      <w:pPr>
        <w:rPr>
          <w:rFonts w:ascii="宋体"/>
          <w:b/>
          <w:color w:val="auto"/>
          <w:sz w:val="28"/>
          <w:szCs w:val="28"/>
          <w:highlight w:val="none"/>
        </w:rPr>
      </w:pPr>
    </w:p>
    <w:p>
      <w:pPr>
        <w:spacing w:line="360" w:lineRule="auto"/>
        <w:rPr>
          <w:rFonts w:ascii="宋体" w:hAnsi="宋体"/>
          <w:color w:val="auto"/>
          <w:sz w:val="24"/>
          <w:szCs w:val="24"/>
          <w:highlight w:val="none"/>
        </w:rPr>
      </w:pPr>
      <w:r>
        <w:rPr>
          <w:rFonts w:hint="eastAsia" w:ascii="宋体" w:hAnsi="宋体"/>
          <w:color w:val="auto"/>
          <w:sz w:val="24"/>
          <w:szCs w:val="24"/>
          <w:highlight w:val="none"/>
        </w:rPr>
        <w:t>发包人（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根据贵校与我公司与    年  月  日签订的《        合同》，我公司承建贵校的                             项目，该项目已于    年  月  日通过竣工验收，验收结果为合格。我公司现将该项目工程结算资料报送贵校审计（材料清单见附件）并就报审相关事宜承诺如下：</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一、我公司报送的全部结算资料为真实、有效、准确、完整。</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二、对于我公司在本次报送中遗漏的结算资料，我公司将在收到贵校初步审计报告之日起十个日历日内补齐，该期限之后，除贵校要求我公司补充资料之外，我公司将不再向贵校补充提出任何有可能导致工程价款增加的调整或补充结算要求；同时，该期限之后，即使我公司发现仍有结算资料未报送的，我公司也将放弃该部分资料所对应的结算款，不再主张或要求贵校支付该部分结算款。</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三、若贵校在审计过程中发现我公司报审资料中有瞒报、谎报等虚增工程款的情形的，我公司将承担全部责任。</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四、积极配合学校审计工作 ,在收到审计征询意见稿后（电子或书面）,5日内给予书面反馈,否则视作无异议处理。</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五、我公司同意贵校对报审资料中所载明的分部（分项）工程进行抽查，若贵校在抽查过程中发现我公司报送的工程量与实际情形不符的，贵校有权按抽查平均误差率计扣工程结算款，即：</w:t>
      </w:r>
    </w:p>
    <w:p>
      <w:pPr>
        <w:spacing w:line="360" w:lineRule="auto"/>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工程结算款＝结算金额×平均误差率</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六、若结算款审减金额（即贵校审定金额少于我公司送审金额的部分）超过送审金额的百分之六（含百分之六）的，我公司同意按照以下方式向贵校计付违约金：</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（一）违约金＝送审金额×（审减金额÷送审金额－6%）×10%</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（二）贵校有权在实际应付工程结算款总金额中直接扣除该项违约金，我公司不再主张或要求贵校支付该部分款项。</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七、若我公司在《        合同》项下所享有的权利因我公司做出上述承诺而减损的，我公司将不再依照《        合同》的相关约定行使相关权利。</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八、同意由贵校按规定委托社会中介机构审计的方式进行审计。</w:t>
      </w:r>
    </w:p>
    <w:p>
      <w:pPr>
        <w:spacing w:line="360" w:lineRule="auto"/>
        <w:ind w:firstLine="480" w:firstLineChars="200"/>
        <w:rPr>
          <w:rFonts w:ascii="宋体" w:hAnsi="宋体"/>
          <w:color w:val="auto"/>
          <w:sz w:val="24"/>
          <w:szCs w:val="24"/>
          <w:highlight w:val="none"/>
        </w:rPr>
      </w:pP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特此承诺。</w:t>
      </w:r>
    </w:p>
    <w:p>
      <w:pPr>
        <w:spacing w:line="360" w:lineRule="auto"/>
        <w:ind w:firstLine="480" w:firstLineChars="200"/>
        <w:rPr>
          <w:rFonts w:ascii="宋体" w:hAnsi="宋体"/>
          <w:color w:val="auto"/>
          <w:sz w:val="24"/>
          <w:szCs w:val="24"/>
          <w:highlight w:val="none"/>
        </w:rPr>
      </w:pPr>
    </w:p>
    <w:p>
      <w:pPr>
        <w:spacing w:line="360" w:lineRule="auto"/>
        <w:ind w:firstLine="480" w:firstLineChars="200"/>
        <w:jc w:val="center"/>
        <w:rPr>
          <w:rFonts w:ascii="宋体" w:hAnsi="宋体"/>
          <w:color w:val="auto"/>
          <w:sz w:val="24"/>
          <w:szCs w:val="24"/>
          <w:highlight w:val="none"/>
        </w:rPr>
      </w:pPr>
      <w:r>
        <w:rPr>
          <w:rFonts w:hint="eastAsia" w:ascii="宋体" w:hAnsi="宋体"/>
          <w:color w:val="auto"/>
          <w:sz w:val="24"/>
          <w:szCs w:val="24"/>
          <w:highlight w:val="none"/>
        </w:rPr>
        <w:t xml:space="preserve">         承包人（盖章）：</w:t>
      </w:r>
    </w:p>
    <w:p>
      <w:pPr>
        <w:spacing w:line="360" w:lineRule="auto"/>
        <w:ind w:firstLine="480" w:firstLineChars="200"/>
        <w:jc w:val="center"/>
        <w:rPr>
          <w:rFonts w:ascii="宋体" w:hAnsi="宋体"/>
          <w:color w:val="auto"/>
          <w:sz w:val="24"/>
          <w:szCs w:val="24"/>
          <w:highlight w:val="none"/>
        </w:rPr>
      </w:pPr>
      <w:r>
        <w:rPr>
          <w:rFonts w:hint="eastAsia" w:ascii="宋体" w:hAnsi="宋体"/>
          <w:color w:val="auto"/>
          <w:sz w:val="24"/>
          <w:szCs w:val="24"/>
          <w:highlight w:val="none"/>
        </w:rPr>
        <w:t xml:space="preserve">             法定代表人（签字）：</w:t>
      </w:r>
    </w:p>
    <w:p>
      <w:pPr>
        <w:spacing w:line="360" w:lineRule="auto"/>
        <w:ind w:firstLine="480" w:firstLineChars="200"/>
        <w:jc w:val="right"/>
        <w:rPr>
          <w:rFonts w:ascii="宋体" w:hAnsi="宋体"/>
          <w:color w:val="auto"/>
          <w:sz w:val="24"/>
          <w:szCs w:val="24"/>
          <w:highlight w:val="none"/>
        </w:rPr>
      </w:pPr>
    </w:p>
    <w:p>
      <w:pPr>
        <w:spacing w:line="360" w:lineRule="auto"/>
        <w:ind w:firstLine="480" w:firstLineChars="200"/>
        <w:jc w:val="center"/>
        <w:rPr>
          <w:rFonts w:ascii="宋体" w:hAnsi="宋体"/>
          <w:color w:val="auto"/>
          <w:sz w:val="24"/>
          <w:szCs w:val="24"/>
          <w:highlight w:val="none"/>
        </w:rPr>
      </w:pPr>
      <w:r>
        <w:rPr>
          <w:rFonts w:hint="eastAsia" w:ascii="宋体" w:hAnsi="宋体"/>
          <w:color w:val="auto"/>
          <w:sz w:val="24"/>
          <w:szCs w:val="24"/>
          <w:highlight w:val="none"/>
        </w:rPr>
        <w:t>日期：</w:t>
      </w:r>
    </w:p>
    <w:p>
      <w:pPr>
        <w:spacing w:line="360" w:lineRule="auto"/>
        <w:ind w:firstLine="480" w:firstLineChars="200"/>
        <w:rPr>
          <w:rFonts w:ascii="宋体" w:hAnsi="宋体"/>
          <w:color w:val="auto"/>
          <w:sz w:val="24"/>
          <w:szCs w:val="24"/>
          <w:highlight w:val="none"/>
        </w:rPr>
      </w:pPr>
    </w:p>
    <w:p>
      <w:pPr>
        <w:pStyle w:val="43"/>
        <w:rPr>
          <w:rFonts w:ascii="宋体" w:hAnsi="宋体"/>
          <w:color w:val="auto"/>
          <w:szCs w:val="24"/>
          <w:highlight w:val="none"/>
        </w:rPr>
      </w:pPr>
    </w:p>
    <w:p>
      <w:pPr>
        <w:pStyle w:val="43"/>
        <w:rPr>
          <w:rFonts w:ascii="宋体" w:hAnsi="宋体"/>
          <w:color w:val="auto"/>
          <w:szCs w:val="24"/>
          <w:highlight w:val="none"/>
        </w:rPr>
      </w:pPr>
    </w:p>
    <w:p>
      <w:pPr>
        <w:pStyle w:val="43"/>
        <w:rPr>
          <w:rFonts w:ascii="宋体" w:hAnsi="宋体"/>
          <w:color w:val="auto"/>
          <w:szCs w:val="24"/>
          <w:highlight w:val="none"/>
        </w:rPr>
      </w:pPr>
    </w:p>
    <w:p>
      <w:pPr>
        <w:pStyle w:val="43"/>
        <w:rPr>
          <w:rFonts w:ascii="宋体" w:hAnsi="宋体"/>
          <w:color w:val="auto"/>
          <w:szCs w:val="24"/>
          <w:highlight w:val="none"/>
        </w:rPr>
      </w:pPr>
    </w:p>
    <w:p>
      <w:pPr>
        <w:pStyle w:val="43"/>
        <w:rPr>
          <w:rFonts w:ascii="宋体" w:hAnsi="宋体"/>
          <w:color w:val="auto"/>
          <w:szCs w:val="24"/>
          <w:highlight w:val="none"/>
        </w:rPr>
      </w:pPr>
    </w:p>
    <w:p>
      <w:pPr>
        <w:pStyle w:val="43"/>
        <w:rPr>
          <w:rFonts w:ascii="宋体" w:hAnsi="宋体"/>
          <w:color w:val="auto"/>
          <w:szCs w:val="24"/>
          <w:highlight w:val="none"/>
        </w:rPr>
      </w:pPr>
    </w:p>
    <w:p>
      <w:pPr>
        <w:pStyle w:val="43"/>
        <w:rPr>
          <w:rFonts w:ascii="宋体" w:hAnsi="宋体"/>
          <w:color w:val="auto"/>
          <w:szCs w:val="24"/>
          <w:highlight w:val="none"/>
        </w:rPr>
      </w:pPr>
    </w:p>
    <w:p>
      <w:pPr>
        <w:pStyle w:val="43"/>
        <w:rPr>
          <w:rFonts w:ascii="宋体" w:hAnsi="宋体"/>
          <w:color w:val="auto"/>
          <w:szCs w:val="24"/>
          <w:highlight w:val="none"/>
        </w:rPr>
      </w:pPr>
    </w:p>
    <w:p>
      <w:pPr>
        <w:pStyle w:val="43"/>
        <w:rPr>
          <w:rFonts w:ascii="宋体" w:hAnsi="宋体"/>
          <w:color w:val="auto"/>
          <w:szCs w:val="24"/>
          <w:highlight w:val="none"/>
        </w:rPr>
      </w:pPr>
    </w:p>
    <w:p>
      <w:pPr>
        <w:pStyle w:val="43"/>
        <w:rPr>
          <w:rFonts w:ascii="宋体" w:hAnsi="宋体"/>
          <w:color w:val="auto"/>
          <w:szCs w:val="24"/>
          <w:highlight w:val="none"/>
        </w:rPr>
      </w:pPr>
    </w:p>
    <w:p>
      <w:pPr>
        <w:pStyle w:val="43"/>
        <w:rPr>
          <w:rFonts w:ascii="宋体" w:hAnsi="宋体"/>
          <w:color w:val="auto"/>
          <w:szCs w:val="24"/>
          <w:highlight w:val="none"/>
        </w:rPr>
      </w:pPr>
    </w:p>
    <w:p>
      <w:pPr>
        <w:pStyle w:val="43"/>
        <w:rPr>
          <w:rFonts w:ascii="宋体" w:hAnsi="宋体"/>
          <w:color w:val="auto"/>
          <w:szCs w:val="24"/>
          <w:highlight w:val="none"/>
        </w:rPr>
      </w:pPr>
    </w:p>
    <w:p>
      <w:pPr>
        <w:pStyle w:val="43"/>
        <w:rPr>
          <w:rFonts w:ascii="宋体" w:hAnsi="宋体"/>
          <w:color w:val="auto"/>
          <w:szCs w:val="24"/>
          <w:highlight w:val="none"/>
        </w:rPr>
      </w:pPr>
    </w:p>
    <w:p>
      <w:pPr>
        <w:pStyle w:val="43"/>
        <w:rPr>
          <w:rFonts w:ascii="宋体" w:hAnsi="宋体"/>
          <w:color w:val="auto"/>
          <w:szCs w:val="24"/>
          <w:highlight w:val="none"/>
        </w:rPr>
      </w:pPr>
    </w:p>
    <w:p>
      <w:pPr>
        <w:pStyle w:val="43"/>
        <w:rPr>
          <w:rFonts w:ascii="宋体" w:hAnsi="宋体"/>
          <w:color w:val="auto"/>
          <w:szCs w:val="24"/>
          <w:highlight w:val="none"/>
        </w:rPr>
      </w:pPr>
    </w:p>
    <w:p>
      <w:pPr>
        <w:pStyle w:val="43"/>
        <w:rPr>
          <w:rFonts w:ascii="宋体" w:hAnsi="宋体"/>
          <w:color w:val="auto"/>
          <w:szCs w:val="24"/>
          <w:highlight w:val="none"/>
        </w:rPr>
      </w:pPr>
    </w:p>
    <w:p>
      <w:pPr>
        <w:pStyle w:val="43"/>
        <w:rPr>
          <w:rFonts w:ascii="宋体" w:hAnsi="宋体"/>
          <w:color w:val="auto"/>
          <w:szCs w:val="24"/>
          <w:highlight w:val="none"/>
        </w:rPr>
      </w:pPr>
    </w:p>
    <w:p>
      <w:pPr>
        <w:pStyle w:val="43"/>
        <w:rPr>
          <w:rFonts w:ascii="宋体" w:hAnsi="宋体"/>
          <w:color w:val="auto"/>
          <w:szCs w:val="24"/>
          <w:highlight w:val="none"/>
        </w:rPr>
      </w:pPr>
    </w:p>
    <w:p>
      <w:pPr>
        <w:pStyle w:val="43"/>
        <w:rPr>
          <w:rFonts w:ascii="宋体" w:hAnsi="宋体"/>
          <w:color w:val="auto"/>
          <w:szCs w:val="24"/>
          <w:highlight w:val="none"/>
        </w:rPr>
      </w:pPr>
    </w:p>
    <w:p>
      <w:pPr>
        <w:pStyle w:val="43"/>
        <w:rPr>
          <w:rFonts w:ascii="宋体" w:hAnsi="宋体"/>
          <w:color w:val="auto"/>
          <w:szCs w:val="24"/>
          <w:highlight w:val="none"/>
        </w:rPr>
      </w:pPr>
    </w:p>
    <w:p>
      <w:pPr>
        <w:pStyle w:val="43"/>
        <w:rPr>
          <w:rFonts w:ascii="宋体" w:hAnsi="宋体"/>
          <w:color w:val="auto"/>
          <w:szCs w:val="24"/>
          <w:highlight w:val="none"/>
        </w:rPr>
      </w:pPr>
    </w:p>
    <w:p>
      <w:pPr>
        <w:pStyle w:val="43"/>
        <w:rPr>
          <w:rFonts w:ascii="宋体" w:hAnsi="宋体"/>
          <w:color w:val="auto"/>
          <w:szCs w:val="24"/>
          <w:highlight w:val="none"/>
        </w:rPr>
      </w:pPr>
    </w:p>
    <w:p>
      <w:pPr>
        <w:pStyle w:val="43"/>
        <w:rPr>
          <w:rFonts w:ascii="宋体" w:hAnsi="宋体"/>
          <w:color w:val="auto"/>
          <w:szCs w:val="24"/>
          <w:highlight w:val="none"/>
        </w:rPr>
      </w:pPr>
    </w:p>
    <w:p>
      <w:pPr>
        <w:pStyle w:val="43"/>
        <w:rPr>
          <w:rFonts w:ascii="宋体" w:hAnsi="宋体"/>
          <w:color w:val="auto"/>
          <w:szCs w:val="24"/>
          <w:highlight w:val="none"/>
        </w:rPr>
      </w:pPr>
    </w:p>
    <w:p>
      <w:pPr>
        <w:pStyle w:val="43"/>
        <w:rPr>
          <w:rFonts w:ascii="宋体" w:hAnsi="宋体"/>
          <w:color w:val="auto"/>
          <w:szCs w:val="24"/>
          <w:highlight w:val="none"/>
        </w:rPr>
      </w:pPr>
    </w:p>
    <w:p>
      <w:pPr>
        <w:pStyle w:val="43"/>
        <w:rPr>
          <w:rFonts w:ascii="宋体" w:hAnsi="宋体"/>
          <w:color w:val="auto"/>
          <w:szCs w:val="24"/>
          <w:highlight w:val="none"/>
        </w:rPr>
      </w:pPr>
    </w:p>
    <w:p>
      <w:pPr>
        <w:pStyle w:val="43"/>
        <w:rPr>
          <w:rFonts w:ascii="宋体" w:hAnsi="宋体"/>
          <w:color w:val="auto"/>
          <w:szCs w:val="24"/>
          <w:highlight w:val="none"/>
        </w:rPr>
      </w:pPr>
    </w:p>
    <w:p>
      <w:pPr>
        <w:pStyle w:val="43"/>
        <w:rPr>
          <w:rFonts w:ascii="宋体" w:hAnsi="宋体"/>
          <w:color w:val="auto"/>
          <w:szCs w:val="24"/>
          <w:highlight w:val="none"/>
        </w:rPr>
      </w:pPr>
    </w:p>
    <w:p>
      <w:pPr>
        <w:pStyle w:val="43"/>
        <w:rPr>
          <w:rFonts w:ascii="宋体" w:hAnsi="宋体"/>
          <w:color w:val="auto"/>
          <w:szCs w:val="24"/>
          <w:highlight w:val="none"/>
        </w:rPr>
      </w:pPr>
    </w:p>
    <w:p>
      <w:pPr>
        <w:pStyle w:val="3"/>
        <w:jc w:val="center"/>
        <w:rPr>
          <w:color w:val="auto"/>
          <w:highlight w:val="none"/>
        </w:rPr>
      </w:pPr>
      <w:bookmarkStart w:id="1521" w:name="_Toc66186486"/>
      <w:bookmarkStart w:id="1522" w:name="_Toc3672"/>
      <w:bookmarkStart w:id="1523" w:name="_Toc407135283"/>
      <w:r>
        <w:rPr>
          <w:rFonts w:hint="eastAsia" w:cs="黑体"/>
          <w:color w:val="auto"/>
          <w:highlight w:val="none"/>
        </w:rPr>
        <w:t>第五章</w:t>
      </w:r>
      <w:r>
        <w:rPr>
          <w:color w:val="auto"/>
          <w:highlight w:val="none"/>
        </w:rPr>
        <w:t xml:space="preserve"> </w:t>
      </w:r>
      <w:r>
        <w:rPr>
          <w:rFonts w:hint="eastAsia" w:cs="黑体"/>
          <w:color w:val="auto"/>
          <w:highlight w:val="none"/>
        </w:rPr>
        <w:t>工程量清单</w:t>
      </w:r>
      <w:bookmarkEnd w:id="1521"/>
      <w:bookmarkEnd w:id="1522"/>
      <w:bookmarkEnd w:id="1523"/>
    </w:p>
    <w:p>
      <w:pPr>
        <w:jc w:val="center"/>
        <w:rPr>
          <w:b/>
          <w:color w:val="auto"/>
          <w:kern w:val="44"/>
          <w:sz w:val="32"/>
          <w:szCs w:val="32"/>
          <w:highlight w:val="none"/>
        </w:rPr>
      </w:pPr>
    </w:p>
    <w:p>
      <w:pPr>
        <w:pStyle w:val="4"/>
        <w:rPr>
          <w:color w:val="auto"/>
          <w:kern w:val="44"/>
          <w:highlight w:val="none"/>
        </w:rPr>
      </w:pPr>
      <w:bookmarkStart w:id="1524" w:name="_Toc26487"/>
      <w:bookmarkStart w:id="1525" w:name="_Toc407135284"/>
      <w:bookmarkStart w:id="1526" w:name="_Toc66186487"/>
      <w:r>
        <w:rPr>
          <w:color w:val="auto"/>
          <w:highlight w:val="none"/>
        </w:rPr>
        <w:t xml:space="preserve">1 </w:t>
      </w:r>
      <w:r>
        <w:rPr>
          <w:rFonts w:hint="eastAsia" w:cs="黑体"/>
          <w:color w:val="auto"/>
          <w:highlight w:val="none"/>
        </w:rPr>
        <w:t>工程量清单编制说明</w:t>
      </w:r>
      <w:bookmarkEnd w:id="1524"/>
      <w:bookmarkEnd w:id="1525"/>
      <w:bookmarkEnd w:id="1526"/>
    </w:p>
    <w:p>
      <w:pPr>
        <w:spacing w:line="360" w:lineRule="auto"/>
        <w:ind w:firstLine="420" w:firstLineChars="200"/>
        <w:rPr>
          <w:color w:val="auto"/>
          <w:highlight w:val="none"/>
        </w:rPr>
      </w:pPr>
      <w:r>
        <w:rPr>
          <w:color w:val="auto"/>
          <w:highlight w:val="none"/>
        </w:rPr>
        <w:t>1.1</w:t>
      </w:r>
      <w:r>
        <w:rPr>
          <w:rFonts w:hint="eastAsia" w:hAnsi="宋体" w:cs="宋体"/>
          <w:color w:val="auto"/>
          <w:highlight w:val="none"/>
        </w:rPr>
        <w:t>本工程量清单依据《建设工程工程量清单计价规范</w:t>
      </w:r>
      <w:r>
        <w:rPr>
          <w:rFonts w:hint="eastAsia" w:cs="宋体"/>
          <w:color w:val="auto"/>
          <w:highlight w:val="none"/>
        </w:rPr>
        <w:t>（</w:t>
      </w:r>
      <w:r>
        <w:rPr>
          <w:color w:val="auto"/>
          <w:highlight w:val="none"/>
        </w:rPr>
        <w:t>GB50500-2013</w:t>
      </w:r>
      <w:r>
        <w:rPr>
          <w:rFonts w:hint="eastAsia" w:cs="宋体"/>
          <w:color w:val="auto"/>
          <w:highlight w:val="none"/>
        </w:rPr>
        <w:t>）</w:t>
      </w:r>
      <w:r>
        <w:rPr>
          <w:rFonts w:hint="eastAsia" w:hAnsi="宋体" w:cs="宋体"/>
          <w:color w:val="auto"/>
          <w:highlight w:val="none"/>
        </w:rPr>
        <w:t>广西实施细则》（以下简称</w:t>
      </w:r>
      <w:r>
        <w:rPr>
          <w:color w:val="auto"/>
          <w:highlight w:val="none"/>
        </w:rPr>
        <w:t>“</w:t>
      </w:r>
      <w:r>
        <w:rPr>
          <w:rFonts w:hint="eastAsia" w:hAnsi="宋体" w:cs="宋体"/>
          <w:color w:val="auto"/>
          <w:highlight w:val="none"/>
        </w:rPr>
        <w:t>《计价规范》</w:t>
      </w:r>
      <w:r>
        <w:rPr>
          <w:color w:val="auto"/>
          <w:highlight w:val="none"/>
        </w:rPr>
        <w:t>”</w:t>
      </w:r>
      <w:r>
        <w:rPr>
          <w:rFonts w:hint="eastAsia" w:cs="宋体"/>
          <w:color w:val="auto"/>
          <w:highlight w:val="none"/>
        </w:rPr>
        <w:t>）</w:t>
      </w:r>
      <w:r>
        <w:rPr>
          <w:rFonts w:hint="eastAsia" w:hAnsi="宋体" w:cs="宋体"/>
          <w:color w:val="auto"/>
          <w:highlight w:val="none"/>
        </w:rPr>
        <w:t>、各专业《工程量清单计算规范（</w:t>
      </w:r>
      <w:r>
        <w:rPr>
          <w:color w:val="auto"/>
          <w:highlight w:val="none"/>
        </w:rPr>
        <w:t>GB50854~50862-2013</w:t>
      </w:r>
      <w:r>
        <w:rPr>
          <w:rFonts w:hint="eastAsia" w:hAnsi="宋体" w:cs="宋体"/>
          <w:color w:val="auto"/>
          <w:highlight w:val="none"/>
        </w:rPr>
        <w:t>）》及广西实施细则（修订本）（以下简称</w:t>
      </w:r>
      <w:r>
        <w:rPr>
          <w:color w:val="auto"/>
          <w:highlight w:val="none"/>
        </w:rPr>
        <w:t>“</w:t>
      </w:r>
      <w:r>
        <w:rPr>
          <w:rFonts w:hint="eastAsia" w:hAnsi="宋体" w:cs="宋体"/>
          <w:color w:val="auto"/>
          <w:highlight w:val="none"/>
        </w:rPr>
        <w:t>《计算规范》</w:t>
      </w:r>
      <w:r>
        <w:rPr>
          <w:color w:val="auto"/>
          <w:highlight w:val="none"/>
        </w:rPr>
        <w:t>”</w:t>
      </w:r>
      <w:r>
        <w:rPr>
          <w:rFonts w:hint="eastAsia" w:hAnsi="宋体" w:cs="宋体"/>
          <w:color w:val="auto"/>
          <w:highlight w:val="none"/>
        </w:rPr>
        <w:t>）、</w:t>
      </w:r>
      <w:r>
        <w:rPr>
          <w:rFonts w:hint="eastAsia" w:hAnsi="宋体" w:cs="宋体"/>
          <w:color w:val="auto"/>
          <w:kern w:val="0"/>
          <w:highlight w:val="none"/>
        </w:rPr>
        <w:t>《关于建筑业实施营业税改征增值税后广西壮族自治区建设工程计价依据调整的通知》（桂建标〔</w:t>
      </w:r>
      <w:r>
        <w:rPr>
          <w:rFonts w:hAnsi="宋体"/>
          <w:color w:val="auto"/>
          <w:kern w:val="0"/>
          <w:highlight w:val="none"/>
        </w:rPr>
        <w:t>2016</w:t>
      </w:r>
      <w:r>
        <w:rPr>
          <w:rFonts w:hint="eastAsia" w:hAnsi="宋体" w:cs="宋体"/>
          <w:color w:val="auto"/>
          <w:kern w:val="0"/>
          <w:highlight w:val="none"/>
        </w:rPr>
        <w:t>〕</w:t>
      </w:r>
      <w:r>
        <w:rPr>
          <w:rFonts w:hAnsi="宋体"/>
          <w:color w:val="auto"/>
          <w:kern w:val="0"/>
          <w:highlight w:val="none"/>
        </w:rPr>
        <w:t>17</w:t>
      </w:r>
      <w:r>
        <w:rPr>
          <w:rFonts w:hint="eastAsia" w:hAnsi="宋体" w:cs="宋体"/>
          <w:color w:val="auto"/>
          <w:kern w:val="0"/>
          <w:highlight w:val="none"/>
        </w:rPr>
        <w:t>号）、招</w:t>
      </w:r>
      <w:r>
        <w:rPr>
          <w:rFonts w:hint="eastAsia" w:hAnsi="宋体" w:cs="宋体"/>
          <w:color w:val="auto"/>
          <w:highlight w:val="none"/>
        </w:rPr>
        <w:t>标文件、施工图等编制。计算规范中没有的清单项目，应在本章第</w:t>
      </w:r>
      <w:r>
        <w:rPr>
          <w:color w:val="auto"/>
          <w:highlight w:val="none"/>
        </w:rPr>
        <w:t>1.4</w:t>
      </w:r>
      <w:r>
        <w:rPr>
          <w:rFonts w:hint="eastAsia" w:hAnsi="宋体" w:cs="宋体"/>
          <w:color w:val="auto"/>
          <w:highlight w:val="none"/>
        </w:rPr>
        <w:t>款约定。</w:t>
      </w:r>
    </w:p>
    <w:p>
      <w:pPr>
        <w:rPr>
          <w:color w:val="auto"/>
          <w:highlight w:val="none"/>
        </w:rPr>
      </w:pPr>
      <w:r>
        <w:rPr>
          <w:color w:val="auto"/>
          <w:highlight w:val="none"/>
        </w:rPr>
        <w:t xml:space="preserve">1.2 </w:t>
      </w:r>
      <w:r>
        <w:rPr>
          <w:rFonts w:hint="eastAsia" w:cs="宋体"/>
          <w:color w:val="auto"/>
          <w:highlight w:val="none"/>
        </w:rPr>
        <w:t>工程量清单应与投标须知、合同协议条款、合同的通用条款、合同专用条款、技术规范及图纸等文件一起结合使用。</w:t>
      </w:r>
    </w:p>
    <w:p>
      <w:pPr>
        <w:spacing w:line="360" w:lineRule="auto"/>
        <w:ind w:firstLine="420" w:firstLineChars="200"/>
        <w:rPr>
          <w:color w:val="auto"/>
          <w:highlight w:val="none"/>
        </w:rPr>
      </w:pPr>
      <w:r>
        <w:rPr>
          <w:color w:val="auto"/>
          <w:highlight w:val="none"/>
        </w:rPr>
        <w:t xml:space="preserve">1.3 </w:t>
      </w:r>
      <w:r>
        <w:rPr>
          <w:rFonts w:hint="eastAsia" w:cs="宋体"/>
          <w:color w:val="auto"/>
          <w:highlight w:val="none"/>
        </w:rPr>
        <w:t>工程量清单是招标文件的组成部分，是工程量清单计价的基础，作为编制招标控制价、投标报价、计算或调整工程量、索赔等的依据之一。</w:t>
      </w:r>
    </w:p>
    <w:p>
      <w:pPr>
        <w:spacing w:line="360" w:lineRule="auto"/>
        <w:ind w:left="2"/>
        <w:rPr>
          <w:color w:val="auto"/>
          <w:highlight w:val="none"/>
        </w:rPr>
      </w:pPr>
      <w:r>
        <w:rPr>
          <w:color w:val="auto"/>
          <w:highlight w:val="none"/>
        </w:rPr>
        <w:t xml:space="preserve">1.4 </w:t>
      </w:r>
      <w:r>
        <w:rPr>
          <w:rFonts w:hint="eastAsia" w:cs="宋体"/>
          <w:color w:val="auto"/>
          <w:highlight w:val="none"/>
        </w:rPr>
        <w:t>补充清单项目的特征、计量单位、工程量计算规则及工作内容说明如下：</w:t>
      </w:r>
      <w:r>
        <w:rPr>
          <w:rFonts w:hint="eastAsia"/>
          <w:color w:val="auto"/>
          <w:highlight w:val="none"/>
          <w:u w:val="single"/>
        </w:rPr>
        <w:t>无</w:t>
      </w:r>
      <w:r>
        <w:rPr>
          <w:color w:val="auto"/>
          <w:highlight w:val="none"/>
          <w:u w:val="single"/>
        </w:rPr>
        <w:t xml:space="preserve"> </w:t>
      </w:r>
      <w:r>
        <w:rPr>
          <w:rFonts w:hint="eastAsia" w:hAnsi="宋体" w:cs="宋体"/>
          <w:color w:val="auto"/>
          <w:highlight w:val="none"/>
        </w:rPr>
        <w:t>。</w:t>
      </w:r>
    </w:p>
    <w:p>
      <w:pPr>
        <w:pStyle w:val="20"/>
        <w:spacing w:line="360" w:lineRule="auto"/>
        <w:ind w:firstLine="420" w:firstLineChars="200"/>
        <w:rPr>
          <w:rFonts w:ascii="Times New Roman" w:hAnsi="Times New Roman"/>
          <w:color w:val="auto"/>
          <w:sz w:val="21"/>
          <w:szCs w:val="21"/>
          <w:highlight w:val="none"/>
        </w:rPr>
      </w:pPr>
      <w:r>
        <w:rPr>
          <w:rFonts w:ascii="Times New Roman" w:hAnsi="Times New Roman"/>
          <w:color w:val="auto"/>
          <w:sz w:val="21"/>
          <w:szCs w:val="21"/>
          <w:highlight w:val="none"/>
        </w:rPr>
        <w:t xml:space="preserve">1.5 </w:t>
      </w:r>
      <w:r>
        <w:rPr>
          <w:rFonts w:hint="eastAsia" w:ascii="Times New Roman" w:hAnsi="Times New Roman"/>
          <w:color w:val="auto"/>
          <w:sz w:val="21"/>
          <w:szCs w:val="21"/>
          <w:highlight w:val="none"/>
        </w:rPr>
        <w:t>《承包人提供的主要材料和设备一览表》（表</w:t>
      </w:r>
      <w:r>
        <w:rPr>
          <w:rFonts w:ascii="Times New Roman" w:hAnsi="Times New Roman"/>
          <w:color w:val="auto"/>
          <w:sz w:val="21"/>
          <w:szCs w:val="21"/>
          <w:highlight w:val="none"/>
        </w:rPr>
        <w:t>-22</w:t>
      </w:r>
      <w:r>
        <w:rPr>
          <w:rFonts w:hint="eastAsia" w:ascii="Times New Roman" w:hAnsi="Times New Roman"/>
          <w:color w:val="auto"/>
          <w:sz w:val="21"/>
          <w:szCs w:val="21"/>
          <w:highlight w:val="none"/>
        </w:rPr>
        <w:t>，表格编号为计价规范相应表格编号，下同）作为项目实施过程中材料和设备价格风险调整依据。</w:t>
      </w:r>
    </w:p>
    <w:p>
      <w:pPr>
        <w:pStyle w:val="20"/>
        <w:spacing w:line="360" w:lineRule="auto"/>
        <w:ind w:firstLine="420" w:firstLineChars="200"/>
        <w:rPr>
          <w:rFonts w:ascii="Times New Roman" w:hAnsi="Times New Roman"/>
          <w:color w:val="auto"/>
          <w:sz w:val="21"/>
          <w:szCs w:val="21"/>
          <w:highlight w:val="none"/>
        </w:rPr>
      </w:pPr>
      <w:r>
        <w:rPr>
          <w:rFonts w:ascii="Times New Roman" w:hAnsi="Times New Roman"/>
          <w:color w:val="auto"/>
          <w:sz w:val="21"/>
          <w:szCs w:val="21"/>
          <w:highlight w:val="none"/>
        </w:rPr>
        <w:t xml:space="preserve">1.6 </w:t>
      </w:r>
      <w:r>
        <w:rPr>
          <w:rFonts w:hint="eastAsia" w:ascii="Times New Roman" w:hAnsi="Times New Roman"/>
          <w:color w:val="auto"/>
          <w:sz w:val="21"/>
          <w:szCs w:val="21"/>
          <w:highlight w:val="none"/>
        </w:rPr>
        <w:t>本工程暂列金额（约按合同造价</w:t>
      </w:r>
      <w:r>
        <w:rPr>
          <w:rFonts w:ascii="Times New Roman" w:hAnsi="Times New Roman"/>
          <w:color w:val="auto"/>
          <w:sz w:val="21"/>
          <w:szCs w:val="21"/>
          <w:highlight w:val="none"/>
          <w:u w:val="single"/>
        </w:rPr>
        <w:t xml:space="preserve"> </w:t>
      </w:r>
      <w:r>
        <w:rPr>
          <w:rFonts w:hint="eastAsia" w:ascii="Times New Roman" w:hAnsi="Times New Roman"/>
          <w:color w:val="auto"/>
          <w:sz w:val="21"/>
          <w:szCs w:val="21"/>
          <w:highlight w:val="none"/>
          <w:u w:val="single"/>
        </w:rPr>
        <w:t>/</w:t>
      </w:r>
      <w:r>
        <w:rPr>
          <w:rFonts w:ascii="Times New Roman" w:hAnsi="Times New Roman"/>
          <w:color w:val="auto"/>
          <w:sz w:val="21"/>
          <w:szCs w:val="21"/>
          <w:highlight w:val="none"/>
          <w:u w:val="single"/>
        </w:rPr>
        <w:t xml:space="preserve"> </w:t>
      </w:r>
      <w:r>
        <w:rPr>
          <w:rFonts w:ascii="Times New Roman" w:hAnsi="Times New Roman"/>
          <w:color w:val="auto"/>
          <w:sz w:val="21"/>
          <w:szCs w:val="21"/>
          <w:highlight w:val="none"/>
        </w:rPr>
        <w:t>%</w:t>
      </w:r>
      <w:r>
        <w:rPr>
          <w:rFonts w:hint="eastAsia" w:ascii="Times New Roman" w:hAnsi="Times New Roman"/>
          <w:color w:val="auto"/>
          <w:sz w:val="21"/>
          <w:szCs w:val="21"/>
          <w:highlight w:val="none"/>
        </w:rPr>
        <w:t>计算），共</w:t>
      </w:r>
      <w:r>
        <w:rPr>
          <w:rFonts w:ascii="Times New Roman" w:hAnsi="Times New Roman"/>
          <w:color w:val="auto"/>
          <w:sz w:val="21"/>
          <w:szCs w:val="21"/>
          <w:highlight w:val="none"/>
          <w:u w:val="single"/>
        </w:rPr>
        <w:t xml:space="preserve"> / </w:t>
      </w:r>
      <w:r>
        <w:rPr>
          <w:rFonts w:hint="eastAsia" w:ascii="Times New Roman" w:hAnsi="Times New Roman"/>
          <w:color w:val="auto"/>
          <w:sz w:val="21"/>
          <w:szCs w:val="21"/>
          <w:highlight w:val="none"/>
        </w:rPr>
        <w:t>元，作为合同签订时尚未确定或者不可预见但施工中可能发生的费用。</w:t>
      </w:r>
    </w:p>
    <w:p>
      <w:pPr>
        <w:pStyle w:val="20"/>
        <w:spacing w:line="360" w:lineRule="auto"/>
        <w:ind w:firstLine="420" w:firstLineChars="200"/>
        <w:rPr>
          <w:rFonts w:ascii="Times New Roman" w:hAnsi="Times New Roman"/>
          <w:color w:val="auto"/>
          <w:sz w:val="21"/>
          <w:szCs w:val="21"/>
          <w:highlight w:val="none"/>
        </w:rPr>
      </w:pPr>
      <w:r>
        <w:rPr>
          <w:rFonts w:ascii="Times New Roman" w:hAnsi="Times New Roman"/>
          <w:color w:val="auto"/>
          <w:sz w:val="21"/>
          <w:szCs w:val="21"/>
          <w:highlight w:val="none"/>
        </w:rPr>
        <w:t xml:space="preserve">1.7 </w:t>
      </w:r>
      <w:r>
        <w:rPr>
          <w:rFonts w:hint="eastAsia" w:ascii="Times New Roman" w:hAnsi="Times New Roman"/>
          <w:color w:val="auto"/>
          <w:sz w:val="21"/>
          <w:szCs w:val="21"/>
          <w:highlight w:val="none"/>
        </w:rPr>
        <w:t>本工程发包人提供的材料和设备详见《发包人提供的主要材料和工程设备一览表》（表</w:t>
      </w:r>
      <w:r>
        <w:rPr>
          <w:rFonts w:ascii="Times New Roman" w:hAnsi="Times New Roman"/>
          <w:color w:val="auto"/>
          <w:sz w:val="21"/>
          <w:szCs w:val="21"/>
          <w:highlight w:val="none"/>
        </w:rPr>
        <w:t>-21</w:t>
      </w:r>
      <w:r>
        <w:rPr>
          <w:rFonts w:hint="eastAsia" w:ascii="Times New Roman" w:hAnsi="Times New Roman"/>
          <w:color w:val="auto"/>
          <w:sz w:val="21"/>
          <w:szCs w:val="21"/>
          <w:highlight w:val="none"/>
        </w:rPr>
        <w:t>）。</w:t>
      </w:r>
    </w:p>
    <w:p>
      <w:pPr>
        <w:spacing w:line="360" w:lineRule="auto"/>
        <w:ind w:firstLine="420" w:firstLineChars="200"/>
        <w:rPr>
          <w:color w:val="auto"/>
          <w:highlight w:val="none"/>
        </w:rPr>
      </w:pPr>
      <w:r>
        <w:rPr>
          <w:color w:val="auto"/>
          <w:highlight w:val="none"/>
        </w:rPr>
        <w:t xml:space="preserve">1.8 </w:t>
      </w:r>
      <w:r>
        <w:rPr>
          <w:rFonts w:hint="eastAsia" w:cs="宋体"/>
          <w:color w:val="auto"/>
          <w:highlight w:val="none"/>
        </w:rPr>
        <w:t>本工程部分材料和设备在招标时作为暂估价计列，结算按实调整，具体内容详见《材料（工程设备）暂估单价及调整表》（表</w:t>
      </w:r>
      <w:r>
        <w:rPr>
          <w:color w:val="auto"/>
          <w:highlight w:val="none"/>
        </w:rPr>
        <w:t>12-2</w:t>
      </w:r>
      <w:r>
        <w:rPr>
          <w:rFonts w:hint="eastAsia" w:cs="宋体"/>
          <w:color w:val="auto"/>
          <w:highlight w:val="none"/>
        </w:rPr>
        <w:t>）。</w:t>
      </w:r>
    </w:p>
    <w:p>
      <w:pPr>
        <w:spacing w:line="360" w:lineRule="auto"/>
        <w:ind w:firstLine="420" w:firstLineChars="200"/>
        <w:rPr>
          <w:color w:val="auto"/>
          <w:highlight w:val="none"/>
        </w:rPr>
      </w:pPr>
      <w:r>
        <w:rPr>
          <w:color w:val="auto"/>
          <w:highlight w:val="none"/>
        </w:rPr>
        <w:t xml:space="preserve">1.9 </w:t>
      </w:r>
      <w:r>
        <w:rPr>
          <w:rFonts w:hint="eastAsia" w:cs="宋体"/>
          <w:color w:val="auto"/>
          <w:highlight w:val="none"/>
        </w:rPr>
        <w:t>招标时暂估专业工程的价款属于暂估价，结算按实调整，具体内容详见《专业工程暂估价及结算价表》（表</w:t>
      </w:r>
      <w:r>
        <w:rPr>
          <w:color w:val="auto"/>
          <w:highlight w:val="none"/>
        </w:rPr>
        <w:t>12-3</w:t>
      </w:r>
      <w:r>
        <w:rPr>
          <w:rFonts w:hint="eastAsia" w:cs="宋体"/>
          <w:color w:val="auto"/>
          <w:highlight w:val="none"/>
        </w:rPr>
        <w:t>）。</w:t>
      </w:r>
    </w:p>
    <w:p>
      <w:pPr>
        <w:spacing w:line="360" w:lineRule="auto"/>
        <w:ind w:firstLine="420" w:firstLineChars="200"/>
        <w:rPr>
          <w:color w:val="auto"/>
          <w:highlight w:val="none"/>
        </w:rPr>
      </w:pPr>
      <w:r>
        <w:rPr>
          <w:color w:val="auto"/>
          <w:highlight w:val="none"/>
        </w:rPr>
        <w:t xml:space="preserve">1.10 </w:t>
      </w:r>
      <w:r>
        <w:rPr>
          <w:rFonts w:hint="eastAsia" w:cs="宋体"/>
          <w:color w:val="auto"/>
          <w:highlight w:val="none"/>
        </w:rPr>
        <w:t>本工程量清单编码处标注</w:t>
      </w:r>
      <w:r>
        <w:rPr>
          <w:color w:val="auto"/>
          <w:highlight w:val="none"/>
        </w:rPr>
        <w:t>“*”</w:t>
      </w:r>
      <w:r>
        <w:rPr>
          <w:rFonts w:hint="eastAsia" w:cs="宋体"/>
          <w:color w:val="auto"/>
          <w:highlight w:val="none"/>
        </w:rPr>
        <w:t>号的清单项目作为主要清单项目，需要投标人提供</w:t>
      </w:r>
      <w:r>
        <w:rPr>
          <w:rFonts w:hint="eastAsia" w:hAnsi="宋体" w:cs="宋体"/>
          <w:color w:val="auto"/>
          <w:highlight w:val="none"/>
        </w:rPr>
        <w:t>《主要清单项目工料机分析表》（表</w:t>
      </w:r>
      <w:r>
        <w:rPr>
          <w:color w:val="auto"/>
          <w:highlight w:val="none"/>
        </w:rPr>
        <w:t>-10</w:t>
      </w:r>
      <w:r>
        <w:rPr>
          <w:rFonts w:hint="eastAsia" w:hAnsi="宋体" w:cs="宋体"/>
          <w:color w:val="auto"/>
          <w:highlight w:val="none"/>
        </w:rPr>
        <w:t>）</w:t>
      </w:r>
      <w:r>
        <w:rPr>
          <w:rFonts w:hint="eastAsia" w:cs="宋体"/>
          <w:color w:val="auto"/>
          <w:highlight w:val="none"/>
        </w:rPr>
        <w:t>。</w:t>
      </w:r>
    </w:p>
    <w:p>
      <w:pPr>
        <w:spacing w:line="360" w:lineRule="auto"/>
        <w:ind w:firstLine="420" w:firstLineChars="200"/>
        <w:rPr>
          <w:color w:val="auto"/>
          <w:highlight w:val="none"/>
        </w:rPr>
      </w:pPr>
      <w:r>
        <w:rPr>
          <w:color w:val="auto"/>
          <w:highlight w:val="none"/>
        </w:rPr>
        <w:t xml:space="preserve">1.11 </w:t>
      </w:r>
      <w:r>
        <w:rPr>
          <w:rFonts w:hint="eastAsia"/>
          <w:color w:val="auto"/>
          <w:highlight w:val="none"/>
          <w:lang w:eastAsia="zh-CN"/>
        </w:rPr>
        <w:t>其他</w:t>
      </w:r>
      <w:r>
        <w:rPr>
          <w:rFonts w:hint="eastAsia" w:cs="宋体"/>
          <w:color w:val="auto"/>
          <w:highlight w:val="none"/>
        </w:rPr>
        <w:t>需要说明的问题：</w:t>
      </w:r>
      <w:r>
        <w:rPr>
          <w:rFonts w:hint="eastAsia"/>
          <w:color w:val="auto"/>
          <w:highlight w:val="none"/>
          <w:u w:val="single"/>
        </w:rPr>
        <w:t>无</w:t>
      </w:r>
      <w:r>
        <w:rPr>
          <w:color w:val="auto"/>
          <w:highlight w:val="none"/>
          <w:u w:val="single"/>
        </w:rPr>
        <w:t xml:space="preserve">  </w:t>
      </w:r>
      <w:r>
        <w:rPr>
          <w:rFonts w:hint="eastAsia" w:cs="宋体"/>
          <w:color w:val="auto"/>
          <w:highlight w:val="none"/>
        </w:rPr>
        <w:t>。</w:t>
      </w:r>
    </w:p>
    <w:p>
      <w:pPr>
        <w:spacing w:line="360" w:lineRule="auto"/>
        <w:ind w:firstLine="420" w:firstLineChars="200"/>
        <w:jc w:val="left"/>
        <w:rPr>
          <w:color w:val="auto"/>
          <w:highlight w:val="none"/>
        </w:rPr>
      </w:pPr>
      <w:r>
        <w:rPr>
          <w:color w:val="auto"/>
          <w:highlight w:val="none"/>
        </w:rPr>
        <w:t xml:space="preserve">1.12 </w:t>
      </w:r>
      <w:r>
        <w:rPr>
          <w:rFonts w:hint="eastAsia" w:cs="宋体"/>
          <w:color w:val="auto"/>
          <w:highlight w:val="none"/>
        </w:rPr>
        <w:t>工程量清单另册发放。一般计税法建设工程的工程量清单表格按《关于建筑业实施营业税改征增值税后广西壮族自治区建设工程计价依据调整的通知》（桂建标〔2016〕17号）附件“增值税一般计税方法工程计价表”要求提供；简易计税法建设工程按照《计价规范》要求的表格提供，但规费和税费要按照《关于建筑业实施营业税改征增值税后广西壮族自治区建设工程计价依据调整的通知》（桂建标〔2016〕17号）、《关于调整除税价计算适用增值税税率的通知》（桂造价〔2019〕10号）要求调整</w:t>
      </w:r>
      <w:r>
        <w:rPr>
          <w:rFonts w:hint="eastAsia" w:ascii="宋体" w:hAnsi="宋体" w:cs="宋体"/>
          <w:color w:val="auto"/>
          <w:highlight w:val="none"/>
        </w:rPr>
        <w:t>，具体</w:t>
      </w:r>
      <w:r>
        <w:rPr>
          <w:rFonts w:hint="eastAsia" w:cs="宋体"/>
          <w:color w:val="auto"/>
          <w:highlight w:val="none"/>
        </w:rPr>
        <w:t>包括：</w:t>
      </w:r>
    </w:p>
    <w:p>
      <w:pPr>
        <w:spacing w:line="360" w:lineRule="auto"/>
        <w:ind w:firstLine="630" w:firstLineChars="300"/>
        <w:jc w:val="left"/>
        <w:rPr>
          <w:color w:val="auto"/>
          <w:highlight w:val="none"/>
        </w:rPr>
      </w:pPr>
      <w:r>
        <w:rPr>
          <w:color w:val="auto"/>
          <w:highlight w:val="none"/>
        </w:rPr>
        <w:t xml:space="preserve">1.1 </w:t>
      </w:r>
      <w:r>
        <w:rPr>
          <w:rFonts w:hint="eastAsia" w:cs="宋体"/>
          <w:color w:val="auto"/>
          <w:highlight w:val="none"/>
        </w:rPr>
        <w:t>招标工程量清单（封</w:t>
      </w:r>
      <w:r>
        <w:rPr>
          <w:color w:val="auto"/>
          <w:highlight w:val="none"/>
        </w:rPr>
        <w:t>-1</w:t>
      </w:r>
      <w:r>
        <w:rPr>
          <w:rFonts w:hint="eastAsia" w:cs="宋体"/>
          <w:color w:val="auto"/>
          <w:highlight w:val="none"/>
        </w:rPr>
        <w:t>）</w:t>
      </w:r>
    </w:p>
    <w:p>
      <w:pPr>
        <w:spacing w:line="360" w:lineRule="auto"/>
        <w:ind w:firstLine="630" w:firstLineChars="300"/>
        <w:jc w:val="left"/>
        <w:rPr>
          <w:color w:val="auto"/>
          <w:highlight w:val="none"/>
        </w:rPr>
      </w:pPr>
      <w:r>
        <w:rPr>
          <w:color w:val="auto"/>
          <w:highlight w:val="none"/>
        </w:rPr>
        <w:t xml:space="preserve">1.2 </w:t>
      </w:r>
      <w:r>
        <w:rPr>
          <w:rFonts w:hint="eastAsia" w:cs="宋体"/>
          <w:color w:val="auto"/>
          <w:highlight w:val="none"/>
        </w:rPr>
        <w:t>招标工程量清单（封扉</w:t>
      </w:r>
      <w:r>
        <w:rPr>
          <w:color w:val="auto"/>
          <w:highlight w:val="none"/>
        </w:rPr>
        <w:t>-1</w:t>
      </w:r>
      <w:r>
        <w:rPr>
          <w:rFonts w:hint="eastAsia" w:cs="宋体"/>
          <w:color w:val="auto"/>
          <w:highlight w:val="none"/>
        </w:rPr>
        <w:t>）</w:t>
      </w:r>
    </w:p>
    <w:p>
      <w:pPr>
        <w:spacing w:line="360" w:lineRule="auto"/>
        <w:ind w:firstLine="630" w:firstLineChars="300"/>
        <w:jc w:val="left"/>
        <w:rPr>
          <w:color w:val="auto"/>
          <w:highlight w:val="none"/>
        </w:rPr>
      </w:pPr>
      <w:r>
        <w:rPr>
          <w:color w:val="auto"/>
          <w:highlight w:val="none"/>
        </w:rPr>
        <w:t xml:space="preserve">1.3 </w:t>
      </w:r>
      <w:r>
        <w:rPr>
          <w:rFonts w:hint="eastAsia" w:cs="宋体"/>
          <w:color w:val="auto"/>
          <w:highlight w:val="none"/>
        </w:rPr>
        <w:t>总说明（表</w:t>
      </w:r>
      <w:r>
        <w:rPr>
          <w:color w:val="auto"/>
          <w:highlight w:val="none"/>
        </w:rPr>
        <w:t>-01</w:t>
      </w:r>
      <w:r>
        <w:rPr>
          <w:rFonts w:hint="eastAsia" w:cs="宋体"/>
          <w:color w:val="auto"/>
          <w:highlight w:val="none"/>
        </w:rPr>
        <w:t>）</w:t>
      </w:r>
    </w:p>
    <w:p>
      <w:pPr>
        <w:spacing w:line="360" w:lineRule="auto"/>
        <w:ind w:firstLine="630" w:firstLineChars="300"/>
        <w:jc w:val="left"/>
        <w:rPr>
          <w:color w:val="auto"/>
          <w:highlight w:val="none"/>
        </w:rPr>
      </w:pPr>
      <w:r>
        <w:rPr>
          <w:color w:val="auto"/>
          <w:highlight w:val="none"/>
        </w:rPr>
        <w:t xml:space="preserve">1.4 </w:t>
      </w:r>
      <w:r>
        <w:rPr>
          <w:rFonts w:hint="eastAsia" w:cs="宋体"/>
          <w:color w:val="auto"/>
          <w:highlight w:val="none"/>
        </w:rPr>
        <w:t>单项工程投标报价汇总表（表</w:t>
      </w:r>
      <w:r>
        <w:rPr>
          <w:color w:val="auto"/>
          <w:highlight w:val="none"/>
        </w:rPr>
        <w:t>-03</w:t>
      </w:r>
      <w:r>
        <w:rPr>
          <w:rFonts w:hint="eastAsia" w:cs="宋体"/>
          <w:color w:val="auto"/>
          <w:highlight w:val="none"/>
        </w:rPr>
        <w:t>）</w:t>
      </w:r>
    </w:p>
    <w:p>
      <w:pPr>
        <w:spacing w:line="360" w:lineRule="auto"/>
        <w:ind w:firstLine="630" w:firstLineChars="300"/>
        <w:jc w:val="left"/>
        <w:rPr>
          <w:color w:val="auto"/>
          <w:highlight w:val="none"/>
        </w:rPr>
      </w:pPr>
      <w:r>
        <w:rPr>
          <w:color w:val="auto"/>
          <w:highlight w:val="none"/>
        </w:rPr>
        <w:t xml:space="preserve">1.5 </w:t>
      </w:r>
      <w:r>
        <w:rPr>
          <w:rFonts w:hint="eastAsia" w:cs="宋体"/>
          <w:color w:val="auto"/>
          <w:highlight w:val="none"/>
        </w:rPr>
        <w:t>单位工程投标报价汇总表（表</w:t>
      </w:r>
      <w:r>
        <w:rPr>
          <w:color w:val="auto"/>
          <w:highlight w:val="none"/>
        </w:rPr>
        <w:t>-04</w:t>
      </w:r>
      <w:r>
        <w:rPr>
          <w:rFonts w:hint="eastAsia" w:cs="宋体"/>
          <w:color w:val="auto"/>
          <w:highlight w:val="none"/>
        </w:rPr>
        <w:t>）</w:t>
      </w:r>
    </w:p>
    <w:p>
      <w:pPr>
        <w:spacing w:line="360" w:lineRule="auto"/>
        <w:ind w:firstLine="630" w:firstLineChars="300"/>
        <w:jc w:val="left"/>
        <w:rPr>
          <w:color w:val="auto"/>
          <w:highlight w:val="none"/>
        </w:rPr>
      </w:pPr>
      <w:r>
        <w:rPr>
          <w:color w:val="auto"/>
          <w:highlight w:val="none"/>
        </w:rPr>
        <w:t xml:space="preserve">1.6 </w:t>
      </w:r>
      <w:r>
        <w:rPr>
          <w:rFonts w:hint="eastAsia" w:cs="宋体"/>
          <w:color w:val="auto"/>
          <w:highlight w:val="none"/>
        </w:rPr>
        <w:t>分部分项工程和单价措施项目清单与计价表（表</w:t>
      </w:r>
      <w:r>
        <w:rPr>
          <w:color w:val="auto"/>
          <w:highlight w:val="none"/>
        </w:rPr>
        <w:t>-08</w:t>
      </w:r>
      <w:r>
        <w:rPr>
          <w:rFonts w:hint="eastAsia" w:cs="宋体"/>
          <w:color w:val="auto"/>
          <w:highlight w:val="none"/>
        </w:rPr>
        <w:t>）</w:t>
      </w:r>
    </w:p>
    <w:p>
      <w:pPr>
        <w:spacing w:line="360" w:lineRule="auto"/>
        <w:ind w:firstLine="630" w:firstLineChars="300"/>
        <w:jc w:val="left"/>
        <w:rPr>
          <w:color w:val="auto"/>
          <w:highlight w:val="none"/>
        </w:rPr>
      </w:pPr>
      <w:r>
        <w:rPr>
          <w:color w:val="auto"/>
          <w:highlight w:val="none"/>
        </w:rPr>
        <w:t xml:space="preserve">1.7 </w:t>
      </w:r>
      <w:r>
        <w:rPr>
          <w:rFonts w:hint="eastAsia" w:cs="宋体"/>
          <w:color w:val="auto"/>
          <w:highlight w:val="none"/>
        </w:rPr>
        <w:t>总价措施项目清单与计价表（表</w:t>
      </w:r>
      <w:r>
        <w:rPr>
          <w:color w:val="auto"/>
          <w:highlight w:val="none"/>
        </w:rPr>
        <w:t>-11</w:t>
      </w:r>
      <w:r>
        <w:rPr>
          <w:rFonts w:hint="eastAsia" w:cs="宋体"/>
          <w:color w:val="auto"/>
          <w:highlight w:val="none"/>
        </w:rPr>
        <w:t>）</w:t>
      </w:r>
    </w:p>
    <w:p>
      <w:pPr>
        <w:spacing w:line="360" w:lineRule="auto"/>
        <w:ind w:firstLine="630" w:firstLineChars="300"/>
        <w:jc w:val="left"/>
        <w:rPr>
          <w:color w:val="auto"/>
          <w:highlight w:val="none"/>
        </w:rPr>
      </w:pPr>
      <w:r>
        <w:rPr>
          <w:color w:val="auto"/>
          <w:highlight w:val="none"/>
        </w:rPr>
        <w:t xml:space="preserve">1.8 </w:t>
      </w:r>
      <w:r>
        <w:rPr>
          <w:rFonts w:hint="eastAsia" w:cs="宋体"/>
          <w:color w:val="auto"/>
          <w:highlight w:val="none"/>
        </w:rPr>
        <w:t>其他项目清单与计价汇总表（表</w:t>
      </w:r>
      <w:r>
        <w:rPr>
          <w:color w:val="auto"/>
          <w:highlight w:val="none"/>
        </w:rPr>
        <w:t>-12</w:t>
      </w:r>
      <w:r>
        <w:rPr>
          <w:rFonts w:hint="eastAsia" w:cs="宋体"/>
          <w:color w:val="auto"/>
          <w:highlight w:val="none"/>
        </w:rPr>
        <w:t>）</w:t>
      </w:r>
    </w:p>
    <w:p>
      <w:pPr>
        <w:spacing w:line="360" w:lineRule="auto"/>
        <w:ind w:firstLine="630" w:firstLineChars="300"/>
        <w:jc w:val="left"/>
        <w:rPr>
          <w:color w:val="auto"/>
          <w:highlight w:val="none"/>
        </w:rPr>
      </w:pPr>
      <w:r>
        <w:rPr>
          <w:color w:val="auto"/>
          <w:highlight w:val="none"/>
        </w:rPr>
        <w:t xml:space="preserve">1.9 </w:t>
      </w:r>
      <w:r>
        <w:rPr>
          <w:rFonts w:hint="eastAsia" w:cs="宋体"/>
          <w:color w:val="auto"/>
          <w:highlight w:val="none"/>
        </w:rPr>
        <w:t>专业工程暂估价</w:t>
      </w:r>
      <w:r>
        <w:rPr>
          <w:rFonts w:hint="eastAsia"/>
          <w:color w:val="auto"/>
          <w:highlight w:val="none"/>
        </w:rPr>
        <w:t>及结算价</w:t>
      </w:r>
      <w:r>
        <w:rPr>
          <w:rFonts w:hint="eastAsia" w:cs="宋体"/>
          <w:color w:val="auto"/>
          <w:highlight w:val="none"/>
        </w:rPr>
        <w:t>表（表</w:t>
      </w:r>
      <w:r>
        <w:rPr>
          <w:color w:val="auto"/>
          <w:highlight w:val="none"/>
        </w:rPr>
        <w:t>12-3</w:t>
      </w:r>
      <w:r>
        <w:rPr>
          <w:rFonts w:hint="eastAsia" w:cs="宋体"/>
          <w:color w:val="auto"/>
          <w:highlight w:val="none"/>
        </w:rPr>
        <w:t>）</w:t>
      </w:r>
    </w:p>
    <w:p>
      <w:pPr>
        <w:spacing w:line="360" w:lineRule="auto"/>
        <w:ind w:firstLine="630" w:firstLineChars="300"/>
        <w:jc w:val="left"/>
        <w:rPr>
          <w:color w:val="auto"/>
          <w:highlight w:val="none"/>
        </w:rPr>
      </w:pPr>
      <w:r>
        <w:rPr>
          <w:color w:val="auto"/>
          <w:highlight w:val="none"/>
        </w:rPr>
        <w:t xml:space="preserve">1.10 </w:t>
      </w:r>
      <w:r>
        <w:rPr>
          <w:rFonts w:hint="eastAsia" w:cs="宋体"/>
          <w:color w:val="auto"/>
          <w:highlight w:val="none"/>
        </w:rPr>
        <w:t>税前项目清单与计价表（表</w:t>
      </w:r>
      <w:r>
        <w:rPr>
          <w:color w:val="auto"/>
          <w:highlight w:val="none"/>
        </w:rPr>
        <w:t>-14</w:t>
      </w:r>
      <w:r>
        <w:rPr>
          <w:rFonts w:hint="eastAsia" w:cs="宋体"/>
          <w:color w:val="auto"/>
          <w:highlight w:val="none"/>
        </w:rPr>
        <w:t>）</w:t>
      </w:r>
    </w:p>
    <w:p>
      <w:pPr>
        <w:spacing w:line="360" w:lineRule="auto"/>
        <w:ind w:firstLine="630" w:firstLineChars="300"/>
        <w:jc w:val="left"/>
        <w:rPr>
          <w:color w:val="auto"/>
          <w:highlight w:val="none"/>
        </w:rPr>
      </w:pPr>
      <w:r>
        <w:rPr>
          <w:color w:val="auto"/>
          <w:highlight w:val="none"/>
        </w:rPr>
        <w:t xml:space="preserve">1.11 </w:t>
      </w:r>
      <w:r>
        <w:rPr>
          <w:rFonts w:hint="eastAsia" w:cs="宋体"/>
          <w:color w:val="auto"/>
          <w:highlight w:val="none"/>
        </w:rPr>
        <w:t>规费、增值税计价表（表</w:t>
      </w:r>
      <w:r>
        <w:rPr>
          <w:color w:val="auto"/>
          <w:highlight w:val="none"/>
        </w:rPr>
        <w:t>-15</w:t>
      </w:r>
      <w:r>
        <w:rPr>
          <w:rFonts w:hint="eastAsia" w:cs="宋体"/>
          <w:color w:val="auto"/>
          <w:highlight w:val="none"/>
        </w:rPr>
        <w:t>）</w:t>
      </w:r>
    </w:p>
    <w:p>
      <w:pPr>
        <w:spacing w:line="360" w:lineRule="auto"/>
        <w:ind w:firstLine="630" w:firstLineChars="300"/>
        <w:jc w:val="left"/>
        <w:rPr>
          <w:color w:val="auto"/>
          <w:highlight w:val="none"/>
        </w:rPr>
      </w:pPr>
      <w:r>
        <w:rPr>
          <w:color w:val="auto"/>
          <w:highlight w:val="none"/>
        </w:rPr>
        <w:t xml:space="preserve">1.12 </w:t>
      </w:r>
      <w:r>
        <w:rPr>
          <w:rFonts w:hint="eastAsia" w:cs="宋体"/>
          <w:color w:val="auto"/>
          <w:highlight w:val="none"/>
        </w:rPr>
        <w:t>承包人提供主要材料和工程设备一览表（适用于造价信息差额调整法）（表</w:t>
      </w:r>
      <w:r>
        <w:rPr>
          <w:color w:val="auto"/>
          <w:highlight w:val="none"/>
        </w:rPr>
        <w:t>-22</w:t>
      </w:r>
      <w:r>
        <w:rPr>
          <w:rFonts w:hint="eastAsia" w:cs="宋体"/>
          <w:color w:val="auto"/>
          <w:highlight w:val="none"/>
        </w:rPr>
        <w:t>）</w:t>
      </w:r>
    </w:p>
    <w:p>
      <w:pPr>
        <w:spacing w:line="360" w:lineRule="auto"/>
        <w:ind w:firstLine="630" w:firstLineChars="300"/>
        <w:jc w:val="left"/>
        <w:rPr>
          <w:rFonts w:cs="宋体"/>
          <w:color w:val="auto"/>
          <w:highlight w:val="none"/>
        </w:rPr>
      </w:pPr>
      <w:r>
        <w:rPr>
          <w:rFonts w:hint="eastAsia" w:cs="宋体"/>
          <w:color w:val="auto"/>
          <w:highlight w:val="none"/>
        </w:rPr>
        <w:t>注：如本工程在合同中约定采用造价信息价差调整法，1.</w:t>
      </w:r>
      <w:r>
        <w:rPr>
          <w:color w:val="auto"/>
          <w:highlight w:val="none"/>
        </w:rPr>
        <w:t xml:space="preserve">18 </w:t>
      </w:r>
      <w:r>
        <w:rPr>
          <w:rFonts w:hint="eastAsia" w:cs="宋体"/>
          <w:color w:val="auto"/>
          <w:highlight w:val="none"/>
        </w:rPr>
        <w:t>承包人提供主要材料和工程设备一览表（适用于造价信息差额调整法）（表</w:t>
      </w:r>
      <w:r>
        <w:rPr>
          <w:color w:val="auto"/>
          <w:highlight w:val="none"/>
        </w:rPr>
        <w:t>-22</w:t>
      </w:r>
      <w:r>
        <w:rPr>
          <w:rFonts w:hint="eastAsia" w:cs="宋体"/>
          <w:color w:val="auto"/>
          <w:highlight w:val="none"/>
        </w:rPr>
        <w:t>）载明的主要材料和设备为本工程允许调整的材料和设备，招标工程量清单必须提供该表格，且不能提供空白表。</w:t>
      </w:r>
    </w:p>
    <w:p>
      <w:pPr>
        <w:spacing w:line="360" w:lineRule="auto"/>
        <w:ind w:firstLine="630" w:firstLineChars="300"/>
        <w:jc w:val="left"/>
        <w:rPr>
          <w:color w:val="auto"/>
          <w:highlight w:val="none"/>
        </w:rPr>
      </w:pPr>
      <w:r>
        <w:rPr>
          <w:rFonts w:hint="eastAsia" w:cs="宋体"/>
          <w:color w:val="auto"/>
          <w:highlight w:val="none"/>
        </w:rPr>
        <w:t>以下表格视工程实际需要选用，如该工程不发生如下表格相关项目和费用，所编制招标工程量清单则不需列入相应表格：</w:t>
      </w:r>
    </w:p>
    <w:p>
      <w:pPr>
        <w:spacing w:line="360" w:lineRule="auto"/>
        <w:ind w:firstLine="630" w:firstLineChars="300"/>
        <w:jc w:val="left"/>
        <w:rPr>
          <w:color w:val="auto"/>
          <w:highlight w:val="none"/>
        </w:rPr>
      </w:pPr>
      <w:r>
        <w:rPr>
          <w:rFonts w:hint="eastAsia" w:ascii="宋体" w:hAnsi="宋体" w:cs="宋体"/>
          <w:color w:val="auto"/>
          <w:highlight w:val="none"/>
        </w:rPr>
        <w:t>①</w:t>
      </w:r>
      <w:r>
        <w:rPr>
          <w:rFonts w:hint="eastAsia" w:cs="宋体"/>
          <w:color w:val="auto"/>
          <w:highlight w:val="none"/>
        </w:rPr>
        <w:t>建设项目投标报价汇总表（表</w:t>
      </w:r>
      <w:r>
        <w:rPr>
          <w:color w:val="auto"/>
          <w:highlight w:val="none"/>
        </w:rPr>
        <w:t>-02</w:t>
      </w:r>
      <w:r>
        <w:rPr>
          <w:rFonts w:hint="eastAsia" w:cs="宋体"/>
          <w:color w:val="auto"/>
          <w:highlight w:val="none"/>
        </w:rPr>
        <w:t>）</w:t>
      </w:r>
    </w:p>
    <w:p>
      <w:pPr>
        <w:spacing w:line="360" w:lineRule="auto"/>
        <w:ind w:firstLine="630" w:firstLineChars="300"/>
        <w:jc w:val="left"/>
        <w:rPr>
          <w:color w:val="auto"/>
          <w:highlight w:val="none"/>
        </w:rPr>
      </w:pPr>
      <w:r>
        <w:rPr>
          <w:rFonts w:hint="eastAsia" w:cs="宋体"/>
          <w:color w:val="auto"/>
          <w:highlight w:val="none"/>
        </w:rPr>
        <w:t>②暂列金额明细表（表</w:t>
      </w:r>
      <w:r>
        <w:rPr>
          <w:color w:val="auto"/>
          <w:highlight w:val="none"/>
        </w:rPr>
        <w:t>12-1</w:t>
      </w:r>
      <w:r>
        <w:rPr>
          <w:rFonts w:hint="eastAsia" w:cs="宋体"/>
          <w:color w:val="auto"/>
          <w:highlight w:val="none"/>
        </w:rPr>
        <w:t>）</w:t>
      </w:r>
    </w:p>
    <w:p>
      <w:pPr>
        <w:spacing w:line="360" w:lineRule="auto"/>
        <w:ind w:firstLine="630" w:firstLineChars="300"/>
        <w:jc w:val="left"/>
        <w:rPr>
          <w:color w:val="auto"/>
          <w:highlight w:val="none"/>
        </w:rPr>
      </w:pPr>
      <w:r>
        <w:rPr>
          <w:rFonts w:hint="eastAsia" w:cs="宋体"/>
          <w:color w:val="auto"/>
          <w:highlight w:val="none"/>
        </w:rPr>
        <w:t>③材料（工程设备）暂估单价及调整表（表</w:t>
      </w:r>
      <w:r>
        <w:rPr>
          <w:color w:val="auto"/>
          <w:highlight w:val="none"/>
        </w:rPr>
        <w:t>12-2</w:t>
      </w:r>
      <w:r>
        <w:rPr>
          <w:rFonts w:hint="eastAsia" w:cs="宋体"/>
          <w:color w:val="auto"/>
          <w:highlight w:val="none"/>
        </w:rPr>
        <w:t>）</w:t>
      </w:r>
    </w:p>
    <w:p>
      <w:pPr>
        <w:spacing w:line="360" w:lineRule="auto"/>
        <w:ind w:firstLine="630" w:firstLineChars="300"/>
        <w:jc w:val="left"/>
        <w:rPr>
          <w:color w:val="auto"/>
          <w:highlight w:val="none"/>
        </w:rPr>
      </w:pPr>
      <w:r>
        <w:rPr>
          <w:rFonts w:hint="eastAsia" w:cs="宋体"/>
          <w:color w:val="auto"/>
          <w:highlight w:val="none"/>
        </w:rPr>
        <w:t>④专业工程暂估价表（表</w:t>
      </w:r>
      <w:r>
        <w:rPr>
          <w:color w:val="auto"/>
          <w:highlight w:val="none"/>
        </w:rPr>
        <w:t>12-3</w:t>
      </w:r>
      <w:r>
        <w:rPr>
          <w:rFonts w:hint="eastAsia" w:cs="宋体"/>
          <w:color w:val="auto"/>
          <w:highlight w:val="none"/>
        </w:rPr>
        <w:t>）</w:t>
      </w:r>
    </w:p>
    <w:p>
      <w:pPr>
        <w:spacing w:line="360" w:lineRule="auto"/>
        <w:ind w:firstLine="630" w:firstLineChars="300"/>
        <w:jc w:val="left"/>
        <w:rPr>
          <w:color w:val="auto"/>
          <w:highlight w:val="none"/>
        </w:rPr>
      </w:pPr>
      <w:r>
        <w:rPr>
          <w:rFonts w:hint="eastAsia" w:cs="宋体"/>
          <w:color w:val="auto"/>
          <w:highlight w:val="none"/>
        </w:rPr>
        <w:t>⑤计日工表（表</w:t>
      </w:r>
      <w:r>
        <w:rPr>
          <w:color w:val="auto"/>
          <w:highlight w:val="none"/>
        </w:rPr>
        <w:t>12-4</w:t>
      </w:r>
      <w:r>
        <w:rPr>
          <w:rFonts w:hint="eastAsia" w:cs="宋体"/>
          <w:color w:val="auto"/>
          <w:highlight w:val="none"/>
        </w:rPr>
        <w:t>）</w:t>
      </w:r>
    </w:p>
    <w:p>
      <w:pPr>
        <w:spacing w:line="360" w:lineRule="auto"/>
        <w:ind w:firstLine="630" w:firstLineChars="300"/>
        <w:jc w:val="left"/>
        <w:rPr>
          <w:color w:val="auto"/>
          <w:highlight w:val="none"/>
        </w:rPr>
      </w:pPr>
      <w:r>
        <w:rPr>
          <w:rFonts w:hint="eastAsia" w:cs="宋体"/>
          <w:color w:val="auto"/>
          <w:highlight w:val="none"/>
        </w:rPr>
        <w:t>⑥总承包服务费计价表（表</w:t>
      </w:r>
      <w:r>
        <w:rPr>
          <w:color w:val="auto"/>
          <w:highlight w:val="none"/>
        </w:rPr>
        <w:t>12-5</w:t>
      </w:r>
      <w:r>
        <w:rPr>
          <w:rFonts w:hint="eastAsia" w:cs="宋体"/>
          <w:color w:val="auto"/>
          <w:highlight w:val="none"/>
        </w:rPr>
        <w:t>）</w:t>
      </w:r>
    </w:p>
    <w:p>
      <w:pPr>
        <w:spacing w:line="360" w:lineRule="auto"/>
        <w:ind w:firstLine="630" w:firstLineChars="300"/>
        <w:jc w:val="left"/>
        <w:rPr>
          <w:rFonts w:cs="宋体"/>
          <w:color w:val="auto"/>
          <w:highlight w:val="none"/>
        </w:rPr>
      </w:pPr>
      <w:r>
        <w:rPr>
          <w:rFonts w:hint="eastAsia" w:cs="宋体"/>
          <w:color w:val="auto"/>
          <w:highlight w:val="none"/>
        </w:rPr>
        <w:t>⑦税前项目清单与计价表（表</w:t>
      </w:r>
      <w:r>
        <w:rPr>
          <w:color w:val="auto"/>
          <w:highlight w:val="none"/>
        </w:rPr>
        <w:t>-14</w:t>
      </w:r>
      <w:r>
        <w:rPr>
          <w:rFonts w:hint="eastAsia" w:cs="宋体"/>
          <w:color w:val="auto"/>
          <w:highlight w:val="none"/>
        </w:rPr>
        <w:t>）</w:t>
      </w:r>
    </w:p>
    <w:p>
      <w:pPr>
        <w:spacing w:line="360" w:lineRule="auto"/>
        <w:ind w:firstLine="630" w:firstLineChars="300"/>
        <w:rPr>
          <w:color w:val="auto"/>
          <w:highlight w:val="none"/>
        </w:rPr>
      </w:pPr>
      <w:r>
        <w:rPr>
          <w:color w:val="auto"/>
          <w:highlight w:val="none"/>
        </w:rPr>
        <w:fldChar w:fldCharType="begin"/>
      </w:r>
      <w:r>
        <w:rPr>
          <w:color w:val="auto"/>
          <w:highlight w:val="none"/>
        </w:rPr>
        <w:instrText xml:space="preserve"> </w:instrText>
      </w:r>
      <w:r>
        <w:rPr>
          <w:rFonts w:hint="eastAsia"/>
          <w:color w:val="auto"/>
          <w:highlight w:val="none"/>
        </w:rPr>
        <w:instrText xml:space="preserve">= 8 \* GB3</w:instrText>
      </w:r>
      <w:r>
        <w:rPr>
          <w:color w:val="auto"/>
          <w:highlight w:val="none"/>
        </w:rPr>
        <w:instrText xml:space="preserve"> </w:instrText>
      </w:r>
      <w:r>
        <w:rPr>
          <w:color w:val="auto"/>
          <w:highlight w:val="none"/>
        </w:rPr>
        <w:fldChar w:fldCharType="separate"/>
      </w:r>
      <w:r>
        <w:rPr>
          <w:rFonts w:hint="eastAsia"/>
          <w:color w:val="auto"/>
          <w:highlight w:val="none"/>
        </w:rPr>
        <w:t>⑧</w:t>
      </w:r>
      <w:r>
        <w:rPr>
          <w:color w:val="auto"/>
          <w:highlight w:val="none"/>
        </w:rPr>
        <w:fldChar w:fldCharType="end"/>
      </w:r>
      <w:r>
        <w:rPr>
          <w:rFonts w:hint="eastAsia" w:cs="宋体"/>
          <w:color w:val="auto"/>
          <w:highlight w:val="none"/>
        </w:rPr>
        <w:t>承包人提供主要材料和工程设备一览表（适用于价格指数差额调整法）（表</w:t>
      </w:r>
      <w:r>
        <w:rPr>
          <w:color w:val="auto"/>
          <w:highlight w:val="none"/>
        </w:rPr>
        <w:t>-23</w:t>
      </w:r>
      <w:r>
        <w:rPr>
          <w:rFonts w:hint="eastAsia" w:cs="宋体"/>
          <w:color w:val="auto"/>
          <w:highlight w:val="none"/>
        </w:rPr>
        <w:t>）</w:t>
      </w:r>
    </w:p>
    <w:p>
      <w:pPr>
        <w:pStyle w:val="4"/>
        <w:rPr>
          <w:color w:val="auto"/>
          <w:highlight w:val="none"/>
        </w:rPr>
      </w:pPr>
      <w:bookmarkStart w:id="1527" w:name="_Toc13783"/>
      <w:bookmarkStart w:id="1528" w:name="_Toc66186488"/>
      <w:bookmarkStart w:id="1529" w:name="_Toc407135285"/>
      <w:r>
        <w:rPr>
          <w:color w:val="auto"/>
          <w:highlight w:val="none"/>
        </w:rPr>
        <w:t xml:space="preserve">2 </w:t>
      </w:r>
      <w:r>
        <w:rPr>
          <w:rFonts w:hint="eastAsia" w:cs="黑体"/>
          <w:color w:val="auto"/>
          <w:highlight w:val="none"/>
        </w:rPr>
        <w:t>招标控制价编制说明</w:t>
      </w:r>
      <w:bookmarkEnd w:id="1527"/>
      <w:bookmarkEnd w:id="1528"/>
      <w:bookmarkEnd w:id="1529"/>
    </w:p>
    <w:p>
      <w:pPr>
        <w:spacing w:line="360" w:lineRule="auto"/>
        <w:ind w:firstLine="420" w:firstLineChars="200"/>
        <w:rPr>
          <w:color w:val="auto"/>
          <w:highlight w:val="none"/>
        </w:rPr>
      </w:pPr>
      <w:r>
        <w:rPr>
          <w:color w:val="auto"/>
          <w:highlight w:val="none"/>
        </w:rPr>
        <w:t xml:space="preserve">2.1 </w:t>
      </w:r>
      <w:r>
        <w:rPr>
          <w:rFonts w:hint="eastAsia" w:hAnsi="宋体" w:cs="宋体"/>
          <w:color w:val="auto"/>
          <w:highlight w:val="none"/>
        </w:rPr>
        <w:t>招标控制价编制依据：</w:t>
      </w:r>
    </w:p>
    <w:p>
      <w:pPr>
        <w:spacing w:line="360" w:lineRule="auto"/>
        <w:ind w:firstLine="420" w:firstLineChars="200"/>
        <w:rPr>
          <w:rFonts w:hAnsi="宋体"/>
          <w:color w:val="auto"/>
          <w:highlight w:val="none"/>
        </w:rPr>
      </w:pPr>
      <w:r>
        <w:rPr>
          <w:rFonts w:hint="eastAsia" w:cs="宋体"/>
          <w:color w:val="auto"/>
          <w:highlight w:val="none"/>
        </w:rPr>
        <w:t>（</w:t>
      </w:r>
      <w:r>
        <w:rPr>
          <w:color w:val="auto"/>
          <w:highlight w:val="none"/>
        </w:rPr>
        <w:t>1</w:t>
      </w:r>
      <w:r>
        <w:rPr>
          <w:rFonts w:hint="eastAsia" w:cs="宋体"/>
          <w:color w:val="auto"/>
          <w:highlight w:val="none"/>
        </w:rPr>
        <w:t>）</w:t>
      </w:r>
      <w:r>
        <w:rPr>
          <w:rFonts w:hint="eastAsia" w:hAnsi="宋体" w:cs="宋体"/>
          <w:color w:val="auto"/>
          <w:highlight w:val="none"/>
        </w:rPr>
        <w:t>《计价规范》及《计算规范》、</w:t>
      </w:r>
      <w:r>
        <w:rPr>
          <w:rFonts w:hint="eastAsia" w:hAnsi="宋体" w:cs="宋体"/>
          <w:color w:val="auto"/>
          <w:kern w:val="0"/>
          <w:highlight w:val="none"/>
        </w:rPr>
        <w:t>《关于建筑业实施营业税改征增值税后广西壮族自治区建设工程计价依据调整的通知》（桂建标〔</w:t>
      </w:r>
      <w:r>
        <w:rPr>
          <w:rFonts w:hAnsi="宋体"/>
          <w:color w:val="auto"/>
          <w:kern w:val="0"/>
          <w:highlight w:val="none"/>
        </w:rPr>
        <w:t>2016</w:t>
      </w:r>
      <w:r>
        <w:rPr>
          <w:rFonts w:hint="eastAsia" w:hAnsi="宋体" w:cs="宋体"/>
          <w:color w:val="auto"/>
          <w:kern w:val="0"/>
          <w:highlight w:val="none"/>
        </w:rPr>
        <w:t>〕</w:t>
      </w:r>
      <w:r>
        <w:rPr>
          <w:rFonts w:hAnsi="宋体"/>
          <w:color w:val="auto"/>
          <w:kern w:val="0"/>
          <w:highlight w:val="none"/>
        </w:rPr>
        <w:t>17</w:t>
      </w:r>
      <w:r>
        <w:rPr>
          <w:rFonts w:hint="eastAsia" w:hAnsi="宋体" w:cs="宋体"/>
          <w:color w:val="auto"/>
          <w:kern w:val="0"/>
          <w:highlight w:val="none"/>
        </w:rPr>
        <w:t>号）等</w:t>
      </w:r>
      <w:r>
        <w:rPr>
          <w:rFonts w:hint="eastAsia" w:hAnsi="宋体" w:cs="宋体"/>
          <w:color w:val="auto"/>
          <w:highlight w:val="none"/>
        </w:rPr>
        <w:t>；</w:t>
      </w:r>
    </w:p>
    <w:p>
      <w:pPr>
        <w:spacing w:line="360" w:lineRule="auto"/>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）自治区住房城乡建设行政主管部门颁发的计价定额及有关规定：</w:t>
      </w:r>
      <w:r>
        <w:rPr>
          <w:rFonts w:hint="eastAsia"/>
          <w:color w:val="auto"/>
          <w:highlight w:val="none"/>
          <w:u w:val="single"/>
        </w:rPr>
        <w:t>无</w:t>
      </w:r>
      <w:r>
        <w:rPr>
          <w:rFonts w:hint="eastAsia" w:cs="宋体"/>
          <w:color w:val="auto"/>
          <w:highlight w:val="none"/>
        </w:rPr>
        <w:t>。</w:t>
      </w:r>
    </w:p>
    <w:p>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）建设工程设计文件及相关资料：</w:t>
      </w:r>
      <w:r>
        <w:rPr>
          <w:rFonts w:hint="eastAsia"/>
          <w:color w:val="auto"/>
          <w:highlight w:val="none"/>
          <w:u w:val="single"/>
        </w:rPr>
        <w:t>无</w:t>
      </w:r>
      <w:r>
        <w:rPr>
          <w:color w:val="auto"/>
          <w:highlight w:val="none"/>
          <w:u w:val="single"/>
        </w:rPr>
        <w:t xml:space="preserve"> </w:t>
      </w:r>
      <w:r>
        <w:rPr>
          <w:rFonts w:hint="eastAsia" w:cs="宋体"/>
          <w:color w:val="auto"/>
          <w:highlight w:val="none"/>
        </w:rPr>
        <w:t>。</w:t>
      </w:r>
      <w:r>
        <w:rPr>
          <w:color w:val="auto"/>
          <w:highlight w:val="none"/>
        </w:rPr>
        <w:t xml:space="preserve"> </w:t>
      </w:r>
    </w:p>
    <w:p>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）本工程招标文件及工程量清单；</w:t>
      </w:r>
    </w:p>
    <w:p>
      <w:pPr>
        <w:spacing w:line="360" w:lineRule="auto"/>
        <w:ind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）与建设项目相关的标准、规范、技术资料；</w:t>
      </w:r>
    </w:p>
    <w:p>
      <w:pPr>
        <w:spacing w:line="360" w:lineRule="auto"/>
        <w:ind w:firstLine="420" w:firstLineChars="200"/>
        <w:rPr>
          <w:rFonts w:cs="宋体"/>
          <w:color w:val="auto"/>
          <w:highlight w:val="none"/>
        </w:rPr>
      </w:pPr>
      <w:r>
        <w:rPr>
          <w:rFonts w:hint="eastAsia" w:cs="宋体"/>
          <w:color w:val="auto"/>
          <w:highlight w:val="none"/>
        </w:rPr>
        <w:t>（</w:t>
      </w:r>
      <w:r>
        <w:rPr>
          <w:color w:val="auto"/>
          <w:highlight w:val="none"/>
        </w:rPr>
        <w:t>6</w:t>
      </w:r>
      <w:r>
        <w:rPr>
          <w:rFonts w:hint="eastAsia" w:cs="宋体"/>
          <w:color w:val="auto"/>
          <w:highlight w:val="none"/>
        </w:rPr>
        <w:t>）施工现场情况、工程特点及常规施工方案；</w:t>
      </w:r>
    </w:p>
    <w:p>
      <w:pPr>
        <w:spacing w:line="360" w:lineRule="auto"/>
        <w:ind w:firstLine="420" w:firstLineChars="200"/>
        <w:rPr>
          <w:rFonts w:hAnsi="宋体"/>
          <w:color w:val="auto"/>
          <w:highlight w:val="none"/>
        </w:rPr>
      </w:pPr>
      <w:r>
        <w:rPr>
          <w:rFonts w:hint="eastAsia" w:cs="宋体"/>
          <w:color w:val="auto"/>
          <w:highlight w:val="none"/>
        </w:rPr>
        <w:t>（</w:t>
      </w:r>
      <w:r>
        <w:rPr>
          <w:color w:val="auto"/>
          <w:highlight w:val="none"/>
        </w:rPr>
        <w:t>7</w:t>
      </w:r>
      <w:r>
        <w:rPr>
          <w:rFonts w:hint="eastAsia" w:cs="宋体"/>
          <w:color w:val="auto"/>
          <w:highlight w:val="none"/>
        </w:rPr>
        <w:t>）材料价格信息</w:t>
      </w:r>
      <w:r>
        <w:rPr>
          <w:rFonts w:hint="eastAsia" w:hAnsi="宋体" w:cs="宋体"/>
          <w:color w:val="auto"/>
          <w:highlight w:val="none"/>
        </w:rPr>
        <w:t>：材料价格主要按照</w:t>
      </w:r>
      <w:r>
        <w:rPr>
          <w:color w:val="auto"/>
          <w:highlight w:val="none"/>
          <w:u w:val="single"/>
        </w:rPr>
        <w:t xml:space="preserve"> </w:t>
      </w:r>
      <w:r>
        <w:rPr>
          <w:rFonts w:hint="eastAsia"/>
          <w:color w:val="auto"/>
          <w:highlight w:val="none"/>
          <w:u w:val="single"/>
        </w:rPr>
        <w:t>南宁</w:t>
      </w:r>
      <w:r>
        <w:rPr>
          <w:rFonts w:hint="eastAsia" w:cs="宋体"/>
          <w:color w:val="auto"/>
          <w:highlight w:val="none"/>
        </w:rPr>
        <w:t>市建设工程造价管理机构发布的工程造价信息</w:t>
      </w:r>
      <w:r>
        <w:rPr>
          <w:color w:val="auto"/>
          <w:highlight w:val="none"/>
          <w:u w:val="single"/>
        </w:rPr>
        <w:t xml:space="preserve"> 20</w:t>
      </w:r>
      <w:r>
        <w:rPr>
          <w:rFonts w:hint="eastAsia"/>
          <w:color w:val="auto"/>
          <w:highlight w:val="none"/>
          <w:u w:val="single"/>
        </w:rPr>
        <w:t xml:space="preserve">  </w:t>
      </w:r>
      <w:r>
        <w:rPr>
          <w:rFonts w:hint="eastAsia" w:cs="宋体"/>
          <w:color w:val="auto"/>
          <w:highlight w:val="none"/>
        </w:rPr>
        <w:t>年第</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s="宋体"/>
          <w:color w:val="auto"/>
          <w:highlight w:val="none"/>
        </w:rPr>
        <w:t>期，不足部分参考市场定价</w:t>
      </w:r>
      <w:r>
        <w:rPr>
          <w:rFonts w:hint="eastAsia" w:hAnsi="宋体" w:cs="宋体"/>
          <w:color w:val="auto"/>
          <w:highlight w:val="none"/>
        </w:rPr>
        <w:t>。</w:t>
      </w:r>
    </w:p>
    <w:p>
      <w:pPr>
        <w:spacing w:line="360" w:lineRule="auto"/>
        <w:ind w:firstLine="420" w:firstLineChars="200"/>
        <w:rPr>
          <w:color w:val="auto"/>
          <w:highlight w:val="none"/>
        </w:rPr>
      </w:pPr>
      <w:r>
        <w:rPr>
          <w:color w:val="auto"/>
          <w:highlight w:val="none"/>
        </w:rPr>
        <w:t xml:space="preserve">2.2 </w:t>
      </w:r>
      <w:r>
        <w:rPr>
          <w:rFonts w:hint="eastAsia" w:hAnsi="宋体" w:cs="宋体"/>
          <w:color w:val="auto"/>
          <w:highlight w:val="none"/>
        </w:rPr>
        <w:t>分部分项及单价措施项目综合单价应包括招标文件中招标人要求投标人所承担的风险内容及其范围（幅度）产生的风险费用。</w:t>
      </w:r>
    </w:p>
    <w:p>
      <w:pPr>
        <w:spacing w:line="360" w:lineRule="auto"/>
        <w:ind w:firstLine="420"/>
        <w:rPr>
          <w:color w:val="auto"/>
          <w:highlight w:val="none"/>
        </w:rPr>
      </w:pPr>
      <w:r>
        <w:rPr>
          <w:color w:val="auto"/>
          <w:highlight w:val="none"/>
        </w:rPr>
        <w:t xml:space="preserve">2.3 </w:t>
      </w:r>
      <w:r>
        <w:rPr>
          <w:rFonts w:hint="eastAsia" w:hAnsi="宋体" w:cs="宋体"/>
          <w:color w:val="auto"/>
          <w:highlight w:val="none"/>
        </w:rPr>
        <w:t>总价措施项目应根据拟定的招标文件和常规施工方案按《计价规范》和《计算规范》规定编制。</w:t>
      </w:r>
    </w:p>
    <w:p>
      <w:pPr>
        <w:spacing w:line="360" w:lineRule="auto"/>
        <w:ind w:firstLine="420" w:firstLineChars="200"/>
        <w:rPr>
          <w:color w:val="auto"/>
          <w:highlight w:val="none"/>
        </w:rPr>
      </w:pPr>
      <w:r>
        <w:rPr>
          <w:color w:val="auto"/>
          <w:highlight w:val="none"/>
        </w:rPr>
        <w:t xml:space="preserve">2.4 </w:t>
      </w:r>
      <w:r>
        <w:rPr>
          <w:rFonts w:hint="eastAsia" w:cs="宋体"/>
          <w:color w:val="auto"/>
          <w:highlight w:val="none"/>
        </w:rPr>
        <w:t>其他项目费应按下列规定报价：</w:t>
      </w:r>
    </w:p>
    <w:p>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）暂列金额应按招标工程量清单中列出的金额填写；</w:t>
      </w:r>
    </w:p>
    <w:p>
      <w:pPr>
        <w:pStyle w:val="146"/>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）材料、工程设备暂估价应按招标工程量清单中列出的单价计入综合单价；</w:t>
      </w:r>
    </w:p>
    <w:p>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）专业工程暂估价应按招标工程量清单中列出的金额填写；</w:t>
      </w:r>
    </w:p>
    <w:p>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）计日工应按招标工程量清单中列出的项目和数量，根据工程特点和有关计价依据确定的综合单价计算；</w:t>
      </w:r>
    </w:p>
    <w:p>
      <w:pPr>
        <w:spacing w:line="360" w:lineRule="auto"/>
        <w:ind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）总承包服务费应根据招标工程量清单列出的内容</w:t>
      </w:r>
      <w:r>
        <w:rPr>
          <w:rFonts w:hint="eastAsia" w:hAnsi="宋体" w:cs="宋体"/>
          <w:color w:val="auto"/>
          <w:highlight w:val="none"/>
        </w:rPr>
        <w:t>和要求，按自治区住房城乡建设行政主管部门颁发的计价定额及有关规定计算</w:t>
      </w:r>
      <w:r>
        <w:rPr>
          <w:rFonts w:hint="eastAsia" w:cs="宋体"/>
          <w:color w:val="auto"/>
          <w:highlight w:val="none"/>
        </w:rPr>
        <w:t>。</w:t>
      </w:r>
    </w:p>
    <w:p>
      <w:pPr>
        <w:spacing w:line="360" w:lineRule="auto"/>
        <w:ind w:firstLine="420" w:firstLineChars="200"/>
        <w:rPr>
          <w:color w:val="auto"/>
          <w:highlight w:val="none"/>
        </w:rPr>
      </w:pPr>
      <w:r>
        <w:rPr>
          <w:color w:val="auto"/>
          <w:highlight w:val="none"/>
        </w:rPr>
        <w:t xml:space="preserve">2.5 </w:t>
      </w:r>
      <w:r>
        <w:rPr>
          <w:rFonts w:hint="eastAsia" w:cs="宋体"/>
          <w:color w:val="auto"/>
          <w:highlight w:val="none"/>
        </w:rPr>
        <w:t>规费和增值税应按规定确定，作为不可竞争费用。</w:t>
      </w:r>
    </w:p>
    <w:p>
      <w:pPr>
        <w:spacing w:line="360" w:lineRule="auto"/>
        <w:ind w:firstLine="420" w:firstLineChars="200"/>
        <w:rPr>
          <w:rFonts w:hAnsi="宋体"/>
          <w:color w:val="auto"/>
          <w:highlight w:val="none"/>
        </w:rPr>
      </w:pPr>
      <w:r>
        <w:rPr>
          <w:color w:val="auto"/>
          <w:highlight w:val="none"/>
        </w:rPr>
        <w:t xml:space="preserve">2.6 </w:t>
      </w:r>
      <w:r>
        <w:rPr>
          <w:rFonts w:hint="eastAsia"/>
          <w:color w:val="auto"/>
          <w:highlight w:val="none"/>
          <w:lang w:eastAsia="zh-CN"/>
        </w:rPr>
        <w:t>其他</w:t>
      </w:r>
      <w:r>
        <w:rPr>
          <w:rFonts w:hint="eastAsia" w:hAnsi="宋体" w:cs="宋体"/>
          <w:color w:val="auto"/>
          <w:highlight w:val="none"/>
        </w:rPr>
        <w:t>需要说明的问题：</w:t>
      </w:r>
      <w:r>
        <w:rPr>
          <w:color w:val="auto"/>
          <w:highlight w:val="none"/>
          <w:u w:val="single"/>
        </w:rPr>
        <w:t xml:space="preserve">  </w:t>
      </w:r>
      <w:r>
        <w:rPr>
          <w:rFonts w:hint="eastAsia"/>
          <w:color w:val="auto"/>
          <w:highlight w:val="none"/>
          <w:u w:val="single"/>
        </w:rPr>
        <w:t>无</w:t>
      </w:r>
      <w:r>
        <w:rPr>
          <w:color w:val="auto"/>
          <w:highlight w:val="none"/>
          <w:u w:val="single"/>
        </w:rPr>
        <w:t xml:space="preserve">  </w:t>
      </w:r>
      <w:r>
        <w:rPr>
          <w:rFonts w:hint="eastAsia" w:hAnsi="宋体" w:cs="宋体"/>
          <w:color w:val="auto"/>
          <w:highlight w:val="none"/>
        </w:rPr>
        <w:t>。</w:t>
      </w:r>
    </w:p>
    <w:p>
      <w:pPr>
        <w:pStyle w:val="4"/>
        <w:rPr>
          <w:color w:val="auto"/>
          <w:highlight w:val="none"/>
        </w:rPr>
      </w:pPr>
      <w:bookmarkStart w:id="1530" w:name="_Toc407135286"/>
      <w:bookmarkStart w:id="1531" w:name="_Toc66186489"/>
      <w:bookmarkStart w:id="1532" w:name="_Toc21739"/>
      <w:r>
        <w:rPr>
          <w:color w:val="auto"/>
          <w:highlight w:val="none"/>
        </w:rPr>
        <w:t xml:space="preserve">3 </w:t>
      </w:r>
      <w:r>
        <w:rPr>
          <w:rFonts w:hint="eastAsia" w:cs="黑体"/>
          <w:color w:val="auto"/>
          <w:highlight w:val="none"/>
        </w:rPr>
        <w:t>投标报价（已标价工程量清单）编制说明</w:t>
      </w:r>
      <w:bookmarkEnd w:id="1530"/>
      <w:bookmarkEnd w:id="1531"/>
      <w:bookmarkEnd w:id="1532"/>
    </w:p>
    <w:p>
      <w:pPr>
        <w:spacing w:line="360" w:lineRule="auto"/>
        <w:ind w:firstLine="420" w:firstLineChars="200"/>
        <w:rPr>
          <w:color w:val="auto"/>
          <w:highlight w:val="none"/>
        </w:rPr>
      </w:pPr>
      <w:r>
        <w:rPr>
          <w:color w:val="auto"/>
          <w:highlight w:val="none"/>
        </w:rPr>
        <w:t xml:space="preserve">3.1 </w:t>
      </w:r>
      <w:r>
        <w:rPr>
          <w:rFonts w:hint="eastAsia" w:cs="宋体"/>
          <w:color w:val="auto"/>
          <w:highlight w:val="none"/>
        </w:rPr>
        <w:t>投标人应依据招标文件、招标工程量清单以及《计价规范》、《计算规范》自主报价，自主报价</w:t>
      </w:r>
      <w:r>
        <w:rPr>
          <w:rFonts w:hint="eastAsia" w:hAnsi="宋体" w:cs="宋体"/>
          <w:color w:val="auto"/>
          <w:highlight w:val="none"/>
        </w:rPr>
        <w:t>不得违反计价规范强制性条文规定。</w:t>
      </w:r>
      <w:r>
        <w:rPr>
          <w:rFonts w:hint="eastAsia" w:cs="宋体"/>
          <w:color w:val="auto"/>
          <w:highlight w:val="none"/>
        </w:rPr>
        <w:t>投标人不得采用总价让利或以百分比让利等形式进行报价，任何优惠（或降价、让利）均应反映在相应清单项目的综合单价中。同时，不得出现任意一项单价重大让利，</w:t>
      </w:r>
      <w:r>
        <w:rPr>
          <w:rFonts w:hint="eastAsia" w:hAnsi="宋体" w:cs="宋体"/>
          <w:color w:val="auto"/>
          <w:highlight w:val="none"/>
        </w:rPr>
        <w:t>不得以自有机械闲置、自有材料等不计成本为由</w:t>
      </w:r>
      <w:r>
        <w:rPr>
          <w:rFonts w:hint="eastAsia" w:cs="宋体"/>
          <w:color w:val="auto"/>
          <w:highlight w:val="none"/>
        </w:rPr>
        <w:t>低于工程成本报价。</w:t>
      </w:r>
    </w:p>
    <w:p>
      <w:pPr>
        <w:spacing w:line="360" w:lineRule="auto"/>
        <w:ind w:firstLine="420" w:firstLineChars="200"/>
        <w:rPr>
          <w:rFonts w:hAnsi="宋体"/>
          <w:color w:val="auto"/>
          <w:highlight w:val="none"/>
        </w:rPr>
      </w:pPr>
      <w:r>
        <w:rPr>
          <w:color w:val="auto"/>
          <w:highlight w:val="none"/>
        </w:rPr>
        <w:t xml:space="preserve">3.2 </w:t>
      </w:r>
      <w:r>
        <w:rPr>
          <w:rFonts w:hint="eastAsia" w:cs="宋体"/>
          <w:color w:val="auto"/>
          <w:highlight w:val="none"/>
        </w:rPr>
        <w:t>投标人应按招标工程量清单填报价格。项目编码、项目名称、项目特征、计量单位、工程量必须与招标工程量清单一致，</w:t>
      </w:r>
      <w:r>
        <w:rPr>
          <w:rFonts w:hint="eastAsia" w:hAnsi="宋体" w:cs="宋体"/>
          <w:color w:val="auto"/>
          <w:highlight w:val="none"/>
        </w:rPr>
        <w:t>投标人不得对招标工程量清单项目进行增减调整。</w:t>
      </w:r>
    </w:p>
    <w:p>
      <w:pPr>
        <w:spacing w:line="360" w:lineRule="auto"/>
        <w:ind w:firstLine="420" w:firstLineChars="200"/>
        <w:rPr>
          <w:color w:val="auto"/>
          <w:highlight w:val="none"/>
        </w:rPr>
      </w:pPr>
      <w:r>
        <w:rPr>
          <w:color w:val="auto"/>
          <w:highlight w:val="none"/>
        </w:rPr>
        <w:t xml:space="preserve">3.3 </w:t>
      </w:r>
      <w:r>
        <w:rPr>
          <w:rFonts w:hint="eastAsia" w:cs="宋体"/>
          <w:color w:val="auto"/>
          <w:highlight w:val="none"/>
        </w:rPr>
        <w:t>综合单价中应包含招标文件中划分的应由投标人承担的风险范围及其费用。</w:t>
      </w:r>
    </w:p>
    <w:p>
      <w:pPr>
        <w:spacing w:line="360" w:lineRule="auto"/>
        <w:ind w:firstLine="420" w:firstLineChars="200"/>
        <w:rPr>
          <w:rFonts w:hAnsi="宋体"/>
          <w:color w:val="auto"/>
          <w:highlight w:val="none"/>
        </w:rPr>
      </w:pPr>
      <w:r>
        <w:rPr>
          <w:color w:val="auto"/>
          <w:highlight w:val="none"/>
        </w:rPr>
        <w:t xml:space="preserve">3.4 </w:t>
      </w:r>
      <w:r>
        <w:rPr>
          <w:rFonts w:hint="eastAsia" w:hAnsi="宋体" w:cs="宋体"/>
          <w:color w:val="auto"/>
          <w:highlight w:val="none"/>
        </w:rPr>
        <w:t>分部分项工程项目和单价措施项目，应根据招标文件和招标工程量清单项目中的特征描述确定综合单价计算。如出现招标工程量清单特征描述与设计图纸不符时，投标人应以招标工程量清单的项目特征描述为准，确定投标报价的综合单价。</w:t>
      </w:r>
    </w:p>
    <w:p>
      <w:pPr>
        <w:spacing w:line="360" w:lineRule="auto"/>
        <w:ind w:firstLine="420" w:firstLineChars="200"/>
        <w:rPr>
          <w:color w:val="auto"/>
          <w:highlight w:val="none"/>
        </w:rPr>
      </w:pPr>
      <w:r>
        <w:rPr>
          <w:color w:val="auto"/>
          <w:highlight w:val="none"/>
        </w:rPr>
        <w:t xml:space="preserve">3.5 </w:t>
      </w:r>
      <w:r>
        <w:rPr>
          <w:rFonts w:hint="eastAsia" w:hAnsi="宋体" w:cs="宋体"/>
          <w:color w:val="auto"/>
          <w:highlight w:val="none"/>
        </w:rPr>
        <w:t>总价措施项目的金额应根据招标文件及投标时拟定的施工组织设计或施工方案，按计价规范的规定自主确定。但</w:t>
      </w:r>
      <w:r>
        <w:rPr>
          <w:rFonts w:hint="eastAsia" w:cs="宋体"/>
          <w:color w:val="auto"/>
          <w:highlight w:val="none"/>
        </w:rPr>
        <w:t>安全文明施工费按国家、省级或行业建设主管部门的有关规定执行，作为不竞争费用单列。</w:t>
      </w:r>
    </w:p>
    <w:p>
      <w:pPr>
        <w:spacing w:line="360" w:lineRule="auto"/>
        <w:ind w:firstLine="420" w:firstLineChars="200"/>
        <w:rPr>
          <w:color w:val="auto"/>
          <w:highlight w:val="none"/>
        </w:rPr>
      </w:pPr>
      <w:r>
        <w:rPr>
          <w:color w:val="auto"/>
          <w:highlight w:val="none"/>
        </w:rPr>
        <w:t xml:space="preserve">3.6 </w:t>
      </w:r>
      <w:r>
        <w:rPr>
          <w:rFonts w:hint="eastAsia" w:cs="宋体"/>
          <w:color w:val="auto"/>
          <w:highlight w:val="none"/>
        </w:rPr>
        <w:t>其他项目费应按下列规定报价：</w:t>
      </w:r>
    </w:p>
    <w:p>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）暂列金额应按招标工程量清单中列出的金额填写；</w:t>
      </w:r>
    </w:p>
    <w:p>
      <w:pPr>
        <w:pStyle w:val="146"/>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）材料、工程设备暂估价应按招标工程量清单中列出的单价计入综合单价；</w:t>
      </w:r>
    </w:p>
    <w:p>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）专业工程暂估价应按招标工程量清单中列出的金额填写；</w:t>
      </w:r>
    </w:p>
    <w:p>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）计日工应按招标工程量清单中列出的项目和估算数量，自主确定综合单价并计算计日工总额；计日工单价均不含规费和税金；</w:t>
      </w:r>
    </w:p>
    <w:p>
      <w:pPr>
        <w:spacing w:line="360" w:lineRule="auto"/>
        <w:ind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）总承包服务费应根据招标工程量清单中列出的内容</w:t>
      </w:r>
      <w:r>
        <w:rPr>
          <w:rFonts w:hint="eastAsia" w:hAnsi="宋体" w:cs="宋体"/>
          <w:color w:val="auto"/>
          <w:highlight w:val="none"/>
        </w:rPr>
        <w:t>和供应材料、设备情况，按照招标人提出的协调、配合与服务要求和施工现场管理需要</w:t>
      </w:r>
      <w:r>
        <w:rPr>
          <w:rFonts w:hint="eastAsia" w:cs="宋体"/>
          <w:color w:val="auto"/>
          <w:highlight w:val="none"/>
        </w:rPr>
        <w:t>自主确定。</w:t>
      </w:r>
    </w:p>
    <w:p>
      <w:pPr>
        <w:spacing w:line="360" w:lineRule="auto"/>
        <w:ind w:firstLine="420" w:firstLineChars="200"/>
        <w:rPr>
          <w:color w:val="auto"/>
          <w:highlight w:val="none"/>
        </w:rPr>
      </w:pPr>
      <w:r>
        <w:rPr>
          <w:color w:val="auto"/>
          <w:highlight w:val="none"/>
        </w:rPr>
        <w:t xml:space="preserve">3.7 </w:t>
      </w:r>
      <w:r>
        <w:rPr>
          <w:rFonts w:hint="eastAsia" w:cs="宋体"/>
          <w:color w:val="auto"/>
          <w:highlight w:val="none"/>
        </w:rPr>
        <w:t>规费和增值税应按规定确定，作为不可竞争费用。</w:t>
      </w:r>
    </w:p>
    <w:p>
      <w:pPr>
        <w:spacing w:line="360" w:lineRule="auto"/>
        <w:ind w:firstLine="420" w:firstLineChars="200"/>
        <w:rPr>
          <w:color w:val="auto"/>
          <w:highlight w:val="none"/>
        </w:rPr>
      </w:pPr>
      <w:r>
        <w:rPr>
          <w:color w:val="auto"/>
          <w:highlight w:val="none"/>
        </w:rPr>
        <w:t xml:space="preserve">3.8 </w:t>
      </w:r>
      <w:r>
        <w:rPr>
          <w:rFonts w:hint="eastAsia" w:cs="宋体"/>
          <w:color w:val="auto"/>
          <w:highlight w:val="none"/>
        </w:rPr>
        <w:t>招标工程量清单与计价表中列明的所有需要填写的单价和合价的项目，投标人均应填写且只允许有一个报价。未填写单价和合价的项目，视为此项费用已包含在已标价工程量清单中其他项目的单价和合价之中。竣工结算时，此项目不得重新组价予以调整。</w:t>
      </w:r>
    </w:p>
    <w:p>
      <w:pPr>
        <w:spacing w:line="360" w:lineRule="auto"/>
        <w:ind w:firstLine="420" w:firstLineChars="200"/>
        <w:rPr>
          <w:color w:val="auto"/>
          <w:highlight w:val="none"/>
        </w:rPr>
      </w:pPr>
      <w:r>
        <w:rPr>
          <w:color w:val="auto"/>
          <w:highlight w:val="none"/>
        </w:rPr>
        <w:t xml:space="preserve">3.9 </w:t>
      </w:r>
      <w:r>
        <w:rPr>
          <w:rFonts w:hint="eastAsia" w:cs="宋体"/>
          <w:color w:val="auto"/>
          <w:highlight w:val="none"/>
        </w:rPr>
        <w:t>投标总价应当与分部分项工程费、措施项目费、其他项目费和规费、增值税的合计金额一致。</w:t>
      </w:r>
    </w:p>
    <w:p>
      <w:pPr>
        <w:spacing w:line="360" w:lineRule="auto"/>
        <w:ind w:firstLine="420" w:firstLineChars="200"/>
        <w:rPr>
          <w:color w:val="auto"/>
          <w:highlight w:val="none"/>
        </w:rPr>
      </w:pPr>
      <w:r>
        <w:rPr>
          <w:color w:val="auto"/>
          <w:highlight w:val="none"/>
        </w:rPr>
        <w:t>3.1</w:t>
      </w:r>
      <w:r>
        <w:rPr>
          <w:rFonts w:hint="eastAsia"/>
          <w:color w:val="auto"/>
          <w:highlight w:val="none"/>
        </w:rPr>
        <w:t>0</w:t>
      </w:r>
      <w:r>
        <w:rPr>
          <w:color w:val="auto"/>
          <w:highlight w:val="none"/>
        </w:rPr>
        <w:t xml:space="preserve"> </w:t>
      </w:r>
      <w:r>
        <w:rPr>
          <w:rFonts w:hint="eastAsia" w:cs="宋体"/>
          <w:color w:val="auto"/>
          <w:highlight w:val="none"/>
        </w:rPr>
        <w:t>投标人应按《承包人提供的主要材料和设备一览表》的内容填报，不得擅自调整材料和设备名称型号规格、单位、风险系数、基准单价。</w:t>
      </w:r>
    </w:p>
    <w:p>
      <w:pPr>
        <w:spacing w:line="360" w:lineRule="auto"/>
        <w:ind w:firstLine="420" w:firstLineChars="200"/>
        <w:rPr>
          <w:rFonts w:hAnsi="宋体"/>
          <w:color w:val="auto"/>
          <w:highlight w:val="none"/>
        </w:rPr>
      </w:pPr>
      <w:r>
        <w:rPr>
          <w:color w:val="auto"/>
          <w:highlight w:val="none"/>
        </w:rPr>
        <w:t>3.1</w:t>
      </w:r>
      <w:r>
        <w:rPr>
          <w:rFonts w:hint="eastAsia"/>
          <w:color w:val="auto"/>
          <w:highlight w:val="none"/>
        </w:rPr>
        <w:t>1</w:t>
      </w:r>
      <w:r>
        <w:rPr>
          <w:rFonts w:hint="eastAsia" w:hAnsi="宋体" w:cs="宋体"/>
          <w:color w:val="auto"/>
          <w:highlight w:val="none"/>
        </w:rPr>
        <w:t>投标报价</w:t>
      </w:r>
      <w:r>
        <w:rPr>
          <w:rFonts w:hint="eastAsia" w:cs="宋体"/>
          <w:color w:val="auto"/>
          <w:highlight w:val="none"/>
        </w:rPr>
        <w:t>表格按本工程工程量清单表格要求填写，并</w:t>
      </w:r>
      <w:r>
        <w:rPr>
          <w:rFonts w:hint="eastAsia" w:hAnsi="宋体" w:cs="宋体"/>
          <w:color w:val="auto"/>
          <w:highlight w:val="none"/>
        </w:rPr>
        <w:t>应按招标文件的要求，附上《工程量清单综合单价分析表》（表</w:t>
      </w:r>
      <w:r>
        <w:rPr>
          <w:color w:val="auto"/>
          <w:highlight w:val="none"/>
        </w:rPr>
        <w:t>-09</w:t>
      </w:r>
      <w:r>
        <w:rPr>
          <w:rFonts w:hint="eastAsia" w:hAnsi="宋体" w:cs="宋体"/>
          <w:color w:val="auto"/>
          <w:highlight w:val="none"/>
        </w:rPr>
        <w:t>）和《主要清单项目工料机分析表》（表</w:t>
      </w:r>
      <w:r>
        <w:rPr>
          <w:color w:val="auto"/>
          <w:highlight w:val="none"/>
        </w:rPr>
        <w:t>-10</w:t>
      </w:r>
      <w:r>
        <w:rPr>
          <w:rFonts w:hint="eastAsia" w:hAnsi="宋体" w:cs="宋体"/>
          <w:color w:val="auto"/>
          <w:highlight w:val="none"/>
        </w:rPr>
        <w:t>）。</w:t>
      </w:r>
    </w:p>
    <w:p>
      <w:pPr>
        <w:spacing w:line="360" w:lineRule="auto"/>
        <w:ind w:firstLine="420" w:firstLineChars="200"/>
        <w:rPr>
          <w:color w:val="auto"/>
          <w:highlight w:val="none"/>
          <w:u w:val="single"/>
        </w:rPr>
      </w:pPr>
      <w:r>
        <w:rPr>
          <w:rFonts w:hint="eastAsia" w:cs="宋体"/>
          <w:color w:val="auto"/>
          <w:highlight w:val="none"/>
        </w:rPr>
        <w:t>未尽事宜详见本工程招标工程量清单、招标控制价编制说明以及现行《计价规范》等有关规定执行。</w:t>
      </w:r>
    </w:p>
    <w:bookmarkEnd w:id="1520"/>
    <w:p>
      <w:pPr>
        <w:spacing w:line="360" w:lineRule="auto"/>
        <w:ind w:firstLine="420" w:firstLineChars="200"/>
        <w:rPr>
          <w:color w:val="auto"/>
          <w:highlight w:val="none"/>
        </w:rPr>
      </w:pPr>
      <w:r>
        <w:rPr>
          <w:color w:val="auto"/>
          <w:highlight w:val="none"/>
        </w:rPr>
        <w:br w:type="page"/>
      </w:r>
    </w:p>
    <w:p>
      <w:pPr>
        <w:rPr>
          <w:color w:val="auto"/>
          <w:highlight w:val="none"/>
        </w:rPr>
      </w:pPr>
    </w:p>
    <w:p>
      <w:pPr>
        <w:pStyle w:val="3"/>
        <w:jc w:val="center"/>
        <w:rPr>
          <w:color w:val="auto"/>
          <w:highlight w:val="none"/>
        </w:rPr>
      </w:pPr>
      <w:bookmarkStart w:id="1533" w:name="_Toc21192"/>
      <w:bookmarkStart w:id="1534" w:name="_Toc389065346"/>
      <w:bookmarkStart w:id="1535" w:name="_Toc358569765"/>
      <w:bookmarkStart w:id="1536" w:name="_Toc407135287"/>
      <w:bookmarkStart w:id="1537" w:name="_Toc66186490"/>
      <w:r>
        <w:rPr>
          <w:rFonts w:hint="eastAsia" w:cs="黑体"/>
          <w:color w:val="auto"/>
          <w:highlight w:val="none"/>
        </w:rPr>
        <w:t>第六章</w:t>
      </w:r>
      <w:r>
        <w:rPr>
          <w:color w:val="auto"/>
          <w:highlight w:val="none"/>
        </w:rPr>
        <w:t xml:space="preserve"> </w:t>
      </w:r>
      <w:r>
        <w:rPr>
          <w:rFonts w:hint="eastAsia" w:cs="黑体"/>
          <w:color w:val="auto"/>
          <w:highlight w:val="none"/>
        </w:rPr>
        <w:t>图</w:t>
      </w:r>
      <w:r>
        <w:rPr>
          <w:color w:val="auto"/>
          <w:highlight w:val="none"/>
        </w:rPr>
        <w:t xml:space="preserve">  </w:t>
      </w:r>
      <w:r>
        <w:rPr>
          <w:rFonts w:hint="eastAsia" w:cs="黑体"/>
          <w:color w:val="auto"/>
          <w:highlight w:val="none"/>
        </w:rPr>
        <w:t>纸</w:t>
      </w:r>
      <w:bookmarkEnd w:id="1533"/>
      <w:bookmarkEnd w:id="1534"/>
      <w:bookmarkEnd w:id="1535"/>
      <w:bookmarkEnd w:id="1536"/>
      <w:bookmarkEnd w:id="1537"/>
    </w:p>
    <w:p>
      <w:pPr>
        <w:jc w:val="center"/>
        <w:rPr>
          <w:b/>
          <w:color w:val="auto"/>
          <w:sz w:val="32"/>
          <w:szCs w:val="32"/>
          <w:highlight w:val="none"/>
        </w:rPr>
      </w:pPr>
      <w:r>
        <w:rPr>
          <w:rFonts w:hint="eastAsia" w:cs="宋体"/>
          <w:b/>
          <w:color w:val="auto"/>
          <w:sz w:val="32"/>
          <w:szCs w:val="32"/>
          <w:highlight w:val="none"/>
        </w:rPr>
        <w:t>（另册发放）</w:t>
      </w:r>
    </w:p>
    <w:p>
      <w:pPr>
        <w:pStyle w:val="3"/>
        <w:jc w:val="center"/>
        <w:rPr>
          <w:color w:val="auto"/>
          <w:highlight w:val="none"/>
        </w:rPr>
      </w:pPr>
      <w:r>
        <w:rPr>
          <w:color w:val="auto"/>
          <w:highlight w:val="none"/>
        </w:rPr>
        <w:br w:type="page"/>
      </w:r>
      <w:bookmarkStart w:id="1538" w:name="_Toc6872"/>
      <w:bookmarkStart w:id="1539" w:name="_Toc66186491"/>
      <w:r>
        <w:rPr>
          <w:rFonts w:hint="eastAsia" w:cs="黑体"/>
          <w:color w:val="auto"/>
          <w:highlight w:val="none"/>
        </w:rPr>
        <w:t>第七章</w:t>
      </w:r>
      <w:r>
        <w:rPr>
          <w:color w:val="auto"/>
          <w:highlight w:val="none"/>
        </w:rPr>
        <w:t xml:space="preserve"> </w:t>
      </w:r>
      <w:r>
        <w:rPr>
          <w:rFonts w:hint="eastAsia"/>
          <w:color w:val="auto"/>
          <w:highlight w:val="none"/>
        </w:rPr>
        <w:t>危险性较大的分部分项工程清单</w:t>
      </w:r>
      <w:bookmarkEnd w:id="1538"/>
    </w:p>
    <w:p>
      <w:pPr>
        <w:pStyle w:val="3"/>
        <w:jc w:val="center"/>
        <w:rPr>
          <w:color w:val="auto"/>
          <w:highlight w:val="none"/>
        </w:rPr>
      </w:pPr>
      <w:bookmarkStart w:id="1540" w:name="_Toc17632"/>
      <w:r>
        <w:rPr>
          <w:rFonts w:hint="eastAsia"/>
          <w:color w:val="auto"/>
          <w:highlight w:val="none"/>
        </w:rPr>
        <w:t>（如有）</w:t>
      </w:r>
      <w:bookmarkEnd w:id="1539"/>
      <w:bookmarkEnd w:id="1540"/>
    </w:p>
    <w:p>
      <w:pPr>
        <w:jc w:val="center"/>
        <w:rPr>
          <w:color w:val="auto"/>
          <w:highlight w:val="none"/>
        </w:rPr>
      </w:pPr>
    </w:p>
    <w:p>
      <w:pPr>
        <w:jc w:val="center"/>
        <w:rPr>
          <w:color w:val="auto"/>
          <w:highlight w:val="none"/>
        </w:rPr>
      </w:pPr>
    </w:p>
    <w:p>
      <w:pPr>
        <w:spacing w:line="360" w:lineRule="auto"/>
        <w:ind w:firstLine="420" w:firstLineChars="200"/>
        <w:rPr>
          <w:rFonts w:hAnsi="宋体" w:cs="宋体"/>
          <w:color w:val="auto"/>
          <w:highlight w:val="none"/>
        </w:rPr>
      </w:pPr>
      <w:r>
        <w:rPr>
          <w:rFonts w:hint="eastAsia" w:hAnsi="宋体" w:cs="宋体"/>
          <w:color w:val="auto"/>
          <w:highlight w:val="none"/>
        </w:rPr>
        <w:t>无。</w:t>
      </w:r>
    </w:p>
    <w:p>
      <w:pPr>
        <w:spacing w:line="360" w:lineRule="auto"/>
        <w:ind w:firstLine="420" w:firstLineChars="200"/>
        <w:rPr>
          <w:rFonts w:hAnsi="宋体" w:cs="宋体"/>
          <w:color w:val="auto"/>
          <w:highlight w:val="none"/>
        </w:rPr>
      </w:pPr>
      <w:r>
        <w:rPr>
          <w:rFonts w:hint="eastAsia" w:hAnsi="宋体" w:cs="宋体"/>
          <w:color w:val="auto"/>
          <w:highlight w:val="none"/>
        </w:rPr>
        <w:t>本章由招标人根据国家行业和地方现行标准、规范和规程等，以及项目具体情况摘录。</w:t>
      </w:r>
    </w:p>
    <w:p>
      <w:pPr>
        <w:spacing w:line="360" w:lineRule="auto"/>
        <w:ind w:firstLine="420" w:firstLineChars="200"/>
        <w:rPr>
          <w:rFonts w:hAnsi="宋体" w:cs="宋体"/>
          <w:color w:val="auto"/>
          <w:highlight w:val="none"/>
        </w:rPr>
      </w:pPr>
      <w:r>
        <w:rPr>
          <w:rFonts w:hint="eastAsia" w:ascii="宋体" w:hAnsi="宋体" w:cs="宋体"/>
          <w:color w:val="auto"/>
          <w:highlight w:val="none"/>
        </w:rPr>
        <w:t>《危险性较大的分部分项工程安全管理规定》（建设部令第37号）</w:t>
      </w:r>
      <w:r>
        <w:rPr>
          <w:rFonts w:hint="eastAsia" w:ascii="宋体" w:hAnsi="宋体" w:cs="宋体"/>
          <w:color w:val="auto"/>
          <w:szCs w:val="22"/>
          <w:highlight w:val="none"/>
        </w:rPr>
        <w:t>2019年修订版</w:t>
      </w:r>
      <w:r>
        <w:rPr>
          <w:rFonts w:hint="eastAsia" w:ascii="宋体" w:hAnsi="宋体" w:cs="宋体"/>
          <w:color w:val="auto"/>
          <w:highlight w:val="none"/>
        </w:rPr>
        <w:t>以及《住房城乡建设部办公厅关于实施&lt;危险性较大的分部分项工程安全管理规定&gt;有关问题的通知》（建办质〔</w:t>
      </w:r>
      <w:r>
        <w:rPr>
          <w:rFonts w:ascii="宋体" w:hAnsi="宋体" w:cs="宋体"/>
          <w:color w:val="auto"/>
          <w:highlight w:val="none"/>
        </w:rPr>
        <w:t>2018〕31号</w:t>
      </w:r>
      <w:r>
        <w:rPr>
          <w:rFonts w:hint="eastAsia" w:ascii="宋体" w:hAnsi="宋体" w:cs="宋体"/>
          <w:color w:val="auto"/>
          <w:highlight w:val="none"/>
        </w:rPr>
        <w:t>）。</w:t>
      </w:r>
    </w:p>
    <w:p>
      <w:pPr>
        <w:rPr>
          <w:color w:val="auto"/>
          <w:highlight w:val="none"/>
        </w:rPr>
      </w:pPr>
      <w:r>
        <w:rPr>
          <w:color w:val="auto"/>
          <w:highlight w:val="none"/>
        </w:rPr>
        <w:br w:type="page"/>
      </w:r>
      <w:bookmarkStart w:id="1541" w:name="_Toc407135288"/>
      <w:bookmarkStart w:id="1542" w:name="_Toc358569767"/>
      <w:bookmarkStart w:id="1543" w:name="_Toc389065348"/>
      <w:r>
        <w:rPr>
          <w:color w:val="auto"/>
          <w:highlight w:val="none"/>
        </w:rPr>
        <w:t xml:space="preserve"> </w:t>
      </w:r>
    </w:p>
    <w:p>
      <w:pPr>
        <w:pStyle w:val="3"/>
        <w:jc w:val="center"/>
        <w:rPr>
          <w:rFonts w:cs="黑体"/>
          <w:color w:val="auto"/>
          <w:highlight w:val="none"/>
        </w:rPr>
      </w:pPr>
      <w:bookmarkStart w:id="1544" w:name="_Toc66186492"/>
      <w:bookmarkStart w:id="1545" w:name="_Toc10897"/>
      <w:r>
        <w:rPr>
          <w:rFonts w:hint="eastAsia" w:cs="黑体"/>
          <w:color w:val="auto"/>
          <w:highlight w:val="none"/>
        </w:rPr>
        <w:t>第八章</w:t>
      </w:r>
      <w:r>
        <w:rPr>
          <w:rFonts w:cs="黑体"/>
          <w:color w:val="auto"/>
          <w:highlight w:val="none"/>
        </w:rPr>
        <w:t xml:space="preserve"> </w:t>
      </w:r>
      <w:r>
        <w:rPr>
          <w:rFonts w:hint="eastAsia" w:cs="黑体"/>
          <w:color w:val="auto"/>
          <w:highlight w:val="none"/>
        </w:rPr>
        <w:t>技术标准和要求</w:t>
      </w:r>
      <w:bookmarkEnd w:id="1541"/>
      <w:bookmarkEnd w:id="1542"/>
      <w:bookmarkEnd w:id="1543"/>
      <w:bookmarkEnd w:id="1544"/>
      <w:bookmarkEnd w:id="1545"/>
    </w:p>
    <w:p>
      <w:pPr>
        <w:jc w:val="center"/>
        <w:rPr>
          <w:color w:val="auto"/>
          <w:highlight w:val="none"/>
        </w:rPr>
      </w:pPr>
      <w:bookmarkStart w:id="1546" w:name="_Toc349555826"/>
      <w:bookmarkStart w:id="1547" w:name="_Toc349557651"/>
    </w:p>
    <w:p>
      <w:pPr>
        <w:adjustRightInd w:val="0"/>
        <w:snapToGrid w:val="0"/>
        <w:spacing w:line="360" w:lineRule="exact"/>
        <w:jc w:val="left"/>
        <w:rPr>
          <w:rFonts w:cs="宋体"/>
          <w:color w:val="auto"/>
          <w:highlight w:val="none"/>
        </w:rPr>
      </w:pPr>
      <w:r>
        <w:rPr>
          <w:rFonts w:hint="eastAsia" w:cs="宋体"/>
          <w:color w:val="auto"/>
          <w:highlight w:val="none"/>
        </w:rPr>
        <w:t>一、项目要求</w:t>
      </w:r>
    </w:p>
    <w:bookmarkEnd w:id="1546"/>
    <w:bookmarkEnd w:id="1547"/>
    <w:p>
      <w:pPr>
        <w:numPr>
          <w:ilvl w:val="0"/>
          <w:numId w:val="6"/>
        </w:numPr>
        <w:adjustRightInd w:val="0"/>
        <w:snapToGrid w:val="0"/>
        <w:spacing w:line="360" w:lineRule="exact"/>
        <w:jc w:val="left"/>
        <w:rPr>
          <w:rFonts w:cs="宋体"/>
          <w:color w:val="auto"/>
          <w:highlight w:val="none"/>
        </w:rPr>
      </w:pPr>
      <w:r>
        <w:rPr>
          <w:rFonts w:hint="eastAsia" w:cs="宋体"/>
          <w:color w:val="auto"/>
          <w:highlight w:val="none"/>
        </w:rPr>
        <w:t xml:space="preserve">承包人承诺按照法律规定及合同约定组织完成工程施工，确保工程质量和安全，承包人按照《中华人民共和国建筑法》、《中华人民共和国消防法》、《中华人民共和国安全生产法》、《中华人民共和国民法典》及发包人单位相关安全管理规定，保证在设备 安装工程施工现场的安全生产、文明施工活动。执行国家、地方、行业主管部门有关标准、规范、规程，设置安全标志、采取安全保障措施、因承包人施工及施工管理原因造成发包人单位通信设备、设施损坏、通信阻断、人员伤亡等，一切责任、后果和损失由承包人全部承担。不进行转包及违法分包，并在缺陷责任期及保修期内承担相应的工程维修责任。 </w:t>
      </w:r>
    </w:p>
    <w:p>
      <w:pPr>
        <w:numPr>
          <w:ilvl w:val="0"/>
          <w:numId w:val="6"/>
        </w:numPr>
        <w:adjustRightInd w:val="0"/>
        <w:snapToGrid w:val="0"/>
        <w:spacing w:line="360" w:lineRule="exact"/>
        <w:jc w:val="left"/>
        <w:rPr>
          <w:rFonts w:cs="宋体"/>
          <w:color w:val="auto"/>
          <w:highlight w:val="none"/>
        </w:rPr>
      </w:pPr>
      <w:r>
        <w:rPr>
          <w:rFonts w:hint="eastAsia" w:cs="宋体"/>
          <w:color w:val="auto"/>
          <w:highlight w:val="none"/>
        </w:rPr>
        <w:t xml:space="preserve">发包人和承包人通过招投标形式签订合同的，双方理解并承诺不再就同一工程另行签订与合同实质性内容相背离的协议。 </w:t>
      </w:r>
    </w:p>
    <w:p>
      <w:pPr>
        <w:numPr>
          <w:ilvl w:val="0"/>
          <w:numId w:val="6"/>
        </w:numPr>
        <w:adjustRightInd w:val="0"/>
        <w:snapToGrid w:val="0"/>
        <w:spacing w:line="360" w:lineRule="exact"/>
        <w:jc w:val="left"/>
        <w:rPr>
          <w:rFonts w:cs="宋体"/>
          <w:color w:val="auto"/>
          <w:highlight w:val="none"/>
        </w:rPr>
      </w:pPr>
      <w:r>
        <w:rPr>
          <w:rFonts w:hint="eastAsia" w:cs="宋体"/>
          <w:color w:val="auto"/>
          <w:highlight w:val="none"/>
        </w:rPr>
        <w:t>工期延误：</w:t>
      </w:r>
    </w:p>
    <w:p>
      <w:pPr>
        <w:adjustRightInd w:val="0"/>
        <w:snapToGrid w:val="0"/>
        <w:spacing w:line="360" w:lineRule="exact"/>
        <w:ind w:firstLine="420" w:firstLineChars="200"/>
        <w:jc w:val="left"/>
        <w:rPr>
          <w:rFonts w:cs="宋体"/>
          <w:color w:val="auto"/>
          <w:highlight w:val="none"/>
        </w:rPr>
      </w:pPr>
      <w:r>
        <w:rPr>
          <w:rFonts w:hint="eastAsia" w:cs="宋体"/>
          <w:color w:val="auto"/>
          <w:highlight w:val="none"/>
        </w:rPr>
        <w:t xml:space="preserve">因承包人原因造成工期延误，逾期竣工违约金额计算方法为：承包人应向发包人支付误期赔偿费（每天赔偿金额为合同价款的万分之四），误期时间从规定竣工日期起直到全部工程或相应部分工程竣工验收各方签章日期之间的天数（扣除发包人批准顺延的工期）。发包人可从应向承包人支付的任何金额中扣除此项赔款费或其他方式收回此款，此赔偿款的支付并不能解除承包人应完成的责任或合同规定的其他责任。 </w:t>
      </w:r>
    </w:p>
    <w:p>
      <w:pPr>
        <w:numPr>
          <w:ilvl w:val="0"/>
          <w:numId w:val="6"/>
        </w:numPr>
        <w:adjustRightInd w:val="0"/>
        <w:snapToGrid w:val="0"/>
        <w:spacing w:line="360" w:lineRule="exact"/>
        <w:jc w:val="left"/>
        <w:rPr>
          <w:rFonts w:cs="宋体"/>
          <w:color w:val="auto"/>
          <w:highlight w:val="none"/>
        </w:rPr>
      </w:pPr>
      <w:r>
        <w:rPr>
          <w:rFonts w:hint="eastAsia" w:cs="宋体"/>
          <w:color w:val="auto"/>
          <w:highlight w:val="none"/>
        </w:rPr>
        <w:t xml:space="preserve">质量保修 </w:t>
      </w:r>
    </w:p>
    <w:p>
      <w:pPr>
        <w:adjustRightInd w:val="0"/>
        <w:snapToGrid w:val="0"/>
        <w:spacing w:line="360" w:lineRule="exact"/>
        <w:jc w:val="left"/>
        <w:rPr>
          <w:rFonts w:cs="宋体"/>
          <w:color w:val="auto"/>
          <w:highlight w:val="none"/>
        </w:rPr>
      </w:pPr>
      <w:r>
        <w:rPr>
          <w:rFonts w:hint="eastAsia" w:cs="宋体"/>
          <w:color w:val="auto"/>
          <w:highlight w:val="none"/>
        </w:rPr>
        <w:t xml:space="preserve">（1）工程质量保修范围和内容 </w:t>
      </w:r>
    </w:p>
    <w:p>
      <w:pPr>
        <w:adjustRightInd w:val="0"/>
        <w:snapToGrid w:val="0"/>
        <w:spacing w:line="360" w:lineRule="exact"/>
        <w:ind w:firstLine="420" w:firstLineChars="200"/>
        <w:jc w:val="left"/>
        <w:rPr>
          <w:rFonts w:cs="宋体"/>
          <w:color w:val="auto"/>
          <w:highlight w:val="none"/>
        </w:rPr>
      </w:pPr>
      <w:r>
        <w:rPr>
          <w:rFonts w:hint="eastAsia" w:cs="宋体"/>
          <w:color w:val="auto"/>
          <w:highlight w:val="none"/>
        </w:rPr>
        <w:t xml:space="preserve">承包人在质量保修期内，按照有关法律规定和合同约定，承担工程质量保修责任。 </w:t>
      </w:r>
    </w:p>
    <w:p>
      <w:pPr>
        <w:adjustRightInd w:val="0"/>
        <w:snapToGrid w:val="0"/>
        <w:spacing w:line="360" w:lineRule="exact"/>
        <w:ind w:firstLine="420" w:firstLineChars="200"/>
        <w:jc w:val="left"/>
        <w:rPr>
          <w:rFonts w:cs="宋体"/>
          <w:color w:val="auto"/>
          <w:highlight w:val="none"/>
        </w:rPr>
      </w:pPr>
      <w:r>
        <w:rPr>
          <w:rFonts w:hint="eastAsia" w:cs="宋体"/>
          <w:color w:val="auto"/>
          <w:highlight w:val="none"/>
        </w:rPr>
        <w:t xml:space="preserve">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无。 </w:t>
      </w:r>
    </w:p>
    <w:p>
      <w:pPr>
        <w:adjustRightInd w:val="0"/>
        <w:snapToGrid w:val="0"/>
        <w:spacing w:line="360" w:lineRule="exact"/>
        <w:jc w:val="left"/>
        <w:rPr>
          <w:rFonts w:cs="宋体"/>
          <w:color w:val="auto"/>
          <w:highlight w:val="none"/>
        </w:rPr>
      </w:pPr>
      <w:r>
        <w:rPr>
          <w:rFonts w:hint="eastAsia" w:cs="宋体"/>
          <w:color w:val="auto"/>
          <w:highlight w:val="none"/>
        </w:rPr>
        <w:t xml:space="preserve">（2）质量保修期：根据《建设工程质量管理条例》及有关规定，工程的质量保修期如下： </w:t>
      </w:r>
    </w:p>
    <w:p>
      <w:pPr>
        <w:adjustRightInd w:val="0"/>
        <w:snapToGrid w:val="0"/>
        <w:spacing w:line="360" w:lineRule="exact"/>
        <w:jc w:val="left"/>
        <w:rPr>
          <w:rFonts w:cs="宋体"/>
          <w:color w:val="auto"/>
          <w:highlight w:val="none"/>
        </w:rPr>
      </w:pPr>
      <w:r>
        <w:rPr>
          <w:rFonts w:hint="eastAsia" w:cs="宋体"/>
          <w:color w:val="auto"/>
          <w:highlight w:val="none"/>
        </w:rPr>
        <w:t xml:space="preserve">①地基基础工程和主体结构工程为设计文件规定的工程合理使用年限； </w:t>
      </w:r>
    </w:p>
    <w:p>
      <w:pPr>
        <w:adjustRightInd w:val="0"/>
        <w:snapToGrid w:val="0"/>
        <w:spacing w:line="360" w:lineRule="exact"/>
        <w:jc w:val="left"/>
        <w:rPr>
          <w:rFonts w:cs="宋体"/>
          <w:color w:val="auto"/>
          <w:highlight w:val="none"/>
        </w:rPr>
      </w:pPr>
      <w:r>
        <w:rPr>
          <w:rFonts w:hint="eastAsia" w:cs="宋体"/>
          <w:color w:val="auto"/>
          <w:highlight w:val="none"/>
        </w:rPr>
        <w:t xml:space="preserve">②屋面防水工程、有防水要求的卫生间、房间和外墙面的防渗为5 年； </w:t>
      </w:r>
    </w:p>
    <w:p>
      <w:pPr>
        <w:adjustRightInd w:val="0"/>
        <w:snapToGrid w:val="0"/>
        <w:spacing w:line="360" w:lineRule="exact"/>
        <w:jc w:val="left"/>
        <w:rPr>
          <w:rFonts w:cs="宋体"/>
          <w:color w:val="auto"/>
          <w:highlight w:val="none"/>
        </w:rPr>
      </w:pPr>
      <w:r>
        <w:rPr>
          <w:rFonts w:hint="eastAsia" w:cs="宋体"/>
          <w:color w:val="auto"/>
          <w:highlight w:val="none"/>
        </w:rPr>
        <w:t xml:space="preserve">③装修工程为2年； </w:t>
      </w:r>
    </w:p>
    <w:p>
      <w:pPr>
        <w:adjustRightInd w:val="0"/>
        <w:snapToGrid w:val="0"/>
        <w:spacing w:line="360" w:lineRule="exact"/>
        <w:jc w:val="left"/>
        <w:rPr>
          <w:rFonts w:cs="宋体"/>
          <w:color w:val="auto"/>
          <w:highlight w:val="none"/>
        </w:rPr>
      </w:pPr>
      <w:r>
        <w:rPr>
          <w:rFonts w:hint="eastAsia" w:cs="宋体"/>
          <w:color w:val="auto"/>
          <w:highlight w:val="none"/>
        </w:rPr>
        <w:t xml:space="preserve">④电气管线、给排水管道、设备安装工程为2年； </w:t>
      </w:r>
    </w:p>
    <w:p>
      <w:pPr>
        <w:adjustRightInd w:val="0"/>
        <w:snapToGrid w:val="0"/>
        <w:spacing w:line="360" w:lineRule="exact"/>
        <w:jc w:val="left"/>
        <w:rPr>
          <w:rFonts w:cs="宋体"/>
          <w:color w:val="auto"/>
          <w:highlight w:val="none"/>
        </w:rPr>
      </w:pPr>
      <w:r>
        <w:rPr>
          <w:rFonts w:hint="eastAsia" w:cs="宋体"/>
          <w:color w:val="auto"/>
          <w:highlight w:val="none"/>
        </w:rPr>
        <w:t xml:space="preserve">⑤供热与供冷系统为2个采暖期、供冷期； </w:t>
      </w:r>
    </w:p>
    <w:p>
      <w:pPr>
        <w:adjustRightInd w:val="0"/>
        <w:snapToGrid w:val="0"/>
        <w:spacing w:line="360" w:lineRule="exact"/>
        <w:jc w:val="left"/>
        <w:rPr>
          <w:rFonts w:cs="宋体"/>
          <w:color w:val="auto"/>
          <w:highlight w:val="none"/>
        </w:rPr>
      </w:pPr>
      <w:r>
        <w:rPr>
          <w:rFonts w:hint="eastAsia" w:cs="宋体"/>
          <w:color w:val="auto"/>
          <w:highlight w:val="none"/>
        </w:rPr>
        <w:t xml:space="preserve">⑥给排水设施、道路等配套工程为2年； </w:t>
      </w:r>
    </w:p>
    <w:p>
      <w:pPr>
        <w:adjustRightInd w:val="0"/>
        <w:snapToGrid w:val="0"/>
        <w:spacing w:line="360" w:lineRule="exact"/>
        <w:jc w:val="left"/>
        <w:rPr>
          <w:rFonts w:cs="宋体"/>
          <w:color w:val="auto"/>
          <w:highlight w:val="none"/>
        </w:rPr>
      </w:pPr>
      <w:r>
        <w:rPr>
          <w:rFonts w:hint="eastAsia" w:cs="宋体"/>
          <w:color w:val="auto"/>
          <w:highlight w:val="none"/>
        </w:rPr>
        <w:t xml:space="preserve">⑦其他项目保修期限约定如下：无。 </w:t>
      </w:r>
    </w:p>
    <w:p>
      <w:pPr>
        <w:adjustRightInd w:val="0"/>
        <w:snapToGrid w:val="0"/>
        <w:spacing w:line="360" w:lineRule="exact"/>
        <w:jc w:val="left"/>
        <w:rPr>
          <w:rFonts w:cs="宋体"/>
          <w:color w:val="auto"/>
          <w:highlight w:val="none"/>
        </w:rPr>
      </w:pPr>
      <w:r>
        <w:rPr>
          <w:rFonts w:hint="eastAsia" w:cs="宋体"/>
          <w:color w:val="auto"/>
          <w:highlight w:val="none"/>
        </w:rPr>
        <w:t xml:space="preserve">质量保修期自工程竣工验收合格之日起计算。 </w:t>
      </w:r>
    </w:p>
    <w:p>
      <w:pPr>
        <w:adjustRightInd w:val="0"/>
        <w:snapToGrid w:val="0"/>
        <w:spacing w:line="360" w:lineRule="exact"/>
        <w:jc w:val="left"/>
        <w:rPr>
          <w:rFonts w:cs="宋体"/>
          <w:color w:val="auto"/>
          <w:highlight w:val="none"/>
        </w:rPr>
      </w:pPr>
      <w:r>
        <w:rPr>
          <w:rFonts w:hint="eastAsia" w:cs="宋体"/>
          <w:color w:val="auto"/>
          <w:highlight w:val="none"/>
        </w:rPr>
        <w:t xml:space="preserve">（3）缺陷责任期 </w:t>
      </w:r>
    </w:p>
    <w:p>
      <w:pPr>
        <w:adjustRightInd w:val="0"/>
        <w:snapToGrid w:val="0"/>
        <w:spacing w:line="360" w:lineRule="exact"/>
        <w:ind w:firstLine="420" w:firstLineChars="200"/>
        <w:jc w:val="left"/>
        <w:rPr>
          <w:rFonts w:cs="宋体"/>
          <w:color w:val="auto"/>
          <w:highlight w:val="none"/>
        </w:rPr>
      </w:pPr>
      <w:r>
        <w:rPr>
          <w:rFonts w:hint="eastAsia" w:cs="宋体"/>
          <w:color w:val="auto"/>
          <w:highlight w:val="none"/>
        </w:rPr>
        <w:t xml:space="preserve">工程缺陷责任期为24个月，缺陷责任期自工程通过竣工验收之日起计算。单位工程先于全部工程进行验收，单位工程缺陷责任期自单位工程验收合格之日起算。 </w:t>
      </w:r>
    </w:p>
    <w:p>
      <w:pPr>
        <w:adjustRightInd w:val="0"/>
        <w:snapToGrid w:val="0"/>
        <w:spacing w:line="360" w:lineRule="exact"/>
        <w:ind w:firstLine="420" w:firstLineChars="200"/>
        <w:jc w:val="left"/>
        <w:rPr>
          <w:rFonts w:cs="宋体"/>
          <w:color w:val="auto"/>
          <w:highlight w:val="none"/>
        </w:rPr>
      </w:pPr>
      <w:r>
        <w:rPr>
          <w:rFonts w:hint="eastAsia" w:cs="宋体"/>
          <w:color w:val="auto"/>
          <w:highlight w:val="none"/>
        </w:rPr>
        <w:t xml:space="preserve">缺陷责任期终止后，发包人应退还剩余的质量保证金。 </w:t>
      </w:r>
    </w:p>
    <w:p>
      <w:pPr>
        <w:numPr>
          <w:ilvl w:val="0"/>
          <w:numId w:val="6"/>
        </w:numPr>
        <w:adjustRightInd w:val="0"/>
        <w:snapToGrid w:val="0"/>
        <w:spacing w:line="360" w:lineRule="exact"/>
        <w:jc w:val="left"/>
        <w:rPr>
          <w:rFonts w:cs="宋体"/>
          <w:color w:val="auto"/>
          <w:highlight w:val="none"/>
        </w:rPr>
      </w:pPr>
      <w:r>
        <w:rPr>
          <w:rFonts w:hint="eastAsia" w:cs="宋体"/>
          <w:color w:val="auto"/>
          <w:highlight w:val="none"/>
        </w:rPr>
        <w:t xml:space="preserve">质量保修责任 </w:t>
      </w:r>
    </w:p>
    <w:p>
      <w:pPr>
        <w:adjustRightInd w:val="0"/>
        <w:snapToGrid w:val="0"/>
        <w:spacing w:line="360" w:lineRule="exact"/>
        <w:jc w:val="left"/>
        <w:rPr>
          <w:rFonts w:cs="宋体"/>
          <w:color w:val="auto"/>
          <w:highlight w:val="none"/>
        </w:rPr>
      </w:pPr>
      <w:r>
        <w:rPr>
          <w:rFonts w:hint="eastAsia" w:cs="宋体"/>
          <w:color w:val="auto"/>
          <w:highlight w:val="none"/>
        </w:rPr>
        <w:t xml:space="preserve">（1）属于保修范围、内容的项目，承包人应当在接到保修通知之日起7天内派人保修。承包人不在约定期限内派人保修的，发包人可以委托他人修理。 </w:t>
      </w:r>
    </w:p>
    <w:p>
      <w:pPr>
        <w:adjustRightInd w:val="0"/>
        <w:snapToGrid w:val="0"/>
        <w:spacing w:line="360" w:lineRule="exact"/>
        <w:jc w:val="left"/>
        <w:rPr>
          <w:rFonts w:cs="宋体"/>
          <w:color w:val="auto"/>
          <w:highlight w:val="none"/>
        </w:rPr>
      </w:pPr>
      <w:r>
        <w:rPr>
          <w:rFonts w:hint="eastAsia" w:cs="宋体"/>
          <w:color w:val="auto"/>
          <w:highlight w:val="none"/>
        </w:rPr>
        <w:t xml:space="preserve">（2）发生紧急事故需抢修的，承包人在接到事故通知后，应当立即到达事故现场抢修。 </w:t>
      </w:r>
    </w:p>
    <w:p>
      <w:pPr>
        <w:adjustRightInd w:val="0"/>
        <w:snapToGrid w:val="0"/>
        <w:spacing w:line="360" w:lineRule="exact"/>
        <w:jc w:val="left"/>
        <w:rPr>
          <w:rFonts w:cs="宋体"/>
          <w:color w:val="auto"/>
          <w:highlight w:val="none"/>
        </w:rPr>
      </w:pPr>
      <w:r>
        <w:rPr>
          <w:rFonts w:hint="eastAsia" w:cs="宋体"/>
          <w:color w:val="auto"/>
          <w:highlight w:val="none"/>
        </w:rPr>
        <w:t xml:space="preserve">（3）对于涉及结构安全的质量问题，应当按照《建设工程质量管理条例》的规定，立即向当地建设行政主管部门和有关部门报告，采取安全防范措施，并由原设计人或者具有相应资质等级的设计人提出保修方案，承包人实施保修。 </w:t>
      </w:r>
    </w:p>
    <w:p>
      <w:pPr>
        <w:adjustRightInd w:val="0"/>
        <w:snapToGrid w:val="0"/>
        <w:spacing w:line="360" w:lineRule="exact"/>
        <w:jc w:val="left"/>
        <w:rPr>
          <w:rFonts w:cs="宋体"/>
          <w:color w:val="auto"/>
          <w:highlight w:val="none"/>
        </w:rPr>
      </w:pPr>
      <w:r>
        <w:rPr>
          <w:rFonts w:hint="eastAsia" w:cs="宋体"/>
          <w:color w:val="auto"/>
          <w:highlight w:val="none"/>
        </w:rPr>
        <w:t>（4）质量保修完成后，由发包人组织验收。</w:t>
      </w:r>
    </w:p>
    <w:p>
      <w:pPr>
        <w:numPr>
          <w:ilvl w:val="0"/>
          <w:numId w:val="6"/>
        </w:numPr>
        <w:adjustRightInd w:val="0"/>
        <w:snapToGrid w:val="0"/>
        <w:spacing w:line="360" w:lineRule="exact"/>
        <w:jc w:val="left"/>
        <w:rPr>
          <w:rFonts w:cs="宋体"/>
          <w:color w:val="auto"/>
          <w:highlight w:val="none"/>
        </w:rPr>
      </w:pPr>
      <w:r>
        <w:rPr>
          <w:rFonts w:hint="eastAsia" w:cs="宋体"/>
          <w:color w:val="auto"/>
          <w:highlight w:val="none"/>
        </w:rPr>
        <w:t>本工程不允许分包，由发包人另行发包的专业工程除外。</w:t>
      </w:r>
    </w:p>
    <w:p>
      <w:pPr>
        <w:adjustRightInd w:val="0"/>
        <w:snapToGrid w:val="0"/>
        <w:spacing w:line="360" w:lineRule="exact"/>
        <w:jc w:val="left"/>
        <w:rPr>
          <w:rFonts w:cs="宋体"/>
          <w:color w:val="auto"/>
          <w:highlight w:val="none"/>
        </w:rPr>
      </w:pPr>
    </w:p>
    <w:p>
      <w:pPr>
        <w:adjustRightInd w:val="0"/>
        <w:snapToGrid w:val="0"/>
        <w:spacing w:line="360" w:lineRule="exact"/>
        <w:jc w:val="left"/>
        <w:rPr>
          <w:rFonts w:cs="宋体"/>
          <w:color w:val="auto"/>
          <w:highlight w:val="none"/>
        </w:rPr>
      </w:pPr>
      <w:r>
        <w:rPr>
          <w:rFonts w:hint="eastAsia" w:cs="宋体"/>
          <w:color w:val="auto"/>
          <w:highlight w:val="none"/>
        </w:rPr>
        <w:t>二、安全生产要求</w:t>
      </w:r>
    </w:p>
    <w:p>
      <w:pPr>
        <w:numPr>
          <w:ilvl w:val="0"/>
          <w:numId w:val="7"/>
        </w:numPr>
        <w:adjustRightInd w:val="0"/>
        <w:snapToGrid w:val="0"/>
        <w:spacing w:line="360" w:lineRule="exact"/>
        <w:jc w:val="left"/>
        <w:rPr>
          <w:rFonts w:cs="宋体"/>
          <w:color w:val="auto"/>
          <w:highlight w:val="none"/>
        </w:rPr>
      </w:pPr>
      <w:r>
        <w:rPr>
          <w:rFonts w:hint="eastAsia" w:cs="宋体"/>
          <w:color w:val="auto"/>
          <w:highlight w:val="none"/>
        </w:rPr>
        <w:t xml:space="preserve">严格遵守国家有关安全生产的法律法规及建筑工程有关安全生产的规定，认真执行工程承包合同中的有关安全要求。 </w:t>
      </w:r>
    </w:p>
    <w:p>
      <w:pPr>
        <w:numPr>
          <w:ilvl w:val="0"/>
          <w:numId w:val="7"/>
        </w:numPr>
        <w:adjustRightInd w:val="0"/>
        <w:snapToGrid w:val="0"/>
        <w:spacing w:line="360" w:lineRule="exact"/>
        <w:jc w:val="left"/>
        <w:rPr>
          <w:rFonts w:cs="宋体"/>
          <w:color w:val="auto"/>
          <w:highlight w:val="none"/>
        </w:rPr>
      </w:pPr>
      <w:r>
        <w:rPr>
          <w:rFonts w:hint="eastAsia" w:cs="宋体"/>
          <w:color w:val="auto"/>
          <w:highlight w:val="none"/>
        </w:rPr>
        <w:t xml:space="preserve">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 </w:t>
      </w:r>
    </w:p>
    <w:p>
      <w:pPr>
        <w:numPr>
          <w:ilvl w:val="0"/>
          <w:numId w:val="7"/>
        </w:numPr>
        <w:adjustRightInd w:val="0"/>
        <w:snapToGrid w:val="0"/>
        <w:spacing w:line="360" w:lineRule="exact"/>
        <w:jc w:val="left"/>
        <w:rPr>
          <w:rFonts w:cs="宋体"/>
          <w:color w:val="auto"/>
          <w:highlight w:val="none"/>
        </w:rPr>
      </w:pPr>
      <w:r>
        <w:rPr>
          <w:rFonts w:hint="eastAsia" w:cs="宋体"/>
          <w:color w:val="auto"/>
          <w:highlight w:val="none"/>
        </w:rPr>
        <w:t xml:space="preserve">建立健全安全生产责任制。从派往项目实施的项目负责人到生产工人（包括临时雇请的民工）的安全生产管理系统必须做到纵向到底，一环不漏；各职能部门、人员的安全生产责任制做到横向到边，人人有责。项目负责人是安全生产的第一责任人。现场设置的安全机构，应按施工人员的1%~3%配备安全员，专职负责所有员工的安全和治安保卫工作及预防事故的发生。安全机构人员，有权按有关规定发布指令，并采取保护性措施防止事故发生。 </w:t>
      </w:r>
    </w:p>
    <w:p>
      <w:pPr>
        <w:numPr>
          <w:ilvl w:val="0"/>
          <w:numId w:val="7"/>
        </w:numPr>
        <w:adjustRightInd w:val="0"/>
        <w:snapToGrid w:val="0"/>
        <w:spacing w:line="360" w:lineRule="exact"/>
        <w:jc w:val="left"/>
        <w:rPr>
          <w:rFonts w:cs="宋体"/>
          <w:color w:val="auto"/>
          <w:highlight w:val="none"/>
        </w:rPr>
      </w:pPr>
      <w:r>
        <w:rPr>
          <w:rFonts w:hint="eastAsia" w:cs="宋体"/>
          <w:color w:val="auto"/>
          <w:highlight w:val="none"/>
        </w:rPr>
        <w:t xml:space="preserve">承包人在任何时候都应采取各种合理的预防措施，防止其员工发生任何违法、违禁、暴力或妨碍治安的行为。 </w:t>
      </w:r>
    </w:p>
    <w:p>
      <w:pPr>
        <w:numPr>
          <w:ilvl w:val="0"/>
          <w:numId w:val="7"/>
        </w:numPr>
        <w:adjustRightInd w:val="0"/>
        <w:snapToGrid w:val="0"/>
        <w:spacing w:line="360" w:lineRule="exact"/>
        <w:jc w:val="left"/>
        <w:rPr>
          <w:rFonts w:cs="宋体"/>
          <w:color w:val="auto"/>
          <w:highlight w:val="none"/>
        </w:rPr>
      </w:pPr>
      <w:r>
        <w:rPr>
          <w:rFonts w:hint="eastAsia" w:cs="宋体"/>
          <w:color w:val="auto"/>
          <w:highlight w:val="none"/>
        </w:rPr>
        <w:t xml:space="preserve">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项目负责人必须承担管理责任。 </w:t>
      </w:r>
    </w:p>
    <w:p>
      <w:pPr>
        <w:numPr>
          <w:ilvl w:val="0"/>
          <w:numId w:val="7"/>
        </w:numPr>
        <w:adjustRightInd w:val="0"/>
        <w:snapToGrid w:val="0"/>
        <w:spacing w:line="360" w:lineRule="exact"/>
        <w:jc w:val="left"/>
        <w:rPr>
          <w:rFonts w:cs="宋体"/>
          <w:color w:val="auto"/>
          <w:highlight w:val="none"/>
        </w:rPr>
      </w:pPr>
      <w:r>
        <w:rPr>
          <w:rFonts w:hint="eastAsia" w:cs="宋体"/>
          <w:color w:val="auto"/>
          <w:highlight w:val="none"/>
        </w:rPr>
        <w:t xml:space="preserve">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 </w:t>
      </w:r>
    </w:p>
    <w:p>
      <w:pPr>
        <w:numPr>
          <w:ilvl w:val="0"/>
          <w:numId w:val="7"/>
        </w:numPr>
        <w:adjustRightInd w:val="0"/>
        <w:snapToGrid w:val="0"/>
        <w:spacing w:line="360" w:lineRule="exact"/>
        <w:jc w:val="left"/>
        <w:rPr>
          <w:rFonts w:cs="宋体"/>
          <w:color w:val="auto"/>
          <w:highlight w:val="none"/>
        </w:rPr>
      </w:pPr>
      <w:r>
        <w:rPr>
          <w:rFonts w:hint="eastAsia" w:cs="宋体"/>
          <w:color w:val="auto"/>
          <w:highlight w:val="none"/>
        </w:rPr>
        <w:t xml:space="preserve">操作人员上岗，必须按规定穿戴防护用品。项目经理和安全检查员应随时检查劳动防护用品的穿戴情况，不按规定穿戴防护用品的人员不得上岗。 </w:t>
      </w:r>
    </w:p>
    <w:p>
      <w:pPr>
        <w:numPr>
          <w:ilvl w:val="0"/>
          <w:numId w:val="7"/>
        </w:numPr>
        <w:adjustRightInd w:val="0"/>
        <w:snapToGrid w:val="0"/>
        <w:spacing w:line="360" w:lineRule="exact"/>
        <w:jc w:val="left"/>
        <w:rPr>
          <w:rFonts w:cs="宋体"/>
          <w:color w:val="auto"/>
          <w:highlight w:val="none"/>
        </w:rPr>
      </w:pPr>
      <w:r>
        <w:rPr>
          <w:rFonts w:hint="eastAsia" w:cs="宋体"/>
          <w:color w:val="auto"/>
          <w:highlight w:val="none"/>
        </w:rPr>
        <w:t xml:space="preserve">所有施工机械设备和高空作业的设备均应定期检查，并有安全员的签字记录，保证其经常处于完好状态；不合格的机具、设备和劳动保护用品严禁使用。 </w:t>
      </w:r>
    </w:p>
    <w:p>
      <w:pPr>
        <w:numPr>
          <w:ilvl w:val="0"/>
          <w:numId w:val="7"/>
        </w:numPr>
        <w:adjustRightInd w:val="0"/>
        <w:snapToGrid w:val="0"/>
        <w:spacing w:line="360" w:lineRule="exact"/>
        <w:jc w:val="left"/>
        <w:rPr>
          <w:rFonts w:cs="宋体"/>
          <w:color w:val="auto"/>
          <w:highlight w:val="none"/>
        </w:rPr>
      </w:pPr>
      <w:r>
        <w:rPr>
          <w:rFonts w:hint="eastAsia" w:cs="宋体"/>
          <w:color w:val="auto"/>
          <w:highlight w:val="none"/>
        </w:rPr>
        <w:t xml:space="preserve">施工中采用新技术、新工艺、新设备、新材料时，必须制定相应的安全技术措施，施工现场必须具有相关的安全标志牌。 </w:t>
      </w:r>
    </w:p>
    <w:p>
      <w:pPr>
        <w:numPr>
          <w:ilvl w:val="0"/>
          <w:numId w:val="7"/>
        </w:numPr>
        <w:adjustRightInd w:val="0"/>
        <w:snapToGrid w:val="0"/>
        <w:spacing w:line="360" w:lineRule="exact"/>
        <w:jc w:val="left"/>
        <w:rPr>
          <w:rFonts w:cs="宋体"/>
          <w:color w:val="auto"/>
          <w:highlight w:val="none"/>
        </w:rPr>
      </w:pPr>
      <w:r>
        <w:rPr>
          <w:rFonts w:hint="eastAsia" w:cs="宋体"/>
          <w:color w:val="auto"/>
          <w:highlight w:val="none"/>
        </w:rPr>
        <w:t>承包人必须按照本工程项目特点，组织制定本工程实施中的生产安全事故应急救援预案；如果发生安全事故，应按照《国务院关于特大安全事故行政责任追究的规定》</w:t>
      </w:r>
      <w:r>
        <w:rPr>
          <w:rFonts w:hint="eastAsia" w:cs="宋体"/>
          <w:color w:val="auto"/>
          <w:highlight w:val="none"/>
          <w:lang w:eastAsia="zh-CN"/>
        </w:rPr>
        <w:t>以及其他</w:t>
      </w:r>
      <w:r>
        <w:rPr>
          <w:rFonts w:hint="eastAsia" w:cs="宋体"/>
          <w:color w:val="auto"/>
          <w:highlight w:val="none"/>
        </w:rPr>
        <w:t xml:space="preserve">有关规定，及时上报有关部门，并坚持“四不放过”的原则，严肃处理相关责任人。 </w:t>
      </w:r>
    </w:p>
    <w:p>
      <w:pPr>
        <w:adjustRightInd w:val="0"/>
        <w:snapToGrid w:val="0"/>
        <w:spacing w:line="360" w:lineRule="exact"/>
        <w:jc w:val="left"/>
        <w:rPr>
          <w:rFonts w:cs="宋体"/>
          <w:color w:val="auto"/>
          <w:highlight w:val="none"/>
        </w:rPr>
      </w:pPr>
    </w:p>
    <w:p>
      <w:pPr>
        <w:adjustRightInd w:val="0"/>
        <w:snapToGrid w:val="0"/>
        <w:spacing w:line="360" w:lineRule="exact"/>
        <w:jc w:val="left"/>
        <w:rPr>
          <w:rFonts w:cs="宋体"/>
          <w:color w:val="auto"/>
          <w:highlight w:val="none"/>
        </w:rPr>
      </w:pPr>
      <w:r>
        <w:rPr>
          <w:rFonts w:hint="eastAsia" w:cs="宋体"/>
          <w:color w:val="auto"/>
          <w:highlight w:val="none"/>
        </w:rPr>
        <w:t>三、技术要求</w:t>
      </w:r>
    </w:p>
    <w:p>
      <w:pPr>
        <w:adjustRightInd w:val="0"/>
        <w:snapToGrid w:val="0"/>
        <w:spacing w:line="360" w:lineRule="exact"/>
        <w:ind w:firstLine="420" w:firstLineChars="200"/>
        <w:jc w:val="left"/>
        <w:rPr>
          <w:rFonts w:cs="宋体"/>
          <w:color w:val="auto"/>
          <w:highlight w:val="none"/>
        </w:rPr>
      </w:pPr>
      <w:r>
        <w:rPr>
          <w:rFonts w:hint="eastAsia" w:cs="宋体"/>
          <w:color w:val="auto"/>
          <w:highlight w:val="none"/>
        </w:rPr>
        <w:t>本工程技术范围采用住建部现行工程施工规范、验评标准及强制性标准条文。</w:t>
      </w:r>
    </w:p>
    <w:p>
      <w:pPr>
        <w:pStyle w:val="43"/>
        <w:rPr>
          <w:color w:val="auto"/>
          <w:highlight w:val="none"/>
        </w:rPr>
      </w:pPr>
    </w:p>
    <w:p>
      <w:pPr>
        <w:adjustRightInd w:val="0"/>
        <w:snapToGrid w:val="0"/>
        <w:spacing w:line="360" w:lineRule="exact"/>
        <w:ind w:firstLine="560" w:firstLineChars="200"/>
        <w:jc w:val="left"/>
        <w:rPr>
          <w:b/>
          <w:color w:val="auto"/>
          <w:kern w:val="44"/>
          <w:sz w:val="32"/>
          <w:szCs w:val="32"/>
          <w:highlight w:val="none"/>
        </w:rPr>
      </w:pPr>
      <w:r>
        <w:rPr>
          <w:color w:val="auto"/>
          <w:sz w:val="28"/>
          <w:szCs w:val="28"/>
          <w:highlight w:val="none"/>
        </w:rPr>
        <w:br w:type="page"/>
      </w:r>
    </w:p>
    <w:p>
      <w:pPr>
        <w:rPr>
          <w:color w:val="auto"/>
          <w:highlight w:val="none"/>
        </w:rPr>
      </w:pPr>
    </w:p>
    <w:p>
      <w:pPr>
        <w:pStyle w:val="3"/>
        <w:jc w:val="center"/>
        <w:rPr>
          <w:color w:val="auto"/>
          <w:highlight w:val="none"/>
        </w:rPr>
      </w:pPr>
      <w:bookmarkStart w:id="1548" w:name="_Toc20179"/>
      <w:bookmarkStart w:id="1549" w:name="_Toc66186493"/>
      <w:bookmarkStart w:id="1550" w:name="_Toc407135289"/>
      <w:bookmarkStart w:id="1551" w:name="_Toc389065350"/>
      <w:bookmarkStart w:id="1552" w:name="_Toc358569769"/>
      <w:r>
        <w:rPr>
          <w:rFonts w:hint="eastAsia" w:cs="黑体"/>
          <w:color w:val="auto"/>
          <w:highlight w:val="none"/>
        </w:rPr>
        <w:t>第九章</w:t>
      </w:r>
      <w:r>
        <w:rPr>
          <w:color w:val="auto"/>
          <w:highlight w:val="none"/>
        </w:rPr>
        <w:t xml:space="preserve"> </w:t>
      </w:r>
      <w:r>
        <w:rPr>
          <w:rFonts w:hint="eastAsia" w:cs="黑体"/>
          <w:color w:val="auto"/>
          <w:highlight w:val="none"/>
        </w:rPr>
        <w:t>投标文件格式</w:t>
      </w:r>
      <w:bookmarkEnd w:id="1548"/>
      <w:bookmarkEnd w:id="1549"/>
      <w:bookmarkEnd w:id="1550"/>
      <w:bookmarkEnd w:id="1551"/>
      <w:bookmarkEnd w:id="1552"/>
    </w:p>
    <w:p>
      <w:pPr>
        <w:rPr>
          <w:color w:val="auto"/>
          <w:sz w:val="32"/>
          <w:szCs w:val="32"/>
          <w:highlight w:val="none"/>
        </w:rPr>
      </w:pPr>
    </w:p>
    <w:p>
      <w:pPr>
        <w:jc w:val="center"/>
        <w:rPr>
          <w:color w:val="auto"/>
          <w:sz w:val="32"/>
          <w:szCs w:val="32"/>
          <w:highlight w:val="none"/>
        </w:rPr>
      </w:pPr>
      <w:r>
        <w:rPr>
          <w:color w:val="auto"/>
          <w:sz w:val="32"/>
          <w:szCs w:val="32"/>
          <w:highlight w:val="none"/>
        </w:rPr>
        <w:br w:type="page"/>
      </w:r>
    </w:p>
    <w:p>
      <w:pPr>
        <w:jc w:val="center"/>
        <w:rPr>
          <w:color w:val="auto"/>
          <w:sz w:val="28"/>
          <w:szCs w:val="28"/>
          <w:highlight w:val="none"/>
        </w:rPr>
      </w:pPr>
      <w:r>
        <w:rPr>
          <w:color w:val="auto"/>
          <w:sz w:val="32"/>
          <w:szCs w:val="32"/>
          <w:highlight w:val="none"/>
          <w:u w:val="single"/>
        </w:rPr>
        <w:t xml:space="preserve">             </w:t>
      </w:r>
      <w:r>
        <w:rPr>
          <w:rFonts w:hint="eastAsia" w:cs="宋体"/>
          <w:color w:val="auto"/>
          <w:sz w:val="28"/>
          <w:szCs w:val="28"/>
          <w:highlight w:val="none"/>
        </w:rPr>
        <w:t>（项目名称）施工招标</w:t>
      </w:r>
    </w:p>
    <w:p>
      <w:pPr>
        <w:jc w:val="center"/>
        <w:rPr>
          <w:color w:val="auto"/>
          <w:sz w:val="28"/>
          <w:szCs w:val="28"/>
          <w:highlight w:val="none"/>
        </w:rPr>
      </w:pPr>
    </w:p>
    <w:p>
      <w:pPr>
        <w:spacing w:beforeLines="100"/>
        <w:jc w:val="center"/>
        <w:rPr>
          <w:color w:val="auto"/>
          <w:sz w:val="52"/>
          <w:szCs w:val="52"/>
          <w:highlight w:val="none"/>
        </w:rPr>
      </w:pPr>
      <w:r>
        <w:rPr>
          <w:rFonts w:hint="eastAsia" w:cs="宋体"/>
          <w:color w:val="auto"/>
          <w:sz w:val="52"/>
          <w:szCs w:val="52"/>
          <w:highlight w:val="none"/>
        </w:rPr>
        <w:t>投</w:t>
      </w:r>
      <w:r>
        <w:rPr>
          <w:color w:val="auto"/>
          <w:sz w:val="52"/>
          <w:szCs w:val="52"/>
          <w:highlight w:val="none"/>
        </w:rPr>
        <w:t xml:space="preserve">  </w:t>
      </w:r>
      <w:r>
        <w:rPr>
          <w:rFonts w:hint="eastAsia" w:cs="宋体"/>
          <w:color w:val="auto"/>
          <w:sz w:val="52"/>
          <w:szCs w:val="52"/>
          <w:highlight w:val="none"/>
        </w:rPr>
        <w:t>标</w:t>
      </w:r>
      <w:r>
        <w:rPr>
          <w:color w:val="auto"/>
          <w:sz w:val="52"/>
          <w:szCs w:val="52"/>
          <w:highlight w:val="none"/>
        </w:rPr>
        <w:t xml:space="preserve">  </w:t>
      </w:r>
      <w:r>
        <w:rPr>
          <w:rFonts w:hint="eastAsia" w:cs="宋体"/>
          <w:color w:val="auto"/>
          <w:sz w:val="52"/>
          <w:szCs w:val="52"/>
          <w:highlight w:val="none"/>
        </w:rPr>
        <w:t>文</w:t>
      </w:r>
      <w:r>
        <w:rPr>
          <w:color w:val="auto"/>
          <w:sz w:val="52"/>
          <w:szCs w:val="52"/>
          <w:highlight w:val="none"/>
        </w:rPr>
        <w:t xml:space="preserve">  </w:t>
      </w:r>
      <w:r>
        <w:rPr>
          <w:rFonts w:hint="eastAsia" w:cs="宋体"/>
          <w:color w:val="auto"/>
          <w:sz w:val="52"/>
          <w:szCs w:val="52"/>
          <w:highlight w:val="none"/>
        </w:rPr>
        <w:t>件</w:t>
      </w: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spacing w:line="360" w:lineRule="auto"/>
        <w:ind w:firstLine="2380" w:firstLineChars="850"/>
        <w:rPr>
          <w:color w:val="auto"/>
          <w:sz w:val="28"/>
          <w:szCs w:val="28"/>
          <w:highlight w:val="none"/>
          <w:u w:val="single"/>
        </w:rPr>
      </w:pPr>
      <w:r>
        <w:rPr>
          <w:rFonts w:hint="eastAsia" w:cs="宋体"/>
          <w:color w:val="auto"/>
          <w:sz w:val="28"/>
          <w:szCs w:val="28"/>
          <w:highlight w:val="none"/>
        </w:rPr>
        <w:t>项目招标编号：</w:t>
      </w:r>
      <w:r>
        <w:rPr>
          <w:color w:val="auto"/>
          <w:sz w:val="28"/>
          <w:szCs w:val="28"/>
          <w:highlight w:val="none"/>
          <w:u w:val="single"/>
        </w:rPr>
        <w:t xml:space="preserve">                   </w:t>
      </w:r>
    </w:p>
    <w:p>
      <w:pPr>
        <w:jc w:val="center"/>
        <w:rPr>
          <w:color w:val="auto"/>
          <w:sz w:val="32"/>
          <w:szCs w:val="32"/>
          <w:highlight w:val="none"/>
        </w:rPr>
      </w:pPr>
      <w:r>
        <w:rPr>
          <w:color w:val="auto"/>
          <w:sz w:val="32"/>
          <w:szCs w:val="32"/>
          <w:highlight w:val="none"/>
        </w:rPr>
        <w:t>（正本/副本）</w:t>
      </w: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spacing w:line="360" w:lineRule="auto"/>
        <w:ind w:firstLine="1400" w:firstLineChars="500"/>
        <w:rPr>
          <w:color w:val="auto"/>
          <w:sz w:val="28"/>
          <w:szCs w:val="28"/>
          <w:highlight w:val="none"/>
        </w:rPr>
      </w:pPr>
      <w:r>
        <w:rPr>
          <w:rFonts w:hint="eastAsia" w:cs="宋体"/>
          <w:color w:val="auto"/>
          <w:sz w:val="28"/>
          <w:szCs w:val="28"/>
          <w:highlight w:val="none"/>
        </w:rPr>
        <w:t>投标内容：</w:t>
      </w:r>
      <w:r>
        <w:rPr>
          <w:color w:val="auto"/>
          <w:sz w:val="28"/>
          <w:szCs w:val="28"/>
          <w:highlight w:val="none"/>
          <w:u w:val="single"/>
        </w:rPr>
        <w:t xml:space="preserve">            </w:t>
      </w:r>
      <w:r>
        <w:rPr>
          <w:rFonts w:hint="eastAsia" w:cs="宋体"/>
          <w:color w:val="auto"/>
          <w:sz w:val="28"/>
          <w:szCs w:val="28"/>
          <w:highlight w:val="none"/>
          <w:u w:val="single"/>
        </w:rPr>
        <w:t>资格审查部分</w:t>
      </w:r>
      <w:r>
        <w:rPr>
          <w:color w:val="auto"/>
          <w:sz w:val="28"/>
          <w:szCs w:val="28"/>
          <w:highlight w:val="none"/>
          <w:u w:val="single"/>
        </w:rPr>
        <w:t xml:space="preserve">           </w:t>
      </w:r>
    </w:p>
    <w:p>
      <w:pPr>
        <w:spacing w:line="360" w:lineRule="auto"/>
        <w:ind w:firstLine="1400" w:firstLineChars="500"/>
        <w:rPr>
          <w:color w:val="auto"/>
          <w:sz w:val="28"/>
          <w:szCs w:val="28"/>
          <w:highlight w:val="none"/>
        </w:rPr>
      </w:pPr>
      <w:r>
        <w:rPr>
          <w:rFonts w:hint="eastAsia" w:cs="宋体"/>
          <w:color w:val="auto"/>
          <w:sz w:val="28"/>
          <w:szCs w:val="28"/>
          <w:highlight w:val="none"/>
        </w:rPr>
        <w:t>投标人：</w:t>
      </w:r>
      <w:r>
        <w:rPr>
          <w:color w:val="auto"/>
          <w:sz w:val="28"/>
          <w:szCs w:val="28"/>
          <w:highlight w:val="none"/>
          <w:u w:val="single"/>
        </w:rPr>
        <w:t xml:space="preserve">                                 </w:t>
      </w:r>
      <w:r>
        <w:rPr>
          <w:rFonts w:hint="eastAsia" w:cs="宋体"/>
          <w:color w:val="auto"/>
          <w:sz w:val="28"/>
          <w:szCs w:val="28"/>
          <w:highlight w:val="none"/>
        </w:rPr>
        <w:t>（盖单位章）</w:t>
      </w:r>
    </w:p>
    <w:p>
      <w:pPr>
        <w:spacing w:line="360" w:lineRule="auto"/>
        <w:ind w:firstLine="1400" w:firstLineChars="500"/>
        <w:rPr>
          <w:color w:val="auto"/>
          <w:sz w:val="28"/>
          <w:szCs w:val="28"/>
          <w:highlight w:val="none"/>
        </w:rPr>
      </w:pPr>
      <w:r>
        <w:rPr>
          <w:rFonts w:hint="eastAsia" w:cs="宋体"/>
          <w:color w:val="auto"/>
          <w:sz w:val="28"/>
          <w:szCs w:val="28"/>
          <w:highlight w:val="none"/>
        </w:rPr>
        <w:t>法定代表人：</w:t>
      </w:r>
      <w:r>
        <w:rPr>
          <w:color w:val="auto"/>
          <w:sz w:val="28"/>
          <w:szCs w:val="28"/>
          <w:highlight w:val="none"/>
          <w:u w:val="single"/>
        </w:rPr>
        <w:t xml:space="preserve">              </w:t>
      </w:r>
      <w:r>
        <w:rPr>
          <w:rFonts w:hint="eastAsia" w:cs="宋体"/>
          <w:color w:val="auto"/>
          <w:sz w:val="28"/>
          <w:szCs w:val="28"/>
          <w:highlight w:val="none"/>
        </w:rPr>
        <w:t>（签字或盖章）</w:t>
      </w:r>
    </w:p>
    <w:p>
      <w:pPr>
        <w:jc w:val="center"/>
        <w:rPr>
          <w:color w:val="auto"/>
          <w:sz w:val="28"/>
          <w:szCs w:val="28"/>
          <w:highlight w:val="none"/>
        </w:rPr>
      </w:pPr>
    </w:p>
    <w:p>
      <w:pPr>
        <w:jc w:val="center"/>
        <w:rPr>
          <w:color w:val="auto"/>
          <w:sz w:val="28"/>
          <w:szCs w:val="28"/>
          <w:highlight w:val="none"/>
        </w:rPr>
      </w:pPr>
    </w:p>
    <w:p>
      <w:pPr>
        <w:jc w:val="center"/>
        <w:rPr>
          <w:color w:val="auto"/>
          <w:sz w:val="28"/>
          <w:szCs w:val="28"/>
          <w:highlight w:val="none"/>
        </w:rPr>
      </w:pPr>
      <w:r>
        <w:rPr>
          <w:color w:val="auto"/>
          <w:sz w:val="28"/>
          <w:szCs w:val="28"/>
          <w:highlight w:val="none"/>
          <w:u w:val="single"/>
        </w:rPr>
        <w:t xml:space="preserve">         </w:t>
      </w:r>
      <w:r>
        <w:rPr>
          <w:rFonts w:hint="eastAsia" w:cs="宋体"/>
          <w:color w:val="auto"/>
          <w:sz w:val="28"/>
          <w:szCs w:val="28"/>
          <w:highlight w:val="none"/>
        </w:rPr>
        <w:t>年</w:t>
      </w:r>
      <w:r>
        <w:rPr>
          <w:color w:val="auto"/>
          <w:sz w:val="28"/>
          <w:szCs w:val="28"/>
          <w:highlight w:val="none"/>
          <w:u w:val="single"/>
        </w:rPr>
        <w:t xml:space="preserve">         </w:t>
      </w:r>
      <w:r>
        <w:rPr>
          <w:rFonts w:hint="eastAsia" w:cs="宋体"/>
          <w:color w:val="auto"/>
          <w:sz w:val="28"/>
          <w:szCs w:val="28"/>
          <w:highlight w:val="none"/>
        </w:rPr>
        <w:t>月</w:t>
      </w:r>
      <w:r>
        <w:rPr>
          <w:color w:val="auto"/>
          <w:sz w:val="28"/>
          <w:szCs w:val="28"/>
          <w:highlight w:val="none"/>
          <w:u w:val="single"/>
        </w:rPr>
        <w:t xml:space="preserve">         </w:t>
      </w:r>
      <w:r>
        <w:rPr>
          <w:rFonts w:hint="eastAsia" w:cs="宋体"/>
          <w:color w:val="auto"/>
          <w:sz w:val="28"/>
          <w:szCs w:val="28"/>
          <w:highlight w:val="none"/>
        </w:rPr>
        <w:t>日</w:t>
      </w:r>
    </w:p>
    <w:p>
      <w:pPr>
        <w:spacing w:beforeLines="100" w:afterLines="100"/>
        <w:rPr>
          <w:rFonts w:eastAsia="楷体_GB2312"/>
          <w:color w:val="auto"/>
          <w:highlight w:val="none"/>
        </w:rPr>
      </w:pPr>
      <w:r>
        <w:rPr>
          <w:rFonts w:eastAsia="楷体_GB2312"/>
          <w:color w:val="auto"/>
          <w:highlight w:val="none"/>
        </w:rPr>
        <w:t xml:space="preserve"> </w:t>
      </w:r>
    </w:p>
    <w:p>
      <w:pPr>
        <w:spacing w:line="480" w:lineRule="auto"/>
        <w:ind w:firstLine="525" w:firstLineChars="250"/>
        <w:jc w:val="center"/>
        <w:rPr>
          <w:color w:val="auto"/>
          <w:sz w:val="24"/>
          <w:szCs w:val="24"/>
          <w:highlight w:val="none"/>
        </w:rPr>
      </w:pPr>
      <w:r>
        <w:rPr>
          <w:color w:val="auto"/>
          <w:highlight w:val="none"/>
        </w:rPr>
        <w:br w:type="page"/>
      </w:r>
      <w:r>
        <w:rPr>
          <w:b/>
          <w:color w:val="auto"/>
          <w:sz w:val="28"/>
          <w:szCs w:val="28"/>
          <w:highlight w:val="none"/>
        </w:rPr>
        <w:t>1</w:t>
      </w:r>
      <w:r>
        <w:rPr>
          <w:rFonts w:hint="eastAsia" w:cs="宋体"/>
          <w:b/>
          <w:color w:val="auto"/>
          <w:sz w:val="28"/>
          <w:szCs w:val="28"/>
          <w:highlight w:val="none"/>
        </w:rPr>
        <w:t>、投标人基本情况表（包含联合体各方）</w:t>
      </w:r>
    </w:p>
    <w:tbl>
      <w:tblPr>
        <w:tblStyle w:val="42"/>
        <w:tblW w:w="89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897"/>
        <w:gridCol w:w="1021"/>
        <w:gridCol w:w="1160"/>
        <w:gridCol w:w="311"/>
        <w:gridCol w:w="1246"/>
        <w:gridCol w:w="63"/>
        <w:gridCol w:w="720"/>
        <w:gridCol w:w="1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26" w:type="dxa"/>
            <w:shd w:val="clear" w:color="auto" w:fill="auto"/>
            <w:vAlign w:val="center"/>
          </w:tcPr>
          <w:p>
            <w:pPr>
              <w:jc w:val="center"/>
              <w:rPr>
                <w:color w:val="auto"/>
                <w:highlight w:val="none"/>
              </w:rPr>
            </w:pPr>
            <w:r>
              <w:rPr>
                <w:rFonts w:hint="eastAsia" w:cs="宋体"/>
                <w:color w:val="auto"/>
                <w:highlight w:val="none"/>
              </w:rPr>
              <w:t>投标人名称</w:t>
            </w:r>
          </w:p>
        </w:tc>
        <w:tc>
          <w:tcPr>
            <w:tcW w:w="7341" w:type="dxa"/>
            <w:gridSpan w:val="8"/>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26" w:type="dxa"/>
            <w:shd w:val="clear" w:color="auto" w:fill="auto"/>
            <w:vAlign w:val="center"/>
          </w:tcPr>
          <w:p>
            <w:pPr>
              <w:jc w:val="center"/>
              <w:rPr>
                <w:color w:val="auto"/>
                <w:highlight w:val="none"/>
              </w:rPr>
            </w:pPr>
            <w:r>
              <w:rPr>
                <w:rFonts w:hint="eastAsia" w:cs="宋体"/>
                <w:color w:val="auto"/>
                <w:highlight w:val="none"/>
              </w:rPr>
              <w:t>注册地址</w:t>
            </w:r>
          </w:p>
        </w:tc>
        <w:tc>
          <w:tcPr>
            <w:tcW w:w="3389" w:type="dxa"/>
            <w:gridSpan w:val="4"/>
            <w:shd w:val="clear" w:color="auto" w:fill="auto"/>
            <w:vAlign w:val="center"/>
          </w:tcPr>
          <w:p>
            <w:pPr>
              <w:jc w:val="center"/>
              <w:rPr>
                <w:color w:val="auto"/>
                <w:highlight w:val="none"/>
              </w:rPr>
            </w:pPr>
          </w:p>
        </w:tc>
        <w:tc>
          <w:tcPr>
            <w:tcW w:w="1246" w:type="dxa"/>
            <w:shd w:val="clear" w:color="auto" w:fill="auto"/>
            <w:vAlign w:val="center"/>
          </w:tcPr>
          <w:p>
            <w:pPr>
              <w:jc w:val="center"/>
              <w:rPr>
                <w:color w:val="auto"/>
                <w:highlight w:val="none"/>
              </w:rPr>
            </w:pPr>
            <w:r>
              <w:rPr>
                <w:rFonts w:hint="eastAsia" w:cs="宋体"/>
                <w:color w:val="auto"/>
                <w:highlight w:val="none"/>
              </w:rPr>
              <w:t>邮政编码</w:t>
            </w:r>
          </w:p>
        </w:tc>
        <w:tc>
          <w:tcPr>
            <w:tcW w:w="2706" w:type="dxa"/>
            <w:gridSpan w:val="3"/>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26" w:type="dxa"/>
            <w:vMerge w:val="restart"/>
            <w:shd w:val="clear" w:color="auto" w:fill="auto"/>
            <w:vAlign w:val="center"/>
          </w:tcPr>
          <w:p>
            <w:pPr>
              <w:jc w:val="center"/>
              <w:rPr>
                <w:color w:val="auto"/>
                <w:highlight w:val="none"/>
              </w:rPr>
            </w:pPr>
            <w:r>
              <w:rPr>
                <w:rFonts w:hint="eastAsia" w:cs="宋体"/>
                <w:color w:val="auto"/>
                <w:highlight w:val="none"/>
              </w:rPr>
              <w:t>联系方式</w:t>
            </w:r>
          </w:p>
        </w:tc>
        <w:tc>
          <w:tcPr>
            <w:tcW w:w="897" w:type="dxa"/>
            <w:shd w:val="clear" w:color="auto" w:fill="auto"/>
            <w:vAlign w:val="center"/>
          </w:tcPr>
          <w:p>
            <w:pPr>
              <w:jc w:val="center"/>
              <w:rPr>
                <w:color w:val="auto"/>
                <w:highlight w:val="none"/>
              </w:rPr>
            </w:pPr>
            <w:r>
              <w:rPr>
                <w:rFonts w:hint="eastAsia" w:cs="宋体"/>
                <w:color w:val="auto"/>
                <w:highlight w:val="none"/>
              </w:rPr>
              <w:t>联系人</w:t>
            </w:r>
          </w:p>
        </w:tc>
        <w:tc>
          <w:tcPr>
            <w:tcW w:w="2492" w:type="dxa"/>
            <w:gridSpan w:val="3"/>
            <w:shd w:val="clear" w:color="auto" w:fill="auto"/>
            <w:vAlign w:val="center"/>
          </w:tcPr>
          <w:p>
            <w:pPr>
              <w:jc w:val="center"/>
              <w:rPr>
                <w:color w:val="auto"/>
                <w:highlight w:val="none"/>
              </w:rPr>
            </w:pPr>
          </w:p>
        </w:tc>
        <w:tc>
          <w:tcPr>
            <w:tcW w:w="1246" w:type="dxa"/>
            <w:shd w:val="clear" w:color="auto" w:fill="auto"/>
            <w:vAlign w:val="center"/>
          </w:tcPr>
          <w:p>
            <w:pPr>
              <w:jc w:val="center"/>
              <w:rPr>
                <w:color w:val="auto"/>
                <w:highlight w:val="none"/>
              </w:rPr>
            </w:pPr>
            <w:r>
              <w:rPr>
                <w:rFonts w:hint="eastAsia" w:cs="宋体"/>
                <w:color w:val="auto"/>
                <w:highlight w:val="none"/>
              </w:rPr>
              <w:t>电</w:t>
            </w:r>
            <w:r>
              <w:rPr>
                <w:color w:val="auto"/>
                <w:highlight w:val="none"/>
              </w:rPr>
              <w:t xml:space="preserve">  </w:t>
            </w:r>
            <w:r>
              <w:rPr>
                <w:rFonts w:hint="eastAsia" w:cs="宋体"/>
                <w:color w:val="auto"/>
                <w:highlight w:val="none"/>
              </w:rPr>
              <w:t>话</w:t>
            </w:r>
          </w:p>
        </w:tc>
        <w:tc>
          <w:tcPr>
            <w:tcW w:w="2706" w:type="dxa"/>
            <w:gridSpan w:val="3"/>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26" w:type="dxa"/>
            <w:vMerge w:val="continue"/>
            <w:shd w:val="clear" w:color="auto" w:fill="auto"/>
            <w:vAlign w:val="center"/>
          </w:tcPr>
          <w:p>
            <w:pPr>
              <w:jc w:val="center"/>
              <w:rPr>
                <w:color w:val="auto"/>
                <w:highlight w:val="none"/>
              </w:rPr>
            </w:pPr>
          </w:p>
        </w:tc>
        <w:tc>
          <w:tcPr>
            <w:tcW w:w="897" w:type="dxa"/>
            <w:shd w:val="clear" w:color="auto" w:fill="auto"/>
            <w:vAlign w:val="center"/>
          </w:tcPr>
          <w:p>
            <w:pPr>
              <w:jc w:val="center"/>
              <w:rPr>
                <w:color w:val="auto"/>
                <w:highlight w:val="none"/>
              </w:rPr>
            </w:pPr>
            <w:r>
              <w:rPr>
                <w:rFonts w:hint="eastAsia" w:cs="宋体"/>
                <w:color w:val="auto"/>
                <w:highlight w:val="none"/>
              </w:rPr>
              <w:t>传</w:t>
            </w:r>
            <w:r>
              <w:rPr>
                <w:color w:val="auto"/>
                <w:highlight w:val="none"/>
              </w:rPr>
              <w:t xml:space="preserve">  </w:t>
            </w:r>
            <w:r>
              <w:rPr>
                <w:rFonts w:hint="eastAsia" w:cs="宋体"/>
                <w:color w:val="auto"/>
                <w:highlight w:val="none"/>
              </w:rPr>
              <w:t>真</w:t>
            </w:r>
          </w:p>
        </w:tc>
        <w:tc>
          <w:tcPr>
            <w:tcW w:w="2492" w:type="dxa"/>
            <w:gridSpan w:val="3"/>
            <w:shd w:val="clear" w:color="auto" w:fill="auto"/>
            <w:vAlign w:val="center"/>
          </w:tcPr>
          <w:p>
            <w:pPr>
              <w:jc w:val="center"/>
              <w:rPr>
                <w:color w:val="auto"/>
                <w:highlight w:val="none"/>
              </w:rPr>
            </w:pPr>
          </w:p>
        </w:tc>
        <w:tc>
          <w:tcPr>
            <w:tcW w:w="1246" w:type="dxa"/>
            <w:shd w:val="clear" w:color="auto" w:fill="auto"/>
            <w:vAlign w:val="center"/>
          </w:tcPr>
          <w:p>
            <w:pPr>
              <w:jc w:val="center"/>
              <w:rPr>
                <w:color w:val="auto"/>
                <w:highlight w:val="none"/>
              </w:rPr>
            </w:pPr>
            <w:r>
              <w:rPr>
                <w:rFonts w:hint="eastAsia" w:cs="宋体"/>
                <w:color w:val="auto"/>
                <w:highlight w:val="none"/>
              </w:rPr>
              <w:t>网</w:t>
            </w:r>
            <w:r>
              <w:rPr>
                <w:color w:val="auto"/>
                <w:highlight w:val="none"/>
              </w:rPr>
              <w:t xml:space="preserve">  </w:t>
            </w:r>
            <w:r>
              <w:rPr>
                <w:rFonts w:hint="eastAsia" w:cs="宋体"/>
                <w:color w:val="auto"/>
                <w:highlight w:val="none"/>
              </w:rPr>
              <w:t>址</w:t>
            </w:r>
          </w:p>
        </w:tc>
        <w:tc>
          <w:tcPr>
            <w:tcW w:w="2706" w:type="dxa"/>
            <w:gridSpan w:val="3"/>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26" w:type="dxa"/>
            <w:shd w:val="clear" w:color="auto" w:fill="auto"/>
            <w:vAlign w:val="center"/>
          </w:tcPr>
          <w:p>
            <w:pPr>
              <w:jc w:val="center"/>
              <w:rPr>
                <w:color w:val="auto"/>
                <w:highlight w:val="none"/>
              </w:rPr>
            </w:pPr>
            <w:r>
              <w:rPr>
                <w:rFonts w:hint="eastAsia" w:cs="宋体"/>
                <w:color w:val="auto"/>
                <w:highlight w:val="none"/>
              </w:rPr>
              <w:t>统一社会信用代码</w:t>
            </w:r>
          </w:p>
        </w:tc>
        <w:tc>
          <w:tcPr>
            <w:tcW w:w="7341" w:type="dxa"/>
            <w:gridSpan w:val="8"/>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26" w:type="dxa"/>
            <w:shd w:val="clear" w:color="auto" w:fill="auto"/>
            <w:vAlign w:val="center"/>
          </w:tcPr>
          <w:p>
            <w:pPr>
              <w:jc w:val="center"/>
              <w:rPr>
                <w:color w:val="auto"/>
                <w:highlight w:val="none"/>
              </w:rPr>
            </w:pPr>
            <w:r>
              <w:rPr>
                <w:rFonts w:hint="eastAsia" w:cs="宋体"/>
                <w:color w:val="auto"/>
                <w:highlight w:val="none"/>
              </w:rPr>
              <w:t>法定代表人</w:t>
            </w:r>
          </w:p>
        </w:tc>
        <w:tc>
          <w:tcPr>
            <w:tcW w:w="897" w:type="dxa"/>
            <w:shd w:val="clear" w:color="auto" w:fill="auto"/>
            <w:vAlign w:val="center"/>
          </w:tcPr>
          <w:p>
            <w:pPr>
              <w:jc w:val="center"/>
              <w:rPr>
                <w:color w:val="auto"/>
                <w:highlight w:val="none"/>
              </w:rPr>
            </w:pPr>
            <w:r>
              <w:rPr>
                <w:rFonts w:hint="eastAsia" w:cs="宋体"/>
                <w:color w:val="auto"/>
                <w:highlight w:val="none"/>
              </w:rPr>
              <w:t>姓名</w:t>
            </w:r>
          </w:p>
        </w:tc>
        <w:tc>
          <w:tcPr>
            <w:tcW w:w="3801" w:type="dxa"/>
            <w:gridSpan w:val="5"/>
            <w:shd w:val="clear" w:color="auto" w:fill="auto"/>
            <w:vAlign w:val="center"/>
          </w:tcPr>
          <w:p>
            <w:pPr>
              <w:jc w:val="center"/>
              <w:rPr>
                <w:color w:val="auto"/>
                <w:highlight w:val="none"/>
              </w:rPr>
            </w:pPr>
          </w:p>
        </w:tc>
        <w:tc>
          <w:tcPr>
            <w:tcW w:w="720" w:type="dxa"/>
            <w:shd w:val="clear" w:color="auto" w:fill="auto"/>
            <w:vAlign w:val="center"/>
          </w:tcPr>
          <w:p>
            <w:pPr>
              <w:jc w:val="center"/>
              <w:rPr>
                <w:color w:val="auto"/>
                <w:highlight w:val="none"/>
              </w:rPr>
            </w:pPr>
            <w:r>
              <w:rPr>
                <w:rFonts w:hint="eastAsia" w:cs="宋体"/>
                <w:color w:val="auto"/>
                <w:highlight w:val="none"/>
              </w:rPr>
              <w:t>电话</w:t>
            </w:r>
          </w:p>
        </w:tc>
        <w:tc>
          <w:tcPr>
            <w:tcW w:w="1923"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26" w:type="dxa"/>
            <w:shd w:val="clear" w:color="auto" w:fill="auto"/>
            <w:vAlign w:val="center"/>
          </w:tcPr>
          <w:p>
            <w:pPr>
              <w:jc w:val="center"/>
              <w:rPr>
                <w:color w:val="auto"/>
                <w:highlight w:val="none"/>
              </w:rPr>
            </w:pPr>
            <w:r>
              <w:rPr>
                <w:rFonts w:hint="eastAsia" w:cs="宋体"/>
                <w:color w:val="auto"/>
                <w:highlight w:val="none"/>
              </w:rPr>
              <w:t>技术负责人</w:t>
            </w:r>
          </w:p>
        </w:tc>
        <w:tc>
          <w:tcPr>
            <w:tcW w:w="897" w:type="dxa"/>
            <w:shd w:val="clear" w:color="auto" w:fill="auto"/>
            <w:vAlign w:val="center"/>
          </w:tcPr>
          <w:p>
            <w:pPr>
              <w:jc w:val="center"/>
              <w:rPr>
                <w:color w:val="auto"/>
                <w:highlight w:val="none"/>
              </w:rPr>
            </w:pPr>
            <w:r>
              <w:rPr>
                <w:rFonts w:hint="eastAsia" w:cs="宋体"/>
                <w:color w:val="auto"/>
                <w:highlight w:val="none"/>
              </w:rPr>
              <w:t>姓名</w:t>
            </w:r>
          </w:p>
        </w:tc>
        <w:tc>
          <w:tcPr>
            <w:tcW w:w="1021" w:type="dxa"/>
            <w:shd w:val="clear" w:color="auto" w:fill="auto"/>
            <w:vAlign w:val="center"/>
          </w:tcPr>
          <w:p>
            <w:pPr>
              <w:jc w:val="center"/>
              <w:rPr>
                <w:color w:val="auto"/>
                <w:highlight w:val="none"/>
              </w:rPr>
            </w:pPr>
          </w:p>
        </w:tc>
        <w:tc>
          <w:tcPr>
            <w:tcW w:w="1160" w:type="dxa"/>
            <w:shd w:val="clear" w:color="auto" w:fill="auto"/>
            <w:vAlign w:val="center"/>
          </w:tcPr>
          <w:p>
            <w:pPr>
              <w:jc w:val="center"/>
              <w:rPr>
                <w:color w:val="auto"/>
                <w:highlight w:val="none"/>
              </w:rPr>
            </w:pPr>
            <w:r>
              <w:rPr>
                <w:rFonts w:hint="eastAsia" w:cs="宋体"/>
                <w:color w:val="auto"/>
                <w:highlight w:val="none"/>
              </w:rPr>
              <w:t>技术职称</w:t>
            </w:r>
          </w:p>
        </w:tc>
        <w:tc>
          <w:tcPr>
            <w:tcW w:w="1620" w:type="dxa"/>
            <w:gridSpan w:val="3"/>
            <w:shd w:val="clear" w:color="auto" w:fill="auto"/>
            <w:vAlign w:val="center"/>
          </w:tcPr>
          <w:p>
            <w:pPr>
              <w:jc w:val="center"/>
              <w:rPr>
                <w:color w:val="auto"/>
                <w:highlight w:val="none"/>
              </w:rPr>
            </w:pPr>
          </w:p>
        </w:tc>
        <w:tc>
          <w:tcPr>
            <w:tcW w:w="720" w:type="dxa"/>
            <w:shd w:val="clear" w:color="auto" w:fill="auto"/>
            <w:vAlign w:val="center"/>
          </w:tcPr>
          <w:p>
            <w:pPr>
              <w:jc w:val="center"/>
              <w:rPr>
                <w:color w:val="auto"/>
                <w:highlight w:val="none"/>
              </w:rPr>
            </w:pPr>
            <w:r>
              <w:rPr>
                <w:rFonts w:hint="eastAsia" w:cs="宋体"/>
                <w:color w:val="auto"/>
                <w:highlight w:val="none"/>
              </w:rPr>
              <w:t>电话</w:t>
            </w:r>
          </w:p>
        </w:tc>
        <w:tc>
          <w:tcPr>
            <w:tcW w:w="1923"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26" w:type="dxa"/>
            <w:shd w:val="clear" w:color="auto" w:fill="auto"/>
            <w:vAlign w:val="center"/>
          </w:tcPr>
          <w:p>
            <w:pPr>
              <w:jc w:val="center"/>
              <w:rPr>
                <w:color w:val="auto"/>
                <w:highlight w:val="none"/>
              </w:rPr>
            </w:pPr>
            <w:r>
              <w:rPr>
                <w:rFonts w:hint="eastAsia" w:cs="宋体"/>
                <w:color w:val="auto"/>
                <w:highlight w:val="none"/>
              </w:rPr>
              <w:t>成立时间</w:t>
            </w:r>
          </w:p>
        </w:tc>
        <w:tc>
          <w:tcPr>
            <w:tcW w:w="1918" w:type="dxa"/>
            <w:gridSpan w:val="2"/>
            <w:shd w:val="clear" w:color="auto" w:fill="auto"/>
            <w:vAlign w:val="center"/>
          </w:tcPr>
          <w:p>
            <w:pPr>
              <w:jc w:val="center"/>
              <w:rPr>
                <w:color w:val="auto"/>
                <w:highlight w:val="none"/>
              </w:rPr>
            </w:pPr>
          </w:p>
        </w:tc>
        <w:tc>
          <w:tcPr>
            <w:tcW w:w="5423" w:type="dxa"/>
            <w:gridSpan w:val="6"/>
            <w:shd w:val="clear" w:color="auto" w:fill="auto"/>
            <w:vAlign w:val="center"/>
          </w:tcPr>
          <w:p>
            <w:pPr>
              <w:jc w:val="center"/>
              <w:rPr>
                <w:color w:val="auto"/>
                <w:highlight w:val="none"/>
              </w:rPr>
            </w:pPr>
            <w:r>
              <w:rPr>
                <w:rFonts w:hint="eastAsia" w:cs="宋体"/>
                <w:color w:val="auto"/>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26" w:type="dxa"/>
            <w:shd w:val="clear" w:color="auto" w:fill="auto"/>
            <w:vAlign w:val="center"/>
          </w:tcPr>
          <w:p>
            <w:pPr>
              <w:jc w:val="center"/>
              <w:rPr>
                <w:color w:val="auto"/>
                <w:highlight w:val="none"/>
              </w:rPr>
            </w:pPr>
            <w:r>
              <w:rPr>
                <w:rFonts w:hint="eastAsia" w:cs="宋体"/>
                <w:color w:val="auto"/>
                <w:highlight w:val="none"/>
              </w:rPr>
              <w:t>资质等级</w:t>
            </w:r>
          </w:p>
        </w:tc>
        <w:tc>
          <w:tcPr>
            <w:tcW w:w="1918" w:type="dxa"/>
            <w:gridSpan w:val="2"/>
            <w:shd w:val="clear" w:color="auto" w:fill="auto"/>
            <w:vAlign w:val="center"/>
          </w:tcPr>
          <w:p>
            <w:pPr>
              <w:jc w:val="center"/>
              <w:rPr>
                <w:color w:val="auto"/>
                <w:highlight w:val="none"/>
              </w:rPr>
            </w:pPr>
          </w:p>
        </w:tc>
        <w:tc>
          <w:tcPr>
            <w:tcW w:w="1160" w:type="dxa"/>
            <w:vMerge w:val="restart"/>
            <w:shd w:val="clear" w:color="auto" w:fill="auto"/>
            <w:vAlign w:val="center"/>
          </w:tcPr>
          <w:p>
            <w:pPr>
              <w:jc w:val="center"/>
              <w:rPr>
                <w:color w:val="auto"/>
                <w:highlight w:val="none"/>
              </w:rPr>
            </w:pPr>
            <w:r>
              <w:rPr>
                <w:rFonts w:hint="eastAsia" w:cs="宋体"/>
                <w:color w:val="auto"/>
                <w:highlight w:val="none"/>
              </w:rPr>
              <w:t>其中</w:t>
            </w:r>
          </w:p>
        </w:tc>
        <w:tc>
          <w:tcPr>
            <w:tcW w:w="1620" w:type="dxa"/>
            <w:gridSpan w:val="3"/>
            <w:shd w:val="clear" w:color="auto" w:fill="auto"/>
            <w:vAlign w:val="center"/>
          </w:tcPr>
          <w:p>
            <w:pPr>
              <w:jc w:val="center"/>
              <w:rPr>
                <w:color w:val="auto"/>
                <w:highlight w:val="none"/>
              </w:rPr>
            </w:pPr>
            <w:r>
              <w:rPr>
                <w:rFonts w:hint="eastAsia" w:cs="宋体"/>
                <w:color w:val="auto"/>
                <w:highlight w:val="none"/>
              </w:rPr>
              <w:t>项目经理</w:t>
            </w:r>
          </w:p>
        </w:tc>
        <w:tc>
          <w:tcPr>
            <w:tcW w:w="2643" w:type="dxa"/>
            <w:gridSpan w:val="2"/>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26" w:type="dxa"/>
            <w:shd w:val="clear" w:color="auto" w:fill="auto"/>
            <w:vAlign w:val="center"/>
          </w:tcPr>
          <w:p>
            <w:pPr>
              <w:jc w:val="center"/>
              <w:rPr>
                <w:color w:val="auto"/>
                <w:highlight w:val="none"/>
              </w:rPr>
            </w:pPr>
            <w:r>
              <w:rPr>
                <w:rFonts w:hint="eastAsia" w:cs="宋体"/>
                <w:color w:val="auto"/>
                <w:highlight w:val="none"/>
              </w:rPr>
              <w:t>安全生产许可证号</w:t>
            </w:r>
          </w:p>
        </w:tc>
        <w:tc>
          <w:tcPr>
            <w:tcW w:w="1918" w:type="dxa"/>
            <w:gridSpan w:val="2"/>
            <w:shd w:val="clear" w:color="auto" w:fill="auto"/>
            <w:vAlign w:val="center"/>
          </w:tcPr>
          <w:p>
            <w:pPr>
              <w:jc w:val="center"/>
              <w:rPr>
                <w:color w:val="auto"/>
                <w:highlight w:val="none"/>
              </w:rPr>
            </w:pPr>
          </w:p>
        </w:tc>
        <w:tc>
          <w:tcPr>
            <w:tcW w:w="1160" w:type="dxa"/>
            <w:vMerge w:val="continue"/>
            <w:shd w:val="clear" w:color="auto" w:fill="auto"/>
            <w:vAlign w:val="center"/>
          </w:tcPr>
          <w:p>
            <w:pPr>
              <w:jc w:val="center"/>
              <w:rPr>
                <w:color w:val="auto"/>
                <w:highlight w:val="none"/>
              </w:rPr>
            </w:pPr>
          </w:p>
        </w:tc>
        <w:tc>
          <w:tcPr>
            <w:tcW w:w="1620" w:type="dxa"/>
            <w:gridSpan w:val="3"/>
            <w:shd w:val="clear" w:color="auto" w:fill="auto"/>
            <w:vAlign w:val="center"/>
          </w:tcPr>
          <w:p>
            <w:pPr>
              <w:jc w:val="center"/>
              <w:rPr>
                <w:color w:val="auto"/>
                <w:highlight w:val="none"/>
              </w:rPr>
            </w:pPr>
            <w:r>
              <w:rPr>
                <w:rFonts w:hint="eastAsia" w:cs="宋体"/>
                <w:color w:val="auto"/>
                <w:highlight w:val="none"/>
              </w:rPr>
              <w:t>高级职称人员</w:t>
            </w:r>
          </w:p>
        </w:tc>
        <w:tc>
          <w:tcPr>
            <w:tcW w:w="2643" w:type="dxa"/>
            <w:gridSpan w:val="2"/>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26" w:type="dxa"/>
            <w:shd w:val="clear" w:color="auto" w:fill="auto"/>
            <w:vAlign w:val="center"/>
          </w:tcPr>
          <w:p>
            <w:pPr>
              <w:jc w:val="center"/>
              <w:rPr>
                <w:color w:val="auto"/>
                <w:highlight w:val="none"/>
              </w:rPr>
            </w:pPr>
            <w:r>
              <w:rPr>
                <w:rFonts w:hint="eastAsia" w:cs="宋体"/>
                <w:color w:val="auto"/>
                <w:highlight w:val="none"/>
              </w:rPr>
              <w:t>注册资金</w:t>
            </w:r>
          </w:p>
        </w:tc>
        <w:tc>
          <w:tcPr>
            <w:tcW w:w="1918" w:type="dxa"/>
            <w:gridSpan w:val="2"/>
            <w:shd w:val="clear" w:color="auto" w:fill="auto"/>
            <w:vAlign w:val="center"/>
          </w:tcPr>
          <w:p>
            <w:pPr>
              <w:jc w:val="center"/>
              <w:rPr>
                <w:color w:val="auto"/>
                <w:highlight w:val="none"/>
              </w:rPr>
            </w:pPr>
          </w:p>
        </w:tc>
        <w:tc>
          <w:tcPr>
            <w:tcW w:w="1160" w:type="dxa"/>
            <w:vMerge w:val="continue"/>
            <w:shd w:val="clear" w:color="auto" w:fill="auto"/>
            <w:vAlign w:val="center"/>
          </w:tcPr>
          <w:p>
            <w:pPr>
              <w:jc w:val="center"/>
              <w:rPr>
                <w:color w:val="auto"/>
                <w:highlight w:val="none"/>
              </w:rPr>
            </w:pPr>
          </w:p>
        </w:tc>
        <w:tc>
          <w:tcPr>
            <w:tcW w:w="1620" w:type="dxa"/>
            <w:gridSpan w:val="3"/>
            <w:shd w:val="clear" w:color="auto" w:fill="auto"/>
            <w:vAlign w:val="center"/>
          </w:tcPr>
          <w:p>
            <w:pPr>
              <w:jc w:val="center"/>
              <w:rPr>
                <w:color w:val="auto"/>
                <w:highlight w:val="none"/>
              </w:rPr>
            </w:pPr>
            <w:r>
              <w:rPr>
                <w:rFonts w:hint="eastAsia" w:cs="宋体"/>
                <w:color w:val="auto"/>
                <w:highlight w:val="none"/>
              </w:rPr>
              <w:t>中级职称人员</w:t>
            </w:r>
          </w:p>
        </w:tc>
        <w:tc>
          <w:tcPr>
            <w:tcW w:w="2643" w:type="dxa"/>
            <w:gridSpan w:val="2"/>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26" w:type="dxa"/>
            <w:shd w:val="clear" w:color="auto" w:fill="auto"/>
            <w:vAlign w:val="center"/>
          </w:tcPr>
          <w:p>
            <w:pPr>
              <w:jc w:val="center"/>
              <w:rPr>
                <w:color w:val="auto"/>
                <w:highlight w:val="none"/>
              </w:rPr>
            </w:pPr>
            <w:r>
              <w:rPr>
                <w:rFonts w:hint="eastAsia" w:cs="宋体"/>
                <w:color w:val="auto"/>
                <w:highlight w:val="none"/>
              </w:rPr>
              <w:t>开户银行</w:t>
            </w:r>
          </w:p>
        </w:tc>
        <w:tc>
          <w:tcPr>
            <w:tcW w:w="1918" w:type="dxa"/>
            <w:gridSpan w:val="2"/>
            <w:shd w:val="clear" w:color="auto" w:fill="auto"/>
            <w:vAlign w:val="center"/>
          </w:tcPr>
          <w:p>
            <w:pPr>
              <w:jc w:val="center"/>
              <w:rPr>
                <w:color w:val="auto"/>
                <w:highlight w:val="none"/>
              </w:rPr>
            </w:pPr>
          </w:p>
        </w:tc>
        <w:tc>
          <w:tcPr>
            <w:tcW w:w="1160" w:type="dxa"/>
            <w:vMerge w:val="continue"/>
            <w:shd w:val="clear" w:color="auto" w:fill="auto"/>
            <w:vAlign w:val="center"/>
          </w:tcPr>
          <w:p>
            <w:pPr>
              <w:jc w:val="center"/>
              <w:rPr>
                <w:color w:val="auto"/>
                <w:highlight w:val="none"/>
              </w:rPr>
            </w:pPr>
          </w:p>
        </w:tc>
        <w:tc>
          <w:tcPr>
            <w:tcW w:w="1620" w:type="dxa"/>
            <w:gridSpan w:val="3"/>
            <w:shd w:val="clear" w:color="auto" w:fill="auto"/>
            <w:vAlign w:val="center"/>
          </w:tcPr>
          <w:p>
            <w:pPr>
              <w:jc w:val="center"/>
              <w:rPr>
                <w:color w:val="auto"/>
                <w:highlight w:val="none"/>
              </w:rPr>
            </w:pPr>
            <w:r>
              <w:rPr>
                <w:rFonts w:hint="eastAsia" w:cs="宋体"/>
                <w:color w:val="auto"/>
                <w:highlight w:val="none"/>
              </w:rPr>
              <w:t>初级职称人员</w:t>
            </w:r>
          </w:p>
        </w:tc>
        <w:tc>
          <w:tcPr>
            <w:tcW w:w="2643" w:type="dxa"/>
            <w:gridSpan w:val="2"/>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26" w:type="dxa"/>
            <w:shd w:val="clear" w:color="auto" w:fill="auto"/>
            <w:vAlign w:val="center"/>
          </w:tcPr>
          <w:p>
            <w:pPr>
              <w:jc w:val="center"/>
              <w:rPr>
                <w:color w:val="auto"/>
                <w:highlight w:val="none"/>
              </w:rPr>
            </w:pPr>
            <w:r>
              <w:rPr>
                <w:rFonts w:hint="eastAsia" w:cs="宋体"/>
                <w:color w:val="auto"/>
                <w:highlight w:val="none"/>
              </w:rPr>
              <w:t>账号</w:t>
            </w:r>
          </w:p>
        </w:tc>
        <w:tc>
          <w:tcPr>
            <w:tcW w:w="1918" w:type="dxa"/>
            <w:gridSpan w:val="2"/>
            <w:shd w:val="clear" w:color="auto" w:fill="auto"/>
            <w:vAlign w:val="center"/>
          </w:tcPr>
          <w:p>
            <w:pPr>
              <w:jc w:val="center"/>
              <w:rPr>
                <w:color w:val="auto"/>
                <w:highlight w:val="none"/>
              </w:rPr>
            </w:pPr>
          </w:p>
        </w:tc>
        <w:tc>
          <w:tcPr>
            <w:tcW w:w="1160" w:type="dxa"/>
            <w:vMerge w:val="continue"/>
            <w:shd w:val="clear" w:color="auto" w:fill="auto"/>
            <w:vAlign w:val="center"/>
          </w:tcPr>
          <w:p>
            <w:pPr>
              <w:jc w:val="center"/>
              <w:rPr>
                <w:color w:val="auto"/>
                <w:highlight w:val="none"/>
              </w:rPr>
            </w:pPr>
          </w:p>
        </w:tc>
        <w:tc>
          <w:tcPr>
            <w:tcW w:w="1620" w:type="dxa"/>
            <w:gridSpan w:val="3"/>
            <w:shd w:val="clear" w:color="auto" w:fill="auto"/>
            <w:vAlign w:val="center"/>
          </w:tcPr>
          <w:p>
            <w:pPr>
              <w:jc w:val="center"/>
              <w:rPr>
                <w:color w:val="auto"/>
                <w:highlight w:val="none"/>
              </w:rPr>
            </w:pPr>
            <w:r>
              <w:rPr>
                <w:rFonts w:hint="eastAsia" w:cs="宋体"/>
                <w:color w:val="auto"/>
                <w:highlight w:val="none"/>
              </w:rPr>
              <w:t>技</w:t>
            </w:r>
            <w:r>
              <w:rPr>
                <w:color w:val="auto"/>
                <w:highlight w:val="none"/>
              </w:rPr>
              <w:t xml:space="preserve">  </w:t>
            </w:r>
            <w:r>
              <w:rPr>
                <w:rFonts w:hint="eastAsia" w:cs="宋体"/>
                <w:color w:val="auto"/>
                <w:highlight w:val="none"/>
              </w:rPr>
              <w:t>工</w:t>
            </w:r>
          </w:p>
        </w:tc>
        <w:tc>
          <w:tcPr>
            <w:tcW w:w="2643" w:type="dxa"/>
            <w:gridSpan w:val="2"/>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7" w:hRule="atLeast"/>
          <w:jc w:val="center"/>
        </w:trPr>
        <w:tc>
          <w:tcPr>
            <w:tcW w:w="1626" w:type="dxa"/>
            <w:shd w:val="clear" w:color="auto" w:fill="auto"/>
            <w:vAlign w:val="center"/>
          </w:tcPr>
          <w:p>
            <w:pPr>
              <w:jc w:val="center"/>
              <w:rPr>
                <w:color w:val="auto"/>
                <w:highlight w:val="none"/>
              </w:rPr>
            </w:pPr>
            <w:r>
              <w:rPr>
                <w:rFonts w:hint="eastAsia" w:cs="宋体"/>
                <w:color w:val="auto"/>
                <w:highlight w:val="none"/>
              </w:rPr>
              <w:t>经营范围</w:t>
            </w:r>
          </w:p>
        </w:tc>
        <w:tc>
          <w:tcPr>
            <w:tcW w:w="7341" w:type="dxa"/>
            <w:gridSpan w:val="8"/>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26" w:type="dxa"/>
            <w:shd w:val="clear" w:color="auto" w:fill="auto"/>
            <w:vAlign w:val="center"/>
          </w:tcPr>
          <w:p>
            <w:pPr>
              <w:jc w:val="center"/>
              <w:rPr>
                <w:color w:val="auto"/>
                <w:highlight w:val="none"/>
              </w:rPr>
            </w:pPr>
            <w:r>
              <w:rPr>
                <w:rFonts w:hint="eastAsia" w:cs="宋体"/>
                <w:color w:val="auto"/>
                <w:highlight w:val="none"/>
              </w:rPr>
              <w:t>备注</w:t>
            </w:r>
          </w:p>
        </w:tc>
        <w:tc>
          <w:tcPr>
            <w:tcW w:w="7341" w:type="dxa"/>
            <w:gridSpan w:val="8"/>
            <w:shd w:val="clear" w:color="auto" w:fill="auto"/>
            <w:vAlign w:val="center"/>
          </w:tcPr>
          <w:p>
            <w:pPr>
              <w:jc w:val="center"/>
              <w:rPr>
                <w:color w:val="auto"/>
                <w:highlight w:val="none"/>
              </w:rPr>
            </w:pPr>
          </w:p>
        </w:tc>
      </w:tr>
    </w:tbl>
    <w:p>
      <w:pPr>
        <w:spacing w:line="440" w:lineRule="exact"/>
        <w:rPr>
          <w:color w:val="auto"/>
          <w:highlight w:val="none"/>
        </w:rPr>
      </w:pPr>
    </w:p>
    <w:p>
      <w:pPr>
        <w:spacing w:line="440" w:lineRule="exact"/>
        <w:rPr>
          <w:color w:val="auto"/>
          <w:highlight w:val="none"/>
        </w:rPr>
      </w:pPr>
      <w:r>
        <w:rPr>
          <w:rFonts w:hint="eastAsia" w:eastAsia="楷体_GB2312" w:cs="楷体_GB2312"/>
          <w:color w:val="auto"/>
          <w:highlight w:val="none"/>
        </w:rPr>
        <w:t>【备注：附有效的企业营业执照、企业资质证书副本和安全生产许可证副本等的扫描件。以上扫描件均为原件的扫描件】</w:t>
      </w:r>
    </w:p>
    <w:p>
      <w:pPr>
        <w:spacing w:line="480" w:lineRule="auto"/>
        <w:ind w:firstLine="525" w:firstLineChars="250"/>
        <w:jc w:val="center"/>
        <w:rPr>
          <w:color w:val="auto"/>
          <w:sz w:val="28"/>
          <w:szCs w:val="28"/>
          <w:highlight w:val="none"/>
        </w:rPr>
      </w:pPr>
      <w:r>
        <w:rPr>
          <w:color w:val="auto"/>
          <w:highlight w:val="none"/>
        </w:rPr>
        <w:br w:type="page"/>
      </w:r>
      <w:r>
        <w:rPr>
          <w:b/>
          <w:color w:val="auto"/>
          <w:sz w:val="28"/>
          <w:szCs w:val="28"/>
          <w:highlight w:val="none"/>
        </w:rPr>
        <w:t>2</w:t>
      </w:r>
      <w:r>
        <w:rPr>
          <w:rFonts w:hint="eastAsia" w:cs="宋体"/>
          <w:b/>
          <w:color w:val="auto"/>
          <w:sz w:val="28"/>
          <w:szCs w:val="28"/>
          <w:highlight w:val="none"/>
        </w:rPr>
        <w:t>、联合体协议书（联合体投标人适用）</w:t>
      </w:r>
    </w:p>
    <w:p>
      <w:pPr>
        <w:spacing w:line="394" w:lineRule="exact"/>
        <w:rPr>
          <w:color w:val="auto"/>
          <w:highlight w:val="none"/>
        </w:rPr>
      </w:pPr>
      <w:r>
        <w:rPr>
          <w:rFonts w:hint="eastAsia" w:cs="宋体"/>
          <w:color w:val="auto"/>
          <w:highlight w:val="none"/>
        </w:rPr>
        <w:t>牵头人名称：</w:t>
      </w:r>
      <w:r>
        <w:rPr>
          <w:color w:val="auto"/>
          <w:highlight w:val="none"/>
          <w:u w:val="single"/>
        </w:rPr>
        <w:t xml:space="preserve">                                                  </w:t>
      </w:r>
    </w:p>
    <w:p>
      <w:pPr>
        <w:spacing w:line="394" w:lineRule="exact"/>
        <w:rPr>
          <w:color w:val="auto"/>
          <w:highlight w:val="none"/>
        </w:rPr>
      </w:pPr>
      <w:r>
        <w:rPr>
          <w:rFonts w:hint="eastAsia" w:cs="宋体"/>
          <w:color w:val="auto"/>
          <w:highlight w:val="none"/>
        </w:rPr>
        <w:t>法定代表人：</w:t>
      </w:r>
      <w:r>
        <w:rPr>
          <w:color w:val="auto"/>
          <w:highlight w:val="none"/>
          <w:u w:val="single"/>
        </w:rPr>
        <w:t xml:space="preserve">                                                  </w:t>
      </w:r>
    </w:p>
    <w:p>
      <w:pPr>
        <w:spacing w:line="394" w:lineRule="exact"/>
        <w:rPr>
          <w:color w:val="auto"/>
          <w:highlight w:val="none"/>
        </w:rPr>
      </w:pPr>
      <w:r>
        <w:rPr>
          <w:rFonts w:hint="eastAsia" w:cs="宋体"/>
          <w:color w:val="auto"/>
          <w:highlight w:val="none"/>
        </w:rPr>
        <w:t>法定住所：</w:t>
      </w:r>
      <w:r>
        <w:rPr>
          <w:color w:val="auto"/>
          <w:highlight w:val="none"/>
          <w:u w:val="single"/>
        </w:rPr>
        <w:t xml:space="preserve">                                                    </w:t>
      </w:r>
    </w:p>
    <w:p>
      <w:pPr>
        <w:spacing w:line="394" w:lineRule="exact"/>
        <w:rPr>
          <w:color w:val="auto"/>
          <w:highlight w:val="none"/>
        </w:rPr>
      </w:pPr>
      <w:r>
        <w:rPr>
          <w:rFonts w:hint="eastAsia" w:cs="宋体"/>
          <w:color w:val="auto"/>
          <w:highlight w:val="none"/>
        </w:rPr>
        <w:t>成员二名称：</w:t>
      </w:r>
      <w:r>
        <w:rPr>
          <w:color w:val="auto"/>
          <w:highlight w:val="none"/>
          <w:u w:val="single"/>
        </w:rPr>
        <w:t xml:space="preserve">                                                  </w:t>
      </w:r>
    </w:p>
    <w:p>
      <w:pPr>
        <w:spacing w:line="394" w:lineRule="exact"/>
        <w:rPr>
          <w:color w:val="auto"/>
          <w:highlight w:val="none"/>
        </w:rPr>
      </w:pPr>
      <w:r>
        <w:rPr>
          <w:rFonts w:hint="eastAsia" w:cs="宋体"/>
          <w:color w:val="auto"/>
          <w:highlight w:val="none"/>
        </w:rPr>
        <w:t>法定代表人：</w:t>
      </w:r>
      <w:r>
        <w:rPr>
          <w:color w:val="auto"/>
          <w:highlight w:val="none"/>
          <w:u w:val="single"/>
        </w:rPr>
        <w:t xml:space="preserve">                                                  </w:t>
      </w:r>
    </w:p>
    <w:p>
      <w:pPr>
        <w:spacing w:line="394" w:lineRule="exact"/>
        <w:rPr>
          <w:color w:val="auto"/>
          <w:highlight w:val="none"/>
          <w:u w:val="single"/>
        </w:rPr>
      </w:pPr>
      <w:r>
        <w:rPr>
          <w:rFonts w:hint="eastAsia" w:cs="宋体"/>
          <w:color w:val="auto"/>
          <w:highlight w:val="none"/>
        </w:rPr>
        <w:t>法定住所：</w:t>
      </w:r>
      <w:r>
        <w:rPr>
          <w:color w:val="auto"/>
          <w:highlight w:val="none"/>
          <w:u w:val="single"/>
        </w:rPr>
        <w:t xml:space="preserve">                                                    </w:t>
      </w:r>
    </w:p>
    <w:p>
      <w:pPr>
        <w:spacing w:line="394" w:lineRule="exact"/>
        <w:rPr>
          <w:color w:val="auto"/>
          <w:highlight w:val="none"/>
        </w:rPr>
      </w:pPr>
      <w:r>
        <w:rPr>
          <w:color w:val="auto"/>
          <w:highlight w:val="none"/>
        </w:rPr>
        <w:t>……</w:t>
      </w:r>
    </w:p>
    <w:p>
      <w:pPr>
        <w:spacing w:line="400" w:lineRule="exact"/>
        <w:ind w:firstLine="420" w:firstLineChars="200"/>
        <w:rPr>
          <w:color w:val="auto"/>
          <w:highlight w:val="none"/>
        </w:rPr>
      </w:pPr>
      <w:r>
        <w:rPr>
          <w:rFonts w:hint="eastAsia" w:cs="宋体"/>
          <w:color w:val="auto"/>
          <w:highlight w:val="none"/>
        </w:rPr>
        <w:t>鉴于上述各成员单位经过友好协商，自愿组成</w:t>
      </w:r>
      <w:r>
        <w:rPr>
          <w:color w:val="auto"/>
          <w:highlight w:val="none"/>
          <w:u w:val="single"/>
        </w:rPr>
        <w:t xml:space="preserve">                          </w:t>
      </w:r>
      <w:r>
        <w:rPr>
          <w:rFonts w:hint="eastAsia" w:cs="宋体"/>
          <w:color w:val="auto"/>
          <w:highlight w:val="none"/>
        </w:rPr>
        <w:t>（联合体名称）联合体，共同参加</w:t>
      </w:r>
      <w:r>
        <w:rPr>
          <w:color w:val="auto"/>
          <w:highlight w:val="none"/>
          <w:u w:val="single"/>
        </w:rPr>
        <w:t xml:space="preserve">                                     </w:t>
      </w:r>
      <w:r>
        <w:rPr>
          <w:rFonts w:hint="eastAsia" w:cs="宋体"/>
          <w:color w:val="auto"/>
          <w:highlight w:val="none"/>
        </w:rPr>
        <w:t>（招标人名称）（以下简称招标人）</w:t>
      </w:r>
    </w:p>
    <w:p>
      <w:pPr>
        <w:spacing w:line="400" w:lineRule="exact"/>
        <w:rPr>
          <w:color w:val="auto"/>
          <w:highlight w:val="none"/>
        </w:rPr>
      </w:pPr>
      <w:r>
        <w:rPr>
          <w:color w:val="auto"/>
          <w:highlight w:val="none"/>
          <w:u w:val="single"/>
        </w:rPr>
        <w:t xml:space="preserve">                           </w:t>
      </w:r>
      <w:r>
        <w:rPr>
          <w:rFonts w:hint="eastAsia" w:cs="宋体"/>
          <w:color w:val="auto"/>
          <w:highlight w:val="none"/>
        </w:rPr>
        <w:t>（项目名称）（以下简称本工程）的施工投标并争取赢得本工程施工承包合同（以下简称合同）。现就联合体投标事宜订立如下协议：</w:t>
      </w:r>
    </w:p>
    <w:p>
      <w:pPr>
        <w:spacing w:line="400" w:lineRule="exact"/>
        <w:ind w:firstLine="420" w:firstLineChars="200"/>
        <w:rPr>
          <w:color w:val="auto"/>
          <w:highlight w:val="none"/>
        </w:rPr>
      </w:pPr>
      <w:r>
        <w:rPr>
          <w:color w:val="auto"/>
          <w:highlight w:val="none"/>
        </w:rPr>
        <w:t>1</w:t>
      </w:r>
      <w:r>
        <w:rPr>
          <w:rFonts w:hint="eastAsia" w:cs="宋体"/>
          <w:color w:val="auto"/>
          <w:highlight w:val="none"/>
        </w:rPr>
        <w:t>．</w:t>
      </w:r>
      <w:r>
        <w:rPr>
          <w:color w:val="auto"/>
          <w:highlight w:val="none"/>
          <w:u w:val="single"/>
        </w:rPr>
        <w:t xml:space="preserve">        </w:t>
      </w:r>
      <w:r>
        <w:rPr>
          <w:rFonts w:hint="eastAsia" w:cs="宋体"/>
          <w:color w:val="auto"/>
          <w:highlight w:val="none"/>
        </w:rPr>
        <w:t>（某成员单位名称）为</w:t>
      </w:r>
      <w:r>
        <w:rPr>
          <w:color w:val="auto"/>
          <w:highlight w:val="none"/>
          <w:u w:val="single"/>
        </w:rPr>
        <w:t xml:space="preserve">              </w:t>
      </w:r>
      <w:r>
        <w:rPr>
          <w:rFonts w:hint="eastAsia" w:cs="宋体"/>
          <w:color w:val="auto"/>
          <w:highlight w:val="none"/>
        </w:rPr>
        <w:t>（联合体名称）牵头人。</w:t>
      </w:r>
    </w:p>
    <w:p>
      <w:pPr>
        <w:spacing w:line="400" w:lineRule="exact"/>
        <w:ind w:firstLine="420" w:firstLineChars="200"/>
        <w:rPr>
          <w:color w:val="auto"/>
          <w:highlight w:val="none"/>
        </w:rPr>
      </w:pPr>
      <w:r>
        <w:rPr>
          <w:color w:val="auto"/>
          <w:highlight w:val="none"/>
        </w:rPr>
        <w:t>2</w:t>
      </w:r>
      <w:r>
        <w:rPr>
          <w:rFonts w:hint="eastAsia" w:cs="宋体"/>
          <w:color w:val="auto"/>
          <w:highlight w:val="none"/>
        </w:rPr>
        <w:t>．在本工程投标阶段，联合体牵头人合法代表联合体各成员负责本工程投标文件编制活动，代表联合体提交和接收相关的资料、信息及指示，并处理与投标和中标有关的一切事务；联合体中标后，联合体牵头人负责合同订立和合同实施阶段的主办、组织和协调工作。</w:t>
      </w:r>
    </w:p>
    <w:p>
      <w:pPr>
        <w:spacing w:line="400" w:lineRule="exact"/>
        <w:ind w:firstLine="420" w:firstLineChars="200"/>
        <w:rPr>
          <w:color w:val="auto"/>
          <w:highlight w:val="none"/>
        </w:rPr>
      </w:pPr>
      <w:r>
        <w:rPr>
          <w:color w:val="auto"/>
          <w:highlight w:val="none"/>
        </w:rPr>
        <w:t>3</w:t>
      </w:r>
      <w:r>
        <w:rPr>
          <w:rFonts w:hint="eastAsia" w:cs="宋体"/>
          <w:color w:val="auto"/>
          <w:highlight w:val="none"/>
        </w:rPr>
        <w:t>．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pPr>
        <w:spacing w:line="400" w:lineRule="exact"/>
        <w:ind w:firstLine="420" w:firstLineChars="200"/>
        <w:rPr>
          <w:color w:val="auto"/>
          <w:highlight w:val="none"/>
        </w:rPr>
      </w:pPr>
      <w:r>
        <w:rPr>
          <w:color w:val="auto"/>
          <w:highlight w:val="none"/>
        </w:rPr>
        <w:t>4</w:t>
      </w:r>
      <w:r>
        <w:rPr>
          <w:rFonts w:hint="eastAsia" w:cs="宋体"/>
          <w:color w:val="auto"/>
          <w:highlight w:val="none"/>
        </w:rPr>
        <w:t>．联合体各成员单位内部的职责分工如下：</w:t>
      </w:r>
      <w:r>
        <w:rPr>
          <w:color w:val="auto"/>
          <w:highlight w:val="none"/>
          <w:u w:val="single"/>
        </w:rPr>
        <w:t xml:space="preserve">                                    </w:t>
      </w:r>
      <w:r>
        <w:rPr>
          <w:rFonts w:hint="eastAsia" w:cs="宋体"/>
          <w:color w:val="auto"/>
          <w:highlight w:val="none"/>
        </w:rPr>
        <w:t>。按照本条上述分工，联合体成员单位各自所承担的合同工作量比例如下：</w:t>
      </w:r>
      <w:r>
        <w:rPr>
          <w:color w:val="auto"/>
          <w:highlight w:val="none"/>
          <w:u w:val="single"/>
        </w:rPr>
        <w:t xml:space="preserve">               </w:t>
      </w:r>
      <w:r>
        <w:rPr>
          <w:rFonts w:hint="eastAsia" w:cs="宋体"/>
          <w:color w:val="auto"/>
          <w:highlight w:val="none"/>
        </w:rPr>
        <w:t>。</w:t>
      </w:r>
    </w:p>
    <w:p>
      <w:pPr>
        <w:spacing w:line="400" w:lineRule="exact"/>
        <w:ind w:firstLine="420" w:firstLineChars="200"/>
        <w:rPr>
          <w:color w:val="auto"/>
          <w:highlight w:val="none"/>
        </w:rPr>
      </w:pPr>
      <w:r>
        <w:rPr>
          <w:color w:val="auto"/>
          <w:highlight w:val="none"/>
        </w:rPr>
        <w:t>5</w:t>
      </w:r>
      <w:r>
        <w:rPr>
          <w:rFonts w:hint="eastAsia" w:cs="宋体"/>
          <w:color w:val="auto"/>
          <w:highlight w:val="none"/>
        </w:rPr>
        <w:t>．投标工作和联合体在中标后工程实施过程中的有关费用按各自承担的工作量分摊。</w:t>
      </w:r>
    </w:p>
    <w:p>
      <w:pPr>
        <w:spacing w:line="400" w:lineRule="exact"/>
        <w:ind w:firstLine="420" w:firstLineChars="200"/>
        <w:rPr>
          <w:color w:val="auto"/>
          <w:highlight w:val="none"/>
        </w:rPr>
      </w:pPr>
      <w:r>
        <w:rPr>
          <w:color w:val="auto"/>
          <w:highlight w:val="none"/>
        </w:rPr>
        <w:t>6</w:t>
      </w:r>
      <w:r>
        <w:rPr>
          <w:rFonts w:hint="eastAsia" w:cs="宋体"/>
          <w:color w:val="auto"/>
          <w:highlight w:val="none"/>
        </w:rPr>
        <w:t>．联合体中标后，本联合体协议是合同的附件，对联合体各成员单位有合同约束力。</w:t>
      </w:r>
    </w:p>
    <w:p>
      <w:pPr>
        <w:spacing w:line="400" w:lineRule="exact"/>
        <w:ind w:firstLine="420" w:firstLineChars="200"/>
        <w:rPr>
          <w:color w:val="auto"/>
          <w:highlight w:val="none"/>
        </w:rPr>
      </w:pPr>
      <w:r>
        <w:rPr>
          <w:color w:val="auto"/>
          <w:highlight w:val="none"/>
        </w:rPr>
        <w:t>7</w:t>
      </w:r>
      <w:r>
        <w:rPr>
          <w:rFonts w:hint="eastAsia" w:cs="宋体"/>
          <w:color w:val="auto"/>
          <w:highlight w:val="none"/>
        </w:rPr>
        <w:t>．本协议书自签署之日起生效，联合体未中标或者中标时合同履行完毕后自动失效。</w:t>
      </w:r>
    </w:p>
    <w:p>
      <w:pPr>
        <w:spacing w:line="400" w:lineRule="exact"/>
        <w:ind w:firstLine="420" w:firstLineChars="200"/>
        <w:rPr>
          <w:color w:val="auto"/>
          <w:highlight w:val="none"/>
        </w:rPr>
      </w:pPr>
      <w:r>
        <w:rPr>
          <w:color w:val="auto"/>
          <w:highlight w:val="none"/>
        </w:rPr>
        <w:t>8</w:t>
      </w:r>
      <w:r>
        <w:rPr>
          <w:rFonts w:hint="eastAsia" w:cs="宋体"/>
          <w:color w:val="auto"/>
          <w:highlight w:val="none"/>
        </w:rPr>
        <w:t>．本协议书一式</w:t>
      </w:r>
      <w:r>
        <w:rPr>
          <w:color w:val="auto"/>
          <w:highlight w:val="none"/>
          <w:u w:val="single"/>
        </w:rPr>
        <w:t xml:space="preserve">            </w:t>
      </w:r>
      <w:r>
        <w:rPr>
          <w:rFonts w:hint="eastAsia" w:cs="宋体"/>
          <w:color w:val="auto"/>
          <w:highlight w:val="none"/>
        </w:rPr>
        <w:t>份，联合体成员和招标人各执一份。</w:t>
      </w:r>
    </w:p>
    <w:p>
      <w:pPr>
        <w:spacing w:line="394" w:lineRule="exact"/>
        <w:rPr>
          <w:color w:val="auto"/>
          <w:highlight w:val="none"/>
        </w:rPr>
      </w:pPr>
    </w:p>
    <w:p>
      <w:pPr>
        <w:spacing w:line="394" w:lineRule="exact"/>
        <w:ind w:firstLine="1785" w:firstLineChars="850"/>
        <w:rPr>
          <w:color w:val="auto"/>
          <w:highlight w:val="none"/>
        </w:rPr>
      </w:pPr>
      <w:r>
        <w:rPr>
          <w:rFonts w:hint="eastAsia" w:cs="宋体"/>
          <w:color w:val="auto"/>
          <w:highlight w:val="none"/>
        </w:rPr>
        <w:t>牵头人名称：</w:t>
      </w:r>
      <w:r>
        <w:rPr>
          <w:color w:val="auto"/>
          <w:highlight w:val="none"/>
          <w:u w:val="single"/>
        </w:rPr>
        <w:t xml:space="preserve">                                    </w:t>
      </w:r>
      <w:r>
        <w:rPr>
          <w:rFonts w:hint="eastAsia" w:cs="宋体"/>
          <w:color w:val="auto"/>
          <w:highlight w:val="none"/>
        </w:rPr>
        <w:t>（盖单位章）</w:t>
      </w:r>
    </w:p>
    <w:p>
      <w:pPr>
        <w:spacing w:line="394" w:lineRule="exact"/>
        <w:ind w:firstLine="1785" w:firstLineChars="850"/>
        <w:rPr>
          <w:color w:val="auto"/>
          <w:highlight w:val="none"/>
        </w:rPr>
      </w:pPr>
      <w:r>
        <w:rPr>
          <w:rFonts w:hint="eastAsia" w:cs="宋体"/>
          <w:color w:val="auto"/>
          <w:highlight w:val="none"/>
        </w:rPr>
        <w:t>法定代表人或其委托代理人：</w:t>
      </w:r>
      <w:r>
        <w:rPr>
          <w:color w:val="auto"/>
          <w:highlight w:val="none"/>
          <w:u w:val="single"/>
        </w:rPr>
        <w:t xml:space="preserve">                      </w:t>
      </w:r>
      <w:r>
        <w:rPr>
          <w:rFonts w:hint="eastAsia" w:cs="宋体"/>
          <w:color w:val="auto"/>
          <w:highlight w:val="none"/>
        </w:rPr>
        <w:t>（签字或盖章）</w:t>
      </w:r>
    </w:p>
    <w:p>
      <w:pPr>
        <w:spacing w:line="394" w:lineRule="exact"/>
        <w:ind w:firstLine="1785" w:firstLineChars="850"/>
        <w:rPr>
          <w:color w:val="auto"/>
          <w:highlight w:val="none"/>
        </w:rPr>
      </w:pPr>
    </w:p>
    <w:p>
      <w:pPr>
        <w:spacing w:line="394" w:lineRule="exact"/>
        <w:ind w:firstLine="1785" w:firstLineChars="850"/>
        <w:rPr>
          <w:color w:val="auto"/>
          <w:highlight w:val="none"/>
        </w:rPr>
      </w:pPr>
      <w:r>
        <w:rPr>
          <w:rFonts w:hint="eastAsia" w:cs="宋体"/>
          <w:color w:val="auto"/>
          <w:highlight w:val="none"/>
        </w:rPr>
        <w:t>成员二名称：</w:t>
      </w:r>
      <w:r>
        <w:rPr>
          <w:color w:val="auto"/>
          <w:highlight w:val="none"/>
          <w:u w:val="single"/>
        </w:rPr>
        <w:t xml:space="preserve">                                    </w:t>
      </w:r>
      <w:r>
        <w:rPr>
          <w:rFonts w:hint="eastAsia" w:cs="宋体"/>
          <w:color w:val="auto"/>
          <w:highlight w:val="none"/>
        </w:rPr>
        <w:t>（盖单位章）</w:t>
      </w:r>
    </w:p>
    <w:p>
      <w:pPr>
        <w:spacing w:line="394" w:lineRule="exact"/>
        <w:ind w:firstLine="1785" w:firstLineChars="850"/>
        <w:rPr>
          <w:color w:val="auto"/>
          <w:highlight w:val="none"/>
        </w:rPr>
      </w:pPr>
      <w:r>
        <w:rPr>
          <w:rFonts w:hint="eastAsia" w:cs="宋体"/>
          <w:color w:val="auto"/>
          <w:highlight w:val="none"/>
        </w:rPr>
        <w:t>法定代表人或其委托代理人：</w:t>
      </w:r>
      <w:r>
        <w:rPr>
          <w:color w:val="auto"/>
          <w:highlight w:val="none"/>
          <w:u w:val="single"/>
        </w:rPr>
        <w:t xml:space="preserve">                      </w:t>
      </w:r>
      <w:r>
        <w:rPr>
          <w:rFonts w:hint="eastAsia" w:cs="宋体"/>
          <w:color w:val="auto"/>
          <w:highlight w:val="none"/>
        </w:rPr>
        <w:t>（签字或盖章）</w:t>
      </w:r>
    </w:p>
    <w:p>
      <w:pPr>
        <w:spacing w:line="394" w:lineRule="exact"/>
        <w:ind w:firstLine="1785" w:firstLineChars="850"/>
        <w:rPr>
          <w:color w:val="auto"/>
          <w:highlight w:val="none"/>
        </w:rPr>
      </w:pPr>
      <w:r>
        <w:rPr>
          <w:color w:val="auto"/>
          <w:highlight w:val="none"/>
        </w:rPr>
        <w:t>……</w:t>
      </w:r>
    </w:p>
    <w:p>
      <w:pPr>
        <w:wordWrap w:val="0"/>
        <w:spacing w:line="394" w:lineRule="exact"/>
        <w:jc w:val="right"/>
        <w:rPr>
          <w:color w:val="auto"/>
          <w:highlight w:val="none"/>
        </w:rPr>
      </w:pP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pPr>
        <w:spacing w:line="394" w:lineRule="exact"/>
        <w:rPr>
          <w:rFonts w:eastAsia="楷体_GB2312"/>
          <w:color w:val="auto"/>
          <w:highlight w:val="none"/>
        </w:rPr>
        <w:sectPr>
          <w:pgSz w:w="11907" w:h="16840"/>
          <w:pgMar w:top="1440" w:right="1440" w:bottom="1440" w:left="1797" w:header="851" w:footer="851" w:gutter="0"/>
          <w:cols w:space="720" w:num="1"/>
          <w:docGrid w:linePitch="312" w:charSpace="0"/>
        </w:sectPr>
      </w:pPr>
      <w:r>
        <w:rPr>
          <w:rFonts w:hint="eastAsia" w:eastAsia="楷体_GB2312" w:cs="楷体_GB2312"/>
          <w:color w:val="auto"/>
          <w:highlight w:val="none"/>
        </w:rPr>
        <w:t>【备注：本协议书由委托代理人签字或盖章的，应附法定代表人签字或盖章的授权委托书</w:t>
      </w:r>
    </w:p>
    <w:p>
      <w:pPr>
        <w:jc w:val="center"/>
        <w:rPr>
          <w:b/>
          <w:color w:val="auto"/>
          <w:sz w:val="28"/>
          <w:szCs w:val="28"/>
          <w:highlight w:val="none"/>
        </w:rPr>
      </w:pPr>
      <w:r>
        <w:rPr>
          <w:b/>
          <w:color w:val="auto"/>
          <w:sz w:val="28"/>
          <w:szCs w:val="28"/>
          <w:highlight w:val="none"/>
        </w:rPr>
        <w:t>3</w:t>
      </w:r>
      <w:r>
        <w:rPr>
          <w:rFonts w:hint="eastAsia" w:cs="宋体"/>
          <w:b/>
          <w:color w:val="auto"/>
          <w:sz w:val="28"/>
          <w:szCs w:val="28"/>
          <w:highlight w:val="none"/>
        </w:rPr>
        <w:t>、建设工程项目管理承诺书</w:t>
      </w:r>
    </w:p>
    <w:p>
      <w:pPr>
        <w:spacing w:line="480" w:lineRule="auto"/>
        <w:jc w:val="left"/>
        <w:rPr>
          <w:color w:val="auto"/>
          <w:highlight w:val="none"/>
        </w:rPr>
      </w:pPr>
    </w:p>
    <w:p>
      <w:pPr>
        <w:spacing w:line="480" w:lineRule="auto"/>
        <w:jc w:val="left"/>
        <w:rPr>
          <w:color w:val="auto"/>
          <w:highlight w:val="none"/>
        </w:rPr>
      </w:pPr>
      <w:r>
        <w:rPr>
          <w:rFonts w:hint="eastAsia" w:cs="宋体"/>
          <w:color w:val="auto"/>
          <w:highlight w:val="none"/>
        </w:rPr>
        <w:t>致</w:t>
      </w:r>
      <w:r>
        <w:rPr>
          <w:color w:val="auto"/>
          <w:highlight w:val="none"/>
          <w:u w:val="single"/>
        </w:rPr>
        <w:t xml:space="preserve">                        </w:t>
      </w:r>
      <w:r>
        <w:rPr>
          <w:rFonts w:hint="eastAsia" w:cs="宋体"/>
          <w:color w:val="auto"/>
          <w:highlight w:val="none"/>
        </w:rPr>
        <w:t>（招标人名称）：</w:t>
      </w:r>
    </w:p>
    <w:p>
      <w:pPr>
        <w:spacing w:line="520" w:lineRule="exact"/>
        <w:ind w:left="-10" w:firstLine="455" w:firstLineChars="217"/>
        <w:jc w:val="left"/>
        <w:rPr>
          <w:color w:val="auto"/>
          <w:highlight w:val="none"/>
        </w:rPr>
      </w:pPr>
      <w:r>
        <w:rPr>
          <w:rFonts w:hint="eastAsia" w:cs="宋体"/>
          <w:color w:val="auto"/>
          <w:highlight w:val="none"/>
        </w:rPr>
        <w:t>作为参与</w:t>
      </w:r>
      <w:r>
        <w:rPr>
          <w:color w:val="auto"/>
          <w:highlight w:val="none"/>
          <w:u w:val="single"/>
        </w:rPr>
        <w:t xml:space="preserve">                  </w:t>
      </w:r>
      <w:r>
        <w:rPr>
          <w:rFonts w:hint="eastAsia" w:cs="宋体"/>
          <w:color w:val="auto"/>
          <w:highlight w:val="none"/>
        </w:rPr>
        <w:t>（工程名称）项目的投标方，根据国家、自治区相关文件规定，我方在此向招标人承诺：</w:t>
      </w:r>
    </w:p>
    <w:p>
      <w:pPr>
        <w:spacing w:line="520" w:lineRule="exact"/>
        <w:ind w:left="-10" w:firstLine="455" w:firstLineChars="217"/>
        <w:jc w:val="left"/>
        <w:rPr>
          <w:color w:val="auto"/>
          <w:highlight w:val="none"/>
        </w:rPr>
      </w:pPr>
      <w:r>
        <w:rPr>
          <w:color w:val="auto"/>
          <w:highlight w:val="none"/>
        </w:rPr>
        <w:t>1</w:t>
      </w:r>
      <w:r>
        <w:rPr>
          <w:rFonts w:hint="eastAsia" w:cs="宋体"/>
          <w:color w:val="auto"/>
          <w:highlight w:val="none"/>
        </w:rPr>
        <w:t>、一旦中标，我方保证在施工过程中，严格执行《广西壮族自治区建筑工程安全文明施工费使用管理细则》（桂建质〔</w:t>
      </w:r>
      <w:r>
        <w:rPr>
          <w:color w:val="auto"/>
          <w:highlight w:val="none"/>
        </w:rPr>
        <w:t>2015</w:t>
      </w:r>
      <w:r>
        <w:rPr>
          <w:rFonts w:hint="eastAsia" w:cs="宋体"/>
          <w:color w:val="auto"/>
          <w:highlight w:val="none"/>
        </w:rPr>
        <w:t>〕</w:t>
      </w:r>
      <w:r>
        <w:rPr>
          <w:color w:val="auto"/>
          <w:highlight w:val="none"/>
        </w:rPr>
        <w:t>16</w:t>
      </w:r>
      <w:r>
        <w:rPr>
          <w:rFonts w:hint="eastAsia" w:cs="宋体"/>
          <w:color w:val="auto"/>
          <w:highlight w:val="none"/>
        </w:rPr>
        <w:t>号）的有关规定，确保建设工程各项安全防护、文明施工措施落实到位。如我方在该项目的承包中出现未按桂建质〔</w:t>
      </w:r>
      <w:r>
        <w:rPr>
          <w:color w:val="auto"/>
          <w:highlight w:val="none"/>
        </w:rPr>
        <w:t>2015</w:t>
      </w:r>
      <w:r>
        <w:rPr>
          <w:rFonts w:hint="eastAsia" w:cs="宋体"/>
          <w:color w:val="auto"/>
          <w:highlight w:val="none"/>
        </w:rPr>
        <w:t>〕</w:t>
      </w:r>
      <w:r>
        <w:rPr>
          <w:color w:val="auto"/>
          <w:highlight w:val="none"/>
        </w:rPr>
        <w:t>16</w:t>
      </w:r>
      <w:r>
        <w:rPr>
          <w:rFonts w:hint="eastAsia" w:cs="宋体"/>
          <w:color w:val="auto"/>
          <w:highlight w:val="none"/>
        </w:rPr>
        <w:t>号文附件一规定执行的情形，我方愿意按照相关规定接受建设单位及有关主管部门的处罚。</w:t>
      </w:r>
    </w:p>
    <w:p>
      <w:pPr>
        <w:spacing w:line="520" w:lineRule="exact"/>
        <w:ind w:left="-2" w:leftChars="-1" w:firstLine="449" w:firstLineChars="214"/>
        <w:jc w:val="left"/>
        <w:rPr>
          <w:color w:val="auto"/>
          <w:highlight w:val="none"/>
        </w:rPr>
      </w:pPr>
      <w:r>
        <w:rPr>
          <w:color w:val="auto"/>
          <w:highlight w:val="none"/>
        </w:rPr>
        <w:t>2</w:t>
      </w:r>
      <w:r>
        <w:rPr>
          <w:rFonts w:hint="eastAsia" w:cs="宋体"/>
          <w:color w:val="auto"/>
          <w:highlight w:val="none"/>
        </w:rPr>
        <w:t>、一旦中标，我方保证在施工过程中，严格执行散装水泥和预拌混凝土管理的有关规定，确保建设工程按规定使用散装水泥和预拌混凝土。如我方在该项目的承包中出现未按规定执行的情形，我方愿意按照相关规定接受建设单位及有关主管部门的处罚。</w:t>
      </w:r>
    </w:p>
    <w:p>
      <w:pPr>
        <w:spacing w:line="520" w:lineRule="exact"/>
        <w:ind w:left="-10" w:firstLine="455" w:firstLineChars="217"/>
        <w:jc w:val="left"/>
        <w:rPr>
          <w:color w:val="auto"/>
          <w:highlight w:val="none"/>
        </w:rPr>
      </w:pPr>
      <w:r>
        <w:rPr>
          <w:color w:val="auto"/>
          <w:highlight w:val="none"/>
        </w:rPr>
        <w:t>3</w:t>
      </w:r>
      <w:r>
        <w:rPr>
          <w:rFonts w:hint="eastAsia" w:cs="宋体"/>
          <w:color w:val="auto"/>
          <w:highlight w:val="none"/>
        </w:rPr>
        <w:t>、一旦中标，我方保证严格执行</w:t>
      </w:r>
      <w:bookmarkStart w:id="1553" w:name="_Hlk16014343"/>
      <w:r>
        <w:rPr>
          <w:rFonts w:hint="eastAsia" w:ascii="宋体" w:hAnsi="宋体" w:cs="宋体"/>
          <w:color w:val="auto"/>
          <w:highlight w:val="none"/>
        </w:rPr>
        <w:t>《危险性较大的分部分项工程安全管理规定》</w:t>
      </w:r>
      <w:r>
        <w:rPr>
          <w:rFonts w:hint="eastAsia" w:cs="宋体"/>
          <w:color w:val="auto"/>
          <w:highlight w:val="none"/>
        </w:rPr>
        <w:t>（建办质〔</w:t>
      </w:r>
      <w:r>
        <w:rPr>
          <w:color w:val="auto"/>
          <w:highlight w:val="none"/>
        </w:rPr>
        <w:t>2018</w:t>
      </w:r>
      <w:r>
        <w:rPr>
          <w:rFonts w:hint="eastAsia" w:cs="宋体"/>
          <w:color w:val="auto"/>
          <w:highlight w:val="none"/>
        </w:rPr>
        <w:t>〕</w:t>
      </w:r>
      <w:r>
        <w:rPr>
          <w:color w:val="auto"/>
          <w:highlight w:val="none"/>
        </w:rPr>
        <w:t>31</w:t>
      </w:r>
      <w:r>
        <w:rPr>
          <w:rFonts w:hint="eastAsia" w:cs="宋体"/>
          <w:color w:val="auto"/>
          <w:highlight w:val="none"/>
        </w:rPr>
        <w:t>号）</w:t>
      </w:r>
      <w:bookmarkEnd w:id="1553"/>
      <w:r>
        <w:rPr>
          <w:rFonts w:hint="eastAsia" w:cs="宋体"/>
          <w:color w:val="auto"/>
          <w:highlight w:val="none"/>
        </w:rPr>
        <w:t>的规定，强化对深基坑、高切坡、高大模板、人工挖孔桩、起重吊装、临时活动板房等重大危险源的专项施工方案的编制、论证、审批、实施、检测的风险管理。</w:t>
      </w:r>
    </w:p>
    <w:p>
      <w:pPr>
        <w:spacing w:line="520" w:lineRule="exact"/>
        <w:jc w:val="left"/>
        <w:rPr>
          <w:color w:val="auto"/>
          <w:highlight w:val="none"/>
        </w:rPr>
      </w:pPr>
    </w:p>
    <w:p>
      <w:pPr>
        <w:spacing w:line="360" w:lineRule="auto"/>
        <w:ind w:firstLine="4410" w:firstLineChars="2100"/>
        <w:jc w:val="left"/>
        <w:rPr>
          <w:color w:val="auto"/>
          <w:highlight w:val="none"/>
          <w:u w:val="single"/>
        </w:rPr>
      </w:pPr>
      <w:r>
        <w:rPr>
          <w:rFonts w:hint="eastAsia" w:cs="宋体"/>
          <w:color w:val="auto"/>
          <w:highlight w:val="none"/>
        </w:rPr>
        <w:t>投标人：</w:t>
      </w:r>
      <w:r>
        <w:rPr>
          <w:color w:val="auto"/>
          <w:highlight w:val="none"/>
          <w:u w:val="single"/>
        </w:rPr>
        <w:t xml:space="preserve">                     </w:t>
      </w:r>
      <w:r>
        <w:rPr>
          <w:rFonts w:hint="eastAsia" w:cs="宋体"/>
          <w:color w:val="auto"/>
          <w:highlight w:val="none"/>
          <w:u w:val="single"/>
        </w:rPr>
        <w:t>（盖单位章）</w:t>
      </w:r>
    </w:p>
    <w:p>
      <w:pPr>
        <w:spacing w:line="360" w:lineRule="auto"/>
        <w:ind w:firstLine="3465" w:firstLineChars="1650"/>
        <w:jc w:val="left"/>
        <w:rPr>
          <w:color w:val="auto"/>
          <w:highlight w:val="none"/>
          <w:u w:val="single"/>
        </w:rPr>
      </w:pPr>
      <w:r>
        <w:rPr>
          <w:rFonts w:hint="eastAsia" w:cs="宋体"/>
          <w:color w:val="auto"/>
          <w:highlight w:val="none"/>
        </w:rPr>
        <w:t>法定代表人或授权代理人：</w:t>
      </w:r>
      <w:r>
        <w:rPr>
          <w:color w:val="auto"/>
          <w:highlight w:val="none"/>
          <w:u w:val="single"/>
        </w:rPr>
        <w:t xml:space="preserve">              </w:t>
      </w:r>
      <w:r>
        <w:rPr>
          <w:rFonts w:hint="eastAsia" w:cs="宋体"/>
          <w:color w:val="auto"/>
          <w:highlight w:val="none"/>
          <w:u w:val="single"/>
        </w:rPr>
        <w:t>（签字或盖章）</w:t>
      </w:r>
    </w:p>
    <w:p>
      <w:pPr>
        <w:spacing w:line="360" w:lineRule="auto"/>
        <w:ind w:firstLine="4515" w:firstLineChars="2150"/>
        <w:jc w:val="center"/>
        <w:rPr>
          <w:color w:val="auto"/>
          <w:highlight w:val="none"/>
        </w:rPr>
      </w:pPr>
      <w:r>
        <w:rPr>
          <w:rFonts w:hint="eastAsia" w:cs="宋体"/>
          <w:color w:val="auto"/>
          <w:highlight w:val="none"/>
        </w:rPr>
        <w:t>日期：</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r>
        <w:rPr>
          <w:color w:val="auto"/>
          <w:highlight w:val="none"/>
        </w:rPr>
        <w:br w:type="page"/>
      </w:r>
      <w:r>
        <w:rPr>
          <w:rFonts w:hint="eastAsia" w:cs="宋体"/>
          <w:b/>
          <w:color w:val="auto"/>
          <w:sz w:val="28"/>
          <w:szCs w:val="28"/>
          <w:highlight w:val="none"/>
        </w:rPr>
        <w:t>广西壮族自治区建筑工程安全文明施工措施项目清单内容</w:t>
      </w:r>
    </w:p>
    <w:p>
      <w:pPr>
        <w:spacing w:line="360" w:lineRule="auto"/>
        <w:ind w:firstLine="600" w:firstLineChars="250"/>
        <w:jc w:val="center"/>
        <w:rPr>
          <w:color w:val="auto"/>
          <w:sz w:val="24"/>
          <w:szCs w:val="24"/>
          <w:highlight w:val="none"/>
        </w:rPr>
      </w:pPr>
      <w:r>
        <w:rPr>
          <w:rFonts w:hint="eastAsia" w:cs="宋体"/>
          <w:color w:val="auto"/>
          <w:sz w:val="24"/>
          <w:szCs w:val="24"/>
          <w:highlight w:val="none"/>
        </w:rPr>
        <w:t>（桂建质〔</w:t>
      </w:r>
      <w:r>
        <w:rPr>
          <w:color w:val="auto"/>
          <w:sz w:val="24"/>
          <w:szCs w:val="24"/>
          <w:highlight w:val="none"/>
        </w:rPr>
        <w:t>2015</w:t>
      </w:r>
      <w:r>
        <w:rPr>
          <w:rFonts w:hint="eastAsia" w:cs="宋体"/>
          <w:color w:val="auto"/>
          <w:sz w:val="24"/>
          <w:szCs w:val="24"/>
          <w:highlight w:val="none"/>
        </w:rPr>
        <w:t>〕</w:t>
      </w:r>
      <w:r>
        <w:rPr>
          <w:color w:val="auto"/>
          <w:sz w:val="24"/>
          <w:szCs w:val="24"/>
          <w:highlight w:val="none"/>
        </w:rPr>
        <w:t>16</w:t>
      </w:r>
      <w:r>
        <w:rPr>
          <w:rFonts w:hint="eastAsia" w:cs="宋体"/>
          <w:color w:val="auto"/>
          <w:sz w:val="24"/>
          <w:szCs w:val="24"/>
          <w:highlight w:val="none"/>
        </w:rPr>
        <w:t>号文附件一）</w:t>
      </w:r>
    </w:p>
    <w:p>
      <w:pPr>
        <w:pStyle w:val="148"/>
        <w:spacing w:line="240" w:lineRule="atLeast"/>
        <w:jc w:val="center"/>
        <w:rPr>
          <w:rFonts w:ascii="宋体"/>
          <w:b/>
          <w:color w:val="auto"/>
          <w:sz w:val="24"/>
          <w:szCs w:val="24"/>
          <w:highlight w:val="none"/>
        </w:rPr>
      </w:pPr>
      <w:r>
        <w:rPr>
          <w:rFonts w:hint="eastAsia" w:ascii="宋体" w:hAnsi="宋体" w:cs="宋体"/>
          <w:b/>
          <w:color w:val="auto"/>
          <w:sz w:val="24"/>
          <w:szCs w:val="24"/>
          <w:highlight w:val="none"/>
        </w:rPr>
        <w:t>广西壮族自治区</w:t>
      </w:r>
    </w:p>
    <w:p>
      <w:pPr>
        <w:pStyle w:val="148"/>
        <w:spacing w:line="240" w:lineRule="atLeast"/>
        <w:ind w:firstLine="546"/>
        <w:jc w:val="center"/>
        <w:rPr>
          <w:b/>
          <w:color w:val="auto"/>
          <w:w w:val="90"/>
          <w:sz w:val="24"/>
          <w:szCs w:val="24"/>
          <w:highlight w:val="none"/>
        </w:rPr>
      </w:pPr>
      <w:r>
        <w:rPr>
          <w:rFonts w:hint="eastAsia" w:cs="宋体"/>
          <w:b/>
          <w:color w:val="auto"/>
          <w:w w:val="90"/>
          <w:sz w:val="24"/>
          <w:szCs w:val="24"/>
          <w:highlight w:val="none"/>
        </w:rPr>
        <w:t>建设工程安全文明施工措施项目清单内容</w:t>
      </w:r>
    </w:p>
    <w:p>
      <w:pPr>
        <w:pStyle w:val="148"/>
        <w:spacing w:line="240" w:lineRule="atLeast"/>
        <w:ind w:firstLine="546"/>
        <w:jc w:val="center"/>
        <w:rPr>
          <w:b/>
          <w:color w:val="auto"/>
          <w:w w:val="90"/>
          <w:sz w:val="24"/>
          <w:szCs w:val="24"/>
          <w:highlight w:val="none"/>
        </w:rPr>
      </w:pPr>
    </w:p>
    <w:tbl>
      <w:tblPr>
        <w:tblStyle w:val="42"/>
        <w:tblW w:w="9453"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8"/>
        <w:gridCol w:w="525"/>
        <w:gridCol w:w="1545"/>
        <w:gridCol w:w="66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01" w:hRule="exact"/>
        </w:trPr>
        <w:tc>
          <w:tcPr>
            <w:tcW w:w="738" w:type="dxa"/>
            <w:tcBorders>
              <w:top w:val="single" w:color="auto" w:sz="12" w:space="0"/>
            </w:tcBorders>
            <w:shd w:val="clear" w:color="auto" w:fill="auto"/>
            <w:vAlign w:val="center"/>
          </w:tcPr>
          <w:p>
            <w:pPr>
              <w:pStyle w:val="148"/>
              <w:spacing w:line="300" w:lineRule="exact"/>
              <w:jc w:val="center"/>
              <w:rPr>
                <w:rFonts w:ascii="方正仿宋_GBK" w:eastAsia="方正仿宋_GBK"/>
                <w:b/>
                <w:color w:val="auto"/>
                <w:highlight w:val="none"/>
              </w:rPr>
            </w:pPr>
            <w:r>
              <w:rPr>
                <w:rFonts w:hint="eastAsia" w:ascii="方正仿宋_GBK" w:eastAsia="方正仿宋_GBK" w:cs="方正仿宋_GBK"/>
                <w:b/>
                <w:color w:val="auto"/>
                <w:highlight w:val="none"/>
              </w:rPr>
              <w:t>类别</w:t>
            </w:r>
          </w:p>
        </w:tc>
        <w:tc>
          <w:tcPr>
            <w:tcW w:w="2070" w:type="dxa"/>
            <w:gridSpan w:val="2"/>
            <w:tcBorders>
              <w:top w:val="single" w:color="auto" w:sz="12" w:space="0"/>
            </w:tcBorders>
            <w:shd w:val="clear" w:color="auto" w:fill="auto"/>
            <w:vAlign w:val="center"/>
          </w:tcPr>
          <w:p>
            <w:pPr>
              <w:pStyle w:val="148"/>
              <w:spacing w:line="300" w:lineRule="exact"/>
              <w:jc w:val="center"/>
              <w:rPr>
                <w:rFonts w:ascii="方正仿宋_GBK" w:eastAsia="方正仿宋_GBK"/>
                <w:b/>
                <w:color w:val="auto"/>
                <w:highlight w:val="none"/>
              </w:rPr>
            </w:pPr>
            <w:r>
              <w:rPr>
                <w:rFonts w:hint="eastAsia" w:ascii="方正仿宋_GBK" w:eastAsia="方正仿宋_GBK" w:cs="方正仿宋_GBK"/>
                <w:b/>
                <w:color w:val="auto"/>
                <w:highlight w:val="none"/>
              </w:rPr>
              <w:t>项目名称</w:t>
            </w:r>
          </w:p>
        </w:tc>
        <w:tc>
          <w:tcPr>
            <w:tcW w:w="6645" w:type="dxa"/>
            <w:tcBorders>
              <w:top w:val="single" w:color="auto" w:sz="12" w:space="0"/>
            </w:tcBorders>
            <w:shd w:val="clear" w:color="auto" w:fill="auto"/>
            <w:vAlign w:val="center"/>
          </w:tcPr>
          <w:p>
            <w:pPr>
              <w:pStyle w:val="148"/>
              <w:spacing w:line="300" w:lineRule="exact"/>
              <w:jc w:val="center"/>
              <w:rPr>
                <w:rFonts w:ascii="方正仿宋_GBK" w:eastAsia="方正仿宋_GBK"/>
                <w:b/>
                <w:color w:val="auto"/>
                <w:highlight w:val="none"/>
              </w:rPr>
            </w:pPr>
            <w:r>
              <w:rPr>
                <w:rFonts w:hint="eastAsia" w:ascii="方正仿宋_GBK" w:eastAsia="方正仿宋_GBK" w:cs="方正仿宋_GBK"/>
                <w:b/>
                <w:color w:val="auto"/>
                <w:highlight w:val="none"/>
              </w:rPr>
              <w:t>主要内容和要求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38" w:type="dxa"/>
            <w:vMerge w:val="restart"/>
            <w:shd w:val="clear" w:color="auto" w:fill="auto"/>
            <w:vAlign w:val="center"/>
          </w:tcPr>
          <w:p>
            <w:pPr>
              <w:pStyle w:val="148"/>
              <w:spacing w:line="300" w:lineRule="exact"/>
              <w:jc w:val="center"/>
              <w:rPr>
                <w:rFonts w:ascii="方正仿宋_GBK" w:eastAsia="方正仿宋_GBK"/>
                <w:color w:val="auto"/>
                <w:highlight w:val="none"/>
              </w:rPr>
            </w:pPr>
            <w:r>
              <w:rPr>
                <w:rFonts w:hint="eastAsia" w:ascii="方正仿宋_GBK" w:eastAsia="方正仿宋_GBK" w:cs="方正仿宋_GBK"/>
                <w:color w:val="auto"/>
                <w:highlight w:val="none"/>
              </w:rPr>
              <w:t>文明</w:t>
            </w:r>
          </w:p>
          <w:p>
            <w:pPr>
              <w:pStyle w:val="148"/>
              <w:spacing w:line="300" w:lineRule="exact"/>
              <w:jc w:val="center"/>
              <w:rPr>
                <w:rFonts w:ascii="方正仿宋_GBK" w:eastAsia="方正仿宋_GBK"/>
                <w:color w:val="auto"/>
                <w:highlight w:val="none"/>
              </w:rPr>
            </w:pPr>
            <w:r>
              <w:rPr>
                <w:rFonts w:hint="eastAsia" w:ascii="方正仿宋_GBK" w:eastAsia="方正仿宋_GBK" w:cs="方正仿宋_GBK"/>
                <w:color w:val="auto"/>
                <w:highlight w:val="none"/>
              </w:rPr>
              <w:t>施工</w:t>
            </w:r>
          </w:p>
          <w:p>
            <w:pPr>
              <w:pStyle w:val="148"/>
              <w:spacing w:line="300" w:lineRule="exact"/>
              <w:jc w:val="center"/>
              <w:rPr>
                <w:rFonts w:ascii="方正仿宋_GBK" w:eastAsia="方正仿宋_GBK"/>
                <w:color w:val="auto"/>
                <w:highlight w:val="none"/>
              </w:rPr>
            </w:pPr>
            <w:r>
              <w:rPr>
                <w:rFonts w:hint="eastAsia" w:ascii="方正仿宋_GBK" w:eastAsia="方正仿宋_GBK" w:cs="方正仿宋_GBK"/>
                <w:color w:val="auto"/>
                <w:highlight w:val="none"/>
              </w:rPr>
              <w:t>与</w:t>
            </w:r>
          </w:p>
          <w:p>
            <w:pPr>
              <w:pStyle w:val="148"/>
              <w:spacing w:line="300" w:lineRule="exact"/>
              <w:jc w:val="center"/>
              <w:rPr>
                <w:rFonts w:ascii="方正仿宋_GBK" w:eastAsia="方正仿宋_GBK"/>
                <w:color w:val="auto"/>
                <w:highlight w:val="none"/>
              </w:rPr>
            </w:pPr>
            <w:r>
              <w:rPr>
                <w:rFonts w:hint="eastAsia" w:ascii="方正仿宋_GBK" w:eastAsia="方正仿宋_GBK" w:cs="方正仿宋_GBK"/>
                <w:color w:val="auto"/>
                <w:highlight w:val="none"/>
              </w:rPr>
              <w:t>环境</w:t>
            </w:r>
          </w:p>
          <w:p>
            <w:pPr>
              <w:pStyle w:val="148"/>
              <w:spacing w:line="300" w:lineRule="exact"/>
              <w:jc w:val="center"/>
              <w:rPr>
                <w:rFonts w:ascii="方正仿宋_GBK" w:eastAsia="方正仿宋_GBK"/>
                <w:color w:val="auto"/>
                <w:highlight w:val="none"/>
              </w:rPr>
            </w:pPr>
            <w:r>
              <w:rPr>
                <w:rFonts w:hint="eastAsia" w:ascii="方正仿宋_GBK" w:eastAsia="方正仿宋_GBK" w:cs="方正仿宋_GBK"/>
                <w:color w:val="auto"/>
                <w:highlight w:val="none"/>
              </w:rPr>
              <w:t>保护</w:t>
            </w:r>
          </w:p>
        </w:tc>
        <w:tc>
          <w:tcPr>
            <w:tcW w:w="2070" w:type="dxa"/>
            <w:gridSpan w:val="2"/>
            <w:shd w:val="clear" w:color="auto" w:fill="auto"/>
            <w:vAlign w:val="center"/>
          </w:tcPr>
          <w:p>
            <w:pPr>
              <w:pStyle w:val="148"/>
              <w:spacing w:line="300" w:lineRule="exact"/>
              <w:jc w:val="center"/>
              <w:rPr>
                <w:rFonts w:ascii="方正仿宋_GBK" w:eastAsia="方正仿宋_GBK"/>
                <w:color w:val="auto"/>
                <w:highlight w:val="none"/>
              </w:rPr>
            </w:pPr>
            <w:r>
              <w:rPr>
                <w:rFonts w:hint="eastAsia" w:ascii="方正仿宋_GBK" w:eastAsia="方正仿宋_GBK" w:cs="方正仿宋_GBK"/>
                <w:color w:val="auto"/>
                <w:highlight w:val="none"/>
              </w:rPr>
              <w:t>安全警示</w:t>
            </w:r>
          </w:p>
          <w:p>
            <w:pPr>
              <w:pStyle w:val="148"/>
              <w:spacing w:line="300" w:lineRule="exact"/>
              <w:jc w:val="center"/>
              <w:rPr>
                <w:rFonts w:ascii="方正仿宋_GBK" w:eastAsia="方正仿宋_GBK"/>
                <w:color w:val="auto"/>
                <w:highlight w:val="none"/>
              </w:rPr>
            </w:pPr>
            <w:r>
              <w:rPr>
                <w:rFonts w:hint="eastAsia" w:ascii="方正仿宋_GBK" w:eastAsia="方正仿宋_GBK" w:cs="方正仿宋_GBK"/>
                <w:color w:val="auto"/>
                <w:highlight w:val="none"/>
              </w:rPr>
              <w:t>标志牌</w:t>
            </w:r>
          </w:p>
        </w:tc>
        <w:tc>
          <w:tcPr>
            <w:tcW w:w="6645" w:type="dxa"/>
            <w:shd w:val="clear" w:color="auto" w:fill="auto"/>
            <w:vAlign w:val="center"/>
          </w:tcPr>
          <w:p>
            <w:pPr>
              <w:pStyle w:val="148"/>
              <w:spacing w:line="300" w:lineRule="exact"/>
              <w:rPr>
                <w:rFonts w:ascii="方正仿宋_GBK" w:eastAsia="方正仿宋_GBK"/>
                <w:color w:val="auto"/>
                <w:highlight w:val="none"/>
              </w:rPr>
            </w:pPr>
            <w:r>
              <w:rPr>
                <w:rFonts w:hint="eastAsia" w:ascii="方正仿宋_GBK" w:eastAsia="方正仿宋_GBK" w:cs="方正仿宋_GBK"/>
                <w:color w:val="auto"/>
                <w:highlight w:val="none"/>
              </w:rPr>
              <w:t>在易发伤亡事故（或危险）处设置明显的、符合国家标准要求的安全警示标志牌。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38" w:type="dxa"/>
            <w:vMerge w:val="continue"/>
            <w:shd w:val="clear" w:color="auto" w:fill="auto"/>
            <w:vAlign w:val="center"/>
          </w:tcPr>
          <w:p>
            <w:pPr>
              <w:pStyle w:val="148"/>
              <w:spacing w:line="300" w:lineRule="exact"/>
              <w:jc w:val="center"/>
              <w:rPr>
                <w:rFonts w:ascii="方正仿宋_GBK" w:eastAsia="方正仿宋_GBK"/>
                <w:color w:val="auto"/>
                <w:highlight w:val="none"/>
              </w:rPr>
            </w:pPr>
          </w:p>
        </w:tc>
        <w:tc>
          <w:tcPr>
            <w:tcW w:w="2070" w:type="dxa"/>
            <w:gridSpan w:val="2"/>
            <w:shd w:val="clear" w:color="auto" w:fill="auto"/>
            <w:vAlign w:val="center"/>
          </w:tcPr>
          <w:p>
            <w:pPr>
              <w:pStyle w:val="148"/>
              <w:spacing w:line="300" w:lineRule="exact"/>
              <w:jc w:val="center"/>
              <w:rPr>
                <w:rFonts w:ascii="方正仿宋_GBK" w:eastAsia="方正仿宋_GBK"/>
                <w:color w:val="auto"/>
                <w:highlight w:val="none"/>
              </w:rPr>
            </w:pPr>
            <w:r>
              <w:rPr>
                <w:rFonts w:hint="eastAsia" w:ascii="方正仿宋_GBK" w:eastAsia="方正仿宋_GBK" w:cs="方正仿宋_GBK"/>
                <w:color w:val="auto"/>
                <w:highlight w:val="none"/>
              </w:rPr>
              <w:t>现场围挡</w:t>
            </w:r>
          </w:p>
        </w:tc>
        <w:tc>
          <w:tcPr>
            <w:tcW w:w="6645" w:type="dxa"/>
            <w:shd w:val="clear" w:color="auto" w:fill="auto"/>
            <w:vAlign w:val="center"/>
          </w:tcPr>
          <w:p>
            <w:pPr>
              <w:pStyle w:val="148"/>
              <w:spacing w:line="300" w:lineRule="exact"/>
              <w:rPr>
                <w:rFonts w:ascii="方正仿宋_GBK" w:eastAsia="方正仿宋_GBK"/>
                <w:color w:val="auto"/>
                <w:highlight w:val="none"/>
              </w:rPr>
            </w:pPr>
            <w:r>
              <w:rPr>
                <w:rFonts w:ascii="方正仿宋_GBK" w:eastAsia="方正仿宋_GBK" w:cs="方正仿宋_GBK"/>
                <w:color w:val="auto"/>
                <w:highlight w:val="none"/>
              </w:rPr>
              <w:t xml:space="preserve">1. </w:t>
            </w:r>
            <w:r>
              <w:rPr>
                <w:rFonts w:hint="eastAsia" w:ascii="方正仿宋_GBK" w:eastAsia="方正仿宋_GBK" w:cs="方正仿宋_GBK"/>
                <w:color w:val="auto"/>
                <w:highlight w:val="none"/>
              </w:rPr>
              <w:t>现场采用封闭围挡，高度不小于</w:t>
            </w:r>
            <w:r>
              <w:rPr>
                <w:rFonts w:ascii="方正仿宋_GBK" w:eastAsia="方正仿宋_GBK" w:cs="方正仿宋_GBK"/>
                <w:color w:val="auto"/>
                <w:highlight w:val="none"/>
              </w:rPr>
              <w:t>1.8m</w:t>
            </w:r>
            <w:r>
              <w:rPr>
                <w:rFonts w:hint="eastAsia" w:ascii="方正仿宋_GBK" w:eastAsia="方正仿宋_GBK" w:cs="方正仿宋_GBK"/>
                <w:color w:val="auto"/>
                <w:highlight w:val="none"/>
              </w:rPr>
              <w:t>。</w:t>
            </w:r>
          </w:p>
          <w:p>
            <w:pPr>
              <w:pStyle w:val="148"/>
              <w:spacing w:line="300" w:lineRule="exact"/>
              <w:rPr>
                <w:rFonts w:ascii="方正仿宋_GBK" w:eastAsia="方正仿宋_GBK"/>
                <w:color w:val="auto"/>
                <w:highlight w:val="none"/>
              </w:rPr>
            </w:pPr>
            <w:r>
              <w:rPr>
                <w:rFonts w:ascii="方正仿宋_GBK" w:eastAsia="方正仿宋_GBK" w:cs="方正仿宋_GBK"/>
                <w:color w:val="auto"/>
                <w:highlight w:val="none"/>
              </w:rPr>
              <w:t xml:space="preserve">2. </w:t>
            </w:r>
            <w:r>
              <w:rPr>
                <w:rFonts w:hint="eastAsia" w:ascii="方正仿宋_GBK" w:eastAsia="方正仿宋_GBK" w:cs="方正仿宋_GBK"/>
                <w:color w:val="auto"/>
                <w:highlight w:val="none"/>
              </w:rPr>
              <w:t>围挡材料可用彩色、定型钢板，砌块等墙体。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38" w:type="dxa"/>
            <w:vMerge w:val="continue"/>
            <w:shd w:val="clear" w:color="auto" w:fill="auto"/>
            <w:vAlign w:val="center"/>
          </w:tcPr>
          <w:p>
            <w:pPr>
              <w:pStyle w:val="148"/>
              <w:spacing w:line="300" w:lineRule="exact"/>
              <w:jc w:val="center"/>
              <w:rPr>
                <w:rFonts w:ascii="方正仿宋_GBK" w:eastAsia="方正仿宋_GBK"/>
                <w:color w:val="auto"/>
                <w:highlight w:val="none"/>
              </w:rPr>
            </w:pPr>
          </w:p>
        </w:tc>
        <w:tc>
          <w:tcPr>
            <w:tcW w:w="2070" w:type="dxa"/>
            <w:gridSpan w:val="2"/>
            <w:shd w:val="clear" w:color="auto" w:fill="auto"/>
            <w:vAlign w:val="center"/>
          </w:tcPr>
          <w:p>
            <w:pPr>
              <w:pStyle w:val="148"/>
              <w:spacing w:line="300" w:lineRule="exact"/>
              <w:jc w:val="center"/>
              <w:rPr>
                <w:rFonts w:ascii="方正仿宋_GBK" w:eastAsia="方正仿宋_GBK"/>
                <w:color w:val="auto"/>
                <w:highlight w:val="none"/>
              </w:rPr>
            </w:pPr>
            <w:r>
              <w:rPr>
                <w:rFonts w:hint="eastAsia" w:ascii="方正仿宋_GBK" w:eastAsia="方正仿宋_GBK" w:cs="方正仿宋_GBK"/>
                <w:color w:val="auto"/>
                <w:highlight w:val="none"/>
              </w:rPr>
              <w:t>七牌二图</w:t>
            </w:r>
          </w:p>
        </w:tc>
        <w:tc>
          <w:tcPr>
            <w:tcW w:w="6645" w:type="dxa"/>
            <w:shd w:val="clear" w:color="auto" w:fill="auto"/>
            <w:vAlign w:val="center"/>
          </w:tcPr>
          <w:p>
            <w:pPr>
              <w:pStyle w:val="148"/>
              <w:spacing w:line="300" w:lineRule="exact"/>
              <w:rPr>
                <w:rFonts w:ascii="方正仿宋_GBK" w:eastAsia="方正仿宋_GBK"/>
                <w:color w:val="auto"/>
                <w:highlight w:val="none"/>
              </w:rPr>
            </w:pPr>
            <w:r>
              <w:rPr>
                <w:rFonts w:hint="eastAsia" w:ascii="方正仿宋_GBK" w:eastAsia="方正仿宋_GBK" w:cs="方正仿宋_GBK"/>
                <w:color w:val="auto"/>
                <w:highlight w:val="none"/>
              </w:rPr>
              <w:t>在进门处悬挂工程概况、现场出入制度、管理人员名单及监督电话、安全生产规定、文明施工、消防保卫、节能公示等七牌以及施工现场总平面图、工程效果图。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trPr>
        <w:tc>
          <w:tcPr>
            <w:tcW w:w="738" w:type="dxa"/>
            <w:vMerge w:val="continue"/>
            <w:shd w:val="clear" w:color="auto" w:fill="auto"/>
            <w:vAlign w:val="center"/>
          </w:tcPr>
          <w:p>
            <w:pPr>
              <w:pStyle w:val="148"/>
              <w:spacing w:line="300" w:lineRule="exact"/>
              <w:jc w:val="center"/>
              <w:rPr>
                <w:rFonts w:ascii="方正仿宋_GBK" w:eastAsia="方正仿宋_GBK"/>
                <w:color w:val="auto"/>
                <w:highlight w:val="none"/>
              </w:rPr>
            </w:pPr>
          </w:p>
        </w:tc>
        <w:tc>
          <w:tcPr>
            <w:tcW w:w="2070" w:type="dxa"/>
            <w:gridSpan w:val="2"/>
            <w:shd w:val="clear" w:color="auto" w:fill="auto"/>
            <w:vAlign w:val="center"/>
          </w:tcPr>
          <w:p>
            <w:pPr>
              <w:pStyle w:val="148"/>
              <w:spacing w:line="300" w:lineRule="exact"/>
              <w:jc w:val="center"/>
              <w:rPr>
                <w:rFonts w:ascii="方正仿宋_GBK" w:eastAsia="方正仿宋_GBK"/>
                <w:color w:val="auto"/>
                <w:highlight w:val="none"/>
              </w:rPr>
            </w:pPr>
            <w:r>
              <w:rPr>
                <w:rFonts w:hint="eastAsia" w:ascii="方正仿宋_GBK" w:eastAsia="方正仿宋_GBK" w:cs="方正仿宋_GBK"/>
                <w:color w:val="auto"/>
                <w:highlight w:val="none"/>
              </w:rPr>
              <w:t>企业标志</w:t>
            </w:r>
          </w:p>
        </w:tc>
        <w:tc>
          <w:tcPr>
            <w:tcW w:w="6645" w:type="dxa"/>
            <w:shd w:val="clear" w:color="auto" w:fill="auto"/>
            <w:vAlign w:val="center"/>
          </w:tcPr>
          <w:p>
            <w:pPr>
              <w:pStyle w:val="148"/>
              <w:spacing w:line="300" w:lineRule="exact"/>
              <w:rPr>
                <w:rFonts w:ascii="方正仿宋_GBK" w:eastAsia="方正仿宋_GBK"/>
                <w:color w:val="auto"/>
                <w:highlight w:val="none"/>
              </w:rPr>
            </w:pPr>
            <w:r>
              <w:rPr>
                <w:rFonts w:hint="eastAsia" w:ascii="方正仿宋_GBK" w:eastAsia="方正仿宋_GBK" w:cs="方正仿宋_GBK"/>
                <w:color w:val="auto"/>
                <w:highlight w:val="none"/>
              </w:rPr>
              <w:t>现场出入的大门应设有本企业标志或企业标识。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38" w:type="dxa"/>
            <w:vMerge w:val="continue"/>
            <w:shd w:val="clear" w:color="auto" w:fill="auto"/>
            <w:vAlign w:val="center"/>
          </w:tcPr>
          <w:p>
            <w:pPr>
              <w:pStyle w:val="148"/>
              <w:spacing w:line="300" w:lineRule="exact"/>
              <w:jc w:val="center"/>
              <w:rPr>
                <w:rFonts w:ascii="方正仿宋_GBK" w:eastAsia="方正仿宋_GBK"/>
                <w:color w:val="auto"/>
                <w:highlight w:val="none"/>
              </w:rPr>
            </w:pPr>
          </w:p>
        </w:tc>
        <w:tc>
          <w:tcPr>
            <w:tcW w:w="2070" w:type="dxa"/>
            <w:gridSpan w:val="2"/>
            <w:shd w:val="clear" w:color="auto" w:fill="auto"/>
            <w:vAlign w:val="center"/>
          </w:tcPr>
          <w:p>
            <w:pPr>
              <w:pStyle w:val="148"/>
              <w:spacing w:line="300" w:lineRule="exact"/>
              <w:jc w:val="center"/>
              <w:rPr>
                <w:rFonts w:ascii="方正仿宋_GBK" w:eastAsia="方正仿宋_GBK"/>
                <w:color w:val="auto"/>
                <w:highlight w:val="none"/>
              </w:rPr>
            </w:pPr>
            <w:r>
              <w:rPr>
                <w:rFonts w:hint="eastAsia" w:ascii="方正仿宋_GBK" w:eastAsia="方正仿宋_GBK" w:cs="方正仿宋_GBK"/>
                <w:color w:val="auto"/>
                <w:highlight w:val="none"/>
              </w:rPr>
              <w:t>场容场貌</w:t>
            </w:r>
          </w:p>
        </w:tc>
        <w:tc>
          <w:tcPr>
            <w:tcW w:w="6645" w:type="dxa"/>
            <w:shd w:val="clear" w:color="auto" w:fill="auto"/>
            <w:vAlign w:val="center"/>
          </w:tcPr>
          <w:p>
            <w:pPr>
              <w:pStyle w:val="148"/>
              <w:spacing w:line="300" w:lineRule="exact"/>
              <w:rPr>
                <w:rFonts w:ascii="方正仿宋_GBK" w:eastAsia="方正仿宋_GBK"/>
                <w:color w:val="auto"/>
                <w:highlight w:val="none"/>
              </w:rPr>
            </w:pPr>
            <w:r>
              <w:rPr>
                <w:rFonts w:ascii="方正仿宋_GBK" w:eastAsia="方正仿宋_GBK" w:cs="方正仿宋_GBK"/>
                <w:color w:val="auto"/>
                <w:highlight w:val="none"/>
              </w:rPr>
              <w:t xml:space="preserve">1. </w:t>
            </w:r>
            <w:r>
              <w:rPr>
                <w:rFonts w:hint="eastAsia" w:ascii="方正仿宋_GBK" w:eastAsia="方正仿宋_GBK" w:cs="方正仿宋_GBK"/>
                <w:color w:val="auto"/>
                <w:highlight w:val="none"/>
              </w:rPr>
              <w:t>道路畅通。</w:t>
            </w:r>
          </w:p>
          <w:p>
            <w:pPr>
              <w:pStyle w:val="148"/>
              <w:spacing w:line="300" w:lineRule="exact"/>
              <w:rPr>
                <w:rFonts w:ascii="方正仿宋_GBK" w:eastAsia="方正仿宋_GBK"/>
                <w:color w:val="auto"/>
                <w:highlight w:val="none"/>
              </w:rPr>
            </w:pPr>
            <w:r>
              <w:rPr>
                <w:rFonts w:ascii="方正仿宋_GBK" w:eastAsia="方正仿宋_GBK" w:cs="方正仿宋_GBK"/>
                <w:color w:val="auto"/>
                <w:highlight w:val="none"/>
              </w:rPr>
              <w:t xml:space="preserve">2. </w:t>
            </w:r>
            <w:r>
              <w:rPr>
                <w:rFonts w:hint="eastAsia" w:ascii="方正仿宋_GBK" w:eastAsia="方正仿宋_GBK" w:cs="方正仿宋_GBK"/>
                <w:color w:val="auto"/>
                <w:highlight w:val="none"/>
              </w:rPr>
              <w:t>排水设施齐全畅通。</w:t>
            </w:r>
          </w:p>
          <w:p>
            <w:pPr>
              <w:pStyle w:val="148"/>
              <w:spacing w:line="300" w:lineRule="exact"/>
              <w:rPr>
                <w:rFonts w:ascii="方正仿宋_GBK" w:eastAsia="方正仿宋_GBK"/>
                <w:color w:val="auto"/>
                <w:highlight w:val="none"/>
              </w:rPr>
            </w:pPr>
            <w:r>
              <w:rPr>
                <w:rFonts w:ascii="方正仿宋_GBK" w:eastAsia="方正仿宋_GBK" w:cs="方正仿宋_GBK"/>
                <w:color w:val="auto"/>
                <w:highlight w:val="none"/>
              </w:rPr>
              <w:t xml:space="preserve">3. </w:t>
            </w:r>
            <w:r>
              <w:rPr>
                <w:rFonts w:hint="eastAsia" w:ascii="方正仿宋_GBK" w:eastAsia="方正仿宋_GBK" w:cs="方正仿宋_GBK"/>
                <w:color w:val="auto"/>
                <w:highlight w:val="none"/>
              </w:rPr>
              <w:t>工地地面硬化处理（办公区、生活区、现场道路、材料堆放、混凝土搅拌、砂浆搅拌、钢筋加工等场地和外脚手架基础等）。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38" w:type="dxa"/>
            <w:vMerge w:val="continue"/>
            <w:shd w:val="clear" w:color="auto" w:fill="auto"/>
            <w:vAlign w:val="center"/>
          </w:tcPr>
          <w:p>
            <w:pPr>
              <w:pStyle w:val="148"/>
              <w:spacing w:line="300" w:lineRule="exact"/>
              <w:jc w:val="center"/>
              <w:rPr>
                <w:rFonts w:ascii="方正仿宋_GBK" w:eastAsia="方正仿宋_GBK"/>
                <w:color w:val="auto"/>
                <w:highlight w:val="none"/>
              </w:rPr>
            </w:pPr>
          </w:p>
        </w:tc>
        <w:tc>
          <w:tcPr>
            <w:tcW w:w="2070" w:type="dxa"/>
            <w:gridSpan w:val="2"/>
            <w:shd w:val="clear" w:color="auto" w:fill="auto"/>
            <w:vAlign w:val="center"/>
          </w:tcPr>
          <w:p>
            <w:pPr>
              <w:pStyle w:val="148"/>
              <w:spacing w:line="300" w:lineRule="exact"/>
              <w:jc w:val="center"/>
              <w:rPr>
                <w:rFonts w:ascii="方正仿宋_GBK" w:eastAsia="方正仿宋_GBK"/>
                <w:color w:val="auto"/>
                <w:highlight w:val="none"/>
              </w:rPr>
            </w:pPr>
            <w:r>
              <w:rPr>
                <w:rFonts w:hint="eastAsia" w:ascii="方正仿宋_GBK" w:eastAsia="方正仿宋_GBK" w:cs="方正仿宋_GBK"/>
                <w:color w:val="auto"/>
                <w:highlight w:val="none"/>
              </w:rPr>
              <w:t>材料堆放</w:t>
            </w:r>
          </w:p>
        </w:tc>
        <w:tc>
          <w:tcPr>
            <w:tcW w:w="6645" w:type="dxa"/>
            <w:shd w:val="clear" w:color="auto" w:fill="auto"/>
            <w:vAlign w:val="center"/>
          </w:tcPr>
          <w:p>
            <w:pPr>
              <w:pStyle w:val="148"/>
              <w:numPr>
                <w:ilvl w:val="0"/>
                <w:numId w:val="8"/>
              </w:numPr>
              <w:spacing w:line="300" w:lineRule="exact"/>
              <w:rPr>
                <w:rFonts w:ascii="方正仿宋_GBK" w:eastAsia="方正仿宋_GBK"/>
                <w:color w:val="auto"/>
                <w:highlight w:val="none"/>
              </w:rPr>
            </w:pPr>
            <w:r>
              <w:rPr>
                <w:rFonts w:hint="eastAsia" w:ascii="方正仿宋_GBK" w:eastAsia="方正仿宋_GBK" w:cs="方正仿宋_GBK"/>
                <w:color w:val="auto"/>
                <w:highlight w:val="none"/>
              </w:rPr>
              <w:t>材料、构件、料具等堆放时，应有名称、品种、规格等标牌。</w:t>
            </w:r>
          </w:p>
          <w:p>
            <w:pPr>
              <w:pStyle w:val="148"/>
              <w:spacing w:line="300" w:lineRule="exact"/>
              <w:rPr>
                <w:rFonts w:ascii="方正仿宋_GBK" w:eastAsia="方正仿宋_GBK"/>
                <w:color w:val="auto"/>
                <w:highlight w:val="none"/>
              </w:rPr>
            </w:pPr>
            <w:r>
              <w:rPr>
                <w:rFonts w:ascii="方正仿宋_GBK" w:eastAsia="方正仿宋_GBK" w:cs="方正仿宋_GBK"/>
                <w:color w:val="auto"/>
                <w:highlight w:val="none"/>
              </w:rPr>
              <w:t xml:space="preserve">2. </w:t>
            </w:r>
            <w:r>
              <w:rPr>
                <w:rFonts w:hint="eastAsia" w:ascii="方正仿宋_GBK" w:eastAsia="方正仿宋_GBK" w:cs="方正仿宋_GBK"/>
                <w:color w:val="auto"/>
                <w:highlight w:val="none"/>
              </w:rPr>
              <w:t>水泥和其它易飞扬细颗粒建筑材料应封闭存放或采取覆盖等措施。</w:t>
            </w:r>
          </w:p>
          <w:p>
            <w:pPr>
              <w:pStyle w:val="148"/>
              <w:spacing w:line="300" w:lineRule="exact"/>
              <w:rPr>
                <w:rFonts w:ascii="方正仿宋_GBK" w:eastAsia="方正仿宋_GBK"/>
                <w:color w:val="auto"/>
                <w:highlight w:val="none"/>
              </w:rPr>
            </w:pPr>
            <w:r>
              <w:rPr>
                <w:rFonts w:ascii="方正仿宋_GBK" w:eastAsia="方正仿宋_GBK" w:cs="方正仿宋_GBK"/>
                <w:color w:val="auto"/>
                <w:highlight w:val="none"/>
              </w:rPr>
              <w:t xml:space="preserve">3. </w:t>
            </w:r>
            <w:r>
              <w:rPr>
                <w:rFonts w:hint="eastAsia" w:ascii="方正仿宋_GBK" w:eastAsia="方正仿宋_GBK" w:cs="方正仿宋_GBK"/>
                <w:color w:val="auto"/>
                <w:highlight w:val="none"/>
              </w:rPr>
              <w:t>易燃、易爆和有毒有害物品分类存放。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exact"/>
        </w:trPr>
        <w:tc>
          <w:tcPr>
            <w:tcW w:w="738" w:type="dxa"/>
            <w:vMerge w:val="continue"/>
            <w:shd w:val="clear" w:color="auto" w:fill="auto"/>
            <w:vAlign w:val="center"/>
          </w:tcPr>
          <w:p>
            <w:pPr>
              <w:pStyle w:val="148"/>
              <w:spacing w:line="300" w:lineRule="exact"/>
              <w:jc w:val="center"/>
              <w:rPr>
                <w:rFonts w:ascii="方正仿宋_GBK" w:eastAsia="方正仿宋_GBK"/>
                <w:color w:val="auto"/>
                <w:highlight w:val="none"/>
              </w:rPr>
            </w:pPr>
          </w:p>
        </w:tc>
        <w:tc>
          <w:tcPr>
            <w:tcW w:w="2070" w:type="dxa"/>
            <w:gridSpan w:val="2"/>
            <w:shd w:val="clear" w:color="auto" w:fill="auto"/>
            <w:vAlign w:val="center"/>
          </w:tcPr>
          <w:p>
            <w:pPr>
              <w:pStyle w:val="148"/>
              <w:spacing w:line="300" w:lineRule="exact"/>
              <w:jc w:val="center"/>
              <w:rPr>
                <w:rFonts w:ascii="方正仿宋_GBK" w:eastAsia="方正仿宋_GBK"/>
                <w:color w:val="auto"/>
                <w:highlight w:val="none"/>
              </w:rPr>
            </w:pPr>
            <w:r>
              <w:rPr>
                <w:rFonts w:hint="eastAsia" w:ascii="方正仿宋_GBK" w:eastAsia="方正仿宋_GBK" w:cs="方正仿宋_GBK"/>
                <w:color w:val="auto"/>
                <w:highlight w:val="none"/>
              </w:rPr>
              <w:t>现场防火</w:t>
            </w:r>
          </w:p>
        </w:tc>
        <w:tc>
          <w:tcPr>
            <w:tcW w:w="6645" w:type="dxa"/>
            <w:shd w:val="clear" w:color="auto" w:fill="auto"/>
            <w:vAlign w:val="center"/>
          </w:tcPr>
          <w:p>
            <w:pPr>
              <w:pStyle w:val="148"/>
              <w:spacing w:line="300" w:lineRule="exact"/>
              <w:rPr>
                <w:rFonts w:ascii="方正仿宋_GBK" w:eastAsia="方正仿宋_GBK"/>
                <w:color w:val="auto"/>
                <w:highlight w:val="none"/>
              </w:rPr>
            </w:pPr>
            <w:r>
              <w:rPr>
                <w:rFonts w:hint="eastAsia" w:ascii="方正仿宋_GBK" w:eastAsia="方正仿宋_GBK" w:cs="方正仿宋_GBK"/>
                <w:color w:val="auto"/>
                <w:highlight w:val="none"/>
              </w:rPr>
              <w:t>消防器材配置合理，符合消防要求。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38" w:type="dxa"/>
            <w:vMerge w:val="continue"/>
            <w:shd w:val="clear" w:color="auto" w:fill="auto"/>
            <w:vAlign w:val="center"/>
          </w:tcPr>
          <w:p>
            <w:pPr>
              <w:pStyle w:val="148"/>
              <w:spacing w:line="300" w:lineRule="exact"/>
              <w:jc w:val="center"/>
              <w:rPr>
                <w:rFonts w:ascii="方正仿宋_GBK" w:eastAsia="方正仿宋_GBK"/>
                <w:color w:val="auto"/>
                <w:highlight w:val="none"/>
              </w:rPr>
            </w:pPr>
          </w:p>
        </w:tc>
        <w:tc>
          <w:tcPr>
            <w:tcW w:w="2070" w:type="dxa"/>
            <w:gridSpan w:val="2"/>
            <w:shd w:val="clear" w:color="auto" w:fill="auto"/>
            <w:vAlign w:val="center"/>
          </w:tcPr>
          <w:p>
            <w:pPr>
              <w:pStyle w:val="148"/>
              <w:spacing w:line="300" w:lineRule="exact"/>
              <w:jc w:val="center"/>
              <w:rPr>
                <w:rFonts w:ascii="方正仿宋_GBK" w:eastAsia="方正仿宋_GBK"/>
                <w:color w:val="auto"/>
                <w:highlight w:val="none"/>
              </w:rPr>
            </w:pPr>
            <w:r>
              <w:rPr>
                <w:rFonts w:hint="eastAsia" w:ascii="方正仿宋_GBK" w:eastAsia="方正仿宋_GBK" w:cs="方正仿宋_GBK"/>
                <w:color w:val="auto"/>
                <w:highlight w:val="none"/>
              </w:rPr>
              <w:t>垃圾清运</w:t>
            </w:r>
          </w:p>
        </w:tc>
        <w:tc>
          <w:tcPr>
            <w:tcW w:w="6645" w:type="dxa"/>
            <w:shd w:val="clear" w:color="auto" w:fill="auto"/>
            <w:vAlign w:val="center"/>
          </w:tcPr>
          <w:p>
            <w:pPr>
              <w:pStyle w:val="148"/>
              <w:spacing w:line="300" w:lineRule="exact"/>
              <w:rPr>
                <w:rFonts w:ascii="方正仿宋_GBK" w:eastAsia="方正仿宋_GBK"/>
                <w:color w:val="auto"/>
                <w:highlight w:val="none"/>
              </w:rPr>
            </w:pPr>
            <w:r>
              <w:rPr>
                <w:rFonts w:ascii="方正仿宋_GBK" w:eastAsia="方正仿宋_GBK" w:cs="方正仿宋_GBK"/>
                <w:color w:val="auto"/>
                <w:highlight w:val="none"/>
              </w:rPr>
              <w:t xml:space="preserve">1. </w:t>
            </w:r>
            <w:r>
              <w:rPr>
                <w:rFonts w:hint="eastAsia" w:ascii="方正仿宋_GBK" w:eastAsia="方正仿宋_GBK" w:cs="方正仿宋_GBK"/>
                <w:color w:val="auto"/>
                <w:highlight w:val="none"/>
              </w:rPr>
              <w:t>施工现场应设置密闭式垃圾站，施工垃圾、生活垃圾应分类存放。</w:t>
            </w:r>
          </w:p>
          <w:p>
            <w:pPr>
              <w:pStyle w:val="148"/>
              <w:spacing w:line="300" w:lineRule="exact"/>
              <w:rPr>
                <w:rFonts w:ascii="方正仿宋_GBK" w:eastAsia="方正仿宋_GBK"/>
                <w:color w:val="auto"/>
                <w:highlight w:val="none"/>
              </w:rPr>
            </w:pPr>
            <w:r>
              <w:rPr>
                <w:rFonts w:ascii="方正仿宋_GBK" w:eastAsia="方正仿宋_GBK" w:cs="方正仿宋_GBK"/>
                <w:color w:val="auto"/>
                <w:highlight w:val="none"/>
              </w:rPr>
              <w:t xml:space="preserve">2. </w:t>
            </w:r>
            <w:r>
              <w:rPr>
                <w:rFonts w:hint="eastAsia" w:ascii="方正仿宋_GBK" w:eastAsia="方正仿宋_GBK" w:cs="方正仿宋_GBK"/>
                <w:color w:val="auto"/>
                <w:highlight w:val="none"/>
              </w:rPr>
              <w:t>施工垃圾必须采用相应容器或管道运输。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38" w:type="dxa"/>
            <w:vMerge w:val="continue"/>
            <w:shd w:val="clear" w:color="auto" w:fill="auto"/>
            <w:vAlign w:val="center"/>
          </w:tcPr>
          <w:p>
            <w:pPr>
              <w:pStyle w:val="148"/>
              <w:spacing w:line="300" w:lineRule="exact"/>
              <w:jc w:val="center"/>
              <w:rPr>
                <w:rFonts w:ascii="方正仿宋_GBK" w:eastAsia="方正仿宋_GBK"/>
                <w:color w:val="auto"/>
                <w:highlight w:val="none"/>
              </w:rPr>
            </w:pPr>
          </w:p>
        </w:tc>
        <w:tc>
          <w:tcPr>
            <w:tcW w:w="2070" w:type="dxa"/>
            <w:gridSpan w:val="2"/>
            <w:shd w:val="clear" w:color="auto" w:fill="auto"/>
            <w:vAlign w:val="center"/>
          </w:tcPr>
          <w:p>
            <w:pPr>
              <w:pStyle w:val="148"/>
              <w:spacing w:line="300" w:lineRule="exact"/>
              <w:rPr>
                <w:rFonts w:ascii="方正仿宋_GBK" w:eastAsia="方正仿宋_GBK"/>
                <w:color w:val="auto"/>
                <w:highlight w:val="none"/>
              </w:rPr>
            </w:pPr>
            <w:r>
              <w:rPr>
                <w:rFonts w:hint="eastAsia" w:ascii="方正仿宋_GBK" w:eastAsia="方正仿宋_GBK" w:cs="方正仿宋_GBK"/>
                <w:color w:val="auto"/>
                <w:highlight w:val="none"/>
              </w:rPr>
              <w:t>宣传栏、环保及不扰民措施</w:t>
            </w:r>
          </w:p>
        </w:tc>
        <w:tc>
          <w:tcPr>
            <w:tcW w:w="6645" w:type="dxa"/>
            <w:shd w:val="clear" w:color="auto" w:fill="auto"/>
            <w:vAlign w:val="center"/>
          </w:tcPr>
          <w:p>
            <w:pPr>
              <w:pStyle w:val="148"/>
              <w:spacing w:line="300" w:lineRule="exact"/>
              <w:rPr>
                <w:rFonts w:ascii="方正仿宋_GBK" w:eastAsia="方正仿宋_GBK"/>
                <w:color w:val="auto"/>
                <w:highlight w:val="none"/>
              </w:rPr>
            </w:pPr>
            <w:r>
              <w:rPr>
                <w:rFonts w:hint="eastAsia" w:ascii="方正仿宋_GBK" w:eastAsia="方正仿宋_GBK" w:cs="方正仿宋_GBK"/>
                <w:color w:val="auto"/>
                <w:highlight w:val="none"/>
              </w:rPr>
              <w:t>宣传栏、安全宣传标语等，洗车（防止污染市区道路）、粉尘、噪声控制和排污（污水、废气）措施等。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38" w:type="dxa"/>
            <w:vMerge w:val="restart"/>
            <w:shd w:val="clear" w:color="auto" w:fill="auto"/>
            <w:vAlign w:val="center"/>
          </w:tcPr>
          <w:p>
            <w:pPr>
              <w:pStyle w:val="148"/>
              <w:spacing w:line="300" w:lineRule="exact"/>
              <w:jc w:val="center"/>
              <w:rPr>
                <w:rFonts w:ascii="方正仿宋_GBK" w:eastAsia="方正仿宋_GBK"/>
                <w:color w:val="auto"/>
                <w:highlight w:val="none"/>
              </w:rPr>
            </w:pPr>
            <w:r>
              <w:rPr>
                <w:rFonts w:hint="eastAsia" w:ascii="方正仿宋_GBK" w:eastAsia="方正仿宋_GBK" w:cs="方正仿宋_GBK"/>
                <w:color w:val="auto"/>
                <w:highlight w:val="none"/>
              </w:rPr>
              <w:t>临时设施</w:t>
            </w:r>
          </w:p>
        </w:tc>
        <w:tc>
          <w:tcPr>
            <w:tcW w:w="2070" w:type="dxa"/>
            <w:gridSpan w:val="2"/>
            <w:shd w:val="clear" w:color="auto" w:fill="auto"/>
            <w:vAlign w:val="center"/>
          </w:tcPr>
          <w:p>
            <w:pPr>
              <w:pStyle w:val="148"/>
              <w:spacing w:line="300" w:lineRule="exact"/>
              <w:jc w:val="center"/>
              <w:rPr>
                <w:rFonts w:ascii="方正仿宋_GBK" w:eastAsia="方正仿宋_GBK"/>
                <w:color w:val="auto"/>
                <w:highlight w:val="none"/>
              </w:rPr>
            </w:pPr>
            <w:r>
              <w:rPr>
                <w:rFonts w:hint="eastAsia" w:ascii="方正仿宋_GBK" w:eastAsia="方正仿宋_GBK" w:cs="方正仿宋_GBK"/>
                <w:color w:val="auto"/>
                <w:highlight w:val="none"/>
              </w:rPr>
              <w:t>现场办公</w:t>
            </w:r>
          </w:p>
          <w:p>
            <w:pPr>
              <w:pStyle w:val="148"/>
              <w:spacing w:line="300" w:lineRule="exact"/>
              <w:jc w:val="center"/>
              <w:rPr>
                <w:rFonts w:ascii="方正仿宋_GBK" w:eastAsia="方正仿宋_GBK"/>
                <w:color w:val="auto"/>
                <w:highlight w:val="none"/>
              </w:rPr>
            </w:pPr>
            <w:r>
              <w:rPr>
                <w:rFonts w:hint="eastAsia" w:ascii="方正仿宋_GBK" w:eastAsia="方正仿宋_GBK" w:cs="方正仿宋_GBK"/>
                <w:color w:val="auto"/>
                <w:highlight w:val="none"/>
              </w:rPr>
              <w:t>生活设施</w:t>
            </w:r>
          </w:p>
        </w:tc>
        <w:tc>
          <w:tcPr>
            <w:tcW w:w="6645" w:type="dxa"/>
            <w:shd w:val="clear" w:color="auto" w:fill="auto"/>
            <w:vAlign w:val="center"/>
          </w:tcPr>
          <w:p>
            <w:pPr>
              <w:pStyle w:val="148"/>
              <w:spacing w:line="300" w:lineRule="exact"/>
              <w:rPr>
                <w:rFonts w:ascii="方正仿宋_GBK" w:eastAsia="方正仿宋_GBK"/>
                <w:color w:val="auto"/>
                <w:highlight w:val="none"/>
              </w:rPr>
            </w:pPr>
            <w:r>
              <w:rPr>
                <w:rFonts w:ascii="方正仿宋_GBK" w:eastAsia="方正仿宋_GBK" w:cs="方正仿宋_GBK"/>
                <w:color w:val="auto"/>
                <w:highlight w:val="none"/>
              </w:rPr>
              <w:t xml:space="preserve">1. </w:t>
            </w:r>
            <w:r>
              <w:rPr>
                <w:rFonts w:hint="eastAsia" w:ascii="方正仿宋_GBK" w:eastAsia="方正仿宋_GBK" w:cs="方正仿宋_GBK"/>
                <w:color w:val="auto"/>
                <w:highlight w:val="none"/>
              </w:rPr>
              <w:t>施工现场办公、生活区与作业区分开设置，保持安全距离。</w:t>
            </w:r>
          </w:p>
          <w:p>
            <w:pPr>
              <w:pStyle w:val="148"/>
              <w:spacing w:line="300" w:lineRule="exact"/>
              <w:rPr>
                <w:rFonts w:ascii="方正仿宋_GBK" w:eastAsia="方正仿宋_GBK"/>
                <w:color w:val="auto"/>
                <w:highlight w:val="none"/>
              </w:rPr>
            </w:pPr>
            <w:r>
              <w:rPr>
                <w:rFonts w:ascii="方正仿宋_GBK" w:eastAsia="方正仿宋_GBK" w:cs="方正仿宋_GBK"/>
                <w:color w:val="auto"/>
                <w:highlight w:val="none"/>
              </w:rPr>
              <w:t xml:space="preserve">2. </w:t>
            </w:r>
            <w:r>
              <w:rPr>
                <w:rFonts w:hint="eastAsia" w:ascii="方正仿宋_GBK" w:eastAsia="方正仿宋_GBK" w:cs="方正仿宋_GBK"/>
                <w:color w:val="auto"/>
                <w:highlight w:val="none"/>
              </w:rPr>
              <w:t>工地办公室、现场宿舍、食堂、厕所、饮水、沐浴、休息场所等符合卫生、消防安全要求。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38" w:type="dxa"/>
            <w:vMerge w:val="continue"/>
            <w:shd w:val="clear" w:color="auto" w:fill="auto"/>
            <w:vAlign w:val="center"/>
          </w:tcPr>
          <w:p>
            <w:pPr>
              <w:pStyle w:val="148"/>
              <w:spacing w:line="300" w:lineRule="exact"/>
              <w:jc w:val="center"/>
              <w:rPr>
                <w:rFonts w:ascii="方正仿宋_GBK" w:eastAsia="方正仿宋_GBK"/>
                <w:color w:val="auto"/>
                <w:highlight w:val="none"/>
              </w:rPr>
            </w:pPr>
          </w:p>
        </w:tc>
        <w:tc>
          <w:tcPr>
            <w:tcW w:w="525" w:type="dxa"/>
            <w:vMerge w:val="restart"/>
            <w:shd w:val="clear" w:color="auto" w:fill="auto"/>
            <w:vAlign w:val="center"/>
          </w:tcPr>
          <w:p>
            <w:pPr>
              <w:pStyle w:val="148"/>
              <w:spacing w:line="300" w:lineRule="exact"/>
              <w:jc w:val="center"/>
              <w:rPr>
                <w:rFonts w:ascii="方正仿宋_GBK" w:eastAsia="方正仿宋_GBK"/>
                <w:color w:val="auto"/>
                <w:highlight w:val="none"/>
              </w:rPr>
            </w:pPr>
            <w:r>
              <w:rPr>
                <w:rFonts w:hint="eastAsia" w:ascii="方正仿宋_GBK" w:eastAsia="方正仿宋_GBK" w:cs="方正仿宋_GBK"/>
                <w:color w:val="auto"/>
                <w:highlight w:val="none"/>
              </w:rPr>
              <w:t>施工现场</w:t>
            </w:r>
          </w:p>
          <w:p>
            <w:pPr>
              <w:pStyle w:val="148"/>
              <w:spacing w:line="300" w:lineRule="exact"/>
              <w:jc w:val="center"/>
              <w:rPr>
                <w:rFonts w:ascii="方正仿宋_GBK" w:eastAsia="方正仿宋_GBK"/>
                <w:color w:val="auto"/>
                <w:highlight w:val="none"/>
              </w:rPr>
            </w:pPr>
            <w:r>
              <w:rPr>
                <w:rFonts w:hint="eastAsia" w:ascii="方正仿宋_GBK" w:eastAsia="方正仿宋_GBK" w:cs="方正仿宋_GBK"/>
                <w:color w:val="auto"/>
                <w:highlight w:val="none"/>
              </w:rPr>
              <w:t>临时用电</w:t>
            </w:r>
          </w:p>
        </w:tc>
        <w:tc>
          <w:tcPr>
            <w:tcW w:w="1545" w:type="dxa"/>
            <w:shd w:val="clear" w:color="auto" w:fill="auto"/>
            <w:vAlign w:val="center"/>
          </w:tcPr>
          <w:p>
            <w:pPr>
              <w:pStyle w:val="148"/>
              <w:spacing w:line="300" w:lineRule="exact"/>
              <w:jc w:val="center"/>
              <w:rPr>
                <w:rFonts w:ascii="方正仿宋_GBK" w:eastAsia="方正仿宋_GBK"/>
                <w:color w:val="auto"/>
                <w:highlight w:val="none"/>
              </w:rPr>
            </w:pPr>
            <w:r>
              <w:rPr>
                <w:rFonts w:hint="eastAsia" w:ascii="方正仿宋_GBK" w:eastAsia="方正仿宋_GBK" w:cs="方正仿宋_GBK"/>
                <w:color w:val="auto"/>
                <w:highlight w:val="none"/>
              </w:rPr>
              <w:t>配电线路</w:t>
            </w:r>
          </w:p>
        </w:tc>
        <w:tc>
          <w:tcPr>
            <w:tcW w:w="6645" w:type="dxa"/>
            <w:shd w:val="clear" w:color="auto" w:fill="auto"/>
            <w:vAlign w:val="center"/>
          </w:tcPr>
          <w:p>
            <w:pPr>
              <w:pStyle w:val="148"/>
              <w:spacing w:line="300" w:lineRule="exact"/>
              <w:rPr>
                <w:rFonts w:ascii="方正仿宋_GBK" w:eastAsia="方正仿宋_GBK"/>
                <w:color w:val="auto"/>
                <w:highlight w:val="none"/>
              </w:rPr>
            </w:pPr>
            <w:r>
              <w:rPr>
                <w:rFonts w:ascii="方正仿宋_GBK" w:eastAsia="方正仿宋_GBK" w:cs="方正仿宋_GBK"/>
                <w:color w:val="auto"/>
                <w:highlight w:val="none"/>
              </w:rPr>
              <w:t xml:space="preserve">1. </w:t>
            </w:r>
            <w:r>
              <w:rPr>
                <w:rFonts w:hint="eastAsia" w:ascii="方正仿宋_GBK" w:eastAsia="方正仿宋_GBK" w:cs="方正仿宋_GBK"/>
                <w:color w:val="auto"/>
                <w:highlight w:val="none"/>
              </w:rPr>
              <w:t>按照</w:t>
            </w:r>
            <w:r>
              <w:rPr>
                <w:rFonts w:ascii="方正仿宋_GBK" w:eastAsia="方正仿宋_GBK" w:cs="方正仿宋_GBK"/>
                <w:color w:val="auto"/>
                <w:highlight w:val="none"/>
              </w:rPr>
              <w:t>TN-S</w:t>
            </w:r>
            <w:r>
              <w:rPr>
                <w:rFonts w:hint="eastAsia" w:ascii="方正仿宋_GBK" w:eastAsia="方正仿宋_GBK" w:cs="方正仿宋_GBK"/>
                <w:color w:val="auto"/>
                <w:highlight w:val="none"/>
              </w:rPr>
              <w:t>系统要求配备五芯电缆、四芯电缆和三芯电缆。</w:t>
            </w:r>
          </w:p>
          <w:p>
            <w:pPr>
              <w:pStyle w:val="148"/>
              <w:spacing w:line="300" w:lineRule="exact"/>
              <w:rPr>
                <w:rFonts w:ascii="方正仿宋_GBK" w:eastAsia="方正仿宋_GBK"/>
                <w:color w:val="auto"/>
                <w:highlight w:val="none"/>
              </w:rPr>
            </w:pPr>
            <w:r>
              <w:rPr>
                <w:rFonts w:ascii="方正仿宋_GBK" w:eastAsia="方正仿宋_GBK" w:cs="方正仿宋_GBK"/>
                <w:color w:val="auto"/>
                <w:highlight w:val="none"/>
              </w:rPr>
              <w:t xml:space="preserve">2. </w:t>
            </w:r>
            <w:r>
              <w:rPr>
                <w:rFonts w:hint="eastAsia" w:ascii="方正仿宋_GBK" w:eastAsia="方正仿宋_GBK" w:cs="方正仿宋_GBK"/>
                <w:color w:val="auto"/>
                <w:highlight w:val="none"/>
              </w:rPr>
              <w:t>按要求架设临时用电线路的电杆、横担、瓷夹、瓷瓶等，或电缆埋地的地沟。</w:t>
            </w:r>
          </w:p>
          <w:p>
            <w:pPr>
              <w:pStyle w:val="148"/>
              <w:spacing w:line="300" w:lineRule="exact"/>
              <w:rPr>
                <w:rFonts w:ascii="方正仿宋_GBK" w:eastAsia="方正仿宋_GBK"/>
                <w:color w:val="auto"/>
                <w:highlight w:val="none"/>
              </w:rPr>
            </w:pPr>
            <w:r>
              <w:rPr>
                <w:rFonts w:ascii="方正仿宋_GBK" w:eastAsia="方正仿宋_GBK" w:cs="方正仿宋_GBK"/>
                <w:color w:val="auto"/>
                <w:highlight w:val="none"/>
              </w:rPr>
              <w:t xml:space="preserve">3. </w:t>
            </w:r>
            <w:r>
              <w:rPr>
                <w:rFonts w:hint="eastAsia" w:ascii="方正仿宋_GBK" w:eastAsia="方正仿宋_GBK" w:cs="方正仿宋_GBK"/>
                <w:color w:val="auto"/>
                <w:highlight w:val="none"/>
              </w:rPr>
              <w:t>对靠近施工现场的外电线路，设置木质、塑料等绝缘体的防护设施。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38" w:type="dxa"/>
            <w:vMerge w:val="continue"/>
            <w:shd w:val="clear" w:color="auto" w:fill="auto"/>
            <w:vAlign w:val="center"/>
          </w:tcPr>
          <w:p>
            <w:pPr>
              <w:pStyle w:val="148"/>
              <w:spacing w:line="300" w:lineRule="exact"/>
              <w:jc w:val="center"/>
              <w:rPr>
                <w:rFonts w:ascii="方正仿宋_GBK" w:eastAsia="方正仿宋_GBK"/>
                <w:color w:val="auto"/>
                <w:highlight w:val="none"/>
              </w:rPr>
            </w:pPr>
          </w:p>
        </w:tc>
        <w:tc>
          <w:tcPr>
            <w:tcW w:w="525" w:type="dxa"/>
            <w:vMerge w:val="continue"/>
            <w:shd w:val="clear" w:color="auto" w:fill="auto"/>
            <w:vAlign w:val="center"/>
          </w:tcPr>
          <w:p>
            <w:pPr>
              <w:pStyle w:val="148"/>
              <w:spacing w:line="300" w:lineRule="exact"/>
              <w:jc w:val="center"/>
              <w:rPr>
                <w:rFonts w:ascii="方正仿宋_GBK" w:eastAsia="方正仿宋_GBK"/>
                <w:color w:val="auto"/>
                <w:highlight w:val="none"/>
              </w:rPr>
            </w:pPr>
          </w:p>
        </w:tc>
        <w:tc>
          <w:tcPr>
            <w:tcW w:w="1545" w:type="dxa"/>
            <w:shd w:val="clear" w:color="auto" w:fill="auto"/>
            <w:vAlign w:val="center"/>
          </w:tcPr>
          <w:p>
            <w:pPr>
              <w:pStyle w:val="148"/>
              <w:spacing w:line="300" w:lineRule="exact"/>
              <w:jc w:val="center"/>
              <w:rPr>
                <w:rFonts w:ascii="方正仿宋_GBK" w:eastAsia="方正仿宋_GBK"/>
                <w:color w:val="auto"/>
                <w:highlight w:val="none"/>
              </w:rPr>
            </w:pPr>
            <w:r>
              <w:rPr>
                <w:rFonts w:hint="eastAsia" w:ascii="方正仿宋_GBK" w:eastAsia="方正仿宋_GBK" w:cs="方正仿宋_GBK"/>
                <w:color w:val="auto"/>
                <w:highlight w:val="none"/>
              </w:rPr>
              <w:t>配电箱</w:t>
            </w:r>
          </w:p>
          <w:p>
            <w:pPr>
              <w:pStyle w:val="148"/>
              <w:spacing w:line="300" w:lineRule="exact"/>
              <w:jc w:val="center"/>
              <w:rPr>
                <w:rFonts w:ascii="方正仿宋_GBK" w:eastAsia="方正仿宋_GBK"/>
                <w:color w:val="auto"/>
                <w:highlight w:val="none"/>
              </w:rPr>
            </w:pPr>
            <w:r>
              <w:rPr>
                <w:rFonts w:hint="eastAsia" w:ascii="方正仿宋_GBK" w:eastAsia="方正仿宋_GBK" w:cs="方正仿宋_GBK"/>
                <w:color w:val="auto"/>
                <w:highlight w:val="none"/>
              </w:rPr>
              <w:t>开关箱</w:t>
            </w:r>
          </w:p>
        </w:tc>
        <w:tc>
          <w:tcPr>
            <w:tcW w:w="6645" w:type="dxa"/>
            <w:shd w:val="clear" w:color="auto" w:fill="auto"/>
            <w:vAlign w:val="center"/>
          </w:tcPr>
          <w:p>
            <w:pPr>
              <w:pStyle w:val="148"/>
              <w:spacing w:line="300" w:lineRule="exact"/>
              <w:rPr>
                <w:rFonts w:ascii="方正仿宋_GBK" w:eastAsia="方正仿宋_GBK"/>
                <w:color w:val="auto"/>
                <w:highlight w:val="none"/>
              </w:rPr>
            </w:pPr>
            <w:r>
              <w:rPr>
                <w:rFonts w:ascii="方正仿宋_GBK" w:eastAsia="方正仿宋_GBK" w:cs="方正仿宋_GBK"/>
                <w:color w:val="auto"/>
                <w:highlight w:val="none"/>
              </w:rPr>
              <w:t xml:space="preserve">1. </w:t>
            </w:r>
            <w:r>
              <w:rPr>
                <w:rFonts w:hint="eastAsia" w:ascii="方正仿宋_GBK" w:eastAsia="方正仿宋_GBK" w:cs="方正仿宋_GBK"/>
                <w:color w:val="auto"/>
                <w:highlight w:val="none"/>
              </w:rPr>
              <w:t>按三级配电要求，配备总配电箱、分配电箱、开关箱三类（铁质）标准电箱，开关箱应符合“一机、一箱、一闸、一漏”，三类电箱中的各类电器应是合格品。</w:t>
            </w:r>
          </w:p>
          <w:p>
            <w:pPr>
              <w:pStyle w:val="148"/>
              <w:spacing w:line="300" w:lineRule="exact"/>
              <w:rPr>
                <w:rFonts w:ascii="方正仿宋_GBK" w:eastAsia="方正仿宋_GBK"/>
                <w:color w:val="auto"/>
                <w:highlight w:val="none"/>
              </w:rPr>
            </w:pPr>
            <w:r>
              <w:rPr>
                <w:rFonts w:ascii="方正仿宋_GBK" w:eastAsia="方正仿宋_GBK" w:cs="方正仿宋_GBK"/>
                <w:color w:val="auto"/>
                <w:highlight w:val="none"/>
              </w:rPr>
              <w:t xml:space="preserve">2. </w:t>
            </w:r>
            <w:r>
              <w:rPr>
                <w:rFonts w:hint="eastAsia" w:ascii="方正仿宋_GBK" w:eastAsia="方正仿宋_GBK" w:cs="方正仿宋_GBK"/>
                <w:color w:val="auto"/>
                <w:highlight w:val="none"/>
              </w:rPr>
              <w:t>按两级保护的要求，选取符合容量要求和质量合格的总配电箱和开关箱中的漏电保护器。</w:t>
            </w:r>
          </w:p>
          <w:p>
            <w:pPr>
              <w:pStyle w:val="148"/>
              <w:spacing w:line="300" w:lineRule="exact"/>
              <w:rPr>
                <w:rFonts w:ascii="方正仿宋_GBK" w:eastAsia="方正仿宋_GBK"/>
                <w:color w:val="auto"/>
                <w:highlight w:val="none"/>
              </w:rPr>
            </w:pPr>
            <w:r>
              <w:rPr>
                <w:rFonts w:ascii="方正仿宋_GBK" w:eastAsia="方正仿宋_GBK" w:cs="方正仿宋_GBK"/>
                <w:color w:val="auto"/>
                <w:highlight w:val="none"/>
              </w:rPr>
              <w:t xml:space="preserve">3. </w:t>
            </w:r>
            <w:r>
              <w:rPr>
                <w:rFonts w:hint="eastAsia" w:ascii="方正仿宋_GBK" w:eastAsia="方正仿宋_GBK" w:cs="方正仿宋_GBK"/>
                <w:color w:val="auto"/>
                <w:highlight w:val="none"/>
              </w:rPr>
              <w:t>对大型、落地式分配电箱、开关箱设置防护棚和通透式围挡。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75" w:hRule="atLeast"/>
        </w:trPr>
        <w:tc>
          <w:tcPr>
            <w:tcW w:w="738" w:type="dxa"/>
            <w:vMerge w:val="continue"/>
            <w:shd w:val="clear" w:color="auto" w:fill="auto"/>
            <w:vAlign w:val="center"/>
          </w:tcPr>
          <w:p>
            <w:pPr>
              <w:pStyle w:val="148"/>
              <w:spacing w:line="300" w:lineRule="exact"/>
              <w:jc w:val="center"/>
              <w:rPr>
                <w:rFonts w:ascii="方正仿宋_GBK" w:eastAsia="方正仿宋_GBK"/>
                <w:color w:val="auto"/>
                <w:highlight w:val="none"/>
              </w:rPr>
            </w:pPr>
          </w:p>
        </w:tc>
        <w:tc>
          <w:tcPr>
            <w:tcW w:w="525" w:type="dxa"/>
            <w:vMerge w:val="continue"/>
            <w:shd w:val="clear" w:color="auto" w:fill="auto"/>
            <w:vAlign w:val="center"/>
          </w:tcPr>
          <w:p>
            <w:pPr>
              <w:pStyle w:val="148"/>
              <w:spacing w:line="300" w:lineRule="exact"/>
              <w:jc w:val="center"/>
              <w:rPr>
                <w:rFonts w:ascii="方正仿宋_GBK" w:eastAsia="方正仿宋_GBK"/>
                <w:color w:val="auto"/>
                <w:highlight w:val="none"/>
              </w:rPr>
            </w:pPr>
          </w:p>
        </w:tc>
        <w:tc>
          <w:tcPr>
            <w:tcW w:w="1545" w:type="dxa"/>
            <w:shd w:val="clear" w:color="auto" w:fill="auto"/>
            <w:vAlign w:val="center"/>
          </w:tcPr>
          <w:p>
            <w:pPr>
              <w:pStyle w:val="148"/>
              <w:spacing w:line="300" w:lineRule="exact"/>
              <w:jc w:val="center"/>
              <w:rPr>
                <w:rFonts w:ascii="方正仿宋_GBK" w:eastAsia="方正仿宋_GBK"/>
                <w:color w:val="auto"/>
                <w:highlight w:val="none"/>
              </w:rPr>
            </w:pPr>
            <w:r>
              <w:rPr>
                <w:rFonts w:hint="eastAsia" w:ascii="方正仿宋_GBK" w:eastAsia="方正仿宋_GBK" w:cs="方正仿宋_GBK"/>
                <w:color w:val="auto"/>
                <w:highlight w:val="none"/>
              </w:rPr>
              <w:t>接地装置</w:t>
            </w:r>
          </w:p>
        </w:tc>
        <w:tc>
          <w:tcPr>
            <w:tcW w:w="6645" w:type="dxa"/>
            <w:shd w:val="clear" w:color="auto" w:fill="auto"/>
            <w:vAlign w:val="center"/>
          </w:tcPr>
          <w:p>
            <w:pPr>
              <w:pStyle w:val="148"/>
              <w:spacing w:line="300" w:lineRule="exact"/>
              <w:rPr>
                <w:rFonts w:ascii="方正仿宋_GBK" w:eastAsia="方正仿宋_GBK"/>
                <w:color w:val="auto"/>
                <w:highlight w:val="none"/>
              </w:rPr>
            </w:pPr>
            <w:r>
              <w:rPr>
                <w:rFonts w:hint="eastAsia" w:ascii="方正仿宋_GBK" w:eastAsia="方正仿宋_GBK" w:cs="方正仿宋_GBK"/>
                <w:color w:val="auto"/>
                <w:highlight w:val="none"/>
              </w:rPr>
              <w:t>施工现场应设置不少于三处的重复接地装置。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916" w:hRule="atLeast"/>
        </w:trPr>
        <w:tc>
          <w:tcPr>
            <w:tcW w:w="738" w:type="dxa"/>
            <w:vMerge w:val="continue"/>
            <w:shd w:val="clear" w:color="auto" w:fill="auto"/>
            <w:vAlign w:val="center"/>
          </w:tcPr>
          <w:p>
            <w:pPr>
              <w:pStyle w:val="148"/>
              <w:spacing w:line="300" w:lineRule="exact"/>
              <w:jc w:val="center"/>
              <w:rPr>
                <w:rFonts w:ascii="方正仿宋_GBK" w:eastAsia="方正仿宋_GBK"/>
                <w:color w:val="auto"/>
                <w:highlight w:val="none"/>
              </w:rPr>
            </w:pPr>
          </w:p>
        </w:tc>
        <w:tc>
          <w:tcPr>
            <w:tcW w:w="525" w:type="dxa"/>
            <w:vMerge w:val="continue"/>
            <w:shd w:val="clear" w:color="auto" w:fill="auto"/>
            <w:vAlign w:val="center"/>
          </w:tcPr>
          <w:p>
            <w:pPr>
              <w:pStyle w:val="148"/>
              <w:spacing w:line="300" w:lineRule="exact"/>
              <w:jc w:val="center"/>
              <w:rPr>
                <w:rFonts w:ascii="方正仿宋_GBK" w:eastAsia="方正仿宋_GBK"/>
                <w:color w:val="auto"/>
                <w:highlight w:val="none"/>
              </w:rPr>
            </w:pPr>
          </w:p>
        </w:tc>
        <w:tc>
          <w:tcPr>
            <w:tcW w:w="1545" w:type="dxa"/>
            <w:shd w:val="clear" w:color="auto" w:fill="auto"/>
            <w:vAlign w:val="center"/>
          </w:tcPr>
          <w:p>
            <w:pPr>
              <w:pStyle w:val="148"/>
              <w:spacing w:line="300" w:lineRule="exact"/>
              <w:jc w:val="center"/>
              <w:rPr>
                <w:rFonts w:ascii="方正仿宋_GBK" w:eastAsia="方正仿宋_GBK"/>
                <w:color w:val="auto"/>
                <w:highlight w:val="none"/>
              </w:rPr>
            </w:pPr>
            <w:r>
              <w:rPr>
                <w:rFonts w:hint="eastAsia" w:ascii="方正仿宋_GBK" w:eastAsia="方正仿宋_GBK" w:cs="方正仿宋_GBK"/>
                <w:color w:val="auto"/>
                <w:highlight w:val="none"/>
              </w:rPr>
              <w:t>现场变配电装置</w:t>
            </w:r>
          </w:p>
        </w:tc>
        <w:tc>
          <w:tcPr>
            <w:tcW w:w="6645" w:type="dxa"/>
            <w:shd w:val="clear" w:color="auto" w:fill="auto"/>
            <w:vAlign w:val="center"/>
          </w:tcPr>
          <w:p>
            <w:pPr>
              <w:pStyle w:val="148"/>
              <w:spacing w:line="300" w:lineRule="exact"/>
              <w:rPr>
                <w:rFonts w:ascii="方正仿宋_GBK" w:eastAsia="方正仿宋_GBK"/>
                <w:color w:val="auto"/>
                <w:highlight w:val="none"/>
              </w:rPr>
            </w:pPr>
            <w:r>
              <w:rPr>
                <w:rFonts w:hint="eastAsia" w:ascii="方正仿宋_GBK" w:eastAsia="方正仿宋_GBK" w:cs="方正仿宋_GBK"/>
                <w:color w:val="auto"/>
                <w:highlight w:val="none"/>
              </w:rPr>
              <w:t>总配电房建筑材料必须达到消防防火要求，室内做硬地坪、电缆沟。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12" w:hRule="atLeast"/>
        </w:trPr>
        <w:tc>
          <w:tcPr>
            <w:tcW w:w="738" w:type="dxa"/>
            <w:shd w:val="clear" w:color="auto" w:fill="auto"/>
            <w:vAlign w:val="center"/>
          </w:tcPr>
          <w:p>
            <w:pPr>
              <w:pStyle w:val="148"/>
              <w:spacing w:line="300" w:lineRule="exact"/>
              <w:jc w:val="center"/>
              <w:rPr>
                <w:rFonts w:ascii="方正仿宋_GBK" w:eastAsia="方正仿宋_GBK"/>
                <w:b/>
                <w:color w:val="auto"/>
                <w:highlight w:val="none"/>
              </w:rPr>
            </w:pPr>
            <w:r>
              <w:rPr>
                <w:rFonts w:hint="eastAsia" w:ascii="方正仿宋_GBK" w:eastAsia="方正仿宋_GBK" w:cs="方正仿宋_GBK"/>
                <w:b/>
                <w:color w:val="auto"/>
                <w:highlight w:val="none"/>
              </w:rPr>
              <w:t>类别</w:t>
            </w:r>
          </w:p>
        </w:tc>
        <w:tc>
          <w:tcPr>
            <w:tcW w:w="2070" w:type="dxa"/>
            <w:gridSpan w:val="2"/>
            <w:shd w:val="clear" w:color="auto" w:fill="auto"/>
            <w:vAlign w:val="center"/>
          </w:tcPr>
          <w:p>
            <w:pPr>
              <w:pStyle w:val="148"/>
              <w:spacing w:line="300" w:lineRule="exact"/>
              <w:jc w:val="center"/>
              <w:rPr>
                <w:rFonts w:ascii="方正仿宋_GBK" w:eastAsia="方正仿宋_GBK"/>
                <w:b/>
                <w:color w:val="auto"/>
                <w:highlight w:val="none"/>
              </w:rPr>
            </w:pPr>
            <w:r>
              <w:rPr>
                <w:rFonts w:hint="eastAsia" w:ascii="方正仿宋_GBK" w:eastAsia="方正仿宋_GBK" w:cs="方正仿宋_GBK"/>
                <w:b/>
                <w:color w:val="auto"/>
                <w:highlight w:val="none"/>
              </w:rPr>
              <w:t>项目名称</w:t>
            </w:r>
          </w:p>
        </w:tc>
        <w:tc>
          <w:tcPr>
            <w:tcW w:w="6645" w:type="dxa"/>
            <w:shd w:val="clear" w:color="auto" w:fill="auto"/>
            <w:vAlign w:val="center"/>
          </w:tcPr>
          <w:p>
            <w:pPr>
              <w:pStyle w:val="148"/>
              <w:spacing w:line="300" w:lineRule="exact"/>
              <w:jc w:val="center"/>
              <w:rPr>
                <w:rFonts w:ascii="方正仿宋_GBK" w:eastAsia="方正仿宋_GBK"/>
                <w:b/>
                <w:color w:val="auto"/>
                <w:highlight w:val="none"/>
              </w:rPr>
            </w:pPr>
            <w:r>
              <w:rPr>
                <w:rFonts w:hint="eastAsia" w:ascii="方正仿宋_GBK" w:eastAsia="方正仿宋_GBK" w:cs="方正仿宋_GBK"/>
                <w:b/>
                <w:color w:val="auto"/>
                <w:highlight w:val="none"/>
              </w:rPr>
              <w:t>主要内容和要求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38" w:type="dxa"/>
            <w:vMerge w:val="restart"/>
            <w:shd w:val="clear" w:color="auto" w:fill="auto"/>
            <w:vAlign w:val="center"/>
          </w:tcPr>
          <w:p>
            <w:pPr>
              <w:pStyle w:val="148"/>
              <w:spacing w:line="300" w:lineRule="exact"/>
              <w:jc w:val="center"/>
              <w:rPr>
                <w:rFonts w:ascii="方正仿宋_GBK" w:eastAsia="方正仿宋_GBK"/>
                <w:color w:val="auto"/>
                <w:highlight w:val="none"/>
              </w:rPr>
            </w:pPr>
            <w:r>
              <w:rPr>
                <w:rFonts w:hint="eastAsia" w:ascii="方正仿宋_GBK" w:eastAsia="方正仿宋_GBK" w:cs="方正仿宋_GBK"/>
                <w:color w:val="auto"/>
                <w:highlight w:val="none"/>
              </w:rPr>
              <w:t>安全施工</w:t>
            </w:r>
          </w:p>
        </w:tc>
        <w:tc>
          <w:tcPr>
            <w:tcW w:w="525" w:type="dxa"/>
            <w:vMerge w:val="restart"/>
            <w:shd w:val="clear" w:color="auto" w:fill="auto"/>
            <w:vAlign w:val="center"/>
          </w:tcPr>
          <w:p>
            <w:pPr>
              <w:pStyle w:val="148"/>
              <w:spacing w:line="300" w:lineRule="exact"/>
              <w:jc w:val="center"/>
              <w:rPr>
                <w:rFonts w:ascii="方正仿宋_GBK" w:eastAsia="方正仿宋_GBK"/>
                <w:color w:val="auto"/>
                <w:highlight w:val="none"/>
              </w:rPr>
            </w:pPr>
            <w:r>
              <w:rPr>
                <w:rFonts w:hint="eastAsia" w:ascii="方正仿宋_GBK" w:eastAsia="方正仿宋_GBK" w:cs="方正仿宋_GBK"/>
                <w:color w:val="auto"/>
                <w:highlight w:val="none"/>
              </w:rPr>
              <w:t>高处作业防护</w:t>
            </w:r>
          </w:p>
        </w:tc>
        <w:tc>
          <w:tcPr>
            <w:tcW w:w="1545" w:type="dxa"/>
            <w:shd w:val="clear" w:color="auto" w:fill="auto"/>
            <w:vAlign w:val="center"/>
          </w:tcPr>
          <w:p>
            <w:pPr>
              <w:pStyle w:val="148"/>
              <w:spacing w:line="300" w:lineRule="exact"/>
              <w:rPr>
                <w:rFonts w:ascii="方正仿宋_GBK" w:eastAsia="方正仿宋_GBK"/>
                <w:color w:val="auto"/>
                <w:highlight w:val="none"/>
              </w:rPr>
            </w:pPr>
            <w:r>
              <w:rPr>
                <w:rFonts w:hint="eastAsia" w:ascii="方正仿宋_GBK" w:eastAsia="方正仿宋_GBK" w:cs="方正仿宋_GBK"/>
                <w:color w:val="auto"/>
                <w:highlight w:val="none"/>
              </w:rPr>
              <w:t>楼层、屋面、阳台等临边</w:t>
            </w:r>
          </w:p>
        </w:tc>
        <w:tc>
          <w:tcPr>
            <w:tcW w:w="6645" w:type="dxa"/>
            <w:shd w:val="clear" w:color="auto" w:fill="auto"/>
            <w:vAlign w:val="center"/>
          </w:tcPr>
          <w:p>
            <w:pPr>
              <w:pStyle w:val="148"/>
              <w:spacing w:line="300" w:lineRule="exact"/>
              <w:rPr>
                <w:rFonts w:ascii="方正仿宋_GBK" w:eastAsia="方正仿宋_GBK"/>
                <w:color w:val="auto"/>
                <w:highlight w:val="none"/>
              </w:rPr>
            </w:pPr>
            <w:r>
              <w:rPr>
                <w:rFonts w:hint="eastAsia" w:ascii="方正仿宋_GBK" w:eastAsia="方正仿宋_GBK" w:cs="方正仿宋_GBK"/>
                <w:color w:val="auto"/>
                <w:highlight w:val="none"/>
              </w:rPr>
              <w:t>设两道防护栏杆和</w:t>
            </w:r>
            <w:r>
              <w:rPr>
                <w:rFonts w:ascii="方正仿宋_GBK" w:eastAsia="方正仿宋_GBK" w:cs="方正仿宋_GBK"/>
                <w:color w:val="auto"/>
                <w:highlight w:val="none"/>
              </w:rPr>
              <w:t>18cm</w:t>
            </w:r>
            <w:r>
              <w:rPr>
                <w:rFonts w:hint="eastAsia" w:ascii="方正仿宋_GBK" w:eastAsia="方正仿宋_GBK" w:cs="方正仿宋_GBK"/>
                <w:color w:val="auto"/>
                <w:highlight w:val="none"/>
              </w:rPr>
              <w:t>高的踢脚板，用密目式安全立网全封闭。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38" w:type="dxa"/>
            <w:vMerge w:val="continue"/>
            <w:shd w:val="clear" w:color="auto" w:fill="auto"/>
            <w:vAlign w:val="center"/>
          </w:tcPr>
          <w:p>
            <w:pPr>
              <w:pStyle w:val="148"/>
              <w:spacing w:line="300" w:lineRule="exact"/>
              <w:jc w:val="center"/>
              <w:rPr>
                <w:rFonts w:ascii="方正仿宋_GBK" w:eastAsia="方正仿宋_GBK"/>
                <w:color w:val="auto"/>
                <w:highlight w:val="none"/>
              </w:rPr>
            </w:pPr>
          </w:p>
        </w:tc>
        <w:tc>
          <w:tcPr>
            <w:tcW w:w="525" w:type="dxa"/>
            <w:vMerge w:val="continue"/>
            <w:shd w:val="clear" w:color="auto" w:fill="auto"/>
            <w:vAlign w:val="center"/>
          </w:tcPr>
          <w:p>
            <w:pPr>
              <w:pStyle w:val="148"/>
              <w:spacing w:line="300" w:lineRule="exact"/>
              <w:jc w:val="center"/>
              <w:rPr>
                <w:rFonts w:ascii="方正仿宋_GBK" w:eastAsia="方正仿宋_GBK"/>
                <w:color w:val="auto"/>
                <w:highlight w:val="none"/>
              </w:rPr>
            </w:pPr>
          </w:p>
        </w:tc>
        <w:tc>
          <w:tcPr>
            <w:tcW w:w="1545" w:type="dxa"/>
            <w:shd w:val="clear" w:color="auto" w:fill="auto"/>
            <w:vAlign w:val="center"/>
          </w:tcPr>
          <w:p>
            <w:pPr>
              <w:pStyle w:val="148"/>
              <w:spacing w:line="300" w:lineRule="exact"/>
              <w:rPr>
                <w:rFonts w:ascii="方正仿宋_GBK" w:eastAsia="方正仿宋_GBK"/>
                <w:color w:val="auto"/>
                <w:highlight w:val="none"/>
              </w:rPr>
            </w:pPr>
            <w:r>
              <w:rPr>
                <w:rFonts w:hint="eastAsia" w:ascii="方正仿宋_GBK" w:eastAsia="方正仿宋_GBK" w:cs="方正仿宋_GBK"/>
                <w:color w:val="auto"/>
                <w:highlight w:val="none"/>
              </w:rPr>
              <w:t>通道口</w:t>
            </w:r>
          </w:p>
        </w:tc>
        <w:tc>
          <w:tcPr>
            <w:tcW w:w="6645" w:type="dxa"/>
            <w:shd w:val="clear" w:color="auto" w:fill="auto"/>
            <w:vAlign w:val="center"/>
          </w:tcPr>
          <w:p>
            <w:pPr>
              <w:pStyle w:val="148"/>
              <w:spacing w:line="300" w:lineRule="exact"/>
              <w:rPr>
                <w:rFonts w:ascii="方正仿宋_GBK" w:eastAsia="方正仿宋_GBK"/>
                <w:color w:val="auto"/>
                <w:highlight w:val="none"/>
              </w:rPr>
            </w:pPr>
            <w:r>
              <w:rPr>
                <w:rFonts w:hint="eastAsia" w:ascii="方正仿宋_GBK" w:eastAsia="方正仿宋_GBK" w:cs="方正仿宋_GBK"/>
                <w:color w:val="auto"/>
                <w:highlight w:val="none"/>
              </w:rPr>
              <w:t>设防护棚，防护棚应为不小于</w:t>
            </w:r>
            <w:r>
              <w:rPr>
                <w:rFonts w:ascii="方正仿宋_GBK" w:eastAsia="方正仿宋_GBK" w:cs="方正仿宋_GBK"/>
                <w:color w:val="auto"/>
                <w:highlight w:val="none"/>
              </w:rPr>
              <w:t>5cm</w:t>
            </w:r>
            <w:r>
              <w:rPr>
                <w:rFonts w:hint="eastAsia" w:ascii="方正仿宋_GBK" w:eastAsia="方正仿宋_GBK" w:cs="方正仿宋_GBK"/>
                <w:color w:val="auto"/>
                <w:highlight w:val="none"/>
              </w:rPr>
              <w:t>厚的木板或两道相距</w:t>
            </w:r>
            <w:r>
              <w:rPr>
                <w:rFonts w:ascii="方正仿宋_GBK" w:eastAsia="方正仿宋_GBK" w:cs="方正仿宋_GBK"/>
                <w:color w:val="auto"/>
                <w:highlight w:val="none"/>
              </w:rPr>
              <w:t>50cm</w:t>
            </w:r>
            <w:r>
              <w:rPr>
                <w:rFonts w:hint="eastAsia" w:ascii="方正仿宋_GBK" w:eastAsia="方正仿宋_GBK" w:cs="方正仿宋_GBK"/>
                <w:color w:val="auto"/>
                <w:highlight w:val="none"/>
              </w:rPr>
              <w:t>的竹笆。两侧应沿栏杆架用密目式安全网封闭。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38" w:type="dxa"/>
            <w:vMerge w:val="continue"/>
            <w:shd w:val="clear" w:color="auto" w:fill="auto"/>
            <w:vAlign w:val="center"/>
          </w:tcPr>
          <w:p>
            <w:pPr>
              <w:pStyle w:val="148"/>
              <w:spacing w:line="300" w:lineRule="exact"/>
              <w:jc w:val="center"/>
              <w:rPr>
                <w:rFonts w:ascii="方正仿宋_GBK" w:eastAsia="方正仿宋_GBK"/>
                <w:color w:val="auto"/>
                <w:highlight w:val="none"/>
              </w:rPr>
            </w:pPr>
          </w:p>
        </w:tc>
        <w:tc>
          <w:tcPr>
            <w:tcW w:w="525" w:type="dxa"/>
            <w:vMerge w:val="continue"/>
            <w:shd w:val="clear" w:color="auto" w:fill="auto"/>
            <w:vAlign w:val="center"/>
          </w:tcPr>
          <w:p>
            <w:pPr>
              <w:pStyle w:val="148"/>
              <w:spacing w:line="300" w:lineRule="exact"/>
              <w:jc w:val="center"/>
              <w:rPr>
                <w:rFonts w:ascii="方正仿宋_GBK" w:eastAsia="方正仿宋_GBK"/>
                <w:color w:val="auto"/>
                <w:highlight w:val="none"/>
              </w:rPr>
            </w:pPr>
          </w:p>
        </w:tc>
        <w:tc>
          <w:tcPr>
            <w:tcW w:w="1545" w:type="dxa"/>
            <w:shd w:val="clear" w:color="auto" w:fill="auto"/>
            <w:vAlign w:val="center"/>
          </w:tcPr>
          <w:p>
            <w:pPr>
              <w:pStyle w:val="148"/>
              <w:spacing w:line="300" w:lineRule="exact"/>
              <w:rPr>
                <w:rFonts w:ascii="方正仿宋_GBK" w:eastAsia="方正仿宋_GBK"/>
                <w:color w:val="auto"/>
                <w:highlight w:val="none"/>
              </w:rPr>
            </w:pPr>
            <w:r>
              <w:rPr>
                <w:rFonts w:hint="eastAsia" w:ascii="方正仿宋_GBK" w:eastAsia="方正仿宋_GBK" w:cs="方正仿宋_GBK"/>
                <w:color w:val="auto"/>
                <w:highlight w:val="none"/>
              </w:rPr>
              <w:t>预留洞口</w:t>
            </w:r>
          </w:p>
        </w:tc>
        <w:tc>
          <w:tcPr>
            <w:tcW w:w="6645" w:type="dxa"/>
            <w:shd w:val="clear" w:color="auto" w:fill="auto"/>
            <w:vAlign w:val="center"/>
          </w:tcPr>
          <w:p>
            <w:pPr>
              <w:pStyle w:val="148"/>
              <w:spacing w:line="300" w:lineRule="exact"/>
              <w:rPr>
                <w:rFonts w:ascii="方正仿宋_GBK" w:eastAsia="方正仿宋_GBK"/>
                <w:color w:val="auto"/>
                <w:highlight w:val="none"/>
              </w:rPr>
            </w:pPr>
            <w:r>
              <w:rPr>
                <w:rFonts w:hint="eastAsia" w:ascii="方正仿宋_GBK" w:eastAsia="方正仿宋_GBK" w:cs="方正仿宋_GBK"/>
                <w:color w:val="auto"/>
                <w:highlight w:val="none"/>
              </w:rPr>
              <w:t>用硬质材料全封闭，短边超过</w:t>
            </w:r>
            <w:r>
              <w:rPr>
                <w:rFonts w:ascii="方正仿宋_GBK" w:eastAsia="方正仿宋_GBK" w:cs="方正仿宋_GBK"/>
                <w:color w:val="auto"/>
                <w:highlight w:val="none"/>
              </w:rPr>
              <w:t>1.5m</w:t>
            </w:r>
            <w:r>
              <w:rPr>
                <w:rFonts w:hint="eastAsia" w:ascii="方正仿宋_GBK" w:eastAsia="方正仿宋_GBK" w:cs="方正仿宋_GBK"/>
                <w:color w:val="auto"/>
                <w:highlight w:val="none"/>
              </w:rPr>
              <w:t>长的洞口，除封闭外四周还应设有防护栏杆。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05" w:hRule="atLeast"/>
        </w:trPr>
        <w:tc>
          <w:tcPr>
            <w:tcW w:w="738" w:type="dxa"/>
            <w:vMerge w:val="continue"/>
            <w:shd w:val="clear" w:color="auto" w:fill="auto"/>
            <w:vAlign w:val="center"/>
          </w:tcPr>
          <w:p>
            <w:pPr>
              <w:pStyle w:val="148"/>
              <w:spacing w:line="300" w:lineRule="exact"/>
              <w:jc w:val="center"/>
              <w:rPr>
                <w:rFonts w:ascii="方正仿宋_GBK" w:eastAsia="方正仿宋_GBK"/>
                <w:color w:val="auto"/>
                <w:highlight w:val="none"/>
              </w:rPr>
            </w:pPr>
          </w:p>
        </w:tc>
        <w:tc>
          <w:tcPr>
            <w:tcW w:w="525" w:type="dxa"/>
            <w:vMerge w:val="continue"/>
            <w:shd w:val="clear" w:color="auto" w:fill="auto"/>
            <w:vAlign w:val="center"/>
          </w:tcPr>
          <w:p>
            <w:pPr>
              <w:pStyle w:val="148"/>
              <w:spacing w:line="300" w:lineRule="exact"/>
              <w:jc w:val="center"/>
              <w:rPr>
                <w:rFonts w:ascii="方正仿宋_GBK" w:eastAsia="方正仿宋_GBK"/>
                <w:color w:val="auto"/>
                <w:highlight w:val="none"/>
              </w:rPr>
            </w:pPr>
          </w:p>
        </w:tc>
        <w:tc>
          <w:tcPr>
            <w:tcW w:w="1545" w:type="dxa"/>
            <w:shd w:val="clear" w:color="auto" w:fill="auto"/>
            <w:vAlign w:val="center"/>
          </w:tcPr>
          <w:p>
            <w:pPr>
              <w:pStyle w:val="148"/>
              <w:spacing w:line="300" w:lineRule="exact"/>
              <w:rPr>
                <w:rFonts w:ascii="方正仿宋_GBK" w:eastAsia="方正仿宋_GBK"/>
                <w:color w:val="auto"/>
                <w:highlight w:val="none"/>
              </w:rPr>
            </w:pPr>
            <w:r>
              <w:rPr>
                <w:rFonts w:hint="eastAsia" w:ascii="方正仿宋_GBK" w:eastAsia="方正仿宋_GBK" w:cs="方正仿宋_GBK"/>
                <w:color w:val="auto"/>
                <w:highlight w:val="none"/>
              </w:rPr>
              <w:t>电梯井口</w:t>
            </w:r>
          </w:p>
        </w:tc>
        <w:tc>
          <w:tcPr>
            <w:tcW w:w="6645" w:type="dxa"/>
            <w:shd w:val="clear" w:color="auto" w:fill="auto"/>
            <w:vAlign w:val="center"/>
          </w:tcPr>
          <w:p>
            <w:pPr>
              <w:pStyle w:val="148"/>
              <w:spacing w:line="300" w:lineRule="exact"/>
              <w:rPr>
                <w:rFonts w:ascii="方正仿宋_GBK" w:eastAsia="方正仿宋_GBK"/>
                <w:color w:val="auto"/>
                <w:highlight w:val="none"/>
              </w:rPr>
            </w:pPr>
            <w:r>
              <w:rPr>
                <w:rFonts w:hint="eastAsia" w:ascii="方正仿宋_GBK" w:eastAsia="方正仿宋_GBK" w:cs="方正仿宋_GBK"/>
                <w:color w:val="auto"/>
                <w:highlight w:val="none"/>
              </w:rPr>
              <w:t>设置定型化、工具化的防护门，在电梯井内每隔</w:t>
            </w:r>
            <w:r>
              <w:rPr>
                <w:rFonts w:ascii="方正仿宋_GBK" w:eastAsia="方正仿宋_GBK" w:cs="方正仿宋_GBK"/>
                <w:color w:val="auto"/>
                <w:highlight w:val="none"/>
              </w:rPr>
              <w:t>2</w:t>
            </w:r>
            <w:r>
              <w:rPr>
                <w:rFonts w:hint="eastAsia" w:ascii="方正仿宋_GBK" w:eastAsia="方正仿宋_GBK" w:cs="方正仿宋_GBK"/>
                <w:color w:val="auto"/>
                <w:highlight w:val="none"/>
              </w:rPr>
              <w:t>层（不大于</w:t>
            </w:r>
            <w:r>
              <w:rPr>
                <w:rFonts w:ascii="方正仿宋_GBK" w:eastAsia="方正仿宋_GBK" w:cs="方正仿宋_GBK"/>
                <w:color w:val="auto"/>
                <w:highlight w:val="none"/>
              </w:rPr>
              <w:t>10m</w:t>
            </w:r>
            <w:r>
              <w:rPr>
                <w:rFonts w:hint="eastAsia" w:ascii="方正仿宋_GBK" w:eastAsia="方正仿宋_GBK" w:cs="方正仿宋_GBK"/>
                <w:color w:val="auto"/>
                <w:highlight w:val="none"/>
              </w:rPr>
              <w:t>）设置一道水平防护。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38" w:type="dxa"/>
            <w:vMerge w:val="continue"/>
            <w:shd w:val="clear" w:color="auto" w:fill="auto"/>
            <w:vAlign w:val="center"/>
          </w:tcPr>
          <w:p>
            <w:pPr>
              <w:pStyle w:val="148"/>
              <w:spacing w:line="300" w:lineRule="exact"/>
              <w:jc w:val="center"/>
              <w:rPr>
                <w:rFonts w:ascii="方正仿宋_GBK" w:eastAsia="方正仿宋_GBK"/>
                <w:color w:val="auto"/>
                <w:highlight w:val="none"/>
              </w:rPr>
            </w:pPr>
          </w:p>
        </w:tc>
        <w:tc>
          <w:tcPr>
            <w:tcW w:w="525" w:type="dxa"/>
            <w:vMerge w:val="continue"/>
            <w:shd w:val="clear" w:color="auto" w:fill="auto"/>
            <w:vAlign w:val="center"/>
          </w:tcPr>
          <w:p>
            <w:pPr>
              <w:pStyle w:val="148"/>
              <w:spacing w:line="300" w:lineRule="exact"/>
              <w:jc w:val="center"/>
              <w:rPr>
                <w:rFonts w:ascii="方正仿宋_GBK" w:eastAsia="方正仿宋_GBK"/>
                <w:color w:val="auto"/>
                <w:highlight w:val="none"/>
              </w:rPr>
            </w:pPr>
          </w:p>
        </w:tc>
        <w:tc>
          <w:tcPr>
            <w:tcW w:w="1545" w:type="dxa"/>
            <w:shd w:val="clear" w:color="auto" w:fill="auto"/>
            <w:vAlign w:val="center"/>
          </w:tcPr>
          <w:p>
            <w:pPr>
              <w:pStyle w:val="148"/>
              <w:spacing w:line="300" w:lineRule="exact"/>
              <w:rPr>
                <w:rFonts w:ascii="方正仿宋_GBK" w:eastAsia="方正仿宋_GBK"/>
                <w:color w:val="auto"/>
                <w:highlight w:val="none"/>
              </w:rPr>
            </w:pPr>
            <w:r>
              <w:rPr>
                <w:rFonts w:hint="eastAsia" w:ascii="方正仿宋_GBK" w:eastAsia="方正仿宋_GBK" w:cs="方正仿宋_GBK"/>
                <w:color w:val="auto"/>
                <w:highlight w:val="none"/>
              </w:rPr>
              <w:t>楼梯边</w:t>
            </w:r>
          </w:p>
        </w:tc>
        <w:tc>
          <w:tcPr>
            <w:tcW w:w="6645" w:type="dxa"/>
            <w:shd w:val="clear" w:color="auto" w:fill="auto"/>
            <w:vAlign w:val="center"/>
          </w:tcPr>
          <w:p>
            <w:pPr>
              <w:pStyle w:val="148"/>
              <w:spacing w:line="300" w:lineRule="exact"/>
              <w:rPr>
                <w:rFonts w:ascii="方正仿宋_GBK" w:eastAsia="方正仿宋_GBK"/>
                <w:color w:val="auto"/>
                <w:highlight w:val="none"/>
              </w:rPr>
            </w:pPr>
            <w:r>
              <w:rPr>
                <w:rFonts w:hint="eastAsia" w:ascii="方正仿宋_GBK" w:eastAsia="方正仿宋_GBK" w:cs="方正仿宋_GBK"/>
                <w:color w:val="auto"/>
                <w:highlight w:val="none"/>
              </w:rPr>
              <w:t>设</w:t>
            </w:r>
            <w:r>
              <w:rPr>
                <w:rFonts w:ascii="方正仿宋_GBK" w:eastAsia="方正仿宋_GBK" w:cs="方正仿宋_GBK"/>
                <w:color w:val="auto"/>
                <w:highlight w:val="none"/>
              </w:rPr>
              <w:t>1.2m</w:t>
            </w:r>
            <w:r>
              <w:rPr>
                <w:rFonts w:hint="eastAsia" w:ascii="方正仿宋_GBK" w:eastAsia="方正仿宋_GBK" w:cs="方正仿宋_GBK"/>
                <w:color w:val="auto"/>
                <w:highlight w:val="none"/>
              </w:rPr>
              <w:t>高的定型化、工具化的防护栏，</w:t>
            </w:r>
            <w:r>
              <w:rPr>
                <w:rFonts w:ascii="方正仿宋_GBK" w:eastAsia="方正仿宋_GBK" w:cs="方正仿宋_GBK"/>
                <w:color w:val="auto"/>
                <w:highlight w:val="none"/>
              </w:rPr>
              <w:t>18cm</w:t>
            </w:r>
            <w:r>
              <w:rPr>
                <w:rFonts w:hint="eastAsia" w:ascii="方正仿宋_GBK" w:eastAsia="方正仿宋_GBK" w:cs="方正仿宋_GBK"/>
                <w:color w:val="auto"/>
                <w:highlight w:val="none"/>
              </w:rPr>
              <w:t>高的踢脚板。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38" w:type="dxa"/>
            <w:vMerge w:val="continue"/>
            <w:shd w:val="clear" w:color="auto" w:fill="auto"/>
            <w:vAlign w:val="center"/>
          </w:tcPr>
          <w:p>
            <w:pPr>
              <w:pStyle w:val="148"/>
              <w:spacing w:line="300" w:lineRule="exact"/>
              <w:jc w:val="center"/>
              <w:rPr>
                <w:rFonts w:ascii="方正仿宋_GBK" w:eastAsia="方正仿宋_GBK"/>
                <w:color w:val="auto"/>
                <w:highlight w:val="none"/>
              </w:rPr>
            </w:pPr>
          </w:p>
        </w:tc>
        <w:tc>
          <w:tcPr>
            <w:tcW w:w="525" w:type="dxa"/>
            <w:vMerge w:val="continue"/>
            <w:shd w:val="clear" w:color="auto" w:fill="auto"/>
            <w:vAlign w:val="center"/>
          </w:tcPr>
          <w:p>
            <w:pPr>
              <w:pStyle w:val="148"/>
              <w:spacing w:line="300" w:lineRule="exact"/>
              <w:jc w:val="center"/>
              <w:rPr>
                <w:rFonts w:ascii="方正仿宋_GBK" w:eastAsia="方正仿宋_GBK"/>
                <w:color w:val="auto"/>
                <w:highlight w:val="none"/>
              </w:rPr>
            </w:pPr>
          </w:p>
        </w:tc>
        <w:tc>
          <w:tcPr>
            <w:tcW w:w="1545" w:type="dxa"/>
            <w:shd w:val="clear" w:color="auto" w:fill="auto"/>
            <w:vAlign w:val="center"/>
          </w:tcPr>
          <w:p>
            <w:pPr>
              <w:pStyle w:val="148"/>
              <w:spacing w:line="300" w:lineRule="exact"/>
              <w:rPr>
                <w:rFonts w:ascii="方正仿宋_GBK" w:eastAsia="方正仿宋_GBK"/>
                <w:color w:val="auto"/>
                <w:highlight w:val="none"/>
              </w:rPr>
            </w:pPr>
            <w:r>
              <w:rPr>
                <w:rFonts w:hint="eastAsia" w:ascii="方正仿宋_GBK" w:eastAsia="方正仿宋_GBK" w:cs="方正仿宋_GBK"/>
                <w:color w:val="auto"/>
                <w:highlight w:val="none"/>
              </w:rPr>
              <w:t>垂直方向交叉作业</w:t>
            </w:r>
          </w:p>
        </w:tc>
        <w:tc>
          <w:tcPr>
            <w:tcW w:w="6645" w:type="dxa"/>
            <w:shd w:val="clear" w:color="auto" w:fill="auto"/>
            <w:vAlign w:val="center"/>
          </w:tcPr>
          <w:p>
            <w:pPr>
              <w:pStyle w:val="148"/>
              <w:spacing w:line="300" w:lineRule="exact"/>
              <w:rPr>
                <w:rFonts w:ascii="方正仿宋_GBK" w:eastAsia="方正仿宋_GBK"/>
                <w:color w:val="auto"/>
                <w:highlight w:val="none"/>
              </w:rPr>
            </w:pPr>
            <w:r>
              <w:rPr>
                <w:rFonts w:hint="eastAsia" w:ascii="方正仿宋_GBK" w:eastAsia="方正仿宋_GBK" w:cs="方正仿宋_GBK"/>
                <w:color w:val="auto"/>
                <w:highlight w:val="none"/>
              </w:rPr>
              <w:t>设置防护隔离棚或其它设施。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38" w:type="dxa"/>
            <w:vMerge w:val="continue"/>
            <w:shd w:val="clear" w:color="auto" w:fill="auto"/>
            <w:vAlign w:val="center"/>
          </w:tcPr>
          <w:p>
            <w:pPr>
              <w:pStyle w:val="148"/>
              <w:spacing w:line="300" w:lineRule="exact"/>
              <w:jc w:val="center"/>
              <w:rPr>
                <w:rFonts w:ascii="方正仿宋_GBK" w:eastAsia="方正仿宋_GBK"/>
                <w:color w:val="auto"/>
                <w:highlight w:val="none"/>
              </w:rPr>
            </w:pPr>
          </w:p>
        </w:tc>
        <w:tc>
          <w:tcPr>
            <w:tcW w:w="525" w:type="dxa"/>
            <w:vMerge w:val="continue"/>
            <w:shd w:val="clear" w:color="auto" w:fill="auto"/>
            <w:vAlign w:val="center"/>
          </w:tcPr>
          <w:p>
            <w:pPr>
              <w:pStyle w:val="148"/>
              <w:spacing w:line="300" w:lineRule="exact"/>
              <w:jc w:val="center"/>
              <w:rPr>
                <w:rFonts w:ascii="方正仿宋_GBK" w:eastAsia="方正仿宋_GBK"/>
                <w:color w:val="auto"/>
                <w:highlight w:val="none"/>
              </w:rPr>
            </w:pPr>
          </w:p>
        </w:tc>
        <w:tc>
          <w:tcPr>
            <w:tcW w:w="1545" w:type="dxa"/>
            <w:shd w:val="clear" w:color="auto" w:fill="auto"/>
            <w:vAlign w:val="center"/>
          </w:tcPr>
          <w:p>
            <w:pPr>
              <w:pStyle w:val="148"/>
              <w:spacing w:line="300" w:lineRule="exact"/>
              <w:rPr>
                <w:rFonts w:ascii="方正仿宋_GBK" w:eastAsia="方正仿宋_GBK"/>
                <w:color w:val="auto"/>
                <w:highlight w:val="none"/>
              </w:rPr>
            </w:pPr>
            <w:r>
              <w:rPr>
                <w:rFonts w:hint="eastAsia" w:ascii="方正仿宋_GBK" w:eastAsia="方正仿宋_GBK" w:cs="方正仿宋_GBK"/>
                <w:color w:val="auto"/>
                <w:highlight w:val="none"/>
              </w:rPr>
              <w:t>高处作业</w:t>
            </w:r>
          </w:p>
        </w:tc>
        <w:tc>
          <w:tcPr>
            <w:tcW w:w="6645" w:type="dxa"/>
            <w:shd w:val="clear" w:color="auto" w:fill="auto"/>
            <w:vAlign w:val="center"/>
          </w:tcPr>
          <w:p>
            <w:pPr>
              <w:pStyle w:val="148"/>
              <w:spacing w:line="300" w:lineRule="exact"/>
              <w:rPr>
                <w:rFonts w:ascii="方正仿宋_GBK" w:eastAsia="方正仿宋_GBK"/>
                <w:color w:val="auto"/>
                <w:highlight w:val="none"/>
              </w:rPr>
            </w:pPr>
            <w:r>
              <w:rPr>
                <w:rFonts w:hint="eastAsia" w:ascii="方正仿宋_GBK" w:eastAsia="方正仿宋_GBK" w:cs="方正仿宋_GBK"/>
                <w:color w:val="auto"/>
                <w:highlight w:val="none"/>
              </w:rPr>
              <w:t>有悬挂安全带的悬索或其它设施，有操作平台，有上下的梯子或其它形式的通道。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38" w:type="dxa"/>
            <w:vMerge w:val="continue"/>
            <w:shd w:val="clear" w:color="auto" w:fill="auto"/>
            <w:vAlign w:val="center"/>
          </w:tcPr>
          <w:p>
            <w:pPr>
              <w:pStyle w:val="148"/>
              <w:spacing w:line="300" w:lineRule="exact"/>
              <w:jc w:val="center"/>
              <w:rPr>
                <w:rFonts w:ascii="方正仿宋_GBK" w:eastAsia="方正仿宋_GBK"/>
                <w:color w:val="auto"/>
                <w:highlight w:val="none"/>
              </w:rPr>
            </w:pPr>
          </w:p>
        </w:tc>
        <w:tc>
          <w:tcPr>
            <w:tcW w:w="525" w:type="dxa"/>
            <w:vMerge w:val="continue"/>
            <w:shd w:val="clear" w:color="auto" w:fill="auto"/>
            <w:vAlign w:val="center"/>
          </w:tcPr>
          <w:p>
            <w:pPr>
              <w:pStyle w:val="148"/>
              <w:spacing w:line="300" w:lineRule="exact"/>
              <w:jc w:val="center"/>
              <w:rPr>
                <w:rFonts w:ascii="方正仿宋_GBK" w:eastAsia="方正仿宋_GBK"/>
                <w:color w:val="auto"/>
                <w:highlight w:val="none"/>
              </w:rPr>
            </w:pPr>
          </w:p>
        </w:tc>
        <w:tc>
          <w:tcPr>
            <w:tcW w:w="1545" w:type="dxa"/>
            <w:shd w:val="clear" w:color="auto" w:fill="auto"/>
            <w:vAlign w:val="center"/>
          </w:tcPr>
          <w:p>
            <w:pPr>
              <w:pStyle w:val="148"/>
              <w:spacing w:line="300" w:lineRule="exact"/>
              <w:rPr>
                <w:rFonts w:ascii="方正仿宋_GBK" w:eastAsia="方正仿宋_GBK"/>
                <w:color w:val="auto"/>
                <w:highlight w:val="none"/>
              </w:rPr>
            </w:pPr>
            <w:r>
              <w:rPr>
                <w:rFonts w:hint="eastAsia" w:ascii="方正仿宋_GBK" w:eastAsia="方正仿宋_GBK" w:cs="方正仿宋_GBK"/>
                <w:color w:val="auto"/>
                <w:highlight w:val="none"/>
              </w:rPr>
              <w:t>基坑、物料平台</w:t>
            </w:r>
          </w:p>
        </w:tc>
        <w:tc>
          <w:tcPr>
            <w:tcW w:w="6645" w:type="dxa"/>
            <w:shd w:val="clear" w:color="auto" w:fill="auto"/>
            <w:vAlign w:val="center"/>
          </w:tcPr>
          <w:p>
            <w:pPr>
              <w:pStyle w:val="148"/>
              <w:spacing w:line="300" w:lineRule="exact"/>
              <w:rPr>
                <w:rFonts w:ascii="方正仿宋_GBK" w:eastAsia="方正仿宋_GBK"/>
                <w:color w:val="auto"/>
                <w:highlight w:val="none"/>
              </w:rPr>
            </w:pPr>
            <w:r>
              <w:rPr>
                <w:rFonts w:hint="eastAsia" w:ascii="方正仿宋_GBK" w:eastAsia="方正仿宋_GBK" w:cs="方正仿宋_GBK"/>
                <w:color w:val="auto"/>
                <w:highlight w:val="none"/>
              </w:rPr>
              <w:t>设</w:t>
            </w:r>
            <w:r>
              <w:rPr>
                <w:rFonts w:ascii="方正仿宋_GBK" w:eastAsia="方正仿宋_GBK" w:cs="方正仿宋_GBK"/>
                <w:color w:val="auto"/>
                <w:highlight w:val="none"/>
              </w:rPr>
              <w:t>1.2m</w:t>
            </w:r>
            <w:r>
              <w:rPr>
                <w:rFonts w:hint="eastAsia" w:ascii="方正仿宋_GBK" w:eastAsia="方正仿宋_GBK" w:cs="方正仿宋_GBK"/>
                <w:color w:val="auto"/>
                <w:highlight w:val="none"/>
              </w:rPr>
              <w:t>高标准化的防护栏，用密目式安全立网封闭，悬挂标识。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38" w:type="dxa"/>
            <w:vMerge w:val="continue"/>
            <w:shd w:val="clear" w:color="auto" w:fill="auto"/>
            <w:vAlign w:val="center"/>
          </w:tcPr>
          <w:p>
            <w:pPr>
              <w:pStyle w:val="148"/>
              <w:spacing w:line="300" w:lineRule="exact"/>
              <w:jc w:val="center"/>
              <w:rPr>
                <w:rFonts w:ascii="方正仿宋_GBK" w:eastAsia="方正仿宋_GBK"/>
                <w:color w:val="auto"/>
                <w:highlight w:val="none"/>
              </w:rPr>
            </w:pPr>
          </w:p>
        </w:tc>
        <w:tc>
          <w:tcPr>
            <w:tcW w:w="2070" w:type="dxa"/>
            <w:gridSpan w:val="2"/>
            <w:shd w:val="clear" w:color="auto" w:fill="auto"/>
            <w:vAlign w:val="center"/>
          </w:tcPr>
          <w:p>
            <w:pPr>
              <w:pStyle w:val="148"/>
              <w:spacing w:line="300" w:lineRule="exact"/>
              <w:jc w:val="center"/>
              <w:rPr>
                <w:rFonts w:ascii="方正仿宋_GBK" w:eastAsia="方正仿宋_GBK"/>
                <w:color w:val="auto"/>
                <w:highlight w:val="none"/>
              </w:rPr>
            </w:pPr>
            <w:r>
              <w:rPr>
                <w:rFonts w:hint="eastAsia" w:ascii="方正仿宋_GBK" w:eastAsia="方正仿宋_GBK" w:cs="方正仿宋_GBK"/>
                <w:color w:val="auto"/>
                <w:highlight w:val="none"/>
              </w:rPr>
              <w:t>安全防护用品</w:t>
            </w:r>
          </w:p>
        </w:tc>
        <w:tc>
          <w:tcPr>
            <w:tcW w:w="6645" w:type="dxa"/>
            <w:shd w:val="clear" w:color="auto" w:fill="auto"/>
            <w:vAlign w:val="center"/>
          </w:tcPr>
          <w:p>
            <w:pPr>
              <w:pStyle w:val="148"/>
              <w:spacing w:line="300" w:lineRule="exact"/>
              <w:rPr>
                <w:rFonts w:ascii="方正仿宋_GBK" w:eastAsia="方正仿宋_GBK"/>
                <w:color w:val="auto"/>
                <w:highlight w:val="none"/>
              </w:rPr>
            </w:pPr>
            <w:r>
              <w:rPr>
                <w:rFonts w:hint="eastAsia" w:ascii="方正仿宋_GBK" w:eastAsia="方正仿宋_GBK" w:cs="方正仿宋_GBK"/>
                <w:color w:val="auto"/>
                <w:highlight w:val="none"/>
              </w:rPr>
              <w:t>安全帽、安全带、特种作业人员（电工、焊工、架子工等）防护服装、用品等。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55" w:hRule="atLeast"/>
        </w:trPr>
        <w:tc>
          <w:tcPr>
            <w:tcW w:w="738" w:type="dxa"/>
            <w:vMerge w:val="restart"/>
            <w:shd w:val="clear" w:color="auto" w:fill="auto"/>
            <w:vAlign w:val="center"/>
          </w:tcPr>
          <w:p>
            <w:pPr>
              <w:pStyle w:val="148"/>
              <w:spacing w:line="300" w:lineRule="exact"/>
              <w:jc w:val="center"/>
              <w:rPr>
                <w:rFonts w:ascii="方正仿宋_GBK" w:eastAsia="方正仿宋_GBK"/>
                <w:color w:val="auto"/>
                <w:highlight w:val="none"/>
              </w:rPr>
            </w:pPr>
            <w:r>
              <w:rPr>
                <w:rFonts w:hint="eastAsia" w:ascii="方正仿宋_GBK" w:eastAsia="方正仿宋_GBK" w:cs="方正仿宋_GBK"/>
                <w:color w:val="auto"/>
                <w:highlight w:val="none"/>
              </w:rPr>
              <w:t>其它</w:t>
            </w:r>
          </w:p>
        </w:tc>
        <w:tc>
          <w:tcPr>
            <w:tcW w:w="525" w:type="dxa"/>
            <w:vMerge w:val="restart"/>
            <w:shd w:val="clear" w:color="auto" w:fill="auto"/>
            <w:vAlign w:val="center"/>
          </w:tcPr>
          <w:p>
            <w:pPr>
              <w:pStyle w:val="148"/>
              <w:spacing w:line="300" w:lineRule="exact"/>
              <w:jc w:val="center"/>
              <w:rPr>
                <w:rFonts w:ascii="方正仿宋_GBK" w:eastAsia="方正仿宋_GBK"/>
                <w:color w:val="auto"/>
                <w:highlight w:val="none"/>
              </w:rPr>
            </w:pPr>
            <w:r>
              <w:rPr>
                <w:rFonts w:hint="eastAsia" w:ascii="方正仿宋_GBK" w:eastAsia="方正仿宋_GBK" w:cs="方正仿宋_GBK"/>
                <w:color w:val="auto"/>
                <w:highlight w:val="none"/>
              </w:rPr>
              <w:t>机械设备防护</w:t>
            </w:r>
          </w:p>
        </w:tc>
        <w:tc>
          <w:tcPr>
            <w:tcW w:w="1545" w:type="dxa"/>
            <w:shd w:val="clear" w:color="auto" w:fill="auto"/>
            <w:vAlign w:val="center"/>
          </w:tcPr>
          <w:p>
            <w:pPr>
              <w:pStyle w:val="148"/>
              <w:spacing w:line="300" w:lineRule="exact"/>
              <w:jc w:val="center"/>
              <w:rPr>
                <w:rFonts w:ascii="方正仿宋_GBK" w:eastAsia="方正仿宋_GBK"/>
                <w:color w:val="auto"/>
                <w:highlight w:val="none"/>
              </w:rPr>
            </w:pPr>
            <w:r>
              <w:rPr>
                <w:rFonts w:hint="eastAsia" w:ascii="方正仿宋_GBK" w:eastAsia="方正仿宋_GBK" w:cs="方正仿宋_GBK"/>
                <w:color w:val="auto"/>
                <w:highlight w:val="none"/>
              </w:rPr>
              <w:t>中小型机械</w:t>
            </w:r>
          </w:p>
        </w:tc>
        <w:tc>
          <w:tcPr>
            <w:tcW w:w="6645" w:type="dxa"/>
            <w:shd w:val="clear" w:color="auto" w:fill="auto"/>
            <w:vAlign w:val="center"/>
          </w:tcPr>
          <w:p>
            <w:pPr>
              <w:pStyle w:val="148"/>
              <w:spacing w:line="300" w:lineRule="exact"/>
              <w:rPr>
                <w:rFonts w:ascii="方正仿宋_GBK" w:eastAsia="方正仿宋_GBK"/>
                <w:color w:val="auto"/>
                <w:highlight w:val="none"/>
              </w:rPr>
            </w:pPr>
            <w:r>
              <w:rPr>
                <w:rFonts w:hint="eastAsia" w:ascii="方正仿宋_GBK" w:eastAsia="方正仿宋_GBK" w:cs="方正仿宋_GBK"/>
                <w:color w:val="auto"/>
                <w:highlight w:val="none"/>
              </w:rPr>
              <w:t>设防护棚（同通道口防护并有防雨措施）。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38" w:type="dxa"/>
            <w:vMerge w:val="continue"/>
            <w:shd w:val="clear" w:color="auto" w:fill="auto"/>
            <w:vAlign w:val="center"/>
          </w:tcPr>
          <w:p>
            <w:pPr>
              <w:pStyle w:val="148"/>
              <w:spacing w:line="300" w:lineRule="exact"/>
              <w:jc w:val="center"/>
              <w:rPr>
                <w:rFonts w:ascii="方正仿宋_GBK" w:eastAsia="方正仿宋_GBK"/>
                <w:color w:val="auto"/>
                <w:highlight w:val="none"/>
              </w:rPr>
            </w:pPr>
          </w:p>
        </w:tc>
        <w:tc>
          <w:tcPr>
            <w:tcW w:w="525" w:type="dxa"/>
            <w:vMerge w:val="continue"/>
            <w:shd w:val="clear" w:color="auto" w:fill="auto"/>
            <w:vAlign w:val="center"/>
          </w:tcPr>
          <w:p>
            <w:pPr>
              <w:pStyle w:val="148"/>
              <w:spacing w:line="300" w:lineRule="exact"/>
              <w:jc w:val="center"/>
              <w:rPr>
                <w:rFonts w:ascii="方正仿宋_GBK" w:eastAsia="方正仿宋_GBK"/>
                <w:color w:val="auto"/>
                <w:highlight w:val="none"/>
              </w:rPr>
            </w:pPr>
          </w:p>
        </w:tc>
        <w:tc>
          <w:tcPr>
            <w:tcW w:w="1545" w:type="dxa"/>
            <w:shd w:val="clear" w:color="auto" w:fill="auto"/>
            <w:vAlign w:val="center"/>
          </w:tcPr>
          <w:p>
            <w:pPr>
              <w:pStyle w:val="148"/>
              <w:spacing w:line="300" w:lineRule="exact"/>
              <w:jc w:val="center"/>
              <w:rPr>
                <w:rFonts w:ascii="方正仿宋_GBK" w:eastAsia="方正仿宋_GBK"/>
                <w:color w:val="auto"/>
                <w:highlight w:val="none"/>
              </w:rPr>
            </w:pPr>
            <w:r>
              <w:rPr>
                <w:rFonts w:hint="eastAsia" w:ascii="方正仿宋_GBK" w:eastAsia="方正仿宋_GBK" w:cs="方正仿宋_GBK"/>
                <w:color w:val="auto"/>
                <w:highlight w:val="none"/>
              </w:rPr>
              <w:t>垂直运输设备</w:t>
            </w:r>
          </w:p>
        </w:tc>
        <w:tc>
          <w:tcPr>
            <w:tcW w:w="6645" w:type="dxa"/>
            <w:shd w:val="clear" w:color="auto" w:fill="auto"/>
            <w:vAlign w:val="center"/>
          </w:tcPr>
          <w:p>
            <w:pPr>
              <w:pStyle w:val="148"/>
              <w:spacing w:line="300" w:lineRule="exact"/>
              <w:rPr>
                <w:rFonts w:ascii="方正仿宋_GBK" w:eastAsia="方正仿宋_GBK"/>
                <w:color w:val="auto"/>
                <w:highlight w:val="none"/>
              </w:rPr>
            </w:pPr>
            <w:r>
              <w:rPr>
                <w:rFonts w:ascii="方正仿宋_GBK" w:eastAsia="方正仿宋_GBK" w:cs="方正仿宋_GBK"/>
                <w:color w:val="auto"/>
                <w:highlight w:val="none"/>
              </w:rPr>
              <w:t xml:space="preserve">1. </w:t>
            </w:r>
            <w:r>
              <w:rPr>
                <w:rFonts w:hint="eastAsia" w:ascii="方正仿宋_GBK" w:eastAsia="方正仿宋_GBK" w:cs="方正仿宋_GBK"/>
                <w:color w:val="auto"/>
                <w:highlight w:val="none"/>
              </w:rPr>
              <w:t>垂直运输设备检测、检验、日常维护、保养等。</w:t>
            </w:r>
          </w:p>
          <w:p>
            <w:pPr>
              <w:pStyle w:val="148"/>
              <w:spacing w:line="300" w:lineRule="exact"/>
              <w:rPr>
                <w:rFonts w:ascii="方正仿宋_GBK" w:eastAsia="方正仿宋_GBK"/>
                <w:color w:val="auto"/>
                <w:highlight w:val="none"/>
              </w:rPr>
            </w:pPr>
            <w:r>
              <w:rPr>
                <w:rFonts w:ascii="方正仿宋_GBK" w:eastAsia="方正仿宋_GBK" w:cs="方正仿宋_GBK"/>
                <w:color w:val="auto"/>
                <w:highlight w:val="none"/>
              </w:rPr>
              <w:t xml:space="preserve">2. </w:t>
            </w:r>
            <w:r>
              <w:rPr>
                <w:rFonts w:hint="eastAsia" w:ascii="方正仿宋_GBK" w:eastAsia="方正仿宋_GBK" w:cs="方正仿宋_GBK"/>
                <w:color w:val="auto"/>
                <w:highlight w:val="none"/>
              </w:rPr>
              <w:t>物料提升机、施工电梯等物料平台搭设、外侧用密目式安全立网全封闭，有安全通道、安全防护门、防护棚等。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exact"/>
        </w:trPr>
        <w:tc>
          <w:tcPr>
            <w:tcW w:w="738" w:type="dxa"/>
            <w:vMerge w:val="continue"/>
            <w:shd w:val="clear" w:color="auto" w:fill="auto"/>
            <w:vAlign w:val="center"/>
          </w:tcPr>
          <w:p>
            <w:pPr>
              <w:pStyle w:val="148"/>
              <w:spacing w:line="300" w:lineRule="exact"/>
              <w:jc w:val="center"/>
              <w:rPr>
                <w:rFonts w:ascii="方正仿宋_GBK" w:eastAsia="方正仿宋_GBK"/>
                <w:color w:val="auto"/>
                <w:highlight w:val="none"/>
              </w:rPr>
            </w:pPr>
          </w:p>
        </w:tc>
        <w:tc>
          <w:tcPr>
            <w:tcW w:w="2070" w:type="dxa"/>
            <w:gridSpan w:val="2"/>
            <w:shd w:val="clear" w:color="auto" w:fill="auto"/>
            <w:vAlign w:val="center"/>
          </w:tcPr>
          <w:p>
            <w:pPr>
              <w:pStyle w:val="148"/>
              <w:spacing w:line="300" w:lineRule="exact"/>
              <w:jc w:val="center"/>
              <w:rPr>
                <w:rFonts w:ascii="方正仿宋_GBK" w:eastAsia="方正仿宋_GBK"/>
                <w:color w:val="auto"/>
                <w:highlight w:val="none"/>
              </w:rPr>
            </w:pPr>
            <w:r>
              <w:rPr>
                <w:rFonts w:hint="eastAsia" w:ascii="方正仿宋_GBK" w:eastAsia="方正仿宋_GBK" w:cs="方正仿宋_GBK"/>
                <w:color w:val="auto"/>
                <w:highlight w:val="none"/>
              </w:rPr>
              <w:t>专家论证审查</w:t>
            </w:r>
          </w:p>
        </w:tc>
        <w:tc>
          <w:tcPr>
            <w:tcW w:w="6645" w:type="dxa"/>
            <w:shd w:val="clear" w:color="auto" w:fill="auto"/>
            <w:vAlign w:val="center"/>
          </w:tcPr>
          <w:p>
            <w:pPr>
              <w:pStyle w:val="148"/>
              <w:spacing w:line="300" w:lineRule="exact"/>
              <w:rPr>
                <w:rFonts w:ascii="方正仿宋_GBK" w:eastAsia="方正仿宋_GBK"/>
                <w:color w:val="auto"/>
                <w:highlight w:val="none"/>
              </w:rPr>
            </w:pPr>
            <w:r>
              <w:rPr>
                <w:rFonts w:hint="eastAsia" w:ascii="方正仿宋_GBK" w:eastAsia="方正仿宋_GBK" w:cs="方正仿宋_GBK"/>
                <w:color w:val="auto"/>
                <w:highlight w:val="none"/>
              </w:rPr>
              <w:t>超过一定规模的危险性较大分部分项工程专家论证审查。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exact"/>
        </w:trPr>
        <w:tc>
          <w:tcPr>
            <w:tcW w:w="738" w:type="dxa"/>
            <w:vMerge w:val="continue"/>
            <w:shd w:val="clear" w:color="auto" w:fill="auto"/>
            <w:vAlign w:val="center"/>
          </w:tcPr>
          <w:p>
            <w:pPr>
              <w:pStyle w:val="148"/>
              <w:spacing w:line="300" w:lineRule="exact"/>
              <w:jc w:val="center"/>
              <w:rPr>
                <w:rFonts w:ascii="方正仿宋_GBK" w:eastAsia="方正仿宋_GBK"/>
                <w:color w:val="auto"/>
                <w:highlight w:val="none"/>
              </w:rPr>
            </w:pPr>
          </w:p>
        </w:tc>
        <w:tc>
          <w:tcPr>
            <w:tcW w:w="2070" w:type="dxa"/>
            <w:gridSpan w:val="2"/>
            <w:shd w:val="clear" w:color="auto" w:fill="auto"/>
            <w:vAlign w:val="center"/>
          </w:tcPr>
          <w:p>
            <w:pPr>
              <w:pStyle w:val="148"/>
              <w:spacing w:line="300" w:lineRule="exact"/>
              <w:jc w:val="center"/>
              <w:rPr>
                <w:rFonts w:ascii="方正仿宋_GBK" w:eastAsia="方正仿宋_GBK"/>
                <w:color w:val="auto"/>
                <w:highlight w:val="none"/>
              </w:rPr>
            </w:pPr>
            <w:r>
              <w:rPr>
                <w:rFonts w:hint="eastAsia" w:ascii="方正仿宋_GBK" w:eastAsia="方正仿宋_GBK" w:cs="方正仿宋_GBK"/>
                <w:color w:val="auto"/>
                <w:highlight w:val="none"/>
              </w:rPr>
              <w:t>应急救援预案</w:t>
            </w:r>
          </w:p>
        </w:tc>
        <w:tc>
          <w:tcPr>
            <w:tcW w:w="6645" w:type="dxa"/>
            <w:shd w:val="clear" w:color="auto" w:fill="auto"/>
            <w:vAlign w:val="center"/>
          </w:tcPr>
          <w:p>
            <w:pPr>
              <w:pStyle w:val="148"/>
              <w:spacing w:line="300" w:lineRule="exact"/>
              <w:rPr>
                <w:rFonts w:ascii="方正仿宋_GBK" w:eastAsia="方正仿宋_GBK"/>
                <w:color w:val="auto"/>
                <w:highlight w:val="none"/>
              </w:rPr>
            </w:pPr>
            <w:r>
              <w:rPr>
                <w:rFonts w:hint="eastAsia" w:ascii="方正仿宋_GBK" w:eastAsia="方正仿宋_GBK" w:cs="方正仿宋_GBK"/>
                <w:color w:val="auto"/>
                <w:highlight w:val="none"/>
              </w:rPr>
              <w:t>救援器材准备及演练等。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38" w:type="dxa"/>
            <w:vMerge w:val="continue"/>
            <w:tcBorders>
              <w:bottom w:val="single" w:color="auto" w:sz="12" w:space="0"/>
            </w:tcBorders>
            <w:shd w:val="clear" w:color="auto" w:fill="auto"/>
            <w:vAlign w:val="center"/>
          </w:tcPr>
          <w:p>
            <w:pPr>
              <w:pStyle w:val="148"/>
              <w:spacing w:line="300" w:lineRule="exact"/>
              <w:jc w:val="center"/>
              <w:rPr>
                <w:rFonts w:ascii="方正仿宋_GBK" w:eastAsia="方正仿宋_GBK"/>
                <w:color w:val="auto"/>
                <w:highlight w:val="none"/>
              </w:rPr>
            </w:pPr>
          </w:p>
        </w:tc>
        <w:tc>
          <w:tcPr>
            <w:tcW w:w="2070" w:type="dxa"/>
            <w:gridSpan w:val="2"/>
            <w:tcBorders>
              <w:bottom w:val="single" w:color="auto" w:sz="12" w:space="0"/>
            </w:tcBorders>
            <w:shd w:val="clear" w:color="auto" w:fill="auto"/>
            <w:vAlign w:val="center"/>
          </w:tcPr>
          <w:p>
            <w:pPr>
              <w:pStyle w:val="148"/>
              <w:spacing w:line="300" w:lineRule="exact"/>
              <w:jc w:val="center"/>
              <w:rPr>
                <w:rFonts w:ascii="方正仿宋_GBK" w:eastAsia="方正仿宋_GBK"/>
                <w:color w:val="auto"/>
                <w:highlight w:val="none"/>
              </w:rPr>
            </w:pPr>
            <w:r>
              <w:rPr>
                <w:rFonts w:hint="eastAsia" w:ascii="方正仿宋_GBK" w:eastAsia="方正仿宋_GBK" w:cs="方正仿宋_GBK"/>
                <w:color w:val="auto"/>
                <w:highlight w:val="none"/>
              </w:rPr>
              <w:t>非正常情况施工</w:t>
            </w:r>
          </w:p>
        </w:tc>
        <w:tc>
          <w:tcPr>
            <w:tcW w:w="6645" w:type="dxa"/>
            <w:tcBorders>
              <w:bottom w:val="single" w:color="auto" w:sz="12" w:space="0"/>
            </w:tcBorders>
            <w:shd w:val="clear" w:color="auto" w:fill="auto"/>
            <w:vAlign w:val="center"/>
          </w:tcPr>
          <w:p>
            <w:pPr>
              <w:pStyle w:val="148"/>
              <w:spacing w:line="300" w:lineRule="exact"/>
              <w:rPr>
                <w:rFonts w:ascii="方正仿宋_GBK" w:eastAsia="方正仿宋_GBK"/>
                <w:color w:val="auto"/>
                <w:highlight w:val="none"/>
              </w:rPr>
            </w:pPr>
            <w:r>
              <w:rPr>
                <w:rFonts w:hint="eastAsia" w:ascii="方正仿宋_GBK" w:eastAsia="方正仿宋_GBK" w:cs="方正仿宋_GBK"/>
                <w:color w:val="auto"/>
                <w:highlight w:val="none"/>
              </w:rPr>
              <w:t>其它特殊情况下的防护费用，如：城市主干道、人流密集、河边等处施工及文物、古建筑、古树保护等。</w:t>
            </w:r>
          </w:p>
        </w:tc>
      </w:tr>
    </w:tbl>
    <w:p>
      <w:pPr>
        <w:pStyle w:val="148"/>
        <w:spacing w:line="240" w:lineRule="atLeast"/>
        <w:ind w:firstLine="546"/>
        <w:jc w:val="center"/>
        <w:rPr>
          <w:b/>
          <w:color w:val="auto"/>
          <w:w w:val="90"/>
          <w:sz w:val="24"/>
          <w:szCs w:val="24"/>
          <w:highlight w:val="none"/>
        </w:rPr>
      </w:pPr>
    </w:p>
    <w:p>
      <w:pPr>
        <w:spacing w:beforeLines="50"/>
        <w:ind w:firstLine="420" w:firstLineChars="200"/>
        <w:rPr>
          <w:color w:val="auto"/>
          <w:highlight w:val="none"/>
        </w:rPr>
      </w:pPr>
      <w:r>
        <w:rPr>
          <w:rFonts w:hint="eastAsia" w:cs="宋体"/>
          <w:color w:val="auto"/>
          <w:highlight w:val="none"/>
        </w:rPr>
        <w:t>注：本表所列建筑工程安全文明施工费，是依据现行法律法规及标准规范确定的。如法律法规和标准规范修订，本表所列项目应按照修订后的法律法规和标准规范进行调整。</w:t>
      </w:r>
    </w:p>
    <w:p>
      <w:pPr>
        <w:ind w:firstLine="420" w:firstLineChars="200"/>
        <w:rPr>
          <w:color w:val="auto"/>
          <w:highlight w:val="none"/>
        </w:rPr>
      </w:pPr>
    </w:p>
    <w:p>
      <w:pPr>
        <w:ind w:firstLine="420" w:firstLineChars="200"/>
        <w:rPr>
          <w:color w:val="auto"/>
          <w:highlight w:val="none"/>
        </w:rPr>
      </w:pPr>
    </w:p>
    <w:p>
      <w:pPr>
        <w:ind w:firstLine="420" w:firstLineChars="200"/>
        <w:rPr>
          <w:color w:val="auto"/>
          <w:highlight w:val="none"/>
        </w:rPr>
      </w:pPr>
    </w:p>
    <w:p>
      <w:pPr>
        <w:ind w:firstLine="420" w:firstLineChars="200"/>
        <w:rPr>
          <w:color w:val="auto"/>
          <w:highlight w:val="none"/>
        </w:rPr>
      </w:pPr>
    </w:p>
    <w:p>
      <w:pPr>
        <w:ind w:firstLine="420" w:firstLineChars="200"/>
        <w:rPr>
          <w:color w:val="auto"/>
          <w:highlight w:val="none"/>
        </w:rPr>
      </w:pPr>
    </w:p>
    <w:p>
      <w:pPr>
        <w:spacing w:line="360" w:lineRule="auto"/>
        <w:rPr>
          <w:color w:val="auto"/>
          <w:sz w:val="24"/>
          <w:szCs w:val="24"/>
          <w:highlight w:val="none"/>
        </w:rPr>
      </w:pPr>
    </w:p>
    <w:p>
      <w:pPr>
        <w:spacing w:line="360" w:lineRule="auto"/>
        <w:rPr>
          <w:color w:val="auto"/>
          <w:sz w:val="24"/>
          <w:szCs w:val="24"/>
          <w:highlight w:val="none"/>
        </w:rPr>
        <w:sectPr>
          <w:pgSz w:w="11907" w:h="16840"/>
          <w:pgMar w:top="1440" w:right="1440" w:bottom="1440" w:left="1797" w:header="851" w:footer="851" w:gutter="0"/>
          <w:cols w:space="720" w:num="1"/>
          <w:docGrid w:linePitch="312" w:charSpace="0"/>
        </w:sectPr>
      </w:pPr>
    </w:p>
    <w:p>
      <w:pPr>
        <w:spacing w:line="360" w:lineRule="auto"/>
        <w:rPr>
          <w:rFonts w:cs="宋体"/>
          <w:b/>
          <w:color w:val="auto"/>
          <w:sz w:val="28"/>
          <w:szCs w:val="28"/>
          <w:highlight w:val="none"/>
        </w:rPr>
      </w:pPr>
      <w:r>
        <w:rPr>
          <w:b/>
          <w:color w:val="auto"/>
          <w:sz w:val="28"/>
          <w:szCs w:val="28"/>
          <w:highlight w:val="none"/>
        </w:rPr>
        <w:t>4</w:t>
      </w:r>
      <w:r>
        <w:rPr>
          <w:rFonts w:hint="eastAsia" w:cs="宋体"/>
          <w:b/>
          <w:color w:val="auto"/>
          <w:sz w:val="28"/>
          <w:szCs w:val="28"/>
          <w:highlight w:val="none"/>
        </w:rPr>
        <w:t>、项目经理简历表（附项目经理注册建造师执业资格证书和安全生产考核合格证书（</w:t>
      </w:r>
      <w:r>
        <w:rPr>
          <w:b/>
          <w:color w:val="auto"/>
          <w:sz w:val="28"/>
          <w:szCs w:val="28"/>
          <w:highlight w:val="none"/>
        </w:rPr>
        <w:t>B</w:t>
      </w:r>
      <w:r>
        <w:rPr>
          <w:rFonts w:hint="eastAsia" w:cs="宋体"/>
          <w:b/>
          <w:color w:val="auto"/>
          <w:sz w:val="28"/>
          <w:szCs w:val="28"/>
          <w:highlight w:val="none"/>
        </w:rPr>
        <w:t>类）的复印件）；</w:t>
      </w:r>
    </w:p>
    <w:p>
      <w:pPr>
        <w:spacing w:beforeLines="50" w:line="360" w:lineRule="auto"/>
        <w:rPr>
          <w:rFonts w:cs="宋体"/>
          <w:b/>
          <w:color w:val="auto"/>
          <w:sz w:val="28"/>
          <w:szCs w:val="28"/>
          <w:highlight w:val="none"/>
        </w:rPr>
      </w:pPr>
      <w:r>
        <w:rPr>
          <w:b/>
          <w:color w:val="auto"/>
          <w:sz w:val="28"/>
          <w:szCs w:val="28"/>
          <w:highlight w:val="none"/>
        </w:rPr>
        <w:t>5</w:t>
      </w:r>
      <w:r>
        <w:rPr>
          <w:rFonts w:hint="eastAsia" w:cs="宋体"/>
          <w:b/>
          <w:color w:val="auto"/>
          <w:sz w:val="28"/>
          <w:szCs w:val="28"/>
          <w:highlight w:val="none"/>
        </w:rPr>
        <w:t>、项目技术负责</w:t>
      </w:r>
      <w:r>
        <w:rPr>
          <w:rFonts w:cs="宋体"/>
          <w:b/>
          <w:color w:val="auto"/>
          <w:sz w:val="28"/>
          <w:szCs w:val="28"/>
          <w:highlight w:val="none"/>
        </w:rPr>
        <w:t>人</w:t>
      </w:r>
      <w:r>
        <w:rPr>
          <w:rFonts w:hint="eastAsia" w:cs="宋体"/>
          <w:b/>
          <w:color w:val="auto"/>
          <w:sz w:val="28"/>
          <w:szCs w:val="28"/>
          <w:highlight w:val="none"/>
        </w:rPr>
        <w:t>简历表（附职称证书的复印件）；</w:t>
      </w:r>
    </w:p>
    <w:p>
      <w:pPr>
        <w:spacing w:beforeLines="50" w:line="360" w:lineRule="auto"/>
        <w:rPr>
          <w:b/>
          <w:color w:val="auto"/>
          <w:sz w:val="28"/>
          <w:szCs w:val="28"/>
          <w:highlight w:val="none"/>
        </w:rPr>
      </w:pPr>
      <w:r>
        <w:rPr>
          <w:b/>
          <w:color w:val="auto"/>
          <w:sz w:val="28"/>
          <w:szCs w:val="28"/>
          <w:highlight w:val="none"/>
        </w:rPr>
        <w:t>6</w:t>
      </w:r>
      <w:r>
        <w:rPr>
          <w:rFonts w:hint="eastAsia"/>
          <w:b/>
          <w:color w:val="auto"/>
          <w:sz w:val="28"/>
          <w:szCs w:val="28"/>
          <w:highlight w:val="none"/>
        </w:rPr>
        <w:t>、安全</w:t>
      </w:r>
      <w:r>
        <w:rPr>
          <w:b/>
          <w:color w:val="auto"/>
          <w:sz w:val="28"/>
          <w:szCs w:val="28"/>
          <w:highlight w:val="none"/>
        </w:rPr>
        <w:t>员</w:t>
      </w:r>
      <w:r>
        <w:rPr>
          <w:rFonts w:hint="eastAsia"/>
          <w:b/>
          <w:color w:val="auto"/>
          <w:sz w:val="28"/>
          <w:szCs w:val="28"/>
          <w:highlight w:val="none"/>
        </w:rPr>
        <w:t>的安全生产考核合格证书（</w:t>
      </w:r>
      <w:r>
        <w:rPr>
          <w:b/>
          <w:color w:val="auto"/>
          <w:sz w:val="28"/>
          <w:szCs w:val="28"/>
          <w:highlight w:val="none"/>
        </w:rPr>
        <w:t>C</w:t>
      </w:r>
      <w:r>
        <w:rPr>
          <w:rFonts w:hint="eastAsia"/>
          <w:b/>
          <w:color w:val="auto"/>
          <w:sz w:val="28"/>
          <w:szCs w:val="28"/>
          <w:highlight w:val="none"/>
        </w:rPr>
        <w:t>类）的复印件；</w:t>
      </w:r>
    </w:p>
    <w:p>
      <w:pPr>
        <w:spacing w:beforeLines="50" w:line="360" w:lineRule="auto"/>
        <w:rPr>
          <w:b/>
          <w:color w:val="auto"/>
          <w:sz w:val="28"/>
          <w:szCs w:val="28"/>
          <w:highlight w:val="none"/>
        </w:rPr>
      </w:pPr>
      <w:r>
        <w:rPr>
          <w:b/>
          <w:color w:val="auto"/>
          <w:sz w:val="28"/>
          <w:szCs w:val="28"/>
          <w:highlight w:val="none"/>
        </w:rPr>
        <w:t>7</w:t>
      </w:r>
      <w:r>
        <w:rPr>
          <w:rFonts w:hint="eastAsia" w:cs="宋体"/>
          <w:b/>
          <w:color w:val="auto"/>
          <w:sz w:val="28"/>
          <w:szCs w:val="28"/>
          <w:highlight w:val="none"/>
        </w:rPr>
        <w:t>、委托代理人、项目经理、技术负责人和主要管理人员近</w:t>
      </w:r>
      <w:r>
        <w:rPr>
          <w:b/>
          <w:color w:val="auto"/>
          <w:sz w:val="28"/>
          <w:szCs w:val="28"/>
          <w:highlight w:val="none"/>
        </w:rPr>
        <w:t>3</w:t>
      </w:r>
      <w:r>
        <w:rPr>
          <w:rFonts w:hint="eastAsia" w:cs="宋体"/>
          <w:b/>
          <w:color w:val="auto"/>
          <w:sz w:val="28"/>
          <w:szCs w:val="28"/>
          <w:highlight w:val="none"/>
        </w:rPr>
        <w:t>个月（2021年7月至2021年9月）在现任职单位依法缴纳社会保险的证明材料的复印件；</w:t>
      </w:r>
    </w:p>
    <w:p>
      <w:pPr>
        <w:spacing w:beforeLines="50" w:line="360" w:lineRule="auto"/>
        <w:rPr>
          <w:rFonts w:cs="宋体"/>
          <w:b/>
          <w:color w:val="auto"/>
          <w:sz w:val="28"/>
          <w:szCs w:val="28"/>
          <w:highlight w:val="none"/>
        </w:rPr>
      </w:pPr>
      <w:r>
        <w:rPr>
          <w:b/>
          <w:color w:val="auto"/>
          <w:sz w:val="28"/>
          <w:szCs w:val="28"/>
          <w:highlight w:val="none"/>
        </w:rPr>
        <w:t>8</w:t>
      </w:r>
      <w:r>
        <w:rPr>
          <w:rFonts w:hint="eastAsia" w:cs="宋体"/>
          <w:b/>
          <w:color w:val="auto"/>
          <w:sz w:val="28"/>
          <w:szCs w:val="28"/>
          <w:highlight w:val="none"/>
        </w:rPr>
        <w:t>、资格审查需要的其他材料：</w:t>
      </w:r>
    </w:p>
    <w:p>
      <w:pPr>
        <w:spacing w:beforeLines="50" w:line="360" w:lineRule="auto"/>
        <w:rPr>
          <w:rFonts w:cs="宋体"/>
          <w:b/>
          <w:color w:val="auto"/>
          <w:sz w:val="28"/>
          <w:szCs w:val="28"/>
          <w:highlight w:val="none"/>
        </w:rPr>
      </w:pPr>
      <w:r>
        <w:rPr>
          <w:rFonts w:hint="eastAsia" w:cs="宋体"/>
          <w:b/>
          <w:color w:val="auto"/>
          <w:sz w:val="28"/>
          <w:szCs w:val="28"/>
          <w:highlight w:val="none"/>
        </w:rPr>
        <w:t>1)</w:t>
      </w:r>
      <w:r>
        <w:rPr>
          <w:rFonts w:hint="eastAsia" w:cs="宋体"/>
          <w:b/>
          <w:color w:val="auto"/>
          <w:sz w:val="28"/>
          <w:szCs w:val="28"/>
          <w:highlight w:val="none"/>
        </w:rPr>
        <w:tab/>
      </w:r>
      <w:r>
        <w:rPr>
          <w:rFonts w:hint="eastAsia" w:cs="宋体"/>
          <w:b/>
          <w:color w:val="auto"/>
          <w:sz w:val="28"/>
          <w:szCs w:val="28"/>
          <w:highlight w:val="none"/>
        </w:rPr>
        <w:t>商业信誉声明（见“投标函”）；</w:t>
      </w:r>
    </w:p>
    <w:p>
      <w:pPr>
        <w:spacing w:beforeLines="50" w:line="360" w:lineRule="auto"/>
        <w:rPr>
          <w:rFonts w:cs="宋体"/>
          <w:b/>
          <w:color w:val="auto"/>
          <w:sz w:val="28"/>
          <w:szCs w:val="28"/>
          <w:highlight w:val="none"/>
        </w:rPr>
      </w:pPr>
      <w:r>
        <w:rPr>
          <w:rFonts w:hint="eastAsia" w:cs="宋体"/>
          <w:b/>
          <w:color w:val="auto"/>
          <w:sz w:val="28"/>
          <w:szCs w:val="28"/>
          <w:highlight w:val="none"/>
        </w:rPr>
        <w:t>2)</w:t>
      </w:r>
      <w:r>
        <w:rPr>
          <w:rFonts w:hint="eastAsia" w:cs="宋体"/>
          <w:b/>
          <w:color w:val="auto"/>
          <w:sz w:val="28"/>
          <w:szCs w:val="28"/>
          <w:highlight w:val="none"/>
        </w:rPr>
        <w:tab/>
      </w:r>
      <w:r>
        <w:rPr>
          <w:rFonts w:hint="eastAsia" w:cs="宋体"/>
          <w:b/>
          <w:color w:val="auto"/>
          <w:sz w:val="28"/>
          <w:szCs w:val="28"/>
          <w:highlight w:val="none"/>
        </w:rPr>
        <w:t>企业财务状况表（附经审计的财务报表）（年份要求见“投标人须知前附表”10.1.4）；</w:t>
      </w:r>
    </w:p>
    <w:p>
      <w:pPr>
        <w:spacing w:beforeLines="50" w:line="360" w:lineRule="auto"/>
        <w:rPr>
          <w:rFonts w:cs="宋体"/>
          <w:b/>
          <w:color w:val="auto"/>
          <w:sz w:val="28"/>
          <w:szCs w:val="28"/>
          <w:highlight w:val="none"/>
        </w:rPr>
      </w:pPr>
      <w:r>
        <w:rPr>
          <w:rFonts w:hint="eastAsia" w:cs="宋体"/>
          <w:b/>
          <w:color w:val="auto"/>
          <w:sz w:val="28"/>
          <w:szCs w:val="28"/>
          <w:highlight w:val="none"/>
        </w:rPr>
        <w:t>3)</w:t>
      </w:r>
      <w:r>
        <w:rPr>
          <w:rFonts w:hint="eastAsia" w:cs="宋体"/>
          <w:b/>
          <w:color w:val="auto"/>
          <w:sz w:val="28"/>
          <w:szCs w:val="28"/>
          <w:highlight w:val="none"/>
        </w:rPr>
        <w:tab/>
      </w:r>
      <w:r>
        <w:rPr>
          <w:rFonts w:hint="eastAsia" w:cs="宋体"/>
          <w:b/>
          <w:color w:val="auto"/>
          <w:sz w:val="28"/>
          <w:szCs w:val="28"/>
          <w:highlight w:val="none"/>
        </w:rPr>
        <w:t>依法缴纳税收记录（附近3个月（2021年7月至2021年9月）依法缴纳税费证明和社保缴费证明记录的复印件）；</w:t>
      </w:r>
    </w:p>
    <w:p>
      <w:pPr>
        <w:spacing w:beforeLines="50" w:line="360" w:lineRule="auto"/>
        <w:rPr>
          <w:rFonts w:cs="宋体"/>
          <w:b/>
          <w:color w:val="auto"/>
          <w:sz w:val="28"/>
          <w:szCs w:val="28"/>
          <w:highlight w:val="none"/>
        </w:rPr>
      </w:pPr>
      <w:r>
        <w:rPr>
          <w:rFonts w:hint="eastAsia" w:cs="宋体"/>
          <w:b/>
          <w:color w:val="auto"/>
          <w:sz w:val="28"/>
          <w:szCs w:val="28"/>
          <w:highlight w:val="none"/>
        </w:rPr>
        <w:t>4)</w:t>
      </w:r>
      <w:r>
        <w:rPr>
          <w:rFonts w:hint="eastAsia" w:cs="宋体"/>
          <w:b/>
          <w:color w:val="auto"/>
          <w:sz w:val="28"/>
          <w:szCs w:val="28"/>
          <w:highlight w:val="none"/>
        </w:rPr>
        <w:tab/>
      </w:r>
      <w:r>
        <w:rPr>
          <w:rFonts w:hint="eastAsia" w:cs="宋体"/>
          <w:b/>
          <w:color w:val="auto"/>
          <w:sz w:val="28"/>
          <w:szCs w:val="28"/>
          <w:highlight w:val="none"/>
        </w:rPr>
        <w:t>参加政府采购活动前三年内，在经营活动中没有重大违法记录及不良信用记录（见“投标函”）；</w:t>
      </w:r>
    </w:p>
    <w:p>
      <w:pPr>
        <w:spacing w:beforeLines="50" w:line="360" w:lineRule="auto"/>
        <w:rPr>
          <w:rFonts w:cs="宋体"/>
          <w:b/>
          <w:color w:val="auto"/>
          <w:sz w:val="28"/>
          <w:szCs w:val="28"/>
          <w:highlight w:val="none"/>
        </w:rPr>
      </w:pPr>
      <w:r>
        <w:rPr>
          <w:rFonts w:hint="eastAsia" w:cs="宋体"/>
          <w:b/>
          <w:color w:val="auto"/>
          <w:sz w:val="28"/>
          <w:szCs w:val="28"/>
          <w:highlight w:val="none"/>
        </w:rPr>
        <w:t>5)</w:t>
      </w:r>
      <w:r>
        <w:rPr>
          <w:rFonts w:hint="eastAsia" w:cs="宋体"/>
          <w:b/>
          <w:color w:val="auto"/>
          <w:sz w:val="28"/>
          <w:szCs w:val="28"/>
          <w:highlight w:val="none"/>
        </w:rPr>
        <w:tab/>
      </w:r>
      <w:r>
        <w:rPr>
          <w:rFonts w:hint="eastAsia" w:cs="宋体"/>
          <w:b/>
          <w:color w:val="auto"/>
          <w:sz w:val="28"/>
          <w:szCs w:val="28"/>
          <w:highlight w:val="none"/>
        </w:rPr>
        <w:t>诚信情况（附中国政府采购网 “政府采购严重违法失信行为记录名单”，信用中国网：“失信被执行人”、“重大税收违法案件当事人名单”的信息查询记录；</w:t>
      </w:r>
    </w:p>
    <w:p>
      <w:pPr>
        <w:spacing w:beforeLines="50" w:line="360" w:lineRule="auto"/>
        <w:rPr>
          <w:b/>
          <w:color w:val="auto"/>
          <w:sz w:val="28"/>
          <w:szCs w:val="28"/>
          <w:highlight w:val="none"/>
        </w:rPr>
      </w:pPr>
      <w:r>
        <w:rPr>
          <w:rFonts w:hint="eastAsia" w:cs="宋体"/>
          <w:b/>
          <w:color w:val="auto"/>
          <w:sz w:val="28"/>
          <w:szCs w:val="28"/>
          <w:highlight w:val="none"/>
        </w:rPr>
        <w:t>6)</w:t>
      </w:r>
      <w:r>
        <w:rPr>
          <w:rFonts w:hint="eastAsia" w:cs="宋体"/>
          <w:b/>
          <w:color w:val="auto"/>
          <w:sz w:val="28"/>
          <w:szCs w:val="28"/>
          <w:highlight w:val="none"/>
        </w:rPr>
        <w:tab/>
      </w:r>
      <w:r>
        <w:rPr>
          <w:rFonts w:hint="eastAsia" w:cs="宋体"/>
          <w:b/>
          <w:color w:val="auto"/>
          <w:sz w:val="28"/>
          <w:szCs w:val="28"/>
          <w:highlight w:val="none"/>
        </w:rPr>
        <w:t>项目管理机构配备情况表、拟投入施工机械设备情况表、企业类似项目一览表（如有）、企业诚信情况一览表（如有）等。（年份要求见“投标人须知前附表”10.1.4）</w:t>
      </w:r>
    </w:p>
    <w:p>
      <w:pPr>
        <w:spacing w:beforeLines="50" w:afterLines="100" w:line="440" w:lineRule="exact"/>
        <w:rPr>
          <w:b/>
          <w:color w:val="auto"/>
          <w:sz w:val="28"/>
          <w:szCs w:val="28"/>
          <w:highlight w:val="none"/>
        </w:rPr>
      </w:pPr>
      <w:r>
        <w:rPr>
          <w:color w:val="auto"/>
          <w:highlight w:val="none"/>
        </w:rPr>
        <w:br w:type="page"/>
      </w:r>
      <w:r>
        <w:rPr>
          <w:rFonts w:hint="eastAsia" w:cs="宋体"/>
          <w:b/>
          <w:color w:val="auto"/>
          <w:sz w:val="28"/>
          <w:szCs w:val="28"/>
          <w:highlight w:val="none"/>
        </w:rPr>
        <w:t>附表：</w:t>
      </w:r>
    </w:p>
    <w:p>
      <w:pPr>
        <w:tabs>
          <w:tab w:val="left" w:pos="826"/>
        </w:tabs>
        <w:snapToGrid w:val="0"/>
        <w:ind w:firstLine="482" w:firstLineChars="200"/>
        <w:rPr>
          <w:b/>
          <w:color w:val="auto"/>
          <w:sz w:val="24"/>
          <w:szCs w:val="24"/>
          <w:highlight w:val="none"/>
        </w:rPr>
      </w:pPr>
      <w:r>
        <w:rPr>
          <w:rFonts w:hint="eastAsia" w:cs="宋体"/>
          <w:b/>
          <w:color w:val="auto"/>
          <w:sz w:val="24"/>
          <w:szCs w:val="24"/>
          <w:highlight w:val="none"/>
        </w:rPr>
        <w:t>（</w:t>
      </w:r>
      <w:r>
        <w:rPr>
          <w:b/>
          <w:color w:val="auto"/>
          <w:sz w:val="24"/>
          <w:szCs w:val="24"/>
          <w:highlight w:val="none"/>
        </w:rPr>
        <w:t>1</w:t>
      </w:r>
      <w:r>
        <w:rPr>
          <w:rFonts w:hint="eastAsia" w:cs="宋体"/>
          <w:b/>
          <w:color w:val="auto"/>
          <w:sz w:val="24"/>
          <w:szCs w:val="24"/>
          <w:highlight w:val="none"/>
        </w:rPr>
        <w:t>）项目管理机构配备情况表</w:t>
      </w:r>
    </w:p>
    <w:p>
      <w:pPr>
        <w:tabs>
          <w:tab w:val="left" w:pos="826"/>
        </w:tabs>
        <w:snapToGrid w:val="0"/>
        <w:ind w:firstLine="482" w:firstLineChars="200"/>
        <w:rPr>
          <w:b/>
          <w:color w:val="auto"/>
          <w:sz w:val="24"/>
          <w:szCs w:val="24"/>
          <w:highlight w:val="none"/>
        </w:rPr>
      </w:pPr>
    </w:p>
    <w:p>
      <w:pPr>
        <w:pStyle w:val="146"/>
        <w:rPr>
          <w:color w:val="auto"/>
          <w:highlight w:val="none"/>
        </w:rPr>
      </w:pPr>
      <w:r>
        <w:rPr>
          <w:color w:val="auto"/>
          <w:highlight w:val="none"/>
          <w:u w:val="single"/>
        </w:rPr>
        <w:t xml:space="preserve">            </w:t>
      </w:r>
      <w:r>
        <w:rPr>
          <w:rFonts w:hint="eastAsia" w:cs="宋体"/>
          <w:color w:val="auto"/>
          <w:highlight w:val="none"/>
          <w:u w:val="single"/>
        </w:rPr>
        <w:t>（招标工程项目名称）</w:t>
      </w:r>
      <w:r>
        <w:rPr>
          <w:color w:val="auto"/>
          <w:highlight w:val="none"/>
          <w:u w:val="single"/>
        </w:rPr>
        <w:t xml:space="preserve">        </w:t>
      </w:r>
      <w:r>
        <w:rPr>
          <w:color w:val="auto"/>
          <w:highlight w:val="none"/>
        </w:rPr>
        <w:t xml:space="preserve"> </w:t>
      </w:r>
      <w:r>
        <w:rPr>
          <w:rFonts w:hint="eastAsia" w:cs="宋体"/>
          <w:color w:val="auto"/>
          <w:highlight w:val="none"/>
        </w:rPr>
        <w:t>工程</w:t>
      </w:r>
    </w:p>
    <w:tbl>
      <w:tblPr>
        <w:tblStyle w:val="42"/>
        <w:tblW w:w="97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829"/>
        <w:gridCol w:w="816"/>
        <w:gridCol w:w="1148"/>
        <w:gridCol w:w="1148"/>
        <w:gridCol w:w="1148"/>
        <w:gridCol w:w="1148"/>
        <w:gridCol w:w="850"/>
        <w:gridCol w:w="1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7" w:hRule="atLeast"/>
          <w:jc w:val="center"/>
        </w:trPr>
        <w:tc>
          <w:tcPr>
            <w:tcW w:w="993" w:type="dxa"/>
            <w:vMerge w:val="restart"/>
            <w:shd w:val="clear" w:color="auto" w:fill="auto"/>
            <w:vAlign w:val="center"/>
          </w:tcPr>
          <w:p>
            <w:pPr>
              <w:ind w:left="223" w:hanging="222" w:hangingChars="106"/>
              <w:jc w:val="center"/>
              <w:rPr>
                <w:color w:val="auto"/>
                <w:highlight w:val="none"/>
              </w:rPr>
            </w:pPr>
            <w:r>
              <w:rPr>
                <w:rFonts w:hint="eastAsia" w:cs="宋体"/>
                <w:color w:val="auto"/>
                <w:highlight w:val="none"/>
              </w:rPr>
              <w:t>岗位</w:t>
            </w:r>
          </w:p>
        </w:tc>
        <w:tc>
          <w:tcPr>
            <w:tcW w:w="829" w:type="dxa"/>
            <w:vMerge w:val="restart"/>
            <w:shd w:val="clear" w:color="auto" w:fill="auto"/>
            <w:vAlign w:val="center"/>
          </w:tcPr>
          <w:p>
            <w:pPr>
              <w:ind w:left="223" w:hanging="222" w:hangingChars="106"/>
              <w:jc w:val="center"/>
              <w:rPr>
                <w:color w:val="auto"/>
                <w:highlight w:val="none"/>
              </w:rPr>
            </w:pPr>
            <w:r>
              <w:rPr>
                <w:rFonts w:hint="eastAsia" w:cs="宋体"/>
                <w:color w:val="auto"/>
                <w:highlight w:val="none"/>
              </w:rPr>
              <w:t>姓名</w:t>
            </w:r>
          </w:p>
        </w:tc>
        <w:tc>
          <w:tcPr>
            <w:tcW w:w="816" w:type="dxa"/>
            <w:vMerge w:val="restart"/>
            <w:shd w:val="clear" w:color="auto" w:fill="auto"/>
            <w:vAlign w:val="center"/>
          </w:tcPr>
          <w:p>
            <w:pPr>
              <w:ind w:left="223" w:hanging="222" w:hangingChars="106"/>
              <w:jc w:val="center"/>
              <w:rPr>
                <w:color w:val="auto"/>
                <w:highlight w:val="none"/>
              </w:rPr>
            </w:pPr>
            <w:r>
              <w:rPr>
                <w:rFonts w:hint="eastAsia" w:cs="宋体"/>
                <w:color w:val="auto"/>
                <w:highlight w:val="none"/>
              </w:rPr>
              <w:t>职称</w:t>
            </w:r>
          </w:p>
        </w:tc>
        <w:tc>
          <w:tcPr>
            <w:tcW w:w="4592" w:type="dxa"/>
            <w:gridSpan w:val="4"/>
            <w:shd w:val="clear" w:color="auto" w:fill="auto"/>
            <w:vAlign w:val="center"/>
          </w:tcPr>
          <w:p>
            <w:pPr>
              <w:ind w:left="223" w:hanging="222" w:hangingChars="106"/>
              <w:jc w:val="center"/>
              <w:rPr>
                <w:color w:val="auto"/>
                <w:highlight w:val="none"/>
              </w:rPr>
            </w:pPr>
            <w:r>
              <w:rPr>
                <w:rFonts w:hint="eastAsia" w:cs="宋体"/>
                <w:color w:val="auto"/>
                <w:highlight w:val="none"/>
              </w:rPr>
              <w:t>执业或职业资格证明</w:t>
            </w:r>
          </w:p>
        </w:tc>
        <w:tc>
          <w:tcPr>
            <w:tcW w:w="2529" w:type="dxa"/>
            <w:gridSpan w:val="2"/>
            <w:shd w:val="clear" w:color="auto" w:fill="auto"/>
            <w:vAlign w:val="center"/>
          </w:tcPr>
          <w:p>
            <w:pPr>
              <w:ind w:left="223" w:hanging="222" w:hangingChars="106"/>
              <w:jc w:val="center"/>
              <w:rPr>
                <w:color w:val="auto"/>
                <w:highlight w:val="none"/>
              </w:rPr>
            </w:pPr>
            <w:r>
              <w:rPr>
                <w:rFonts w:hint="eastAsia" w:cs="宋体"/>
                <w:color w:val="auto"/>
                <w:highlight w:val="none"/>
              </w:rPr>
              <w:t>承担完工工程情况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4" w:hRule="atLeast"/>
          <w:jc w:val="center"/>
        </w:trPr>
        <w:tc>
          <w:tcPr>
            <w:tcW w:w="993" w:type="dxa"/>
            <w:vMerge w:val="continue"/>
            <w:shd w:val="clear" w:color="auto" w:fill="auto"/>
            <w:vAlign w:val="center"/>
          </w:tcPr>
          <w:p>
            <w:pPr>
              <w:ind w:left="223" w:hanging="222" w:hangingChars="106"/>
              <w:jc w:val="center"/>
              <w:rPr>
                <w:color w:val="auto"/>
                <w:highlight w:val="none"/>
              </w:rPr>
            </w:pPr>
          </w:p>
        </w:tc>
        <w:tc>
          <w:tcPr>
            <w:tcW w:w="829" w:type="dxa"/>
            <w:vMerge w:val="continue"/>
            <w:shd w:val="clear" w:color="auto" w:fill="auto"/>
            <w:vAlign w:val="center"/>
          </w:tcPr>
          <w:p>
            <w:pPr>
              <w:ind w:left="223" w:hanging="222" w:hangingChars="106"/>
              <w:jc w:val="center"/>
              <w:rPr>
                <w:color w:val="auto"/>
                <w:highlight w:val="none"/>
              </w:rPr>
            </w:pPr>
          </w:p>
        </w:tc>
        <w:tc>
          <w:tcPr>
            <w:tcW w:w="816" w:type="dxa"/>
            <w:vMerge w:val="continue"/>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r>
              <w:rPr>
                <w:rFonts w:hint="eastAsia" w:cs="宋体"/>
                <w:color w:val="auto"/>
                <w:highlight w:val="none"/>
              </w:rPr>
              <w:t>证书名称</w:t>
            </w:r>
          </w:p>
        </w:tc>
        <w:tc>
          <w:tcPr>
            <w:tcW w:w="1148" w:type="dxa"/>
            <w:shd w:val="clear" w:color="auto" w:fill="auto"/>
            <w:vAlign w:val="center"/>
          </w:tcPr>
          <w:p>
            <w:pPr>
              <w:ind w:left="223" w:hanging="222" w:hangingChars="106"/>
              <w:jc w:val="center"/>
              <w:rPr>
                <w:color w:val="auto"/>
                <w:highlight w:val="none"/>
              </w:rPr>
            </w:pPr>
            <w:r>
              <w:rPr>
                <w:rFonts w:hint="eastAsia" w:cs="宋体"/>
                <w:color w:val="auto"/>
                <w:highlight w:val="none"/>
              </w:rPr>
              <w:t>级别</w:t>
            </w:r>
          </w:p>
        </w:tc>
        <w:tc>
          <w:tcPr>
            <w:tcW w:w="1148" w:type="dxa"/>
            <w:shd w:val="clear" w:color="auto" w:fill="auto"/>
            <w:vAlign w:val="center"/>
          </w:tcPr>
          <w:p>
            <w:pPr>
              <w:ind w:left="223" w:hanging="222" w:hangingChars="106"/>
              <w:jc w:val="center"/>
              <w:rPr>
                <w:color w:val="auto"/>
                <w:highlight w:val="none"/>
              </w:rPr>
            </w:pPr>
            <w:r>
              <w:rPr>
                <w:rFonts w:hint="eastAsia" w:cs="宋体"/>
                <w:color w:val="auto"/>
                <w:highlight w:val="none"/>
              </w:rPr>
              <w:t>证号</w:t>
            </w:r>
          </w:p>
        </w:tc>
        <w:tc>
          <w:tcPr>
            <w:tcW w:w="1148" w:type="dxa"/>
            <w:shd w:val="clear" w:color="auto" w:fill="auto"/>
            <w:vAlign w:val="center"/>
          </w:tcPr>
          <w:p>
            <w:pPr>
              <w:ind w:left="223" w:hanging="222" w:hangingChars="106"/>
              <w:jc w:val="center"/>
              <w:rPr>
                <w:color w:val="auto"/>
                <w:highlight w:val="none"/>
              </w:rPr>
            </w:pPr>
            <w:r>
              <w:rPr>
                <w:rFonts w:hint="eastAsia" w:cs="宋体"/>
                <w:color w:val="auto"/>
                <w:highlight w:val="none"/>
              </w:rPr>
              <w:t>专业</w:t>
            </w:r>
          </w:p>
        </w:tc>
        <w:tc>
          <w:tcPr>
            <w:tcW w:w="850" w:type="dxa"/>
            <w:shd w:val="clear" w:color="auto" w:fill="auto"/>
            <w:vAlign w:val="center"/>
          </w:tcPr>
          <w:p>
            <w:pPr>
              <w:ind w:left="223" w:hanging="222" w:hangingChars="106"/>
              <w:jc w:val="center"/>
              <w:rPr>
                <w:color w:val="auto"/>
                <w:highlight w:val="none"/>
              </w:rPr>
            </w:pPr>
            <w:r>
              <w:rPr>
                <w:rFonts w:hint="eastAsia" w:cs="宋体"/>
                <w:color w:val="auto"/>
                <w:highlight w:val="none"/>
              </w:rPr>
              <w:t>项目数</w:t>
            </w:r>
          </w:p>
        </w:tc>
        <w:tc>
          <w:tcPr>
            <w:tcW w:w="1679" w:type="dxa"/>
            <w:shd w:val="clear" w:color="auto" w:fill="auto"/>
            <w:vAlign w:val="center"/>
          </w:tcPr>
          <w:p>
            <w:pPr>
              <w:ind w:left="223" w:hanging="222" w:hangingChars="106"/>
              <w:jc w:val="center"/>
              <w:rPr>
                <w:color w:val="auto"/>
                <w:highlight w:val="none"/>
              </w:rPr>
            </w:pPr>
            <w:r>
              <w:rPr>
                <w:rFonts w:hint="eastAsia" w:cs="宋体"/>
                <w:color w:val="auto"/>
                <w:highlight w:val="none"/>
              </w:rPr>
              <w:t>主要项目</w:t>
            </w:r>
          </w:p>
          <w:p>
            <w:pPr>
              <w:ind w:left="223" w:hanging="222" w:hangingChars="106"/>
              <w:jc w:val="center"/>
              <w:rPr>
                <w:color w:val="auto"/>
                <w:highlight w:val="none"/>
              </w:rPr>
            </w:pPr>
            <w:r>
              <w:rPr>
                <w:rFonts w:hint="eastAsia" w:cs="宋体"/>
                <w:color w:val="auto"/>
                <w:highlight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993" w:type="dxa"/>
            <w:shd w:val="clear" w:color="auto" w:fill="auto"/>
            <w:vAlign w:val="center"/>
          </w:tcPr>
          <w:p>
            <w:pPr>
              <w:ind w:left="223" w:hanging="222" w:hangingChars="106"/>
              <w:jc w:val="center"/>
              <w:rPr>
                <w:color w:val="auto"/>
                <w:highlight w:val="none"/>
              </w:rPr>
            </w:pPr>
          </w:p>
        </w:tc>
        <w:tc>
          <w:tcPr>
            <w:tcW w:w="829" w:type="dxa"/>
            <w:shd w:val="clear" w:color="auto" w:fill="auto"/>
            <w:vAlign w:val="center"/>
          </w:tcPr>
          <w:p>
            <w:pPr>
              <w:ind w:left="223" w:hanging="222" w:hangingChars="106"/>
              <w:jc w:val="center"/>
              <w:rPr>
                <w:color w:val="auto"/>
                <w:highlight w:val="none"/>
              </w:rPr>
            </w:pPr>
          </w:p>
        </w:tc>
        <w:tc>
          <w:tcPr>
            <w:tcW w:w="816"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850" w:type="dxa"/>
            <w:shd w:val="clear" w:color="auto" w:fill="auto"/>
            <w:vAlign w:val="center"/>
          </w:tcPr>
          <w:p>
            <w:pPr>
              <w:ind w:left="223" w:hanging="222" w:hangingChars="106"/>
              <w:jc w:val="center"/>
              <w:rPr>
                <w:color w:val="auto"/>
                <w:highlight w:val="none"/>
              </w:rPr>
            </w:pPr>
          </w:p>
        </w:tc>
        <w:tc>
          <w:tcPr>
            <w:tcW w:w="1679" w:type="dxa"/>
            <w:shd w:val="clear" w:color="auto" w:fill="auto"/>
            <w:vAlign w:val="center"/>
          </w:tcPr>
          <w:p>
            <w:pPr>
              <w:ind w:left="223" w:hanging="222" w:hangingChars="106"/>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993" w:type="dxa"/>
            <w:shd w:val="clear" w:color="auto" w:fill="auto"/>
            <w:vAlign w:val="center"/>
          </w:tcPr>
          <w:p>
            <w:pPr>
              <w:ind w:left="223" w:hanging="222" w:hangingChars="106"/>
              <w:jc w:val="center"/>
              <w:rPr>
                <w:color w:val="auto"/>
                <w:highlight w:val="none"/>
              </w:rPr>
            </w:pPr>
          </w:p>
        </w:tc>
        <w:tc>
          <w:tcPr>
            <w:tcW w:w="829" w:type="dxa"/>
            <w:shd w:val="clear" w:color="auto" w:fill="auto"/>
            <w:vAlign w:val="center"/>
          </w:tcPr>
          <w:p>
            <w:pPr>
              <w:ind w:left="223" w:hanging="222" w:hangingChars="106"/>
              <w:jc w:val="center"/>
              <w:rPr>
                <w:color w:val="auto"/>
                <w:highlight w:val="none"/>
              </w:rPr>
            </w:pPr>
          </w:p>
        </w:tc>
        <w:tc>
          <w:tcPr>
            <w:tcW w:w="816"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850" w:type="dxa"/>
            <w:shd w:val="clear" w:color="auto" w:fill="auto"/>
            <w:vAlign w:val="center"/>
          </w:tcPr>
          <w:p>
            <w:pPr>
              <w:ind w:left="223" w:hanging="222" w:hangingChars="106"/>
              <w:jc w:val="center"/>
              <w:rPr>
                <w:color w:val="auto"/>
                <w:highlight w:val="none"/>
              </w:rPr>
            </w:pPr>
          </w:p>
        </w:tc>
        <w:tc>
          <w:tcPr>
            <w:tcW w:w="1679" w:type="dxa"/>
            <w:shd w:val="clear" w:color="auto" w:fill="auto"/>
            <w:vAlign w:val="center"/>
          </w:tcPr>
          <w:p>
            <w:pPr>
              <w:ind w:left="223" w:hanging="222" w:hangingChars="106"/>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993" w:type="dxa"/>
            <w:shd w:val="clear" w:color="auto" w:fill="auto"/>
            <w:vAlign w:val="center"/>
          </w:tcPr>
          <w:p>
            <w:pPr>
              <w:ind w:left="223" w:hanging="222" w:hangingChars="106"/>
              <w:jc w:val="center"/>
              <w:rPr>
                <w:color w:val="auto"/>
                <w:highlight w:val="none"/>
              </w:rPr>
            </w:pPr>
          </w:p>
        </w:tc>
        <w:tc>
          <w:tcPr>
            <w:tcW w:w="829" w:type="dxa"/>
            <w:shd w:val="clear" w:color="auto" w:fill="auto"/>
            <w:vAlign w:val="center"/>
          </w:tcPr>
          <w:p>
            <w:pPr>
              <w:ind w:left="223" w:hanging="222" w:hangingChars="106"/>
              <w:jc w:val="center"/>
              <w:rPr>
                <w:color w:val="auto"/>
                <w:highlight w:val="none"/>
              </w:rPr>
            </w:pPr>
          </w:p>
        </w:tc>
        <w:tc>
          <w:tcPr>
            <w:tcW w:w="816"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850" w:type="dxa"/>
            <w:shd w:val="clear" w:color="auto" w:fill="auto"/>
            <w:vAlign w:val="center"/>
          </w:tcPr>
          <w:p>
            <w:pPr>
              <w:ind w:left="223" w:hanging="222" w:hangingChars="106"/>
              <w:jc w:val="center"/>
              <w:rPr>
                <w:color w:val="auto"/>
                <w:highlight w:val="none"/>
              </w:rPr>
            </w:pPr>
          </w:p>
        </w:tc>
        <w:tc>
          <w:tcPr>
            <w:tcW w:w="1679" w:type="dxa"/>
            <w:shd w:val="clear" w:color="auto" w:fill="auto"/>
            <w:vAlign w:val="center"/>
          </w:tcPr>
          <w:p>
            <w:pPr>
              <w:ind w:left="223" w:hanging="222" w:hangingChars="106"/>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993" w:type="dxa"/>
            <w:shd w:val="clear" w:color="auto" w:fill="auto"/>
            <w:vAlign w:val="center"/>
          </w:tcPr>
          <w:p>
            <w:pPr>
              <w:ind w:left="223" w:hanging="222" w:hangingChars="106"/>
              <w:jc w:val="center"/>
              <w:rPr>
                <w:color w:val="auto"/>
                <w:highlight w:val="none"/>
              </w:rPr>
            </w:pPr>
          </w:p>
        </w:tc>
        <w:tc>
          <w:tcPr>
            <w:tcW w:w="829" w:type="dxa"/>
            <w:shd w:val="clear" w:color="auto" w:fill="auto"/>
            <w:vAlign w:val="center"/>
          </w:tcPr>
          <w:p>
            <w:pPr>
              <w:ind w:left="223" w:hanging="222" w:hangingChars="106"/>
              <w:jc w:val="center"/>
              <w:rPr>
                <w:color w:val="auto"/>
                <w:highlight w:val="none"/>
              </w:rPr>
            </w:pPr>
          </w:p>
        </w:tc>
        <w:tc>
          <w:tcPr>
            <w:tcW w:w="816"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850" w:type="dxa"/>
            <w:shd w:val="clear" w:color="auto" w:fill="auto"/>
            <w:vAlign w:val="center"/>
          </w:tcPr>
          <w:p>
            <w:pPr>
              <w:ind w:left="223" w:hanging="222" w:hangingChars="106"/>
              <w:jc w:val="center"/>
              <w:rPr>
                <w:color w:val="auto"/>
                <w:highlight w:val="none"/>
              </w:rPr>
            </w:pPr>
          </w:p>
        </w:tc>
        <w:tc>
          <w:tcPr>
            <w:tcW w:w="1679" w:type="dxa"/>
            <w:shd w:val="clear" w:color="auto" w:fill="auto"/>
            <w:vAlign w:val="center"/>
          </w:tcPr>
          <w:p>
            <w:pPr>
              <w:ind w:left="223" w:hanging="222" w:hangingChars="106"/>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993" w:type="dxa"/>
            <w:shd w:val="clear" w:color="auto" w:fill="auto"/>
            <w:vAlign w:val="center"/>
          </w:tcPr>
          <w:p>
            <w:pPr>
              <w:ind w:left="223" w:hanging="222" w:hangingChars="106"/>
              <w:jc w:val="center"/>
              <w:rPr>
                <w:color w:val="auto"/>
                <w:highlight w:val="none"/>
              </w:rPr>
            </w:pPr>
          </w:p>
        </w:tc>
        <w:tc>
          <w:tcPr>
            <w:tcW w:w="829" w:type="dxa"/>
            <w:shd w:val="clear" w:color="auto" w:fill="auto"/>
            <w:vAlign w:val="center"/>
          </w:tcPr>
          <w:p>
            <w:pPr>
              <w:ind w:left="223" w:hanging="222" w:hangingChars="106"/>
              <w:jc w:val="center"/>
              <w:rPr>
                <w:color w:val="auto"/>
                <w:highlight w:val="none"/>
              </w:rPr>
            </w:pPr>
          </w:p>
        </w:tc>
        <w:tc>
          <w:tcPr>
            <w:tcW w:w="816"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850" w:type="dxa"/>
            <w:shd w:val="clear" w:color="auto" w:fill="auto"/>
            <w:vAlign w:val="center"/>
          </w:tcPr>
          <w:p>
            <w:pPr>
              <w:ind w:left="223" w:hanging="222" w:hangingChars="106"/>
              <w:jc w:val="center"/>
              <w:rPr>
                <w:color w:val="auto"/>
                <w:highlight w:val="none"/>
              </w:rPr>
            </w:pPr>
          </w:p>
        </w:tc>
        <w:tc>
          <w:tcPr>
            <w:tcW w:w="1679" w:type="dxa"/>
            <w:shd w:val="clear" w:color="auto" w:fill="auto"/>
            <w:vAlign w:val="center"/>
          </w:tcPr>
          <w:p>
            <w:pPr>
              <w:ind w:left="223" w:hanging="222" w:hangingChars="106"/>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993" w:type="dxa"/>
            <w:shd w:val="clear" w:color="auto" w:fill="auto"/>
            <w:vAlign w:val="center"/>
          </w:tcPr>
          <w:p>
            <w:pPr>
              <w:ind w:left="223" w:hanging="222" w:hangingChars="106"/>
              <w:jc w:val="center"/>
              <w:rPr>
                <w:color w:val="auto"/>
                <w:highlight w:val="none"/>
              </w:rPr>
            </w:pPr>
          </w:p>
        </w:tc>
        <w:tc>
          <w:tcPr>
            <w:tcW w:w="829" w:type="dxa"/>
            <w:shd w:val="clear" w:color="auto" w:fill="auto"/>
            <w:vAlign w:val="center"/>
          </w:tcPr>
          <w:p>
            <w:pPr>
              <w:ind w:left="223" w:hanging="222" w:hangingChars="106"/>
              <w:jc w:val="center"/>
              <w:rPr>
                <w:color w:val="auto"/>
                <w:highlight w:val="none"/>
              </w:rPr>
            </w:pPr>
          </w:p>
        </w:tc>
        <w:tc>
          <w:tcPr>
            <w:tcW w:w="816"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850" w:type="dxa"/>
            <w:shd w:val="clear" w:color="auto" w:fill="auto"/>
            <w:vAlign w:val="center"/>
          </w:tcPr>
          <w:p>
            <w:pPr>
              <w:ind w:left="223" w:hanging="222" w:hangingChars="106"/>
              <w:jc w:val="center"/>
              <w:rPr>
                <w:color w:val="auto"/>
                <w:highlight w:val="none"/>
              </w:rPr>
            </w:pPr>
          </w:p>
        </w:tc>
        <w:tc>
          <w:tcPr>
            <w:tcW w:w="1679" w:type="dxa"/>
            <w:shd w:val="clear" w:color="auto" w:fill="auto"/>
            <w:vAlign w:val="center"/>
          </w:tcPr>
          <w:p>
            <w:pPr>
              <w:ind w:left="223" w:hanging="222" w:hangingChars="106"/>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993" w:type="dxa"/>
            <w:shd w:val="clear" w:color="auto" w:fill="auto"/>
            <w:vAlign w:val="center"/>
          </w:tcPr>
          <w:p>
            <w:pPr>
              <w:ind w:left="223" w:hanging="222" w:hangingChars="106"/>
              <w:jc w:val="center"/>
              <w:rPr>
                <w:color w:val="auto"/>
                <w:highlight w:val="none"/>
              </w:rPr>
            </w:pPr>
          </w:p>
        </w:tc>
        <w:tc>
          <w:tcPr>
            <w:tcW w:w="829" w:type="dxa"/>
            <w:shd w:val="clear" w:color="auto" w:fill="auto"/>
            <w:vAlign w:val="center"/>
          </w:tcPr>
          <w:p>
            <w:pPr>
              <w:ind w:left="223" w:hanging="222" w:hangingChars="106"/>
              <w:jc w:val="center"/>
              <w:rPr>
                <w:color w:val="auto"/>
                <w:highlight w:val="none"/>
              </w:rPr>
            </w:pPr>
          </w:p>
        </w:tc>
        <w:tc>
          <w:tcPr>
            <w:tcW w:w="816"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850" w:type="dxa"/>
            <w:shd w:val="clear" w:color="auto" w:fill="auto"/>
            <w:vAlign w:val="center"/>
          </w:tcPr>
          <w:p>
            <w:pPr>
              <w:ind w:left="223" w:hanging="222" w:hangingChars="106"/>
              <w:jc w:val="center"/>
              <w:rPr>
                <w:color w:val="auto"/>
                <w:highlight w:val="none"/>
              </w:rPr>
            </w:pPr>
          </w:p>
        </w:tc>
        <w:tc>
          <w:tcPr>
            <w:tcW w:w="1679" w:type="dxa"/>
            <w:shd w:val="clear" w:color="auto" w:fill="auto"/>
            <w:vAlign w:val="center"/>
          </w:tcPr>
          <w:p>
            <w:pPr>
              <w:ind w:left="223" w:hanging="222" w:hangingChars="106"/>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993" w:type="dxa"/>
            <w:shd w:val="clear" w:color="auto" w:fill="auto"/>
            <w:vAlign w:val="center"/>
          </w:tcPr>
          <w:p>
            <w:pPr>
              <w:ind w:left="223" w:hanging="222" w:hangingChars="106"/>
              <w:jc w:val="center"/>
              <w:rPr>
                <w:color w:val="auto"/>
                <w:highlight w:val="none"/>
              </w:rPr>
            </w:pPr>
          </w:p>
        </w:tc>
        <w:tc>
          <w:tcPr>
            <w:tcW w:w="829" w:type="dxa"/>
            <w:shd w:val="clear" w:color="auto" w:fill="auto"/>
            <w:vAlign w:val="center"/>
          </w:tcPr>
          <w:p>
            <w:pPr>
              <w:ind w:left="223" w:hanging="222" w:hangingChars="106"/>
              <w:jc w:val="center"/>
              <w:rPr>
                <w:color w:val="auto"/>
                <w:highlight w:val="none"/>
              </w:rPr>
            </w:pPr>
          </w:p>
        </w:tc>
        <w:tc>
          <w:tcPr>
            <w:tcW w:w="816"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850" w:type="dxa"/>
            <w:shd w:val="clear" w:color="auto" w:fill="auto"/>
            <w:vAlign w:val="center"/>
          </w:tcPr>
          <w:p>
            <w:pPr>
              <w:ind w:left="223" w:hanging="222" w:hangingChars="106"/>
              <w:jc w:val="center"/>
              <w:rPr>
                <w:color w:val="auto"/>
                <w:highlight w:val="none"/>
              </w:rPr>
            </w:pPr>
          </w:p>
        </w:tc>
        <w:tc>
          <w:tcPr>
            <w:tcW w:w="1679" w:type="dxa"/>
            <w:shd w:val="clear" w:color="auto" w:fill="auto"/>
            <w:vAlign w:val="center"/>
          </w:tcPr>
          <w:p>
            <w:pPr>
              <w:ind w:left="223" w:hanging="222" w:hangingChars="106"/>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993" w:type="dxa"/>
            <w:shd w:val="clear" w:color="auto" w:fill="auto"/>
            <w:vAlign w:val="center"/>
          </w:tcPr>
          <w:p>
            <w:pPr>
              <w:ind w:left="223" w:hanging="222" w:hangingChars="106"/>
              <w:jc w:val="center"/>
              <w:rPr>
                <w:color w:val="auto"/>
                <w:highlight w:val="none"/>
              </w:rPr>
            </w:pPr>
          </w:p>
        </w:tc>
        <w:tc>
          <w:tcPr>
            <w:tcW w:w="829" w:type="dxa"/>
            <w:shd w:val="clear" w:color="auto" w:fill="auto"/>
            <w:vAlign w:val="center"/>
          </w:tcPr>
          <w:p>
            <w:pPr>
              <w:ind w:left="223" w:hanging="222" w:hangingChars="106"/>
              <w:jc w:val="center"/>
              <w:rPr>
                <w:color w:val="auto"/>
                <w:highlight w:val="none"/>
              </w:rPr>
            </w:pPr>
          </w:p>
        </w:tc>
        <w:tc>
          <w:tcPr>
            <w:tcW w:w="816"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850" w:type="dxa"/>
            <w:shd w:val="clear" w:color="auto" w:fill="auto"/>
            <w:vAlign w:val="center"/>
          </w:tcPr>
          <w:p>
            <w:pPr>
              <w:ind w:left="223" w:hanging="222" w:hangingChars="106"/>
              <w:jc w:val="center"/>
              <w:rPr>
                <w:color w:val="auto"/>
                <w:highlight w:val="none"/>
              </w:rPr>
            </w:pPr>
          </w:p>
        </w:tc>
        <w:tc>
          <w:tcPr>
            <w:tcW w:w="1679" w:type="dxa"/>
            <w:shd w:val="clear" w:color="auto" w:fill="auto"/>
            <w:vAlign w:val="center"/>
          </w:tcPr>
          <w:p>
            <w:pPr>
              <w:ind w:left="223" w:hanging="222" w:hangingChars="106"/>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79" w:hRule="atLeast"/>
          <w:jc w:val="center"/>
        </w:trPr>
        <w:tc>
          <w:tcPr>
            <w:tcW w:w="9759" w:type="dxa"/>
            <w:gridSpan w:val="9"/>
            <w:shd w:val="clear" w:color="auto" w:fill="auto"/>
          </w:tcPr>
          <w:p>
            <w:pPr>
              <w:spacing w:beforeLines="50" w:afterLines="50" w:line="360" w:lineRule="auto"/>
              <w:rPr>
                <w:color w:val="auto"/>
                <w:highlight w:val="none"/>
              </w:rPr>
            </w:pPr>
            <w:r>
              <w:rPr>
                <w:rFonts w:hint="eastAsia" w:cs="宋体"/>
                <w:color w:val="auto"/>
                <w:highlight w:val="none"/>
              </w:rPr>
              <w:t>一旦我单位中标，将实行项目经理负责制，我方保证并配备上述项目管理机构。上述填报内容真实，若不真实，愿按有关规定接受处理。项目管理班子机构设置、职责分工等情况另附资料说明。</w:t>
            </w:r>
          </w:p>
        </w:tc>
      </w:tr>
    </w:tbl>
    <w:p>
      <w:pPr>
        <w:tabs>
          <w:tab w:val="left" w:pos="0"/>
        </w:tabs>
        <w:spacing w:line="360" w:lineRule="auto"/>
        <w:ind w:right="-210"/>
        <w:rPr>
          <w:color w:val="auto"/>
          <w:highlight w:val="none"/>
        </w:rPr>
      </w:pPr>
    </w:p>
    <w:p>
      <w:pPr>
        <w:tabs>
          <w:tab w:val="left" w:pos="0"/>
        </w:tabs>
        <w:spacing w:line="360" w:lineRule="auto"/>
        <w:ind w:right="-210"/>
        <w:rPr>
          <w:rFonts w:eastAsia="楷体_GB2312"/>
          <w:color w:val="auto"/>
          <w:highlight w:val="none"/>
        </w:rPr>
      </w:pPr>
      <w:r>
        <w:rPr>
          <w:rFonts w:hint="eastAsia" w:eastAsia="楷体_GB2312" w:cs="楷体_GB2312"/>
          <w:color w:val="auto"/>
          <w:highlight w:val="none"/>
        </w:rPr>
        <w:t>【备注：附各岗位人员资格证件（如有）复印件。】</w:t>
      </w:r>
    </w:p>
    <w:p>
      <w:pPr>
        <w:tabs>
          <w:tab w:val="left" w:pos="0"/>
        </w:tabs>
        <w:spacing w:line="360" w:lineRule="auto"/>
        <w:ind w:right="-210"/>
        <w:rPr>
          <w:color w:val="auto"/>
          <w:highlight w:val="none"/>
        </w:rPr>
      </w:pPr>
    </w:p>
    <w:p>
      <w:pPr>
        <w:spacing w:beforeLines="50" w:afterLines="50" w:line="440" w:lineRule="exact"/>
        <w:ind w:left="772" w:leftChars="100" w:hanging="562" w:hangingChars="200"/>
        <w:jc w:val="center"/>
        <w:rPr>
          <w:b/>
          <w:color w:val="auto"/>
          <w:sz w:val="28"/>
          <w:szCs w:val="28"/>
          <w:highlight w:val="none"/>
        </w:rPr>
        <w:sectPr>
          <w:pgSz w:w="11907" w:h="16840"/>
          <w:pgMar w:top="1440" w:right="1440" w:bottom="1440" w:left="1797" w:header="851" w:footer="851" w:gutter="0"/>
          <w:cols w:space="720" w:num="1"/>
          <w:docGrid w:linePitch="312" w:charSpace="0"/>
        </w:sectPr>
      </w:pPr>
    </w:p>
    <w:p>
      <w:pPr>
        <w:tabs>
          <w:tab w:val="left" w:pos="826"/>
        </w:tabs>
        <w:snapToGrid w:val="0"/>
        <w:ind w:firstLine="482" w:firstLineChars="200"/>
        <w:rPr>
          <w:b/>
          <w:color w:val="auto"/>
          <w:sz w:val="24"/>
          <w:szCs w:val="24"/>
          <w:highlight w:val="none"/>
        </w:rPr>
      </w:pPr>
      <w:r>
        <w:rPr>
          <w:rFonts w:hint="eastAsia" w:cs="宋体"/>
          <w:b/>
          <w:color w:val="auto"/>
          <w:sz w:val="24"/>
          <w:szCs w:val="24"/>
          <w:highlight w:val="none"/>
        </w:rPr>
        <w:t>（</w:t>
      </w:r>
      <w:r>
        <w:rPr>
          <w:b/>
          <w:color w:val="auto"/>
          <w:sz w:val="24"/>
          <w:szCs w:val="24"/>
          <w:highlight w:val="none"/>
        </w:rPr>
        <w:t>2</w:t>
      </w:r>
      <w:r>
        <w:rPr>
          <w:rFonts w:hint="eastAsia" w:cs="宋体"/>
          <w:b/>
          <w:color w:val="auto"/>
          <w:sz w:val="24"/>
          <w:szCs w:val="24"/>
          <w:highlight w:val="none"/>
        </w:rPr>
        <w:t>）拟投入施工机械设备情况表（格式自拟）</w:t>
      </w:r>
    </w:p>
    <w:p>
      <w:pPr>
        <w:spacing w:beforeLines="50" w:afterLines="50" w:line="440" w:lineRule="exact"/>
        <w:ind w:left="772" w:leftChars="100" w:hanging="562" w:hangingChars="200"/>
        <w:jc w:val="center"/>
        <w:rPr>
          <w:b/>
          <w:color w:val="auto"/>
          <w:sz w:val="28"/>
          <w:szCs w:val="28"/>
          <w:highlight w:val="none"/>
        </w:rPr>
      </w:pPr>
    </w:p>
    <w:p>
      <w:pPr>
        <w:spacing w:beforeLines="50" w:afterLines="50" w:line="440" w:lineRule="exact"/>
        <w:ind w:left="772" w:leftChars="100" w:hanging="562" w:hangingChars="200"/>
        <w:jc w:val="center"/>
        <w:rPr>
          <w:b/>
          <w:color w:val="auto"/>
          <w:sz w:val="28"/>
          <w:szCs w:val="28"/>
          <w:highlight w:val="none"/>
        </w:rPr>
        <w:sectPr>
          <w:pgSz w:w="11907" w:h="16840"/>
          <w:pgMar w:top="1440" w:right="1440" w:bottom="1440" w:left="1797" w:header="851" w:footer="851" w:gutter="0"/>
          <w:cols w:space="720" w:num="1"/>
          <w:docGrid w:linePitch="312" w:charSpace="0"/>
        </w:sectPr>
      </w:pPr>
    </w:p>
    <w:p>
      <w:pPr>
        <w:rPr>
          <w:b/>
          <w:color w:val="auto"/>
          <w:sz w:val="24"/>
          <w:szCs w:val="24"/>
          <w:highlight w:val="none"/>
        </w:rPr>
      </w:pPr>
      <w:r>
        <w:rPr>
          <w:rFonts w:hint="eastAsia" w:cs="宋体"/>
          <w:b/>
          <w:color w:val="auto"/>
          <w:sz w:val="24"/>
          <w:szCs w:val="24"/>
          <w:highlight w:val="none"/>
        </w:rPr>
        <w:t>（</w:t>
      </w:r>
      <w:r>
        <w:rPr>
          <w:b/>
          <w:color w:val="auto"/>
          <w:sz w:val="24"/>
          <w:szCs w:val="24"/>
          <w:highlight w:val="none"/>
        </w:rPr>
        <w:t>3</w:t>
      </w:r>
      <w:r>
        <w:rPr>
          <w:rFonts w:hint="eastAsia" w:cs="宋体"/>
          <w:b/>
          <w:color w:val="auto"/>
          <w:sz w:val="24"/>
          <w:szCs w:val="24"/>
          <w:highlight w:val="none"/>
        </w:rPr>
        <w:t>）企业已完成类似工程一览表（年份要求见“投标人须知前附表”10.1.4）</w:t>
      </w:r>
    </w:p>
    <w:tbl>
      <w:tblPr>
        <w:tblStyle w:val="42"/>
        <w:tblW w:w="93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701"/>
        <w:gridCol w:w="1417"/>
        <w:gridCol w:w="851"/>
        <w:gridCol w:w="992"/>
        <w:gridCol w:w="1134"/>
        <w:gridCol w:w="127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5" w:hRule="atLeast"/>
          <w:jc w:val="center"/>
        </w:trPr>
        <w:tc>
          <w:tcPr>
            <w:tcW w:w="851" w:type="dxa"/>
            <w:shd w:val="clear" w:color="auto" w:fill="auto"/>
            <w:vAlign w:val="center"/>
          </w:tcPr>
          <w:p>
            <w:pPr>
              <w:jc w:val="center"/>
              <w:rPr>
                <w:color w:val="auto"/>
                <w:highlight w:val="none"/>
              </w:rPr>
            </w:pPr>
            <w:r>
              <w:rPr>
                <w:rFonts w:hint="eastAsia" w:cs="宋体"/>
                <w:color w:val="auto"/>
                <w:highlight w:val="none"/>
              </w:rPr>
              <w:t>序号</w:t>
            </w:r>
          </w:p>
        </w:tc>
        <w:tc>
          <w:tcPr>
            <w:tcW w:w="1701" w:type="dxa"/>
            <w:shd w:val="clear" w:color="auto" w:fill="auto"/>
            <w:vAlign w:val="center"/>
          </w:tcPr>
          <w:p>
            <w:pPr>
              <w:jc w:val="center"/>
              <w:rPr>
                <w:color w:val="auto"/>
                <w:highlight w:val="none"/>
              </w:rPr>
            </w:pPr>
            <w:r>
              <w:rPr>
                <w:rFonts w:hint="eastAsia" w:cs="宋体"/>
                <w:color w:val="auto"/>
                <w:highlight w:val="none"/>
              </w:rPr>
              <w:t>发包人名称</w:t>
            </w:r>
          </w:p>
        </w:tc>
        <w:tc>
          <w:tcPr>
            <w:tcW w:w="1417" w:type="dxa"/>
            <w:shd w:val="clear" w:color="auto" w:fill="auto"/>
            <w:vAlign w:val="center"/>
          </w:tcPr>
          <w:p>
            <w:pPr>
              <w:jc w:val="center"/>
              <w:rPr>
                <w:color w:val="auto"/>
                <w:highlight w:val="none"/>
              </w:rPr>
            </w:pPr>
            <w:r>
              <w:rPr>
                <w:rFonts w:hint="eastAsia" w:cs="宋体"/>
                <w:color w:val="auto"/>
                <w:highlight w:val="none"/>
              </w:rPr>
              <w:t>工程名称</w:t>
            </w:r>
          </w:p>
          <w:p>
            <w:pPr>
              <w:jc w:val="center"/>
              <w:rPr>
                <w:color w:val="auto"/>
                <w:highlight w:val="none"/>
              </w:rPr>
            </w:pPr>
            <w:r>
              <w:rPr>
                <w:rFonts w:hint="eastAsia" w:cs="宋体"/>
                <w:color w:val="auto"/>
                <w:highlight w:val="none"/>
              </w:rPr>
              <w:t>及建设地点</w:t>
            </w:r>
          </w:p>
        </w:tc>
        <w:tc>
          <w:tcPr>
            <w:tcW w:w="851" w:type="dxa"/>
            <w:shd w:val="clear" w:color="auto" w:fill="auto"/>
            <w:vAlign w:val="center"/>
          </w:tcPr>
          <w:p>
            <w:pPr>
              <w:jc w:val="center"/>
              <w:rPr>
                <w:color w:val="auto"/>
                <w:highlight w:val="none"/>
              </w:rPr>
            </w:pPr>
            <w:r>
              <w:rPr>
                <w:rFonts w:hint="eastAsia" w:cs="宋体"/>
                <w:color w:val="auto"/>
                <w:highlight w:val="none"/>
              </w:rPr>
              <w:t>结构</w:t>
            </w:r>
          </w:p>
          <w:p>
            <w:pPr>
              <w:jc w:val="center"/>
              <w:rPr>
                <w:color w:val="auto"/>
                <w:highlight w:val="none"/>
              </w:rPr>
            </w:pPr>
            <w:r>
              <w:rPr>
                <w:rFonts w:hint="eastAsia" w:cs="宋体"/>
                <w:color w:val="auto"/>
                <w:highlight w:val="none"/>
              </w:rPr>
              <w:t>类型</w:t>
            </w:r>
          </w:p>
        </w:tc>
        <w:tc>
          <w:tcPr>
            <w:tcW w:w="992" w:type="dxa"/>
            <w:shd w:val="clear" w:color="auto" w:fill="auto"/>
            <w:vAlign w:val="center"/>
          </w:tcPr>
          <w:p>
            <w:pPr>
              <w:jc w:val="center"/>
              <w:rPr>
                <w:color w:val="auto"/>
                <w:highlight w:val="none"/>
              </w:rPr>
            </w:pPr>
            <w:r>
              <w:rPr>
                <w:rFonts w:hint="eastAsia" w:cs="宋体"/>
                <w:color w:val="auto"/>
                <w:highlight w:val="none"/>
              </w:rPr>
              <w:t>建设</w:t>
            </w:r>
          </w:p>
          <w:p>
            <w:pPr>
              <w:jc w:val="center"/>
              <w:rPr>
                <w:color w:val="auto"/>
                <w:highlight w:val="none"/>
              </w:rPr>
            </w:pPr>
            <w:r>
              <w:rPr>
                <w:rFonts w:hint="eastAsia" w:cs="宋体"/>
                <w:color w:val="auto"/>
                <w:highlight w:val="none"/>
              </w:rPr>
              <w:t>规模</w:t>
            </w:r>
          </w:p>
        </w:tc>
        <w:tc>
          <w:tcPr>
            <w:tcW w:w="1134" w:type="dxa"/>
            <w:shd w:val="clear" w:color="auto" w:fill="auto"/>
            <w:vAlign w:val="center"/>
          </w:tcPr>
          <w:p>
            <w:pPr>
              <w:jc w:val="center"/>
              <w:rPr>
                <w:color w:val="auto"/>
                <w:highlight w:val="none"/>
              </w:rPr>
            </w:pPr>
            <w:r>
              <w:rPr>
                <w:rFonts w:hint="eastAsia" w:cs="宋体"/>
                <w:color w:val="auto"/>
                <w:highlight w:val="none"/>
              </w:rPr>
              <w:t>合同金额</w:t>
            </w:r>
          </w:p>
          <w:p>
            <w:pPr>
              <w:jc w:val="center"/>
              <w:rPr>
                <w:color w:val="auto"/>
                <w:highlight w:val="none"/>
              </w:rPr>
            </w:pPr>
            <w:r>
              <w:rPr>
                <w:rFonts w:hint="eastAsia" w:cs="宋体"/>
                <w:color w:val="auto"/>
                <w:highlight w:val="none"/>
              </w:rPr>
              <w:t>（万元）</w:t>
            </w:r>
          </w:p>
        </w:tc>
        <w:tc>
          <w:tcPr>
            <w:tcW w:w="1276" w:type="dxa"/>
            <w:shd w:val="clear" w:color="auto" w:fill="auto"/>
            <w:vAlign w:val="center"/>
          </w:tcPr>
          <w:p>
            <w:pPr>
              <w:jc w:val="center"/>
              <w:rPr>
                <w:color w:val="auto"/>
                <w:highlight w:val="none"/>
              </w:rPr>
            </w:pPr>
            <w:r>
              <w:rPr>
                <w:rFonts w:hint="eastAsia" w:cs="宋体"/>
                <w:color w:val="auto"/>
                <w:highlight w:val="none"/>
              </w:rPr>
              <w:t>竣工达到</w:t>
            </w:r>
          </w:p>
          <w:p>
            <w:pPr>
              <w:jc w:val="center"/>
              <w:rPr>
                <w:color w:val="auto"/>
                <w:highlight w:val="none"/>
              </w:rPr>
            </w:pPr>
            <w:r>
              <w:rPr>
                <w:rFonts w:hint="eastAsia" w:cs="宋体"/>
                <w:color w:val="auto"/>
                <w:highlight w:val="none"/>
              </w:rPr>
              <w:t>质量标准</w:t>
            </w:r>
          </w:p>
        </w:tc>
        <w:tc>
          <w:tcPr>
            <w:tcW w:w="1134" w:type="dxa"/>
            <w:shd w:val="clear" w:color="auto" w:fill="auto"/>
            <w:vAlign w:val="center"/>
          </w:tcPr>
          <w:p>
            <w:pPr>
              <w:jc w:val="center"/>
              <w:rPr>
                <w:color w:val="auto"/>
                <w:highlight w:val="none"/>
              </w:rPr>
            </w:pPr>
            <w:r>
              <w:rPr>
                <w:rFonts w:hint="eastAsia" w:cs="宋体"/>
                <w:color w:val="auto"/>
                <w:highlight w:val="none"/>
              </w:rPr>
              <w:t>开竣工</w:t>
            </w:r>
          </w:p>
          <w:p>
            <w:pPr>
              <w:jc w:val="center"/>
              <w:rPr>
                <w:color w:val="auto"/>
                <w:highlight w:val="none"/>
              </w:rPr>
            </w:pPr>
            <w:r>
              <w:rPr>
                <w:rFonts w:hint="eastAsia" w:cs="宋体"/>
                <w:color w:val="auto"/>
                <w:highlight w:val="none"/>
              </w:rPr>
              <w:t>日</w:t>
            </w:r>
            <w:r>
              <w:rPr>
                <w:color w:val="auto"/>
                <w:highlight w:val="none"/>
              </w:rPr>
              <w:t xml:space="preserve">  </w:t>
            </w:r>
            <w:r>
              <w:rPr>
                <w:rFonts w:hint="eastAsia" w:cs="宋体"/>
                <w:color w:val="auto"/>
                <w:highlight w:val="none"/>
              </w:rPr>
              <w:t>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3" w:hRule="atLeast"/>
          <w:jc w:val="center"/>
        </w:trPr>
        <w:tc>
          <w:tcPr>
            <w:tcW w:w="851" w:type="dxa"/>
            <w:shd w:val="clear" w:color="auto" w:fill="auto"/>
            <w:vAlign w:val="center"/>
          </w:tcPr>
          <w:p>
            <w:pPr>
              <w:jc w:val="center"/>
              <w:rPr>
                <w:color w:val="auto"/>
                <w:highlight w:val="none"/>
              </w:rPr>
            </w:pPr>
          </w:p>
        </w:tc>
        <w:tc>
          <w:tcPr>
            <w:tcW w:w="1701" w:type="dxa"/>
            <w:shd w:val="clear" w:color="auto" w:fill="auto"/>
            <w:vAlign w:val="center"/>
          </w:tcPr>
          <w:p>
            <w:pPr>
              <w:jc w:val="center"/>
              <w:rPr>
                <w:color w:val="auto"/>
                <w:highlight w:val="none"/>
              </w:rPr>
            </w:pPr>
          </w:p>
        </w:tc>
        <w:tc>
          <w:tcPr>
            <w:tcW w:w="1417" w:type="dxa"/>
            <w:shd w:val="clear" w:color="auto" w:fill="auto"/>
            <w:vAlign w:val="center"/>
          </w:tcPr>
          <w:p>
            <w:pPr>
              <w:jc w:val="center"/>
              <w:rPr>
                <w:color w:val="auto"/>
                <w:highlight w:val="none"/>
              </w:rPr>
            </w:pPr>
          </w:p>
        </w:tc>
        <w:tc>
          <w:tcPr>
            <w:tcW w:w="851" w:type="dxa"/>
            <w:shd w:val="clear" w:color="auto" w:fill="auto"/>
            <w:vAlign w:val="center"/>
          </w:tcPr>
          <w:p>
            <w:pPr>
              <w:jc w:val="center"/>
              <w:rPr>
                <w:color w:val="auto"/>
                <w:highlight w:val="none"/>
              </w:rPr>
            </w:pPr>
          </w:p>
        </w:tc>
        <w:tc>
          <w:tcPr>
            <w:tcW w:w="992" w:type="dxa"/>
            <w:shd w:val="clear" w:color="auto" w:fill="auto"/>
            <w:vAlign w:val="center"/>
          </w:tcPr>
          <w:p>
            <w:pPr>
              <w:jc w:val="center"/>
              <w:rPr>
                <w:color w:val="auto"/>
                <w:highlight w:val="none"/>
              </w:rPr>
            </w:pPr>
          </w:p>
        </w:tc>
        <w:tc>
          <w:tcPr>
            <w:tcW w:w="1134" w:type="dxa"/>
            <w:shd w:val="clear" w:color="auto" w:fill="auto"/>
            <w:vAlign w:val="center"/>
          </w:tcPr>
          <w:p>
            <w:pPr>
              <w:jc w:val="center"/>
              <w:rPr>
                <w:color w:val="auto"/>
                <w:highlight w:val="none"/>
              </w:rPr>
            </w:pPr>
          </w:p>
        </w:tc>
        <w:tc>
          <w:tcPr>
            <w:tcW w:w="1276" w:type="dxa"/>
            <w:shd w:val="clear" w:color="auto" w:fill="auto"/>
            <w:vAlign w:val="center"/>
          </w:tcPr>
          <w:p>
            <w:pPr>
              <w:jc w:val="center"/>
              <w:rPr>
                <w:color w:val="auto"/>
                <w:highlight w:val="none"/>
              </w:rPr>
            </w:pPr>
          </w:p>
        </w:tc>
        <w:tc>
          <w:tcPr>
            <w:tcW w:w="1134"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851" w:type="dxa"/>
            <w:shd w:val="clear" w:color="auto" w:fill="auto"/>
            <w:vAlign w:val="center"/>
          </w:tcPr>
          <w:p>
            <w:pPr>
              <w:jc w:val="center"/>
              <w:rPr>
                <w:color w:val="auto"/>
                <w:highlight w:val="none"/>
              </w:rPr>
            </w:pPr>
          </w:p>
        </w:tc>
        <w:tc>
          <w:tcPr>
            <w:tcW w:w="1701" w:type="dxa"/>
            <w:shd w:val="clear" w:color="auto" w:fill="auto"/>
            <w:vAlign w:val="center"/>
          </w:tcPr>
          <w:p>
            <w:pPr>
              <w:jc w:val="center"/>
              <w:rPr>
                <w:color w:val="auto"/>
                <w:highlight w:val="none"/>
              </w:rPr>
            </w:pPr>
          </w:p>
        </w:tc>
        <w:tc>
          <w:tcPr>
            <w:tcW w:w="1417" w:type="dxa"/>
            <w:shd w:val="clear" w:color="auto" w:fill="auto"/>
            <w:vAlign w:val="center"/>
          </w:tcPr>
          <w:p>
            <w:pPr>
              <w:jc w:val="center"/>
              <w:rPr>
                <w:color w:val="auto"/>
                <w:highlight w:val="none"/>
              </w:rPr>
            </w:pPr>
          </w:p>
        </w:tc>
        <w:tc>
          <w:tcPr>
            <w:tcW w:w="851" w:type="dxa"/>
            <w:shd w:val="clear" w:color="auto" w:fill="auto"/>
            <w:vAlign w:val="center"/>
          </w:tcPr>
          <w:p>
            <w:pPr>
              <w:jc w:val="center"/>
              <w:rPr>
                <w:color w:val="auto"/>
                <w:highlight w:val="none"/>
              </w:rPr>
            </w:pPr>
          </w:p>
        </w:tc>
        <w:tc>
          <w:tcPr>
            <w:tcW w:w="992" w:type="dxa"/>
            <w:shd w:val="clear" w:color="auto" w:fill="auto"/>
            <w:vAlign w:val="center"/>
          </w:tcPr>
          <w:p>
            <w:pPr>
              <w:jc w:val="center"/>
              <w:rPr>
                <w:color w:val="auto"/>
                <w:highlight w:val="none"/>
              </w:rPr>
            </w:pPr>
          </w:p>
        </w:tc>
        <w:tc>
          <w:tcPr>
            <w:tcW w:w="1134" w:type="dxa"/>
            <w:shd w:val="clear" w:color="auto" w:fill="auto"/>
            <w:vAlign w:val="center"/>
          </w:tcPr>
          <w:p>
            <w:pPr>
              <w:jc w:val="center"/>
              <w:rPr>
                <w:color w:val="auto"/>
                <w:highlight w:val="none"/>
              </w:rPr>
            </w:pPr>
          </w:p>
        </w:tc>
        <w:tc>
          <w:tcPr>
            <w:tcW w:w="1276" w:type="dxa"/>
            <w:shd w:val="clear" w:color="auto" w:fill="auto"/>
            <w:vAlign w:val="center"/>
          </w:tcPr>
          <w:p>
            <w:pPr>
              <w:jc w:val="center"/>
              <w:rPr>
                <w:color w:val="auto"/>
                <w:highlight w:val="none"/>
              </w:rPr>
            </w:pPr>
          </w:p>
        </w:tc>
        <w:tc>
          <w:tcPr>
            <w:tcW w:w="1134"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jc w:val="center"/>
        </w:trPr>
        <w:tc>
          <w:tcPr>
            <w:tcW w:w="851" w:type="dxa"/>
            <w:shd w:val="clear" w:color="auto" w:fill="auto"/>
            <w:vAlign w:val="center"/>
          </w:tcPr>
          <w:p>
            <w:pPr>
              <w:jc w:val="center"/>
              <w:rPr>
                <w:color w:val="auto"/>
                <w:highlight w:val="none"/>
              </w:rPr>
            </w:pPr>
          </w:p>
        </w:tc>
        <w:tc>
          <w:tcPr>
            <w:tcW w:w="1701" w:type="dxa"/>
            <w:shd w:val="clear" w:color="auto" w:fill="auto"/>
            <w:vAlign w:val="center"/>
          </w:tcPr>
          <w:p>
            <w:pPr>
              <w:jc w:val="center"/>
              <w:rPr>
                <w:color w:val="auto"/>
                <w:highlight w:val="none"/>
              </w:rPr>
            </w:pPr>
          </w:p>
        </w:tc>
        <w:tc>
          <w:tcPr>
            <w:tcW w:w="1417" w:type="dxa"/>
            <w:shd w:val="clear" w:color="auto" w:fill="auto"/>
            <w:vAlign w:val="center"/>
          </w:tcPr>
          <w:p>
            <w:pPr>
              <w:jc w:val="center"/>
              <w:rPr>
                <w:color w:val="auto"/>
                <w:highlight w:val="none"/>
              </w:rPr>
            </w:pPr>
          </w:p>
        </w:tc>
        <w:tc>
          <w:tcPr>
            <w:tcW w:w="851" w:type="dxa"/>
            <w:shd w:val="clear" w:color="auto" w:fill="auto"/>
            <w:vAlign w:val="center"/>
          </w:tcPr>
          <w:p>
            <w:pPr>
              <w:jc w:val="center"/>
              <w:rPr>
                <w:color w:val="auto"/>
                <w:highlight w:val="none"/>
              </w:rPr>
            </w:pPr>
          </w:p>
        </w:tc>
        <w:tc>
          <w:tcPr>
            <w:tcW w:w="992" w:type="dxa"/>
            <w:shd w:val="clear" w:color="auto" w:fill="auto"/>
            <w:vAlign w:val="center"/>
          </w:tcPr>
          <w:p>
            <w:pPr>
              <w:jc w:val="center"/>
              <w:rPr>
                <w:color w:val="auto"/>
                <w:highlight w:val="none"/>
              </w:rPr>
            </w:pPr>
          </w:p>
        </w:tc>
        <w:tc>
          <w:tcPr>
            <w:tcW w:w="1134" w:type="dxa"/>
            <w:shd w:val="clear" w:color="auto" w:fill="auto"/>
            <w:vAlign w:val="center"/>
          </w:tcPr>
          <w:p>
            <w:pPr>
              <w:jc w:val="center"/>
              <w:rPr>
                <w:color w:val="auto"/>
                <w:highlight w:val="none"/>
              </w:rPr>
            </w:pPr>
          </w:p>
        </w:tc>
        <w:tc>
          <w:tcPr>
            <w:tcW w:w="1276" w:type="dxa"/>
            <w:shd w:val="clear" w:color="auto" w:fill="auto"/>
            <w:vAlign w:val="center"/>
          </w:tcPr>
          <w:p>
            <w:pPr>
              <w:jc w:val="center"/>
              <w:rPr>
                <w:color w:val="auto"/>
                <w:highlight w:val="none"/>
              </w:rPr>
            </w:pPr>
          </w:p>
        </w:tc>
        <w:tc>
          <w:tcPr>
            <w:tcW w:w="1134"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jc w:val="center"/>
        </w:trPr>
        <w:tc>
          <w:tcPr>
            <w:tcW w:w="851" w:type="dxa"/>
            <w:shd w:val="clear" w:color="auto" w:fill="auto"/>
            <w:vAlign w:val="center"/>
          </w:tcPr>
          <w:p>
            <w:pPr>
              <w:jc w:val="center"/>
              <w:rPr>
                <w:color w:val="auto"/>
                <w:highlight w:val="none"/>
              </w:rPr>
            </w:pPr>
          </w:p>
        </w:tc>
        <w:tc>
          <w:tcPr>
            <w:tcW w:w="1701" w:type="dxa"/>
            <w:shd w:val="clear" w:color="auto" w:fill="auto"/>
            <w:vAlign w:val="center"/>
          </w:tcPr>
          <w:p>
            <w:pPr>
              <w:jc w:val="center"/>
              <w:rPr>
                <w:color w:val="auto"/>
                <w:highlight w:val="none"/>
              </w:rPr>
            </w:pPr>
          </w:p>
        </w:tc>
        <w:tc>
          <w:tcPr>
            <w:tcW w:w="1417" w:type="dxa"/>
            <w:shd w:val="clear" w:color="auto" w:fill="auto"/>
            <w:vAlign w:val="center"/>
          </w:tcPr>
          <w:p>
            <w:pPr>
              <w:jc w:val="center"/>
              <w:rPr>
                <w:color w:val="auto"/>
                <w:highlight w:val="none"/>
              </w:rPr>
            </w:pPr>
          </w:p>
        </w:tc>
        <w:tc>
          <w:tcPr>
            <w:tcW w:w="851" w:type="dxa"/>
            <w:shd w:val="clear" w:color="auto" w:fill="auto"/>
            <w:vAlign w:val="center"/>
          </w:tcPr>
          <w:p>
            <w:pPr>
              <w:jc w:val="center"/>
              <w:rPr>
                <w:color w:val="auto"/>
                <w:highlight w:val="none"/>
              </w:rPr>
            </w:pPr>
          </w:p>
        </w:tc>
        <w:tc>
          <w:tcPr>
            <w:tcW w:w="992" w:type="dxa"/>
            <w:shd w:val="clear" w:color="auto" w:fill="auto"/>
            <w:vAlign w:val="center"/>
          </w:tcPr>
          <w:p>
            <w:pPr>
              <w:jc w:val="center"/>
              <w:rPr>
                <w:color w:val="auto"/>
                <w:highlight w:val="none"/>
              </w:rPr>
            </w:pPr>
          </w:p>
        </w:tc>
        <w:tc>
          <w:tcPr>
            <w:tcW w:w="1134" w:type="dxa"/>
            <w:shd w:val="clear" w:color="auto" w:fill="auto"/>
            <w:vAlign w:val="center"/>
          </w:tcPr>
          <w:p>
            <w:pPr>
              <w:jc w:val="center"/>
              <w:rPr>
                <w:color w:val="auto"/>
                <w:highlight w:val="none"/>
              </w:rPr>
            </w:pPr>
          </w:p>
        </w:tc>
        <w:tc>
          <w:tcPr>
            <w:tcW w:w="1276" w:type="dxa"/>
            <w:shd w:val="clear" w:color="auto" w:fill="auto"/>
            <w:vAlign w:val="center"/>
          </w:tcPr>
          <w:p>
            <w:pPr>
              <w:jc w:val="center"/>
              <w:rPr>
                <w:color w:val="auto"/>
                <w:highlight w:val="none"/>
              </w:rPr>
            </w:pPr>
          </w:p>
        </w:tc>
        <w:tc>
          <w:tcPr>
            <w:tcW w:w="1134"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jc w:val="center"/>
        </w:trPr>
        <w:tc>
          <w:tcPr>
            <w:tcW w:w="851" w:type="dxa"/>
            <w:shd w:val="clear" w:color="auto" w:fill="auto"/>
            <w:vAlign w:val="center"/>
          </w:tcPr>
          <w:p>
            <w:pPr>
              <w:jc w:val="center"/>
              <w:rPr>
                <w:color w:val="auto"/>
                <w:highlight w:val="none"/>
              </w:rPr>
            </w:pPr>
          </w:p>
        </w:tc>
        <w:tc>
          <w:tcPr>
            <w:tcW w:w="1701" w:type="dxa"/>
            <w:shd w:val="clear" w:color="auto" w:fill="auto"/>
            <w:vAlign w:val="center"/>
          </w:tcPr>
          <w:p>
            <w:pPr>
              <w:jc w:val="center"/>
              <w:rPr>
                <w:color w:val="auto"/>
                <w:highlight w:val="none"/>
              </w:rPr>
            </w:pPr>
          </w:p>
        </w:tc>
        <w:tc>
          <w:tcPr>
            <w:tcW w:w="1417" w:type="dxa"/>
            <w:shd w:val="clear" w:color="auto" w:fill="auto"/>
            <w:vAlign w:val="center"/>
          </w:tcPr>
          <w:p>
            <w:pPr>
              <w:jc w:val="center"/>
              <w:rPr>
                <w:color w:val="auto"/>
                <w:highlight w:val="none"/>
              </w:rPr>
            </w:pPr>
          </w:p>
        </w:tc>
        <w:tc>
          <w:tcPr>
            <w:tcW w:w="851" w:type="dxa"/>
            <w:shd w:val="clear" w:color="auto" w:fill="auto"/>
            <w:vAlign w:val="center"/>
          </w:tcPr>
          <w:p>
            <w:pPr>
              <w:jc w:val="center"/>
              <w:rPr>
                <w:color w:val="auto"/>
                <w:highlight w:val="none"/>
              </w:rPr>
            </w:pPr>
          </w:p>
        </w:tc>
        <w:tc>
          <w:tcPr>
            <w:tcW w:w="992" w:type="dxa"/>
            <w:shd w:val="clear" w:color="auto" w:fill="auto"/>
            <w:vAlign w:val="center"/>
          </w:tcPr>
          <w:p>
            <w:pPr>
              <w:jc w:val="center"/>
              <w:rPr>
                <w:color w:val="auto"/>
                <w:highlight w:val="none"/>
              </w:rPr>
            </w:pPr>
          </w:p>
        </w:tc>
        <w:tc>
          <w:tcPr>
            <w:tcW w:w="1134" w:type="dxa"/>
            <w:shd w:val="clear" w:color="auto" w:fill="auto"/>
            <w:vAlign w:val="center"/>
          </w:tcPr>
          <w:p>
            <w:pPr>
              <w:jc w:val="center"/>
              <w:rPr>
                <w:color w:val="auto"/>
                <w:highlight w:val="none"/>
              </w:rPr>
            </w:pPr>
          </w:p>
        </w:tc>
        <w:tc>
          <w:tcPr>
            <w:tcW w:w="1276" w:type="dxa"/>
            <w:shd w:val="clear" w:color="auto" w:fill="auto"/>
            <w:vAlign w:val="center"/>
          </w:tcPr>
          <w:p>
            <w:pPr>
              <w:jc w:val="center"/>
              <w:rPr>
                <w:color w:val="auto"/>
                <w:highlight w:val="none"/>
              </w:rPr>
            </w:pPr>
          </w:p>
        </w:tc>
        <w:tc>
          <w:tcPr>
            <w:tcW w:w="1134" w:type="dxa"/>
            <w:shd w:val="clear" w:color="auto" w:fill="auto"/>
            <w:vAlign w:val="center"/>
          </w:tcPr>
          <w:p>
            <w:pPr>
              <w:jc w:val="center"/>
              <w:rPr>
                <w:color w:val="auto"/>
                <w:highlight w:val="none"/>
              </w:rPr>
            </w:pPr>
          </w:p>
        </w:tc>
      </w:tr>
    </w:tbl>
    <w:p>
      <w:pPr>
        <w:rPr>
          <w:color w:val="auto"/>
          <w:highlight w:val="none"/>
        </w:rPr>
      </w:pPr>
    </w:p>
    <w:p>
      <w:pPr>
        <w:rPr>
          <w:rFonts w:eastAsia="楷体_GB2312"/>
          <w:color w:val="auto"/>
          <w:highlight w:val="none"/>
        </w:rPr>
      </w:pPr>
      <w:r>
        <w:rPr>
          <w:rFonts w:hint="eastAsia" w:eastAsia="楷体_GB2312" w:cs="楷体_GB2312"/>
          <w:color w:val="auto"/>
          <w:highlight w:val="none"/>
        </w:rPr>
        <w:t>备注：投标人应附中标通知书、或工程合同协议书有关页面、或工程竣工验收证明材料的复印件。</w:t>
      </w:r>
    </w:p>
    <w:p>
      <w:pPr>
        <w:ind w:left="772" w:leftChars="100" w:hanging="562" w:hangingChars="200"/>
        <w:rPr>
          <w:b/>
          <w:color w:val="auto"/>
          <w:sz w:val="28"/>
          <w:szCs w:val="28"/>
          <w:highlight w:val="none"/>
        </w:rPr>
      </w:pPr>
    </w:p>
    <w:p>
      <w:pPr>
        <w:rPr>
          <w:b/>
          <w:color w:val="auto"/>
          <w:sz w:val="24"/>
          <w:szCs w:val="24"/>
          <w:highlight w:val="none"/>
        </w:rPr>
      </w:pPr>
      <w:r>
        <w:rPr>
          <w:rFonts w:hint="eastAsia" w:cs="宋体"/>
          <w:b/>
          <w:color w:val="auto"/>
          <w:sz w:val="24"/>
          <w:szCs w:val="24"/>
          <w:highlight w:val="none"/>
        </w:rPr>
        <w:t>或企业在建类似工程一览表（年份要求见“投标人须知前附表”10.1.4）</w:t>
      </w:r>
    </w:p>
    <w:tbl>
      <w:tblPr>
        <w:tblStyle w:val="42"/>
        <w:tblW w:w="93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701"/>
        <w:gridCol w:w="1417"/>
        <w:gridCol w:w="851"/>
        <w:gridCol w:w="992"/>
        <w:gridCol w:w="1134"/>
        <w:gridCol w:w="127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5" w:hRule="atLeast"/>
          <w:jc w:val="center"/>
        </w:trPr>
        <w:tc>
          <w:tcPr>
            <w:tcW w:w="851" w:type="dxa"/>
            <w:shd w:val="clear" w:color="auto" w:fill="auto"/>
            <w:vAlign w:val="center"/>
          </w:tcPr>
          <w:p>
            <w:pPr>
              <w:jc w:val="center"/>
              <w:rPr>
                <w:color w:val="auto"/>
                <w:highlight w:val="none"/>
              </w:rPr>
            </w:pPr>
            <w:r>
              <w:rPr>
                <w:rFonts w:hint="eastAsia" w:cs="宋体"/>
                <w:color w:val="auto"/>
                <w:highlight w:val="none"/>
              </w:rPr>
              <w:t>序号</w:t>
            </w:r>
          </w:p>
        </w:tc>
        <w:tc>
          <w:tcPr>
            <w:tcW w:w="1701" w:type="dxa"/>
            <w:shd w:val="clear" w:color="auto" w:fill="auto"/>
            <w:vAlign w:val="center"/>
          </w:tcPr>
          <w:p>
            <w:pPr>
              <w:jc w:val="center"/>
              <w:rPr>
                <w:color w:val="auto"/>
                <w:highlight w:val="none"/>
              </w:rPr>
            </w:pPr>
            <w:r>
              <w:rPr>
                <w:rFonts w:hint="eastAsia" w:cs="宋体"/>
                <w:color w:val="auto"/>
                <w:highlight w:val="none"/>
              </w:rPr>
              <w:t>发包人名称</w:t>
            </w:r>
          </w:p>
        </w:tc>
        <w:tc>
          <w:tcPr>
            <w:tcW w:w="1417" w:type="dxa"/>
            <w:shd w:val="clear" w:color="auto" w:fill="auto"/>
            <w:vAlign w:val="center"/>
          </w:tcPr>
          <w:p>
            <w:pPr>
              <w:jc w:val="center"/>
              <w:rPr>
                <w:color w:val="auto"/>
                <w:highlight w:val="none"/>
              </w:rPr>
            </w:pPr>
            <w:r>
              <w:rPr>
                <w:rFonts w:hint="eastAsia" w:cs="宋体"/>
                <w:color w:val="auto"/>
                <w:highlight w:val="none"/>
              </w:rPr>
              <w:t>工程名称</w:t>
            </w:r>
          </w:p>
          <w:p>
            <w:pPr>
              <w:jc w:val="center"/>
              <w:rPr>
                <w:color w:val="auto"/>
                <w:highlight w:val="none"/>
              </w:rPr>
            </w:pPr>
            <w:r>
              <w:rPr>
                <w:rFonts w:hint="eastAsia" w:cs="宋体"/>
                <w:color w:val="auto"/>
                <w:highlight w:val="none"/>
              </w:rPr>
              <w:t>及建设地点</w:t>
            </w:r>
          </w:p>
        </w:tc>
        <w:tc>
          <w:tcPr>
            <w:tcW w:w="851" w:type="dxa"/>
            <w:shd w:val="clear" w:color="auto" w:fill="auto"/>
            <w:vAlign w:val="center"/>
          </w:tcPr>
          <w:p>
            <w:pPr>
              <w:jc w:val="center"/>
              <w:rPr>
                <w:color w:val="auto"/>
                <w:highlight w:val="none"/>
              </w:rPr>
            </w:pPr>
            <w:r>
              <w:rPr>
                <w:rFonts w:hint="eastAsia" w:cs="宋体"/>
                <w:color w:val="auto"/>
                <w:highlight w:val="none"/>
              </w:rPr>
              <w:t>结构</w:t>
            </w:r>
          </w:p>
          <w:p>
            <w:pPr>
              <w:jc w:val="center"/>
              <w:rPr>
                <w:color w:val="auto"/>
                <w:highlight w:val="none"/>
              </w:rPr>
            </w:pPr>
            <w:r>
              <w:rPr>
                <w:rFonts w:hint="eastAsia" w:cs="宋体"/>
                <w:color w:val="auto"/>
                <w:highlight w:val="none"/>
              </w:rPr>
              <w:t>类型</w:t>
            </w:r>
          </w:p>
        </w:tc>
        <w:tc>
          <w:tcPr>
            <w:tcW w:w="992" w:type="dxa"/>
            <w:shd w:val="clear" w:color="auto" w:fill="auto"/>
            <w:vAlign w:val="center"/>
          </w:tcPr>
          <w:p>
            <w:pPr>
              <w:jc w:val="center"/>
              <w:rPr>
                <w:color w:val="auto"/>
                <w:highlight w:val="none"/>
              </w:rPr>
            </w:pPr>
            <w:r>
              <w:rPr>
                <w:rFonts w:hint="eastAsia" w:cs="宋体"/>
                <w:color w:val="auto"/>
                <w:highlight w:val="none"/>
              </w:rPr>
              <w:t>建设</w:t>
            </w:r>
          </w:p>
          <w:p>
            <w:pPr>
              <w:jc w:val="center"/>
              <w:rPr>
                <w:color w:val="auto"/>
                <w:highlight w:val="none"/>
              </w:rPr>
            </w:pPr>
            <w:r>
              <w:rPr>
                <w:rFonts w:hint="eastAsia" w:cs="宋体"/>
                <w:color w:val="auto"/>
                <w:highlight w:val="none"/>
              </w:rPr>
              <w:t>规模</w:t>
            </w:r>
          </w:p>
        </w:tc>
        <w:tc>
          <w:tcPr>
            <w:tcW w:w="1134" w:type="dxa"/>
            <w:shd w:val="clear" w:color="auto" w:fill="auto"/>
            <w:vAlign w:val="center"/>
          </w:tcPr>
          <w:p>
            <w:pPr>
              <w:jc w:val="center"/>
              <w:rPr>
                <w:color w:val="auto"/>
                <w:highlight w:val="none"/>
              </w:rPr>
            </w:pPr>
            <w:r>
              <w:rPr>
                <w:rFonts w:hint="eastAsia" w:cs="宋体"/>
                <w:color w:val="auto"/>
                <w:highlight w:val="none"/>
              </w:rPr>
              <w:t>合同金额</w:t>
            </w:r>
          </w:p>
          <w:p>
            <w:pPr>
              <w:jc w:val="center"/>
              <w:rPr>
                <w:color w:val="auto"/>
                <w:highlight w:val="none"/>
              </w:rPr>
            </w:pPr>
            <w:r>
              <w:rPr>
                <w:rFonts w:hint="eastAsia" w:cs="宋体"/>
                <w:color w:val="auto"/>
                <w:highlight w:val="none"/>
              </w:rPr>
              <w:t>（万元）</w:t>
            </w:r>
          </w:p>
        </w:tc>
        <w:tc>
          <w:tcPr>
            <w:tcW w:w="1276" w:type="dxa"/>
            <w:shd w:val="clear" w:color="auto" w:fill="auto"/>
            <w:vAlign w:val="center"/>
          </w:tcPr>
          <w:p>
            <w:pPr>
              <w:jc w:val="center"/>
              <w:rPr>
                <w:color w:val="auto"/>
                <w:highlight w:val="none"/>
              </w:rPr>
            </w:pPr>
            <w:r>
              <w:rPr>
                <w:rFonts w:hint="eastAsia" w:cs="宋体"/>
                <w:color w:val="auto"/>
                <w:highlight w:val="none"/>
              </w:rPr>
              <w:t>开工日期</w:t>
            </w:r>
          </w:p>
        </w:tc>
        <w:tc>
          <w:tcPr>
            <w:tcW w:w="1134" w:type="dxa"/>
            <w:shd w:val="clear" w:color="auto" w:fill="auto"/>
            <w:vAlign w:val="center"/>
          </w:tcPr>
          <w:p>
            <w:pPr>
              <w:jc w:val="center"/>
              <w:rPr>
                <w:color w:val="auto"/>
                <w:highlight w:val="none"/>
              </w:rPr>
            </w:pPr>
            <w:r>
              <w:rPr>
                <w:rFonts w:hint="eastAsia" w:cs="宋体"/>
                <w:color w:val="auto"/>
                <w:highlight w:val="none"/>
              </w:rPr>
              <w:t>计划竣工日期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3" w:hRule="atLeast"/>
          <w:jc w:val="center"/>
        </w:trPr>
        <w:tc>
          <w:tcPr>
            <w:tcW w:w="851" w:type="dxa"/>
            <w:shd w:val="clear" w:color="auto" w:fill="auto"/>
            <w:vAlign w:val="center"/>
          </w:tcPr>
          <w:p>
            <w:pPr>
              <w:jc w:val="center"/>
              <w:rPr>
                <w:color w:val="auto"/>
                <w:highlight w:val="none"/>
              </w:rPr>
            </w:pPr>
          </w:p>
        </w:tc>
        <w:tc>
          <w:tcPr>
            <w:tcW w:w="1701" w:type="dxa"/>
            <w:shd w:val="clear" w:color="auto" w:fill="auto"/>
            <w:vAlign w:val="center"/>
          </w:tcPr>
          <w:p>
            <w:pPr>
              <w:jc w:val="center"/>
              <w:rPr>
                <w:color w:val="auto"/>
                <w:highlight w:val="none"/>
              </w:rPr>
            </w:pPr>
          </w:p>
        </w:tc>
        <w:tc>
          <w:tcPr>
            <w:tcW w:w="1417" w:type="dxa"/>
            <w:shd w:val="clear" w:color="auto" w:fill="auto"/>
            <w:vAlign w:val="center"/>
          </w:tcPr>
          <w:p>
            <w:pPr>
              <w:jc w:val="center"/>
              <w:rPr>
                <w:color w:val="auto"/>
                <w:highlight w:val="none"/>
              </w:rPr>
            </w:pPr>
          </w:p>
        </w:tc>
        <w:tc>
          <w:tcPr>
            <w:tcW w:w="851" w:type="dxa"/>
            <w:shd w:val="clear" w:color="auto" w:fill="auto"/>
            <w:vAlign w:val="center"/>
          </w:tcPr>
          <w:p>
            <w:pPr>
              <w:jc w:val="center"/>
              <w:rPr>
                <w:color w:val="auto"/>
                <w:highlight w:val="none"/>
              </w:rPr>
            </w:pPr>
          </w:p>
        </w:tc>
        <w:tc>
          <w:tcPr>
            <w:tcW w:w="992" w:type="dxa"/>
            <w:shd w:val="clear" w:color="auto" w:fill="auto"/>
            <w:vAlign w:val="center"/>
          </w:tcPr>
          <w:p>
            <w:pPr>
              <w:jc w:val="center"/>
              <w:rPr>
                <w:color w:val="auto"/>
                <w:highlight w:val="none"/>
              </w:rPr>
            </w:pPr>
          </w:p>
        </w:tc>
        <w:tc>
          <w:tcPr>
            <w:tcW w:w="1134" w:type="dxa"/>
            <w:shd w:val="clear" w:color="auto" w:fill="auto"/>
            <w:vAlign w:val="center"/>
          </w:tcPr>
          <w:p>
            <w:pPr>
              <w:jc w:val="center"/>
              <w:rPr>
                <w:color w:val="auto"/>
                <w:highlight w:val="none"/>
              </w:rPr>
            </w:pPr>
          </w:p>
        </w:tc>
        <w:tc>
          <w:tcPr>
            <w:tcW w:w="1276" w:type="dxa"/>
            <w:shd w:val="clear" w:color="auto" w:fill="auto"/>
            <w:vAlign w:val="center"/>
          </w:tcPr>
          <w:p>
            <w:pPr>
              <w:jc w:val="center"/>
              <w:rPr>
                <w:color w:val="auto"/>
                <w:highlight w:val="none"/>
              </w:rPr>
            </w:pPr>
          </w:p>
        </w:tc>
        <w:tc>
          <w:tcPr>
            <w:tcW w:w="1134"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851" w:type="dxa"/>
            <w:shd w:val="clear" w:color="auto" w:fill="auto"/>
            <w:vAlign w:val="center"/>
          </w:tcPr>
          <w:p>
            <w:pPr>
              <w:jc w:val="center"/>
              <w:rPr>
                <w:color w:val="auto"/>
                <w:highlight w:val="none"/>
              </w:rPr>
            </w:pPr>
          </w:p>
        </w:tc>
        <w:tc>
          <w:tcPr>
            <w:tcW w:w="1701" w:type="dxa"/>
            <w:shd w:val="clear" w:color="auto" w:fill="auto"/>
            <w:vAlign w:val="center"/>
          </w:tcPr>
          <w:p>
            <w:pPr>
              <w:jc w:val="center"/>
              <w:rPr>
                <w:color w:val="auto"/>
                <w:highlight w:val="none"/>
              </w:rPr>
            </w:pPr>
          </w:p>
        </w:tc>
        <w:tc>
          <w:tcPr>
            <w:tcW w:w="1417" w:type="dxa"/>
            <w:shd w:val="clear" w:color="auto" w:fill="auto"/>
            <w:vAlign w:val="center"/>
          </w:tcPr>
          <w:p>
            <w:pPr>
              <w:jc w:val="center"/>
              <w:rPr>
                <w:color w:val="auto"/>
                <w:highlight w:val="none"/>
              </w:rPr>
            </w:pPr>
          </w:p>
        </w:tc>
        <w:tc>
          <w:tcPr>
            <w:tcW w:w="851" w:type="dxa"/>
            <w:shd w:val="clear" w:color="auto" w:fill="auto"/>
            <w:vAlign w:val="center"/>
          </w:tcPr>
          <w:p>
            <w:pPr>
              <w:jc w:val="center"/>
              <w:rPr>
                <w:color w:val="auto"/>
                <w:highlight w:val="none"/>
              </w:rPr>
            </w:pPr>
          </w:p>
        </w:tc>
        <w:tc>
          <w:tcPr>
            <w:tcW w:w="992" w:type="dxa"/>
            <w:shd w:val="clear" w:color="auto" w:fill="auto"/>
            <w:vAlign w:val="center"/>
          </w:tcPr>
          <w:p>
            <w:pPr>
              <w:jc w:val="center"/>
              <w:rPr>
                <w:color w:val="auto"/>
                <w:highlight w:val="none"/>
              </w:rPr>
            </w:pPr>
          </w:p>
        </w:tc>
        <w:tc>
          <w:tcPr>
            <w:tcW w:w="1134" w:type="dxa"/>
            <w:shd w:val="clear" w:color="auto" w:fill="auto"/>
            <w:vAlign w:val="center"/>
          </w:tcPr>
          <w:p>
            <w:pPr>
              <w:jc w:val="center"/>
              <w:rPr>
                <w:color w:val="auto"/>
                <w:highlight w:val="none"/>
              </w:rPr>
            </w:pPr>
          </w:p>
        </w:tc>
        <w:tc>
          <w:tcPr>
            <w:tcW w:w="1276" w:type="dxa"/>
            <w:shd w:val="clear" w:color="auto" w:fill="auto"/>
            <w:vAlign w:val="center"/>
          </w:tcPr>
          <w:p>
            <w:pPr>
              <w:jc w:val="center"/>
              <w:rPr>
                <w:color w:val="auto"/>
                <w:highlight w:val="none"/>
              </w:rPr>
            </w:pPr>
          </w:p>
        </w:tc>
        <w:tc>
          <w:tcPr>
            <w:tcW w:w="1134"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jc w:val="center"/>
        </w:trPr>
        <w:tc>
          <w:tcPr>
            <w:tcW w:w="851" w:type="dxa"/>
            <w:shd w:val="clear" w:color="auto" w:fill="auto"/>
            <w:vAlign w:val="center"/>
          </w:tcPr>
          <w:p>
            <w:pPr>
              <w:jc w:val="center"/>
              <w:rPr>
                <w:color w:val="auto"/>
                <w:highlight w:val="none"/>
              </w:rPr>
            </w:pPr>
          </w:p>
        </w:tc>
        <w:tc>
          <w:tcPr>
            <w:tcW w:w="1701" w:type="dxa"/>
            <w:shd w:val="clear" w:color="auto" w:fill="auto"/>
            <w:vAlign w:val="center"/>
          </w:tcPr>
          <w:p>
            <w:pPr>
              <w:jc w:val="center"/>
              <w:rPr>
                <w:color w:val="auto"/>
                <w:highlight w:val="none"/>
              </w:rPr>
            </w:pPr>
          </w:p>
        </w:tc>
        <w:tc>
          <w:tcPr>
            <w:tcW w:w="1417" w:type="dxa"/>
            <w:shd w:val="clear" w:color="auto" w:fill="auto"/>
            <w:vAlign w:val="center"/>
          </w:tcPr>
          <w:p>
            <w:pPr>
              <w:jc w:val="center"/>
              <w:rPr>
                <w:color w:val="auto"/>
                <w:highlight w:val="none"/>
              </w:rPr>
            </w:pPr>
          </w:p>
        </w:tc>
        <w:tc>
          <w:tcPr>
            <w:tcW w:w="851" w:type="dxa"/>
            <w:shd w:val="clear" w:color="auto" w:fill="auto"/>
            <w:vAlign w:val="center"/>
          </w:tcPr>
          <w:p>
            <w:pPr>
              <w:jc w:val="center"/>
              <w:rPr>
                <w:color w:val="auto"/>
                <w:highlight w:val="none"/>
              </w:rPr>
            </w:pPr>
          </w:p>
        </w:tc>
        <w:tc>
          <w:tcPr>
            <w:tcW w:w="992" w:type="dxa"/>
            <w:shd w:val="clear" w:color="auto" w:fill="auto"/>
            <w:vAlign w:val="center"/>
          </w:tcPr>
          <w:p>
            <w:pPr>
              <w:jc w:val="center"/>
              <w:rPr>
                <w:color w:val="auto"/>
                <w:highlight w:val="none"/>
              </w:rPr>
            </w:pPr>
          </w:p>
        </w:tc>
        <w:tc>
          <w:tcPr>
            <w:tcW w:w="1134" w:type="dxa"/>
            <w:shd w:val="clear" w:color="auto" w:fill="auto"/>
            <w:vAlign w:val="center"/>
          </w:tcPr>
          <w:p>
            <w:pPr>
              <w:jc w:val="center"/>
              <w:rPr>
                <w:color w:val="auto"/>
                <w:highlight w:val="none"/>
              </w:rPr>
            </w:pPr>
          </w:p>
        </w:tc>
        <w:tc>
          <w:tcPr>
            <w:tcW w:w="1276" w:type="dxa"/>
            <w:shd w:val="clear" w:color="auto" w:fill="auto"/>
            <w:vAlign w:val="center"/>
          </w:tcPr>
          <w:p>
            <w:pPr>
              <w:jc w:val="center"/>
              <w:rPr>
                <w:color w:val="auto"/>
                <w:highlight w:val="none"/>
              </w:rPr>
            </w:pPr>
          </w:p>
        </w:tc>
        <w:tc>
          <w:tcPr>
            <w:tcW w:w="1134"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jc w:val="center"/>
        </w:trPr>
        <w:tc>
          <w:tcPr>
            <w:tcW w:w="851" w:type="dxa"/>
            <w:shd w:val="clear" w:color="auto" w:fill="auto"/>
            <w:vAlign w:val="center"/>
          </w:tcPr>
          <w:p>
            <w:pPr>
              <w:jc w:val="center"/>
              <w:rPr>
                <w:color w:val="auto"/>
                <w:highlight w:val="none"/>
              </w:rPr>
            </w:pPr>
          </w:p>
        </w:tc>
        <w:tc>
          <w:tcPr>
            <w:tcW w:w="1701" w:type="dxa"/>
            <w:shd w:val="clear" w:color="auto" w:fill="auto"/>
            <w:vAlign w:val="center"/>
          </w:tcPr>
          <w:p>
            <w:pPr>
              <w:jc w:val="center"/>
              <w:rPr>
                <w:color w:val="auto"/>
                <w:highlight w:val="none"/>
              </w:rPr>
            </w:pPr>
          </w:p>
        </w:tc>
        <w:tc>
          <w:tcPr>
            <w:tcW w:w="1417" w:type="dxa"/>
            <w:shd w:val="clear" w:color="auto" w:fill="auto"/>
            <w:vAlign w:val="center"/>
          </w:tcPr>
          <w:p>
            <w:pPr>
              <w:jc w:val="center"/>
              <w:rPr>
                <w:color w:val="auto"/>
                <w:highlight w:val="none"/>
              </w:rPr>
            </w:pPr>
          </w:p>
        </w:tc>
        <w:tc>
          <w:tcPr>
            <w:tcW w:w="851" w:type="dxa"/>
            <w:shd w:val="clear" w:color="auto" w:fill="auto"/>
            <w:vAlign w:val="center"/>
          </w:tcPr>
          <w:p>
            <w:pPr>
              <w:jc w:val="center"/>
              <w:rPr>
                <w:color w:val="auto"/>
                <w:highlight w:val="none"/>
              </w:rPr>
            </w:pPr>
          </w:p>
        </w:tc>
        <w:tc>
          <w:tcPr>
            <w:tcW w:w="992" w:type="dxa"/>
            <w:shd w:val="clear" w:color="auto" w:fill="auto"/>
            <w:vAlign w:val="center"/>
          </w:tcPr>
          <w:p>
            <w:pPr>
              <w:jc w:val="center"/>
              <w:rPr>
                <w:color w:val="auto"/>
                <w:highlight w:val="none"/>
              </w:rPr>
            </w:pPr>
          </w:p>
        </w:tc>
        <w:tc>
          <w:tcPr>
            <w:tcW w:w="1134" w:type="dxa"/>
            <w:shd w:val="clear" w:color="auto" w:fill="auto"/>
            <w:vAlign w:val="center"/>
          </w:tcPr>
          <w:p>
            <w:pPr>
              <w:jc w:val="center"/>
              <w:rPr>
                <w:color w:val="auto"/>
                <w:highlight w:val="none"/>
              </w:rPr>
            </w:pPr>
          </w:p>
        </w:tc>
        <w:tc>
          <w:tcPr>
            <w:tcW w:w="1276" w:type="dxa"/>
            <w:shd w:val="clear" w:color="auto" w:fill="auto"/>
            <w:vAlign w:val="center"/>
          </w:tcPr>
          <w:p>
            <w:pPr>
              <w:jc w:val="center"/>
              <w:rPr>
                <w:color w:val="auto"/>
                <w:highlight w:val="none"/>
              </w:rPr>
            </w:pPr>
          </w:p>
        </w:tc>
        <w:tc>
          <w:tcPr>
            <w:tcW w:w="1134"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jc w:val="center"/>
        </w:trPr>
        <w:tc>
          <w:tcPr>
            <w:tcW w:w="851" w:type="dxa"/>
            <w:shd w:val="clear" w:color="auto" w:fill="auto"/>
            <w:vAlign w:val="center"/>
          </w:tcPr>
          <w:p>
            <w:pPr>
              <w:jc w:val="center"/>
              <w:rPr>
                <w:color w:val="auto"/>
                <w:highlight w:val="none"/>
              </w:rPr>
            </w:pPr>
          </w:p>
        </w:tc>
        <w:tc>
          <w:tcPr>
            <w:tcW w:w="1701" w:type="dxa"/>
            <w:shd w:val="clear" w:color="auto" w:fill="auto"/>
            <w:vAlign w:val="center"/>
          </w:tcPr>
          <w:p>
            <w:pPr>
              <w:jc w:val="center"/>
              <w:rPr>
                <w:color w:val="auto"/>
                <w:highlight w:val="none"/>
              </w:rPr>
            </w:pPr>
          </w:p>
        </w:tc>
        <w:tc>
          <w:tcPr>
            <w:tcW w:w="1417" w:type="dxa"/>
            <w:shd w:val="clear" w:color="auto" w:fill="auto"/>
            <w:vAlign w:val="center"/>
          </w:tcPr>
          <w:p>
            <w:pPr>
              <w:jc w:val="center"/>
              <w:rPr>
                <w:color w:val="auto"/>
                <w:highlight w:val="none"/>
              </w:rPr>
            </w:pPr>
          </w:p>
        </w:tc>
        <w:tc>
          <w:tcPr>
            <w:tcW w:w="851" w:type="dxa"/>
            <w:shd w:val="clear" w:color="auto" w:fill="auto"/>
            <w:vAlign w:val="center"/>
          </w:tcPr>
          <w:p>
            <w:pPr>
              <w:jc w:val="center"/>
              <w:rPr>
                <w:color w:val="auto"/>
                <w:highlight w:val="none"/>
              </w:rPr>
            </w:pPr>
          </w:p>
        </w:tc>
        <w:tc>
          <w:tcPr>
            <w:tcW w:w="992" w:type="dxa"/>
            <w:shd w:val="clear" w:color="auto" w:fill="auto"/>
            <w:vAlign w:val="center"/>
          </w:tcPr>
          <w:p>
            <w:pPr>
              <w:jc w:val="center"/>
              <w:rPr>
                <w:color w:val="auto"/>
                <w:highlight w:val="none"/>
              </w:rPr>
            </w:pPr>
          </w:p>
        </w:tc>
        <w:tc>
          <w:tcPr>
            <w:tcW w:w="1134" w:type="dxa"/>
            <w:shd w:val="clear" w:color="auto" w:fill="auto"/>
            <w:vAlign w:val="center"/>
          </w:tcPr>
          <w:p>
            <w:pPr>
              <w:jc w:val="center"/>
              <w:rPr>
                <w:color w:val="auto"/>
                <w:highlight w:val="none"/>
              </w:rPr>
            </w:pPr>
          </w:p>
        </w:tc>
        <w:tc>
          <w:tcPr>
            <w:tcW w:w="1276" w:type="dxa"/>
            <w:shd w:val="clear" w:color="auto" w:fill="auto"/>
            <w:vAlign w:val="center"/>
          </w:tcPr>
          <w:p>
            <w:pPr>
              <w:jc w:val="center"/>
              <w:rPr>
                <w:color w:val="auto"/>
                <w:highlight w:val="none"/>
              </w:rPr>
            </w:pPr>
          </w:p>
        </w:tc>
        <w:tc>
          <w:tcPr>
            <w:tcW w:w="1134" w:type="dxa"/>
            <w:shd w:val="clear" w:color="auto" w:fill="auto"/>
            <w:vAlign w:val="center"/>
          </w:tcPr>
          <w:p>
            <w:pPr>
              <w:jc w:val="center"/>
              <w:rPr>
                <w:color w:val="auto"/>
                <w:highlight w:val="none"/>
              </w:rPr>
            </w:pPr>
          </w:p>
        </w:tc>
      </w:tr>
    </w:tbl>
    <w:p>
      <w:pPr>
        <w:spacing w:beforeLines="50" w:afterLines="50"/>
        <w:ind w:left="772" w:leftChars="100" w:hanging="562" w:hangingChars="200"/>
        <w:rPr>
          <w:b/>
          <w:color w:val="auto"/>
          <w:sz w:val="28"/>
          <w:szCs w:val="28"/>
          <w:highlight w:val="none"/>
        </w:rPr>
      </w:pPr>
    </w:p>
    <w:p>
      <w:pPr>
        <w:rPr>
          <w:rFonts w:eastAsia="楷体_GB2312" w:cs="楷体_GB2312"/>
          <w:color w:val="auto"/>
          <w:highlight w:val="none"/>
        </w:rPr>
      </w:pPr>
      <w:r>
        <w:rPr>
          <w:rFonts w:hint="eastAsia" w:eastAsia="楷体_GB2312" w:cs="楷体_GB2312"/>
          <w:color w:val="auto"/>
          <w:highlight w:val="none"/>
        </w:rPr>
        <w:t>备注：如招标人选择接受在建工程作为业绩的，投标人应在投标文件组成的“业绩（在建工程）”附相关证明材料的复印件，内容包括：中标（发包）通知书、或工程合同协议书有关页面等。</w:t>
      </w:r>
    </w:p>
    <w:p>
      <w:pPr>
        <w:ind w:firstLine="422" w:firstLineChars="200"/>
        <w:rPr>
          <w:rFonts w:eastAsia="楷体_GB2312"/>
          <w:b/>
          <w:color w:val="auto"/>
          <w:highlight w:val="none"/>
        </w:rPr>
      </w:pPr>
    </w:p>
    <w:p>
      <w:pPr>
        <w:spacing w:beforeLines="50" w:afterLines="50"/>
        <w:ind w:left="772" w:leftChars="100" w:hanging="562" w:hangingChars="200"/>
        <w:rPr>
          <w:b/>
          <w:color w:val="auto"/>
          <w:sz w:val="28"/>
          <w:szCs w:val="28"/>
          <w:highlight w:val="none"/>
        </w:rPr>
        <w:sectPr>
          <w:pgSz w:w="11907" w:h="16840"/>
          <w:pgMar w:top="1440" w:right="1440" w:bottom="1440" w:left="1797" w:header="851" w:footer="851" w:gutter="0"/>
          <w:cols w:space="720" w:num="1"/>
          <w:docGrid w:linePitch="312" w:charSpace="0"/>
        </w:sectPr>
      </w:pPr>
    </w:p>
    <w:p>
      <w:pPr>
        <w:rPr>
          <w:b/>
          <w:color w:val="auto"/>
          <w:sz w:val="24"/>
          <w:szCs w:val="24"/>
          <w:highlight w:val="none"/>
        </w:rPr>
      </w:pPr>
      <w:r>
        <w:rPr>
          <w:rFonts w:hint="eastAsia" w:cs="宋体"/>
          <w:b/>
          <w:color w:val="auto"/>
          <w:sz w:val="24"/>
          <w:szCs w:val="24"/>
          <w:highlight w:val="none"/>
        </w:rPr>
        <w:t>（</w:t>
      </w:r>
      <w:r>
        <w:rPr>
          <w:b/>
          <w:color w:val="auto"/>
          <w:sz w:val="24"/>
          <w:szCs w:val="24"/>
          <w:highlight w:val="none"/>
        </w:rPr>
        <w:t>4</w:t>
      </w:r>
      <w:r>
        <w:rPr>
          <w:rFonts w:hint="eastAsia"/>
          <w:b/>
          <w:color w:val="auto"/>
          <w:sz w:val="24"/>
          <w:szCs w:val="24"/>
          <w:highlight w:val="none"/>
        </w:rPr>
        <w:t>）</w:t>
      </w:r>
      <w:r>
        <w:rPr>
          <w:rFonts w:hint="eastAsia" w:cs="宋体"/>
          <w:b/>
          <w:color w:val="auto"/>
          <w:sz w:val="24"/>
          <w:szCs w:val="24"/>
          <w:highlight w:val="none"/>
        </w:rPr>
        <w:t>企业诚信情况一览表(如有)</w:t>
      </w:r>
    </w:p>
    <w:tbl>
      <w:tblPr>
        <w:tblStyle w:val="42"/>
        <w:tblW w:w="92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8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jc w:val="center"/>
        </w:trPr>
        <w:tc>
          <w:tcPr>
            <w:tcW w:w="851" w:type="dxa"/>
            <w:shd w:val="clear" w:color="auto" w:fill="auto"/>
            <w:vAlign w:val="center"/>
          </w:tcPr>
          <w:p>
            <w:pPr>
              <w:jc w:val="center"/>
              <w:rPr>
                <w:color w:val="auto"/>
                <w:highlight w:val="none"/>
              </w:rPr>
            </w:pPr>
            <w:r>
              <w:rPr>
                <w:rFonts w:hint="eastAsia" w:cs="宋体"/>
                <w:color w:val="auto"/>
                <w:highlight w:val="none"/>
              </w:rPr>
              <w:t>序号</w:t>
            </w:r>
          </w:p>
        </w:tc>
        <w:tc>
          <w:tcPr>
            <w:tcW w:w="8359" w:type="dxa"/>
            <w:shd w:val="clear" w:color="auto" w:fill="auto"/>
            <w:vAlign w:val="center"/>
          </w:tcPr>
          <w:p>
            <w:pPr>
              <w:jc w:val="center"/>
              <w:rPr>
                <w:color w:val="auto"/>
                <w:highlight w:val="none"/>
              </w:rPr>
            </w:pPr>
            <w:r>
              <w:rPr>
                <w:rFonts w:hint="eastAsia" w:cs="宋体"/>
                <w:color w:val="auto"/>
                <w:highlight w:val="none"/>
              </w:rPr>
              <w:t>项目类别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jc w:val="center"/>
        </w:trPr>
        <w:tc>
          <w:tcPr>
            <w:tcW w:w="851" w:type="dxa"/>
            <w:shd w:val="clear" w:color="auto" w:fill="auto"/>
            <w:vAlign w:val="center"/>
          </w:tcPr>
          <w:p>
            <w:pPr>
              <w:jc w:val="center"/>
              <w:rPr>
                <w:color w:val="auto"/>
                <w:highlight w:val="none"/>
              </w:rPr>
            </w:pPr>
          </w:p>
        </w:tc>
        <w:tc>
          <w:tcPr>
            <w:tcW w:w="8359"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jc w:val="center"/>
        </w:trPr>
        <w:tc>
          <w:tcPr>
            <w:tcW w:w="851" w:type="dxa"/>
            <w:shd w:val="clear" w:color="auto" w:fill="auto"/>
            <w:vAlign w:val="center"/>
          </w:tcPr>
          <w:p>
            <w:pPr>
              <w:jc w:val="center"/>
              <w:rPr>
                <w:color w:val="auto"/>
                <w:highlight w:val="none"/>
              </w:rPr>
            </w:pPr>
          </w:p>
        </w:tc>
        <w:tc>
          <w:tcPr>
            <w:tcW w:w="8359"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jc w:val="center"/>
        </w:trPr>
        <w:tc>
          <w:tcPr>
            <w:tcW w:w="851" w:type="dxa"/>
            <w:shd w:val="clear" w:color="auto" w:fill="auto"/>
            <w:vAlign w:val="center"/>
          </w:tcPr>
          <w:p>
            <w:pPr>
              <w:jc w:val="center"/>
              <w:rPr>
                <w:color w:val="auto"/>
                <w:highlight w:val="none"/>
              </w:rPr>
            </w:pPr>
          </w:p>
        </w:tc>
        <w:tc>
          <w:tcPr>
            <w:tcW w:w="8359"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jc w:val="center"/>
        </w:trPr>
        <w:tc>
          <w:tcPr>
            <w:tcW w:w="851" w:type="dxa"/>
            <w:shd w:val="clear" w:color="auto" w:fill="auto"/>
            <w:vAlign w:val="center"/>
          </w:tcPr>
          <w:p>
            <w:pPr>
              <w:jc w:val="center"/>
              <w:rPr>
                <w:color w:val="auto"/>
                <w:highlight w:val="none"/>
              </w:rPr>
            </w:pPr>
          </w:p>
        </w:tc>
        <w:tc>
          <w:tcPr>
            <w:tcW w:w="8359"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jc w:val="center"/>
        </w:trPr>
        <w:tc>
          <w:tcPr>
            <w:tcW w:w="851" w:type="dxa"/>
            <w:shd w:val="clear" w:color="auto" w:fill="auto"/>
            <w:vAlign w:val="center"/>
          </w:tcPr>
          <w:p>
            <w:pPr>
              <w:jc w:val="center"/>
              <w:rPr>
                <w:color w:val="auto"/>
                <w:highlight w:val="none"/>
              </w:rPr>
            </w:pPr>
          </w:p>
        </w:tc>
        <w:tc>
          <w:tcPr>
            <w:tcW w:w="8359"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jc w:val="center"/>
        </w:trPr>
        <w:tc>
          <w:tcPr>
            <w:tcW w:w="851" w:type="dxa"/>
            <w:shd w:val="clear" w:color="auto" w:fill="auto"/>
            <w:vAlign w:val="center"/>
          </w:tcPr>
          <w:p>
            <w:pPr>
              <w:jc w:val="center"/>
              <w:rPr>
                <w:color w:val="auto"/>
                <w:highlight w:val="none"/>
              </w:rPr>
            </w:pPr>
          </w:p>
        </w:tc>
        <w:tc>
          <w:tcPr>
            <w:tcW w:w="8359"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jc w:val="center"/>
        </w:trPr>
        <w:tc>
          <w:tcPr>
            <w:tcW w:w="851" w:type="dxa"/>
            <w:shd w:val="clear" w:color="auto" w:fill="auto"/>
            <w:vAlign w:val="center"/>
          </w:tcPr>
          <w:p>
            <w:pPr>
              <w:jc w:val="center"/>
              <w:rPr>
                <w:color w:val="auto"/>
                <w:highlight w:val="none"/>
              </w:rPr>
            </w:pPr>
          </w:p>
        </w:tc>
        <w:tc>
          <w:tcPr>
            <w:tcW w:w="8359"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jc w:val="center"/>
        </w:trPr>
        <w:tc>
          <w:tcPr>
            <w:tcW w:w="851" w:type="dxa"/>
            <w:shd w:val="clear" w:color="auto" w:fill="auto"/>
            <w:vAlign w:val="center"/>
          </w:tcPr>
          <w:p>
            <w:pPr>
              <w:jc w:val="center"/>
              <w:rPr>
                <w:color w:val="auto"/>
                <w:highlight w:val="none"/>
              </w:rPr>
            </w:pPr>
          </w:p>
        </w:tc>
        <w:tc>
          <w:tcPr>
            <w:tcW w:w="8359"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jc w:val="center"/>
        </w:trPr>
        <w:tc>
          <w:tcPr>
            <w:tcW w:w="851" w:type="dxa"/>
            <w:shd w:val="clear" w:color="auto" w:fill="auto"/>
            <w:vAlign w:val="center"/>
          </w:tcPr>
          <w:p>
            <w:pPr>
              <w:jc w:val="center"/>
              <w:rPr>
                <w:color w:val="auto"/>
                <w:highlight w:val="none"/>
              </w:rPr>
            </w:pPr>
          </w:p>
        </w:tc>
        <w:tc>
          <w:tcPr>
            <w:tcW w:w="8359"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jc w:val="center"/>
        </w:trPr>
        <w:tc>
          <w:tcPr>
            <w:tcW w:w="851" w:type="dxa"/>
            <w:shd w:val="clear" w:color="auto" w:fill="auto"/>
            <w:vAlign w:val="center"/>
          </w:tcPr>
          <w:p>
            <w:pPr>
              <w:jc w:val="center"/>
              <w:rPr>
                <w:color w:val="auto"/>
                <w:highlight w:val="none"/>
              </w:rPr>
            </w:pPr>
          </w:p>
        </w:tc>
        <w:tc>
          <w:tcPr>
            <w:tcW w:w="8359"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jc w:val="center"/>
        </w:trPr>
        <w:tc>
          <w:tcPr>
            <w:tcW w:w="851" w:type="dxa"/>
            <w:shd w:val="clear" w:color="auto" w:fill="auto"/>
            <w:vAlign w:val="center"/>
          </w:tcPr>
          <w:p>
            <w:pPr>
              <w:jc w:val="center"/>
              <w:rPr>
                <w:color w:val="auto"/>
                <w:highlight w:val="none"/>
              </w:rPr>
            </w:pPr>
          </w:p>
        </w:tc>
        <w:tc>
          <w:tcPr>
            <w:tcW w:w="8359"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jc w:val="center"/>
        </w:trPr>
        <w:tc>
          <w:tcPr>
            <w:tcW w:w="851" w:type="dxa"/>
            <w:shd w:val="clear" w:color="auto" w:fill="auto"/>
            <w:vAlign w:val="center"/>
          </w:tcPr>
          <w:p>
            <w:pPr>
              <w:jc w:val="center"/>
              <w:rPr>
                <w:color w:val="auto"/>
                <w:highlight w:val="none"/>
              </w:rPr>
            </w:pPr>
          </w:p>
        </w:tc>
        <w:tc>
          <w:tcPr>
            <w:tcW w:w="8359" w:type="dxa"/>
            <w:shd w:val="clear" w:color="auto" w:fill="auto"/>
            <w:vAlign w:val="center"/>
          </w:tcPr>
          <w:p>
            <w:pPr>
              <w:jc w:val="center"/>
              <w:rPr>
                <w:color w:val="auto"/>
                <w:highlight w:val="none"/>
              </w:rPr>
            </w:pPr>
          </w:p>
        </w:tc>
      </w:tr>
    </w:tbl>
    <w:p>
      <w:pPr>
        <w:tabs>
          <w:tab w:val="left" w:pos="826"/>
        </w:tabs>
        <w:snapToGrid w:val="0"/>
        <w:ind w:firstLine="482" w:firstLineChars="200"/>
        <w:rPr>
          <w:b/>
          <w:color w:val="auto"/>
          <w:sz w:val="24"/>
          <w:szCs w:val="24"/>
          <w:highlight w:val="none"/>
        </w:rPr>
      </w:pPr>
    </w:p>
    <w:p>
      <w:pPr>
        <w:rPr>
          <w:rFonts w:eastAsia="楷体_GB2312"/>
          <w:color w:val="auto"/>
          <w:highlight w:val="none"/>
        </w:rPr>
      </w:pPr>
      <w:r>
        <w:rPr>
          <w:rFonts w:hint="eastAsia" w:eastAsia="楷体_GB2312" w:cs="楷体_GB2312"/>
          <w:color w:val="auto"/>
          <w:highlight w:val="none"/>
        </w:rPr>
        <w:t>备注：</w:t>
      </w:r>
    </w:p>
    <w:p>
      <w:pPr>
        <w:ind w:firstLine="420" w:firstLineChars="200"/>
        <w:rPr>
          <w:rFonts w:eastAsia="楷体_GB2312"/>
          <w:color w:val="auto"/>
          <w:highlight w:val="none"/>
        </w:rPr>
      </w:pPr>
      <w:r>
        <w:rPr>
          <w:rFonts w:eastAsia="楷体_GB2312"/>
          <w:color w:val="auto"/>
          <w:highlight w:val="none"/>
        </w:rPr>
        <w:t>1</w:t>
      </w:r>
      <w:r>
        <w:rPr>
          <w:rFonts w:hint="eastAsia" w:eastAsia="楷体_GB2312" w:cs="楷体_GB2312"/>
          <w:color w:val="auto"/>
          <w:highlight w:val="none"/>
        </w:rPr>
        <w:t>、项目类别由招标人自行确定，但应与“评标办法前附表”第</w:t>
      </w:r>
      <w:r>
        <w:rPr>
          <w:rFonts w:eastAsia="楷体_GB2312"/>
          <w:color w:val="auto"/>
          <w:highlight w:val="none"/>
        </w:rPr>
        <w:t>2.1.1</w:t>
      </w:r>
      <w:r>
        <w:rPr>
          <w:rFonts w:hint="eastAsia" w:eastAsia="楷体_GB2312" w:cs="楷体_GB2312"/>
          <w:color w:val="auto"/>
          <w:highlight w:val="none"/>
        </w:rPr>
        <w:t>条一致。</w:t>
      </w:r>
    </w:p>
    <w:p>
      <w:pPr>
        <w:ind w:firstLine="420" w:firstLineChars="200"/>
        <w:rPr>
          <w:rFonts w:eastAsia="楷体_GB2312"/>
          <w:color w:val="auto"/>
          <w:highlight w:val="none"/>
        </w:rPr>
      </w:pPr>
      <w:r>
        <w:rPr>
          <w:rFonts w:eastAsia="楷体_GB2312"/>
          <w:color w:val="auto"/>
          <w:highlight w:val="none"/>
        </w:rPr>
        <w:t>2</w:t>
      </w:r>
      <w:r>
        <w:rPr>
          <w:rFonts w:hint="eastAsia" w:eastAsia="楷体_GB2312" w:cs="楷体_GB2312"/>
          <w:color w:val="auto"/>
          <w:highlight w:val="none"/>
        </w:rPr>
        <w:t>、所有奖项、业绩均附上证明材料的复印件。</w:t>
      </w:r>
    </w:p>
    <w:p>
      <w:pPr>
        <w:spacing w:beforeLines="50" w:afterLines="50" w:line="440" w:lineRule="exact"/>
        <w:ind w:left="772" w:leftChars="100" w:hanging="562" w:hangingChars="200"/>
        <w:jc w:val="center"/>
        <w:rPr>
          <w:b/>
          <w:color w:val="auto"/>
          <w:sz w:val="28"/>
          <w:szCs w:val="28"/>
          <w:highlight w:val="none"/>
        </w:rPr>
      </w:pPr>
    </w:p>
    <w:p>
      <w:pPr>
        <w:spacing w:beforeLines="50" w:afterLines="50" w:line="440" w:lineRule="exact"/>
        <w:ind w:left="772" w:leftChars="100" w:hanging="562" w:hangingChars="200"/>
        <w:jc w:val="center"/>
        <w:rPr>
          <w:b/>
          <w:color w:val="auto"/>
          <w:sz w:val="28"/>
          <w:szCs w:val="28"/>
          <w:highlight w:val="none"/>
        </w:rPr>
      </w:pPr>
    </w:p>
    <w:p>
      <w:pPr>
        <w:tabs>
          <w:tab w:val="left" w:pos="826"/>
        </w:tabs>
        <w:snapToGrid w:val="0"/>
        <w:ind w:firstLine="420" w:firstLineChars="200"/>
        <w:rPr>
          <w:b/>
          <w:color w:val="auto"/>
          <w:sz w:val="28"/>
          <w:szCs w:val="28"/>
          <w:highlight w:val="none"/>
        </w:rPr>
      </w:pPr>
      <w:r>
        <w:rPr>
          <w:color w:val="auto"/>
          <w:highlight w:val="none"/>
        </w:rPr>
        <w:br w:type="page"/>
      </w:r>
      <w:r>
        <w:rPr>
          <w:rFonts w:hint="eastAsia" w:cs="宋体"/>
          <w:b/>
          <w:color w:val="auto"/>
          <w:sz w:val="24"/>
          <w:szCs w:val="24"/>
          <w:highlight w:val="none"/>
        </w:rPr>
        <w:t>（</w:t>
      </w:r>
      <w:r>
        <w:rPr>
          <w:b/>
          <w:color w:val="auto"/>
          <w:sz w:val="24"/>
          <w:szCs w:val="24"/>
          <w:highlight w:val="none"/>
        </w:rPr>
        <w:t>5</w:t>
      </w:r>
      <w:r>
        <w:rPr>
          <w:rFonts w:hint="eastAsia" w:cs="宋体"/>
          <w:b/>
          <w:color w:val="auto"/>
          <w:sz w:val="24"/>
          <w:szCs w:val="24"/>
          <w:highlight w:val="none"/>
        </w:rPr>
        <w:t>）企业财务状况表（年份要求见“投标人须知前附表”10.1.4）</w:t>
      </w:r>
    </w:p>
    <w:p>
      <w:pPr>
        <w:spacing w:line="460" w:lineRule="exact"/>
        <w:ind w:firstLine="630" w:firstLineChars="300"/>
        <w:rPr>
          <w:color w:val="auto"/>
          <w:highlight w:val="none"/>
        </w:rPr>
      </w:pPr>
    </w:p>
    <w:p>
      <w:pPr>
        <w:spacing w:line="360" w:lineRule="auto"/>
        <w:rPr>
          <w:color w:val="auto"/>
          <w:highlight w:val="none"/>
        </w:rPr>
      </w:pPr>
      <w:r>
        <w:rPr>
          <w:rFonts w:hint="eastAsia" w:eastAsia="楷体_GB2312" w:cs="楷体_GB2312"/>
          <w:color w:val="auto"/>
          <w:highlight w:val="none"/>
        </w:rPr>
        <w:t>【备注：附经会计师事务所或审计机构审计的财务会计报表，包括资产负债表、现金流量表、利润表的复印件。具体年份要求见第二章</w:t>
      </w:r>
      <w:r>
        <w:rPr>
          <w:rFonts w:eastAsia="楷体_GB2312"/>
          <w:color w:val="auto"/>
          <w:highlight w:val="none"/>
        </w:rPr>
        <w:t>“</w:t>
      </w:r>
      <w:r>
        <w:rPr>
          <w:rFonts w:hint="eastAsia" w:eastAsia="楷体_GB2312" w:cs="楷体_GB2312"/>
          <w:color w:val="auto"/>
          <w:highlight w:val="none"/>
        </w:rPr>
        <w:t>投标人须知</w:t>
      </w:r>
      <w:r>
        <w:rPr>
          <w:rFonts w:eastAsia="楷体_GB2312"/>
          <w:color w:val="auto"/>
          <w:highlight w:val="none"/>
        </w:rPr>
        <w:t>”</w:t>
      </w:r>
      <w:r>
        <w:rPr>
          <w:rFonts w:hint="eastAsia" w:eastAsia="楷体_GB2312" w:cs="楷体_GB2312"/>
          <w:color w:val="auto"/>
          <w:highlight w:val="none"/>
        </w:rPr>
        <w:t>的规定。】</w:t>
      </w:r>
    </w:p>
    <w:p>
      <w:pPr>
        <w:spacing w:line="460" w:lineRule="exact"/>
        <w:rPr>
          <w:color w:val="auto"/>
          <w:highlight w:val="none"/>
        </w:rPr>
        <w:sectPr>
          <w:pgSz w:w="11907" w:h="16840"/>
          <w:pgMar w:top="1440" w:right="1440" w:bottom="1440" w:left="1797" w:header="851" w:footer="851" w:gutter="0"/>
          <w:cols w:space="720" w:num="1"/>
          <w:docGrid w:linePitch="312" w:charSpace="0"/>
        </w:sectPr>
      </w:pPr>
    </w:p>
    <w:p>
      <w:pPr>
        <w:jc w:val="center"/>
        <w:rPr>
          <w:color w:val="auto"/>
          <w:sz w:val="28"/>
          <w:szCs w:val="28"/>
          <w:highlight w:val="none"/>
        </w:rPr>
      </w:pPr>
      <w:r>
        <w:rPr>
          <w:color w:val="auto"/>
          <w:sz w:val="32"/>
          <w:szCs w:val="32"/>
          <w:highlight w:val="none"/>
          <w:u w:val="single"/>
        </w:rPr>
        <w:t xml:space="preserve">             </w:t>
      </w:r>
      <w:r>
        <w:rPr>
          <w:rFonts w:hint="eastAsia" w:cs="宋体"/>
          <w:color w:val="auto"/>
          <w:sz w:val="28"/>
          <w:szCs w:val="28"/>
          <w:highlight w:val="none"/>
        </w:rPr>
        <w:t>（项目名称）施工招标</w:t>
      </w:r>
    </w:p>
    <w:p>
      <w:pPr>
        <w:jc w:val="center"/>
        <w:rPr>
          <w:color w:val="auto"/>
          <w:sz w:val="28"/>
          <w:szCs w:val="28"/>
          <w:highlight w:val="none"/>
        </w:rPr>
      </w:pPr>
    </w:p>
    <w:p>
      <w:pPr>
        <w:spacing w:beforeLines="100"/>
        <w:jc w:val="center"/>
        <w:rPr>
          <w:color w:val="auto"/>
          <w:sz w:val="52"/>
          <w:szCs w:val="52"/>
          <w:highlight w:val="none"/>
        </w:rPr>
      </w:pPr>
      <w:r>
        <w:rPr>
          <w:rFonts w:hint="eastAsia" w:cs="宋体"/>
          <w:color w:val="auto"/>
          <w:sz w:val="52"/>
          <w:szCs w:val="52"/>
          <w:highlight w:val="none"/>
        </w:rPr>
        <w:t>投</w:t>
      </w:r>
      <w:r>
        <w:rPr>
          <w:color w:val="auto"/>
          <w:sz w:val="52"/>
          <w:szCs w:val="52"/>
          <w:highlight w:val="none"/>
        </w:rPr>
        <w:t xml:space="preserve">  </w:t>
      </w:r>
      <w:r>
        <w:rPr>
          <w:rFonts w:hint="eastAsia" w:cs="宋体"/>
          <w:color w:val="auto"/>
          <w:sz w:val="52"/>
          <w:szCs w:val="52"/>
          <w:highlight w:val="none"/>
        </w:rPr>
        <w:t>标</w:t>
      </w:r>
      <w:r>
        <w:rPr>
          <w:color w:val="auto"/>
          <w:sz w:val="52"/>
          <w:szCs w:val="52"/>
          <w:highlight w:val="none"/>
        </w:rPr>
        <w:t xml:space="preserve">  </w:t>
      </w:r>
      <w:r>
        <w:rPr>
          <w:rFonts w:hint="eastAsia" w:cs="宋体"/>
          <w:color w:val="auto"/>
          <w:sz w:val="52"/>
          <w:szCs w:val="52"/>
          <w:highlight w:val="none"/>
        </w:rPr>
        <w:t>文</w:t>
      </w:r>
      <w:r>
        <w:rPr>
          <w:color w:val="auto"/>
          <w:sz w:val="52"/>
          <w:szCs w:val="52"/>
          <w:highlight w:val="none"/>
        </w:rPr>
        <w:t xml:space="preserve">  </w:t>
      </w:r>
      <w:r>
        <w:rPr>
          <w:rFonts w:hint="eastAsia" w:cs="宋体"/>
          <w:color w:val="auto"/>
          <w:sz w:val="52"/>
          <w:szCs w:val="52"/>
          <w:highlight w:val="none"/>
        </w:rPr>
        <w:t>件</w:t>
      </w: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spacing w:line="360" w:lineRule="auto"/>
        <w:ind w:firstLine="2380" w:firstLineChars="850"/>
        <w:rPr>
          <w:color w:val="auto"/>
          <w:sz w:val="28"/>
          <w:szCs w:val="28"/>
          <w:highlight w:val="none"/>
          <w:u w:val="single"/>
        </w:rPr>
      </w:pPr>
      <w:r>
        <w:rPr>
          <w:rFonts w:hint="eastAsia" w:cs="宋体"/>
          <w:color w:val="auto"/>
          <w:sz w:val="28"/>
          <w:szCs w:val="28"/>
          <w:highlight w:val="none"/>
        </w:rPr>
        <w:t>项目招标编号：</w:t>
      </w:r>
      <w:r>
        <w:rPr>
          <w:color w:val="auto"/>
          <w:sz w:val="28"/>
          <w:szCs w:val="28"/>
          <w:highlight w:val="none"/>
          <w:u w:val="single"/>
        </w:rPr>
        <w:t xml:space="preserve">                   </w:t>
      </w:r>
    </w:p>
    <w:p>
      <w:pPr>
        <w:jc w:val="center"/>
        <w:rPr>
          <w:color w:val="auto"/>
          <w:sz w:val="32"/>
          <w:szCs w:val="32"/>
          <w:highlight w:val="none"/>
        </w:rPr>
      </w:pPr>
      <w:r>
        <w:rPr>
          <w:color w:val="auto"/>
          <w:sz w:val="32"/>
          <w:szCs w:val="32"/>
          <w:highlight w:val="none"/>
        </w:rPr>
        <w:t>（正本/副本）</w:t>
      </w: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spacing w:line="360" w:lineRule="auto"/>
        <w:ind w:firstLine="1400" w:firstLineChars="500"/>
        <w:rPr>
          <w:color w:val="auto"/>
          <w:sz w:val="28"/>
          <w:szCs w:val="28"/>
          <w:highlight w:val="none"/>
        </w:rPr>
      </w:pPr>
      <w:r>
        <w:rPr>
          <w:rFonts w:hint="eastAsia" w:cs="宋体"/>
          <w:color w:val="auto"/>
          <w:sz w:val="28"/>
          <w:szCs w:val="28"/>
          <w:highlight w:val="none"/>
        </w:rPr>
        <w:t>投标内容：</w:t>
      </w:r>
      <w:r>
        <w:rPr>
          <w:color w:val="auto"/>
          <w:sz w:val="28"/>
          <w:szCs w:val="28"/>
          <w:highlight w:val="none"/>
          <w:u w:val="single"/>
        </w:rPr>
        <w:t xml:space="preserve">            </w:t>
      </w:r>
      <w:r>
        <w:rPr>
          <w:rFonts w:hint="eastAsia" w:cs="宋体"/>
          <w:color w:val="auto"/>
          <w:sz w:val="28"/>
          <w:szCs w:val="28"/>
          <w:highlight w:val="none"/>
          <w:u w:val="single"/>
        </w:rPr>
        <w:t>商务标部分</w:t>
      </w:r>
      <w:r>
        <w:rPr>
          <w:color w:val="auto"/>
          <w:sz w:val="28"/>
          <w:szCs w:val="28"/>
          <w:highlight w:val="none"/>
          <w:u w:val="single"/>
        </w:rPr>
        <w:t xml:space="preserve">           </w:t>
      </w:r>
    </w:p>
    <w:p>
      <w:pPr>
        <w:spacing w:line="360" w:lineRule="auto"/>
        <w:ind w:firstLine="1400" w:firstLineChars="500"/>
        <w:rPr>
          <w:color w:val="auto"/>
          <w:sz w:val="28"/>
          <w:szCs w:val="28"/>
          <w:highlight w:val="none"/>
        </w:rPr>
      </w:pPr>
      <w:r>
        <w:rPr>
          <w:rFonts w:hint="eastAsia" w:cs="宋体"/>
          <w:color w:val="auto"/>
          <w:sz w:val="28"/>
          <w:szCs w:val="28"/>
          <w:highlight w:val="none"/>
        </w:rPr>
        <w:t>投标人：</w:t>
      </w:r>
      <w:r>
        <w:rPr>
          <w:color w:val="auto"/>
          <w:sz w:val="28"/>
          <w:szCs w:val="28"/>
          <w:highlight w:val="none"/>
          <w:u w:val="single"/>
        </w:rPr>
        <w:t xml:space="preserve">                                 </w:t>
      </w:r>
      <w:r>
        <w:rPr>
          <w:rFonts w:hint="eastAsia" w:cs="宋体"/>
          <w:color w:val="auto"/>
          <w:sz w:val="28"/>
          <w:szCs w:val="28"/>
          <w:highlight w:val="none"/>
        </w:rPr>
        <w:t>（盖单位章）</w:t>
      </w:r>
    </w:p>
    <w:p>
      <w:pPr>
        <w:spacing w:line="360" w:lineRule="auto"/>
        <w:ind w:firstLine="1400" w:firstLineChars="500"/>
        <w:rPr>
          <w:color w:val="auto"/>
          <w:sz w:val="28"/>
          <w:szCs w:val="28"/>
          <w:highlight w:val="none"/>
        </w:rPr>
      </w:pPr>
      <w:r>
        <w:rPr>
          <w:rFonts w:hint="eastAsia" w:cs="宋体"/>
          <w:color w:val="auto"/>
          <w:sz w:val="28"/>
          <w:szCs w:val="28"/>
          <w:highlight w:val="none"/>
        </w:rPr>
        <w:t>法定代表人：</w:t>
      </w:r>
      <w:r>
        <w:rPr>
          <w:color w:val="auto"/>
          <w:sz w:val="28"/>
          <w:szCs w:val="28"/>
          <w:highlight w:val="none"/>
          <w:u w:val="single"/>
        </w:rPr>
        <w:t xml:space="preserve">              </w:t>
      </w:r>
      <w:r>
        <w:rPr>
          <w:rFonts w:hint="eastAsia" w:cs="宋体"/>
          <w:color w:val="auto"/>
          <w:sz w:val="28"/>
          <w:szCs w:val="28"/>
          <w:highlight w:val="none"/>
        </w:rPr>
        <w:t>（签字或盖章）</w:t>
      </w:r>
    </w:p>
    <w:p>
      <w:pPr>
        <w:jc w:val="center"/>
        <w:rPr>
          <w:color w:val="auto"/>
          <w:sz w:val="28"/>
          <w:szCs w:val="28"/>
          <w:highlight w:val="none"/>
        </w:rPr>
      </w:pPr>
    </w:p>
    <w:p>
      <w:pPr>
        <w:jc w:val="center"/>
        <w:rPr>
          <w:color w:val="auto"/>
          <w:sz w:val="28"/>
          <w:szCs w:val="28"/>
          <w:highlight w:val="none"/>
        </w:rPr>
      </w:pPr>
    </w:p>
    <w:p>
      <w:pPr>
        <w:jc w:val="center"/>
        <w:rPr>
          <w:color w:val="auto"/>
          <w:sz w:val="28"/>
          <w:szCs w:val="28"/>
          <w:highlight w:val="none"/>
        </w:rPr>
      </w:pPr>
      <w:r>
        <w:rPr>
          <w:color w:val="auto"/>
          <w:sz w:val="28"/>
          <w:szCs w:val="28"/>
          <w:highlight w:val="none"/>
          <w:u w:val="single"/>
        </w:rPr>
        <w:t xml:space="preserve">         </w:t>
      </w:r>
      <w:r>
        <w:rPr>
          <w:rFonts w:hint="eastAsia" w:cs="宋体"/>
          <w:color w:val="auto"/>
          <w:sz w:val="28"/>
          <w:szCs w:val="28"/>
          <w:highlight w:val="none"/>
        </w:rPr>
        <w:t>年</w:t>
      </w:r>
      <w:r>
        <w:rPr>
          <w:color w:val="auto"/>
          <w:sz w:val="28"/>
          <w:szCs w:val="28"/>
          <w:highlight w:val="none"/>
          <w:u w:val="single"/>
        </w:rPr>
        <w:t xml:space="preserve">         </w:t>
      </w:r>
      <w:r>
        <w:rPr>
          <w:rFonts w:hint="eastAsia" w:cs="宋体"/>
          <w:color w:val="auto"/>
          <w:sz w:val="28"/>
          <w:szCs w:val="28"/>
          <w:highlight w:val="none"/>
        </w:rPr>
        <w:t>月</w:t>
      </w:r>
      <w:r>
        <w:rPr>
          <w:color w:val="auto"/>
          <w:sz w:val="28"/>
          <w:szCs w:val="28"/>
          <w:highlight w:val="none"/>
          <w:u w:val="single"/>
        </w:rPr>
        <w:t xml:space="preserve">         </w:t>
      </w:r>
      <w:r>
        <w:rPr>
          <w:rFonts w:hint="eastAsia" w:cs="宋体"/>
          <w:color w:val="auto"/>
          <w:sz w:val="28"/>
          <w:szCs w:val="28"/>
          <w:highlight w:val="none"/>
        </w:rPr>
        <w:t>日</w:t>
      </w:r>
    </w:p>
    <w:p>
      <w:pPr>
        <w:pStyle w:val="146"/>
        <w:jc w:val="center"/>
        <w:outlineLvl w:val="0"/>
        <w:rPr>
          <w:b/>
          <w:color w:val="auto"/>
          <w:highlight w:val="none"/>
        </w:rPr>
      </w:pPr>
      <w:r>
        <w:rPr>
          <w:color w:val="auto"/>
          <w:highlight w:val="none"/>
        </w:rPr>
        <w:br w:type="page"/>
      </w:r>
      <w:bookmarkStart w:id="1554" w:name="_Toc389065355"/>
      <w:r>
        <w:rPr>
          <w:rFonts w:hint="eastAsia" w:cs="宋体"/>
          <w:b/>
          <w:color w:val="auto"/>
          <w:sz w:val="24"/>
          <w:szCs w:val="24"/>
          <w:highlight w:val="none"/>
        </w:rPr>
        <w:t>一、投标函</w:t>
      </w:r>
      <w:bookmarkEnd w:id="1554"/>
    </w:p>
    <w:p>
      <w:pPr>
        <w:tabs>
          <w:tab w:val="left" w:pos="7560"/>
        </w:tabs>
        <w:spacing w:line="460" w:lineRule="exact"/>
        <w:ind w:firstLine="420" w:firstLineChars="200"/>
        <w:rPr>
          <w:color w:val="auto"/>
          <w:highlight w:val="none"/>
        </w:rPr>
      </w:pPr>
      <w:r>
        <w:rPr>
          <w:color w:val="auto"/>
          <w:highlight w:val="none"/>
        </w:rPr>
        <w:t>1</w:t>
      </w:r>
      <w:r>
        <w:rPr>
          <w:rFonts w:hint="eastAsia" w:cs="宋体"/>
          <w:color w:val="auto"/>
          <w:highlight w:val="none"/>
        </w:rPr>
        <w:t>、根据你方项目招标编号为</w:t>
      </w:r>
      <w:r>
        <w:rPr>
          <w:color w:val="auto"/>
          <w:highlight w:val="none"/>
          <w:u w:val="single"/>
        </w:rPr>
        <w:t xml:space="preserve">  </w:t>
      </w:r>
      <w:r>
        <w:rPr>
          <w:rFonts w:hint="eastAsia" w:cs="宋体"/>
          <w:color w:val="auto"/>
          <w:highlight w:val="none"/>
          <w:u w:val="single"/>
        </w:rPr>
        <w:t>（项目招标编号）</w:t>
      </w:r>
      <w:r>
        <w:rPr>
          <w:color w:val="auto"/>
          <w:highlight w:val="none"/>
          <w:u w:val="single"/>
        </w:rPr>
        <w:t xml:space="preserve">  </w:t>
      </w:r>
      <w:r>
        <w:rPr>
          <w:rFonts w:hint="eastAsia" w:cs="宋体"/>
          <w:color w:val="auto"/>
          <w:highlight w:val="none"/>
        </w:rPr>
        <w:t>的</w:t>
      </w:r>
      <w:r>
        <w:rPr>
          <w:color w:val="auto"/>
          <w:highlight w:val="none"/>
          <w:u w:val="single"/>
        </w:rPr>
        <w:t xml:space="preserve">  </w:t>
      </w:r>
      <w:r>
        <w:rPr>
          <w:rFonts w:hint="eastAsia" w:cs="宋体"/>
          <w:color w:val="auto"/>
          <w:highlight w:val="none"/>
          <w:u w:val="single"/>
        </w:rPr>
        <w:t>（工程项目名称）</w:t>
      </w:r>
      <w:r>
        <w:rPr>
          <w:color w:val="auto"/>
          <w:highlight w:val="none"/>
          <w:u w:val="single"/>
        </w:rPr>
        <w:t xml:space="preserve">  </w:t>
      </w:r>
      <w:r>
        <w:rPr>
          <w:rFonts w:hint="eastAsia" w:cs="宋体"/>
          <w:color w:val="auto"/>
          <w:highlight w:val="none"/>
        </w:rPr>
        <w:t>工程招标文件，遵照《中华人民共和国招标投标法》等有关规定，经踏勘项目现场和研究上述招标文件的投标须知、合同条款、图纸、工程建设标准和工程量清单及其他有关文件后，我方愿以人民币（大写）</w:t>
      </w:r>
      <w:r>
        <w:rPr>
          <w:color w:val="auto"/>
          <w:highlight w:val="none"/>
          <w:u w:val="single"/>
        </w:rPr>
        <w:t xml:space="preserve">      </w:t>
      </w:r>
      <w:r>
        <w:rPr>
          <w:rFonts w:hint="eastAsia" w:cs="宋体"/>
          <w:color w:val="auto"/>
          <w:highlight w:val="none"/>
        </w:rPr>
        <w:t>（</w:t>
      </w:r>
      <w:r>
        <w:rPr>
          <w:color w:val="auto"/>
          <w:highlight w:val="none"/>
        </w:rPr>
        <w:t>RMB</w:t>
      </w:r>
      <w:r>
        <w:rPr>
          <w:rFonts w:hint="eastAsia" w:cs="宋体"/>
          <w:color w:val="auto"/>
          <w:highlight w:val="none"/>
          <w:u w:val="single"/>
        </w:rPr>
        <w:t>￥</w:t>
      </w:r>
      <w:r>
        <w:rPr>
          <w:color w:val="auto"/>
          <w:highlight w:val="none"/>
          <w:u w:val="single"/>
        </w:rPr>
        <w:t xml:space="preserve">      </w:t>
      </w:r>
      <w:r>
        <w:rPr>
          <w:rFonts w:hint="eastAsia" w:cs="宋体"/>
          <w:color w:val="auto"/>
          <w:highlight w:val="none"/>
        </w:rPr>
        <w:t>元）的投标总价并按上述图纸、合同条款、工程建设标准和工程量清单（如有时）的条件要求承包上述工程的施工、竣工，并承担任何质量缺陷保修责任。我方保证工程质量达到</w:t>
      </w:r>
      <w:r>
        <w:rPr>
          <w:color w:val="auto"/>
          <w:highlight w:val="none"/>
          <w:u w:val="single"/>
        </w:rPr>
        <w:t xml:space="preserve">       </w:t>
      </w:r>
      <w:r>
        <w:rPr>
          <w:rFonts w:hint="eastAsia" w:cs="宋体"/>
          <w:color w:val="auto"/>
          <w:highlight w:val="none"/>
        </w:rPr>
        <w:t>等级。</w:t>
      </w:r>
    </w:p>
    <w:p>
      <w:pPr>
        <w:tabs>
          <w:tab w:val="left" w:pos="7560"/>
        </w:tabs>
        <w:spacing w:line="460" w:lineRule="exact"/>
        <w:ind w:firstLine="420" w:firstLineChars="200"/>
        <w:rPr>
          <w:color w:val="auto"/>
          <w:highlight w:val="none"/>
        </w:rPr>
      </w:pPr>
      <w:r>
        <w:rPr>
          <w:color w:val="auto"/>
          <w:highlight w:val="none"/>
        </w:rPr>
        <w:t>2</w:t>
      </w:r>
      <w:r>
        <w:rPr>
          <w:rFonts w:hint="eastAsia" w:cs="宋体"/>
          <w:color w:val="auto"/>
          <w:highlight w:val="none"/>
        </w:rPr>
        <w:t>、我方已详细审核全部招标文件，包括修改文件（如有时）及有关附件。</w:t>
      </w:r>
    </w:p>
    <w:p>
      <w:pPr>
        <w:tabs>
          <w:tab w:val="left" w:pos="7560"/>
        </w:tabs>
        <w:spacing w:line="460" w:lineRule="exact"/>
        <w:ind w:firstLine="420" w:firstLineChars="200"/>
        <w:rPr>
          <w:color w:val="auto"/>
          <w:highlight w:val="none"/>
        </w:rPr>
      </w:pPr>
      <w:r>
        <w:rPr>
          <w:color w:val="auto"/>
          <w:highlight w:val="none"/>
        </w:rPr>
        <w:t>3</w:t>
      </w:r>
      <w:r>
        <w:rPr>
          <w:rFonts w:hint="eastAsia" w:cs="宋体"/>
          <w:color w:val="auto"/>
          <w:highlight w:val="none"/>
        </w:rPr>
        <w:t>、我方承认投标函附录是我方投标函的组成部分。</w:t>
      </w:r>
    </w:p>
    <w:p>
      <w:pPr>
        <w:tabs>
          <w:tab w:val="left" w:pos="7560"/>
        </w:tabs>
        <w:spacing w:line="460" w:lineRule="exact"/>
        <w:ind w:firstLine="420" w:firstLineChars="200"/>
        <w:rPr>
          <w:color w:val="auto"/>
          <w:highlight w:val="none"/>
        </w:rPr>
      </w:pPr>
      <w:r>
        <w:rPr>
          <w:color w:val="auto"/>
          <w:highlight w:val="none"/>
        </w:rPr>
        <w:t>4</w:t>
      </w:r>
      <w:r>
        <w:rPr>
          <w:rFonts w:hint="eastAsia" w:cs="宋体"/>
          <w:color w:val="auto"/>
          <w:highlight w:val="none"/>
        </w:rPr>
        <w:t>、一旦我方中标，我方保证按合同书中规定的工期</w:t>
      </w:r>
      <w:r>
        <w:rPr>
          <w:color w:val="auto"/>
          <w:highlight w:val="none"/>
          <w:u w:val="single"/>
        </w:rPr>
        <w:t xml:space="preserve">        </w:t>
      </w:r>
      <w:r>
        <w:rPr>
          <w:rFonts w:hint="eastAsia" w:cs="宋体"/>
          <w:color w:val="auto"/>
          <w:highlight w:val="none"/>
        </w:rPr>
        <w:t>日历天内完成并移交全部工程。</w:t>
      </w:r>
    </w:p>
    <w:p>
      <w:pPr>
        <w:tabs>
          <w:tab w:val="left" w:pos="7560"/>
        </w:tabs>
        <w:spacing w:line="460" w:lineRule="exact"/>
        <w:ind w:firstLine="420" w:firstLineChars="200"/>
        <w:rPr>
          <w:color w:val="auto"/>
          <w:highlight w:val="none"/>
        </w:rPr>
      </w:pPr>
      <w:r>
        <w:rPr>
          <w:color w:val="auto"/>
          <w:highlight w:val="none"/>
        </w:rPr>
        <w:t>5</w:t>
      </w:r>
      <w:r>
        <w:rPr>
          <w:rFonts w:hint="eastAsia" w:cs="宋体"/>
          <w:color w:val="auto"/>
          <w:highlight w:val="none"/>
        </w:rPr>
        <w:t>、如果我方中标，我方将按照文件规定提交履约保证金作为履约担保。</w:t>
      </w:r>
    </w:p>
    <w:p>
      <w:pPr>
        <w:tabs>
          <w:tab w:val="left" w:pos="7560"/>
        </w:tabs>
        <w:spacing w:line="460" w:lineRule="exact"/>
        <w:ind w:firstLine="420" w:firstLineChars="200"/>
        <w:rPr>
          <w:color w:val="auto"/>
          <w:highlight w:val="none"/>
        </w:rPr>
      </w:pPr>
      <w:r>
        <w:rPr>
          <w:color w:val="auto"/>
          <w:highlight w:val="none"/>
        </w:rPr>
        <w:t>6</w:t>
      </w:r>
      <w:r>
        <w:rPr>
          <w:rFonts w:hint="eastAsia" w:cs="宋体"/>
          <w:color w:val="auto"/>
          <w:highlight w:val="none"/>
        </w:rPr>
        <w:t>、我方同意所提交的投标文件在招标文件的“投标人须知”中第</w:t>
      </w:r>
      <w:r>
        <w:rPr>
          <w:color w:val="auto"/>
          <w:highlight w:val="none"/>
        </w:rPr>
        <w:t>3.3.1</w:t>
      </w:r>
      <w:r>
        <w:rPr>
          <w:rFonts w:hint="eastAsia" w:cs="宋体"/>
          <w:color w:val="auto"/>
          <w:highlight w:val="none"/>
        </w:rPr>
        <w:t>条规定的投标有效期内有效，在此期间内如果中标，我方将受此约束。</w:t>
      </w:r>
    </w:p>
    <w:p>
      <w:pPr>
        <w:tabs>
          <w:tab w:val="left" w:pos="7560"/>
        </w:tabs>
        <w:spacing w:line="460" w:lineRule="exact"/>
        <w:ind w:firstLine="420" w:firstLineChars="200"/>
        <w:rPr>
          <w:rFonts w:cs="宋体"/>
          <w:color w:val="auto"/>
          <w:highlight w:val="none"/>
        </w:rPr>
      </w:pPr>
      <w:r>
        <w:rPr>
          <w:color w:val="auto"/>
          <w:highlight w:val="none"/>
        </w:rPr>
        <w:t>7</w:t>
      </w:r>
      <w:r>
        <w:rPr>
          <w:rFonts w:hint="eastAsia" w:cs="宋体"/>
          <w:color w:val="auto"/>
          <w:highlight w:val="none"/>
        </w:rPr>
        <w:t>、除非另外达成协议并生效，你方的中标通知书和本投标文件将成为约束双方的合同文件的组成部分。</w:t>
      </w:r>
    </w:p>
    <w:p>
      <w:pPr>
        <w:tabs>
          <w:tab w:val="left" w:pos="7560"/>
        </w:tabs>
        <w:spacing w:line="460" w:lineRule="exact"/>
        <w:ind w:firstLine="420" w:firstLineChars="200"/>
        <w:rPr>
          <w:color w:val="auto"/>
          <w:highlight w:val="none"/>
        </w:rPr>
      </w:pPr>
      <w:r>
        <w:rPr>
          <w:rFonts w:hint="eastAsia"/>
          <w:color w:val="auto"/>
          <w:highlight w:val="none"/>
        </w:rPr>
        <w:t>8、我方向贵方提交的所有投标文件、资料都是准确的和真实的。</w:t>
      </w:r>
    </w:p>
    <w:p>
      <w:pPr>
        <w:tabs>
          <w:tab w:val="left" w:pos="7560"/>
        </w:tabs>
        <w:spacing w:line="460" w:lineRule="exact"/>
        <w:ind w:firstLine="420" w:firstLineChars="200"/>
        <w:rPr>
          <w:color w:val="auto"/>
          <w:highlight w:val="none"/>
        </w:rPr>
      </w:pPr>
      <w:r>
        <w:rPr>
          <w:rFonts w:hint="eastAsia"/>
          <w:color w:val="auto"/>
          <w:highlight w:val="none"/>
        </w:rPr>
        <w:t>9、我方不是招标人的附属机构；也不是为本项目提供整体设计、规范编制或者项目管理、监理、检测等服务的单位或其附属机构。</w:t>
      </w:r>
    </w:p>
    <w:p>
      <w:pPr>
        <w:tabs>
          <w:tab w:val="left" w:pos="7560"/>
        </w:tabs>
        <w:spacing w:line="460" w:lineRule="exact"/>
        <w:ind w:firstLine="420" w:firstLineChars="200"/>
        <w:rPr>
          <w:color w:val="auto"/>
          <w:highlight w:val="none"/>
        </w:rPr>
      </w:pPr>
      <w:r>
        <w:rPr>
          <w:rFonts w:hint="eastAsia"/>
          <w:color w:val="auto"/>
          <w:highlight w:val="none"/>
        </w:rPr>
        <w:t>1</w:t>
      </w:r>
      <w:r>
        <w:rPr>
          <w:color w:val="auto"/>
          <w:highlight w:val="none"/>
        </w:rPr>
        <w:t>0</w:t>
      </w:r>
      <w:r>
        <w:rPr>
          <w:rFonts w:hint="eastAsia"/>
          <w:color w:val="auto"/>
          <w:highlight w:val="none"/>
        </w:rPr>
        <w:t>、我方承诺在参加本政府采购项目活动前，没有被纳入政府部门或银行认定的失信名单，我方具有良好的商业信誉。</w:t>
      </w:r>
    </w:p>
    <w:p>
      <w:pPr>
        <w:tabs>
          <w:tab w:val="left" w:pos="7560"/>
        </w:tabs>
        <w:spacing w:line="460" w:lineRule="exact"/>
        <w:ind w:firstLine="420" w:firstLineChars="200"/>
        <w:rPr>
          <w:color w:val="auto"/>
          <w:highlight w:val="none"/>
        </w:rPr>
      </w:pPr>
      <w:r>
        <w:rPr>
          <w:rFonts w:hint="eastAsia"/>
          <w:color w:val="auto"/>
          <w:highlight w:val="none"/>
        </w:rPr>
        <w:t>1</w:t>
      </w:r>
      <w:r>
        <w:rPr>
          <w:color w:val="auto"/>
          <w:highlight w:val="none"/>
        </w:rPr>
        <w:t>1</w:t>
      </w:r>
      <w:r>
        <w:rPr>
          <w:rFonts w:hint="eastAsia"/>
          <w:color w:val="auto"/>
          <w:highlight w:val="none"/>
        </w:rPr>
        <w:t>、我方及本人承诺在参加本政府采购项目活动前三年内，在经营活动中没有重大违法记录及不良信用记录。重大违法记录是指供应商因违法经营受到刑事处罚或者责令停产停业、吊销许可证或者执照、较大数额罚款等行政处罚。如我方提供的声明不实，则自愿承担《政府采购法》有关提供虚假材料的规定给予的处罚。</w:t>
      </w:r>
    </w:p>
    <w:p>
      <w:pPr>
        <w:tabs>
          <w:tab w:val="left" w:pos="7560"/>
        </w:tabs>
        <w:spacing w:line="460" w:lineRule="exact"/>
        <w:ind w:firstLine="420" w:firstLineChars="200"/>
        <w:rPr>
          <w:color w:val="auto"/>
          <w:highlight w:val="none"/>
        </w:rPr>
      </w:pPr>
      <w:r>
        <w:rPr>
          <w:rFonts w:hint="eastAsia"/>
          <w:color w:val="auto"/>
          <w:highlight w:val="none"/>
        </w:rPr>
        <w:t>1</w:t>
      </w:r>
      <w:r>
        <w:rPr>
          <w:color w:val="auto"/>
          <w:highlight w:val="none"/>
        </w:rPr>
        <w:t>2</w:t>
      </w:r>
      <w:r>
        <w:rPr>
          <w:rFonts w:hint="eastAsia"/>
          <w:color w:val="auto"/>
          <w:highlight w:val="none"/>
        </w:rPr>
        <w:t>、我方承诺具有履行本项目合同所必需的设备和专业技术能力。</w:t>
      </w:r>
    </w:p>
    <w:p>
      <w:pPr>
        <w:tabs>
          <w:tab w:val="left" w:pos="7560"/>
        </w:tabs>
        <w:spacing w:line="460" w:lineRule="exact"/>
        <w:ind w:firstLine="420" w:firstLineChars="200"/>
        <w:rPr>
          <w:color w:val="auto"/>
          <w:highlight w:val="none"/>
        </w:rPr>
      </w:pPr>
      <w:r>
        <w:rPr>
          <w:rFonts w:hint="eastAsia"/>
          <w:color w:val="auto"/>
          <w:highlight w:val="none"/>
        </w:rPr>
        <w:t>1</w:t>
      </w:r>
      <w:r>
        <w:rPr>
          <w:color w:val="auto"/>
          <w:highlight w:val="none"/>
        </w:rPr>
        <w:t>3</w:t>
      </w:r>
      <w:r>
        <w:rPr>
          <w:rFonts w:hint="eastAsia"/>
          <w:color w:val="auto"/>
          <w:highlight w:val="none"/>
        </w:rPr>
        <w:t>、我方承诺未被列入失信被执行人、重大税收违法案件当事人名单、政府采购严重违法失信行为记录名单，如我方提供的声明不实，则接受本次投标作为否决投标的处理，并根据财库〔2016〕125号《财政部关于在政府采购活动中查询及使用信用记录有关问题的通知》规定接受失信联合惩戒。</w:t>
      </w: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ind w:left="1000"/>
        <w:rPr>
          <w:color w:val="auto"/>
          <w:highlight w:val="none"/>
          <w:u w:val="single"/>
        </w:rPr>
      </w:pPr>
      <w:r>
        <w:rPr>
          <w:color w:val="auto"/>
          <w:highlight w:val="none"/>
        </w:rPr>
        <w:t xml:space="preserve">         </w:t>
      </w:r>
      <w:r>
        <w:rPr>
          <w:rFonts w:hint="eastAsia" w:cs="宋体"/>
          <w:color w:val="auto"/>
          <w:highlight w:val="none"/>
        </w:rPr>
        <w:t>投</w:t>
      </w:r>
      <w:r>
        <w:rPr>
          <w:color w:val="auto"/>
          <w:highlight w:val="none"/>
        </w:rPr>
        <w:t xml:space="preserve"> </w:t>
      </w:r>
      <w:r>
        <w:rPr>
          <w:rFonts w:hint="eastAsia" w:cs="宋体"/>
          <w:color w:val="auto"/>
          <w:highlight w:val="none"/>
        </w:rPr>
        <w:t>标</w:t>
      </w:r>
      <w:r>
        <w:rPr>
          <w:color w:val="auto"/>
          <w:highlight w:val="none"/>
        </w:rPr>
        <w:t xml:space="preserve"> </w:t>
      </w:r>
      <w:r>
        <w:rPr>
          <w:rFonts w:hint="eastAsia" w:cs="宋体"/>
          <w:color w:val="auto"/>
          <w:highlight w:val="none"/>
        </w:rPr>
        <w:t>人：</w:t>
      </w:r>
      <w:r>
        <w:rPr>
          <w:color w:val="auto"/>
          <w:highlight w:val="none"/>
          <w:u w:val="single"/>
        </w:rPr>
        <w:t xml:space="preserve">                                        </w:t>
      </w:r>
      <w:r>
        <w:rPr>
          <w:rFonts w:hint="eastAsia" w:cs="宋体"/>
          <w:color w:val="auto"/>
          <w:highlight w:val="none"/>
          <w:u w:val="single"/>
        </w:rPr>
        <w:t>（盖单位章）</w:t>
      </w:r>
    </w:p>
    <w:p>
      <w:pPr>
        <w:spacing w:line="360" w:lineRule="auto"/>
        <w:ind w:left="1000"/>
        <w:rPr>
          <w:color w:val="auto"/>
          <w:highlight w:val="none"/>
          <w:u w:val="single"/>
        </w:rPr>
      </w:pPr>
      <w:r>
        <w:rPr>
          <w:color w:val="auto"/>
          <w:highlight w:val="none"/>
        </w:rPr>
        <w:t xml:space="preserve">         </w:t>
      </w:r>
      <w:r>
        <w:rPr>
          <w:rFonts w:hint="eastAsia" w:cs="宋体"/>
          <w:color w:val="auto"/>
          <w:highlight w:val="none"/>
        </w:rPr>
        <w:t>单位地址：</w:t>
      </w:r>
      <w:r>
        <w:rPr>
          <w:color w:val="auto"/>
          <w:highlight w:val="none"/>
          <w:u w:val="single"/>
        </w:rPr>
        <w:t xml:space="preserve">                                        </w:t>
      </w:r>
    </w:p>
    <w:p>
      <w:pPr>
        <w:spacing w:line="360" w:lineRule="auto"/>
        <w:ind w:left="1000"/>
        <w:rPr>
          <w:color w:val="auto"/>
          <w:highlight w:val="none"/>
          <w:u w:val="single"/>
        </w:rPr>
      </w:pPr>
      <w:r>
        <w:rPr>
          <w:color w:val="auto"/>
          <w:highlight w:val="none"/>
        </w:rPr>
        <w:t xml:space="preserve">         </w:t>
      </w:r>
      <w:r>
        <w:rPr>
          <w:rFonts w:hint="eastAsia" w:cs="宋体"/>
          <w:color w:val="auto"/>
          <w:highlight w:val="none"/>
        </w:rPr>
        <w:t>法定代表人：</w:t>
      </w:r>
      <w:r>
        <w:rPr>
          <w:color w:val="auto"/>
          <w:highlight w:val="none"/>
          <w:u w:val="single"/>
        </w:rPr>
        <w:t xml:space="preserve">      </w:t>
      </w:r>
      <w:r>
        <w:rPr>
          <w:rFonts w:hint="eastAsia" w:cs="宋体"/>
          <w:color w:val="auto"/>
          <w:highlight w:val="none"/>
          <w:u w:val="single"/>
        </w:rPr>
        <w:t>（签字或盖章）</w:t>
      </w:r>
    </w:p>
    <w:p>
      <w:pPr>
        <w:spacing w:line="360" w:lineRule="auto"/>
        <w:ind w:left="1000" w:leftChars="476" w:firstLine="945" w:firstLineChars="450"/>
        <w:rPr>
          <w:color w:val="auto"/>
          <w:highlight w:val="none"/>
        </w:rPr>
      </w:pPr>
      <w:r>
        <w:rPr>
          <w:rFonts w:hint="eastAsia" w:cs="宋体"/>
          <w:color w:val="auto"/>
          <w:highlight w:val="none"/>
        </w:rPr>
        <w:t>邮政编码：</w:t>
      </w:r>
      <w:r>
        <w:rPr>
          <w:color w:val="auto"/>
          <w:highlight w:val="none"/>
          <w:u w:val="single"/>
        </w:rPr>
        <w:t xml:space="preserve">          </w:t>
      </w:r>
      <w:r>
        <w:rPr>
          <w:rFonts w:hint="eastAsia" w:cs="宋体"/>
          <w:color w:val="auto"/>
          <w:highlight w:val="none"/>
        </w:rPr>
        <w:t>电话：</w:t>
      </w:r>
      <w:r>
        <w:rPr>
          <w:color w:val="auto"/>
          <w:highlight w:val="none"/>
          <w:u w:val="single"/>
        </w:rPr>
        <w:t xml:space="preserve">         </w:t>
      </w:r>
      <w:r>
        <w:rPr>
          <w:color w:val="auto"/>
          <w:highlight w:val="none"/>
        </w:rPr>
        <w:t xml:space="preserve"> </w:t>
      </w:r>
      <w:r>
        <w:rPr>
          <w:rFonts w:hint="eastAsia" w:cs="宋体"/>
          <w:color w:val="auto"/>
          <w:highlight w:val="none"/>
        </w:rPr>
        <w:t>传真：</w:t>
      </w:r>
      <w:r>
        <w:rPr>
          <w:color w:val="auto"/>
          <w:highlight w:val="none"/>
          <w:u w:val="single"/>
        </w:rPr>
        <w:t xml:space="preserve">          </w:t>
      </w:r>
    </w:p>
    <w:p>
      <w:pPr>
        <w:spacing w:line="360" w:lineRule="auto"/>
        <w:ind w:left="1000"/>
        <w:rPr>
          <w:color w:val="auto"/>
          <w:highlight w:val="none"/>
        </w:rPr>
      </w:pPr>
      <w:r>
        <w:rPr>
          <w:color w:val="auto"/>
          <w:highlight w:val="none"/>
        </w:rPr>
        <w:t xml:space="preserve">         </w:t>
      </w:r>
      <w:r>
        <w:rPr>
          <w:rFonts w:hint="eastAsia" w:cs="宋体"/>
          <w:color w:val="auto"/>
          <w:highlight w:val="none"/>
        </w:rPr>
        <w:t>开户银行名称：</w:t>
      </w:r>
      <w:r>
        <w:rPr>
          <w:color w:val="auto"/>
          <w:highlight w:val="none"/>
          <w:u w:val="single"/>
        </w:rPr>
        <w:t xml:space="preserve">                                    </w:t>
      </w:r>
    </w:p>
    <w:p>
      <w:pPr>
        <w:spacing w:line="360" w:lineRule="auto"/>
        <w:ind w:left="1000"/>
        <w:rPr>
          <w:color w:val="auto"/>
          <w:highlight w:val="none"/>
        </w:rPr>
      </w:pPr>
      <w:r>
        <w:rPr>
          <w:color w:val="auto"/>
          <w:highlight w:val="none"/>
        </w:rPr>
        <w:t xml:space="preserve">         </w:t>
      </w:r>
      <w:r>
        <w:rPr>
          <w:rFonts w:hint="eastAsia" w:cs="宋体"/>
          <w:color w:val="auto"/>
          <w:highlight w:val="none"/>
        </w:rPr>
        <w:t>开户银行账号：</w:t>
      </w:r>
      <w:r>
        <w:rPr>
          <w:color w:val="auto"/>
          <w:highlight w:val="none"/>
          <w:u w:val="single"/>
        </w:rPr>
        <w:t xml:space="preserve">                                    </w:t>
      </w:r>
    </w:p>
    <w:p>
      <w:pPr>
        <w:spacing w:line="360" w:lineRule="auto"/>
        <w:ind w:left="1000"/>
        <w:rPr>
          <w:color w:val="auto"/>
          <w:highlight w:val="none"/>
        </w:rPr>
      </w:pPr>
      <w:r>
        <w:rPr>
          <w:color w:val="auto"/>
          <w:highlight w:val="none"/>
        </w:rPr>
        <w:t xml:space="preserve">         </w:t>
      </w:r>
      <w:r>
        <w:rPr>
          <w:rFonts w:hint="eastAsia" w:cs="宋体"/>
          <w:color w:val="auto"/>
          <w:highlight w:val="none"/>
        </w:rPr>
        <w:t>开户银行地址：</w:t>
      </w:r>
      <w:r>
        <w:rPr>
          <w:color w:val="auto"/>
          <w:highlight w:val="none"/>
          <w:u w:val="single"/>
        </w:rPr>
        <w:t xml:space="preserve">                                    </w:t>
      </w:r>
    </w:p>
    <w:p>
      <w:pPr>
        <w:spacing w:line="360" w:lineRule="auto"/>
        <w:ind w:left="1000"/>
        <w:rPr>
          <w:color w:val="auto"/>
          <w:highlight w:val="none"/>
        </w:rPr>
      </w:pPr>
      <w:r>
        <w:rPr>
          <w:color w:val="auto"/>
          <w:highlight w:val="none"/>
        </w:rPr>
        <w:t xml:space="preserve">         </w:t>
      </w:r>
      <w:r>
        <w:rPr>
          <w:rFonts w:hint="eastAsia" w:cs="宋体"/>
          <w:color w:val="auto"/>
          <w:highlight w:val="none"/>
        </w:rPr>
        <w:t>开户银行电话：</w:t>
      </w:r>
      <w:r>
        <w:rPr>
          <w:color w:val="auto"/>
          <w:highlight w:val="none"/>
          <w:u w:val="single"/>
        </w:rPr>
        <w:t xml:space="preserve">                                    </w:t>
      </w:r>
    </w:p>
    <w:p>
      <w:pPr>
        <w:spacing w:line="360" w:lineRule="auto"/>
        <w:ind w:right="420" w:firstLine="1974" w:firstLineChars="940"/>
        <w:rPr>
          <w:color w:val="auto"/>
          <w:highlight w:val="none"/>
        </w:rPr>
      </w:pPr>
      <w:r>
        <w:rPr>
          <w:rFonts w:hint="eastAsia" w:cs="宋体"/>
          <w:color w:val="auto"/>
          <w:highlight w:val="none"/>
        </w:rPr>
        <w:t>日期：</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pPr>
        <w:spacing w:beforeLines="100" w:afterLines="50" w:line="510" w:lineRule="exact"/>
        <w:rPr>
          <w:color w:val="auto"/>
          <w:highlight w:val="none"/>
        </w:rPr>
      </w:pPr>
    </w:p>
    <w:p>
      <w:pPr>
        <w:pStyle w:val="146"/>
        <w:jc w:val="center"/>
        <w:outlineLvl w:val="0"/>
        <w:rPr>
          <w:b/>
          <w:color w:val="auto"/>
          <w:highlight w:val="none"/>
        </w:rPr>
      </w:pPr>
      <w:r>
        <w:rPr>
          <w:color w:val="auto"/>
          <w:highlight w:val="none"/>
        </w:rPr>
        <w:br w:type="page"/>
      </w:r>
      <w:bookmarkStart w:id="1555" w:name="_Toc389065357"/>
      <w:r>
        <w:rPr>
          <w:rFonts w:hint="eastAsia" w:cs="宋体"/>
          <w:b/>
          <w:color w:val="auto"/>
          <w:sz w:val="24"/>
          <w:szCs w:val="24"/>
          <w:highlight w:val="none"/>
        </w:rPr>
        <w:t>二、投标函附录</w:t>
      </w:r>
      <w:bookmarkEnd w:id="1555"/>
    </w:p>
    <w:p>
      <w:pPr>
        <w:pStyle w:val="146"/>
        <w:jc w:val="center"/>
        <w:rPr>
          <w:color w:val="auto"/>
          <w:sz w:val="28"/>
          <w:szCs w:val="28"/>
          <w:highlight w:val="none"/>
        </w:rPr>
      </w:pPr>
    </w:p>
    <w:p>
      <w:pPr>
        <w:ind w:firstLine="514" w:firstLineChars="245"/>
        <w:rPr>
          <w:color w:val="auto"/>
          <w:highlight w:val="none"/>
        </w:rPr>
      </w:pPr>
      <w:r>
        <w:rPr>
          <w:rFonts w:hint="eastAsia" w:cs="宋体"/>
          <w:color w:val="auto"/>
          <w:highlight w:val="none"/>
        </w:rPr>
        <w:t>项目名称：</w:t>
      </w:r>
      <w:r>
        <w:rPr>
          <w:color w:val="auto"/>
          <w:highlight w:val="none"/>
          <w:u w:val="single"/>
        </w:rPr>
        <w:t xml:space="preserve">                                               </w:t>
      </w:r>
      <w:r>
        <w:rPr>
          <w:rFonts w:hint="eastAsia" w:cs="宋体"/>
          <w:color w:val="auto"/>
          <w:highlight w:val="none"/>
          <w:u w:val="single"/>
        </w:rPr>
        <w:t>项目招标编号：</w:t>
      </w:r>
    </w:p>
    <w:tbl>
      <w:tblPr>
        <w:tblStyle w:val="42"/>
        <w:tblW w:w="89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985"/>
        <w:gridCol w:w="2126"/>
        <w:gridCol w:w="1984"/>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92" w:type="dxa"/>
            <w:shd w:val="clear" w:color="auto" w:fill="auto"/>
            <w:vAlign w:val="center"/>
          </w:tcPr>
          <w:p>
            <w:pPr>
              <w:jc w:val="center"/>
              <w:rPr>
                <w:color w:val="auto"/>
                <w:highlight w:val="none"/>
              </w:rPr>
            </w:pPr>
            <w:r>
              <w:rPr>
                <w:rFonts w:hint="eastAsia" w:cs="宋体"/>
                <w:color w:val="auto"/>
                <w:highlight w:val="none"/>
              </w:rPr>
              <w:t>序</w:t>
            </w:r>
            <w:r>
              <w:rPr>
                <w:color w:val="auto"/>
                <w:highlight w:val="none"/>
              </w:rPr>
              <w:t xml:space="preserve"> </w:t>
            </w:r>
            <w:r>
              <w:rPr>
                <w:rFonts w:hint="eastAsia" w:cs="宋体"/>
                <w:color w:val="auto"/>
                <w:highlight w:val="none"/>
              </w:rPr>
              <w:t>号</w:t>
            </w:r>
          </w:p>
        </w:tc>
        <w:tc>
          <w:tcPr>
            <w:tcW w:w="1985" w:type="dxa"/>
            <w:shd w:val="clear" w:color="auto" w:fill="auto"/>
            <w:vAlign w:val="center"/>
          </w:tcPr>
          <w:p>
            <w:pPr>
              <w:jc w:val="center"/>
              <w:rPr>
                <w:color w:val="auto"/>
                <w:highlight w:val="none"/>
              </w:rPr>
            </w:pPr>
            <w:r>
              <w:rPr>
                <w:rFonts w:hint="eastAsia" w:cs="宋体"/>
                <w:color w:val="auto"/>
                <w:highlight w:val="none"/>
              </w:rPr>
              <w:t>条款内容</w:t>
            </w:r>
          </w:p>
        </w:tc>
        <w:tc>
          <w:tcPr>
            <w:tcW w:w="2126" w:type="dxa"/>
            <w:shd w:val="clear" w:color="auto" w:fill="auto"/>
            <w:vAlign w:val="center"/>
          </w:tcPr>
          <w:p>
            <w:pPr>
              <w:jc w:val="center"/>
              <w:rPr>
                <w:color w:val="auto"/>
                <w:highlight w:val="none"/>
              </w:rPr>
            </w:pPr>
            <w:r>
              <w:rPr>
                <w:rFonts w:hint="eastAsia" w:cs="宋体"/>
                <w:color w:val="auto"/>
                <w:highlight w:val="none"/>
              </w:rPr>
              <w:t>合同条款号</w:t>
            </w:r>
          </w:p>
        </w:tc>
        <w:tc>
          <w:tcPr>
            <w:tcW w:w="1984" w:type="dxa"/>
            <w:shd w:val="clear" w:color="auto" w:fill="auto"/>
            <w:vAlign w:val="center"/>
          </w:tcPr>
          <w:p>
            <w:pPr>
              <w:jc w:val="center"/>
              <w:rPr>
                <w:color w:val="auto"/>
                <w:highlight w:val="none"/>
              </w:rPr>
            </w:pPr>
            <w:r>
              <w:rPr>
                <w:rFonts w:hint="eastAsia" w:cs="宋体"/>
                <w:color w:val="auto"/>
                <w:highlight w:val="none"/>
              </w:rPr>
              <w:t>约定内容</w:t>
            </w:r>
          </w:p>
        </w:tc>
        <w:tc>
          <w:tcPr>
            <w:tcW w:w="1843" w:type="dxa"/>
            <w:shd w:val="clear" w:color="auto" w:fill="auto"/>
            <w:vAlign w:val="center"/>
          </w:tcPr>
          <w:p>
            <w:pPr>
              <w:jc w:val="center"/>
              <w:rPr>
                <w:color w:val="auto"/>
                <w:highlight w:val="none"/>
              </w:rPr>
            </w:pPr>
            <w:r>
              <w:rPr>
                <w:rFonts w:hint="eastAsia" w:cs="宋体"/>
                <w:color w:val="auto"/>
                <w:highlight w:val="none"/>
              </w:rPr>
              <w:t>投标人响应情况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92" w:type="dxa"/>
            <w:shd w:val="clear" w:color="auto" w:fill="auto"/>
            <w:vAlign w:val="center"/>
          </w:tcPr>
          <w:p>
            <w:pPr>
              <w:jc w:val="center"/>
              <w:rPr>
                <w:color w:val="auto"/>
                <w:highlight w:val="none"/>
              </w:rPr>
            </w:pPr>
            <w:r>
              <w:rPr>
                <w:color w:val="auto"/>
                <w:highlight w:val="none"/>
              </w:rPr>
              <w:t>1</w:t>
            </w:r>
          </w:p>
        </w:tc>
        <w:tc>
          <w:tcPr>
            <w:tcW w:w="1985" w:type="dxa"/>
            <w:shd w:val="clear" w:color="auto" w:fill="auto"/>
            <w:vAlign w:val="center"/>
          </w:tcPr>
          <w:p>
            <w:pPr>
              <w:rPr>
                <w:color w:val="auto"/>
                <w:highlight w:val="none"/>
              </w:rPr>
            </w:pPr>
            <w:r>
              <w:rPr>
                <w:rFonts w:hint="eastAsia" w:cs="宋体"/>
                <w:color w:val="auto"/>
                <w:highlight w:val="none"/>
              </w:rPr>
              <w:t>项目经理</w:t>
            </w:r>
          </w:p>
        </w:tc>
        <w:tc>
          <w:tcPr>
            <w:tcW w:w="2126" w:type="dxa"/>
            <w:shd w:val="clear" w:color="auto" w:fill="auto"/>
            <w:tcMar>
              <w:left w:w="170" w:type="dxa"/>
            </w:tcMar>
            <w:vAlign w:val="center"/>
          </w:tcPr>
          <w:p>
            <w:pPr>
              <w:jc w:val="center"/>
              <w:rPr>
                <w:color w:val="auto"/>
                <w:highlight w:val="none"/>
              </w:rPr>
            </w:pPr>
            <w:r>
              <w:rPr>
                <w:rFonts w:hint="eastAsia" w:cs="宋体"/>
                <w:color w:val="auto"/>
                <w:highlight w:val="none"/>
              </w:rPr>
              <w:t>专用条款</w:t>
            </w:r>
          </w:p>
        </w:tc>
        <w:tc>
          <w:tcPr>
            <w:tcW w:w="1984" w:type="dxa"/>
            <w:shd w:val="clear" w:color="auto" w:fill="auto"/>
            <w:vAlign w:val="center"/>
          </w:tcPr>
          <w:p>
            <w:pPr>
              <w:rPr>
                <w:color w:val="auto"/>
                <w:highlight w:val="none"/>
              </w:rPr>
            </w:pPr>
            <w:r>
              <w:rPr>
                <w:rFonts w:hint="eastAsia" w:cs="宋体"/>
                <w:color w:val="auto"/>
                <w:highlight w:val="none"/>
              </w:rPr>
              <w:t>姓名：</w:t>
            </w:r>
            <w:r>
              <w:rPr>
                <w:color w:val="auto"/>
                <w:highlight w:val="none"/>
                <w:u w:val="single"/>
              </w:rPr>
              <w:t xml:space="preserve">          </w:t>
            </w:r>
          </w:p>
        </w:tc>
        <w:tc>
          <w:tcPr>
            <w:tcW w:w="1843"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92" w:type="dxa"/>
            <w:shd w:val="clear" w:color="auto" w:fill="auto"/>
            <w:vAlign w:val="center"/>
          </w:tcPr>
          <w:p>
            <w:pPr>
              <w:jc w:val="center"/>
              <w:rPr>
                <w:color w:val="auto"/>
                <w:highlight w:val="none"/>
              </w:rPr>
            </w:pPr>
            <w:r>
              <w:rPr>
                <w:color w:val="auto"/>
                <w:highlight w:val="none"/>
              </w:rPr>
              <w:t>2</w:t>
            </w:r>
          </w:p>
        </w:tc>
        <w:tc>
          <w:tcPr>
            <w:tcW w:w="1985" w:type="dxa"/>
            <w:shd w:val="clear" w:color="auto" w:fill="auto"/>
            <w:vAlign w:val="center"/>
          </w:tcPr>
          <w:p>
            <w:pPr>
              <w:rPr>
                <w:color w:val="auto"/>
                <w:highlight w:val="none"/>
              </w:rPr>
            </w:pPr>
            <w:r>
              <w:rPr>
                <w:rFonts w:hint="eastAsia" w:cs="宋体"/>
                <w:color w:val="auto"/>
                <w:highlight w:val="none"/>
              </w:rPr>
              <w:t>投标有效期</w:t>
            </w:r>
          </w:p>
        </w:tc>
        <w:tc>
          <w:tcPr>
            <w:tcW w:w="2126" w:type="dxa"/>
            <w:shd w:val="clear" w:color="auto" w:fill="auto"/>
            <w:tcMar>
              <w:left w:w="170" w:type="dxa"/>
            </w:tcMar>
            <w:vAlign w:val="center"/>
          </w:tcPr>
          <w:p>
            <w:pPr>
              <w:rPr>
                <w:color w:val="auto"/>
                <w:highlight w:val="none"/>
              </w:rPr>
            </w:pPr>
          </w:p>
        </w:tc>
        <w:tc>
          <w:tcPr>
            <w:tcW w:w="1984" w:type="dxa"/>
            <w:shd w:val="clear" w:color="auto" w:fill="auto"/>
            <w:vAlign w:val="center"/>
          </w:tcPr>
          <w:p>
            <w:pPr>
              <w:jc w:val="center"/>
              <w:rPr>
                <w:color w:val="auto"/>
                <w:highlight w:val="none"/>
                <w:u w:val="single"/>
              </w:rPr>
            </w:pPr>
            <w:r>
              <w:rPr>
                <w:color w:val="auto"/>
                <w:highlight w:val="none"/>
                <w:u w:val="single"/>
              </w:rPr>
              <w:t xml:space="preserve">          </w:t>
            </w:r>
            <w:r>
              <w:rPr>
                <w:rFonts w:hint="eastAsia" w:cs="宋体"/>
                <w:color w:val="auto"/>
                <w:highlight w:val="none"/>
              </w:rPr>
              <w:t>日历天</w:t>
            </w:r>
          </w:p>
        </w:tc>
        <w:tc>
          <w:tcPr>
            <w:tcW w:w="1843"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92" w:type="dxa"/>
            <w:shd w:val="clear" w:color="auto" w:fill="auto"/>
            <w:vAlign w:val="center"/>
          </w:tcPr>
          <w:p>
            <w:pPr>
              <w:jc w:val="center"/>
              <w:rPr>
                <w:color w:val="auto"/>
                <w:highlight w:val="none"/>
              </w:rPr>
            </w:pPr>
            <w:r>
              <w:rPr>
                <w:color w:val="auto"/>
                <w:highlight w:val="none"/>
              </w:rPr>
              <w:t>3</w:t>
            </w:r>
          </w:p>
        </w:tc>
        <w:tc>
          <w:tcPr>
            <w:tcW w:w="1985" w:type="dxa"/>
            <w:shd w:val="clear" w:color="auto" w:fill="auto"/>
            <w:vAlign w:val="center"/>
          </w:tcPr>
          <w:p>
            <w:pPr>
              <w:rPr>
                <w:color w:val="auto"/>
                <w:highlight w:val="none"/>
              </w:rPr>
            </w:pPr>
            <w:r>
              <w:rPr>
                <w:rFonts w:hint="eastAsia" w:cs="宋体"/>
                <w:color w:val="auto"/>
                <w:highlight w:val="none"/>
              </w:rPr>
              <w:t>工期</w:t>
            </w:r>
          </w:p>
        </w:tc>
        <w:tc>
          <w:tcPr>
            <w:tcW w:w="2126" w:type="dxa"/>
            <w:shd w:val="clear" w:color="auto" w:fill="auto"/>
            <w:tcMar>
              <w:left w:w="170" w:type="dxa"/>
            </w:tcMar>
            <w:vAlign w:val="center"/>
          </w:tcPr>
          <w:p>
            <w:pPr>
              <w:jc w:val="center"/>
              <w:rPr>
                <w:color w:val="auto"/>
                <w:highlight w:val="none"/>
              </w:rPr>
            </w:pPr>
            <w:r>
              <w:rPr>
                <w:rFonts w:hint="eastAsia" w:cs="宋体"/>
                <w:color w:val="auto"/>
                <w:highlight w:val="none"/>
              </w:rPr>
              <w:t>专用条款</w:t>
            </w:r>
          </w:p>
        </w:tc>
        <w:tc>
          <w:tcPr>
            <w:tcW w:w="1984" w:type="dxa"/>
            <w:shd w:val="clear" w:color="auto" w:fill="auto"/>
            <w:vAlign w:val="center"/>
          </w:tcPr>
          <w:p>
            <w:pPr>
              <w:jc w:val="center"/>
              <w:rPr>
                <w:color w:val="auto"/>
                <w:highlight w:val="none"/>
              </w:rPr>
            </w:pPr>
            <w:r>
              <w:rPr>
                <w:color w:val="auto"/>
                <w:highlight w:val="none"/>
                <w:u w:val="single"/>
              </w:rPr>
              <w:t xml:space="preserve">          </w:t>
            </w:r>
            <w:r>
              <w:rPr>
                <w:rFonts w:hint="eastAsia" w:cs="宋体"/>
                <w:color w:val="auto"/>
                <w:highlight w:val="none"/>
              </w:rPr>
              <w:t>日历天</w:t>
            </w:r>
          </w:p>
        </w:tc>
        <w:tc>
          <w:tcPr>
            <w:tcW w:w="1843"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92" w:type="dxa"/>
            <w:shd w:val="clear" w:color="auto" w:fill="auto"/>
            <w:vAlign w:val="center"/>
          </w:tcPr>
          <w:p>
            <w:pPr>
              <w:jc w:val="center"/>
              <w:rPr>
                <w:color w:val="auto"/>
                <w:highlight w:val="none"/>
              </w:rPr>
            </w:pPr>
            <w:r>
              <w:rPr>
                <w:color w:val="auto"/>
                <w:highlight w:val="none"/>
              </w:rPr>
              <w:t>4</w:t>
            </w:r>
          </w:p>
        </w:tc>
        <w:tc>
          <w:tcPr>
            <w:tcW w:w="1985" w:type="dxa"/>
            <w:shd w:val="clear" w:color="auto" w:fill="auto"/>
            <w:vAlign w:val="center"/>
          </w:tcPr>
          <w:p>
            <w:pPr>
              <w:rPr>
                <w:color w:val="auto"/>
                <w:highlight w:val="none"/>
              </w:rPr>
            </w:pPr>
            <w:r>
              <w:rPr>
                <w:rFonts w:hint="eastAsia" w:cs="宋体"/>
                <w:color w:val="auto"/>
                <w:highlight w:val="none"/>
              </w:rPr>
              <w:t>缺陷责任期</w:t>
            </w:r>
          </w:p>
        </w:tc>
        <w:tc>
          <w:tcPr>
            <w:tcW w:w="2126" w:type="dxa"/>
            <w:shd w:val="clear" w:color="auto" w:fill="auto"/>
            <w:tcMar>
              <w:left w:w="170" w:type="dxa"/>
            </w:tcMar>
            <w:vAlign w:val="center"/>
          </w:tcPr>
          <w:p>
            <w:pPr>
              <w:jc w:val="center"/>
              <w:rPr>
                <w:color w:val="auto"/>
                <w:highlight w:val="none"/>
              </w:rPr>
            </w:pPr>
            <w:r>
              <w:rPr>
                <w:rFonts w:hint="eastAsia" w:cs="宋体"/>
                <w:color w:val="auto"/>
                <w:highlight w:val="none"/>
              </w:rPr>
              <w:t>专用条款</w:t>
            </w:r>
          </w:p>
        </w:tc>
        <w:tc>
          <w:tcPr>
            <w:tcW w:w="1984" w:type="dxa"/>
            <w:shd w:val="clear" w:color="auto" w:fill="auto"/>
            <w:vAlign w:val="center"/>
          </w:tcPr>
          <w:p>
            <w:pPr>
              <w:jc w:val="center"/>
              <w:rPr>
                <w:color w:val="auto"/>
                <w:highlight w:val="none"/>
              </w:rPr>
            </w:pPr>
          </w:p>
        </w:tc>
        <w:tc>
          <w:tcPr>
            <w:tcW w:w="1843"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92" w:type="dxa"/>
            <w:shd w:val="clear" w:color="auto" w:fill="auto"/>
            <w:vAlign w:val="center"/>
          </w:tcPr>
          <w:p>
            <w:pPr>
              <w:jc w:val="center"/>
              <w:rPr>
                <w:color w:val="auto"/>
                <w:highlight w:val="none"/>
              </w:rPr>
            </w:pPr>
            <w:r>
              <w:rPr>
                <w:color w:val="auto"/>
                <w:highlight w:val="none"/>
              </w:rPr>
              <w:t>5</w:t>
            </w:r>
          </w:p>
        </w:tc>
        <w:tc>
          <w:tcPr>
            <w:tcW w:w="1985" w:type="dxa"/>
            <w:shd w:val="clear" w:color="auto" w:fill="auto"/>
            <w:vAlign w:val="center"/>
          </w:tcPr>
          <w:p>
            <w:pPr>
              <w:rPr>
                <w:color w:val="auto"/>
                <w:highlight w:val="none"/>
              </w:rPr>
            </w:pPr>
            <w:r>
              <w:rPr>
                <w:rFonts w:hint="eastAsia" w:cs="宋体"/>
                <w:color w:val="auto"/>
                <w:highlight w:val="none"/>
              </w:rPr>
              <w:t>发包人支付担保</w:t>
            </w:r>
          </w:p>
        </w:tc>
        <w:tc>
          <w:tcPr>
            <w:tcW w:w="2126" w:type="dxa"/>
            <w:shd w:val="clear" w:color="auto" w:fill="auto"/>
            <w:tcMar>
              <w:left w:w="170" w:type="dxa"/>
            </w:tcMar>
            <w:vAlign w:val="center"/>
          </w:tcPr>
          <w:p>
            <w:pPr>
              <w:jc w:val="center"/>
              <w:rPr>
                <w:color w:val="auto"/>
                <w:highlight w:val="none"/>
              </w:rPr>
            </w:pPr>
            <w:r>
              <w:rPr>
                <w:rFonts w:hint="eastAsia" w:cs="宋体"/>
                <w:color w:val="auto"/>
                <w:highlight w:val="none"/>
              </w:rPr>
              <w:t>专用条款</w:t>
            </w:r>
          </w:p>
        </w:tc>
        <w:tc>
          <w:tcPr>
            <w:tcW w:w="1984" w:type="dxa"/>
            <w:shd w:val="clear" w:color="auto" w:fill="auto"/>
            <w:vAlign w:val="center"/>
          </w:tcPr>
          <w:p>
            <w:pPr>
              <w:jc w:val="center"/>
              <w:rPr>
                <w:color w:val="auto"/>
                <w:highlight w:val="none"/>
              </w:rPr>
            </w:pPr>
          </w:p>
        </w:tc>
        <w:tc>
          <w:tcPr>
            <w:tcW w:w="1843"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92" w:type="dxa"/>
            <w:shd w:val="clear" w:color="auto" w:fill="auto"/>
            <w:vAlign w:val="center"/>
          </w:tcPr>
          <w:p>
            <w:pPr>
              <w:jc w:val="center"/>
              <w:rPr>
                <w:color w:val="auto"/>
                <w:highlight w:val="none"/>
              </w:rPr>
            </w:pPr>
            <w:r>
              <w:rPr>
                <w:color w:val="auto"/>
                <w:highlight w:val="none"/>
              </w:rPr>
              <w:t>6</w:t>
            </w:r>
          </w:p>
        </w:tc>
        <w:tc>
          <w:tcPr>
            <w:tcW w:w="1985" w:type="dxa"/>
            <w:shd w:val="clear" w:color="auto" w:fill="auto"/>
            <w:vAlign w:val="center"/>
          </w:tcPr>
          <w:p>
            <w:pPr>
              <w:rPr>
                <w:color w:val="auto"/>
                <w:highlight w:val="none"/>
              </w:rPr>
            </w:pPr>
            <w:r>
              <w:rPr>
                <w:rFonts w:hint="eastAsia" w:cs="宋体"/>
                <w:color w:val="auto"/>
                <w:highlight w:val="none"/>
              </w:rPr>
              <w:t>承包人履约担保金额</w:t>
            </w:r>
          </w:p>
        </w:tc>
        <w:tc>
          <w:tcPr>
            <w:tcW w:w="2126" w:type="dxa"/>
            <w:shd w:val="clear" w:color="auto" w:fill="auto"/>
            <w:tcMar>
              <w:left w:w="170" w:type="dxa"/>
            </w:tcMar>
            <w:vAlign w:val="center"/>
          </w:tcPr>
          <w:p>
            <w:pPr>
              <w:jc w:val="center"/>
              <w:rPr>
                <w:color w:val="auto"/>
                <w:highlight w:val="none"/>
              </w:rPr>
            </w:pPr>
            <w:r>
              <w:rPr>
                <w:rFonts w:hint="eastAsia" w:cs="宋体"/>
                <w:color w:val="auto"/>
                <w:highlight w:val="none"/>
              </w:rPr>
              <w:t>专用条款</w:t>
            </w:r>
          </w:p>
        </w:tc>
        <w:tc>
          <w:tcPr>
            <w:tcW w:w="1984" w:type="dxa"/>
            <w:shd w:val="clear" w:color="auto" w:fill="auto"/>
            <w:vAlign w:val="center"/>
          </w:tcPr>
          <w:p>
            <w:pPr>
              <w:jc w:val="center"/>
              <w:rPr>
                <w:color w:val="auto"/>
                <w:highlight w:val="none"/>
              </w:rPr>
            </w:pPr>
          </w:p>
        </w:tc>
        <w:tc>
          <w:tcPr>
            <w:tcW w:w="1843"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92" w:type="dxa"/>
            <w:shd w:val="clear" w:color="auto" w:fill="auto"/>
            <w:vAlign w:val="center"/>
          </w:tcPr>
          <w:p>
            <w:pPr>
              <w:jc w:val="center"/>
              <w:rPr>
                <w:color w:val="auto"/>
                <w:highlight w:val="none"/>
              </w:rPr>
            </w:pPr>
            <w:r>
              <w:rPr>
                <w:color w:val="auto"/>
                <w:highlight w:val="none"/>
              </w:rPr>
              <w:t>7</w:t>
            </w:r>
          </w:p>
        </w:tc>
        <w:tc>
          <w:tcPr>
            <w:tcW w:w="1985" w:type="dxa"/>
            <w:shd w:val="clear" w:color="auto" w:fill="auto"/>
            <w:vAlign w:val="center"/>
          </w:tcPr>
          <w:p>
            <w:pPr>
              <w:rPr>
                <w:color w:val="auto"/>
                <w:highlight w:val="none"/>
              </w:rPr>
            </w:pPr>
            <w:r>
              <w:rPr>
                <w:rFonts w:hint="eastAsia" w:cs="宋体"/>
                <w:color w:val="auto"/>
                <w:highlight w:val="none"/>
              </w:rPr>
              <w:t>分包</w:t>
            </w:r>
          </w:p>
        </w:tc>
        <w:tc>
          <w:tcPr>
            <w:tcW w:w="2126" w:type="dxa"/>
            <w:shd w:val="clear" w:color="auto" w:fill="auto"/>
            <w:tcMar>
              <w:left w:w="170" w:type="dxa"/>
            </w:tcMar>
            <w:vAlign w:val="center"/>
          </w:tcPr>
          <w:p>
            <w:pPr>
              <w:jc w:val="center"/>
              <w:rPr>
                <w:color w:val="auto"/>
                <w:highlight w:val="none"/>
              </w:rPr>
            </w:pPr>
            <w:r>
              <w:rPr>
                <w:rFonts w:hint="eastAsia" w:cs="宋体"/>
                <w:color w:val="auto"/>
                <w:highlight w:val="none"/>
              </w:rPr>
              <w:t>专用条款</w:t>
            </w:r>
          </w:p>
        </w:tc>
        <w:tc>
          <w:tcPr>
            <w:tcW w:w="1984" w:type="dxa"/>
            <w:shd w:val="clear" w:color="auto" w:fill="auto"/>
            <w:vAlign w:val="center"/>
          </w:tcPr>
          <w:p>
            <w:pPr>
              <w:jc w:val="center"/>
              <w:rPr>
                <w:color w:val="auto"/>
                <w:highlight w:val="none"/>
              </w:rPr>
            </w:pPr>
            <w:r>
              <w:rPr>
                <w:rFonts w:hint="eastAsia" w:cs="宋体"/>
                <w:color w:val="auto"/>
                <w:highlight w:val="none"/>
              </w:rPr>
              <w:t>见分包项目情况表</w:t>
            </w:r>
          </w:p>
        </w:tc>
        <w:tc>
          <w:tcPr>
            <w:tcW w:w="1843"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92" w:type="dxa"/>
            <w:shd w:val="clear" w:color="auto" w:fill="auto"/>
            <w:vAlign w:val="center"/>
          </w:tcPr>
          <w:p>
            <w:pPr>
              <w:jc w:val="center"/>
              <w:rPr>
                <w:color w:val="auto"/>
                <w:highlight w:val="none"/>
              </w:rPr>
            </w:pPr>
            <w:r>
              <w:rPr>
                <w:color w:val="auto"/>
                <w:highlight w:val="none"/>
              </w:rPr>
              <w:t>8</w:t>
            </w:r>
          </w:p>
        </w:tc>
        <w:tc>
          <w:tcPr>
            <w:tcW w:w="1985" w:type="dxa"/>
            <w:shd w:val="clear" w:color="auto" w:fill="auto"/>
            <w:vAlign w:val="center"/>
          </w:tcPr>
          <w:p>
            <w:pPr>
              <w:rPr>
                <w:color w:val="auto"/>
                <w:highlight w:val="none"/>
              </w:rPr>
            </w:pPr>
            <w:r>
              <w:rPr>
                <w:rFonts w:hint="eastAsia" w:cs="宋体"/>
                <w:color w:val="auto"/>
                <w:highlight w:val="none"/>
              </w:rPr>
              <w:t>逾期竣工违约金</w:t>
            </w:r>
          </w:p>
        </w:tc>
        <w:tc>
          <w:tcPr>
            <w:tcW w:w="2126" w:type="dxa"/>
            <w:shd w:val="clear" w:color="auto" w:fill="auto"/>
            <w:tcMar>
              <w:left w:w="170" w:type="dxa"/>
            </w:tcMar>
            <w:vAlign w:val="center"/>
          </w:tcPr>
          <w:p>
            <w:pPr>
              <w:jc w:val="center"/>
              <w:rPr>
                <w:color w:val="auto"/>
                <w:highlight w:val="none"/>
              </w:rPr>
            </w:pPr>
            <w:r>
              <w:rPr>
                <w:rFonts w:hint="eastAsia" w:cs="宋体"/>
                <w:color w:val="auto"/>
                <w:highlight w:val="none"/>
              </w:rPr>
              <w:t>专用条款</w:t>
            </w:r>
          </w:p>
        </w:tc>
        <w:tc>
          <w:tcPr>
            <w:tcW w:w="1984" w:type="dxa"/>
            <w:shd w:val="clear" w:color="auto" w:fill="auto"/>
            <w:vAlign w:val="center"/>
          </w:tcPr>
          <w:p>
            <w:pPr>
              <w:rPr>
                <w:color w:val="auto"/>
                <w:highlight w:val="none"/>
              </w:rPr>
            </w:pPr>
          </w:p>
        </w:tc>
        <w:tc>
          <w:tcPr>
            <w:tcW w:w="1843"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92" w:type="dxa"/>
            <w:shd w:val="clear" w:color="auto" w:fill="auto"/>
            <w:vAlign w:val="center"/>
          </w:tcPr>
          <w:p>
            <w:pPr>
              <w:jc w:val="center"/>
              <w:rPr>
                <w:color w:val="auto"/>
                <w:highlight w:val="none"/>
              </w:rPr>
            </w:pPr>
            <w:r>
              <w:rPr>
                <w:color w:val="auto"/>
                <w:highlight w:val="none"/>
              </w:rPr>
              <w:t>9</w:t>
            </w:r>
          </w:p>
        </w:tc>
        <w:tc>
          <w:tcPr>
            <w:tcW w:w="1985" w:type="dxa"/>
            <w:shd w:val="clear" w:color="auto" w:fill="auto"/>
            <w:vAlign w:val="center"/>
          </w:tcPr>
          <w:p>
            <w:pPr>
              <w:rPr>
                <w:color w:val="auto"/>
                <w:highlight w:val="none"/>
              </w:rPr>
            </w:pPr>
            <w:r>
              <w:rPr>
                <w:rFonts w:hint="eastAsia" w:cs="宋体"/>
                <w:color w:val="auto"/>
                <w:highlight w:val="none"/>
              </w:rPr>
              <w:t>逾期竣工违约金最高限额</w:t>
            </w:r>
          </w:p>
        </w:tc>
        <w:tc>
          <w:tcPr>
            <w:tcW w:w="2126" w:type="dxa"/>
            <w:shd w:val="clear" w:color="auto" w:fill="auto"/>
            <w:tcMar>
              <w:left w:w="170" w:type="dxa"/>
            </w:tcMar>
            <w:vAlign w:val="center"/>
          </w:tcPr>
          <w:p>
            <w:pPr>
              <w:jc w:val="center"/>
              <w:rPr>
                <w:color w:val="auto"/>
                <w:highlight w:val="none"/>
              </w:rPr>
            </w:pPr>
            <w:r>
              <w:rPr>
                <w:rFonts w:hint="eastAsia" w:cs="宋体"/>
                <w:color w:val="auto"/>
                <w:highlight w:val="none"/>
              </w:rPr>
              <w:t>专用条款</w:t>
            </w:r>
          </w:p>
        </w:tc>
        <w:tc>
          <w:tcPr>
            <w:tcW w:w="1984" w:type="dxa"/>
            <w:shd w:val="clear" w:color="auto" w:fill="auto"/>
            <w:vAlign w:val="center"/>
          </w:tcPr>
          <w:p>
            <w:pPr>
              <w:rPr>
                <w:color w:val="auto"/>
                <w:highlight w:val="none"/>
              </w:rPr>
            </w:pPr>
          </w:p>
        </w:tc>
        <w:tc>
          <w:tcPr>
            <w:tcW w:w="1843"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92" w:type="dxa"/>
            <w:shd w:val="clear" w:color="auto" w:fill="auto"/>
            <w:vAlign w:val="center"/>
          </w:tcPr>
          <w:p>
            <w:pPr>
              <w:jc w:val="center"/>
              <w:rPr>
                <w:color w:val="auto"/>
                <w:highlight w:val="none"/>
              </w:rPr>
            </w:pPr>
            <w:r>
              <w:rPr>
                <w:color w:val="auto"/>
                <w:highlight w:val="none"/>
              </w:rPr>
              <w:t>10</w:t>
            </w:r>
          </w:p>
        </w:tc>
        <w:tc>
          <w:tcPr>
            <w:tcW w:w="1985" w:type="dxa"/>
            <w:shd w:val="clear" w:color="auto" w:fill="auto"/>
            <w:vAlign w:val="center"/>
          </w:tcPr>
          <w:p>
            <w:pPr>
              <w:rPr>
                <w:color w:val="auto"/>
                <w:highlight w:val="none"/>
              </w:rPr>
            </w:pPr>
            <w:r>
              <w:rPr>
                <w:rFonts w:hint="eastAsia" w:cs="宋体"/>
                <w:color w:val="auto"/>
                <w:highlight w:val="none"/>
              </w:rPr>
              <w:t>质量标准</w:t>
            </w:r>
          </w:p>
        </w:tc>
        <w:tc>
          <w:tcPr>
            <w:tcW w:w="2126" w:type="dxa"/>
            <w:shd w:val="clear" w:color="auto" w:fill="auto"/>
            <w:tcMar>
              <w:left w:w="170" w:type="dxa"/>
            </w:tcMar>
            <w:vAlign w:val="center"/>
          </w:tcPr>
          <w:p>
            <w:pPr>
              <w:jc w:val="center"/>
              <w:rPr>
                <w:color w:val="auto"/>
                <w:highlight w:val="none"/>
              </w:rPr>
            </w:pPr>
            <w:r>
              <w:rPr>
                <w:rFonts w:hint="eastAsia" w:cs="宋体"/>
                <w:color w:val="auto"/>
                <w:highlight w:val="none"/>
              </w:rPr>
              <w:t>专用条款</w:t>
            </w:r>
          </w:p>
        </w:tc>
        <w:tc>
          <w:tcPr>
            <w:tcW w:w="1984" w:type="dxa"/>
            <w:shd w:val="clear" w:color="auto" w:fill="auto"/>
            <w:vAlign w:val="center"/>
          </w:tcPr>
          <w:p>
            <w:pPr>
              <w:jc w:val="center"/>
              <w:rPr>
                <w:color w:val="auto"/>
                <w:highlight w:val="none"/>
              </w:rPr>
            </w:pPr>
          </w:p>
        </w:tc>
        <w:tc>
          <w:tcPr>
            <w:tcW w:w="1843"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92" w:type="dxa"/>
            <w:shd w:val="clear" w:color="auto" w:fill="auto"/>
            <w:vAlign w:val="center"/>
          </w:tcPr>
          <w:p>
            <w:pPr>
              <w:jc w:val="center"/>
              <w:rPr>
                <w:color w:val="auto"/>
                <w:highlight w:val="none"/>
              </w:rPr>
            </w:pPr>
            <w:r>
              <w:rPr>
                <w:color w:val="auto"/>
                <w:highlight w:val="none"/>
              </w:rPr>
              <w:t>11</w:t>
            </w:r>
          </w:p>
        </w:tc>
        <w:tc>
          <w:tcPr>
            <w:tcW w:w="1985" w:type="dxa"/>
            <w:shd w:val="clear" w:color="auto" w:fill="auto"/>
            <w:vAlign w:val="center"/>
          </w:tcPr>
          <w:p>
            <w:pPr>
              <w:rPr>
                <w:color w:val="auto"/>
                <w:highlight w:val="none"/>
              </w:rPr>
            </w:pPr>
            <w:r>
              <w:rPr>
                <w:rFonts w:hint="eastAsia" w:cs="宋体"/>
                <w:color w:val="auto"/>
                <w:highlight w:val="none"/>
              </w:rPr>
              <w:t>预付款额度</w:t>
            </w:r>
          </w:p>
        </w:tc>
        <w:tc>
          <w:tcPr>
            <w:tcW w:w="2126" w:type="dxa"/>
            <w:shd w:val="clear" w:color="auto" w:fill="auto"/>
            <w:tcMar>
              <w:left w:w="170" w:type="dxa"/>
            </w:tcMar>
            <w:vAlign w:val="center"/>
          </w:tcPr>
          <w:p>
            <w:pPr>
              <w:jc w:val="center"/>
              <w:rPr>
                <w:color w:val="auto"/>
                <w:highlight w:val="none"/>
              </w:rPr>
            </w:pPr>
            <w:r>
              <w:rPr>
                <w:rFonts w:hint="eastAsia" w:cs="宋体"/>
                <w:color w:val="auto"/>
                <w:highlight w:val="none"/>
              </w:rPr>
              <w:t>专用条款</w:t>
            </w:r>
          </w:p>
        </w:tc>
        <w:tc>
          <w:tcPr>
            <w:tcW w:w="1984" w:type="dxa"/>
            <w:shd w:val="clear" w:color="auto" w:fill="auto"/>
            <w:vAlign w:val="center"/>
          </w:tcPr>
          <w:p>
            <w:pPr>
              <w:jc w:val="center"/>
              <w:rPr>
                <w:color w:val="auto"/>
                <w:highlight w:val="none"/>
              </w:rPr>
            </w:pPr>
          </w:p>
        </w:tc>
        <w:tc>
          <w:tcPr>
            <w:tcW w:w="1843"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92" w:type="dxa"/>
            <w:shd w:val="clear" w:color="auto" w:fill="auto"/>
            <w:vAlign w:val="center"/>
          </w:tcPr>
          <w:p>
            <w:pPr>
              <w:jc w:val="center"/>
              <w:rPr>
                <w:color w:val="auto"/>
                <w:highlight w:val="none"/>
              </w:rPr>
            </w:pPr>
            <w:r>
              <w:rPr>
                <w:color w:val="auto"/>
                <w:highlight w:val="none"/>
              </w:rPr>
              <w:t>12</w:t>
            </w:r>
          </w:p>
        </w:tc>
        <w:tc>
          <w:tcPr>
            <w:tcW w:w="1985" w:type="dxa"/>
            <w:shd w:val="clear" w:color="auto" w:fill="auto"/>
            <w:vAlign w:val="center"/>
          </w:tcPr>
          <w:p>
            <w:pPr>
              <w:rPr>
                <w:color w:val="auto"/>
                <w:highlight w:val="none"/>
              </w:rPr>
            </w:pPr>
            <w:r>
              <w:rPr>
                <w:rFonts w:hint="eastAsia" w:cs="宋体"/>
                <w:color w:val="auto"/>
                <w:highlight w:val="none"/>
              </w:rPr>
              <w:t>预付款保函金额</w:t>
            </w:r>
          </w:p>
        </w:tc>
        <w:tc>
          <w:tcPr>
            <w:tcW w:w="2126" w:type="dxa"/>
            <w:shd w:val="clear" w:color="auto" w:fill="auto"/>
            <w:tcMar>
              <w:left w:w="170" w:type="dxa"/>
            </w:tcMar>
            <w:vAlign w:val="center"/>
          </w:tcPr>
          <w:p>
            <w:pPr>
              <w:jc w:val="center"/>
              <w:rPr>
                <w:color w:val="auto"/>
                <w:highlight w:val="none"/>
              </w:rPr>
            </w:pPr>
            <w:r>
              <w:rPr>
                <w:rFonts w:hint="eastAsia" w:cs="宋体"/>
                <w:color w:val="auto"/>
                <w:highlight w:val="none"/>
              </w:rPr>
              <w:t>专用条款</w:t>
            </w:r>
          </w:p>
        </w:tc>
        <w:tc>
          <w:tcPr>
            <w:tcW w:w="1984" w:type="dxa"/>
            <w:shd w:val="clear" w:color="auto" w:fill="auto"/>
            <w:vAlign w:val="center"/>
          </w:tcPr>
          <w:p>
            <w:pPr>
              <w:jc w:val="center"/>
              <w:rPr>
                <w:color w:val="auto"/>
                <w:highlight w:val="none"/>
              </w:rPr>
            </w:pPr>
          </w:p>
        </w:tc>
        <w:tc>
          <w:tcPr>
            <w:tcW w:w="1843"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92" w:type="dxa"/>
            <w:shd w:val="clear" w:color="auto" w:fill="auto"/>
            <w:vAlign w:val="center"/>
          </w:tcPr>
          <w:p>
            <w:pPr>
              <w:jc w:val="center"/>
              <w:rPr>
                <w:color w:val="auto"/>
                <w:highlight w:val="none"/>
              </w:rPr>
            </w:pPr>
            <w:r>
              <w:rPr>
                <w:color w:val="auto"/>
                <w:highlight w:val="none"/>
              </w:rPr>
              <w:t>13</w:t>
            </w:r>
          </w:p>
        </w:tc>
        <w:tc>
          <w:tcPr>
            <w:tcW w:w="1985" w:type="dxa"/>
            <w:shd w:val="clear" w:color="auto" w:fill="auto"/>
            <w:vAlign w:val="center"/>
          </w:tcPr>
          <w:p>
            <w:pPr>
              <w:rPr>
                <w:color w:val="auto"/>
                <w:highlight w:val="none"/>
              </w:rPr>
            </w:pPr>
            <w:r>
              <w:rPr>
                <w:rFonts w:hint="eastAsia" w:cs="宋体"/>
                <w:color w:val="auto"/>
                <w:highlight w:val="none"/>
              </w:rPr>
              <w:t>质量保证金额度</w:t>
            </w:r>
          </w:p>
        </w:tc>
        <w:tc>
          <w:tcPr>
            <w:tcW w:w="2126" w:type="dxa"/>
            <w:shd w:val="clear" w:color="auto" w:fill="auto"/>
            <w:tcMar>
              <w:left w:w="170" w:type="dxa"/>
            </w:tcMar>
            <w:vAlign w:val="center"/>
          </w:tcPr>
          <w:p>
            <w:pPr>
              <w:jc w:val="center"/>
              <w:rPr>
                <w:color w:val="auto"/>
                <w:highlight w:val="none"/>
              </w:rPr>
            </w:pPr>
            <w:r>
              <w:rPr>
                <w:rFonts w:hint="eastAsia" w:cs="宋体"/>
                <w:color w:val="auto"/>
                <w:highlight w:val="none"/>
              </w:rPr>
              <w:t>专用条款</w:t>
            </w:r>
          </w:p>
        </w:tc>
        <w:tc>
          <w:tcPr>
            <w:tcW w:w="1984" w:type="dxa"/>
            <w:shd w:val="clear" w:color="auto" w:fill="auto"/>
            <w:vAlign w:val="center"/>
          </w:tcPr>
          <w:p>
            <w:pPr>
              <w:jc w:val="center"/>
              <w:rPr>
                <w:color w:val="auto"/>
                <w:highlight w:val="none"/>
              </w:rPr>
            </w:pPr>
            <w:r>
              <w:rPr>
                <w:rFonts w:hint="eastAsia" w:cs="宋体"/>
                <w:color w:val="auto"/>
                <w:highlight w:val="none"/>
              </w:rPr>
              <w:t>结算价的</w:t>
            </w:r>
            <w:r>
              <w:rPr>
                <w:color w:val="auto"/>
                <w:highlight w:val="none"/>
                <w:u w:val="single"/>
              </w:rPr>
              <w:t xml:space="preserve">     </w:t>
            </w:r>
            <w:r>
              <w:rPr>
                <w:color w:val="auto"/>
                <w:highlight w:val="none"/>
              </w:rPr>
              <w:t xml:space="preserve">% </w:t>
            </w:r>
            <w:r>
              <w:rPr>
                <w:color w:val="auto"/>
                <w:highlight w:val="none"/>
                <w:u w:val="single"/>
              </w:rPr>
              <w:t xml:space="preserve"> </w:t>
            </w:r>
          </w:p>
        </w:tc>
        <w:tc>
          <w:tcPr>
            <w:tcW w:w="1843"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92" w:type="dxa"/>
            <w:shd w:val="clear" w:color="auto" w:fill="auto"/>
            <w:vAlign w:val="center"/>
          </w:tcPr>
          <w:p>
            <w:pPr>
              <w:jc w:val="center"/>
              <w:rPr>
                <w:color w:val="auto"/>
                <w:highlight w:val="none"/>
              </w:rPr>
            </w:pPr>
            <w:r>
              <w:rPr>
                <w:color w:val="auto"/>
                <w:highlight w:val="none"/>
              </w:rPr>
              <w:t>……</w:t>
            </w:r>
          </w:p>
        </w:tc>
        <w:tc>
          <w:tcPr>
            <w:tcW w:w="1985" w:type="dxa"/>
            <w:shd w:val="clear" w:color="auto" w:fill="auto"/>
            <w:vAlign w:val="center"/>
          </w:tcPr>
          <w:p>
            <w:pPr>
              <w:jc w:val="center"/>
              <w:rPr>
                <w:color w:val="auto"/>
                <w:highlight w:val="none"/>
              </w:rPr>
            </w:pPr>
            <w:r>
              <w:rPr>
                <w:color w:val="auto"/>
                <w:highlight w:val="none"/>
              </w:rPr>
              <w:t>……</w:t>
            </w:r>
          </w:p>
        </w:tc>
        <w:tc>
          <w:tcPr>
            <w:tcW w:w="2126" w:type="dxa"/>
            <w:shd w:val="clear" w:color="auto" w:fill="auto"/>
            <w:tcMar>
              <w:left w:w="170" w:type="dxa"/>
            </w:tcMar>
            <w:vAlign w:val="center"/>
          </w:tcPr>
          <w:p>
            <w:pPr>
              <w:rPr>
                <w:color w:val="auto"/>
                <w:highlight w:val="none"/>
              </w:rPr>
            </w:pPr>
          </w:p>
        </w:tc>
        <w:tc>
          <w:tcPr>
            <w:tcW w:w="1984" w:type="dxa"/>
            <w:shd w:val="clear" w:color="auto" w:fill="auto"/>
            <w:vAlign w:val="center"/>
          </w:tcPr>
          <w:p>
            <w:pPr>
              <w:jc w:val="center"/>
              <w:rPr>
                <w:color w:val="auto"/>
                <w:highlight w:val="none"/>
              </w:rPr>
            </w:pPr>
          </w:p>
        </w:tc>
        <w:tc>
          <w:tcPr>
            <w:tcW w:w="1843"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6" w:hRule="atLeast"/>
          <w:jc w:val="center"/>
        </w:trPr>
        <w:tc>
          <w:tcPr>
            <w:tcW w:w="8930" w:type="dxa"/>
            <w:gridSpan w:val="5"/>
            <w:shd w:val="clear" w:color="auto" w:fill="auto"/>
            <w:vAlign w:val="center"/>
          </w:tcPr>
          <w:p>
            <w:pPr>
              <w:spacing w:line="360" w:lineRule="auto"/>
              <w:rPr>
                <w:color w:val="auto"/>
                <w:highlight w:val="none"/>
              </w:rPr>
            </w:pPr>
            <w:r>
              <w:rPr>
                <w:rFonts w:hint="eastAsia" w:cs="宋体"/>
                <w:color w:val="auto"/>
                <w:highlight w:val="none"/>
              </w:rPr>
              <w:t>说明：投标人在响应招标文件中规定的实质性要求和条件的基础上，可做出其他有利于招标人的承诺。此类承诺可在本表中予以补充填写。</w:t>
            </w:r>
          </w:p>
        </w:tc>
      </w:tr>
    </w:tbl>
    <w:p>
      <w:pPr>
        <w:spacing w:line="480" w:lineRule="exact"/>
        <w:ind w:firstLine="420" w:firstLineChars="200"/>
        <w:rPr>
          <w:color w:val="auto"/>
          <w:highlight w:val="none"/>
        </w:rPr>
      </w:pPr>
      <w:r>
        <w:rPr>
          <w:rFonts w:hint="eastAsia" w:cs="宋体"/>
          <w:color w:val="auto"/>
          <w:highlight w:val="none"/>
        </w:rPr>
        <w:t>投标人（盖单位章）：</w:t>
      </w:r>
    </w:p>
    <w:p>
      <w:pPr>
        <w:spacing w:line="480" w:lineRule="exact"/>
        <w:ind w:firstLine="420" w:firstLineChars="200"/>
        <w:rPr>
          <w:color w:val="auto"/>
          <w:highlight w:val="none"/>
        </w:rPr>
      </w:pPr>
      <w:r>
        <w:rPr>
          <w:rFonts w:hint="eastAsia" w:cs="宋体"/>
          <w:color w:val="auto"/>
          <w:highlight w:val="none"/>
          <w:lang w:eastAsia="zh-CN"/>
        </w:rPr>
        <w:t>法定代表人</w:t>
      </w:r>
      <w:r>
        <w:rPr>
          <w:rFonts w:hint="eastAsia" w:cs="宋体"/>
          <w:color w:val="auto"/>
          <w:highlight w:val="none"/>
        </w:rPr>
        <w:t>（签字或盖章）：</w:t>
      </w:r>
    </w:p>
    <w:p>
      <w:pPr>
        <w:spacing w:line="480" w:lineRule="exact"/>
        <w:ind w:firstLine="420" w:firstLineChars="200"/>
        <w:rPr>
          <w:color w:val="auto"/>
          <w:highlight w:val="none"/>
        </w:rPr>
      </w:pPr>
      <w:r>
        <w:rPr>
          <w:rFonts w:hint="eastAsia" w:cs="宋体"/>
          <w:color w:val="auto"/>
          <w:highlight w:val="none"/>
        </w:rPr>
        <w:t>日期：</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pPr>
        <w:spacing w:line="480" w:lineRule="auto"/>
        <w:ind w:firstLine="525" w:firstLineChars="250"/>
        <w:rPr>
          <w:color w:val="auto"/>
          <w:highlight w:val="none"/>
        </w:rPr>
      </w:pPr>
    </w:p>
    <w:p>
      <w:pPr>
        <w:spacing w:line="480" w:lineRule="auto"/>
        <w:ind w:firstLine="525" w:firstLineChars="250"/>
        <w:rPr>
          <w:color w:val="auto"/>
          <w:highlight w:val="none"/>
        </w:rPr>
      </w:pPr>
    </w:p>
    <w:p>
      <w:pPr>
        <w:pStyle w:val="146"/>
        <w:jc w:val="center"/>
        <w:outlineLvl w:val="0"/>
        <w:rPr>
          <w:b/>
          <w:color w:val="auto"/>
          <w:sz w:val="24"/>
          <w:szCs w:val="24"/>
          <w:highlight w:val="none"/>
        </w:rPr>
      </w:pPr>
      <w:r>
        <w:rPr>
          <w:color w:val="auto"/>
          <w:highlight w:val="none"/>
        </w:rPr>
        <w:br w:type="page"/>
      </w:r>
      <w:bookmarkStart w:id="1556" w:name="_Toc349639687"/>
      <w:bookmarkStart w:id="1557" w:name="_Toc349557654"/>
      <w:bookmarkStart w:id="1558" w:name="_Toc349555832"/>
      <w:bookmarkStart w:id="1559" w:name="_Toc389065358"/>
      <w:bookmarkStart w:id="1560" w:name="_Toc349558044"/>
      <w:bookmarkStart w:id="1561" w:name="_Toc349215560"/>
      <w:bookmarkStart w:id="1562" w:name="_Toc349640339"/>
      <w:r>
        <w:rPr>
          <w:rFonts w:hint="eastAsia" w:cs="宋体"/>
          <w:b/>
          <w:color w:val="auto"/>
          <w:sz w:val="24"/>
          <w:szCs w:val="24"/>
          <w:highlight w:val="none"/>
        </w:rPr>
        <w:t>三、投标报价表</w:t>
      </w:r>
      <w:bookmarkEnd w:id="1556"/>
      <w:bookmarkEnd w:id="1557"/>
      <w:bookmarkEnd w:id="1558"/>
      <w:bookmarkEnd w:id="1559"/>
      <w:bookmarkEnd w:id="1560"/>
      <w:bookmarkEnd w:id="1561"/>
      <w:bookmarkEnd w:id="1562"/>
    </w:p>
    <w:p>
      <w:pPr>
        <w:spacing w:line="480" w:lineRule="auto"/>
        <w:rPr>
          <w:color w:val="auto"/>
          <w:highlight w:val="none"/>
        </w:rPr>
      </w:pPr>
    </w:p>
    <w:p>
      <w:pPr>
        <w:ind w:left="-178" w:leftChars="-85" w:right="-512" w:rightChars="-244"/>
        <w:jc w:val="left"/>
        <w:rPr>
          <w:color w:val="auto"/>
          <w:highlight w:val="none"/>
        </w:rPr>
      </w:pPr>
      <w:r>
        <w:rPr>
          <w:rFonts w:hint="eastAsia" w:cs="宋体"/>
          <w:color w:val="auto"/>
          <w:highlight w:val="none"/>
        </w:rPr>
        <w:t>项目名称：</w:t>
      </w:r>
      <w:r>
        <w:rPr>
          <w:color w:val="auto"/>
          <w:highlight w:val="none"/>
        </w:rPr>
        <w:t xml:space="preserve">                                                  </w:t>
      </w:r>
      <w:r>
        <w:rPr>
          <w:rFonts w:hint="eastAsia" w:cs="宋体"/>
          <w:color w:val="auto"/>
          <w:highlight w:val="none"/>
        </w:rPr>
        <w:t>币种：人民币</w:t>
      </w:r>
    </w:p>
    <w:tbl>
      <w:tblPr>
        <w:tblStyle w:val="42"/>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3116"/>
        <w:gridCol w:w="1987"/>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jc w:val="center"/>
        </w:trPr>
        <w:tc>
          <w:tcPr>
            <w:tcW w:w="5100" w:type="dxa"/>
            <w:gridSpan w:val="2"/>
            <w:shd w:val="clear" w:color="auto" w:fill="auto"/>
            <w:vAlign w:val="center"/>
          </w:tcPr>
          <w:p>
            <w:pPr>
              <w:widowControl/>
              <w:jc w:val="center"/>
              <w:rPr>
                <w:color w:val="auto"/>
                <w:highlight w:val="none"/>
              </w:rPr>
            </w:pPr>
            <w:r>
              <w:rPr>
                <w:rFonts w:hint="eastAsia" w:cs="宋体"/>
                <w:color w:val="auto"/>
                <w:highlight w:val="none"/>
              </w:rPr>
              <w:t>投标总价</w:t>
            </w:r>
          </w:p>
        </w:tc>
        <w:tc>
          <w:tcPr>
            <w:tcW w:w="1987" w:type="dxa"/>
            <w:shd w:val="clear" w:color="auto" w:fill="auto"/>
            <w:vAlign w:val="center"/>
          </w:tcPr>
          <w:p>
            <w:pPr>
              <w:widowControl/>
              <w:jc w:val="right"/>
              <w:rPr>
                <w:color w:val="auto"/>
                <w:highlight w:val="none"/>
              </w:rPr>
            </w:pPr>
            <w:r>
              <w:rPr>
                <w:rFonts w:hint="eastAsia" w:cs="宋体"/>
                <w:color w:val="auto"/>
                <w:highlight w:val="none"/>
              </w:rPr>
              <w:t>万元</w:t>
            </w:r>
          </w:p>
        </w:tc>
        <w:tc>
          <w:tcPr>
            <w:tcW w:w="1702" w:type="dxa"/>
            <w:shd w:val="clear" w:color="auto" w:fill="auto"/>
            <w:vAlign w:val="center"/>
          </w:tcPr>
          <w:p>
            <w:pPr>
              <w:widowControl/>
              <w:jc w:val="center"/>
              <w:rPr>
                <w:color w:val="auto"/>
                <w:highlight w:val="none"/>
              </w:rPr>
            </w:pPr>
            <w:r>
              <w:rPr>
                <w:rFonts w:hint="eastAsia" w:cs="宋体"/>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1984" w:type="dxa"/>
            <w:vMerge w:val="restart"/>
            <w:shd w:val="clear" w:color="auto" w:fill="auto"/>
            <w:vAlign w:val="center"/>
          </w:tcPr>
          <w:p>
            <w:pPr>
              <w:jc w:val="center"/>
              <w:rPr>
                <w:color w:val="auto"/>
                <w:highlight w:val="none"/>
              </w:rPr>
            </w:pPr>
            <w:r>
              <w:rPr>
                <w:rFonts w:hint="eastAsia" w:cs="宋体"/>
                <w:color w:val="auto"/>
                <w:highlight w:val="none"/>
              </w:rPr>
              <w:t>其中</w:t>
            </w:r>
          </w:p>
        </w:tc>
        <w:tc>
          <w:tcPr>
            <w:tcW w:w="3116" w:type="dxa"/>
            <w:shd w:val="clear" w:color="auto" w:fill="auto"/>
            <w:vAlign w:val="center"/>
          </w:tcPr>
          <w:p>
            <w:pPr>
              <w:jc w:val="center"/>
              <w:rPr>
                <w:color w:val="auto"/>
                <w:highlight w:val="none"/>
              </w:rPr>
            </w:pPr>
            <w:r>
              <w:rPr>
                <w:rFonts w:hint="eastAsia" w:cs="宋体"/>
                <w:color w:val="auto"/>
                <w:highlight w:val="none"/>
              </w:rPr>
              <w:t>安全文明施工费</w:t>
            </w:r>
          </w:p>
        </w:tc>
        <w:tc>
          <w:tcPr>
            <w:tcW w:w="1987" w:type="dxa"/>
            <w:shd w:val="clear" w:color="auto" w:fill="auto"/>
            <w:vAlign w:val="center"/>
          </w:tcPr>
          <w:p>
            <w:pPr>
              <w:jc w:val="right"/>
              <w:rPr>
                <w:color w:val="auto"/>
                <w:highlight w:val="none"/>
              </w:rPr>
            </w:pPr>
            <w:r>
              <w:rPr>
                <w:rFonts w:hint="eastAsia" w:cs="宋体"/>
                <w:color w:val="auto"/>
                <w:highlight w:val="none"/>
              </w:rPr>
              <w:t>万元</w:t>
            </w:r>
          </w:p>
        </w:tc>
        <w:tc>
          <w:tcPr>
            <w:tcW w:w="1702"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jc w:val="center"/>
        </w:trPr>
        <w:tc>
          <w:tcPr>
            <w:tcW w:w="1984" w:type="dxa"/>
            <w:vMerge w:val="continue"/>
            <w:shd w:val="clear" w:color="auto" w:fill="auto"/>
            <w:vAlign w:val="center"/>
          </w:tcPr>
          <w:p>
            <w:pPr>
              <w:widowControl/>
              <w:jc w:val="center"/>
              <w:rPr>
                <w:color w:val="auto"/>
                <w:highlight w:val="none"/>
              </w:rPr>
            </w:pPr>
          </w:p>
        </w:tc>
        <w:tc>
          <w:tcPr>
            <w:tcW w:w="3116" w:type="dxa"/>
            <w:shd w:val="clear" w:color="auto" w:fill="auto"/>
            <w:vAlign w:val="center"/>
          </w:tcPr>
          <w:p>
            <w:pPr>
              <w:jc w:val="center"/>
              <w:rPr>
                <w:color w:val="auto"/>
                <w:highlight w:val="none"/>
              </w:rPr>
            </w:pPr>
            <w:r>
              <w:rPr>
                <w:rFonts w:hint="eastAsia" w:cs="宋体"/>
                <w:color w:val="auto"/>
                <w:highlight w:val="none"/>
              </w:rPr>
              <w:t>发包人提供材料（设备）暂估价（如有）</w:t>
            </w:r>
          </w:p>
        </w:tc>
        <w:tc>
          <w:tcPr>
            <w:tcW w:w="1987" w:type="dxa"/>
            <w:shd w:val="clear" w:color="auto" w:fill="auto"/>
            <w:vAlign w:val="center"/>
          </w:tcPr>
          <w:p>
            <w:pPr>
              <w:widowControl/>
              <w:jc w:val="right"/>
              <w:rPr>
                <w:color w:val="auto"/>
                <w:highlight w:val="none"/>
              </w:rPr>
            </w:pPr>
            <w:r>
              <w:rPr>
                <w:rFonts w:hint="eastAsia" w:cs="宋体"/>
                <w:color w:val="auto"/>
                <w:highlight w:val="none"/>
              </w:rPr>
              <w:t>万元</w:t>
            </w:r>
          </w:p>
        </w:tc>
        <w:tc>
          <w:tcPr>
            <w:tcW w:w="1702" w:type="dxa"/>
            <w:shd w:val="clear" w:color="auto" w:fill="auto"/>
          </w:tcPr>
          <w:p>
            <w:pPr>
              <w:widowControl/>
              <w:ind w:right="48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jc w:val="center"/>
        </w:trPr>
        <w:tc>
          <w:tcPr>
            <w:tcW w:w="1984" w:type="dxa"/>
            <w:vMerge w:val="continue"/>
            <w:shd w:val="clear" w:color="auto" w:fill="auto"/>
            <w:vAlign w:val="center"/>
          </w:tcPr>
          <w:p>
            <w:pPr>
              <w:widowControl/>
              <w:jc w:val="center"/>
              <w:rPr>
                <w:color w:val="auto"/>
                <w:highlight w:val="none"/>
              </w:rPr>
            </w:pPr>
          </w:p>
        </w:tc>
        <w:tc>
          <w:tcPr>
            <w:tcW w:w="3116" w:type="dxa"/>
            <w:shd w:val="clear" w:color="auto" w:fill="auto"/>
            <w:vAlign w:val="center"/>
          </w:tcPr>
          <w:p>
            <w:pPr>
              <w:widowControl/>
              <w:rPr>
                <w:color w:val="auto"/>
                <w:highlight w:val="none"/>
              </w:rPr>
            </w:pPr>
            <w:r>
              <w:rPr>
                <w:rFonts w:hint="eastAsia" w:cs="宋体"/>
                <w:color w:val="auto"/>
                <w:highlight w:val="none"/>
              </w:rPr>
              <w:t>专业工程暂估价（如有）</w:t>
            </w:r>
          </w:p>
        </w:tc>
        <w:tc>
          <w:tcPr>
            <w:tcW w:w="1987" w:type="dxa"/>
            <w:shd w:val="clear" w:color="auto" w:fill="auto"/>
            <w:vAlign w:val="center"/>
          </w:tcPr>
          <w:p>
            <w:pPr>
              <w:widowControl/>
              <w:jc w:val="right"/>
              <w:rPr>
                <w:color w:val="auto"/>
                <w:highlight w:val="none"/>
              </w:rPr>
            </w:pPr>
            <w:r>
              <w:rPr>
                <w:rFonts w:hint="eastAsia" w:cs="宋体"/>
                <w:color w:val="auto"/>
                <w:highlight w:val="none"/>
              </w:rPr>
              <w:t>万元</w:t>
            </w:r>
          </w:p>
        </w:tc>
        <w:tc>
          <w:tcPr>
            <w:tcW w:w="1702" w:type="dxa"/>
            <w:shd w:val="clear" w:color="auto" w:fill="auto"/>
          </w:tcPr>
          <w:p>
            <w:pPr>
              <w:widowControl/>
              <w:ind w:right="48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jc w:val="center"/>
        </w:trPr>
        <w:tc>
          <w:tcPr>
            <w:tcW w:w="1984" w:type="dxa"/>
            <w:vMerge w:val="continue"/>
            <w:shd w:val="clear" w:color="auto" w:fill="auto"/>
            <w:vAlign w:val="center"/>
          </w:tcPr>
          <w:p>
            <w:pPr>
              <w:widowControl/>
              <w:jc w:val="center"/>
              <w:rPr>
                <w:color w:val="auto"/>
                <w:highlight w:val="none"/>
              </w:rPr>
            </w:pPr>
          </w:p>
        </w:tc>
        <w:tc>
          <w:tcPr>
            <w:tcW w:w="3116" w:type="dxa"/>
            <w:shd w:val="clear" w:color="auto" w:fill="auto"/>
            <w:vAlign w:val="center"/>
          </w:tcPr>
          <w:p>
            <w:pPr>
              <w:widowControl/>
              <w:ind w:firstLine="945" w:firstLineChars="450"/>
              <w:rPr>
                <w:color w:val="auto"/>
                <w:highlight w:val="none"/>
              </w:rPr>
            </w:pPr>
            <w:r>
              <w:rPr>
                <w:rFonts w:hint="eastAsia" w:cs="宋体"/>
                <w:color w:val="auto"/>
                <w:highlight w:val="none"/>
              </w:rPr>
              <w:t>暂列金额（如有）</w:t>
            </w:r>
          </w:p>
        </w:tc>
        <w:tc>
          <w:tcPr>
            <w:tcW w:w="1987" w:type="dxa"/>
            <w:shd w:val="clear" w:color="auto" w:fill="auto"/>
            <w:vAlign w:val="center"/>
          </w:tcPr>
          <w:p>
            <w:pPr>
              <w:widowControl/>
              <w:jc w:val="right"/>
              <w:rPr>
                <w:color w:val="auto"/>
                <w:highlight w:val="none"/>
              </w:rPr>
            </w:pPr>
            <w:r>
              <w:rPr>
                <w:rFonts w:hint="eastAsia" w:cs="宋体"/>
                <w:color w:val="auto"/>
                <w:highlight w:val="none"/>
              </w:rPr>
              <w:t>万元</w:t>
            </w:r>
          </w:p>
        </w:tc>
        <w:tc>
          <w:tcPr>
            <w:tcW w:w="1702" w:type="dxa"/>
            <w:shd w:val="clear" w:color="auto" w:fill="auto"/>
          </w:tcPr>
          <w:p>
            <w:pPr>
              <w:widowControl/>
              <w:ind w:right="48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jc w:val="center"/>
        </w:trPr>
        <w:tc>
          <w:tcPr>
            <w:tcW w:w="1984" w:type="dxa"/>
            <w:vMerge w:val="restart"/>
            <w:shd w:val="clear" w:color="auto" w:fill="auto"/>
            <w:vAlign w:val="center"/>
          </w:tcPr>
          <w:p>
            <w:pPr>
              <w:widowControl/>
              <w:jc w:val="center"/>
              <w:rPr>
                <w:color w:val="auto"/>
                <w:highlight w:val="none"/>
              </w:rPr>
            </w:pPr>
            <w:r>
              <w:rPr>
                <w:rFonts w:hint="eastAsia" w:cs="宋体"/>
                <w:color w:val="auto"/>
                <w:highlight w:val="none"/>
              </w:rPr>
              <w:t>主要材料</w:t>
            </w:r>
          </w:p>
        </w:tc>
        <w:tc>
          <w:tcPr>
            <w:tcW w:w="3116" w:type="dxa"/>
            <w:shd w:val="clear" w:color="auto" w:fill="auto"/>
            <w:vAlign w:val="center"/>
          </w:tcPr>
          <w:p>
            <w:pPr>
              <w:widowControl/>
              <w:jc w:val="center"/>
              <w:rPr>
                <w:color w:val="auto"/>
                <w:highlight w:val="none"/>
              </w:rPr>
            </w:pPr>
            <w:r>
              <w:rPr>
                <w:rFonts w:hint="eastAsia" w:cs="宋体"/>
                <w:color w:val="auto"/>
                <w:highlight w:val="none"/>
              </w:rPr>
              <w:t>钢筋</w:t>
            </w:r>
          </w:p>
        </w:tc>
        <w:tc>
          <w:tcPr>
            <w:tcW w:w="1987" w:type="dxa"/>
            <w:shd w:val="clear" w:color="auto" w:fill="auto"/>
            <w:vAlign w:val="center"/>
          </w:tcPr>
          <w:p>
            <w:pPr>
              <w:widowControl/>
              <w:jc w:val="right"/>
              <w:rPr>
                <w:color w:val="auto"/>
                <w:highlight w:val="none"/>
              </w:rPr>
            </w:pPr>
            <w:r>
              <w:rPr>
                <w:rFonts w:hint="eastAsia" w:cs="宋体"/>
                <w:color w:val="auto"/>
                <w:highlight w:val="none"/>
              </w:rPr>
              <w:t>吨</w:t>
            </w:r>
          </w:p>
        </w:tc>
        <w:tc>
          <w:tcPr>
            <w:tcW w:w="1702" w:type="dxa"/>
            <w:shd w:val="clear" w:color="auto" w:fill="auto"/>
          </w:tcPr>
          <w:p>
            <w:pPr>
              <w:widowControl/>
              <w:jc w:val="righ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1984" w:type="dxa"/>
            <w:vMerge w:val="continue"/>
            <w:shd w:val="clear" w:color="auto" w:fill="auto"/>
            <w:vAlign w:val="center"/>
          </w:tcPr>
          <w:p>
            <w:pPr>
              <w:widowControl/>
              <w:jc w:val="center"/>
              <w:rPr>
                <w:color w:val="auto"/>
                <w:highlight w:val="none"/>
              </w:rPr>
            </w:pPr>
          </w:p>
        </w:tc>
        <w:tc>
          <w:tcPr>
            <w:tcW w:w="3116" w:type="dxa"/>
            <w:shd w:val="clear" w:color="auto" w:fill="auto"/>
            <w:vAlign w:val="center"/>
          </w:tcPr>
          <w:p>
            <w:pPr>
              <w:widowControl/>
              <w:jc w:val="center"/>
              <w:rPr>
                <w:color w:val="auto"/>
                <w:highlight w:val="none"/>
              </w:rPr>
            </w:pPr>
            <w:r>
              <w:rPr>
                <w:rFonts w:hint="eastAsia" w:cs="宋体"/>
                <w:color w:val="auto"/>
                <w:highlight w:val="none"/>
              </w:rPr>
              <w:t>水泥（不含商品混凝土用量）</w:t>
            </w:r>
          </w:p>
        </w:tc>
        <w:tc>
          <w:tcPr>
            <w:tcW w:w="1987" w:type="dxa"/>
            <w:shd w:val="clear" w:color="auto" w:fill="auto"/>
            <w:vAlign w:val="center"/>
          </w:tcPr>
          <w:p>
            <w:pPr>
              <w:widowControl/>
              <w:tabs>
                <w:tab w:val="left" w:pos="2398"/>
              </w:tabs>
              <w:ind w:right="18"/>
              <w:jc w:val="right"/>
              <w:rPr>
                <w:color w:val="auto"/>
                <w:highlight w:val="none"/>
              </w:rPr>
            </w:pPr>
            <w:r>
              <w:rPr>
                <w:rFonts w:hint="eastAsia" w:cs="宋体"/>
                <w:color w:val="auto"/>
                <w:highlight w:val="none"/>
              </w:rPr>
              <w:t>吨</w:t>
            </w:r>
          </w:p>
        </w:tc>
        <w:tc>
          <w:tcPr>
            <w:tcW w:w="1702" w:type="dxa"/>
            <w:shd w:val="clear" w:color="auto" w:fill="auto"/>
          </w:tcPr>
          <w:p>
            <w:pPr>
              <w:widowControl/>
              <w:jc w:val="righ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jc w:val="center"/>
        </w:trPr>
        <w:tc>
          <w:tcPr>
            <w:tcW w:w="1984" w:type="dxa"/>
            <w:vMerge w:val="continue"/>
            <w:shd w:val="clear" w:color="auto" w:fill="auto"/>
            <w:vAlign w:val="center"/>
          </w:tcPr>
          <w:p>
            <w:pPr>
              <w:widowControl/>
              <w:jc w:val="center"/>
              <w:rPr>
                <w:color w:val="auto"/>
                <w:highlight w:val="none"/>
              </w:rPr>
            </w:pPr>
          </w:p>
        </w:tc>
        <w:tc>
          <w:tcPr>
            <w:tcW w:w="3116" w:type="dxa"/>
            <w:shd w:val="clear" w:color="auto" w:fill="auto"/>
            <w:vAlign w:val="center"/>
          </w:tcPr>
          <w:p>
            <w:pPr>
              <w:widowControl/>
              <w:jc w:val="center"/>
              <w:rPr>
                <w:color w:val="auto"/>
                <w:highlight w:val="none"/>
              </w:rPr>
            </w:pPr>
            <w:r>
              <w:rPr>
                <w:rFonts w:hint="eastAsia" w:cs="宋体"/>
                <w:color w:val="auto"/>
                <w:highlight w:val="none"/>
              </w:rPr>
              <w:t>商品混凝土</w:t>
            </w:r>
          </w:p>
        </w:tc>
        <w:tc>
          <w:tcPr>
            <w:tcW w:w="1987" w:type="dxa"/>
            <w:shd w:val="clear" w:color="auto" w:fill="auto"/>
            <w:vAlign w:val="center"/>
          </w:tcPr>
          <w:p>
            <w:pPr>
              <w:widowControl/>
              <w:jc w:val="right"/>
              <w:rPr>
                <w:color w:val="auto"/>
                <w:highlight w:val="none"/>
              </w:rPr>
            </w:pPr>
            <w:r>
              <w:rPr>
                <w:color w:val="auto"/>
                <w:highlight w:val="none"/>
              </w:rPr>
              <w:t>m</w:t>
            </w:r>
            <w:r>
              <w:rPr>
                <w:color w:val="auto"/>
                <w:highlight w:val="none"/>
                <w:vertAlign w:val="superscript"/>
              </w:rPr>
              <w:t>3</w:t>
            </w:r>
          </w:p>
        </w:tc>
        <w:tc>
          <w:tcPr>
            <w:tcW w:w="1702" w:type="dxa"/>
            <w:shd w:val="clear" w:color="auto" w:fill="auto"/>
          </w:tcPr>
          <w:p>
            <w:pPr>
              <w:widowControl/>
              <w:jc w:val="right"/>
              <w:rPr>
                <w:color w:val="auto"/>
                <w:highlight w:val="none"/>
              </w:rPr>
            </w:pPr>
          </w:p>
        </w:tc>
      </w:tr>
    </w:tbl>
    <w:p>
      <w:pPr>
        <w:ind w:left="-178" w:leftChars="-85" w:firstLine="177" w:firstLineChars="74"/>
        <w:rPr>
          <w:color w:val="auto"/>
          <w:sz w:val="24"/>
          <w:szCs w:val="24"/>
          <w:highlight w:val="none"/>
        </w:rPr>
      </w:pPr>
    </w:p>
    <w:p>
      <w:pPr>
        <w:spacing w:line="480" w:lineRule="auto"/>
        <w:rPr>
          <w:color w:val="auto"/>
          <w:highlight w:val="none"/>
        </w:rPr>
      </w:pPr>
    </w:p>
    <w:p>
      <w:pPr>
        <w:spacing w:line="480" w:lineRule="auto"/>
        <w:rPr>
          <w:color w:val="auto"/>
          <w:highlight w:val="none"/>
        </w:rPr>
      </w:pPr>
    </w:p>
    <w:p>
      <w:pPr>
        <w:spacing w:line="480" w:lineRule="auto"/>
        <w:rPr>
          <w:color w:val="auto"/>
          <w:highlight w:val="none"/>
        </w:rPr>
      </w:pPr>
    </w:p>
    <w:p>
      <w:pPr>
        <w:spacing w:line="480" w:lineRule="auto"/>
        <w:ind w:firstLine="210" w:firstLineChars="100"/>
        <w:rPr>
          <w:color w:val="auto"/>
          <w:highlight w:val="none"/>
        </w:rPr>
      </w:pPr>
      <w:r>
        <w:rPr>
          <w:rFonts w:hint="eastAsia" w:cs="宋体"/>
          <w:color w:val="auto"/>
          <w:highlight w:val="none"/>
        </w:rPr>
        <w:t>投标人（盖单位章）：</w:t>
      </w:r>
    </w:p>
    <w:p>
      <w:pPr>
        <w:spacing w:line="480" w:lineRule="auto"/>
        <w:ind w:firstLine="210" w:firstLineChars="100"/>
        <w:rPr>
          <w:color w:val="auto"/>
          <w:highlight w:val="none"/>
        </w:rPr>
      </w:pPr>
      <w:r>
        <w:rPr>
          <w:rFonts w:hint="eastAsia" w:cs="宋体"/>
          <w:color w:val="auto"/>
          <w:highlight w:val="none"/>
        </w:rPr>
        <w:t>法定代表人（签字或盖章）：</w:t>
      </w:r>
    </w:p>
    <w:p>
      <w:pPr>
        <w:spacing w:line="480" w:lineRule="auto"/>
        <w:ind w:firstLine="210" w:firstLineChars="100"/>
        <w:rPr>
          <w:color w:val="auto"/>
          <w:highlight w:val="none"/>
        </w:rPr>
      </w:pPr>
      <w:r>
        <w:rPr>
          <w:rFonts w:hint="eastAsia" w:cs="宋体"/>
          <w:color w:val="auto"/>
          <w:highlight w:val="none"/>
        </w:rPr>
        <w:t>日期：</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pPr>
        <w:spacing w:line="480" w:lineRule="auto"/>
        <w:ind w:firstLine="210" w:firstLineChars="100"/>
        <w:rPr>
          <w:color w:val="auto"/>
          <w:highlight w:val="none"/>
        </w:rPr>
      </w:pPr>
    </w:p>
    <w:p>
      <w:pPr>
        <w:spacing w:line="480" w:lineRule="auto"/>
        <w:ind w:firstLine="210" w:firstLineChars="100"/>
        <w:rPr>
          <w:color w:val="auto"/>
          <w:highlight w:val="none"/>
        </w:rPr>
        <w:sectPr>
          <w:pgSz w:w="11907" w:h="16840"/>
          <w:pgMar w:top="1440" w:right="1440" w:bottom="1440" w:left="1797" w:header="851" w:footer="851" w:gutter="0"/>
          <w:cols w:space="720" w:num="1"/>
          <w:docGrid w:linePitch="312" w:charSpace="0"/>
        </w:sectPr>
      </w:pPr>
    </w:p>
    <w:p>
      <w:pPr>
        <w:pStyle w:val="146"/>
        <w:ind w:firstLine="422"/>
        <w:jc w:val="center"/>
        <w:outlineLvl w:val="0"/>
        <w:rPr>
          <w:b/>
          <w:color w:val="auto"/>
          <w:sz w:val="24"/>
          <w:szCs w:val="24"/>
          <w:highlight w:val="none"/>
        </w:rPr>
      </w:pPr>
      <w:bookmarkStart w:id="1563" w:name="_Toc389065359"/>
      <w:r>
        <w:rPr>
          <w:rFonts w:hint="eastAsia" w:cs="宋体"/>
          <w:b/>
          <w:color w:val="auto"/>
          <w:sz w:val="24"/>
          <w:szCs w:val="24"/>
          <w:highlight w:val="none"/>
        </w:rPr>
        <w:t>四、已标价工程量清单</w:t>
      </w:r>
      <w:bookmarkEnd w:id="1563"/>
    </w:p>
    <w:p>
      <w:pPr>
        <w:pStyle w:val="146"/>
        <w:jc w:val="center"/>
        <w:rPr>
          <w:b/>
          <w:color w:val="auto"/>
          <w:sz w:val="28"/>
          <w:szCs w:val="28"/>
          <w:highlight w:val="none"/>
        </w:rPr>
      </w:pPr>
    </w:p>
    <w:p>
      <w:pPr>
        <w:spacing w:line="360" w:lineRule="auto"/>
        <w:ind w:firstLine="420" w:firstLineChars="200"/>
        <w:rPr>
          <w:color w:val="auto"/>
          <w:highlight w:val="none"/>
        </w:rPr>
      </w:pPr>
      <w:r>
        <w:rPr>
          <w:color w:val="auto"/>
          <w:highlight w:val="none"/>
        </w:rPr>
        <w:t xml:space="preserve">1. </w:t>
      </w:r>
      <w:r>
        <w:rPr>
          <w:rFonts w:hint="eastAsia" w:cs="宋体"/>
          <w:color w:val="auto"/>
          <w:highlight w:val="none"/>
        </w:rPr>
        <w:t>已标价工程量清单应按第五章</w:t>
      </w:r>
      <w:r>
        <w:rPr>
          <w:color w:val="auto"/>
          <w:highlight w:val="none"/>
        </w:rPr>
        <w:t>“</w:t>
      </w:r>
      <w:r>
        <w:rPr>
          <w:rFonts w:hint="eastAsia" w:cs="宋体"/>
          <w:color w:val="auto"/>
          <w:highlight w:val="none"/>
        </w:rPr>
        <w:t>工程量清单</w:t>
      </w:r>
      <w:r>
        <w:rPr>
          <w:color w:val="auto"/>
          <w:highlight w:val="none"/>
        </w:rPr>
        <w:t>”</w:t>
      </w:r>
      <w:r>
        <w:rPr>
          <w:rFonts w:hint="eastAsia" w:cs="宋体"/>
          <w:color w:val="auto"/>
          <w:highlight w:val="none"/>
        </w:rPr>
        <w:t>中的相关表格及投标报价说明填写。构成合同文件的已标价工程量清单包括第五章</w:t>
      </w:r>
      <w:r>
        <w:rPr>
          <w:color w:val="auto"/>
          <w:highlight w:val="none"/>
        </w:rPr>
        <w:t>“</w:t>
      </w:r>
      <w:r>
        <w:rPr>
          <w:rFonts w:hint="eastAsia" w:cs="宋体"/>
          <w:color w:val="auto"/>
          <w:highlight w:val="none"/>
        </w:rPr>
        <w:t>工程量清单</w:t>
      </w:r>
      <w:r>
        <w:rPr>
          <w:color w:val="auto"/>
          <w:highlight w:val="none"/>
        </w:rPr>
        <w:t>”</w:t>
      </w:r>
      <w:r>
        <w:rPr>
          <w:rFonts w:hint="eastAsia" w:cs="宋体"/>
          <w:color w:val="auto"/>
          <w:highlight w:val="none"/>
        </w:rPr>
        <w:t>有关工程量清单、投标报价以及其他说明的内容。</w:t>
      </w:r>
    </w:p>
    <w:p>
      <w:pPr>
        <w:spacing w:line="360" w:lineRule="auto"/>
        <w:ind w:firstLine="420" w:firstLineChars="200"/>
        <w:rPr>
          <w:color w:val="auto"/>
          <w:highlight w:val="none"/>
        </w:rPr>
      </w:pPr>
      <w:r>
        <w:rPr>
          <w:color w:val="auto"/>
          <w:highlight w:val="none"/>
        </w:rPr>
        <w:t xml:space="preserve">2. </w:t>
      </w:r>
      <w:r>
        <w:rPr>
          <w:rFonts w:hint="eastAsia" w:cs="宋体"/>
          <w:color w:val="auto"/>
          <w:highlight w:val="none"/>
        </w:rPr>
        <w:t>一般计税法建设工程已标价工程量清单表格按</w:t>
      </w:r>
      <w:r>
        <w:rPr>
          <w:rFonts w:hint="eastAsia" w:hAnsi="宋体" w:cs="宋体"/>
          <w:color w:val="auto"/>
          <w:kern w:val="0"/>
          <w:highlight w:val="none"/>
        </w:rPr>
        <w:t>《关于建筑业实施营业税改征增值税后广西壮族自治区建设工程计价依据调整的通知》（桂建标〔</w:t>
      </w:r>
      <w:r>
        <w:rPr>
          <w:rFonts w:hAnsi="宋体"/>
          <w:color w:val="auto"/>
          <w:kern w:val="0"/>
          <w:highlight w:val="none"/>
        </w:rPr>
        <w:t>2016</w:t>
      </w:r>
      <w:r>
        <w:rPr>
          <w:rFonts w:hint="eastAsia" w:hAnsi="宋体" w:cs="宋体"/>
          <w:color w:val="auto"/>
          <w:kern w:val="0"/>
          <w:highlight w:val="none"/>
        </w:rPr>
        <w:t>〕</w:t>
      </w:r>
      <w:r>
        <w:rPr>
          <w:rFonts w:hAnsi="宋体"/>
          <w:color w:val="auto"/>
          <w:kern w:val="0"/>
          <w:highlight w:val="none"/>
        </w:rPr>
        <w:t>17</w:t>
      </w:r>
      <w:r>
        <w:rPr>
          <w:rFonts w:hint="eastAsia" w:hAnsi="宋体" w:cs="宋体"/>
          <w:color w:val="auto"/>
          <w:kern w:val="0"/>
          <w:highlight w:val="none"/>
        </w:rPr>
        <w:t>号）</w:t>
      </w:r>
      <w:r>
        <w:rPr>
          <w:rFonts w:hint="eastAsia" w:ascii="宋体" w:hAnsi="宋体" w:cs="宋体"/>
          <w:color w:val="auto"/>
          <w:highlight w:val="none"/>
        </w:rPr>
        <w:t>附件“增值税一般计税方法工程计价表”</w:t>
      </w:r>
      <w:r>
        <w:rPr>
          <w:rFonts w:hint="eastAsia" w:cs="宋体"/>
          <w:color w:val="auto"/>
          <w:highlight w:val="none"/>
        </w:rPr>
        <w:t>要求提供，简易计税法表格按《</w:t>
      </w:r>
      <w:r>
        <w:rPr>
          <w:color w:val="auto"/>
          <w:highlight w:val="none"/>
        </w:rPr>
        <w:t>&lt;</w:t>
      </w:r>
      <w:r>
        <w:rPr>
          <w:rFonts w:hint="eastAsia" w:cs="宋体"/>
          <w:color w:val="auto"/>
          <w:highlight w:val="none"/>
        </w:rPr>
        <w:t>建设工程工程量清单计价规范</w:t>
      </w:r>
      <w:r>
        <w:rPr>
          <w:color w:val="auto"/>
          <w:highlight w:val="none"/>
        </w:rPr>
        <w:t>&gt;</w:t>
      </w:r>
      <w:r>
        <w:rPr>
          <w:rFonts w:hint="eastAsia" w:cs="宋体"/>
          <w:color w:val="auto"/>
          <w:highlight w:val="none"/>
        </w:rPr>
        <w:t>（</w:t>
      </w:r>
      <w:r>
        <w:rPr>
          <w:color w:val="auto"/>
          <w:highlight w:val="none"/>
        </w:rPr>
        <w:t>GB5050-2013</w:t>
      </w:r>
      <w:r>
        <w:rPr>
          <w:rFonts w:hint="eastAsia" w:cs="宋体"/>
          <w:color w:val="auto"/>
          <w:highlight w:val="none"/>
        </w:rPr>
        <w:t>）广西壮族自治区实施细则》要求的表格提供，但规费和税费按照</w:t>
      </w:r>
      <w:r>
        <w:rPr>
          <w:rFonts w:hint="eastAsia" w:hAnsi="宋体" w:cs="宋体"/>
          <w:color w:val="auto"/>
          <w:kern w:val="0"/>
          <w:highlight w:val="none"/>
        </w:rPr>
        <w:t>《关于建筑业实施营业税改征增值税后广西壮族自治区建设工程计价依据调整的通知》（桂建标〔</w:t>
      </w:r>
      <w:r>
        <w:rPr>
          <w:rFonts w:hAnsi="宋体"/>
          <w:color w:val="auto"/>
          <w:kern w:val="0"/>
          <w:highlight w:val="none"/>
        </w:rPr>
        <w:t>2016</w:t>
      </w:r>
      <w:r>
        <w:rPr>
          <w:rFonts w:hint="eastAsia" w:hAnsi="宋体" w:cs="宋体"/>
          <w:color w:val="auto"/>
          <w:kern w:val="0"/>
          <w:highlight w:val="none"/>
        </w:rPr>
        <w:t>〕</w:t>
      </w:r>
      <w:r>
        <w:rPr>
          <w:rFonts w:hAnsi="宋体"/>
          <w:color w:val="auto"/>
          <w:kern w:val="0"/>
          <w:highlight w:val="none"/>
        </w:rPr>
        <w:t>17</w:t>
      </w:r>
      <w:r>
        <w:rPr>
          <w:rFonts w:hint="eastAsia" w:hAnsi="宋体" w:cs="宋体"/>
          <w:color w:val="auto"/>
          <w:kern w:val="0"/>
          <w:highlight w:val="none"/>
        </w:rPr>
        <w:t>号）、《自治区住房城乡建设厅关于调整建设工程计价增值税税率的通知》（桂建标〔2018〕14号）、《自治区住房城乡建设厅关于调整建设工程计价增值税税率的通知》（桂建标〔2019〕12号）</w:t>
      </w:r>
      <w:r>
        <w:rPr>
          <w:rFonts w:hint="eastAsia" w:ascii="宋体" w:hAnsi="宋体" w:cs="宋体"/>
          <w:color w:val="auto"/>
          <w:highlight w:val="none"/>
        </w:rPr>
        <w:t>调整</w:t>
      </w:r>
      <w:r>
        <w:rPr>
          <w:rFonts w:hint="eastAsia" w:cs="宋体"/>
          <w:color w:val="auto"/>
          <w:highlight w:val="none"/>
        </w:rPr>
        <w:t>，具体内容包括：</w:t>
      </w:r>
    </w:p>
    <w:p>
      <w:pPr>
        <w:spacing w:line="360" w:lineRule="auto"/>
        <w:ind w:firstLine="630" w:firstLineChars="300"/>
        <w:jc w:val="left"/>
        <w:rPr>
          <w:color w:val="auto"/>
          <w:highlight w:val="none"/>
        </w:rPr>
      </w:pPr>
      <w:r>
        <w:rPr>
          <w:color w:val="auto"/>
          <w:highlight w:val="none"/>
        </w:rPr>
        <w:t xml:space="preserve">1.1 </w:t>
      </w:r>
      <w:r>
        <w:rPr>
          <w:rFonts w:hint="eastAsia" w:cs="宋体"/>
          <w:color w:val="auto"/>
          <w:highlight w:val="none"/>
        </w:rPr>
        <w:t>招标工程量清单（封</w:t>
      </w:r>
      <w:r>
        <w:rPr>
          <w:color w:val="auto"/>
          <w:highlight w:val="none"/>
        </w:rPr>
        <w:t>-1</w:t>
      </w:r>
      <w:r>
        <w:rPr>
          <w:rFonts w:hint="eastAsia" w:cs="宋体"/>
          <w:color w:val="auto"/>
          <w:highlight w:val="none"/>
        </w:rPr>
        <w:t>）</w:t>
      </w:r>
    </w:p>
    <w:p>
      <w:pPr>
        <w:spacing w:line="360" w:lineRule="auto"/>
        <w:ind w:firstLine="630" w:firstLineChars="300"/>
        <w:jc w:val="left"/>
        <w:rPr>
          <w:color w:val="auto"/>
          <w:highlight w:val="none"/>
        </w:rPr>
      </w:pPr>
      <w:r>
        <w:rPr>
          <w:color w:val="auto"/>
          <w:highlight w:val="none"/>
        </w:rPr>
        <w:t xml:space="preserve">1.2 </w:t>
      </w:r>
      <w:r>
        <w:rPr>
          <w:rFonts w:hint="eastAsia" w:cs="宋体"/>
          <w:color w:val="auto"/>
          <w:highlight w:val="none"/>
        </w:rPr>
        <w:t>招标工程量清单（封扉</w:t>
      </w:r>
      <w:r>
        <w:rPr>
          <w:color w:val="auto"/>
          <w:highlight w:val="none"/>
        </w:rPr>
        <w:t>-1</w:t>
      </w:r>
      <w:r>
        <w:rPr>
          <w:rFonts w:hint="eastAsia" w:cs="宋体"/>
          <w:color w:val="auto"/>
          <w:highlight w:val="none"/>
        </w:rPr>
        <w:t>）</w:t>
      </w:r>
    </w:p>
    <w:p>
      <w:pPr>
        <w:spacing w:line="360" w:lineRule="auto"/>
        <w:ind w:firstLine="630" w:firstLineChars="300"/>
        <w:jc w:val="left"/>
        <w:rPr>
          <w:color w:val="auto"/>
          <w:highlight w:val="none"/>
        </w:rPr>
      </w:pPr>
      <w:r>
        <w:rPr>
          <w:color w:val="auto"/>
          <w:highlight w:val="none"/>
        </w:rPr>
        <w:t xml:space="preserve">1.3 </w:t>
      </w:r>
      <w:r>
        <w:rPr>
          <w:rFonts w:hint="eastAsia" w:cs="宋体"/>
          <w:color w:val="auto"/>
          <w:highlight w:val="none"/>
        </w:rPr>
        <w:t>总说明（表</w:t>
      </w:r>
      <w:r>
        <w:rPr>
          <w:color w:val="auto"/>
          <w:highlight w:val="none"/>
        </w:rPr>
        <w:t>-01</w:t>
      </w:r>
      <w:r>
        <w:rPr>
          <w:rFonts w:hint="eastAsia" w:cs="宋体"/>
          <w:color w:val="auto"/>
          <w:highlight w:val="none"/>
        </w:rPr>
        <w:t>）</w:t>
      </w:r>
    </w:p>
    <w:p>
      <w:pPr>
        <w:spacing w:line="360" w:lineRule="auto"/>
        <w:ind w:firstLine="630" w:firstLineChars="300"/>
        <w:jc w:val="left"/>
        <w:rPr>
          <w:color w:val="auto"/>
          <w:highlight w:val="none"/>
        </w:rPr>
      </w:pPr>
      <w:r>
        <w:rPr>
          <w:color w:val="auto"/>
          <w:highlight w:val="none"/>
        </w:rPr>
        <w:t xml:space="preserve">1.4 </w:t>
      </w:r>
      <w:r>
        <w:rPr>
          <w:rFonts w:hint="eastAsia" w:cs="宋体"/>
          <w:color w:val="auto"/>
          <w:highlight w:val="none"/>
        </w:rPr>
        <w:t>单项工程投标报价汇总表（表</w:t>
      </w:r>
      <w:r>
        <w:rPr>
          <w:color w:val="auto"/>
          <w:highlight w:val="none"/>
        </w:rPr>
        <w:t>-03</w:t>
      </w:r>
      <w:r>
        <w:rPr>
          <w:rFonts w:hint="eastAsia" w:cs="宋体"/>
          <w:color w:val="auto"/>
          <w:highlight w:val="none"/>
        </w:rPr>
        <w:t>）</w:t>
      </w:r>
    </w:p>
    <w:p>
      <w:pPr>
        <w:spacing w:line="360" w:lineRule="auto"/>
        <w:ind w:firstLine="630" w:firstLineChars="300"/>
        <w:jc w:val="left"/>
        <w:rPr>
          <w:color w:val="auto"/>
          <w:highlight w:val="none"/>
        </w:rPr>
      </w:pPr>
      <w:r>
        <w:rPr>
          <w:color w:val="auto"/>
          <w:highlight w:val="none"/>
        </w:rPr>
        <w:t xml:space="preserve">1.5 </w:t>
      </w:r>
      <w:r>
        <w:rPr>
          <w:rFonts w:hint="eastAsia" w:cs="宋体"/>
          <w:color w:val="auto"/>
          <w:highlight w:val="none"/>
        </w:rPr>
        <w:t>单位工程投标报价汇总表（表</w:t>
      </w:r>
      <w:r>
        <w:rPr>
          <w:color w:val="auto"/>
          <w:highlight w:val="none"/>
        </w:rPr>
        <w:t>-04</w:t>
      </w:r>
      <w:r>
        <w:rPr>
          <w:rFonts w:hint="eastAsia" w:cs="宋体"/>
          <w:color w:val="auto"/>
          <w:highlight w:val="none"/>
        </w:rPr>
        <w:t>）</w:t>
      </w:r>
    </w:p>
    <w:p>
      <w:pPr>
        <w:spacing w:line="360" w:lineRule="auto"/>
        <w:ind w:firstLine="630" w:firstLineChars="300"/>
        <w:jc w:val="left"/>
        <w:rPr>
          <w:color w:val="auto"/>
          <w:highlight w:val="none"/>
        </w:rPr>
      </w:pPr>
      <w:r>
        <w:rPr>
          <w:color w:val="auto"/>
          <w:highlight w:val="none"/>
        </w:rPr>
        <w:t xml:space="preserve">1.6 </w:t>
      </w:r>
      <w:r>
        <w:rPr>
          <w:rFonts w:hint="eastAsia" w:cs="宋体"/>
          <w:color w:val="auto"/>
          <w:highlight w:val="none"/>
        </w:rPr>
        <w:t>分部分项工程和单价措施项目清单与计价表（表</w:t>
      </w:r>
      <w:r>
        <w:rPr>
          <w:color w:val="auto"/>
          <w:highlight w:val="none"/>
        </w:rPr>
        <w:t>-08</w:t>
      </w:r>
      <w:r>
        <w:rPr>
          <w:rFonts w:hint="eastAsia" w:cs="宋体"/>
          <w:color w:val="auto"/>
          <w:highlight w:val="none"/>
        </w:rPr>
        <w:t>）</w:t>
      </w:r>
    </w:p>
    <w:p>
      <w:pPr>
        <w:spacing w:line="360" w:lineRule="auto"/>
        <w:ind w:firstLine="630" w:firstLineChars="300"/>
        <w:jc w:val="left"/>
        <w:rPr>
          <w:color w:val="auto"/>
          <w:highlight w:val="none"/>
        </w:rPr>
      </w:pPr>
      <w:r>
        <w:rPr>
          <w:color w:val="auto"/>
          <w:highlight w:val="none"/>
        </w:rPr>
        <w:t xml:space="preserve">1.7 </w:t>
      </w:r>
      <w:r>
        <w:rPr>
          <w:rFonts w:hint="eastAsia" w:cs="宋体"/>
          <w:color w:val="auto"/>
          <w:highlight w:val="none"/>
        </w:rPr>
        <w:t>总价措施项目清单与计价表（表</w:t>
      </w:r>
      <w:r>
        <w:rPr>
          <w:color w:val="auto"/>
          <w:highlight w:val="none"/>
        </w:rPr>
        <w:t>-11</w:t>
      </w:r>
      <w:r>
        <w:rPr>
          <w:rFonts w:hint="eastAsia" w:cs="宋体"/>
          <w:color w:val="auto"/>
          <w:highlight w:val="none"/>
        </w:rPr>
        <w:t>）</w:t>
      </w:r>
    </w:p>
    <w:p>
      <w:pPr>
        <w:spacing w:line="360" w:lineRule="auto"/>
        <w:ind w:firstLine="630" w:firstLineChars="300"/>
        <w:jc w:val="left"/>
        <w:rPr>
          <w:color w:val="auto"/>
          <w:highlight w:val="none"/>
        </w:rPr>
      </w:pPr>
      <w:r>
        <w:rPr>
          <w:color w:val="auto"/>
          <w:highlight w:val="none"/>
        </w:rPr>
        <w:t xml:space="preserve">1.8 </w:t>
      </w:r>
      <w:r>
        <w:rPr>
          <w:rFonts w:hint="eastAsia" w:cs="宋体"/>
          <w:color w:val="auto"/>
          <w:highlight w:val="none"/>
        </w:rPr>
        <w:t>其他项目清单与计价汇总表（表</w:t>
      </w:r>
      <w:r>
        <w:rPr>
          <w:color w:val="auto"/>
          <w:highlight w:val="none"/>
        </w:rPr>
        <w:t>-12</w:t>
      </w:r>
      <w:r>
        <w:rPr>
          <w:rFonts w:hint="eastAsia" w:cs="宋体"/>
          <w:color w:val="auto"/>
          <w:highlight w:val="none"/>
        </w:rPr>
        <w:t>）</w:t>
      </w:r>
    </w:p>
    <w:p>
      <w:pPr>
        <w:spacing w:line="360" w:lineRule="auto"/>
        <w:ind w:firstLine="630" w:firstLineChars="300"/>
        <w:jc w:val="left"/>
        <w:rPr>
          <w:color w:val="auto"/>
          <w:highlight w:val="none"/>
        </w:rPr>
      </w:pPr>
      <w:r>
        <w:rPr>
          <w:color w:val="auto"/>
          <w:highlight w:val="none"/>
        </w:rPr>
        <w:t xml:space="preserve">1.9 </w:t>
      </w:r>
      <w:r>
        <w:rPr>
          <w:rFonts w:hint="eastAsia" w:cs="宋体"/>
          <w:color w:val="auto"/>
          <w:highlight w:val="none"/>
        </w:rPr>
        <w:t>专业工程暂估价</w:t>
      </w:r>
      <w:r>
        <w:rPr>
          <w:rFonts w:hint="eastAsia"/>
          <w:color w:val="auto"/>
          <w:highlight w:val="none"/>
        </w:rPr>
        <w:t>及结算价</w:t>
      </w:r>
      <w:r>
        <w:rPr>
          <w:rFonts w:hint="eastAsia" w:cs="宋体"/>
          <w:color w:val="auto"/>
          <w:highlight w:val="none"/>
        </w:rPr>
        <w:t>表（表</w:t>
      </w:r>
      <w:r>
        <w:rPr>
          <w:color w:val="auto"/>
          <w:highlight w:val="none"/>
        </w:rPr>
        <w:t>12-3</w:t>
      </w:r>
      <w:r>
        <w:rPr>
          <w:rFonts w:hint="eastAsia" w:cs="宋体"/>
          <w:color w:val="auto"/>
          <w:highlight w:val="none"/>
        </w:rPr>
        <w:t>）</w:t>
      </w:r>
    </w:p>
    <w:p>
      <w:pPr>
        <w:spacing w:line="360" w:lineRule="auto"/>
        <w:ind w:firstLine="630" w:firstLineChars="300"/>
        <w:jc w:val="left"/>
        <w:rPr>
          <w:color w:val="auto"/>
          <w:highlight w:val="none"/>
        </w:rPr>
      </w:pPr>
      <w:r>
        <w:rPr>
          <w:color w:val="auto"/>
          <w:highlight w:val="none"/>
        </w:rPr>
        <w:t xml:space="preserve">1.10 </w:t>
      </w:r>
      <w:r>
        <w:rPr>
          <w:rFonts w:hint="eastAsia" w:cs="宋体"/>
          <w:color w:val="auto"/>
          <w:highlight w:val="none"/>
        </w:rPr>
        <w:t>税前项目清单与计价表（表</w:t>
      </w:r>
      <w:r>
        <w:rPr>
          <w:color w:val="auto"/>
          <w:highlight w:val="none"/>
        </w:rPr>
        <w:t>-14</w:t>
      </w:r>
      <w:r>
        <w:rPr>
          <w:rFonts w:hint="eastAsia" w:cs="宋体"/>
          <w:color w:val="auto"/>
          <w:highlight w:val="none"/>
        </w:rPr>
        <w:t>）</w:t>
      </w:r>
    </w:p>
    <w:p>
      <w:pPr>
        <w:spacing w:line="360" w:lineRule="auto"/>
        <w:ind w:firstLine="630" w:firstLineChars="300"/>
        <w:jc w:val="left"/>
        <w:rPr>
          <w:color w:val="auto"/>
          <w:highlight w:val="none"/>
        </w:rPr>
      </w:pPr>
      <w:r>
        <w:rPr>
          <w:color w:val="auto"/>
          <w:highlight w:val="none"/>
        </w:rPr>
        <w:t xml:space="preserve">1.11 </w:t>
      </w:r>
      <w:r>
        <w:rPr>
          <w:rFonts w:hint="eastAsia" w:cs="宋体"/>
          <w:color w:val="auto"/>
          <w:highlight w:val="none"/>
        </w:rPr>
        <w:t>规费、增值税计价表（表</w:t>
      </w:r>
      <w:r>
        <w:rPr>
          <w:color w:val="auto"/>
          <w:highlight w:val="none"/>
        </w:rPr>
        <w:t>-15</w:t>
      </w:r>
      <w:r>
        <w:rPr>
          <w:rFonts w:hint="eastAsia" w:cs="宋体"/>
          <w:color w:val="auto"/>
          <w:highlight w:val="none"/>
        </w:rPr>
        <w:t>）</w:t>
      </w:r>
    </w:p>
    <w:p>
      <w:pPr>
        <w:spacing w:line="360" w:lineRule="auto"/>
        <w:ind w:firstLine="630" w:firstLineChars="300"/>
        <w:jc w:val="left"/>
        <w:rPr>
          <w:color w:val="auto"/>
          <w:highlight w:val="none"/>
        </w:rPr>
      </w:pPr>
      <w:r>
        <w:rPr>
          <w:color w:val="auto"/>
          <w:highlight w:val="none"/>
        </w:rPr>
        <w:t xml:space="preserve">1.12 </w:t>
      </w:r>
      <w:r>
        <w:rPr>
          <w:rFonts w:hint="eastAsia" w:cs="宋体"/>
          <w:color w:val="auto"/>
          <w:highlight w:val="none"/>
        </w:rPr>
        <w:t>承包人提供主要材料和工程设备一览表（适用于造价信息差额调整法）（表</w:t>
      </w:r>
      <w:r>
        <w:rPr>
          <w:color w:val="auto"/>
          <w:highlight w:val="none"/>
        </w:rPr>
        <w:t>-22</w:t>
      </w:r>
      <w:r>
        <w:rPr>
          <w:rFonts w:hint="eastAsia" w:cs="宋体"/>
          <w:color w:val="auto"/>
          <w:highlight w:val="none"/>
        </w:rPr>
        <w:t>）</w:t>
      </w:r>
    </w:p>
    <w:p>
      <w:pPr>
        <w:spacing w:line="360" w:lineRule="auto"/>
        <w:ind w:firstLine="630" w:firstLineChars="300"/>
        <w:rPr>
          <w:color w:val="auto"/>
          <w:highlight w:val="none"/>
        </w:rPr>
      </w:pPr>
    </w:p>
    <w:p>
      <w:pPr>
        <w:spacing w:line="360" w:lineRule="auto"/>
        <w:rPr>
          <w:color w:val="auto"/>
          <w:highlight w:val="none"/>
        </w:rPr>
      </w:pPr>
      <w:r>
        <w:rPr>
          <w:rFonts w:hint="eastAsia" w:cs="宋体"/>
          <w:color w:val="auto"/>
          <w:highlight w:val="none"/>
        </w:rPr>
        <w:t>备注：</w:t>
      </w:r>
    </w:p>
    <w:p>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）投标人在上传投标报价文件时应上传纸质投标总价封面的原件扫描件。</w:t>
      </w:r>
      <w:r>
        <w:rPr>
          <w:rFonts w:hint="eastAsia" w:cs="宋体"/>
          <w:color w:val="auto"/>
          <w:highlight w:val="none"/>
          <w:lang w:eastAsia="zh-CN"/>
        </w:rPr>
        <w:t>投标</w:t>
      </w:r>
      <w:r>
        <w:rPr>
          <w:rFonts w:hint="eastAsia" w:cs="宋体"/>
          <w:color w:val="auto"/>
          <w:highlight w:val="none"/>
        </w:rPr>
        <w:t>总价封面必须经投标人盖章，并由法定代表人（或其授权人）签字（或盖章），同时由编制人签字盖专用章。</w:t>
      </w:r>
    </w:p>
    <w:p>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w:t>
      </w:r>
      <w:r>
        <w:rPr>
          <w:color w:val="auto"/>
          <w:highlight w:val="none"/>
        </w:rPr>
        <w:t>1.8</w:t>
      </w:r>
      <w:r>
        <w:rPr>
          <w:rFonts w:hint="eastAsia" w:cs="宋体"/>
          <w:color w:val="auto"/>
          <w:highlight w:val="none"/>
        </w:rPr>
        <w:t>工程量清单综合单价分析表和</w:t>
      </w:r>
      <w:r>
        <w:rPr>
          <w:color w:val="auto"/>
          <w:highlight w:val="none"/>
        </w:rPr>
        <w:t>1.9</w:t>
      </w:r>
      <w:r>
        <w:rPr>
          <w:rFonts w:hint="eastAsia" w:cs="宋体"/>
          <w:color w:val="auto"/>
          <w:highlight w:val="none"/>
        </w:rPr>
        <w:t>主要清单项目工料机分析表要求附上。</w:t>
      </w:r>
    </w:p>
    <w:p>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）已标价工程量清单表格要严格按照招标工程量清单给出的表格要求和内容填报。如本工程在合同中约定采用造价信息价差调整法，1.</w:t>
      </w:r>
      <w:r>
        <w:rPr>
          <w:color w:val="auto"/>
          <w:highlight w:val="none"/>
        </w:rPr>
        <w:t xml:space="preserve">18 </w:t>
      </w:r>
      <w:r>
        <w:rPr>
          <w:rFonts w:hint="eastAsia" w:cs="宋体"/>
          <w:color w:val="auto"/>
          <w:highlight w:val="none"/>
        </w:rPr>
        <w:t>承包人提供主要材料和工程设备一览表（适用于造价信息差额调整法）（表</w:t>
      </w:r>
      <w:r>
        <w:rPr>
          <w:color w:val="auto"/>
          <w:highlight w:val="none"/>
        </w:rPr>
        <w:t>-22</w:t>
      </w:r>
      <w:r>
        <w:rPr>
          <w:rFonts w:hint="eastAsia" w:cs="宋体"/>
          <w:color w:val="auto"/>
          <w:highlight w:val="none"/>
        </w:rPr>
        <w:t>）载明的主要材料和设备为本工程允许调整的材料和设备，招标工程量清单必须提供该表格，且不能提供空白表。以下表格视工程实际需要选用，如该工程不发生如下表格相关项目和费用，招标工程量清单不应列入该部分表格，已标价工程量清单亦不包括这部分表格。</w:t>
      </w:r>
    </w:p>
    <w:p>
      <w:pPr>
        <w:spacing w:line="360" w:lineRule="auto"/>
        <w:ind w:firstLine="945" w:firstLineChars="450"/>
        <w:rPr>
          <w:color w:val="auto"/>
          <w:highlight w:val="none"/>
        </w:rPr>
      </w:pPr>
      <w:r>
        <w:rPr>
          <w:rFonts w:hint="eastAsia" w:ascii="宋体" w:hAnsi="宋体" w:cs="宋体"/>
          <w:color w:val="auto"/>
          <w:highlight w:val="none"/>
        </w:rPr>
        <w:t>①</w:t>
      </w:r>
      <w:r>
        <w:rPr>
          <w:rFonts w:hint="eastAsia" w:cs="宋体"/>
          <w:color w:val="auto"/>
          <w:highlight w:val="none"/>
        </w:rPr>
        <w:t>建设项目投标报价汇总表（表</w:t>
      </w:r>
      <w:r>
        <w:rPr>
          <w:color w:val="auto"/>
          <w:highlight w:val="none"/>
        </w:rPr>
        <w:t>-02</w:t>
      </w:r>
      <w:r>
        <w:rPr>
          <w:rFonts w:hint="eastAsia" w:cs="宋体"/>
          <w:color w:val="auto"/>
          <w:highlight w:val="none"/>
        </w:rPr>
        <w:t>）</w:t>
      </w:r>
    </w:p>
    <w:p>
      <w:pPr>
        <w:spacing w:line="360" w:lineRule="auto"/>
        <w:ind w:firstLine="945" w:firstLineChars="450"/>
        <w:rPr>
          <w:color w:val="auto"/>
          <w:highlight w:val="none"/>
        </w:rPr>
      </w:pPr>
      <w:r>
        <w:rPr>
          <w:rFonts w:hint="eastAsia" w:cs="宋体"/>
          <w:color w:val="auto"/>
          <w:highlight w:val="none"/>
        </w:rPr>
        <w:t>②暂列金额明细表（表</w:t>
      </w:r>
      <w:r>
        <w:rPr>
          <w:color w:val="auto"/>
          <w:highlight w:val="none"/>
        </w:rPr>
        <w:t>12-1</w:t>
      </w:r>
      <w:r>
        <w:rPr>
          <w:rFonts w:hint="eastAsia" w:cs="宋体"/>
          <w:color w:val="auto"/>
          <w:highlight w:val="none"/>
        </w:rPr>
        <w:t>）</w:t>
      </w:r>
    </w:p>
    <w:p>
      <w:pPr>
        <w:spacing w:line="360" w:lineRule="auto"/>
        <w:ind w:firstLine="945" w:firstLineChars="450"/>
        <w:rPr>
          <w:color w:val="auto"/>
          <w:highlight w:val="none"/>
        </w:rPr>
      </w:pPr>
      <w:r>
        <w:rPr>
          <w:rFonts w:hint="eastAsia" w:cs="宋体"/>
          <w:color w:val="auto"/>
          <w:highlight w:val="none"/>
        </w:rPr>
        <w:t>③材料（工程设备）暂估单位及调整表（表</w:t>
      </w:r>
      <w:r>
        <w:rPr>
          <w:color w:val="auto"/>
          <w:highlight w:val="none"/>
        </w:rPr>
        <w:t>12-2</w:t>
      </w:r>
      <w:r>
        <w:rPr>
          <w:rFonts w:hint="eastAsia" w:cs="宋体"/>
          <w:color w:val="auto"/>
          <w:highlight w:val="none"/>
        </w:rPr>
        <w:t>）</w:t>
      </w:r>
    </w:p>
    <w:p>
      <w:pPr>
        <w:spacing w:line="360" w:lineRule="auto"/>
        <w:ind w:firstLine="945" w:firstLineChars="450"/>
        <w:rPr>
          <w:color w:val="auto"/>
          <w:highlight w:val="none"/>
        </w:rPr>
      </w:pPr>
      <w:r>
        <w:rPr>
          <w:rFonts w:hint="eastAsia" w:cs="宋体"/>
          <w:color w:val="auto"/>
          <w:highlight w:val="none"/>
        </w:rPr>
        <w:t>④专业工程暂估价及结算价表（表</w:t>
      </w:r>
      <w:r>
        <w:rPr>
          <w:color w:val="auto"/>
          <w:highlight w:val="none"/>
        </w:rPr>
        <w:t>12-3</w:t>
      </w:r>
      <w:r>
        <w:rPr>
          <w:rFonts w:hint="eastAsia" w:cs="宋体"/>
          <w:color w:val="auto"/>
          <w:highlight w:val="none"/>
        </w:rPr>
        <w:t>）</w:t>
      </w:r>
    </w:p>
    <w:p>
      <w:pPr>
        <w:spacing w:line="360" w:lineRule="auto"/>
        <w:ind w:firstLine="945" w:firstLineChars="450"/>
        <w:rPr>
          <w:color w:val="auto"/>
          <w:highlight w:val="none"/>
        </w:rPr>
      </w:pPr>
      <w:r>
        <w:rPr>
          <w:rFonts w:hint="eastAsia" w:cs="宋体"/>
          <w:color w:val="auto"/>
          <w:highlight w:val="none"/>
        </w:rPr>
        <w:t>⑤计日工表</w:t>
      </w:r>
      <w:r>
        <w:rPr>
          <w:rFonts w:hint="eastAsia" w:cs="宋体"/>
          <w:color w:val="auto"/>
          <w:highlight w:val="none"/>
          <w:lang w:val="en-US" w:eastAsia="zh-CN"/>
        </w:rPr>
        <w:t>(</w:t>
      </w:r>
      <w:r>
        <w:rPr>
          <w:rFonts w:hint="eastAsia" w:cs="宋体"/>
          <w:color w:val="auto"/>
          <w:highlight w:val="none"/>
        </w:rPr>
        <w:t>表</w:t>
      </w:r>
      <w:r>
        <w:rPr>
          <w:color w:val="auto"/>
          <w:highlight w:val="none"/>
        </w:rPr>
        <w:t>12-4</w:t>
      </w:r>
      <w:r>
        <w:rPr>
          <w:rFonts w:hint="eastAsia" w:cs="宋体"/>
          <w:color w:val="auto"/>
          <w:highlight w:val="none"/>
        </w:rPr>
        <w:t>）</w:t>
      </w:r>
    </w:p>
    <w:p>
      <w:pPr>
        <w:spacing w:line="360" w:lineRule="auto"/>
        <w:ind w:firstLine="945" w:firstLineChars="450"/>
        <w:rPr>
          <w:color w:val="auto"/>
          <w:highlight w:val="none"/>
        </w:rPr>
      </w:pPr>
      <w:r>
        <w:rPr>
          <w:rFonts w:hint="eastAsia" w:cs="宋体"/>
          <w:color w:val="auto"/>
          <w:highlight w:val="none"/>
        </w:rPr>
        <w:t>⑥总承包服务费计价表（表</w:t>
      </w:r>
      <w:r>
        <w:rPr>
          <w:color w:val="auto"/>
          <w:highlight w:val="none"/>
        </w:rPr>
        <w:t>12-5</w:t>
      </w:r>
      <w:r>
        <w:rPr>
          <w:rFonts w:hint="eastAsia" w:cs="宋体"/>
          <w:color w:val="auto"/>
          <w:highlight w:val="none"/>
        </w:rPr>
        <w:t>）</w:t>
      </w:r>
    </w:p>
    <w:p>
      <w:pPr>
        <w:spacing w:line="360" w:lineRule="auto"/>
        <w:ind w:firstLine="945" w:firstLineChars="450"/>
        <w:rPr>
          <w:color w:val="auto"/>
          <w:highlight w:val="none"/>
        </w:rPr>
      </w:pPr>
      <w:r>
        <w:rPr>
          <w:rFonts w:hint="eastAsia" w:cs="宋体"/>
          <w:color w:val="auto"/>
          <w:highlight w:val="none"/>
        </w:rPr>
        <w:t>⑦税前项目清单与计价表（表</w:t>
      </w:r>
      <w:r>
        <w:rPr>
          <w:color w:val="auto"/>
          <w:highlight w:val="none"/>
        </w:rPr>
        <w:t>-14</w:t>
      </w:r>
      <w:r>
        <w:rPr>
          <w:rFonts w:hint="eastAsia" w:cs="宋体"/>
          <w:color w:val="auto"/>
          <w:highlight w:val="none"/>
        </w:rPr>
        <w:t>）</w:t>
      </w:r>
    </w:p>
    <w:p>
      <w:pPr>
        <w:spacing w:line="360" w:lineRule="auto"/>
        <w:ind w:firstLine="945" w:firstLineChars="450"/>
        <w:rPr>
          <w:color w:val="auto"/>
          <w:highlight w:val="none"/>
        </w:rPr>
      </w:pPr>
      <w:r>
        <w:rPr>
          <w:color w:val="auto"/>
          <w:highlight w:val="none"/>
        </w:rPr>
        <w:fldChar w:fldCharType="begin"/>
      </w:r>
      <w:r>
        <w:rPr>
          <w:color w:val="auto"/>
          <w:highlight w:val="none"/>
        </w:rPr>
        <w:instrText xml:space="preserve"> </w:instrText>
      </w:r>
      <w:r>
        <w:rPr>
          <w:rFonts w:hint="eastAsia"/>
          <w:color w:val="auto"/>
          <w:highlight w:val="none"/>
        </w:rPr>
        <w:instrText xml:space="preserve">= 8 \* GB3</w:instrText>
      </w:r>
      <w:r>
        <w:rPr>
          <w:color w:val="auto"/>
          <w:highlight w:val="none"/>
        </w:rPr>
        <w:instrText xml:space="preserve"> </w:instrText>
      </w:r>
      <w:r>
        <w:rPr>
          <w:color w:val="auto"/>
          <w:highlight w:val="none"/>
        </w:rPr>
        <w:fldChar w:fldCharType="separate"/>
      </w:r>
      <w:r>
        <w:rPr>
          <w:rFonts w:hint="eastAsia"/>
          <w:color w:val="auto"/>
          <w:highlight w:val="none"/>
        </w:rPr>
        <w:t>⑧</w:t>
      </w:r>
      <w:r>
        <w:rPr>
          <w:color w:val="auto"/>
          <w:highlight w:val="none"/>
        </w:rPr>
        <w:fldChar w:fldCharType="end"/>
      </w:r>
      <w:r>
        <w:rPr>
          <w:rFonts w:hint="eastAsia" w:cs="宋体"/>
          <w:color w:val="auto"/>
          <w:highlight w:val="none"/>
        </w:rPr>
        <w:t>承包人提供主要材料和工程设备一览表（适用于价格指数差额调整法）（表</w:t>
      </w:r>
      <w:r>
        <w:rPr>
          <w:color w:val="auto"/>
          <w:highlight w:val="none"/>
        </w:rPr>
        <w:t>-23</w:t>
      </w:r>
      <w:r>
        <w:rPr>
          <w:rFonts w:hint="eastAsia" w:cs="宋体"/>
          <w:color w:val="auto"/>
          <w:highlight w:val="none"/>
        </w:rPr>
        <w:t>）</w:t>
      </w:r>
    </w:p>
    <w:p>
      <w:pPr>
        <w:spacing w:line="360" w:lineRule="auto"/>
        <w:ind w:firstLine="945" w:firstLineChars="450"/>
        <w:rPr>
          <w:color w:val="auto"/>
          <w:highlight w:val="none"/>
        </w:rPr>
      </w:pPr>
    </w:p>
    <w:p>
      <w:pPr>
        <w:spacing w:line="360" w:lineRule="auto"/>
        <w:ind w:firstLine="945" w:firstLineChars="450"/>
        <w:rPr>
          <w:color w:val="auto"/>
          <w:highlight w:val="none"/>
        </w:rPr>
      </w:pPr>
    </w:p>
    <w:p>
      <w:pPr>
        <w:pStyle w:val="146"/>
        <w:ind w:firstLine="422"/>
        <w:jc w:val="center"/>
        <w:outlineLvl w:val="0"/>
        <w:rPr>
          <w:b/>
          <w:color w:val="auto"/>
          <w:sz w:val="24"/>
          <w:szCs w:val="24"/>
          <w:highlight w:val="none"/>
        </w:rPr>
      </w:pPr>
      <w:r>
        <w:rPr>
          <w:color w:val="auto"/>
          <w:highlight w:val="none"/>
        </w:rPr>
        <w:br w:type="page"/>
      </w:r>
      <w:r>
        <w:rPr>
          <w:rFonts w:hint="eastAsia" w:cs="宋体"/>
          <w:b/>
          <w:color w:val="auto"/>
          <w:sz w:val="24"/>
          <w:szCs w:val="24"/>
          <w:highlight w:val="none"/>
        </w:rPr>
        <w:t>五、价格评审优惠措施证明材料</w:t>
      </w:r>
    </w:p>
    <w:p>
      <w:pPr>
        <w:rPr>
          <w:color w:val="auto"/>
          <w:highlight w:val="none"/>
        </w:rPr>
      </w:pPr>
    </w:p>
    <w:p>
      <w:pPr>
        <w:rPr>
          <w:color w:val="auto"/>
          <w:highlight w:val="none"/>
        </w:rPr>
      </w:pPr>
      <w:r>
        <w:rPr>
          <w:color w:val="auto"/>
          <w:highlight w:val="none"/>
        </w:rPr>
        <w:t>1.符合</w:t>
      </w:r>
      <w:r>
        <w:rPr>
          <w:rFonts w:hint="eastAsia"/>
          <w:color w:val="auto"/>
          <w:highlight w:val="none"/>
        </w:rPr>
        <w:t>小型、微型</w:t>
      </w:r>
      <w:r>
        <w:rPr>
          <w:color w:val="auto"/>
          <w:highlight w:val="none"/>
        </w:rPr>
        <w:t>企业政府采购政策证明材料。（非</w:t>
      </w:r>
      <w:r>
        <w:rPr>
          <w:rFonts w:hint="eastAsia"/>
          <w:color w:val="auto"/>
          <w:highlight w:val="none"/>
        </w:rPr>
        <w:t>小型、微型</w:t>
      </w:r>
      <w:r>
        <w:rPr>
          <w:color w:val="auto"/>
          <w:highlight w:val="none"/>
        </w:rPr>
        <w:t>企业无需提供）</w:t>
      </w:r>
      <w:r>
        <w:rPr>
          <w:rFonts w:hint="eastAsia"/>
          <w:color w:val="auto"/>
          <w:highlight w:val="none"/>
        </w:rPr>
        <w:t>。</w:t>
      </w:r>
    </w:p>
    <w:p>
      <w:pPr>
        <w:spacing w:line="360" w:lineRule="auto"/>
        <w:ind w:firstLine="3584" w:firstLineChars="1700"/>
        <w:rPr>
          <w:b/>
          <w:color w:val="auto"/>
          <w:highlight w:val="none"/>
        </w:rPr>
      </w:pPr>
      <w:bookmarkStart w:id="1564" w:name="_Hlk60651253"/>
    </w:p>
    <w:bookmarkEnd w:id="1564"/>
    <w:p>
      <w:pPr>
        <w:spacing w:line="360" w:lineRule="auto"/>
        <w:ind w:firstLine="420"/>
        <w:jc w:val="center"/>
        <w:rPr>
          <w:b/>
          <w:color w:val="auto"/>
          <w:highlight w:val="none"/>
        </w:rPr>
      </w:pPr>
      <w:bookmarkStart w:id="1565" w:name="_Hlk60653683"/>
      <w:r>
        <w:rPr>
          <w:rFonts w:hint="eastAsia"/>
          <w:b/>
          <w:color w:val="auto"/>
          <w:highlight w:val="none"/>
        </w:rPr>
        <w:t>中小企业声明函（工程）</w:t>
      </w:r>
    </w:p>
    <w:p>
      <w:pPr>
        <w:spacing w:line="360" w:lineRule="auto"/>
        <w:ind w:firstLine="420"/>
        <w:rPr>
          <w:color w:val="auto"/>
          <w:highlight w:val="none"/>
        </w:rPr>
      </w:pPr>
      <w:r>
        <w:rPr>
          <w:rFonts w:hint="eastAsia"/>
          <w:color w:val="auto"/>
          <w:highlight w:val="none"/>
        </w:rPr>
        <w:t>本公司（联合体）郑重声明，根据《政府采购促进中小企业发展管理办法》（财库﹝2020﹞46 号）的规定，本公司（联合体）参加</w:t>
      </w:r>
      <w:r>
        <w:rPr>
          <w:rFonts w:hint="eastAsia"/>
          <w:color w:val="auto"/>
          <w:highlight w:val="none"/>
          <w:u w:val="single"/>
        </w:rPr>
        <w:t>（单位名称）</w:t>
      </w:r>
      <w:r>
        <w:rPr>
          <w:rFonts w:hint="eastAsia"/>
          <w:color w:val="auto"/>
          <w:highlight w:val="none"/>
        </w:rPr>
        <w:t>的</w:t>
      </w:r>
      <w:r>
        <w:rPr>
          <w:rFonts w:hint="eastAsia"/>
          <w:color w:val="auto"/>
          <w:highlight w:val="none"/>
          <w:u w:val="single"/>
        </w:rPr>
        <w:t>（项目名称）</w:t>
      </w:r>
      <w:r>
        <w:rPr>
          <w:rFonts w:hint="eastAsia"/>
          <w:color w:val="auto"/>
          <w:highlight w:val="none"/>
        </w:rPr>
        <w:t>采购活动，服务全部由符合政策要求的中小企业承接。相关企业（含联合体中的中小企业、签订分包意向协议的中小企业） 的具体情况如下：</w:t>
      </w:r>
    </w:p>
    <w:p>
      <w:pPr>
        <w:spacing w:line="360" w:lineRule="auto"/>
        <w:ind w:firstLine="420"/>
        <w:rPr>
          <w:color w:val="auto"/>
          <w:highlight w:val="none"/>
        </w:rPr>
      </w:pPr>
      <w:r>
        <w:rPr>
          <w:color w:val="auto"/>
          <w:highlight w:val="none"/>
        </w:rPr>
        <w:t>1.</w:t>
      </w:r>
      <w:r>
        <w:rPr>
          <w:rFonts w:hint="eastAsia"/>
          <w:color w:val="auto"/>
          <w:highlight w:val="none"/>
          <w:u w:val="single"/>
        </w:rPr>
        <w:t>（标的名称）</w:t>
      </w:r>
      <w:r>
        <w:rPr>
          <w:rFonts w:hint="eastAsia"/>
          <w:color w:val="auto"/>
          <w:highlight w:val="none"/>
        </w:rPr>
        <w:t>，属于</w:t>
      </w:r>
      <w:r>
        <w:rPr>
          <w:rFonts w:hint="eastAsia"/>
          <w:color w:val="auto"/>
          <w:highlight w:val="none"/>
          <w:u w:val="single"/>
        </w:rPr>
        <w:t>（采购文件中明确的所属行业）</w:t>
      </w:r>
      <w:r>
        <w:rPr>
          <w:rFonts w:hint="eastAsia"/>
          <w:color w:val="auto"/>
          <w:highlight w:val="none"/>
        </w:rPr>
        <w:t>行业；承建（承接）企业为</w:t>
      </w:r>
      <w:r>
        <w:rPr>
          <w:rFonts w:hint="eastAsia"/>
          <w:color w:val="auto"/>
          <w:highlight w:val="none"/>
          <w:u w:val="single"/>
        </w:rPr>
        <w:t>（企业名称）</w:t>
      </w:r>
      <w:r>
        <w:rPr>
          <w:rFonts w:hint="eastAsia"/>
          <w:color w:val="auto"/>
          <w:highlight w:val="none"/>
        </w:rPr>
        <w:t>，从业人员</w:t>
      </w:r>
      <w:r>
        <w:rPr>
          <w:color w:val="auto"/>
          <w:highlight w:val="none"/>
          <w:u w:val="single"/>
        </w:rPr>
        <w:t xml:space="preserve">    </w:t>
      </w:r>
      <w:r>
        <w:rPr>
          <w:rFonts w:hint="eastAsia"/>
          <w:color w:val="auto"/>
          <w:highlight w:val="none"/>
        </w:rPr>
        <w:t>人，营业收入为</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万元，资产总额为</w:t>
      </w:r>
      <w:r>
        <w:rPr>
          <w:rFonts w:hint="eastAsia"/>
          <w:color w:val="auto"/>
          <w:highlight w:val="none"/>
          <w:u w:val="single"/>
        </w:rPr>
        <w:t xml:space="preserve">    </w:t>
      </w:r>
      <w:r>
        <w:rPr>
          <w:rFonts w:hint="eastAsia"/>
          <w:color w:val="auto"/>
          <w:highlight w:val="none"/>
        </w:rPr>
        <w:t>万元，属于</w:t>
      </w:r>
      <w:r>
        <w:rPr>
          <w:rFonts w:hint="eastAsia"/>
          <w:color w:val="auto"/>
          <w:highlight w:val="none"/>
          <w:u w:val="single"/>
        </w:rPr>
        <w:t>（中型企业、小型企业、微型企业）</w:t>
      </w:r>
      <w:r>
        <w:rPr>
          <w:rFonts w:hint="eastAsia"/>
          <w:color w:val="auto"/>
          <w:highlight w:val="none"/>
        </w:rPr>
        <w:t>；</w:t>
      </w:r>
    </w:p>
    <w:p>
      <w:pPr>
        <w:spacing w:line="360" w:lineRule="auto"/>
        <w:ind w:firstLine="420"/>
        <w:rPr>
          <w:color w:val="auto"/>
          <w:highlight w:val="none"/>
        </w:rPr>
      </w:pPr>
      <w:r>
        <w:rPr>
          <w:color w:val="auto"/>
          <w:highlight w:val="none"/>
        </w:rPr>
        <w:t>2.</w:t>
      </w:r>
      <w:r>
        <w:rPr>
          <w:rFonts w:hint="eastAsia"/>
          <w:color w:val="auto"/>
          <w:highlight w:val="none"/>
          <w:u w:val="single"/>
        </w:rPr>
        <w:t>（标的名称）</w:t>
      </w:r>
      <w:r>
        <w:rPr>
          <w:rFonts w:hint="eastAsia"/>
          <w:color w:val="auto"/>
          <w:highlight w:val="none"/>
        </w:rPr>
        <w:t>，属于</w:t>
      </w:r>
      <w:r>
        <w:rPr>
          <w:rFonts w:hint="eastAsia"/>
          <w:color w:val="auto"/>
          <w:highlight w:val="none"/>
          <w:u w:val="single"/>
        </w:rPr>
        <w:t>（采购文件中明确的所属行业）</w:t>
      </w:r>
      <w:r>
        <w:rPr>
          <w:rFonts w:hint="eastAsia"/>
          <w:color w:val="auto"/>
          <w:highlight w:val="none"/>
        </w:rPr>
        <w:t>行业；承建（承接）企业为</w:t>
      </w:r>
      <w:r>
        <w:rPr>
          <w:rFonts w:hint="eastAsia"/>
          <w:color w:val="auto"/>
          <w:highlight w:val="none"/>
          <w:u w:val="single"/>
        </w:rPr>
        <w:t>（企业名称）</w:t>
      </w:r>
      <w:r>
        <w:rPr>
          <w:rFonts w:hint="eastAsia"/>
          <w:color w:val="auto"/>
          <w:highlight w:val="none"/>
        </w:rPr>
        <w:t>，从业人员</w:t>
      </w:r>
      <w:r>
        <w:rPr>
          <w:rFonts w:hint="eastAsia"/>
          <w:color w:val="auto"/>
          <w:highlight w:val="none"/>
          <w:u w:val="single"/>
        </w:rPr>
        <w:t xml:space="preserve">       </w:t>
      </w:r>
      <w:r>
        <w:rPr>
          <w:rFonts w:hint="eastAsia"/>
          <w:color w:val="auto"/>
          <w:highlight w:val="none"/>
        </w:rPr>
        <w:t>人，营业收入为</w:t>
      </w:r>
      <w:r>
        <w:rPr>
          <w:rFonts w:hint="eastAsia"/>
          <w:color w:val="auto"/>
          <w:highlight w:val="none"/>
          <w:u w:val="single"/>
        </w:rPr>
        <w:t xml:space="preserve">     </w:t>
      </w:r>
      <w:r>
        <w:rPr>
          <w:rFonts w:hint="eastAsia"/>
          <w:color w:val="auto"/>
          <w:highlight w:val="none"/>
        </w:rPr>
        <w:t>万元，资产总额为</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万元，属于</w:t>
      </w:r>
      <w:r>
        <w:rPr>
          <w:rFonts w:hint="eastAsia"/>
          <w:color w:val="auto"/>
          <w:highlight w:val="none"/>
          <w:u w:val="single"/>
        </w:rPr>
        <w:t>（中型企业、小型企业、微型企业）</w:t>
      </w:r>
      <w:r>
        <w:rPr>
          <w:rFonts w:hint="eastAsia"/>
          <w:color w:val="auto"/>
          <w:highlight w:val="none"/>
        </w:rPr>
        <w:t>；</w:t>
      </w:r>
    </w:p>
    <w:p>
      <w:pPr>
        <w:spacing w:line="360" w:lineRule="auto"/>
        <w:ind w:firstLine="420"/>
        <w:rPr>
          <w:color w:val="auto"/>
          <w:highlight w:val="none"/>
        </w:rPr>
      </w:pPr>
      <w:r>
        <w:rPr>
          <w:rFonts w:hint="eastAsia"/>
          <w:color w:val="auto"/>
          <w:highlight w:val="none"/>
        </w:rPr>
        <w:t>……</w:t>
      </w:r>
    </w:p>
    <w:p>
      <w:pPr>
        <w:spacing w:line="360" w:lineRule="auto"/>
        <w:ind w:firstLine="42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spacing w:line="360" w:lineRule="auto"/>
        <w:ind w:firstLine="420"/>
        <w:rPr>
          <w:color w:val="auto"/>
          <w:highlight w:val="none"/>
        </w:rPr>
      </w:pPr>
      <w:r>
        <w:rPr>
          <w:rFonts w:hint="eastAsia"/>
          <w:color w:val="auto"/>
          <w:highlight w:val="none"/>
        </w:rPr>
        <w:t>本企业对上述声明内容的真实性负责。如有虚假，将依法承担相应责任。</w:t>
      </w:r>
    </w:p>
    <w:p>
      <w:pPr>
        <w:spacing w:line="360" w:lineRule="auto"/>
        <w:ind w:firstLine="3150" w:firstLineChars="1500"/>
        <w:rPr>
          <w:color w:val="auto"/>
          <w:highlight w:val="none"/>
        </w:rPr>
      </w:pPr>
      <w:r>
        <w:rPr>
          <w:rFonts w:hint="eastAsia"/>
          <w:color w:val="auto"/>
          <w:highlight w:val="none"/>
        </w:rPr>
        <w:t>企业名称（盖章）：日期：</w:t>
      </w:r>
    </w:p>
    <w:bookmarkEnd w:id="1565"/>
    <w:p>
      <w:pPr>
        <w:snapToGrid w:val="0"/>
        <w:spacing w:before="50" w:afterLines="50"/>
        <w:jc w:val="left"/>
        <w:rPr>
          <w:color w:val="auto"/>
          <w:highlight w:val="none"/>
        </w:rPr>
      </w:pPr>
    </w:p>
    <w:p>
      <w:pPr>
        <w:widowControl/>
        <w:jc w:val="left"/>
        <w:rPr>
          <w:color w:val="auto"/>
          <w:highlight w:val="none"/>
        </w:rPr>
      </w:pPr>
    </w:p>
    <w:p>
      <w:pPr>
        <w:snapToGrid w:val="0"/>
        <w:spacing w:before="50" w:afterLines="50"/>
        <w:jc w:val="left"/>
        <w:rPr>
          <w:color w:val="auto"/>
          <w:highlight w:val="none"/>
        </w:rPr>
      </w:pPr>
      <w:bookmarkStart w:id="1566" w:name="_Hlk19051624"/>
      <w:r>
        <w:rPr>
          <w:color w:val="auto"/>
          <w:highlight w:val="none"/>
        </w:rPr>
        <w:t>2.残疾人福利性单位须提供《残疾人福利性单位声明函》，格式如下。（非残疾人福利性单位无需提供）</w:t>
      </w:r>
    </w:p>
    <w:bookmarkEnd w:id="1566"/>
    <w:p>
      <w:pPr>
        <w:spacing w:line="360" w:lineRule="auto"/>
        <w:jc w:val="center"/>
        <w:rPr>
          <w:b/>
          <w:color w:val="auto"/>
          <w:highlight w:val="none"/>
        </w:rPr>
      </w:pPr>
      <w:bookmarkStart w:id="1567" w:name="OLE_LINK14"/>
      <w:bookmarkStart w:id="1568" w:name="OLE_LINK13"/>
      <w:r>
        <w:rPr>
          <w:b/>
          <w:color w:val="auto"/>
          <w:highlight w:val="none"/>
        </w:rPr>
        <w:t>残疾人福利性单位声明函</w:t>
      </w:r>
      <w:bookmarkEnd w:id="1567"/>
      <w:bookmarkEnd w:id="1568"/>
    </w:p>
    <w:p>
      <w:pPr>
        <w:spacing w:line="360" w:lineRule="auto"/>
        <w:ind w:firstLine="420"/>
        <w:jc w:val="left"/>
        <w:rPr>
          <w:color w:val="auto"/>
          <w:highlight w:val="none"/>
        </w:rPr>
      </w:pPr>
      <w:r>
        <w:rPr>
          <w:color w:val="auto"/>
          <w:highlight w:val="none"/>
        </w:rPr>
        <w:t>本单位郑重声明，根据《财政部 民政部 中国残疾人联合会关于促进残疾人就业政府采购政策的通知》（财库〔2017〕141号）的规定，本单位为符合条件的残疾人福利性单位，且本单位参加</w:t>
      </w:r>
      <w:r>
        <w:rPr>
          <w:color w:val="auto"/>
          <w:highlight w:val="none"/>
          <w:u w:val="single"/>
        </w:rPr>
        <w:t xml:space="preserve">        </w:t>
      </w:r>
      <w:r>
        <w:rPr>
          <w:color w:val="auto"/>
          <w:highlight w:val="none"/>
        </w:rPr>
        <w:t>单位的</w:t>
      </w:r>
      <w:r>
        <w:rPr>
          <w:color w:val="auto"/>
          <w:highlight w:val="none"/>
          <w:u w:val="single"/>
        </w:rPr>
        <w:t xml:space="preserve">           </w:t>
      </w:r>
      <w:r>
        <w:rPr>
          <w:color w:val="auto"/>
          <w:highlight w:val="none"/>
        </w:rPr>
        <w:t>项目采购活动提供本单位制造的货物（由本单位承担工程/提供服务），或者提供其他残疾人福利性单位制造的货物（不包括使用非残疾人福利性单位注册商标的货物）。</w:t>
      </w:r>
    </w:p>
    <w:p>
      <w:pPr>
        <w:spacing w:line="360" w:lineRule="auto"/>
        <w:ind w:firstLine="420"/>
        <w:rPr>
          <w:color w:val="auto"/>
          <w:highlight w:val="none"/>
        </w:rPr>
      </w:pPr>
      <w:r>
        <w:rPr>
          <w:color w:val="auto"/>
          <w:highlight w:val="none"/>
        </w:rPr>
        <w:t>本单位对上述声明的真实性负责。如有虚假，将依法承担相应责任。</w:t>
      </w:r>
    </w:p>
    <w:p>
      <w:pPr>
        <w:spacing w:line="360" w:lineRule="auto"/>
        <w:ind w:firstLine="420"/>
        <w:rPr>
          <w:color w:val="auto"/>
          <w:spacing w:val="6"/>
          <w:highlight w:val="none"/>
        </w:rPr>
      </w:pPr>
      <w:r>
        <w:rPr>
          <w:color w:val="auto"/>
          <w:spacing w:val="6"/>
          <w:sz w:val="30"/>
          <w:szCs w:val="30"/>
          <w:highlight w:val="none"/>
        </w:rPr>
        <w:t xml:space="preserve"> </w:t>
      </w:r>
      <w:r>
        <w:rPr>
          <w:color w:val="auto"/>
          <w:spacing w:val="6"/>
          <w:highlight w:val="none"/>
        </w:rPr>
        <w:t xml:space="preserve"> </w:t>
      </w:r>
      <w:r>
        <w:rPr>
          <w:rFonts w:hint="eastAsia"/>
          <w:color w:val="auto"/>
          <w:spacing w:val="6"/>
          <w:highlight w:val="none"/>
        </w:rPr>
        <w:t xml:space="preserve">                                            </w:t>
      </w:r>
      <w:r>
        <w:rPr>
          <w:color w:val="auto"/>
          <w:spacing w:val="6"/>
          <w:highlight w:val="none"/>
        </w:rPr>
        <w:t xml:space="preserve">单位名称（盖章）：          </w:t>
      </w:r>
    </w:p>
    <w:p>
      <w:pPr>
        <w:spacing w:line="360" w:lineRule="auto"/>
        <w:ind w:firstLine="420"/>
        <w:rPr>
          <w:color w:val="auto"/>
          <w:spacing w:val="6"/>
          <w:highlight w:val="none"/>
        </w:rPr>
      </w:pPr>
      <w:r>
        <w:rPr>
          <w:color w:val="auto"/>
          <w:spacing w:val="6"/>
          <w:highlight w:val="none"/>
        </w:rPr>
        <w:t xml:space="preserve"> </w:t>
      </w:r>
      <w:r>
        <w:rPr>
          <w:rFonts w:hint="eastAsia"/>
          <w:color w:val="auto"/>
          <w:spacing w:val="6"/>
          <w:highlight w:val="none"/>
        </w:rPr>
        <w:t xml:space="preserve">                                                      </w:t>
      </w:r>
      <w:r>
        <w:rPr>
          <w:color w:val="auto"/>
          <w:spacing w:val="6"/>
          <w:highlight w:val="none"/>
        </w:rPr>
        <w:t>日  期：</w:t>
      </w:r>
    </w:p>
    <w:p>
      <w:pPr>
        <w:spacing w:line="360" w:lineRule="auto"/>
        <w:rPr>
          <w:color w:val="auto"/>
          <w:spacing w:val="6"/>
          <w:highlight w:val="none"/>
        </w:rPr>
      </w:pPr>
      <w:bookmarkStart w:id="1569" w:name="_Hlk60653195"/>
    </w:p>
    <w:bookmarkEnd w:id="1569"/>
    <w:p>
      <w:pPr>
        <w:spacing w:line="360" w:lineRule="auto"/>
        <w:rPr>
          <w:color w:val="auto"/>
          <w:highlight w:val="none"/>
        </w:rPr>
      </w:pPr>
    </w:p>
    <w:p>
      <w:pPr>
        <w:jc w:val="center"/>
        <w:rPr>
          <w:color w:val="auto"/>
          <w:highlight w:val="none"/>
        </w:rPr>
      </w:pPr>
      <w:r>
        <w:rPr>
          <w:color w:val="auto"/>
          <w:highlight w:val="none"/>
        </w:rPr>
        <w:br w:type="page"/>
      </w:r>
    </w:p>
    <w:p>
      <w:pPr>
        <w:rPr>
          <w:color w:val="auto"/>
          <w:highlight w:val="none"/>
        </w:rPr>
        <w:sectPr>
          <w:pgSz w:w="11907" w:h="16840"/>
          <w:pgMar w:top="1440" w:right="1440" w:bottom="1440" w:left="1797" w:header="851" w:footer="851" w:gutter="0"/>
          <w:cols w:space="720" w:num="1"/>
          <w:docGrid w:linePitch="312" w:charSpace="0"/>
        </w:sectPr>
      </w:pP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jc w:val="center"/>
        <w:rPr>
          <w:color w:val="auto"/>
          <w:sz w:val="28"/>
          <w:szCs w:val="28"/>
          <w:highlight w:val="none"/>
        </w:rPr>
      </w:pPr>
      <w:r>
        <w:rPr>
          <w:color w:val="auto"/>
          <w:sz w:val="32"/>
          <w:szCs w:val="32"/>
          <w:highlight w:val="none"/>
          <w:u w:val="single"/>
        </w:rPr>
        <w:t xml:space="preserve">             </w:t>
      </w:r>
      <w:r>
        <w:rPr>
          <w:rFonts w:hint="eastAsia" w:cs="宋体"/>
          <w:color w:val="auto"/>
          <w:sz w:val="28"/>
          <w:szCs w:val="28"/>
          <w:highlight w:val="none"/>
        </w:rPr>
        <w:t>（项目名称）施工招标</w:t>
      </w:r>
    </w:p>
    <w:p>
      <w:pPr>
        <w:jc w:val="center"/>
        <w:rPr>
          <w:color w:val="auto"/>
          <w:sz w:val="28"/>
          <w:szCs w:val="28"/>
          <w:highlight w:val="none"/>
        </w:rPr>
      </w:pPr>
    </w:p>
    <w:p>
      <w:pPr>
        <w:spacing w:beforeLines="100"/>
        <w:jc w:val="center"/>
        <w:rPr>
          <w:color w:val="auto"/>
          <w:sz w:val="52"/>
          <w:szCs w:val="52"/>
          <w:highlight w:val="none"/>
        </w:rPr>
      </w:pPr>
      <w:r>
        <w:rPr>
          <w:rFonts w:hint="eastAsia" w:cs="宋体"/>
          <w:color w:val="auto"/>
          <w:sz w:val="52"/>
          <w:szCs w:val="52"/>
          <w:highlight w:val="none"/>
        </w:rPr>
        <w:t>投</w:t>
      </w:r>
      <w:r>
        <w:rPr>
          <w:color w:val="auto"/>
          <w:sz w:val="52"/>
          <w:szCs w:val="52"/>
          <w:highlight w:val="none"/>
        </w:rPr>
        <w:t xml:space="preserve">  </w:t>
      </w:r>
      <w:r>
        <w:rPr>
          <w:rFonts w:hint="eastAsia" w:cs="宋体"/>
          <w:color w:val="auto"/>
          <w:sz w:val="52"/>
          <w:szCs w:val="52"/>
          <w:highlight w:val="none"/>
        </w:rPr>
        <w:t>标</w:t>
      </w:r>
      <w:r>
        <w:rPr>
          <w:color w:val="auto"/>
          <w:sz w:val="52"/>
          <w:szCs w:val="52"/>
          <w:highlight w:val="none"/>
        </w:rPr>
        <w:t xml:space="preserve">  </w:t>
      </w:r>
      <w:r>
        <w:rPr>
          <w:rFonts w:hint="eastAsia" w:cs="宋体"/>
          <w:color w:val="auto"/>
          <w:sz w:val="52"/>
          <w:szCs w:val="52"/>
          <w:highlight w:val="none"/>
        </w:rPr>
        <w:t>文</w:t>
      </w:r>
      <w:r>
        <w:rPr>
          <w:color w:val="auto"/>
          <w:sz w:val="52"/>
          <w:szCs w:val="52"/>
          <w:highlight w:val="none"/>
        </w:rPr>
        <w:t xml:space="preserve">  </w:t>
      </w:r>
      <w:r>
        <w:rPr>
          <w:rFonts w:hint="eastAsia" w:cs="宋体"/>
          <w:color w:val="auto"/>
          <w:sz w:val="52"/>
          <w:szCs w:val="52"/>
          <w:highlight w:val="none"/>
        </w:rPr>
        <w:t>件</w:t>
      </w: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spacing w:line="360" w:lineRule="auto"/>
        <w:ind w:firstLine="2380" w:firstLineChars="850"/>
        <w:rPr>
          <w:color w:val="auto"/>
          <w:sz w:val="28"/>
          <w:szCs w:val="28"/>
          <w:highlight w:val="none"/>
          <w:u w:val="single"/>
        </w:rPr>
      </w:pPr>
      <w:r>
        <w:rPr>
          <w:rFonts w:hint="eastAsia" w:cs="宋体"/>
          <w:color w:val="auto"/>
          <w:sz w:val="28"/>
          <w:szCs w:val="28"/>
          <w:highlight w:val="none"/>
        </w:rPr>
        <w:t>项目招标编号：</w:t>
      </w:r>
      <w:r>
        <w:rPr>
          <w:color w:val="auto"/>
          <w:sz w:val="28"/>
          <w:szCs w:val="28"/>
          <w:highlight w:val="none"/>
          <w:u w:val="single"/>
        </w:rPr>
        <w:t xml:space="preserve">                   </w:t>
      </w:r>
    </w:p>
    <w:p>
      <w:pPr>
        <w:jc w:val="center"/>
        <w:rPr>
          <w:color w:val="auto"/>
          <w:sz w:val="32"/>
          <w:szCs w:val="32"/>
          <w:highlight w:val="none"/>
        </w:rPr>
      </w:pPr>
      <w:r>
        <w:rPr>
          <w:color w:val="auto"/>
          <w:sz w:val="32"/>
          <w:szCs w:val="32"/>
          <w:highlight w:val="none"/>
        </w:rPr>
        <w:t>（正本/副本）</w:t>
      </w: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spacing w:line="360" w:lineRule="auto"/>
        <w:ind w:firstLine="980" w:firstLineChars="350"/>
        <w:rPr>
          <w:color w:val="auto"/>
          <w:sz w:val="28"/>
          <w:szCs w:val="28"/>
          <w:highlight w:val="none"/>
          <w:u w:val="single"/>
        </w:rPr>
      </w:pPr>
      <w:r>
        <w:rPr>
          <w:rFonts w:hint="eastAsia" w:cs="宋体"/>
          <w:color w:val="auto"/>
          <w:sz w:val="28"/>
          <w:szCs w:val="28"/>
          <w:highlight w:val="none"/>
        </w:rPr>
        <w:t>投标内容：</w:t>
      </w:r>
      <w:r>
        <w:rPr>
          <w:color w:val="auto"/>
          <w:sz w:val="28"/>
          <w:szCs w:val="28"/>
          <w:highlight w:val="none"/>
          <w:u w:val="single"/>
        </w:rPr>
        <w:t xml:space="preserve">            </w:t>
      </w:r>
      <w:r>
        <w:rPr>
          <w:rFonts w:hint="eastAsia" w:cs="宋体"/>
          <w:color w:val="auto"/>
          <w:sz w:val="28"/>
          <w:szCs w:val="28"/>
          <w:highlight w:val="none"/>
          <w:u w:val="single"/>
        </w:rPr>
        <w:t>技术标部分</w:t>
      </w:r>
      <w:r>
        <w:rPr>
          <w:color w:val="auto"/>
          <w:sz w:val="28"/>
          <w:szCs w:val="28"/>
          <w:highlight w:val="none"/>
          <w:u w:val="single"/>
        </w:rPr>
        <w:t xml:space="preserve">           </w:t>
      </w:r>
    </w:p>
    <w:p>
      <w:pPr>
        <w:spacing w:line="360" w:lineRule="auto"/>
        <w:ind w:firstLine="980" w:firstLineChars="350"/>
        <w:rPr>
          <w:color w:val="auto"/>
          <w:sz w:val="28"/>
          <w:szCs w:val="28"/>
          <w:highlight w:val="none"/>
        </w:rPr>
      </w:pPr>
      <w:r>
        <w:rPr>
          <w:rFonts w:hint="eastAsia" w:cs="宋体"/>
          <w:color w:val="auto"/>
          <w:sz w:val="28"/>
          <w:szCs w:val="28"/>
          <w:highlight w:val="none"/>
        </w:rPr>
        <w:t>投标人：</w:t>
      </w:r>
      <w:r>
        <w:rPr>
          <w:color w:val="auto"/>
          <w:sz w:val="28"/>
          <w:szCs w:val="28"/>
          <w:highlight w:val="none"/>
          <w:u w:val="single"/>
        </w:rPr>
        <w:t xml:space="preserve">                               </w:t>
      </w:r>
      <w:r>
        <w:rPr>
          <w:rFonts w:hint="eastAsia" w:cs="宋体"/>
          <w:color w:val="auto"/>
          <w:sz w:val="28"/>
          <w:szCs w:val="28"/>
          <w:highlight w:val="none"/>
        </w:rPr>
        <w:t>（盖单位章）</w:t>
      </w:r>
    </w:p>
    <w:p>
      <w:pPr>
        <w:spacing w:line="360" w:lineRule="auto"/>
        <w:ind w:firstLine="980" w:firstLineChars="350"/>
        <w:rPr>
          <w:color w:val="auto"/>
          <w:sz w:val="28"/>
          <w:szCs w:val="28"/>
          <w:highlight w:val="none"/>
        </w:rPr>
      </w:pPr>
      <w:r>
        <w:rPr>
          <w:rFonts w:hint="eastAsia" w:cs="宋体"/>
          <w:color w:val="auto"/>
          <w:sz w:val="28"/>
          <w:szCs w:val="28"/>
          <w:highlight w:val="none"/>
        </w:rPr>
        <w:t>法定代表人：</w:t>
      </w:r>
      <w:r>
        <w:rPr>
          <w:color w:val="auto"/>
          <w:sz w:val="28"/>
          <w:szCs w:val="28"/>
          <w:highlight w:val="none"/>
          <w:u w:val="single"/>
        </w:rPr>
        <w:t xml:space="preserve">           </w:t>
      </w:r>
      <w:r>
        <w:rPr>
          <w:rFonts w:hint="eastAsia" w:cs="宋体"/>
          <w:color w:val="auto"/>
          <w:sz w:val="28"/>
          <w:szCs w:val="28"/>
          <w:highlight w:val="none"/>
        </w:rPr>
        <w:t>（签字或盖章）</w:t>
      </w:r>
    </w:p>
    <w:p>
      <w:pPr>
        <w:jc w:val="center"/>
        <w:rPr>
          <w:color w:val="auto"/>
          <w:sz w:val="28"/>
          <w:szCs w:val="28"/>
          <w:highlight w:val="none"/>
        </w:rPr>
      </w:pPr>
    </w:p>
    <w:p>
      <w:pPr>
        <w:jc w:val="center"/>
        <w:rPr>
          <w:color w:val="auto"/>
          <w:sz w:val="28"/>
          <w:szCs w:val="28"/>
          <w:highlight w:val="none"/>
        </w:rPr>
      </w:pPr>
    </w:p>
    <w:p>
      <w:pPr>
        <w:jc w:val="center"/>
        <w:rPr>
          <w:color w:val="auto"/>
          <w:sz w:val="28"/>
          <w:szCs w:val="28"/>
          <w:highlight w:val="none"/>
        </w:rPr>
      </w:pPr>
      <w:r>
        <w:rPr>
          <w:color w:val="auto"/>
          <w:sz w:val="28"/>
          <w:szCs w:val="28"/>
          <w:highlight w:val="none"/>
          <w:u w:val="single"/>
        </w:rPr>
        <w:t xml:space="preserve">         </w:t>
      </w:r>
      <w:r>
        <w:rPr>
          <w:rFonts w:hint="eastAsia" w:cs="宋体"/>
          <w:color w:val="auto"/>
          <w:sz w:val="28"/>
          <w:szCs w:val="28"/>
          <w:highlight w:val="none"/>
        </w:rPr>
        <w:t>年</w:t>
      </w:r>
      <w:r>
        <w:rPr>
          <w:color w:val="auto"/>
          <w:sz w:val="28"/>
          <w:szCs w:val="28"/>
          <w:highlight w:val="none"/>
          <w:u w:val="single"/>
        </w:rPr>
        <w:t xml:space="preserve">         </w:t>
      </w:r>
      <w:r>
        <w:rPr>
          <w:rFonts w:hint="eastAsia" w:cs="宋体"/>
          <w:color w:val="auto"/>
          <w:sz w:val="28"/>
          <w:szCs w:val="28"/>
          <w:highlight w:val="none"/>
        </w:rPr>
        <w:t>月</w:t>
      </w:r>
      <w:r>
        <w:rPr>
          <w:color w:val="auto"/>
          <w:sz w:val="28"/>
          <w:szCs w:val="28"/>
          <w:highlight w:val="none"/>
          <w:u w:val="single"/>
        </w:rPr>
        <w:t xml:space="preserve">         </w:t>
      </w:r>
      <w:r>
        <w:rPr>
          <w:rFonts w:hint="eastAsia" w:cs="宋体"/>
          <w:color w:val="auto"/>
          <w:sz w:val="28"/>
          <w:szCs w:val="28"/>
          <w:highlight w:val="none"/>
        </w:rPr>
        <w:t>日</w:t>
      </w:r>
    </w:p>
    <w:p>
      <w:pPr>
        <w:spacing w:line="360" w:lineRule="exact"/>
        <w:ind w:firstLine="560" w:firstLineChars="200"/>
        <w:jc w:val="center"/>
        <w:rPr>
          <w:b/>
          <w:color w:val="auto"/>
          <w:sz w:val="28"/>
          <w:szCs w:val="28"/>
          <w:highlight w:val="none"/>
        </w:rPr>
      </w:pPr>
      <w:r>
        <w:rPr>
          <w:color w:val="auto"/>
          <w:sz w:val="28"/>
          <w:szCs w:val="28"/>
          <w:highlight w:val="none"/>
        </w:rPr>
        <w:br w:type="page"/>
      </w:r>
      <w:bookmarkStart w:id="1570" w:name="_Toc153274944"/>
      <w:bookmarkStart w:id="1571" w:name="_Toc173579002"/>
      <w:bookmarkStart w:id="1572" w:name="_Toc172364022"/>
      <w:bookmarkStart w:id="1573" w:name="_Toc251052160"/>
      <w:r>
        <w:rPr>
          <w:rFonts w:hint="eastAsia" w:cs="宋体"/>
          <w:b/>
          <w:color w:val="auto"/>
          <w:sz w:val="28"/>
          <w:szCs w:val="28"/>
          <w:highlight w:val="none"/>
        </w:rPr>
        <w:t>目</w:t>
      </w:r>
      <w:r>
        <w:rPr>
          <w:b/>
          <w:color w:val="auto"/>
          <w:sz w:val="28"/>
          <w:szCs w:val="28"/>
          <w:highlight w:val="none"/>
        </w:rPr>
        <w:t xml:space="preserve">   </w:t>
      </w:r>
      <w:r>
        <w:rPr>
          <w:rFonts w:hint="eastAsia" w:cs="宋体"/>
          <w:b/>
          <w:color w:val="auto"/>
          <w:sz w:val="28"/>
          <w:szCs w:val="28"/>
          <w:highlight w:val="none"/>
        </w:rPr>
        <w:t>录</w:t>
      </w:r>
    </w:p>
    <w:p>
      <w:pPr>
        <w:spacing w:line="360" w:lineRule="exact"/>
        <w:ind w:firstLine="640" w:firstLineChars="200"/>
        <w:rPr>
          <w:color w:val="auto"/>
          <w:sz w:val="32"/>
          <w:szCs w:val="32"/>
          <w:highlight w:val="none"/>
        </w:rPr>
      </w:pPr>
    </w:p>
    <w:p>
      <w:pPr>
        <w:pStyle w:val="146"/>
        <w:spacing w:line="460" w:lineRule="exact"/>
        <w:rPr>
          <w:color w:val="auto"/>
          <w:highlight w:val="none"/>
        </w:rPr>
      </w:pPr>
      <w:r>
        <w:rPr>
          <w:rFonts w:hint="eastAsia"/>
          <w:color w:val="auto"/>
          <w:highlight w:val="none"/>
        </w:rPr>
        <w:t>一</w:t>
      </w:r>
      <w:r>
        <w:rPr>
          <w:rFonts w:hint="eastAsia" w:cs="宋体"/>
          <w:color w:val="auto"/>
          <w:highlight w:val="none"/>
        </w:rPr>
        <w:t>、施工组织设计；</w:t>
      </w:r>
    </w:p>
    <w:p>
      <w:pPr>
        <w:pStyle w:val="154"/>
        <w:spacing w:line="460" w:lineRule="exact"/>
        <w:rPr>
          <w:color w:val="auto"/>
          <w:highlight w:val="none"/>
        </w:rPr>
      </w:pPr>
      <w:r>
        <w:rPr>
          <w:rFonts w:hint="eastAsia"/>
          <w:color w:val="auto"/>
          <w:highlight w:val="none"/>
        </w:rPr>
        <w:t>二</w:t>
      </w:r>
      <w:r>
        <w:rPr>
          <w:rFonts w:hint="eastAsia" w:cs="宋体"/>
          <w:color w:val="auto"/>
          <w:highlight w:val="none"/>
        </w:rPr>
        <w:t>、拟分包计划表；</w:t>
      </w:r>
    </w:p>
    <w:p>
      <w:pPr>
        <w:pStyle w:val="154"/>
        <w:spacing w:line="460" w:lineRule="exact"/>
        <w:rPr>
          <w:color w:val="auto"/>
          <w:highlight w:val="none"/>
        </w:rPr>
      </w:pPr>
      <w:r>
        <w:rPr>
          <w:rFonts w:hint="eastAsia"/>
          <w:color w:val="auto"/>
          <w:highlight w:val="none"/>
        </w:rPr>
        <w:t>三</w:t>
      </w:r>
      <w:r>
        <w:rPr>
          <w:rFonts w:hint="eastAsia" w:cs="宋体"/>
          <w:color w:val="auto"/>
          <w:highlight w:val="none"/>
        </w:rPr>
        <w:t>、项目管理机构。</w:t>
      </w:r>
    </w:p>
    <w:p>
      <w:pPr>
        <w:pStyle w:val="146"/>
        <w:rPr>
          <w:b/>
          <w:color w:val="auto"/>
          <w:highlight w:val="none"/>
        </w:rPr>
      </w:pPr>
    </w:p>
    <w:p>
      <w:pPr>
        <w:pStyle w:val="146"/>
        <w:rPr>
          <w:b/>
          <w:color w:val="auto"/>
          <w:highlight w:val="none"/>
        </w:rPr>
      </w:pPr>
    </w:p>
    <w:p>
      <w:pPr>
        <w:spacing w:line="360" w:lineRule="exact"/>
        <w:ind w:firstLine="560" w:firstLineChars="200"/>
        <w:rPr>
          <w:color w:val="auto"/>
          <w:sz w:val="28"/>
          <w:szCs w:val="28"/>
          <w:highlight w:val="none"/>
        </w:rPr>
      </w:pPr>
    </w:p>
    <w:p>
      <w:pPr>
        <w:spacing w:line="360" w:lineRule="exact"/>
        <w:ind w:firstLine="560" w:firstLineChars="200"/>
        <w:rPr>
          <w:color w:val="auto"/>
          <w:sz w:val="28"/>
          <w:szCs w:val="28"/>
          <w:highlight w:val="none"/>
        </w:rPr>
      </w:pPr>
    </w:p>
    <w:p>
      <w:pPr>
        <w:spacing w:line="360" w:lineRule="exact"/>
        <w:ind w:firstLine="560" w:firstLineChars="200"/>
        <w:rPr>
          <w:color w:val="auto"/>
          <w:sz w:val="28"/>
          <w:szCs w:val="28"/>
          <w:highlight w:val="none"/>
        </w:rPr>
      </w:pPr>
    </w:p>
    <w:p>
      <w:pPr>
        <w:spacing w:line="360" w:lineRule="exact"/>
        <w:ind w:firstLine="560" w:firstLineChars="200"/>
        <w:rPr>
          <w:color w:val="auto"/>
          <w:sz w:val="28"/>
          <w:szCs w:val="28"/>
          <w:highlight w:val="none"/>
        </w:rPr>
      </w:pPr>
    </w:p>
    <w:p>
      <w:pPr>
        <w:spacing w:line="360" w:lineRule="exact"/>
        <w:ind w:firstLine="560" w:firstLineChars="200"/>
        <w:rPr>
          <w:color w:val="auto"/>
          <w:sz w:val="28"/>
          <w:szCs w:val="28"/>
          <w:highlight w:val="none"/>
        </w:rPr>
      </w:pPr>
    </w:p>
    <w:p>
      <w:pPr>
        <w:spacing w:line="360" w:lineRule="exact"/>
        <w:ind w:firstLine="560" w:firstLineChars="200"/>
        <w:rPr>
          <w:color w:val="auto"/>
          <w:sz w:val="28"/>
          <w:szCs w:val="28"/>
          <w:highlight w:val="none"/>
        </w:rPr>
      </w:pPr>
    </w:p>
    <w:p>
      <w:pPr>
        <w:spacing w:line="360" w:lineRule="exact"/>
        <w:ind w:firstLine="560" w:firstLineChars="200"/>
        <w:rPr>
          <w:color w:val="auto"/>
          <w:sz w:val="28"/>
          <w:szCs w:val="28"/>
          <w:highlight w:val="none"/>
        </w:rPr>
      </w:pPr>
    </w:p>
    <w:p>
      <w:pPr>
        <w:spacing w:line="360" w:lineRule="exact"/>
        <w:ind w:firstLine="560" w:firstLineChars="200"/>
        <w:rPr>
          <w:color w:val="auto"/>
          <w:sz w:val="28"/>
          <w:szCs w:val="28"/>
          <w:highlight w:val="none"/>
        </w:rPr>
      </w:pPr>
    </w:p>
    <w:p>
      <w:pPr>
        <w:spacing w:line="360" w:lineRule="exact"/>
        <w:ind w:firstLine="560" w:firstLineChars="200"/>
        <w:rPr>
          <w:color w:val="auto"/>
          <w:sz w:val="28"/>
          <w:szCs w:val="28"/>
          <w:highlight w:val="none"/>
        </w:rPr>
      </w:pPr>
    </w:p>
    <w:p>
      <w:pPr>
        <w:spacing w:line="360" w:lineRule="exact"/>
        <w:ind w:firstLine="560" w:firstLineChars="200"/>
        <w:rPr>
          <w:color w:val="auto"/>
          <w:sz w:val="28"/>
          <w:szCs w:val="28"/>
          <w:highlight w:val="none"/>
        </w:rPr>
      </w:pPr>
    </w:p>
    <w:p>
      <w:pPr>
        <w:spacing w:line="360" w:lineRule="exact"/>
        <w:ind w:firstLine="560" w:firstLineChars="200"/>
        <w:rPr>
          <w:color w:val="auto"/>
          <w:sz w:val="28"/>
          <w:szCs w:val="28"/>
          <w:highlight w:val="none"/>
        </w:rPr>
      </w:pPr>
    </w:p>
    <w:p>
      <w:pPr>
        <w:spacing w:line="360" w:lineRule="exact"/>
        <w:ind w:firstLine="560" w:firstLineChars="200"/>
        <w:rPr>
          <w:color w:val="auto"/>
          <w:sz w:val="28"/>
          <w:szCs w:val="28"/>
          <w:highlight w:val="none"/>
        </w:rPr>
      </w:pPr>
    </w:p>
    <w:p>
      <w:pPr>
        <w:spacing w:line="360" w:lineRule="exact"/>
        <w:ind w:firstLine="560" w:firstLineChars="200"/>
        <w:rPr>
          <w:color w:val="auto"/>
          <w:sz w:val="28"/>
          <w:szCs w:val="28"/>
          <w:highlight w:val="none"/>
        </w:rPr>
      </w:pPr>
    </w:p>
    <w:p>
      <w:pPr>
        <w:spacing w:line="360" w:lineRule="exact"/>
        <w:ind w:firstLine="560" w:firstLineChars="200"/>
        <w:rPr>
          <w:color w:val="auto"/>
          <w:sz w:val="28"/>
          <w:szCs w:val="28"/>
          <w:highlight w:val="none"/>
        </w:rPr>
      </w:pPr>
    </w:p>
    <w:p>
      <w:pPr>
        <w:spacing w:line="360" w:lineRule="exact"/>
        <w:ind w:firstLine="560" w:firstLineChars="200"/>
        <w:rPr>
          <w:color w:val="auto"/>
          <w:sz w:val="28"/>
          <w:szCs w:val="28"/>
          <w:highlight w:val="none"/>
        </w:rPr>
      </w:pPr>
    </w:p>
    <w:p>
      <w:pPr>
        <w:spacing w:line="360" w:lineRule="exact"/>
        <w:ind w:firstLine="560" w:firstLineChars="200"/>
        <w:rPr>
          <w:color w:val="auto"/>
          <w:sz w:val="28"/>
          <w:szCs w:val="28"/>
          <w:highlight w:val="none"/>
        </w:rPr>
      </w:pPr>
    </w:p>
    <w:p>
      <w:pPr>
        <w:spacing w:line="360" w:lineRule="exact"/>
        <w:ind w:firstLine="560" w:firstLineChars="200"/>
        <w:rPr>
          <w:color w:val="auto"/>
          <w:sz w:val="28"/>
          <w:szCs w:val="28"/>
          <w:highlight w:val="none"/>
        </w:rPr>
      </w:pPr>
    </w:p>
    <w:p>
      <w:pPr>
        <w:spacing w:line="360" w:lineRule="exact"/>
        <w:ind w:firstLine="560" w:firstLineChars="200"/>
        <w:rPr>
          <w:color w:val="auto"/>
          <w:sz w:val="28"/>
          <w:szCs w:val="28"/>
          <w:highlight w:val="none"/>
        </w:rPr>
      </w:pPr>
    </w:p>
    <w:p>
      <w:pPr>
        <w:spacing w:line="360" w:lineRule="exact"/>
        <w:ind w:firstLine="560" w:firstLineChars="200"/>
        <w:rPr>
          <w:color w:val="auto"/>
          <w:sz w:val="28"/>
          <w:szCs w:val="28"/>
          <w:highlight w:val="none"/>
        </w:rPr>
      </w:pPr>
    </w:p>
    <w:p>
      <w:pPr>
        <w:spacing w:line="360" w:lineRule="exact"/>
        <w:ind w:firstLine="560" w:firstLineChars="200"/>
        <w:rPr>
          <w:color w:val="auto"/>
          <w:sz w:val="28"/>
          <w:szCs w:val="28"/>
          <w:highlight w:val="none"/>
        </w:rPr>
      </w:pPr>
    </w:p>
    <w:p>
      <w:pPr>
        <w:spacing w:line="360" w:lineRule="exact"/>
        <w:ind w:firstLine="560" w:firstLineChars="200"/>
        <w:rPr>
          <w:color w:val="auto"/>
          <w:sz w:val="28"/>
          <w:szCs w:val="28"/>
          <w:highlight w:val="none"/>
        </w:rPr>
      </w:pPr>
    </w:p>
    <w:p>
      <w:pPr>
        <w:spacing w:line="360" w:lineRule="exact"/>
        <w:ind w:firstLine="560" w:firstLineChars="200"/>
        <w:rPr>
          <w:color w:val="auto"/>
          <w:sz w:val="28"/>
          <w:szCs w:val="28"/>
          <w:highlight w:val="none"/>
        </w:rPr>
      </w:pPr>
    </w:p>
    <w:p>
      <w:pPr>
        <w:spacing w:line="360" w:lineRule="exact"/>
        <w:ind w:firstLine="560" w:firstLineChars="200"/>
        <w:rPr>
          <w:color w:val="auto"/>
          <w:sz w:val="28"/>
          <w:szCs w:val="28"/>
          <w:highlight w:val="none"/>
        </w:rPr>
      </w:pPr>
    </w:p>
    <w:p>
      <w:pPr>
        <w:spacing w:line="360" w:lineRule="exact"/>
        <w:ind w:firstLine="560" w:firstLineChars="200"/>
        <w:rPr>
          <w:color w:val="auto"/>
          <w:sz w:val="28"/>
          <w:szCs w:val="28"/>
          <w:highlight w:val="none"/>
        </w:rPr>
      </w:pPr>
    </w:p>
    <w:p>
      <w:pPr>
        <w:spacing w:line="360" w:lineRule="exact"/>
        <w:ind w:firstLine="560" w:firstLineChars="200"/>
        <w:rPr>
          <w:color w:val="auto"/>
          <w:sz w:val="28"/>
          <w:szCs w:val="28"/>
          <w:highlight w:val="none"/>
        </w:rPr>
      </w:pPr>
    </w:p>
    <w:p>
      <w:pPr>
        <w:spacing w:line="360" w:lineRule="exact"/>
        <w:ind w:firstLine="560" w:firstLineChars="200"/>
        <w:rPr>
          <w:color w:val="auto"/>
          <w:sz w:val="28"/>
          <w:szCs w:val="28"/>
          <w:highlight w:val="none"/>
        </w:rPr>
      </w:pPr>
    </w:p>
    <w:p>
      <w:pPr>
        <w:spacing w:line="360" w:lineRule="exact"/>
        <w:ind w:firstLine="560" w:firstLineChars="200"/>
        <w:rPr>
          <w:color w:val="auto"/>
          <w:sz w:val="28"/>
          <w:szCs w:val="28"/>
          <w:highlight w:val="none"/>
        </w:rPr>
      </w:pPr>
    </w:p>
    <w:p>
      <w:pPr>
        <w:spacing w:line="360" w:lineRule="exact"/>
        <w:ind w:firstLine="560" w:firstLineChars="200"/>
        <w:rPr>
          <w:color w:val="auto"/>
          <w:sz w:val="28"/>
          <w:szCs w:val="28"/>
          <w:highlight w:val="none"/>
        </w:rPr>
      </w:pPr>
    </w:p>
    <w:p>
      <w:pPr>
        <w:spacing w:line="360" w:lineRule="exact"/>
        <w:ind w:firstLine="560" w:firstLineChars="200"/>
        <w:rPr>
          <w:color w:val="auto"/>
          <w:sz w:val="28"/>
          <w:szCs w:val="28"/>
          <w:highlight w:val="none"/>
        </w:rPr>
      </w:pPr>
    </w:p>
    <w:p>
      <w:pPr>
        <w:spacing w:line="360" w:lineRule="exact"/>
        <w:ind w:firstLine="560" w:firstLineChars="200"/>
        <w:rPr>
          <w:color w:val="auto"/>
          <w:sz w:val="28"/>
          <w:szCs w:val="28"/>
          <w:highlight w:val="none"/>
        </w:rPr>
      </w:pPr>
    </w:p>
    <w:p>
      <w:pPr>
        <w:rPr>
          <w:rFonts w:ascii="宋体" w:hAnsi="宋体"/>
          <w:color w:val="auto"/>
          <w:highlight w:val="none"/>
        </w:rPr>
      </w:pPr>
    </w:p>
    <w:p>
      <w:pPr>
        <w:pStyle w:val="146"/>
        <w:jc w:val="center"/>
        <w:rPr>
          <w:b/>
          <w:color w:val="auto"/>
          <w:sz w:val="24"/>
          <w:szCs w:val="24"/>
          <w:highlight w:val="none"/>
        </w:rPr>
      </w:pPr>
      <w:bookmarkStart w:id="1574" w:name="_Toc389065360"/>
      <w:r>
        <w:rPr>
          <w:rFonts w:hint="eastAsia" w:cs="宋体"/>
          <w:b/>
          <w:color w:val="auto"/>
          <w:sz w:val="24"/>
          <w:szCs w:val="24"/>
          <w:highlight w:val="none"/>
        </w:rPr>
        <w:t>一、施工组织设计</w:t>
      </w:r>
      <w:bookmarkEnd w:id="1574"/>
    </w:p>
    <w:p>
      <w:pPr>
        <w:rPr>
          <w:color w:val="auto"/>
          <w:highlight w:val="none"/>
        </w:rPr>
      </w:pPr>
    </w:p>
    <w:p>
      <w:pPr>
        <w:spacing w:line="360" w:lineRule="auto"/>
        <w:ind w:firstLine="420" w:firstLineChars="200"/>
        <w:rPr>
          <w:rFonts w:ascii="宋体" w:hAnsi="宋体"/>
          <w:color w:val="auto"/>
          <w:highlight w:val="none"/>
        </w:rPr>
      </w:pPr>
      <w:r>
        <w:rPr>
          <w:rFonts w:hint="eastAsia"/>
          <w:color w:val="auto"/>
          <w:highlight w:val="none"/>
        </w:rPr>
        <w:t>一、</w:t>
      </w:r>
      <w:r>
        <w:rPr>
          <w:rFonts w:hint="eastAsia" w:ascii="宋体" w:hAnsi="宋体"/>
          <w:color w:val="auto"/>
          <w:highlight w:val="none"/>
        </w:rPr>
        <w:t>技术标的</w:t>
      </w:r>
      <w:r>
        <w:rPr>
          <w:color w:val="auto"/>
          <w:highlight w:val="none"/>
        </w:rPr>
        <w:t>施工组织</w:t>
      </w:r>
      <w:r>
        <w:rPr>
          <w:rFonts w:hint="eastAsia"/>
          <w:color w:val="auto"/>
          <w:highlight w:val="none"/>
        </w:rPr>
        <w:t>设计</w:t>
      </w:r>
      <w:r>
        <w:rPr>
          <w:rFonts w:hint="eastAsia" w:ascii="宋体" w:hAnsi="宋体"/>
          <w:color w:val="auto"/>
          <w:highlight w:val="none"/>
        </w:rPr>
        <w:t>编制要求：</w:t>
      </w:r>
    </w:p>
    <w:p>
      <w:pPr>
        <w:spacing w:line="360" w:lineRule="auto"/>
        <w:ind w:firstLine="567" w:firstLineChars="270"/>
        <w:rPr>
          <w:color w:val="auto"/>
          <w:highlight w:val="none"/>
        </w:rPr>
      </w:pPr>
      <w:r>
        <w:rPr>
          <w:rFonts w:hint="eastAsia" w:ascii="宋体" w:hAnsi="宋体"/>
          <w:color w:val="auto"/>
          <w:highlight w:val="none"/>
        </w:rPr>
        <w:t>1、技术标</w:t>
      </w:r>
      <w:r>
        <w:rPr>
          <w:color w:val="auto"/>
          <w:highlight w:val="none"/>
        </w:rPr>
        <w:t>施工组织</w:t>
      </w:r>
      <w:r>
        <w:rPr>
          <w:rFonts w:hint="eastAsia"/>
          <w:color w:val="auto"/>
          <w:highlight w:val="none"/>
        </w:rPr>
        <w:t>设计</w:t>
      </w:r>
      <w:r>
        <w:rPr>
          <w:rFonts w:hint="eastAsia" w:ascii="宋体" w:hAnsi="宋体"/>
          <w:color w:val="auto"/>
          <w:highlight w:val="none"/>
        </w:rPr>
        <w:t>应</w:t>
      </w:r>
      <w:r>
        <w:rPr>
          <w:rFonts w:hint="eastAsia"/>
          <w:color w:val="auto"/>
          <w:highlight w:val="none"/>
        </w:rPr>
        <w:t>按投标人须知3.1.</w:t>
      </w:r>
      <w:r>
        <w:rPr>
          <w:color w:val="auto"/>
          <w:highlight w:val="none"/>
        </w:rPr>
        <w:t>1</w:t>
      </w:r>
      <w:r>
        <w:rPr>
          <w:rFonts w:hint="eastAsia"/>
          <w:color w:val="auto"/>
          <w:highlight w:val="none"/>
        </w:rPr>
        <w:t>.3</w:t>
      </w:r>
      <w:r>
        <w:rPr>
          <w:color w:val="auto"/>
          <w:highlight w:val="none"/>
        </w:rPr>
        <w:t>施工组织</w:t>
      </w:r>
      <w:r>
        <w:rPr>
          <w:rFonts w:hint="eastAsia"/>
          <w:color w:val="auto"/>
          <w:highlight w:val="none"/>
        </w:rPr>
        <w:t>设计要求的内容顺序编制，可</w:t>
      </w:r>
      <w:r>
        <w:rPr>
          <w:rFonts w:hint="eastAsia" w:ascii="宋体" w:hAnsi="宋体"/>
          <w:color w:val="auto"/>
          <w:highlight w:val="none"/>
        </w:rPr>
        <w:t>采用文字并结合图表形式说明施工方法</w:t>
      </w:r>
      <w:r>
        <w:rPr>
          <w:rFonts w:hint="eastAsia"/>
          <w:color w:val="auto"/>
          <w:highlight w:val="none"/>
        </w:rPr>
        <w:t>。</w:t>
      </w:r>
    </w:p>
    <w:p>
      <w:pPr>
        <w:spacing w:line="360" w:lineRule="auto"/>
        <w:ind w:firstLine="567" w:firstLineChars="270"/>
        <w:rPr>
          <w:rFonts w:ascii="宋体" w:hAnsi="宋体"/>
          <w:color w:val="auto"/>
          <w:highlight w:val="none"/>
        </w:rPr>
      </w:pPr>
      <w:r>
        <w:rPr>
          <w:rFonts w:hint="eastAsia" w:ascii="宋体" w:hAnsi="宋体"/>
          <w:color w:val="auto"/>
          <w:highlight w:val="none"/>
        </w:rPr>
        <w:t>2、技术标</w:t>
      </w:r>
      <w:r>
        <w:rPr>
          <w:color w:val="auto"/>
          <w:highlight w:val="none"/>
        </w:rPr>
        <w:t>施工组织</w:t>
      </w:r>
      <w:r>
        <w:rPr>
          <w:rFonts w:hint="eastAsia"/>
          <w:color w:val="auto"/>
          <w:highlight w:val="none"/>
        </w:rPr>
        <w:t>设计</w:t>
      </w:r>
      <w:r>
        <w:rPr>
          <w:rFonts w:hint="eastAsia" w:ascii="宋体" w:hAnsi="宋体"/>
          <w:color w:val="auto"/>
          <w:highlight w:val="none"/>
        </w:rPr>
        <w:t>除采用文字表述外可附下列图表，图表及格式要求附后。</w:t>
      </w:r>
    </w:p>
    <w:p>
      <w:pPr>
        <w:spacing w:line="460" w:lineRule="exact"/>
        <w:ind w:firstLine="420" w:firstLineChars="200"/>
        <w:rPr>
          <w:color w:val="auto"/>
          <w:highlight w:val="none"/>
        </w:rPr>
      </w:pPr>
      <w:r>
        <w:rPr>
          <w:rFonts w:hint="eastAsia" w:cs="宋体"/>
          <w:color w:val="auto"/>
          <w:highlight w:val="none"/>
        </w:rPr>
        <w:t>附表一</w:t>
      </w:r>
      <w:r>
        <w:rPr>
          <w:color w:val="auto"/>
          <w:highlight w:val="none"/>
        </w:rPr>
        <w:t xml:space="preserve">  </w:t>
      </w:r>
      <w:r>
        <w:rPr>
          <w:rFonts w:hint="eastAsia" w:cs="宋体"/>
          <w:color w:val="auto"/>
          <w:highlight w:val="none"/>
        </w:rPr>
        <w:t>拟投入本工程的主要施工设备表</w:t>
      </w:r>
    </w:p>
    <w:p>
      <w:pPr>
        <w:spacing w:line="460" w:lineRule="exact"/>
        <w:ind w:firstLine="420" w:firstLineChars="200"/>
        <w:rPr>
          <w:color w:val="auto"/>
          <w:highlight w:val="none"/>
        </w:rPr>
      </w:pPr>
      <w:r>
        <w:rPr>
          <w:rFonts w:hint="eastAsia" w:cs="宋体"/>
          <w:color w:val="auto"/>
          <w:highlight w:val="none"/>
        </w:rPr>
        <w:t>附表二</w:t>
      </w:r>
      <w:r>
        <w:rPr>
          <w:color w:val="auto"/>
          <w:highlight w:val="none"/>
        </w:rPr>
        <w:t xml:space="preserve">  </w:t>
      </w:r>
      <w:r>
        <w:rPr>
          <w:rFonts w:hint="eastAsia" w:cs="宋体"/>
          <w:color w:val="auto"/>
          <w:highlight w:val="none"/>
        </w:rPr>
        <w:t>拟配备本工程的试验和检测仪器设备表</w:t>
      </w:r>
    </w:p>
    <w:p>
      <w:pPr>
        <w:spacing w:line="460" w:lineRule="exact"/>
        <w:ind w:firstLine="420" w:firstLineChars="200"/>
        <w:rPr>
          <w:color w:val="auto"/>
          <w:highlight w:val="none"/>
        </w:rPr>
      </w:pPr>
      <w:r>
        <w:rPr>
          <w:rFonts w:hint="eastAsia" w:cs="宋体"/>
          <w:color w:val="auto"/>
          <w:highlight w:val="none"/>
        </w:rPr>
        <w:t>附表三</w:t>
      </w:r>
      <w:r>
        <w:rPr>
          <w:color w:val="auto"/>
          <w:highlight w:val="none"/>
        </w:rPr>
        <w:t xml:space="preserve">  </w:t>
      </w:r>
      <w:r>
        <w:rPr>
          <w:rFonts w:hint="eastAsia" w:cs="宋体"/>
          <w:color w:val="auto"/>
          <w:highlight w:val="none"/>
        </w:rPr>
        <w:t>劳动力计划表</w:t>
      </w:r>
    </w:p>
    <w:p>
      <w:pPr>
        <w:spacing w:line="460" w:lineRule="exact"/>
        <w:ind w:firstLine="420" w:firstLineChars="200"/>
        <w:rPr>
          <w:color w:val="auto"/>
          <w:highlight w:val="none"/>
        </w:rPr>
      </w:pPr>
      <w:r>
        <w:rPr>
          <w:rFonts w:hint="eastAsia" w:cs="宋体"/>
          <w:color w:val="auto"/>
          <w:highlight w:val="none"/>
        </w:rPr>
        <w:t>附表四</w:t>
      </w:r>
      <w:r>
        <w:rPr>
          <w:color w:val="auto"/>
          <w:highlight w:val="none"/>
        </w:rPr>
        <w:t xml:space="preserve">  </w:t>
      </w:r>
      <w:r>
        <w:rPr>
          <w:rFonts w:hint="eastAsia" w:cs="宋体"/>
          <w:color w:val="auto"/>
          <w:highlight w:val="none"/>
        </w:rPr>
        <w:t>计划开、竣工日期和施工进度计划（网络图或横道图）</w:t>
      </w:r>
    </w:p>
    <w:p>
      <w:pPr>
        <w:spacing w:line="460" w:lineRule="exact"/>
        <w:ind w:firstLine="420" w:firstLineChars="200"/>
        <w:rPr>
          <w:color w:val="auto"/>
          <w:highlight w:val="none"/>
        </w:rPr>
      </w:pPr>
      <w:r>
        <w:rPr>
          <w:rFonts w:hint="eastAsia" w:cs="宋体"/>
          <w:color w:val="auto"/>
          <w:highlight w:val="none"/>
        </w:rPr>
        <w:t>附表五</w:t>
      </w:r>
      <w:r>
        <w:rPr>
          <w:color w:val="auto"/>
          <w:highlight w:val="none"/>
        </w:rPr>
        <w:t xml:space="preserve">  </w:t>
      </w:r>
      <w:r>
        <w:rPr>
          <w:rFonts w:hint="eastAsia" w:cs="宋体"/>
          <w:color w:val="auto"/>
          <w:highlight w:val="none"/>
        </w:rPr>
        <w:t>施工总平面图</w:t>
      </w:r>
    </w:p>
    <w:p>
      <w:pPr>
        <w:spacing w:line="460" w:lineRule="exact"/>
        <w:ind w:firstLine="420" w:firstLineChars="200"/>
        <w:rPr>
          <w:color w:val="auto"/>
          <w:highlight w:val="none"/>
        </w:rPr>
      </w:pPr>
      <w:r>
        <w:rPr>
          <w:rFonts w:hint="eastAsia" w:cs="宋体"/>
          <w:color w:val="auto"/>
          <w:highlight w:val="none"/>
        </w:rPr>
        <w:t>附表六</w:t>
      </w:r>
      <w:r>
        <w:rPr>
          <w:color w:val="auto"/>
          <w:highlight w:val="none"/>
        </w:rPr>
        <w:t xml:space="preserve">  </w:t>
      </w:r>
      <w:r>
        <w:rPr>
          <w:rFonts w:hint="eastAsia" w:cs="宋体"/>
          <w:color w:val="auto"/>
          <w:highlight w:val="none"/>
        </w:rPr>
        <w:t>临时用地表</w:t>
      </w:r>
    </w:p>
    <w:p>
      <w:pPr>
        <w:spacing w:line="360" w:lineRule="auto"/>
        <w:ind w:firstLine="420" w:firstLineChars="200"/>
        <w:rPr>
          <w:color w:val="auto"/>
          <w:highlight w:val="none"/>
        </w:rPr>
      </w:pPr>
      <w:r>
        <w:rPr>
          <w:rFonts w:ascii="宋体" w:hAnsi="宋体"/>
          <w:color w:val="auto"/>
          <w:highlight w:val="none"/>
        </w:rPr>
        <w:br w:type="page"/>
      </w:r>
      <w:bookmarkEnd w:id="1570"/>
      <w:bookmarkEnd w:id="1571"/>
      <w:bookmarkEnd w:id="1572"/>
      <w:bookmarkEnd w:id="1573"/>
    </w:p>
    <w:p>
      <w:pPr>
        <w:rPr>
          <w:color w:val="auto"/>
          <w:highlight w:val="none"/>
        </w:rPr>
      </w:pPr>
      <w:r>
        <w:rPr>
          <w:rFonts w:hint="eastAsia" w:cs="宋体"/>
          <w:color w:val="auto"/>
          <w:highlight w:val="none"/>
        </w:rPr>
        <w:t>附表一：拟投入本工程的主要施工设备表</w:t>
      </w:r>
    </w:p>
    <w:tbl>
      <w:tblPr>
        <w:tblStyle w:val="42"/>
        <w:tblW w:w="93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851"/>
        <w:gridCol w:w="1134"/>
        <w:gridCol w:w="992"/>
        <w:gridCol w:w="1134"/>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7" w:hRule="atLeast"/>
          <w:jc w:val="center"/>
        </w:trPr>
        <w:tc>
          <w:tcPr>
            <w:tcW w:w="758" w:type="dxa"/>
            <w:shd w:val="clear" w:color="auto" w:fill="auto"/>
            <w:vAlign w:val="center"/>
          </w:tcPr>
          <w:p>
            <w:pPr>
              <w:jc w:val="center"/>
              <w:rPr>
                <w:color w:val="auto"/>
                <w:highlight w:val="none"/>
              </w:rPr>
            </w:pPr>
            <w:r>
              <w:rPr>
                <w:rFonts w:hint="eastAsia" w:cs="宋体"/>
                <w:color w:val="auto"/>
                <w:highlight w:val="none"/>
              </w:rPr>
              <w:t>序号</w:t>
            </w:r>
          </w:p>
        </w:tc>
        <w:tc>
          <w:tcPr>
            <w:tcW w:w="1226" w:type="dxa"/>
            <w:shd w:val="clear" w:color="auto" w:fill="auto"/>
            <w:vAlign w:val="center"/>
          </w:tcPr>
          <w:p>
            <w:pPr>
              <w:jc w:val="center"/>
              <w:rPr>
                <w:color w:val="auto"/>
                <w:highlight w:val="none"/>
              </w:rPr>
            </w:pPr>
            <w:r>
              <w:rPr>
                <w:rFonts w:hint="eastAsia" w:cs="宋体"/>
                <w:color w:val="auto"/>
                <w:highlight w:val="none"/>
              </w:rPr>
              <w:t>设备名称</w:t>
            </w:r>
          </w:p>
        </w:tc>
        <w:tc>
          <w:tcPr>
            <w:tcW w:w="851" w:type="dxa"/>
            <w:shd w:val="clear" w:color="auto" w:fill="auto"/>
            <w:vAlign w:val="center"/>
          </w:tcPr>
          <w:p>
            <w:pPr>
              <w:jc w:val="center"/>
              <w:rPr>
                <w:color w:val="auto"/>
                <w:highlight w:val="none"/>
              </w:rPr>
            </w:pPr>
            <w:r>
              <w:rPr>
                <w:rFonts w:hint="eastAsia" w:cs="宋体"/>
                <w:color w:val="auto"/>
                <w:highlight w:val="none"/>
              </w:rPr>
              <w:t>型号</w:t>
            </w:r>
          </w:p>
          <w:p>
            <w:pPr>
              <w:jc w:val="center"/>
              <w:rPr>
                <w:color w:val="auto"/>
                <w:highlight w:val="none"/>
              </w:rPr>
            </w:pPr>
            <w:r>
              <w:rPr>
                <w:rFonts w:hint="eastAsia" w:cs="宋体"/>
                <w:color w:val="auto"/>
                <w:highlight w:val="none"/>
              </w:rPr>
              <w:t>规格</w:t>
            </w:r>
          </w:p>
        </w:tc>
        <w:tc>
          <w:tcPr>
            <w:tcW w:w="708" w:type="dxa"/>
            <w:shd w:val="clear" w:color="auto" w:fill="auto"/>
            <w:vAlign w:val="center"/>
          </w:tcPr>
          <w:p>
            <w:pPr>
              <w:jc w:val="center"/>
              <w:rPr>
                <w:color w:val="auto"/>
                <w:highlight w:val="none"/>
              </w:rPr>
            </w:pPr>
            <w:r>
              <w:rPr>
                <w:rFonts w:hint="eastAsia" w:cs="宋体"/>
                <w:color w:val="auto"/>
                <w:highlight w:val="none"/>
              </w:rPr>
              <w:t>数量</w:t>
            </w:r>
          </w:p>
        </w:tc>
        <w:tc>
          <w:tcPr>
            <w:tcW w:w="709" w:type="dxa"/>
            <w:shd w:val="clear" w:color="auto" w:fill="auto"/>
            <w:vAlign w:val="center"/>
          </w:tcPr>
          <w:p>
            <w:pPr>
              <w:jc w:val="center"/>
              <w:rPr>
                <w:color w:val="auto"/>
                <w:highlight w:val="none"/>
              </w:rPr>
            </w:pPr>
            <w:r>
              <w:rPr>
                <w:rFonts w:hint="eastAsia" w:cs="宋体"/>
                <w:color w:val="auto"/>
                <w:highlight w:val="none"/>
              </w:rPr>
              <w:t>国别</w:t>
            </w:r>
          </w:p>
          <w:p>
            <w:pPr>
              <w:jc w:val="center"/>
              <w:rPr>
                <w:color w:val="auto"/>
                <w:highlight w:val="none"/>
              </w:rPr>
            </w:pPr>
            <w:r>
              <w:rPr>
                <w:rFonts w:hint="eastAsia" w:cs="宋体"/>
                <w:color w:val="auto"/>
                <w:highlight w:val="none"/>
              </w:rPr>
              <w:t>产地</w:t>
            </w:r>
          </w:p>
        </w:tc>
        <w:tc>
          <w:tcPr>
            <w:tcW w:w="851" w:type="dxa"/>
            <w:shd w:val="clear" w:color="auto" w:fill="auto"/>
            <w:vAlign w:val="center"/>
          </w:tcPr>
          <w:p>
            <w:pPr>
              <w:jc w:val="center"/>
              <w:rPr>
                <w:color w:val="auto"/>
                <w:highlight w:val="none"/>
              </w:rPr>
            </w:pPr>
            <w:r>
              <w:rPr>
                <w:rFonts w:hint="eastAsia" w:cs="宋体"/>
                <w:color w:val="auto"/>
                <w:highlight w:val="none"/>
              </w:rPr>
              <w:t>制造</w:t>
            </w:r>
          </w:p>
          <w:p>
            <w:pPr>
              <w:jc w:val="center"/>
              <w:rPr>
                <w:color w:val="auto"/>
                <w:highlight w:val="none"/>
              </w:rPr>
            </w:pPr>
            <w:r>
              <w:rPr>
                <w:rFonts w:hint="eastAsia" w:cs="宋体"/>
                <w:color w:val="auto"/>
                <w:highlight w:val="none"/>
              </w:rPr>
              <w:t>年份</w:t>
            </w:r>
          </w:p>
        </w:tc>
        <w:tc>
          <w:tcPr>
            <w:tcW w:w="1134" w:type="dxa"/>
            <w:shd w:val="clear" w:color="auto" w:fill="auto"/>
            <w:vAlign w:val="center"/>
          </w:tcPr>
          <w:p>
            <w:pPr>
              <w:jc w:val="center"/>
              <w:rPr>
                <w:color w:val="auto"/>
                <w:highlight w:val="none"/>
              </w:rPr>
            </w:pPr>
            <w:r>
              <w:rPr>
                <w:rFonts w:hint="eastAsia" w:cs="宋体"/>
                <w:color w:val="auto"/>
                <w:highlight w:val="none"/>
              </w:rPr>
              <w:t>额定功率</w:t>
            </w:r>
          </w:p>
          <w:p>
            <w:pPr>
              <w:jc w:val="center"/>
              <w:rPr>
                <w:color w:val="auto"/>
                <w:highlight w:val="none"/>
              </w:rPr>
            </w:pPr>
            <w:r>
              <w:rPr>
                <w:rFonts w:hint="eastAsia" w:cs="宋体"/>
                <w:color w:val="auto"/>
                <w:highlight w:val="none"/>
              </w:rPr>
              <w:t>（</w:t>
            </w:r>
            <w:r>
              <w:rPr>
                <w:color w:val="auto"/>
                <w:highlight w:val="none"/>
              </w:rPr>
              <w:t>KW</w:t>
            </w:r>
            <w:r>
              <w:rPr>
                <w:rFonts w:hint="eastAsia" w:cs="宋体"/>
                <w:color w:val="auto"/>
                <w:highlight w:val="none"/>
              </w:rPr>
              <w:t>）</w:t>
            </w:r>
          </w:p>
        </w:tc>
        <w:tc>
          <w:tcPr>
            <w:tcW w:w="992" w:type="dxa"/>
            <w:shd w:val="clear" w:color="auto" w:fill="auto"/>
            <w:vAlign w:val="center"/>
          </w:tcPr>
          <w:p>
            <w:pPr>
              <w:jc w:val="center"/>
              <w:rPr>
                <w:color w:val="auto"/>
                <w:highlight w:val="none"/>
              </w:rPr>
            </w:pPr>
            <w:r>
              <w:rPr>
                <w:rFonts w:hint="eastAsia" w:cs="宋体"/>
                <w:color w:val="auto"/>
                <w:highlight w:val="none"/>
              </w:rPr>
              <w:t>生产</w:t>
            </w:r>
          </w:p>
          <w:p>
            <w:pPr>
              <w:jc w:val="center"/>
              <w:rPr>
                <w:color w:val="auto"/>
                <w:highlight w:val="none"/>
              </w:rPr>
            </w:pPr>
            <w:r>
              <w:rPr>
                <w:rFonts w:hint="eastAsia" w:cs="宋体"/>
                <w:color w:val="auto"/>
                <w:highlight w:val="none"/>
              </w:rPr>
              <w:t>能力</w:t>
            </w:r>
          </w:p>
        </w:tc>
        <w:tc>
          <w:tcPr>
            <w:tcW w:w="1134" w:type="dxa"/>
            <w:shd w:val="clear" w:color="auto" w:fill="auto"/>
            <w:vAlign w:val="center"/>
          </w:tcPr>
          <w:p>
            <w:pPr>
              <w:jc w:val="center"/>
              <w:rPr>
                <w:color w:val="auto"/>
                <w:highlight w:val="none"/>
              </w:rPr>
            </w:pPr>
            <w:r>
              <w:rPr>
                <w:rFonts w:hint="eastAsia" w:cs="宋体"/>
                <w:color w:val="auto"/>
                <w:highlight w:val="none"/>
              </w:rPr>
              <w:t>用于施</w:t>
            </w:r>
          </w:p>
          <w:p>
            <w:pPr>
              <w:jc w:val="center"/>
              <w:rPr>
                <w:color w:val="auto"/>
                <w:highlight w:val="none"/>
              </w:rPr>
            </w:pPr>
            <w:r>
              <w:rPr>
                <w:rFonts w:hint="eastAsia" w:cs="宋体"/>
                <w:color w:val="auto"/>
                <w:highlight w:val="none"/>
              </w:rPr>
              <w:t>工部位</w:t>
            </w:r>
          </w:p>
        </w:tc>
        <w:tc>
          <w:tcPr>
            <w:tcW w:w="992" w:type="dxa"/>
            <w:shd w:val="clear" w:color="auto" w:fill="auto"/>
            <w:vAlign w:val="center"/>
          </w:tcPr>
          <w:p>
            <w:pPr>
              <w:jc w:val="center"/>
              <w:rPr>
                <w:color w:val="auto"/>
                <w:highlight w:val="none"/>
              </w:rPr>
            </w:pPr>
            <w:r>
              <w:rPr>
                <w:rFonts w:hint="eastAsia" w:cs="宋体"/>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58" w:type="dxa"/>
            <w:shd w:val="clear" w:color="auto" w:fill="auto"/>
          </w:tcPr>
          <w:p>
            <w:pPr>
              <w:spacing w:line="360" w:lineRule="auto"/>
              <w:rPr>
                <w:color w:val="auto"/>
                <w:highlight w:val="none"/>
              </w:rPr>
            </w:pPr>
          </w:p>
        </w:tc>
        <w:tc>
          <w:tcPr>
            <w:tcW w:w="1226" w:type="dxa"/>
            <w:shd w:val="clear" w:color="auto" w:fill="auto"/>
          </w:tcPr>
          <w:p>
            <w:pPr>
              <w:spacing w:line="360" w:lineRule="auto"/>
              <w:ind w:firstLine="420" w:firstLineChars="200"/>
              <w:rPr>
                <w:color w:val="auto"/>
                <w:highlight w:val="none"/>
              </w:rPr>
            </w:pPr>
          </w:p>
        </w:tc>
        <w:tc>
          <w:tcPr>
            <w:tcW w:w="851" w:type="dxa"/>
            <w:shd w:val="clear" w:color="auto" w:fill="auto"/>
          </w:tcPr>
          <w:p>
            <w:pPr>
              <w:spacing w:line="360" w:lineRule="auto"/>
              <w:rPr>
                <w:color w:val="auto"/>
                <w:highlight w:val="none"/>
              </w:rPr>
            </w:pPr>
          </w:p>
        </w:tc>
        <w:tc>
          <w:tcPr>
            <w:tcW w:w="708" w:type="dxa"/>
            <w:shd w:val="clear" w:color="auto" w:fill="auto"/>
          </w:tcPr>
          <w:p>
            <w:pPr>
              <w:spacing w:line="360" w:lineRule="auto"/>
              <w:rPr>
                <w:color w:val="auto"/>
                <w:highlight w:val="none"/>
              </w:rPr>
            </w:pPr>
          </w:p>
        </w:tc>
        <w:tc>
          <w:tcPr>
            <w:tcW w:w="709" w:type="dxa"/>
            <w:shd w:val="clear" w:color="auto" w:fill="auto"/>
          </w:tcPr>
          <w:p>
            <w:pPr>
              <w:spacing w:line="360" w:lineRule="auto"/>
              <w:rPr>
                <w:color w:val="auto"/>
                <w:highlight w:val="none"/>
              </w:rPr>
            </w:pPr>
          </w:p>
        </w:tc>
        <w:tc>
          <w:tcPr>
            <w:tcW w:w="851" w:type="dxa"/>
            <w:shd w:val="clear" w:color="auto" w:fill="auto"/>
          </w:tcPr>
          <w:p>
            <w:pPr>
              <w:spacing w:line="360" w:lineRule="auto"/>
              <w:rPr>
                <w:color w:val="auto"/>
                <w:highlight w:val="none"/>
              </w:rPr>
            </w:pPr>
          </w:p>
        </w:tc>
        <w:tc>
          <w:tcPr>
            <w:tcW w:w="1134" w:type="dxa"/>
            <w:shd w:val="clear" w:color="auto" w:fill="auto"/>
          </w:tcPr>
          <w:p>
            <w:pPr>
              <w:spacing w:line="360" w:lineRule="auto"/>
              <w:rPr>
                <w:color w:val="auto"/>
                <w:highlight w:val="none"/>
              </w:rPr>
            </w:pPr>
          </w:p>
        </w:tc>
        <w:tc>
          <w:tcPr>
            <w:tcW w:w="992" w:type="dxa"/>
            <w:shd w:val="clear" w:color="auto" w:fill="auto"/>
          </w:tcPr>
          <w:p>
            <w:pPr>
              <w:spacing w:line="360" w:lineRule="auto"/>
              <w:rPr>
                <w:color w:val="auto"/>
                <w:highlight w:val="none"/>
              </w:rPr>
            </w:pPr>
          </w:p>
        </w:tc>
        <w:tc>
          <w:tcPr>
            <w:tcW w:w="1134" w:type="dxa"/>
            <w:shd w:val="clear" w:color="auto" w:fill="auto"/>
          </w:tcPr>
          <w:p>
            <w:pPr>
              <w:spacing w:line="360" w:lineRule="auto"/>
              <w:rPr>
                <w:color w:val="auto"/>
                <w:highlight w:val="none"/>
              </w:rPr>
            </w:pPr>
          </w:p>
        </w:tc>
        <w:tc>
          <w:tcPr>
            <w:tcW w:w="992" w:type="dxa"/>
            <w:shd w:val="clear" w:color="auto" w:fill="auto"/>
          </w:tcPr>
          <w:p>
            <w:pPr>
              <w:spacing w:line="360" w:lineRule="auto"/>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58" w:type="dxa"/>
            <w:shd w:val="clear" w:color="auto" w:fill="auto"/>
          </w:tcPr>
          <w:p>
            <w:pPr>
              <w:spacing w:line="360" w:lineRule="auto"/>
              <w:rPr>
                <w:color w:val="auto"/>
                <w:highlight w:val="none"/>
              </w:rPr>
            </w:pPr>
          </w:p>
        </w:tc>
        <w:tc>
          <w:tcPr>
            <w:tcW w:w="1226" w:type="dxa"/>
            <w:shd w:val="clear" w:color="auto" w:fill="auto"/>
          </w:tcPr>
          <w:p>
            <w:pPr>
              <w:spacing w:line="360" w:lineRule="auto"/>
              <w:rPr>
                <w:color w:val="auto"/>
                <w:highlight w:val="none"/>
              </w:rPr>
            </w:pPr>
          </w:p>
        </w:tc>
        <w:tc>
          <w:tcPr>
            <w:tcW w:w="851" w:type="dxa"/>
            <w:shd w:val="clear" w:color="auto" w:fill="auto"/>
          </w:tcPr>
          <w:p>
            <w:pPr>
              <w:spacing w:line="360" w:lineRule="auto"/>
              <w:rPr>
                <w:color w:val="auto"/>
                <w:highlight w:val="none"/>
              </w:rPr>
            </w:pPr>
          </w:p>
        </w:tc>
        <w:tc>
          <w:tcPr>
            <w:tcW w:w="708" w:type="dxa"/>
            <w:shd w:val="clear" w:color="auto" w:fill="auto"/>
          </w:tcPr>
          <w:p>
            <w:pPr>
              <w:spacing w:line="360" w:lineRule="auto"/>
              <w:rPr>
                <w:color w:val="auto"/>
                <w:highlight w:val="none"/>
              </w:rPr>
            </w:pPr>
          </w:p>
        </w:tc>
        <w:tc>
          <w:tcPr>
            <w:tcW w:w="709" w:type="dxa"/>
            <w:shd w:val="clear" w:color="auto" w:fill="auto"/>
          </w:tcPr>
          <w:p>
            <w:pPr>
              <w:spacing w:line="360" w:lineRule="auto"/>
              <w:rPr>
                <w:color w:val="auto"/>
                <w:highlight w:val="none"/>
              </w:rPr>
            </w:pPr>
          </w:p>
        </w:tc>
        <w:tc>
          <w:tcPr>
            <w:tcW w:w="851" w:type="dxa"/>
            <w:shd w:val="clear" w:color="auto" w:fill="auto"/>
          </w:tcPr>
          <w:p>
            <w:pPr>
              <w:spacing w:line="360" w:lineRule="auto"/>
              <w:rPr>
                <w:color w:val="auto"/>
                <w:highlight w:val="none"/>
              </w:rPr>
            </w:pPr>
          </w:p>
        </w:tc>
        <w:tc>
          <w:tcPr>
            <w:tcW w:w="1134" w:type="dxa"/>
            <w:shd w:val="clear" w:color="auto" w:fill="auto"/>
          </w:tcPr>
          <w:p>
            <w:pPr>
              <w:spacing w:line="360" w:lineRule="auto"/>
              <w:rPr>
                <w:color w:val="auto"/>
                <w:highlight w:val="none"/>
              </w:rPr>
            </w:pPr>
          </w:p>
        </w:tc>
        <w:tc>
          <w:tcPr>
            <w:tcW w:w="992" w:type="dxa"/>
            <w:shd w:val="clear" w:color="auto" w:fill="auto"/>
          </w:tcPr>
          <w:p>
            <w:pPr>
              <w:spacing w:line="360" w:lineRule="auto"/>
              <w:rPr>
                <w:color w:val="auto"/>
                <w:highlight w:val="none"/>
              </w:rPr>
            </w:pPr>
          </w:p>
        </w:tc>
        <w:tc>
          <w:tcPr>
            <w:tcW w:w="1134" w:type="dxa"/>
            <w:shd w:val="clear" w:color="auto" w:fill="auto"/>
          </w:tcPr>
          <w:p>
            <w:pPr>
              <w:spacing w:line="360" w:lineRule="auto"/>
              <w:rPr>
                <w:color w:val="auto"/>
                <w:highlight w:val="none"/>
              </w:rPr>
            </w:pPr>
          </w:p>
        </w:tc>
        <w:tc>
          <w:tcPr>
            <w:tcW w:w="992" w:type="dxa"/>
            <w:shd w:val="clear" w:color="auto" w:fill="auto"/>
          </w:tcPr>
          <w:p>
            <w:pPr>
              <w:spacing w:line="360" w:lineRule="auto"/>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58" w:type="dxa"/>
            <w:shd w:val="clear" w:color="auto" w:fill="auto"/>
          </w:tcPr>
          <w:p>
            <w:pPr>
              <w:spacing w:line="360" w:lineRule="auto"/>
              <w:rPr>
                <w:color w:val="auto"/>
                <w:highlight w:val="none"/>
              </w:rPr>
            </w:pPr>
          </w:p>
        </w:tc>
        <w:tc>
          <w:tcPr>
            <w:tcW w:w="1226" w:type="dxa"/>
            <w:shd w:val="clear" w:color="auto" w:fill="auto"/>
          </w:tcPr>
          <w:p>
            <w:pPr>
              <w:spacing w:line="360" w:lineRule="auto"/>
              <w:rPr>
                <w:color w:val="auto"/>
                <w:highlight w:val="none"/>
              </w:rPr>
            </w:pPr>
          </w:p>
        </w:tc>
        <w:tc>
          <w:tcPr>
            <w:tcW w:w="851" w:type="dxa"/>
            <w:shd w:val="clear" w:color="auto" w:fill="auto"/>
          </w:tcPr>
          <w:p>
            <w:pPr>
              <w:spacing w:line="360" w:lineRule="auto"/>
              <w:rPr>
                <w:color w:val="auto"/>
                <w:highlight w:val="none"/>
              </w:rPr>
            </w:pPr>
          </w:p>
        </w:tc>
        <w:tc>
          <w:tcPr>
            <w:tcW w:w="708" w:type="dxa"/>
            <w:shd w:val="clear" w:color="auto" w:fill="auto"/>
          </w:tcPr>
          <w:p>
            <w:pPr>
              <w:spacing w:line="360" w:lineRule="auto"/>
              <w:rPr>
                <w:color w:val="auto"/>
                <w:highlight w:val="none"/>
              </w:rPr>
            </w:pPr>
          </w:p>
        </w:tc>
        <w:tc>
          <w:tcPr>
            <w:tcW w:w="709" w:type="dxa"/>
            <w:shd w:val="clear" w:color="auto" w:fill="auto"/>
          </w:tcPr>
          <w:p>
            <w:pPr>
              <w:spacing w:line="360" w:lineRule="auto"/>
              <w:rPr>
                <w:color w:val="auto"/>
                <w:highlight w:val="none"/>
              </w:rPr>
            </w:pPr>
          </w:p>
        </w:tc>
        <w:tc>
          <w:tcPr>
            <w:tcW w:w="851" w:type="dxa"/>
            <w:shd w:val="clear" w:color="auto" w:fill="auto"/>
          </w:tcPr>
          <w:p>
            <w:pPr>
              <w:spacing w:line="360" w:lineRule="auto"/>
              <w:rPr>
                <w:color w:val="auto"/>
                <w:highlight w:val="none"/>
              </w:rPr>
            </w:pPr>
          </w:p>
        </w:tc>
        <w:tc>
          <w:tcPr>
            <w:tcW w:w="1134" w:type="dxa"/>
            <w:shd w:val="clear" w:color="auto" w:fill="auto"/>
          </w:tcPr>
          <w:p>
            <w:pPr>
              <w:spacing w:line="360" w:lineRule="auto"/>
              <w:rPr>
                <w:color w:val="auto"/>
                <w:highlight w:val="none"/>
              </w:rPr>
            </w:pPr>
          </w:p>
        </w:tc>
        <w:tc>
          <w:tcPr>
            <w:tcW w:w="992" w:type="dxa"/>
            <w:shd w:val="clear" w:color="auto" w:fill="auto"/>
          </w:tcPr>
          <w:p>
            <w:pPr>
              <w:spacing w:line="360" w:lineRule="auto"/>
              <w:rPr>
                <w:color w:val="auto"/>
                <w:highlight w:val="none"/>
              </w:rPr>
            </w:pPr>
          </w:p>
        </w:tc>
        <w:tc>
          <w:tcPr>
            <w:tcW w:w="1134" w:type="dxa"/>
            <w:shd w:val="clear" w:color="auto" w:fill="auto"/>
          </w:tcPr>
          <w:p>
            <w:pPr>
              <w:spacing w:line="360" w:lineRule="auto"/>
              <w:rPr>
                <w:color w:val="auto"/>
                <w:highlight w:val="none"/>
              </w:rPr>
            </w:pPr>
          </w:p>
        </w:tc>
        <w:tc>
          <w:tcPr>
            <w:tcW w:w="992" w:type="dxa"/>
            <w:shd w:val="clear" w:color="auto" w:fill="auto"/>
          </w:tcPr>
          <w:p>
            <w:pPr>
              <w:spacing w:line="360" w:lineRule="auto"/>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58" w:type="dxa"/>
            <w:shd w:val="clear" w:color="auto" w:fill="auto"/>
          </w:tcPr>
          <w:p>
            <w:pPr>
              <w:spacing w:line="360" w:lineRule="auto"/>
              <w:rPr>
                <w:color w:val="auto"/>
                <w:highlight w:val="none"/>
              </w:rPr>
            </w:pPr>
          </w:p>
        </w:tc>
        <w:tc>
          <w:tcPr>
            <w:tcW w:w="1226" w:type="dxa"/>
            <w:shd w:val="clear" w:color="auto" w:fill="auto"/>
          </w:tcPr>
          <w:p>
            <w:pPr>
              <w:spacing w:line="360" w:lineRule="auto"/>
              <w:rPr>
                <w:color w:val="auto"/>
                <w:highlight w:val="none"/>
              </w:rPr>
            </w:pPr>
          </w:p>
        </w:tc>
        <w:tc>
          <w:tcPr>
            <w:tcW w:w="851" w:type="dxa"/>
            <w:shd w:val="clear" w:color="auto" w:fill="auto"/>
          </w:tcPr>
          <w:p>
            <w:pPr>
              <w:spacing w:line="360" w:lineRule="auto"/>
              <w:rPr>
                <w:color w:val="auto"/>
                <w:highlight w:val="none"/>
              </w:rPr>
            </w:pPr>
          </w:p>
        </w:tc>
        <w:tc>
          <w:tcPr>
            <w:tcW w:w="708" w:type="dxa"/>
            <w:shd w:val="clear" w:color="auto" w:fill="auto"/>
          </w:tcPr>
          <w:p>
            <w:pPr>
              <w:spacing w:line="360" w:lineRule="auto"/>
              <w:rPr>
                <w:color w:val="auto"/>
                <w:highlight w:val="none"/>
              </w:rPr>
            </w:pPr>
          </w:p>
        </w:tc>
        <w:tc>
          <w:tcPr>
            <w:tcW w:w="709" w:type="dxa"/>
            <w:shd w:val="clear" w:color="auto" w:fill="auto"/>
          </w:tcPr>
          <w:p>
            <w:pPr>
              <w:spacing w:line="360" w:lineRule="auto"/>
              <w:rPr>
                <w:color w:val="auto"/>
                <w:highlight w:val="none"/>
              </w:rPr>
            </w:pPr>
          </w:p>
        </w:tc>
        <w:tc>
          <w:tcPr>
            <w:tcW w:w="851" w:type="dxa"/>
            <w:shd w:val="clear" w:color="auto" w:fill="auto"/>
          </w:tcPr>
          <w:p>
            <w:pPr>
              <w:spacing w:line="360" w:lineRule="auto"/>
              <w:rPr>
                <w:color w:val="auto"/>
                <w:highlight w:val="none"/>
              </w:rPr>
            </w:pPr>
          </w:p>
        </w:tc>
        <w:tc>
          <w:tcPr>
            <w:tcW w:w="1134" w:type="dxa"/>
            <w:shd w:val="clear" w:color="auto" w:fill="auto"/>
          </w:tcPr>
          <w:p>
            <w:pPr>
              <w:spacing w:line="360" w:lineRule="auto"/>
              <w:rPr>
                <w:color w:val="auto"/>
                <w:highlight w:val="none"/>
              </w:rPr>
            </w:pPr>
          </w:p>
        </w:tc>
        <w:tc>
          <w:tcPr>
            <w:tcW w:w="992" w:type="dxa"/>
            <w:shd w:val="clear" w:color="auto" w:fill="auto"/>
          </w:tcPr>
          <w:p>
            <w:pPr>
              <w:spacing w:line="360" w:lineRule="auto"/>
              <w:rPr>
                <w:color w:val="auto"/>
                <w:highlight w:val="none"/>
              </w:rPr>
            </w:pPr>
          </w:p>
        </w:tc>
        <w:tc>
          <w:tcPr>
            <w:tcW w:w="1134" w:type="dxa"/>
            <w:shd w:val="clear" w:color="auto" w:fill="auto"/>
          </w:tcPr>
          <w:p>
            <w:pPr>
              <w:spacing w:line="360" w:lineRule="auto"/>
              <w:rPr>
                <w:color w:val="auto"/>
                <w:highlight w:val="none"/>
              </w:rPr>
            </w:pPr>
          </w:p>
        </w:tc>
        <w:tc>
          <w:tcPr>
            <w:tcW w:w="992" w:type="dxa"/>
            <w:shd w:val="clear" w:color="auto" w:fill="auto"/>
          </w:tcPr>
          <w:p>
            <w:pPr>
              <w:spacing w:line="360" w:lineRule="auto"/>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58" w:type="dxa"/>
            <w:shd w:val="clear" w:color="auto" w:fill="auto"/>
          </w:tcPr>
          <w:p>
            <w:pPr>
              <w:spacing w:line="360" w:lineRule="auto"/>
              <w:rPr>
                <w:color w:val="auto"/>
                <w:highlight w:val="none"/>
              </w:rPr>
            </w:pPr>
          </w:p>
        </w:tc>
        <w:tc>
          <w:tcPr>
            <w:tcW w:w="1226" w:type="dxa"/>
            <w:shd w:val="clear" w:color="auto" w:fill="auto"/>
          </w:tcPr>
          <w:p>
            <w:pPr>
              <w:spacing w:line="360" w:lineRule="auto"/>
              <w:rPr>
                <w:color w:val="auto"/>
                <w:highlight w:val="none"/>
              </w:rPr>
            </w:pPr>
          </w:p>
        </w:tc>
        <w:tc>
          <w:tcPr>
            <w:tcW w:w="851" w:type="dxa"/>
            <w:shd w:val="clear" w:color="auto" w:fill="auto"/>
          </w:tcPr>
          <w:p>
            <w:pPr>
              <w:spacing w:line="360" w:lineRule="auto"/>
              <w:rPr>
                <w:color w:val="auto"/>
                <w:highlight w:val="none"/>
              </w:rPr>
            </w:pPr>
          </w:p>
        </w:tc>
        <w:tc>
          <w:tcPr>
            <w:tcW w:w="708" w:type="dxa"/>
            <w:shd w:val="clear" w:color="auto" w:fill="auto"/>
          </w:tcPr>
          <w:p>
            <w:pPr>
              <w:spacing w:line="360" w:lineRule="auto"/>
              <w:rPr>
                <w:color w:val="auto"/>
                <w:highlight w:val="none"/>
              </w:rPr>
            </w:pPr>
          </w:p>
        </w:tc>
        <w:tc>
          <w:tcPr>
            <w:tcW w:w="709" w:type="dxa"/>
            <w:shd w:val="clear" w:color="auto" w:fill="auto"/>
          </w:tcPr>
          <w:p>
            <w:pPr>
              <w:spacing w:line="360" w:lineRule="auto"/>
              <w:rPr>
                <w:color w:val="auto"/>
                <w:highlight w:val="none"/>
              </w:rPr>
            </w:pPr>
          </w:p>
        </w:tc>
        <w:tc>
          <w:tcPr>
            <w:tcW w:w="851" w:type="dxa"/>
            <w:shd w:val="clear" w:color="auto" w:fill="auto"/>
          </w:tcPr>
          <w:p>
            <w:pPr>
              <w:spacing w:line="360" w:lineRule="auto"/>
              <w:rPr>
                <w:color w:val="auto"/>
                <w:highlight w:val="none"/>
              </w:rPr>
            </w:pPr>
          </w:p>
        </w:tc>
        <w:tc>
          <w:tcPr>
            <w:tcW w:w="1134" w:type="dxa"/>
            <w:shd w:val="clear" w:color="auto" w:fill="auto"/>
          </w:tcPr>
          <w:p>
            <w:pPr>
              <w:spacing w:line="360" w:lineRule="auto"/>
              <w:rPr>
                <w:color w:val="auto"/>
                <w:highlight w:val="none"/>
              </w:rPr>
            </w:pPr>
          </w:p>
        </w:tc>
        <w:tc>
          <w:tcPr>
            <w:tcW w:w="992" w:type="dxa"/>
            <w:shd w:val="clear" w:color="auto" w:fill="auto"/>
          </w:tcPr>
          <w:p>
            <w:pPr>
              <w:spacing w:line="360" w:lineRule="auto"/>
              <w:rPr>
                <w:color w:val="auto"/>
                <w:highlight w:val="none"/>
              </w:rPr>
            </w:pPr>
          </w:p>
        </w:tc>
        <w:tc>
          <w:tcPr>
            <w:tcW w:w="1134" w:type="dxa"/>
            <w:shd w:val="clear" w:color="auto" w:fill="auto"/>
          </w:tcPr>
          <w:p>
            <w:pPr>
              <w:spacing w:line="360" w:lineRule="auto"/>
              <w:rPr>
                <w:color w:val="auto"/>
                <w:highlight w:val="none"/>
              </w:rPr>
            </w:pPr>
          </w:p>
        </w:tc>
        <w:tc>
          <w:tcPr>
            <w:tcW w:w="992" w:type="dxa"/>
            <w:shd w:val="clear" w:color="auto" w:fill="auto"/>
          </w:tcPr>
          <w:p>
            <w:pPr>
              <w:spacing w:line="360" w:lineRule="auto"/>
              <w:rPr>
                <w:color w:val="auto"/>
                <w:highlight w:val="none"/>
              </w:rPr>
            </w:pPr>
          </w:p>
        </w:tc>
      </w:tr>
    </w:tbl>
    <w:p>
      <w:pPr>
        <w:rPr>
          <w:color w:val="auto"/>
          <w:highlight w:val="none"/>
        </w:rPr>
      </w:pPr>
    </w:p>
    <w:p>
      <w:pPr>
        <w:rPr>
          <w:color w:val="auto"/>
          <w:highlight w:val="none"/>
        </w:rPr>
      </w:pPr>
    </w:p>
    <w:p>
      <w:pPr>
        <w:rPr>
          <w:color w:val="auto"/>
          <w:highlight w:val="none"/>
        </w:rPr>
      </w:pPr>
      <w:r>
        <w:rPr>
          <w:rFonts w:hint="eastAsia" w:cs="宋体"/>
          <w:color w:val="auto"/>
          <w:highlight w:val="none"/>
        </w:rPr>
        <w:t>附表二：拟配备本工程的试验和检测仪器设备表</w:t>
      </w:r>
    </w:p>
    <w:tbl>
      <w:tblPr>
        <w:tblStyle w:val="42"/>
        <w:tblW w:w="93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1134"/>
        <w:gridCol w:w="1276"/>
        <w:gridCol w:w="1134"/>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8" w:type="dxa"/>
            <w:shd w:val="clear" w:color="auto" w:fill="auto"/>
            <w:vAlign w:val="center"/>
          </w:tcPr>
          <w:p>
            <w:pPr>
              <w:jc w:val="center"/>
              <w:rPr>
                <w:color w:val="auto"/>
                <w:highlight w:val="none"/>
              </w:rPr>
            </w:pPr>
            <w:r>
              <w:rPr>
                <w:rFonts w:hint="eastAsia" w:cs="宋体"/>
                <w:color w:val="auto"/>
                <w:highlight w:val="none"/>
              </w:rPr>
              <w:t>序号</w:t>
            </w:r>
          </w:p>
        </w:tc>
        <w:tc>
          <w:tcPr>
            <w:tcW w:w="1226" w:type="dxa"/>
            <w:shd w:val="clear" w:color="auto" w:fill="auto"/>
            <w:vAlign w:val="center"/>
          </w:tcPr>
          <w:p>
            <w:pPr>
              <w:jc w:val="center"/>
              <w:rPr>
                <w:color w:val="auto"/>
                <w:highlight w:val="none"/>
              </w:rPr>
            </w:pPr>
            <w:r>
              <w:rPr>
                <w:rFonts w:hint="eastAsia" w:cs="宋体"/>
                <w:color w:val="auto"/>
                <w:highlight w:val="none"/>
              </w:rPr>
              <w:t>仪器设备名称</w:t>
            </w:r>
          </w:p>
        </w:tc>
        <w:tc>
          <w:tcPr>
            <w:tcW w:w="851" w:type="dxa"/>
            <w:shd w:val="clear" w:color="auto" w:fill="auto"/>
            <w:vAlign w:val="center"/>
          </w:tcPr>
          <w:p>
            <w:pPr>
              <w:jc w:val="center"/>
              <w:rPr>
                <w:color w:val="auto"/>
                <w:highlight w:val="none"/>
              </w:rPr>
            </w:pPr>
            <w:r>
              <w:rPr>
                <w:rFonts w:hint="eastAsia" w:cs="宋体"/>
                <w:color w:val="auto"/>
                <w:highlight w:val="none"/>
              </w:rPr>
              <w:t>型号</w:t>
            </w:r>
          </w:p>
          <w:p>
            <w:pPr>
              <w:jc w:val="center"/>
              <w:rPr>
                <w:color w:val="auto"/>
                <w:highlight w:val="none"/>
              </w:rPr>
            </w:pPr>
            <w:r>
              <w:rPr>
                <w:rFonts w:hint="eastAsia" w:cs="宋体"/>
                <w:color w:val="auto"/>
                <w:highlight w:val="none"/>
              </w:rPr>
              <w:t>规格</w:t>
            </w:r>
          </w:p>
        </w:tc>
        <w:tc>
          <w:tcPr>
            <w:tcW w:w="708" w:type="dxa"/>
            <w:shd w:val="clear" w:color="auto" w:fill="auto"/>
            <w:vAlign w:val="center"/>
          </w:tcPr>
          <w:p>
            <w:pPr>
              <w:jc w:val="center"/>
              <w:rPr>
                <w:color w:val="auto"/>
                <w:highlight w:val="none"/>
              </w:rPr>
            </w:pPr>
            <w:r>
              <w:rPr>
                <w:rFonts w:hint="eastAsia" w:cs="宋体"/>
                <w:color w:val="auto"/>
                <w:highlight w:val="none"/>
              </w:rPr>
              <w:t>数量</w:t>
            </w:r>
          </w:p>
        </w:tc>
        <w:tc>
          <w:tcPr>
            <w:tcW w:w="709" w:type="dxa"/>
            <w:shd w:val="clear" w:color="auto" w:fill="auto"/>
            <w:vAlign w:val="center"/>
          </w:tcPr>
          <w:p>
            <w:pPr>
              <w:jc w:val="center"/>
              <w:rPr>
                <w:color w:val="auto"/>
                <w:highlight w:val="none"/>
              </w:rPr>
            </w:pPr>
            <w:r>
              <w:rPr>
                <w:rFonts w:hint="eastAsia" w:cs="宋体"/>
                <w:color w:val="auto"/>
                <w:highlight w:val="none"/>
              </w:rPr>
              <w:t>国别</w:t>
            </w:r>
          </w:p>
          <w:p>
            <w:pPr>
              <w:jc w:val="center"/>
              <w:rPr>
                <w:color w:val="auto"/>
                <w:highlight w:val="none"/>
              </w:rPr>
            </w:pPr>
            <w:r>
              <w:rPr>
                <w:rFonts w:hint="eastAsia" w:cs="宋体"/>
                <w:color w:val="auto"/>
                <w:highlight w:val="none"/>
              </w:rPr>
              <w:t>产地</w:t>
            </w:r>
          </w:p>
        </w:tc>
        <w:tc>
          <w:tcPr>
            <w:tcW w:w="1134" w:type="dxa"/>
            <w:shd w:val="clear" w:color="auto" w:fill="auto"/>
            <w:vAlign w:val="center"/>
          </w:tcPr>
          <w:p>
            <w:pPr>
              <w:jc w:val="center"/>
              <w:rPr>
                <w:color w:val="auto"/>
                <w:highlight w:val="none"/>
              </w:rPr>
            </w:pPr>
            <w:r>
              <w:rPr>
                <w:rFonts w:hint="eastAsia" w:cs="宋体"/>
                <w:color w:val="auto"/>
                <w:highlight w:val="none"/>
              </w:rPr>
              <w:t>制造年份</w:t>
            </w:r>
          </w:p>
        </w:tc>
        <w:tc>
          <w:tcPr>
            <w:tcW w:w="1276" w:type="dxa"/>
            <w:shd w:val="clear" w:color="auto" w:fill="auto"/>
            <w:vAlign w:val="center"/>
          </w:tcPr>
          <w:p>
            <w:pPr>
              <w:jc w:val="center"/>
              <w:rPr>
                <w:color w:val="auto"/>
                <w:highlight w:val="none"/>
              </w:rPr>
            </w:pPr>
            <w:r>
              <w:rPr>
                <w:rFonts w:hint="eastAsia" w:cs="宋体"/>
                <w:color w:val="auto"/>
                <w:highlight w:val="none"/>
              </w:rPr>
              <w:t>已使用</w:t>
            </w:r>
          </w:p>
          <w:p>
            <w:pPr>
              <w:jc w:val="center"/>
              <w:rPr>
                <w:color w:val="auto"/>
                <w:highlight w:val="none"/>
              </w:rPr>
            </w:pPr>
            <w:r>
              <w:rPr>
                <w:rFonts w:hint="eastAsia" w:cs="宋体"/>
                <w:color w:val="auto"/>
                <w:highlight w:val="none"/>
              </w:rPr>
              <w:t>台时数</w:t>
            </w:r>
          </w:p>
        </w:tc>
        <w:tc>
          <w:tcPr>
            <w:tcW w:w="1134" w:type="dxa"/>
            <w:shd w:val="clear" w:color="auto" w:fill="auto"/>
            <w:vAlign w:val="center"/>
          </w:tcPr>
          <w:p>
            <w:pPr>
              <w:jc w:val="center"/>
              <w:rPr>
                <w:color w:val="auto"/>
                <w:highlight w:val="none"/>
              </w:rPr>
            </w:pPr>
            <w:r>
              <w:rPr>
                <w:rFonts w:hint="eastAsia" w:cs="宋体"/>
                <w:color w:val="auto"/>
                <w:highlight w:val="none"/>
              </w:rPr>
              <w:t>用途</w:t>
            </w:r>
          </w:p>
        </w:tc>
        <w:tc>
          <w:tcPr>
            <w:tcW w:w="1559" w:type="dxa"/>
            <w:shd w:val="clear" w:color="auto" w:fill="auto"/>
            <w:vAlign w:val="center"/>
          </w:tcPr>
          <w:p>
            <w:pPr>
              <w:jc w:val="center"/>
              <w:rPr>
                <w:color w:val="auto"/>
                <w:highlight w:val="none"/>
              </w:rPr>
            </w:pPr>
            <w:r>
              <w:rPr>
                <w:rFonts w:hint="eastAsia" w:cs="宋体"/>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8" w:type="dxa"/>
            <w:shd w:val="clear" w:color="auto" w:fill="auto"/>
            <w:vAlign w:val="center"/>
          </w:tcPr>
          <w:p>
            <w:pPr>
              <w:spacing w:line="360" w:lineRule="auto"/>
              <w:ind w:firstLine="420" w:firstLineChars="200"/>
              <w:rPr>
                <w:color w:val="auto"/>
                <w:highlight w:val="none"/>
              </w:rPr>
            </w:pPr>
          </w:p>
        </w:tc>
        <w:tc>
          <w:tcPr>
            <w:tcW w:w="1226" w:type="dxa"/>
            <w:shd w:val="clear" w:color="auto" w:fill="auto"/>
            <w:vAlign w:val="center"/>
          </w:tcPr>
          <w:p>
            <w:pPr>
              <w:spacing w:line="360" w:lineRule="auto"/>
              <w:ind w:firstLine="420" w:firstLineChars="200"/>
              <w:rPr>
                <w:color w:val="auto"/>
                <w:highlight w:val="none"/>
              </w:rPr>
            </w:pPr>
          </w:p>
        </w:tc>
        <w:tc>
          <w:tcPr>
            <w:tcW w:w="851" w:type="dxa"/>
            <w:shd w:val="clear" w:color="auto" w:fill="auto"/>
            <w:vAlign w:val="center"/>
          </w:tcPr>
          <w:p>
            <w:pPr>
              <w:spacing w:line="360" w:lineRule="auto"/>
              <w:ind w:firstLine="420" w:firstLineChars="200"/>
              <w:rPr>
                <w:color w:val="auto"/>
                <w:highlight w:val="none"/>
              </w:rPr>
            </w:pPr>
          </w:p>
        </w:tc>
        <w:tc>
          <w:tcPr>
            <w:tcW w:w="708" w:type="dxa"/>
            <w:shd w:val="clear" w:color="auto" w:fill="auto"/>
            <w:vAlign w:val="center"/>
          </w:tcPr>
          <w:p>
            <w:pPr>
              <w:spacing w:line="360" w:lineRule="auto"/>
              <w:ind w:firstLine="420" w:firstLineChars="200"/>
              <w:rPr>
                <w:color w:val="auto"/>
                <w:highlight w:val="none"/>
              </w:rPr>
            </w:pPr>
          </w:p>
        </w:tc>
        <w:tc>
          <w:tcPr>
            <w:tcW w:w="709" w:type="dxa"/>
            <w:shd w:val="clear" w:color="auto" w:fill="auto"/>
            <w:vAlign w:val="center"/>
          </w:tcPr>
          <w:p>
            <w:pPr>
              <w:spacing w:line="360" w:lineRule="auto"/>
              <w:ind w:firstLine="420" w:firstLineChars="200"/>
              <w:rPr>
                <w:color w:val="auto"/>
                <w:highlight w:val="none"/>
              </w:rPr>
            </w:pPr>
          </w:p>
        </w:tc>
        <w:tc>
          <w:tcPr>
            <w:tcW w:w="1134" w:type="dxa"/>
            <w:shd w:val="clear" w:color="auto" w:fill="auto"/>
            <w:vAlign w:val="center"/>
          </w:tcPr>
          <w:p>
            <w:pPr>
              <w:spacing w:line="360" w:lineRule="auto"/>
              <w:ind w:firstLine="420" w:firstLineChars="200"/>
              <w:rPr>
                <w:color w:val="auto"/>
                <w:highlight w:val="none"/>
              </w:rPr>
            </w:pPr>
          </w:p>
        </w:tc>
        <w:tc>
          <w:tcPr>
            <w:tcW w:w="1276" w:type="dxa"/>
            <w:shd w:val="clear" w:color="auto" w:fill="auto"/>
            <w:vAlign w:val="center"/>
          </w:tcPr>
          <w:p>
            <w:pPr>
              <w:spacing w:line="360" w:lineRule="auto"/>
              <w:ind w:firstLine="420" w:firstLineChars="200"/>
              <w:rPr>
                <w:color w:val="auto"/>
                <w:highlight w:val="none"/>
              </w:rPr>
            </w:pPr>
          </w:p>
        </w:tc>
        <w:tc>
          <w:tcPr>
            <w:tcW w:w="1134" w:type="dxa"/>
            <w:shd w:val="clear" w:color="auto" w:fill="auto"/>
            <w:vAlign w:val="center"/>
          </w:tcPr>
          <w:p>
            <w:pPr>
              <w:spacing w:line="360" w:lineRule="auto"/>
              <w:ind w:firstLine="420" w:firstLineChars="200"/>
              <w:rPr>
                <w:color w:val="auto"/>
                <w:highlight w:val="none"/>
              </w:rPr>
            </w:pPr>
          </w:p>
        </w:tc>
        <w:tc>
          <w:tcPr>
            <w:tcW w:w="1559" w:type="dxa"/>
            <w:shd w:val="clear" w:color="auto" w:fill="auto"/>
            <w:vAlign w:val="center"/>
          </w:tcPr>
          <w:p>
            <w:pPr>
              <w:spacing w:line="360" w:lineRule="auto"/>
              <w:ind w:firstLine="420" w:firstLineChars="20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8" w:type="dxa"/>
            <w:shd w:val="clear" w:color="auto" w:fill="auto"/>
            <w:vAlign w:val="center"/>
          </w:tcPr>
          <w:p>
            <w:pPr>
              <w:spacing w:line="360" w:lineRule="auto"/>
              <w:ind w:firstLine="420" w:firstLineChars="200"/>
              <w:rPr>
                <w:color w:val="auto"/>
                <w:highlight w:val="none"/>
              </w:rPr>
            </w:pPr>
          </w:p>
        </w:tc>
        <w:tc>
          <w:tcPr>
            <w:tcW w:w="1226" w:type="dxa"/>
            <w:shd w:val="clear" w:color="auto" w:fill="auto"/>
            <w:vAlign w:val="center"/>
          </w:tcPr>
          <w:p>
            <w:pPr>
              <w:spacing w:line="360" w:lineRule="auto"/>
              <w:ind w:firstLine="420" w:firstLineChars="200"/>
              <w:rPr>
                <w:color w:val="auto"/>
                <w:highlight w:val="none"/>
              </w:rPr>
            </w:pPr>
          </w:p>
        </w:tc>
        <w:tc>
          <w:tcPr>
            <w:tcW w:w="851" w:type="dxa"/>
            <w:shd w:val="clear" w:color="auto" w:fill="auto"/>
            <w:vAlign w:val="center"/>
          </w:tcPr>
          <w:p>
            <w:pPr>
              <w:spacing w:line="360" w:lineRule="auto"/>
              <w:ind w:firstLine="420" w:firstLineChars="200"/>
              <w:rPr>
                <w:color w:val="auto"/>
                <w:highlight w:val="none"/>
              </w:rPr>
            </w:pPr>
          </w:p>
        </w:tc>
        <w:tc>
          <w:tcPr>
            <w:tcW w:w="708" w:type="dxa"/>
            <w:shd w:val="clear" w:color="auto" w:fill="auto"/>
            <w:vAlign w:val="center"/>
          </w:tcPr>
          <w:p>
            <w:pPr>
              <w:spacing w:line="360" w:lineRule="auto"/>
              <w:ind w:firstLine="420" w:firstLineChars="200"/>
              <w:rPr>
                <w:color w:val="auto"/>
                <w:highlight w:val="none"/>
              </w:rPr>
            </w:pPr>
          </w:p>
        </w:tc>
        <w:tc>
          <w:tcPr>
            <w:tcW w:w="709" w:type="dxa"/>
            <w:shd w:val="clear" w:color="auto" w:fill="auto"/>
            <w:vAlign w:val="center"/>
          </w:tcPr>
          <w:p>
            <w:pPr>
              <w:spacing w:line="360" w:lineRule="auto"/>
              <w:ind w:firstLine="420" w:firstLineChars="200"/>
              <w:rPr>
                <w:color w:val="auto"/>
                <w:highlight w:val="none"/>
              </w:rPr>
            </w:pPr>
          </w:p>
        </w:tc>
        <w:tc>
          <w:tcPr>
            <w:tcW w:w="1134" w:type="dxa"/>
            <w:shd w:val="clear" w:color="auto" w:fill="auto"/>
            <w:vAlign w:val="center"/>
          </w:tcPr>
          <w:p>
            <w:pPr>
              <w:spacing w:line="360" w:lineRule="auto"/>
              <w:ind w:firstLine="420" w:firstLineChars="200"/>
              <w:rPr>
                <w:color w:val="auto"/>
                <w:highlight w:val="none"/>
              </w:rPr>
            </w:pPr>
          </w:p>
        </w:tc>
        <w:tc>
          <w:tcPr>
            <w:tcW w:w="1276" w:type="dxa"/>
            <w:shd w:val="clear" w:color="auto" w:fill="auto"/>
            <w:vAlign w:val="center"/>
          </w:tcPr>
          <w:p>
            <w:pPr>
              <w:spacing w:line="360" w:lineRule="auto"/>
              <w:ind w:firstLine="420" w:firstLineChars="200"/>
              <w:rPr>
                <w:color w:val="auto"/>
                <w:highlight w:val="none"/>
              </w:rPr>
            </w:pPr>
          </w:p>
        </w:tc>
        <w:tc>
          <w:tcPr>
            <w:tcW w:w="1134" w:type="dxa"/>
            <w:shd w:val="clear" w:color="auto" w:fill="auto"/>
            <w:vAlign w:val="center"/>
          </w:tcPr>
          <w:p>
            <w:pPr>
              <w:spacing w:line="360" w:lineRule="auto"/>
              <w:ind w:firstLine="420" w:firstLineChars="200"/>
              <w:rPr>
                <w:color w:val="auto"/>
                <w:highlight w:val="none"/>
              </w:rPr>
            </w:pPr>
          </w:p>
        </w:tc>
        <w:tc>
          <w:tcPr>
            <w:tcW w:w="1559" w:type="dxa"/>
            <w:shd w:val="clear" w:color="auto" w:fill="auto"/>
            <w:vAlign w:val="center"/>
          </w:tcPr>
          <w:p>
            <w:pPr>
              <w:spacing w:line="360" w:lineRule="auto"/>
              <w:ind w:firstLine="420" w:firstLineChars="20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8" w:type="dxa"/>
            <w:shd w:val="clear" w:color="auto" w:fill="auto"/>
            <w:vAlign w:val="center"/>
          </w:tcPr>
          <w:p>
            <w:pPr>
              <w:spacing w:line="360" w:lineRule="auto"/>
              <w:ind w:firstLine="420" w:firstLineChars="200"/>
              <w:rPr>
                <w:color w:val="auto"/>
                <w:highlight w:val="none"/>
              </w:rPr>
            </w:pPr>
          </w:p>
        </w:tc>
        <w:tc>
          <w:tcPr>
            <w:tcW w:w="1226" w:type="dxa"/>
            <w:shd w:val="clear" w:color="auto" w:fill="auto"/>
            <w:vAlign w:val="center"/>
          </w:tcPr>
          <w:p>
            <w:pPr>
              <w:spacing w:line="360" w:lineRule="auto"/>
              <w:ind w:firstLine="420" w:firstLineChars="200"/>
              <w:rPr>
                <w:color w:val="auto"/>
                <w:highlight w:val="none"/>
              </w:rPr>
            </w:pPr>
          </w:p>
        </w:tc>
        <w:tc>
          <w:tcPr>
            <w:tcW w:w="851" w:type="dxa"/>
            <w:shd w:val="clear" w:color="auto" w:fill="auto"/>
            <w:vAlign w:val="center"/>
          </w:tcPr>
          <w:p>
            <w:pPr>
              <w:spacing w:line="360" w:lineRule="auto"/>
              <w:ind w:firstLine="420" w:firstLineChars="200"/>
              <w:rPr>
                <w:color w:val="auto"/>
                <w:highlight w:val="none"/>
              </w:rPr>
            </w:pPr>
          </w:p>
        </w:tc>
        <w:tc>
          <w:tcPr>
            <w:tcW w:w="708" w:type="dxa"/>
            <w:shd w:val="clear" w:color="auto" w:fill="auto"/>
            <w:vAlign w:val="center"/>
          </w:tcPr>
          <w:p>
            <w:pPr>
              <w:spacing w:line="360" w:lineRule="auto"/>
              <w:ind w:firstLine="420" w:firstLineChars="200"/>
              <w:rPr>
                <w:color w:val="auto"/>
                <w:highlight w:val="none"/>
              </w:rPr>
            </w:pPr>
          </w:p>
        </w:tc>
        <w:tc>
          <w:tcPr>
            <w:tcW w:w="709" w:type="dxa"/>
            <w:shd w:val="clear" w:color="auto" w:fill="auto"/>
            <w:vAlign w:val="center"/>
          </w:tcPr>
          <w:p>
            <w:pPr>
              <w:spacing w:line="360" w:lineRule="auto"/>
              <w:ind w:firstLine="420" w:firstLineChars="200"/>
              <w:rPr>
                <w:color w:val="auto"/>
                <w:highlight w:val="none"/>
              </w:rPr>
            </w:pPr>
          </w:p>
        </w:tc>
        <w:tc>
          <w:tcPr>
            <w:tcW w:w="1134" w:type="dxa"/>
            <w:shd w:val="clear" w:color="auto" w:fill="auto"/>
            <w:vAlign w:val="center"/>
          </w:tcPr>
          <w:p>
            <w:pPr>
              <w:spacing w:line="360" w:lineRule="auto"/>
              <w:ind w:firstLine="420" w:firstLineChars="200"/>
              <w:rPr>
                <w:color w:val="auto"/>
                <w:highlight w:val="none"/>
              </w:rPr>
            </w:pPr>
          </w:p>
        </w:tc>
        <w:tc>
          <w:tcPr>
            <w:tcW w:w="1276" w:type="dxa"/>
            <w:shd w:val="clear" w:color="auto" w:fill="auto"/>
            <w:vAlign w:val="center"/>
          </w:tcPr>
          <w:p>
            <w:pPr>
              <w:spacing w:line="360" w:lineRule="auto"/>
              <w:ind w:firstLine="420" w:firstLineChars="200"/>
              <w:rPr>
                <w:color w:val="auto"/>
                <w:highlight w:val="none"/>
              </w:rPr>
            </w:pPr>
          </w:p>
        </w:tc>
        <w:tc>
          <w:tcPr>
            <w:tcW w:w="1134" w:type="dxa"/>
            <w:shd w:val="clear" w:color="auto" w:fill="auto"/>
            <w:vAlign w:val="center"/>
          </w:tcPr>
          <w:p>
            <w:pPr>
              <w:spacing w:line="360" w:lineRule="auto"/>
              <w:ind w:firstLine="420" w:firstLineChars="200"/>
              <w:rPr>
                <w:color w:val="auto"/>
                <w:highlight w:val="none"/>
              </w:rPr>
            </w:pPr>
          </w:p>
        </w:tc>
        <w:tc>
          <w:tcPr>
            <w:tcW w:w="1559" w:type="dxa"/>
            <w:shd w:val="clear" w:color="auto" w:fill="auto"/>
            <w:vAlign w:val="center"/>
          </w:tcPr>
          <w:p>
            <w:pPr>
              <w:spacing w:line="360" w:lineRule="auto"/>
              <w:ind w:firstLine="420" w:firstLineChars="20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8" w:type="dxa"/>
            <w:shd w:val="clear" w:color="auto" w:fill="auto"/>
            <w:vAlign w:val="center"/>
          </w:tcPr>
          <w:p>
            <w:pPr>
              <w:spacing w:line="360" w:lineRule="auto"/>
              <w:ind w:firstLine="420" w:firstLineChars="200"/>
              <w:rPr>
                <w:color w:val="auto"/>
                <w:highlight w:val="none"/>
              </w:rPr>
            </w:pPr>
          </w:p>
        </w:tc>
        <w:tc>
          <w:tcPr>
            <w:tcW w:w="1226" w:type="dxa"/>
            <w:shd w:val="clear" w:color="auto" w:fill="auto"/>
            <w:vAlign w:val="center"/>
          </w:tcPr>
          <w:p>
            <w:pPr>
              <w:spacing w:line="360" w:lineRule="auto"/>
              <w:ind w:firstLine="420" w:firstLineChars="200"/>
              <w:rPr>
                <w:color w:val="auto"/>
                <w:highlight w:val="none"/>
              </w:rPr>
            </w:pPr>
          </w:p>
        </w:tc>
        <w:tc>
          <w:tcPr>
            <w:tcW w:w="851" w:type="dxa"/>
            <w:shd w:val="clear" w:color="auto" w:fill="auto"/>
            <w:vAlign w:val="center"/>
          </w:tcPr>
          <w:p>
            <w:pPr>
              <w:spacing w:line="360" w:lineRule="auto"/>
              <w:ind w:firstLine="420" w:firstLineChars="200"/>
              <w:rPr>
                <w:color w:val="auto"/>
                <w:highlight w:val="none"/>
              </w:rPr>
            </w:pPr>
          </w:p>
        </w:tc>
        <w:tc>
          <w:tcPr>
            <w:tcW w:w="708" w:type="dxa"/>
            <w:shd w:val="clear" w:color="auto" w:fill="auto"/>
            <w:vAlign w:val="center"/>
          </w:tcPr>
          <w:p>
            <w:pPr>
              <w:spacing w:line="360" w:lineRule="auto"/>
              <w:ind w:firstLine="420" w:firstLineChars="200"/>
              <w:rPr>
                <w:color w:val="auto"/>
                <w:highlight w:val="none"/>
              </w:rPr>
            </w:pPr>
          </w:p>
        </w:tc>
        <w:tc>
          <w:tcPr>
            <w:tcW w:w="709" w:type="dxa"/>
            <w:shd w:val="clear" w:color="auto" w:fill="auto"/>
            <w:vAlign w:val="center"/>
          </w:tcPr>
          <w:p>
            <w:pPr>
              <w:spacing w:line="360" w:lineRule="auto"/>
              <w:ind w:firstLine="420" w:firstLineChars="200"/>
              <w:rPr>
                <w:color w:val="auto"/>
                <w:highlight w:val="none"/>
              </w:rPr>
            </w:pPr>
          </w:p>
        </w:tc>
        <w:tc>
          <w:tcPr>
            <w:tcW w:w="1134" w:type="dxa"/>
            <w:shd w:val="clear" w:color="auto" w:fill="auto"/>
            <w:vAlign w:val="center"/>
          </w:tcPr>
          <w:p>
            <w:pPr>
              <w:spacing w:line="360" w:lineRule="auto"/>
              <w:ind w:firstLine="420" w:firstLineChars="200"/>
              <w:rPr>
                <w:color w:val="auto"/>
                <w:highlight w:val="none"/>
              </w:rPr>
            </w:pPr>
          </w:p>
        </w:tc>
        <w:tc>
          <w:tcPr>
            <w:tcW w:w="1276" w:type="dxa"/>
            <w:shd w:val="clear" w:color="auto" w:fill="auto"/>
            <w:vAlign w:val="center"/>
          </w:tcPr>
          <w:p>
            <w:pPr>
              <w:spacing w:line="360" w:lineRule="auto"/>
              <w:ind w:firstLine="420" w:firstLineChars="200"/>
              <w:rPr>
                <w:color w:val="auto"/>
                <w:highlight w:val="none"/>
              </w:rPr>
            </w:pPr>
          </w:p>
        </w:tc>
        <w:tc>
          <w:tcPr>
            <w:tcW w:w="1134" w:type="dxa"/>
            <w:shd w:val="clear" w:color="auto" w:fill="auto"/>
            <w:vAlign w:val="center"/>
          </w:tcPr>
          <w:p>
            <w:pPr>
              <w:spacing w:line="360" w:lineRule="auto"/>
              <w:ind w:firstLine="420" w:firstLineChars="200"/>
              <w:rPr>
                <w:color w:val="auto"/>
                <w:highlight w:val="none"/>
              </w:rPr>
            </w:pPr>
          </w:p>
        </w:tc>
        <w:tc>
          <w:tcPr>
            <w:tcW w:w="1559" w:type="dxa"/>
            <w:shd w:val="clear" w:color="auto" w:fill="auto"/>
            <w:vAlign w:val="center"/>
          </w:tcPr>
          <w:p>
            <w:pPr>
              <w:spacing w:line="360" w:lineRule="auto"/>
              <w:ind w:firstLine="420" w:firstLineChars="20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8" w:type="dxa"/>
            <w:shd w:val="clear" w:color="auto" w:fill="auto"/>
            <w:vAlign w:val="center"/>
          </w:tcPr>
          <w:p>
            <w:pPr>
              <w:spacing w:line="360" w:lineRule="auto"/>
              <w:ind w:firstLine="420" w:firstLineChars="200"/>
              <w:rPr>
                <w:color w:val="auto"/>
                <w:highlight w:val="none"/>
              </w:rPr>
            </w:pPr>
          </w:p>
        </w:tc>
        <w:tc>
          <w:tcPr>
            <w:tcW w:w="1226" w:type="dxa"/>
            <w:shd w:val="clear" w:color="auto" w:fill="auto"/>
            <w:vAlign w:val="center"/>
          </w:tcPr>
          <w:p>
            <w:pPr>
              <w:spacing w:line="360" w:lineRule="auto"/>
              <w:ind w:firstLine="420" w:firstLineChars="200"/>
              <w:rPr>
                <w:color w:val="auto"/>
                <w:highlight w:val="none"/>
              </w:rPr>
            </w:pPr>
          </w:p>
        </w:tc>
        <w:tc>
          <w:tcPr>
            <w:tcW w:w="851" w:type="dxa"/>
            <w:shd w:val="clear" w:color="auto" w:fill="auto"/>
            <w:vAlign w:val="center"/>
          </w:tcPr>
          <w:p>
            <w:pPr>
              <w:spacing w:line="360" w:lineRule="auto"/>
              <w:ind w:firstLine="420" w:firstLineChars="200"/>
              <w:rPr>
                <w:color w:val="auto"/>
                <w:highlight w:val="none"/>
              </w:rPr>
            </w:pPr>
          </w:p>
        </w:tc>
        <w:tc>
          <w:tcPr>
            <w:tcW w:w="708" w:type="dxa"/>
            <w:shd w:val="clear" w:color="auto" w:fill="auto"/>
            <w:vAlign w:val="center"/>
          </w:tcPr>
          <w:p>
            <w:pPr>
              <w:spacing w:line="360" w:lineRule="auto"/>
              <w:ind w:firstLine="420" w:firstLineChars="200"/>
              <w:rPr>
                <w:color w:val="auto"/>
                <w:highlight w:val="none"/>
              </w:rPr>
            </w:pPr>
          </w:p>
        </w:tc>
        <w:tc>
          <w:tcPr>
            <w:tcW w:w="709" w:type="dxa"/>
            <w:shd w:val="clear" w:color="auto" w:fill="auto"/>
            <w:vAlign w:val="center"/>
          </w:tcPr>
          <w:p>
            <w:pPr>
              <w:spacing w:line="360" w:lineRule="auto"/>
              <w:ind w:firstLine="420" w:firstLineChars="200"/>
              <w:rPr>
                <w:color w:val="auto"/>
                <w:highlight w:val="none"/>
              </w:rPr>
            </w:pPr>
          </w:p>
        </w:tc>
        <w:tc>
          <w:tcPr>
            <w:tcW w:w="1134" w:type="dxa"/>
            <w:shd w:val="clear" w:color="auto" w:fill="auto"/>
            <w:vAlign w:val="center"/>
          </w:tcPr>
          <w:p>
            <w:pPr>
              <w:spacing w:line="360" w:lineRule="auto"/>
              <w:ind w:firstLine="420" w:firstLineChars="200"/>
              <w:rPr>
                <w:color w:val="auto"/>
                <w:highlight w:val="none"/>
              </w:rPr>
            </w:pPr>
          </w:p>
        </w:tc>
        <w:tc>
          <w:tcPr>
            <w:tcW w:w="1276" w:type="dxa"/>
            <w:shd w:val="clear" w:color="auto" w:fill="auto"/>
            <w:vAlign w:val="center"/>
          </w:tcPr>
          <w:p>
            <w:pPr>
              <w:spacing w:line="360" w:lineRule="auto"/>
              <w:ind w:firstLine="420" w:firstLineChars="200"/>
              <w:rPr>
                <w:color w:val="auto"/>
                <w:highlight w:val="none"/>
              </w:rPr>
            </w:pPr>
          </w:p>
        </w:tc>
        <w:tc>
          <w:tcPr>
            <w:tcW w:w="1134" w:type="dxa"/>
            <w:shd w:val="clear" w:color="auto" w:fill="auto"/>
            <w:vAlign w:val="center"/>
          </w:tcPr>
          <w:p>
            <w:pPr>
              <w:spacing w:line="360" w:lineRule="auto"/>
              <w:ind w:firstLine="420" w:firstLineChars="200"/>
              <w:rPr>
                <w:color w:val="auto"/>
                <w:highlight w:val="none"/>
              </w:rPr>
            </w:pPr>
          </w:p>
        </w:tc>
        <w:tc>
          <w:tcPr>
            <w:tcW w:w="1559" w:type="dxa"/>
            <w:shd w:val="clear" w:color="auto" w:fill="auto"/>
            <w:vAlign w:val="center"/>
          </w:tcPr>
          <w:p>
            <w:pPr>
              <w:spacing w:line="360" w:lineRule="auto"/>
              <w:ind w:firstLine="420" w:firstLineChars="200"/>
              <w:rPr>
                <w:color w:val="auto"/>
                <w:highlight w:val="none"/>
              </w:rPr>
            </w:pPr>
          </w:p>
        </w:tc>
      </w:tr>
    </w:tbl>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r>
        <w:rPr>
          <w:rFonts w:hint="eastAsia" w:cs="宋体"/>
          <w:color w:val="auto"/>
          <w:highlight w:val="none"/>
        </w:rPr>
        <w:t>附表三：劳动力计划表</w:t>
      </w:r>
    </w:p>
    <w:p>
      <w:pPr>
        <w:ind w:firstLine="7245" w:firstLineChars="3450"/>
        <w:rPr>
          <w:color w:val="auto"/>
          <w:highlight w:val="none"/>
        </w:rPr>
      </w:pPr>
      <w:r>
        <w:rPr>
          <w:color w:val="auto"/>
          <w:highlight w:val="none"/>
        </w:rPr>
        <w:t xml:space="preserve">    </w:t>
      </w:r>
      <w:r>
        <w:rPr>
          <w:rFonts w:hint="eastAsia" w:cs="宋体"/>
          <w:color w:val="auto"/>
          <w:highlight w:val="none"/>
        </w:rPr>
        <w:t>单位：人</w:t>
      </w:r>
    </w:p>
    <w:tbl>
      <w:tblPr>
        <w:tblStyle w:val="42"/>
        <w:tblW w:w="93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961"/>
        <w:gridCol w:w="1257"/>
        <w:gridCol w:w="1258"/>
        <w:gridCol w:w="1257"/>
        <w:gridCol w:w="1258"/>
        <w:gridCol w:w="1257"/>
        <w:gridCol w:w="1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3" w:type="dxa"/>
            <w:shd w:val="clear" w:color="auto" w:fill="auto"/>
            <w:vAlign w:val="center"/>
          </w:tcPr>
          <w:p>
            <w:pPr>
              <w:spacing w:line="360" w:lineRule="auto"/>
              <w:jc w:val="center"/>
              <w:rPr>
                <w:color w:val="auto"/>
                <w:highlight w:val="none"/>
              </w:rPr>
            </w:pPr>
            <w:r>
              <w:rPr>
                <w:rFonts w:hint="eastAsia" w:cs="宋体"/>
                <w:color w:val="auto"/>
                <w:highlight w:val="none"/>
              </w:rPr>
              <w:t>工种</w:t>
            </w:r>
          </w:p>
        </w:tc>
        <w:tc>
          <w:tcPr>
            <w:tcW w:w="8506" w:type="dxa"/>
            <w:gridSpan w:val="7"/>
            <w:shd w:val="clear" w:color="auto" w:fill="auto"/>
            <w:vAlign w:val="center"/>
          </w:tcPr>
          <w:p>
            <w:pPr>
              <w:spacing w:line="360" w:lineRule="auto"/>
              <w:jc w:val="center"/>
              <w:rPr>
                <w:color w:val="auto"/>
                <w:highlight w:val="none"/>
              </w:rPr>
            </w:pPr>
            <w:r>
              <w:rPr>
                <w:rFonts w:hint="eastAsia" w:cs="宋体"/>
                <w:color w:val="auto"/>
                <w:highlight w:val="none"/>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3" w:type="dxa"/>
            <w:shd w:val="clear" w:color="auto" w:fill="auto"/>
            <w:vAlign w:val="center"/>
          </w:tcPr>
          <w:p>
            <w:pPr>
              <w:spacing w:line="360" w:lineRule="auto"/>
              <w:jc w:val="center"/>
              <w:rPr>
                <w:color w:val="auto"/>
                <w:highlight w:val="none"/>
              </w:rPr>
            </w:pPr>
          </w:p>
        </w:tc>
        <w:tc>
          <w:tcPr>
            <w:tcW w:w="961" w:type="dxa"/>
            <w:shd w:val="clear" w:color="auto" w:fill="auto"/>
            <w:vAlign w:val="center"/>
          </w:tcPr>
          <w:p>
            <w:pPr>
              <w:spacing w:line="360" w:lineRule="auto"/>
              <w:jc w:val="center"/>
              <w:rPr>
                <w:color w:val="auto"/>
                <w:highlight w:val="none"/>
              </w:rPr>
            </w:pPr>
          </w:p>
        </w:tc>
        <w:tc>
          <w:tcPr>
            <w:tcW w:w="1257" w:type="dxa"/>
            <w:shd w:val="clear" w:color="auto" w:fill="auto"/>
            <w:vAlign w:val="center"/>
          </w:tcPr>
          <w:p>
            <w:pPr>
              <w:spacing w:line="360" w:lineRule="auto"/>
              <w:jc w:val="center"/>
              <w:rPr>
                <w:color w:val="auto"/>
                <w:highlight w:val="none"/>
              </w:rPr>
            </w:pPr>
          </w:p>
        </w:tc>
        <w:tc>
          <w:tcPr>
            <w:tcW w:w="1258" w:type="dxa"/>
            <w:shd w:val="clear" w:color="auto" w:fill="auto"/>
            <w:vAlign w:val="center"/>
          </w:tcPr>
          <w:p>
            <w:pPr>
              <w:spacing w:line="360" w:lineRule="auto"/>
              <w:jc w:val="center"/>
              <w:rPr>
                <w:color w:val="auto"/>
                <w:highlight w:val="none"/>
              </w:rPr>
            </w:pPr>
          </w:p>
        </w:tc>
        <w:tc>
          <w:tcPr>
            <w:tcW w:w="1257" w:type="dxa"/>
            <w:shd w:val="clear" w:color="auto" w:fill="auto"/>
            <w:vAlign w:val="center"/>
          </w:tcPr>
          <w:p>
            <w:pPr>
              <w:spacing w:line="360" w:lineRule="auto"/>
              <w:jc w:val="center"/>
              <w:rPr>
                <w:color w:val="auto"/>
                <w:highlight w:val="none"/>
              </w:rPr>
            </w:pPr>
          </w:p>
        </w:tc>
        <w:tc>
          <w:tcPr>
            <w:tcW w:w="1258" w:type="dxa"/>
            <w:shd w:val="clear" w:color="auto" w:fill="auto"/>
            <w:vAlign w:val="center"/>
          </w:tcPr>
          <w:p>
            <w:pPr>
              <w:spacing w:line="360" w:lineRule="auto"/>
              <w:jc w:val="center"/>
              <w:rPr>
                <w:color w:val="auto"/>
                <w:highlight w:val="none"/>
              </w:rPr>
            </w:pPr>
          </w:p>
        </w:tc>
        <w:tc>
          <w:tcPr>
            <w:tcW w:w="1257" w:type="dxa"/>
            <w:shd w:val="clear" w:color="auto" w:fill="auto"/>
            <w:vAlign w:val="center"/>
          </w:tcPr>
          <w:p>
            <w:pPr>
              <w:spacing w:line="360" w:lineRule="auto"/>
              <w:jc w:val="center"/>
              <w:rPr>
                <w:color w:val="auto"/>
                <w:highlight w:val="none"/>
              </w:rPr>
            </w:pPr>
          </w:p>
        </w:tc>
        <w:tc>
          <w:tcPr>
            <w:tcW w:w="1258" w:type="dxa"/>
            <w:shd w:val="clear" w:color="auto" w:fill="auto"/>
            <w:vAlign w:val="center"/>
          </w:tcPr>
          <w:p>
            <w:pPr>
              <w:spacing w:line="360" w:lineRule="auto"/>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3" w:type="dxa"/>
            <w:shd w:val="clear" w:color="auto" w:fill="auto"/>
            <w:vAlign w:val="center"/>
          </w:tcPr>
          <w:p>
            <w:pPr>
              <w:spacing w:line="360" w:lineRule="auto"/>
              <w:jc w:val="center"/>
              <w:rPr>
                <w:color w:val="auto"/>
                <w:highlight w:val="none"/>
              </w:rPr>
            </w:pPr>
          </w:p>
        </w:tc>
        <w:tc>
          <w:tcPr>
            <w:tcW w:w="961" w:type="dxa"/>
            <w:shd w:val="clear" w:color="auto" w:fill="auto"/>
            <w:vAlign w:val="center"/>
          </w:tcPr>
          <w:p>
            <w:pPr>
              <w:spacing w:line="360" w:lineRule="auto"/>
              <w:jc w:val="center"/>
              <w:rPr>
                <w:color w:val="auto"/>
                <w:highlight w:val="none"/>
              </w:rPr>
            </w:pPr>
          </w:p>
        </w:tc>
        <w:tc>
          <w:tcPr>
            <w:tcW w:w="1257" w:type="dxa"/>
            <w:shd w:val="clear" w:color="auto" w:fill="auto"/>
            <w:vAlign w:val="center"/>
          </w:tcPr>
          <w:p>
            <w:pPr>
              <w:spacing w:line="360" w:lineRule="auto"/>
              <w:jc w:val="center"/>
              <w:rPr>
                <w:color w:val="auto"/>
                <w:highlight w:val="none"/>
              </w:rPr>
            </w:pPr>
          </w:p>
        </w:tc>
        <w:tc>
          <w:tcPr>
            <w:tcW w:w="1258" w:type="dxa"/>
            <w:shd w:val="clear" w:color="auto" w:fill="auto"/>
            <w:vAlign w:val="center"/>
          </w:tcPr>
          <w:p>
            <w:pPr>
              <w:spacing w:line="360" w:lineRule="auto"/>
              <w:jc w:val="center"/>
              <w:rPr>
                <w:color w:val="auto"/>
                <w:highlight w:val="none"/>
              </w:rPr>
            </w:pPr>
          </w:p>
        </w:tc>
        <w:tc>
          <w:tcPr>
            <w:tcW w:w="1257" w:type="dxa"/>
            <w:shd w:val="clear" w:color="auto" w:fill="auto"/>
            <w:vAlign w:val="center"/>
          </w:tcPr>
          <w:p>
            <w:pPr>
              <w:spacing w:line="360" w:lineRule="auto"/>
              <w:jc w:val="center"/>
              <w:rPr>
                <w:color w:val="auto"/>
                <w:highlight w:val="none"/>
              </w:rPr>
            </w:pPr>
          </w:p>
        </w:tc>
        <w:tc>
          <w:tcPr>
            <w:tcW w:w="1258" w:type="dxa"/>
            <w:shd w:val="clear" w:color="auto" w:fill="auto"/>
            <w:vAlign w:val="center"/>
          </w:tcPr>
          <w:p>
            <w:pPr>
              <w:spacing w:line="360" w:lineRule="auto"/>
              <w:jc w:val="center"/>
              <w:rPr>
                <w:color w:val="auto"/>
                <w:highlight w:val="none"/>
              </w:rPr>
            </w:pPr>
          </w:p>
        </w:tc>
        <w:tc>
          <w:tcPr>
            <w:tcW w:w="1257" w:type="dxa"/>
            <w:shd w:val="clear" w:color="auto" w:fill="auto"/>
            <w:vAlign w:val="center"/>
          </w:tcPr>
          <w:p>
            <w:pPr>
              <w:spacing w:line="360" w:lineRule="auto"/>
              <w:jc w:val="center"/>
              <w:rPr>
                <w:color w:val="auto"/>
                <w:highlight w:val="none"/>
              </w:rPr>
            </w:pPr>
          </w:p>
        </w:tc>
        <w:tc>
          <w:tcPr>
            <w:tcW w:w="1258" w:type="dxa"/>
            <w:shd w:val="clear" w:color="auto" w:fill="auto"/>
            <w:vAlign w:val="center"/>
          </w:tcPr>
          <w:p>
            <w:pPr>
              <w:spacing w:line="360" w:lineRule="auto"/>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3" w:type="dxa"/>
            <w:shd w:val="clear" w:color="auto" w:fill="auto"/>
            <w:vAlign w:val="center"/>
          </w:tcPr>
          <w:p>
            <w:pPr>
              <w:spacing w:line="360" w:lineRule="auto"/>
              <w:jc w:val="center"/>
              <w:rPr>
                <w:color w:val="auto"/>
                <w:highlight w:val="none"/>
              </w:rPr>
            </w:pPr>
          </w:p>
        </w:tc>
        <w:tc>
          <w:tcPr>
            <w:tcW w:w="961" w:type="dxa"/>
            <w:shd w:val="clear" w:color="auto" w:fill="auto"/>
            <w:vAlign w:val="center"/>
          </w:tcPr>
          <w:p>
            <w:pPr>
              <w:spacing w:line="360" w:lineRule="auto"/>
              <w:jc w:val="center"/>
              <w:rPr>
                <w:color w:val="auto"/>
                <w:highlight w:val="none"/>
              </w:rPr>
            </w:pPr>
          </w:p>
        </w:tc>
        <w:tc>
          <w:tcPr>
            <w:tcW w:w="1257" w:type="dxa"/>
            <w:shd w:val="clear" w:color="auto" w:fill="auto"/>
            <w:vAlign w:val="center"/>
          </w:tcPr>
          <w:p>
            <w:pPr>
              <w:spacing w:line="360" w:lineRule="auto"/>
              <w:jc w:val="center"/>
              <w:rPr>
                <w:color w:val="auto"/>
                <w:highlight w:val="none"/>
              </w:rPr>
            </w:pPr>
          </w:p>
        </w:tc>
        <w:tc>
          <w:tcPr>
            <w:tcW w:w="1258" w:type="dxa"/>
            <w:shd w:val="clear" w:color="auto" w:fill="auto"/>
            <w:vAlign w:val="center"/>
          </w:tcPr>
          <w:p>
            <w:pPr>
              <w:spacing w:line="360" w:lineRule="auto"/>
              <w:jc w:val="center"/>
              <w:rPr>
                <w:color w:val="auto"/>
                <w:highlight w:val="none"/>
              </w:rPr>
            </w:pPr>
          </w:p>
        </w:tc>
        <w:tc>
          <w:tcPr>
            <w:tcW w:w="1257" w:type="dxa"/>
            <w:shd w:val="clear" w:color="auto" w:fill="auto"/>
            <w:vAlign w:val="center"/>
          </w:tcPr>
          <w:p>
            <w:pPr>
              <w:spacing w:line="360" w:lineRule="auto"/>
              <w:jc w:val="center"/>
              <w:rPr>
                <w:color w:val="auto"/>
                <w:highlight w:val="none"/>
              </w:rPr>
            </w:pPr>
          </w:p>
        </w:tc>
        <w:tc>
          <w:tcPr>
            <w:tcW w:w="1258" w:type="dxa"/>
            <w:shd w:val="clear" w:color="auto" w:fill="auto"/>
            <w:vAlign w:val="center"/>
          </w:tcPr>
          <w:p>
            <w:pPr>
              <w:spacing w:line="360" w:lineRule="auto"/>
              <w:jc w:val="center"/>
              <w:rPr>
                <w:color w:val="auto"/>
                <w:highlight w:val="none"/>
              </w:rPr>
            </w:pPr>
          </w:p>
        </w:tc>
        <w:tc>
          <w:tcPr>
            <w:tcW w:w="1257" w:type="dxa"/>
            <w:shd w:val="clear" w:color="auto" w:fill="auto"/>
            <w:vAlign w:val="center"/>
          </w:tcPr>
          <w:p>
            <w:pPr>
              <w:spacing w:line="360" w:lineRule="auto"/>
              <w:jc w:val="center"/>
              <w:rPr>
                <w:color w:val="auto"/>
                <w:highlight w:val="none"/>
              </w:rPr>
            </w:pPr>
          </w:p>
        </w:tc>
        <w:tc>
          <w:tcPr>
            <w:tcW w:w="1258" w:type="dxa"/>
            <w:shd w:val="clear" w:color="auto" w:fill="auto"/>
            <w:vAlign w:val="center"/>
          </w:tcPr>
          <w:p>
            <w:pPr>
              <w:spacing w:line="360" w:lineRule="auto"/>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3" w:type="dxa"/>
            <w:shd w:val="clear" w:color="auto" w:fill="auto"/>
            <w:vAlign w:val="center"/>
          </w:tcPr>
          <w:p>
            <w:pPr>
              <w:spacing w:line="360" w:lineRule="auto"/>
              <w:jc w:val="center"/>
              <w:rPr>
                <w:color w:val="auto"/>
                <w:highlight w:val="none"/>
              </w:rPr>
            </w:pPr>
          </w:p>
        </w:tc>
        <w:tc>
          <w:tcPr>
            <w:tcW w:w="961" w:type="dxa"/>
            <w:shd w:val="clear" w:color="auto" w:fill="auto"/>
            <w:vAlign w:val="center"/>
          </w:tcPr>
          <w:p>
            <w:pPr>
              <w:spacing w:line="360" w:lineRule="auto"/>
              <w:jc w:val="center"/>
              <w:rPr>
                <w:color w:val="auto"/>
                <w:highlight w:val="none"/>
              </w:rPr>
            </w:pPr>
          </w:p>
        </w:tc>
        <w:tc>
          <w:tcPr>
            <w:tcW w:w="1257" w:type="dxa"/>
            <w:shd w:val="clear" w:color="auto" w:fill="auto"/>
            <w:vAlign w:val="center"/>
          </w:tcPr>
          <w:p>
            <w:pPr>
              <w:spacing w:line="360" w:lineRule="auto"/>
              <w:jc w:val="center"/>
              <w:rPr>
                <w:color w:val="auto"/>
                <w:highlight w:val="none"/>
              </w:rPr>
            </w:pPr>
          </w:p>
        </w:tc>
        <w:tc>
          <w:tcPr>
            <w:tcW w:w="1258" w:type="dxa"/>
            <w:shd w:val="clear" w:color="auto" w:fill="auto"/>
            <w:vAlign w:val="center"/>
          </w:tcPr>
          <w:p>
            <w:pPr>
              <w:spacing w:line="360" w:lineRule="auto"/>
              <w:jc w:val="center"/>
              <w:rPr>
                <w:color w:val="auto"/>
                <w:highlight w:val="none"/>
              </w:rPr>
            </w:pPr>
          </w:p>
        </w:tc>
        <w:tc>
          <w:tcPr>
            <w:tcW w:w="1257" w:type="dxa"/>
            <w:shd w:val="clear" w:color="auto" w:fill="auto"/>
            <w:vAlign w:val="center"/>
          </w:tcPr>
          <w:p>
            <w:pPr>
              <w:spacing w:line="360" w:lineRule="auto"/>
              <w:jc w:val="center"/>
              <w:rPr>
                <w:color w:val="auto"/>
                <w:highlight w:val="none"/>
              </w:rPr>
            </w:pPr>
          </w:p>
        </w:tc>
        <w:tc>
          <w:tcPr>
            <w:tcW w:w="1258" w:type="dxa"/>
            <w:shd w:val="clear" w:color="auto" w:fill="auto"/>
            <w:vAlign w:val="center"/>
          </w:tcPr>
          <w:p>
            <w:pPr>
              <w:spacing w:line="360" w:lineRule="auto"/>
              <w:jc w:val="center"/>
              <w:rPr>
                <w:color w:val="auto"/>
                <w:highlight w:val="none"/>
              </w:rPr>
            </w:pPr>
          </w:p>
        </w:tc>
        <w:tc>
          <w:tcPr>
            <w:tcW w:w="1257" w:type="dxa"/>
            <w:shd w:val="clear" w:color="auto" w:fill="auto"/>
            <w:vAlign w:val="center"/>
          </w:tcPr>
          <w:p>
            <w:pPr>
              <w:spacing w:line="360" w:lineRule="auto"/>
              <w:jc w:val="center"/>
              <w:rPr>
                <w:color w:val="auto"/>
                <w:highlight w:val="none"/>
              </w:rPr>
            </w:pPr>
          </w:p>
        </w:tc>
        <w:tc>
          <w:tcPr>
            <w:tcW w:w="1258" w:type="dxa"/>
            <w:shd w:val="clear" w:color="auto" w:fill="auto"/>
            <w:vAlign w:val="center"/>
          </w:tcPr>
          <w:p>
            <w:pPr>
              <w:spacing w:line="360" w:lineRule="auto"/>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3" w:type="dxa"/>
            <w:shd w:val="clear" w:color="auto" w:fill="auto"/>
            <w:vAlign w:val="center"/>
          </w:tcPr>
          <w:p>
            <w:pPr>
              <w:spacing w:line="360" w:lineRule="auto"/>
              <w:jc w:val="center"/>
              <w:rPr>
                <w:color w:val="auto"/>
                <w:highlight w:val="none"/>
              </w:rPr>
            </w:pPr>
          </w:p>
        </w:tc>
        <w:tc>
          <w:tcPr>
            <w:tcW w:w="961" w:type="dxa"/>
            <w:shd w:val="clear" w:color="auto" w:fill="auto"/>
            <w:vAlign w:val="center"/>
          </w:tcPr>
          <w:p>
            <w:pPr>
              <w:spacing w:line="360" w:lineRule="auto"/>
              <w:jc w:val="center"/>
              <w:rPr>
                <w:color w:val="auto"/>
                <w:highlight w:val="none"/>
              </w:rPr>
            </w:pPr>
          </w:p>
        </w:tc>
        <w:tc>
          <w:tcPr>
            <w:tcW w:w="1257" w:type="dxa"/>
            <w:shd w:val="clear" w:color="auto" w:fill="auto"/>
            <w:vAlign w:val="center"/>
          </w:tcPr>
          <w:p>
            <w:pPr>
              <w:spacing w:line="360" w:lineRule="auto"/>
              <w:jc w:val="center"/>
              <w:rPr>
                <w:color w:val="auto"/>
                <w:highlight w:val="none"/>
              </w:rPr>
            </w:pPr>
          </w:p>
        </w:tc>
        <w:tc>
          <w:tcPr>
            <w:tcW w:w="1258" w:type="dxa"/>
            <w:shd w:val="clear" w:color="auto" w:fill="auto"/>
            <w:vAlign w:val="center"/>
          </w:tcPr>
          <w:p>
            <w:pPr>
              <w:spacing w:line="360" w:lineRule="auto"/>
              <w:jc w:val="center"/>
              <w:rPr>
                <w:color w:val="auto"/>
                <w:highlight w:val="none"/>
              </w:rPr>
            </w:pPr>
          </w:p>
        </w:tc>
        <w:tc>
          <w:tcPr>
            <w:tcW w:w="1257" w:type="dxa"/>
            <w:shd w:val="clear" w:color="auto" w:fill="auto"/>
            <w:vAlign w:val="center"/>
          </w:tcPr>
          <w:p>
            <w:pPr>
              <w:spacing w:line="360" w:lineRule="auto"/>
              <w:jc w:val="center"/>
              <w:rPr>
                <w:color w:val="auto"/>
                <w:highlight w:val="none"/>
              </w:rPr>
            </w:pPr>
          </w:p>
        </w:tc>
        <w:tc>
          <w:tcPr>
            <w:tcW w:w="1258" w:type="dxa"/>
            <w:shd w:val="clear" w:color="auto" w:fill="auto"/>
            <w:vAlign w:val="center"/>
          </w:tcPr>
          <w:p>
            <w:pPr>
              <w:spacing w:line="360" w:lineRule="auto"/>
              <w:jc w:val="center"/>
              <w:rPr>
                <w:color w:val="auto"/>
                <w:highlight w:val="none"/>
              </w:rPr>
            </w:pPr>
          </w:p>
        </w:tc>
        <w:tc>
          <w:tcPr>
            <w:tcW w:w="1257" w:type="dxa"/>
            <w:shd w:val="clear" w:color="auto" w:fill="auto"/>
            <w:vAlign w:val="center"/>
          </w:tcPr>
          <w:p>
            <w:pPr>
              <w:spacing w:line="360" w:lineRule="auto"/>
              <w:jc w:val="center"/>
              <w:rPr>
                <w:color w:val="auto"/>
                <w:highlight w:val="none"/>
              </w:rPr>
            </w:pPr>
          </w:p>
        </w:tc>
        <w:tc>
          <w:tcPr>
            <w:tcW w:w="1258" w:type="dxa"/>
            <w:shd w:val="clear" w:color="auto" w:fill="auto"/>
            <w:vAlign w:val="center"/>
          </w:tcPr>
          <w:p>
            <w:pPr>
              <w:spacing w:line="360" w:lineRule="auto"/>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3" w:type="dxa"/>
            <w:shd w:val="clear" w:color="auto" w:fill="auto"/>
            <w:vAlign w:val="center"/>
          </w:tcPr>
          <w:p>
            <w:pPr>
              <w:spacing w:line="360" w:lineRule="auto"/>
              <w:jc w:val="center"/>
              <w:rPr>
                <w:color w:val="auto"/>
                <w:highlight w:val="none"/>
              </w:rPr>
            </w:pPr>
          </w:p>
        </w:tc>
        <w:tc>
          <w:tcPr>
            <w:tcW w:w="961" w:type="dxa"/>
            <w:shd w:val="clear" w:color="auto" w:fill="auto"/>
            <w:vAlign w:val="center"/>
          </w:tcPr>
          <w:p>
            <w:pPr>
              <w:spacing w:line="360" w:lineRule="auto"/>
              <w:jc w:val="center"/>
              <w:rPr>
                <w:color w:val="auto"/>
                <w:highlight w:val="none"/>
              </w:rPr>
            </w:pPr>
          </w:p>
        </w:tc>
        <w:tc>
          <w:tcPr>
            <w:tcW w:w="1257" w:type="dxa"/>
            <w:shd w:val="clear" w:color="auto" w:fill="auto"/>
            <w:vAlign w:val="center"/>
          </w:tcPr>
          <w:p>
            <w:pPr>
              <w:spacing w:line="360" w:lineRule="auto"/>
              <w:jc w:val="center"/>
              <w:rPr>
                <w:color w:val="auto"/>
                <w:highlight w:val="none"/>
              </w:rPr>
            </w:pPr>
          </w:p>
        </w:tc>
        <w:tc>
          <w:tcPr>
            <w:tcW w:w="1258" w:type="dxa"/>
            <w:shd w:val="clear" w:color="auto" w:fill="auto"/>
            <w:vAlign w:val="center"/>
          </w:tcPr>
          <w:p>
            <w:pPr>
              <w:spacing w:line="360" w:lineRule="auto"/>
              <w:jc w:val="center"/>
              <w:rPr>
                <w:color w:val="auto"/>
                <w:highlight w:val="none"/>
              </w:rPr>
            </w:pPr>
          </w:p>
        </w:tc>
        <w:tc>
          <w:tcPr>
            <w:tcW w:w="1257" w:type="dxa"/>
            <w:shd w:val="clear" w:color="auto" w:fill="auto"/>
            <w:vAlign w:val="center"/>
          </w:tcPr>
          <w:p>
            <w:pPr>
              <w:spacing w:line="360" w:lineRule="auto"/>
              <w:jc w:val="center"/>
              <w:rPr>
                <w:color w:val="auto"/>
                <w:highlight w:val="none"/>
              </w:rPr>
            </w:pPr>
          </w:p>
        </w:tc>
        <w:tc>
          <w:tcPr>
            <w:tcW w:w="1258" w:type="dxa"/>
            <w:shd w:val="clear" w:color="auto" w:fill="auto"/>
            <w:vAlign w:val="center"/>
          </w:tcPr>
          <w:p>
            <w:pPr>
              <w:spacing w:line="360" w:lineRule="auto"/>
              <w:jc w:val="center"/>
              <w:rPr>
                <w:color w:val="auto"/>
                <w:highlight w:val="none"/>
              </w:rPr>
            </w:pPr>
          </w:p>
        </w:tc>
        <w:tc>
          <w:tcPr>
            <w:tcW w:w="1257" w:type="dxa"/>
            <w:shd w:val="clear" w:color="auto" w:fill="auto"/>
            <w:vAlign w:val="center"/>
          </w:tcPr>
          <w:p>
            <w:pPr>
              <w:spacing w:line="360" w:lineRule="auto"/>
              <w:jc w:val="center"/>
              <w:rPr>
                <w:color w:val="auto"/>
                <w:highlight w:val="none"/>
              </w:rPr>
            </w:pPr>
          </w:p>
        </w:tc>
        <w:tc>
          <w:tcPr>
            <w:tcW w:w="1258" w:type="dxa"/>
            <w:shd w:val="clear" w:color="auto" w:fill="auto"/>
            <w:vAlign w:val="center"/>
          </w:tcPr>
          <w:p>
            <w:pPr>
              <w:spacing w:line="360" w:lineRule="auto"/>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3" w:type="dxa"/>
            <w:shd w:val="clear" w:color="auto" w:fill="auto"/>
            <w:vAlign w:val="center"/>
          </w:tcPr>
          <w:p>
            <w:pPr>
              <w:spacing w:line="360" w:lineRule="auto"/>
              <w:jc w:val="center"/>
              <w:rPr>
                <w:color w:val="auto"/>
                <w:highlight w:val="none"/>
              </w:rPr>
            </w:pPr>
          </w:p>
        </w:tc>
        <w:tc>
          <w:tcPr>
            <w:tcW w:w="961" w:type="dxa"/>
            <w:shd w:val="clear" w:color="auto" w:fill="auto"/>
            <w:vAlign w:val="center"/>
          </w:tcPr>
          <w:p>
            <w:pPr>
              <w:spacing w:line="360" w:lineRule="auto"/>
              <w:jc w:val="center"/>
              <w:rPr>
                <w:color w:val="auto"/>
                <w:highlight w:val="none"/>
              </w:rPr>
            </w:pPr>
          </w:p>
        </w:tc>
        <w:tc>
          <w:tcPr>
            <w:tcW w:w="1257" w:type="dxa"/>
            <w:shd w:val="clear" w:color="auto" w:fill="auto"/>
            <w:vAlign w:val="center"/>
          </w:tcPr>
          <w:p>
            <w:pPr>
              <w:spacing w:line="360" w:lineRule="auto"/>
              <w:jc w:val="center"/>
              <w:rPr>
                <w:color w:val="auto"/>
                <w:highlight w:val="none"/>
              </w:rPr>
            </w:pPr>
          </w:p>
        </w:tc>
        <w:tc>
          <w:tcPr>
            <w:tcW w:w="1258" w:type="dxa"/>
            <w:shd w:val="clear" w:color="auto" w:fill="auto"/>
            <w:vAlign w:val="center"/>
          </w:tcPr>
          <w:p>
            <w:pPr>
              <w:spacing w:line="360" w:lineRule="auto"/>
              <w:jc w:val="center"/>
              <w:rPr>
                <w:color w:val="auto"/>
                <w:highlight w:val="none"/>
              </w:rPr>
            </w:pPr>
          </w:p>
        </w:tc>
        <w:tc>
          <w:tcPr>
            <w:tcW w:w="1257" w:type="dxa"/>
            <w:shd w:val="clear" w:color="auto" w:fill="auto"/>
            <w:vAlign w:val="center"/>
          </w:tcPr>
          <w:p>
            <w:pPr>
              <w:spacing w:line="360" w:lineRule="auto"/>
              <w:jc w:val="center"/>
              <w:rPr>
                <w:color w:val="auto"/>
                <w:highlight w:val="none"/>
              </w:rPr>
            </w:pPr>
          </w:p>
        </w:tc>
        <w:tc>
          <w:tcPr>
            <w:tcW w:w="1258" w:type="dxa"/>
            <w:shd w:val="clear" w:color="auto" w:fill="auto"/>
            <w:vAlign w:val="center"/>
          </w:tcPr>
          <w:p>
            <w:pPr>
              <w:spacing w:line="360" w:lineRule="auto"/>
              <w:jc w:val="center"/>
              <w:rPr>
                <w:color w:val="auto"/>
                <w:highlight w:val="none"/>
              </w:rPr>
            </w:pPr>
          </w:p>
        </w:tc>
        <w:tc>
          <w:tcPr>
            <w:tcW w:w="1257" w:type="dxa"/>
            <w:shd w:val="clear" w:color="auto" w:fill="auto"/>
            <w:vAlign w:val="center"/>
          </w:tcPr>
          <w:p>
            <w:pPr>
              <w:spacing w:line="360" w:lineRule="auto"/>
              <w:jc w:val="center"/>
              <w:rPr>
                <w:color w:val="auto"/>
                <w:highlight w:val="none"/>
              </w:rPr>
            </w:pPr>
          </w:p>
        </w:tc>
        <w:tc>
          <w:tcPr>
            <w:tcW w:w="1258" w:type="dxa"/>
            <w:shd w:val="clear" w:color="auto" w:fill="auto"/>
            <w:vAlign w:val="center"/>
          </w:tcPr>
          <w:p>
            <w:pPr>
              <w:spacing w:line="360" w:lineRule="auto"/>
              <w:jc w:val="center"/>
              <w:rPr>
                <w:color w:val="auto"/>
                <w:highlight w:val="none"/>
              </w:rPr>
            </w:pPr>
          </w:p>
        </w:tc>
      </w:tr>
    </w:tbl>
    <w:p>
      <w:pPr>
        <w:rPr>
          <w:color w:val="auto"/>
          <w:highlight w:val="none"/>
        </w:rPr>
      </w:pPr>
    </w:p>
    <w:p>
      <w:pPr>
        <w:rPr>
          <w:b/>
          <w:color w:val="auto"/>
          <w:highlight w:val="none"/>
        </w:rPr>
      </w:pPr>
    </w:p>
    <w:p>
      <w:pPr>
        <w:rPr>
          <w:color w:val="auto"/>
          <w:highlight w:val="none"/>
        </w:rPr>
      </w:pPr>
      <w:r>
        <w:rPr>
          <w:rFonts w:hint="eastAsia" w:cs="宋体"/>
          <w:color w:val="auto"/>
          <w:highlight w:val="none"/>
        </w:rPr>
        <w:t>附表四：计划开、竣工日期和施工进度计划（网络图或横道图）</w:t>
      </w:r>
    </w:p>
    <w:p>
      <w:pPr>
        <w:spacing w:line="460" w:lineRule="exact"/>
        <w:ind w:left="-6" w:firstLine="420"/>
        <w:rPr>
          <w:color w:val="auto"/>
          <w:highlight w:val="none"/>
        </w:rPr>
      </w:pPr>
      <w:r>
        <w:rPr>
          <w:color w:val="auto"/>
          <w:highlight w:val="none"/>
        </w:rPr>
        <w:t xml:space="preserve">1. </w:t>
      </w:r>
      <w:r>
        <w:rPr>
          <w:rFonts w:hint="eastAsia" w:cs="宋体"/>
          <w:color w:val="auto"/>
          <w:highlight w:val="none"/>
        </w:rPr>
        <w:t>投标人应提交施工进度计划，说明按招标文件要求的工期进行施工的各个关键日期。中标的投标人还应按合同条件有关条款的要求提交详细的施工进度计划。</w:t>
      </w:r>
    </w:p>
    <w:p>
      <w:pPr>
        <w:spacing w:line="460" w:lineRule="exact"/>
        <w:ind w:left="-6" w:firstLine="420"/>
        <w:rPr>
          <w:color w:val="auto"/>
          <w:highlight w:val="none"/>
        </w:rPr>
      </w:pPr>
      <w:r>
        <w:rPr>
          <w:color w:val="auto"/>
          <w:highlight w:val="none"/>
        </w:rPr>
        <w:t xml:space="preserve">2. </w:t>
      </w:r>
      <w:r>
        <w:rPr>
          <w:rFonts w:hint="eastAsia" w:cs="宋体"/>
          <w:color w:val="auto"/>
          <w:highlight w:val="none"/>
        </w:rPr>
        <w:t>施工进度计划可采用网络图（或横道图）表示，说明计划开工日期和各分项工程各阶段的完工日期和分包合同签订的日期。</w:t>
      </w:r>
    </w:p>
    <w:p>
      <w:pPr>
        <w:spacing w:line="460" w:lineRule="exact"/>
        <w:ind w:left="-6" w:firstLine="420"/>
        <w:rPr>
          <w:color w:val="auto"/>
          <w:highlight w:val="none"/>
        </w:rPr>
      </w:pPr>
      <w:r>
        <w:rPr>
          <w:color w:val="auto"/>
          <w:highlight w:val="none"/>
        </w:rPr>
        <w:t xml:space="preserve">3. </w:t>
      </w:r>
      <w:r>
        <w:rPr>
          <w:rFonts w:hint="eastAsia" w:cs="宋体"/>
          <w:color w:val="auto"/>
          <w:highlight w:val="none"/>
        </w:rPr>
        <w:t>施工进度计划应与施工组织设计相适应。</w:t>
      </w:r>
    </w:p>
    <w:p>
      <w:pPr>
        <w:spacing w:line="360" w:lineRule="auto"/>
        <w:ind w:left="-6" w:firstLine="420"/>
        <w:rPr>
          <w:color w:val="auto"/>
          <w:highlight w:val="none"/>
        </w:rPr>
      </w:pPr>
    </w:p>
    <w:p>
      <w:pPr>
        <w:rPr>
          <w:color w:val="auto"/>
          <w:highlight w:val="none"/>
        </w:rPr>
      </w:pPr>
    </w:p>
    <w:p>
      <w:pPr>
        <w:rPr>
          <w:color w:val="auto"/>
          <w:highlight w:val="none"/>
        </w:rPr>
      </w:pPr>
      <w:r>
        <w:rPr>
          <w:rFonts w:hint="eastAsia" w:cs="宋体"/>
          <w:color w:val="auto"/>
          <w:highlight w:val="none"/>
        </w:rPr>
        <w:t>附表五：施工总平面图</w:t>
      </w:r>
    </w:p>
    <w:p>
      <w:pPr>
        <w:spacing w:line="460" w:lineRule="exact"/>
        <w:ind w:firstLine="420" w:firstLineChars="200"/>
        <w:rPr>
          <w:color w:val="auto"/>
          <w:highlight w:val="none"/>
        </w:rPr>
      </w:pPr>
      <w:r>
        <w:rPr>
          <w:rFonts w:hint="eastAsia" w:cs="宋体"/>
          <w:color w:val="auto"/>
          <w:highlight w:val="none"/>
        </w:rPr>
        <w:t>投标人应递交一份施工总平面图，绘出现场临时设施布置图表并附文字说明，说明临时设施、加工车间、现场办公、设备及仓储、供电、供水、卫生、生活、道路、消防等设施的情况和布置。</w:t>
      </w:r>
    </w:p>
    <w:p>
      <w:pPr>
        <w:rPr>
          <w:color w:val="auto"/>
          <w:highlight w:val="none"/>
        </w:rPr>
      </w:pPr>
    </w:p>
    <w:p>
      <w:pPr>
        <w:rPr>
          <w:color w:val="auto"/>
          <w:highlight w:val="none"/>
        </w:rPr>
      </w:pPr>
    </w:p>
    <w:p>
      <w:pPr>
        <w:rPr>
          <w:color w:val="auto"/>
          <w:highlight w:val="none"/>
        </w:rPr>
      </w:pPr>
      <w:r>
        <w:rPr>
          <w:rFonts w:hint="eastAsia" w:cs="宋体"/>
          <w:color w:val="auto"/>
          <w:highlight w:val="none"/>
        </w:rPr>
        <w:t>附表六：临时用地表</w:t>
      </w:r>
    </w:p>
    <w:tbl>
      <w:tblPr>
        <w:tblStyle w:val="42"/>
        <w:tblW w:w="94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6"/>
        <w:gridCol w:w="2357"/>
        <w:gridCol w:w="2356"/>
        <w:gridCol w:w="2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3" w:hRule="atLeast"/>
          <w:jc w:val="center"/>
        </w:trPr>
        <w:tc>
          <w:tcPr>
            <w:tcW w:w="2356" w:type="dxa"/>
            <w:shd w:val="clear" w:color="auto" w:fill="auto"/>
            <w:vAlign w:val="center"/>
          </w:tcPr>
          <w:p>
            <w:pPr>
              <w:jc w:val="center"/>
              <w:rPr>
                <w:color w:val="auto"/>
                <w:highlight w:val="none"/>
              </w:rPr>
            </w:pPr>
            <w:r>
              <w:rPr>
                <w:rFonts w:hint="eastAsia" w:cs="宋体"/>
                <w:color w:val="auto"/>
                <w:highlight w:val="none"/>
              </w:rPr>
              <w:t>用途</w:t>
            </w:r>
          </w:p>
        </w:tc>
        <w:tc>
          <w:tcPr>
            <w:tcW w:w="2357" w:type="dxa"/>
            <w:shd w:val="clear" w:color="auto" w:fill="auto"/>
            <w:vAlign w:val="center"/>
          </w:tcPr>
          <w:p>
            <w:pPr>
              <w:jc w:val="center"/>
              <w:rPr>
                <w:color w:val="auto"/>
                <w:highlight w:val="none"/>
              </w:rPr>
            </w:pPr>
            <w:r>
              <w:rPr>
                <w:rFonts w:hint="eastAsia" w:cs="宋体"/>
                <w:color w:val="auto"/>
                <w:highlight w:val="none"/>
              </w:rPr>
              <w:t>面积（平方米）</w:t>
            </w:r>
          </w:p>
        </w:tc>
        <w:tc>
          <w:tcPr>
            <w:tcW w:w="2356" w:type="dxa"/>
            <w:shd w:val="clear" w:color="auto" w:fill="auto"/>
            <w:vAlign w:val="center"/>
          </w:tcPr>
          <w:p>
            <w:pPr>
              <w:jc w:val="center"/>
              <w:rPr>
                <w:color w:val="auto"/>
                <w:highlight w:val="none"/>
              </w:rPr>
            </w:pPr>
            <w:r>
              <w:rPr>
                <w:rFonts w:hint="eastAsia" w:cs="宋体"/>
                <w:color w:val="auto"/>
                <w:highlight w:val="none"/>
              </w:rPr>
              <w:t>位置</w:t>
            </w:r>
          </w:p>
        </w:tc>
        <w:tc>
          <w:tcPr>
            <w:tcW w:w="2357" w:type="dxa"/>
            <w:shd w:val="clear" w:color="auto" w:fill="auto"/>
            <w:vAlign w:val="center"/>
          </w:tcPr>
          <w:p>
            <w:pPr>
              <w:jc w:val="center"/>
              <w:rPr>
                <w:color w:val="auto"/>
                <w:highlight w:val="none"/>
              </w:rPr>
            </w:pPr>
            <w:r>
              <w:rPr>
                <w:rFonts w:hint="eastAsia" w:cs="宋体"/>
                <w:color w:val="auto"/>
                <w:highlight w:val="none"/>
              </w:rPr>
              <w:t>需用时间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jc w:val="center"/>
        </w:trPr>
        <w:tc>
          <w:tcPr>
            <w:tcW w:w="2356" w:type="dxa"/>
            <w:shd w:val="clear" w:color="auto" w:fill="auto"/>
          </w:tcPr>
          <w:p>
            <w:pPr>
              <w:rPr>
                <w:color w:val="auto"/>
                <w:highlight w:val="none"/>
              </w:rPr>
            </w:pPr>
          </w:p>
        </w:tc>
        <w:tc>
          <w:tcPr>
            <w:tcW w:w="2357" w:type="dxa"/>
            <w:shd w:val="clear" w:color="auto" w:fill="auto"/>
          </w:tcPr>
          <w:p>
            <w:pPr>
              <w:rPr>
                <w:color w:val="auto"/>
                <w:highlight w:val="none"/>
              </w:rPr>
            </w:pPr>
          </w:p>
        </w:tc>
        <w:tc>
          <w:tcPr>
            <w:tcW w:w="2356" w:type="dxa"/>
            <w:shd w:val="clear" w:color="auto" w:fill="auto"/>
          </w:tcPr>
          <w:p>
            <w:pPr>
              <w:rPr>
                <w:color w:val="auto"/>
                <w:highlight w:val="none"/>
              </w:rPr>
            </w:pPr>
          </w:p>
        </w:tc>
        <w:tc>
          <w:tcPr>
            <w:tcW w:w="2357" w:type="dxa"/>
            <w:shd w:val="clear" w:color="auto" w:fill="auto"/>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jc w:val="center"/>
        </w:trPr>
        <w:tc>
          <w:tcPr>
            <w:tcW w:w="2356" w:type="dxa"/>
            <w:shd w:val="clear" w:color="auto" w:fill="auto"/>
          </w:tcPr>
          <w:p>
            <w:pPr>
              <w:rPr>
                <w:color w:val="auto"/>
                <w:highlight w:val="none"/>
              </w:rPr>
            </w:pPr>
          </w:p>
        </w:tc>
        <w:tc>
          <w:tcPr>
            <w:tcW w:w="2357" w:type="dxa"/>
            <w:shd w:val="clear" w:color="auto" w:fill="auto"/>
          </w:tcPr>
          <w:p>
            <w:pPr>
              <w:rPr>
                <w:color w:val="auto"/>
                <w:highlight w:val="none"/>
              </w:rPr>
            </w:pPr>
          </w:p>
        </w:tc>
        <w:tc>
          <w:tcPr>
            <w:tcW w:w="2356" w:type="dxa"/>
            <w:shd w:val="clear" w:color="auto" w:fill="auto"/>
          </w:tcPr>
          <w:p>
            <w:pPr>
              <w:rPr>
                <w:color w:val="auto"/>
                <w:highlight w:val="none"/>
              </w:rPr>
            </w:pPr>
          </w:p>
        </w:tc>
        <w:tc>
          <w:tcPr>
            <w:tcW w:w="2357" w:type="dxa"/>
            <w:shd w:val="clear" w:color="auto" w:fill="auto"/>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jc w:val="center"/>
        </w:trPr>
        <w:tc>
          <w:tcPr>
            <w:tcW w:w="2356" w:type="dxa"/>
            <w:shd w:val="clear" w:color="auto" w:fill="auto"/>
          </w:tcPr>
          <w:p>
            <w:pPr>
              <w:rPr>
                <w:color w:val="auto"/>
                <w:highlight w:val="none"/>
              </w:rPr>
            </w:pPr>
          </w:p>
        </w:tc>
        <w:tc>
          <w:tcPr>
            <w:tcW w:w="2357" w:type="dxa"/>
            <w:shd w:val="clear" w:color="auto" w:fill="auto"/>
          </w:tcPr>
          <w:p>
            <w:pPr>
              <w:rPr>
                <w:color w:val="auto"/>
                <w:highlight w:val="none"/>
              </w:rPr>
            </w:pPr>
          </w:p>
        </w:tc>
        <w:tc>
          <w:tcPr>
            <w:tcW w:w="2356" w:type="dxa"/>
            <w:shd w:val="clear" w:color="auto" w:fill="auto"/>
          </w:tcPr>
          <w:p>
            <w:pPr>
              <w:rPr>
                <w:color w:val="auto"/>
                <w:highlight w:val="none"/>
              </w:rPr>
            </w:pPr>
          </w:p>
        </w:tc>
        <w:tc>
          <w:tcPr>
            <w:tcW w:w="2357" w:type="dxa"/>
            <w:shd w:val="clear" w:color="auto" w:fill="auto"/>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jc w:val="center"/>
        </w:trPr>
        <w:tc>
          <w:tcPr>
            <w:tcW w:w="2356" w:type="dxa"/>
            <w:shd w:val="clear" w:color="auto" w:fill="auto"/>
          </w:tcPr>
          <w:p>
            <w:pPr>
              <w:rPr>
                <w:color w:val="auto"/>
                <w:highlight w:val="none"/>
              </w:rPr>
            </w:pPr>
          </w:p>
        </w:tc>
        <w:tc>
          <w:tcPr>
            <w:tcW w:w="2357" w:type="dxa"/>
            <w:shd w:val="clear" w:color="auto" w:fill="auto"/>
          </w:tcPr>
          <w:p>
            <w:pPr>
              <w:rPr>
                <w:color w:val="auto"/>
                <w:highlight w:val="none"/>
              </w:rPr>
            </w:pPr>
          </w:p>
        </w:tc>
        <w:tc>
          <w:tcPr>
            <w:tcW w:w="2356" w:type="dxa"/>
            <w:shd w:val="clear" w:color="auto" w:fill="auto"/>
          </w:tcPr>
          <w:p>
            <w:pPr>
              <w:rPr>
                <w:color w:val="auto"/>
                <w:highlight w:val="none"/>
              </w:rPr>
            </w:pPr>
          </w:p>
        </w:tc>
        <w:tc>
          <w:tcPr>
            <w:tcW w:w="2357" w:type="dxa"/>
            <w:shd w:val="clear" w:color="auto" w:fill="auto"/>
          </w:tcPr>
          <w:p>
            <w:pPr>
              <w:rPr>
                <w:color w:val="auto"/>
                <w:highlight w:val="none"/>
              </w:rPr>
            </w:pPr>
          </w:p>
        </w:tc>
      </w:tr>
    </w:tbl>
    <w:p>
      <w:pPr>
        <w:rPr>
          <w:color w:val="auto"/>
          <w:highlight w:val="none"/>
        </w:rPr>
      </w:pPr>
    </w:p>
    <w:p>
      <w:pPr>
        <w:rPr>
          <w:color w:val="auto"/>
          <w:highlight w:val="none"/>
        </w:rPr>
      </w:pPr>
    </w:p>
    <w:p>
      <w:pPr>
        <w:rPr>
          <w:color w:val="auto"/>
          <w:highlight w:val="none"/>
        </w:rPr>
      </w:pPr>
    </w:p>
    <w:p>
      <w:pPr>
        <w:pStyle w:val="146"/>
        <w:jc w:val="center"/>
        <w:rPr>
          <w:b/>
          <w:color w:val="auto"/>
          <w:sz w:val="24"/>
          <w:szCs w:val="24"/>
          <w:highlight w:val="none"/>
        </w:rPr>
      </w:pPr>
      <w:bookmarkStart w:id="1575" w:name="_Toc389065361"/>
      <w:r>
        <w:rPr>
          <w:rFonts w:hint="eastAsia" w:cs="宋体"/>
          <w:b/>
          <w:color w:val="auto"/>
          <w:sz w:val="24"/>
          <w:szCs w:val="24"/>
          <w:highlight w:val="none"/>
        </w:rPr>
        <w:t>二、拟分包计划表</w:t>
      </w:r>
      <w:bookmarkEnd w:id="1575"/>
    </w:p>
    <w:p>
      <w:pPr>
        <w:pStyle w:val="146"/>
        <w:jc w:val="center"/>
        <w:rPr>
          <w:b/>
          <w:color w:val="auto"/>
          <w:sz w:val="28"/>
          <w:szCs w:val="28"/>
          <w:highlight w:val="none"/>
        </w:rPr>
      </w:pPr>
    </w:p>
    <w:tbl>
      <w:tblPr>
        <w:tblStyle w:val="42"/>
        <w:tblW w:w="87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843"/>
        <w:gridCol w:w="751"/>
        <w:gridCol w:w="950"/>
        <w:gridCol w:w="1123"/>
        <w:gridCol w:w="1090"/>
        <w:gridCol w:w="1197"/>
        <w:gridCol w:w="1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68" w:type="dxa"/>
            <w:vMerge w:val="restart"/>
            <w:shd w:val="clear" w:color="auto" w:fill="auto"/>
            <w:tcMar>
              <w:left w:w="108" w:type="dxa"/>
              <w:right w:w="108" w:type="dxa"/>
            </w:tcMar>
            <w:vAlign w:val="center"/>
          </w:tcPr>
          <w:p>
            <w:pPr>
              <w:jc w:val="center"/>
              <w:rPr>
                <w:color w:val="auto"/>
                <w:highlight w:val="none"/>
              </w:rPr>
            </w:pPr>
            <w:r>
              <w:rPr>
                <w:rFonts w:hint="eastAsia" w:cs="宋体"/>
                <w:color w:val="auto"/>
                <w:highlight w:val="none"/>
              </w:rPr>
              <w:t>序</w:t>
            </w:r>
          </w:p>
          <w:p>
            <w:pPr>
              <w:jc w:val="center"/>
              <w:rPr>
                <w:color w:val="auto"/>
                <w:highlight w:val="none"/>
              </w:rPr>
            </w:pPr>
            <w:r>
              <w:rPr>
                <w:rFonts w:hint="eastAsia" w:cs="宋体"/>
                <w:color w:val="auto"/>
                <w:highlight w:val="none"/>
              </w:rPr>
              <w:t>号</w:t>
            </w:r>
          </w:p>
        </w:tc>
        <w:tc>
          <w:tcPr>
            <w:tcW w:w="1843" w:type="dxa"/>
            <w:vMerge w:val="restart"/>
            <w:shd w:val="clear" w:color="auto" w:fill="auto"/>
            <w:tcMar>
              <w:left w:w="108" w:type="dxa"/>
              <w:right w:w="108" w:type="dxa"/>
            </w:tcMar>
            <w:vAlign w:val="center"/>
          </w:tcPr>
          <w:p>
            <w:pPr>
              <w:jc w:val="center"/>
              <w:rPr>
                <w:color w:val="auto"/>
                <w:highlight w:val="none"/>
              </w:rPr>
            </w:pPr>
            <w:r>
              <w:rPr>
                <w:rFonts w:hint="eastAsia" w:cs="宋体"/>
                <w:color w:val="auto"/>
                <w:highlight w:val="none"/>
              </w:rPr>
              <w:t>拟分包项目名称、范围及理由</w:t>
            </w:r>
          </w:p>
        </w:tc>
        <w:tc>
          <w:tcPr>
            <w:tcW w:w="5111" w:type="dxa"/>
            <w:gridSpan w:val="5"/>
            <w:shd w:val="clear" w:color="auto" w:fill="auto"/>
            <w:tcMar>
              <w:left w:w="108" w:type="dxa"/>
              <w:right w:w="108" w:type="dxa"/>
            </w:tcMar>
            <w:vAlign w:val="center"/>
          </w:tcPr>
          <w:p>
            <w:pPr>
              <w:jc w:val="center"/>
              <w:rPr>
                <w:color w:val="auto"/>
                <w:highlight w:val="none"/>
              </w:rPr>
            </w:pPr>
            <w:r>
              <w:rPr>
                <w:rFonts w:hint="eastAsia" w:cs="宋体"/>
                <w:color w:val="auto"/>
                <w:highlight w:val="none"/>
              </w:rPr>
              <w:t>拟选分包人</w:t>
            </w:r>
          </w:p>
        </w:tc>
        <w:tc>
          <w:tcPr>
            <w:tcW w:w="1268" w:type="dxa"/>
            <w:vMerge w:val="restart"/>
            <w:shd w:val="clear" w:color="auto" w:fill="auto"/>
            <w:tcMar>
              <w:left w:w="108" w:type="dxa"/>
              <w:right w:w="108" w:type="dxa"/>
            </w:tcMar>
            <w:vAlign w:val="center"/>
          </w:tcPr>
          <w:p>
            <w:pPr>
              <w:jc w:val="center"/>
              <w:rPr>
                <w:color w:val="auto"/>
                <w:highlight w:val="none"/>
              </w:rPr>
            </w:pPr>
            <w:r>
              <w:rPr>
                <w:rFonts w:hint="eastAsia" w:cs="宋体"/>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68" w:type="dxa"/>
            <w:vMerge w:val="continue"/>
            <w:shd w:val="clear" w:color="auto" w:fill="auto"/>
            <w:tcMar>
              <w:left w:w="108" w:type="dxa"/>
              <w:right w:w="108" w:type="dxa"/>
            </w:tcMar>
            <w:vAlign w:val="center"/>
          </w:tcPr>
          <w:p>
            <w:pPr>
              <w:jc w:val="center"/>
              <w:rPr>
                <w:color w:val="auto"/>
                <w:highlight w:val="none"/>
              </w:rPr>
            </w:pPr>
          </w:p>
        </w:tc>
        <w:tc>
          <w:tcPr>
            <w:tcW w:w="1843" w:type="dxa"/>
            <w:vMerge w:val="continue"/>
            <w:shd w:val="clear" w:color="auto" w:fill="auto"/>
            <w:tcMar>
              <w:left w:w="108" w:type="dxa"/>
              <w:right w:w="108" w:type="dxa"/>
            </w:tcMar>
            <w:vAlign w:val="center"/>
          </w:tcPr>
          <w:p>
            <w:pPr>
              <w:jc w:val="center"/>
              <w:rPr>
                <w:color w:val="auto"/>
                <w:highlight w:val="none"/>
              </w:rPr>
            </w:pPr>
          </w:p>
        </w:tc>
        <w:tc>
          <w:tcPr>
            <w:tcW w:w="1701" w:type="dxa"/>
            <w:gridSpan w:val="2"/>
            <w:shd w:val="clear" w:color="auto" w:fill="auto"/>
            <w:tcMar>
              <w:left w:w="108" w:type="dxa"/>
              <w:right w:w="108" w:type="dxa"/>
            </w:tcMar>
            <w:vAlign w:val="center"/>
          </w:tcPr>
          <w:p>
            <w:pPr>
              <w:jc w:val="center"/>
              <w:rPr>
                <w:color w:val="auto"/>
                <w:highlight w:val="none"/>
              </w:rPr>
            </w:pPr>
            <w:r>
              <w:rPr>
                <w:rFonts w:hint="eastAsia" w:cs="宋体"/>
                <w:color w:val="auto"/>
                <w:highlight w:val="none"/>
              </w:rPr>
              <w:t>拟选分包人名称</w:t>
            </w:r>
          </w:p>
        </w:tc>
        <w:tc>
          <w:tcPr>
            <w:tcW w:w="1123" w:type="dxa"/>
            <w:shd w:val="clear" w:color="auto" w:fill="auto"/>
            <w:tcMar>
              <w:left w:w="108" w:type="dxa"/>
              <w:right w:w="108" w:type="dxa"/>
            </w:tcMar>
            <w:vAlign w:val="center"/>
          </w:tcPr>
          <w:p>
            <w:pPr>
              <w:jc w:val="center"/>
              <w:rPr>
                <w:color w:val="auto"/>
                <w:highlight w:val="none"/>
              </w:rPr>
            </w:pPr>
            <w:r>
              <w:rPr>
                <w:rFonts w:hint="eastAsia" w:cs="宋体"/>
                <w:color w:val="auto"/>
                <w:highlight w:val="none"/>
              </w:rPr>
              <w:t>注册地点</w:t>
            </w:r>
          </w:p>
        </w:tc>
        <w:tc>
          <w:tcPr>
            <w:tcW w:w="1090" w:type="dxa"/>
            <w:shd w:val="clear" w:color="auto" w:fill="auto"/>
            <w:tcMar>
              <w:left w:w="108" w:type="dxa"/>
              <w:right w:w="108" w:type="dxa"/>
            </w:tcMar>
            <w:vAlign w:val="center"/>
          </w:tcPr>
          <w:p>
            <w:pPr>
              <w:jc w:val="center"/>
              <w:rPr>
                <w:color w:val="auto"/>
                <w:highlight w:val="none"/>
              </w:rPr>
            </w:pPr>
            <w:r>
              <w:rPr>
                <w:rFonts w:hint="eastAsia" w:cs="宋体"/>
                <w:color w:val="auto"/>
                <w:highlight w:val="none"/>
              </w:rPr>
              <w:t>企业资质</w:t>
            </w:r>
          </w:p>
        </w:tc>
        <w:tc>
          <w:tcPr>
            <w:tcW w:w="1197" w:type="dxa"/>
            <w:shd w:val="clear" w:color="auto" w:fill="auto"/>
            <w:tcMar>
              <w:left w:w="108" w:type="dxa"/>
              <w:right w:w="108" w:type="dxa"/>
            </w:tcMar>
            <w:vAlign w:val="center"/>
          </w:tcPr>
          <w:p>
            <w:pPr>
              <w:jc w:val="center"/>
              <w:rPr>
                <w:color w:val="auto"/>
                <w:highlight w:val="none"/>
              </w:rPr>
            </w:pPr>
            <w:r>
              <w:rPr>
                <w:rFonts w:hint="eastAsia" w:cs="宋体"/>
                <w:color w:val="auto"/>
                <w:highlight w:val="none"/>
              </w:rPr>
              <w:t>有关业绩</w:t>
            </w:r>
          </w:p>
        </w:tc>
        <w:tc>
          <w:tcPr>
            <w:tcW w:w="1268" w:type="dxa"/>
            <w:vMerge w:val="continue"/>
            <w:shd w:val="clear" w:color="auto" w:fill="auto"/>
            <w:tcMar>
              <w:left w:w="108" w:type="dxa"/>
              <w:right w:w="108" w:type="dxa"/>
            </w:tcMar>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68" w:type="dxa"/>
            <w:vMerge w:val="restart"/>
            <w:shd w:val="clear" w:color="auto" w:fill="auto"/>
            <w:tcMar>
              <w:left w:w="108" w:type="dxa"/>
              <w:right w:w="108" w:type="dxa"/>
            </w:tcMar>
            <w:vAlign w:val="center"/>
          </w:tcPr>
          <w:p>
            <w:pPr>
              <w:jc w:val="center"/>
              <w:rPr>
                <w:color w:val="auto"/>
                <w:highlight w:val="none"/>
              </w:rPr>
            </w:pPr>
          </w:p>
        </w:tc>
        <w:tc>
          <w:tcPr>
            <w:tcW w:w="1843" w:type="dxa"/>
            <w:vMerge w:val="restart"/>
            <w:shd w:val="clear" w:color="auto" w:fill="auto"/>
            <w:tcMar>
              <w:left w:w="108" w:type="dxa"/>
              <w:right w:w="108" w:type="dxa"/>
            </w:tcMar>
            <w:vAlign w:val="center"/>
          </w:tcPr>
          <w:p>
            <w:pPr>
              <w:jc w:val="center"/>
              <w:rPr>
                <w:color w:val="auto"/>
                <w:highlight w:val="none"/>
              </w:rPr>
            </w:pPr>
          </w:p>
        </w:tc>
        <w:tc>
          <w:tcPr>
            <w:tcW w:w="751" w:type="dxa"/>
            <w:shd w:val="clear" w:color="auto" w:fill="auto"/>
            <w:tcMar>
              <w:left w:w="108" w:type="dxa"/>
              <w:right w:w="108" w:type="dxa"/>
            </w:tcMar>
            <w:vAlign w:val="center"/>
          </w:tcPr>
          <w:p>
            <w:pPr>
              <w:jc w:val="center"/>
              <w:rPr>
                <w:color w:val="auto"/>
                <w:highlight w:val="none"/>
              </w:rPr>
            </w:pPr>
            <w:r>
              <w:rPr>
                <w:color w:val="auto"/>
                <w:highlight w:val="none"/>
              </w:rPr>
              <w:t>1</w:t>
            </w:r>
          </w:p>
        </w:tc>
        <w:tc>
          <w:tcPr>
            <w:tcW w:w="950" w:type="dxa"/>
            <w:shd w:val="clear" w:color="auto" w:fill="auto"/>
            <w:tcMar>
              <w:left w:w="108" w:type="dxa"/>
              <w:right w:w="108" w:type="dxa"/>
            </w:tcMar>
            <w:vAlign w:val="center"/>
          </w:tcPr>
          <w:p>
            <w:pPr>
              <w:jc w:val="center"/>
              <w:rPr>
                <w:color w:val="auto"/>
                <w:highlight w:val="none"/>
              </w:rPr>
            </w:pPr>
          </w:p>
        </w:tc>
        <w:tc>
          <w:tcPr>
            <w:tcW w:w="1123" w:type="dxa"/>
            <w:shd w:val="clear" w:color="auto" w:fill="auto"/>
            <w:tcMar>
              <w:left w:w="108" w:type="dxa"/>
              <w:right w:w="108" w:type="dxa"/>
            </w:tcMar>
            <w:vAlign w:val="center"/>
          </w:tcPr>
          <w:p>
            <w:pPr>
              <w:jc w:val="center"/>
              <w:rPr>
                <w:color w:val="auto"/>
                <w:highlight w:val="none"/>
              </w:rPr>
            </w:pPr>
          </w:p>
        </w:tc>
        <w:tc>
          <w:tcPr>
            <w:tcW w:w="1090" w:type="dxa"/>
            <w:shd w:val="clear" w:color="auto" w:fill="auto"/>
            <w:tcMar>
              <w:left w:w="108" w:type="dxa"/>
              <w:right w:w="108" w:type="dxa"/>
            </w:tcMar>
            <w:vAlign w:val="center"/>
          </w:tcPr>
          <w:p>
            <w:pPr>
              <w:jc w:val="center"/>
              <w:rPr>
                <w:color w:val="auto"/>
                <w:highlight w:val="none"/>
              </w:rPr>
            </w:pPr>
          </w:p>
        </w:tc>
        <w:tc>
          <w:tcPr>
            <w:tcW w:w="1197" w:type="dxa"/>
            <w:shd w:val="clear" w:color="auto" w:fill="auto"/>
            <w:tcMar>
              <w:left w:w="108" w:type="dxa"/>
              <w:right w:w="108" w:type="dxa"/>
            </w:tcMar>
            <w:vAlign w:val="center"/>
          </w:tcPr>
          <w:p>
            <w:pPr>
              <w:jc w:val="center"/>
              <w:rPr>
                <w:color w:val="auto"/>
                <w:highlight w:val="none"/>
              </w:rPr>
            </w:pPr>
          </w:p>
        </w:tc>
        <w:tc>
          <w:tcPr>
            <w:tcW w:w="1268" w:type="dxa"/>
            <w:shd w:val="clear" w:color="auto" w:fill="auto"/>
            <w:tcMar>
              <w:left w:w="108" w:type="dxa"/>
              <w:right w:w="108" w:type="dxa"/>
            </w:tcMar>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68" w:type="dxa"/>
            <w:vMerge w:val="continue"/>
            <w:shd w:val="clear" w:color="auto" w:fill="auto"/>
            <w:tcMar>
              <w:left w:w="108" w:type="dxa"/>
              <w:right w:w="108" w:type="dxa"/>
            </w:tcMar>
            <w:vAlign w:val="center"/>
          </w:tcPr>
          <w:p>
            <w:pPr>
              <w:jc w:val="center"/>
              <w:rPr>
                <w:color w:val="auto"/>
                <w:highlight w:val="none"/>
              </w:rPr>
            </w:pPr>
          </w:p>
        </w:tc>
        <w:tc>
          <w:tcPr>
            <w:tcW w:w="1843" w:type="dxa"/>
            <w:vMerge w:val="continue"/>
            <w:shd w:val="clear" w:color="auto" w:fill="auto"/>
            <w:tcMar>
              <w:left w:w="108" w:type="dxa"/>
              <w:right w:w="108" w:type="dxa"/>
            </w:tcMar>
            <w:vAlign w:val="center"/>
          </w:tcPr>
          <w:p>
            <w:pPr>
              <w:jc w:val="center"/>
              <w:rPr>
                <w:color w:val="auto"/>
                <w:highlight w:val="none"/>
              </w:rPr>
            </w:pPr>
          </w:p>
        </w:tc>
        <w:tc>
          <w:tcPr>
            <w:tcW w:w="751" w:type="dxa"/>
            <w:shd w:val="clear" w:color="auto" w:fill="auto"/>
            <w:tcMar>
              <w:left w:w="108" w:type="dxa"/>
              <w:right w:w="108" w:type="dxa"/>
            </w:tcMar>
            <w:vAlign w:val="center"/>
          </w:tcPr>
          <w:p>
            <w:pPr>
              <w:jc w:val="center"/>
              <w:rPr>
                <w:color w:val="auto"/>
                <w:highlight w:val="none"/>
              </w:rPr>
            </w:pPr>
            <w:r>
              <w:rPr>
                <w:color w:val="auto"/>
                <w:highlight w:val="none"/>
              </w:rPr>
              <w:t>2</w:t>
            </w:r>
          </w:p>
        </w:tc>
        <w:tc>
          <w:tcPr>
            <w:tcW w:w="950" w:type="dxa"/>
            <w:shd w:val="clear" w:color="auto" w:fill="auto"/>
            <w:tcMar>
              <w:left w:w="108" w:type="dxa"/>
              <w:right w:w="108" w:type="dxa"/>
            </w:tcMar>
            <w:vAlign w:val="center"/>
          </w:tcPr>
          <w:p>
            <w:pPr>
              <w:jc w:val="center"/>
              <w:rPr>
                <w:color w:val="auto"/>
                <w:highlight w:val="none"/>
              </w:rPr>
            </w:pPr>
          </w:p>
        </w:tc>
        <w:tc>
          <w:tcPr>
            <w:tcW w:w="1123" w:type="dxa"/>
            <w:shd w:val="clear" w:color="auto" w:fill="auto"/>
            <w:tcMar>
              <w:left w:w="108" w:type="dxa"/>
              <w:right w:w="108" w:type="dxa"/>
            </w:tcMar>
            <w:vAlign w:val="center"/>
          </w:tcPr>
          <w:p>
            <w:pPr>
              <w:jc w:val="center"/>
              <w:rPr>
                <w:color w:val="auto"/>
                <w:highlight w:val="none"/>
              </w:rPr>
            </w:pPr>
          </w:p>
        </w:tc>
        <w:tc>
          <w:tcPr>
            <w:tcW w:w="1090" w:type="dxa"/>
            <w:shd w:val="clear" w:color="auto" w:fill="auto"/>
            <w:tcMar>
              <w:left w:w="108" w:type="dxa"/>
              <w:right w:w="108" w:type="dxa"/>
            </w:tcMar>
            <w:vAlign w:val="center"/>
          </w:tcPr>
          <w:p>
            <w:pPr>
              <w:jc w:val="center"/>
              <w:rPr>
                <w:color w:val="auto"/>
                <w:highlight w:val="none"/>
              </w:rPr>
            </w:pPr>
          </w:p>
        </w:tc>
        <w:tc>
          <w:tcPr>
            <w:tcW w:w="1197" w:type="dxa"/>
            <w:shd w:val="clear" w:color="auto" w:fill="auto"/>
            <w:tcMar>
              <w:left w:w="108" w:type="dxa"/>
              <w:right w:w="108" w:type="dxa"/>
            </w:tcMar>
            <w:vAlign w:val="center"/>
          </w:tcPr>
          <w:p>
            <w:pPr>
              <w:jc w:val="center"/>
              <w:rPr>
                <w:color w:val="auto"/>
                <w:highlight w:val="none"/>
              </w:rPr>
            </w:pPr>
          </w:p>
        </w:tc>
        <w:tc>
          <w:tcPr>
            <w:tcW w:w="1268" w:type="dxa"/>
            <w:shd w:val="clear" w:color="auto" w:fill="auto"/>
            <w:tcMar>
              <w:left w:w="108" w:type="dxa"/>
              <w:right w:w="108" w:type="dxa"/>
            </w:tcMar>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68" w:type="dxa"/>
            <w:vMerge w:val="continue"/>
            <w:shd w:val="clear" w:color="auto" w:fill="auto"/>
            <w:tcMar>
              <w:left w:w="108" w:type="dxa"/>
              <w:right w:w="108" w:type="dxa"/>
            </w:tcMar>
            <w:vAlign w:val="center"/>
          </w:tcPr>
          <w:p>
            <w:pPr>
              <w:jc w:val="center"/>
              <w:rPr>
                <w:color w:val="auto"/>
                <w:highlight w:val="none"/>
              </w:rPr>
            </w:pPr>
          </w:p>
        </w:tc>
        <w:tc>
          <w:tcPr>
            <w:tcW w:w="1843" w:type="dxa"/>
            <w:vMerge w:val="continue"/>
            <w:shd w:val="clear" w:color="auto" w:fill="auto"/>
            <w:tcMar>
              <w:left w:w="108" w:type="dxa"/>
              <w:right w:w="108" w:type="dxa"/>
            </w:tcMar>
            <w:vAlign w:val="center"/>
          </w:tcPr>
          <w:p>
            <w:pPr>
              <w:jc w:val="center"/>
              <w:rPr>
                <w:color w:val="auto"/>
                <w:highlight w:val="none"/>
              </w:rPr>
            </w:pPr>
          </w:p>
        </w:tc>
        <w:tc>
          <w:tcPr>
            <w:tcW w:w="751" w:type="dxa"/>
            <w:shd w:val="clear" w:color="auto" w:fill="auto"/>
            <w:tcMar>
              <w:left w:w="108" w:type="dxa"/>
              <w:right w:w="108" w:type="dxa"/>
            </w:tcMar>
            <w:vAlign w:val="center"/>
          </w:tcPr>
          <w:p>
            <w:pPr>
              <w:jc w:val="center"/>
              <w:rPr>
                <w:color w:val="auto"/>
                <w:highlight w:val="none"/>
              </w:rPr>
            </w:pPr>
            <w:r>
              <w:rPr>
                <w:color w:val="auto"/>
                <w:highlight w:val="none"/>
              </w:rPr>
              <w:t>3</w:t>
            </w:r>
          </w:p>
        </w:tc>
        <w:tc>
          <w:tcPr>
            <w:tcW w:w="950" w:type="dxa"/>
            <w:shd w:val="clear" w:color="auto" w:fill="auto"/>
            <w:tcMar>
              <w:left w:w="108" w:type="dxa"/>
              <w:right w:w="108" w:type="dxa"/>
            </w:tcMar>
            <w:vAlign w:val="center"/>
          </w:tcPr>
          <w:p>
            <w:pPr>
              <w:jc w:val="center"/>
              <w:rPr>
                <w:color w:val="auto"/>
                <w:highlight w:val="none"/>
              </w:rPr>
            </w:pPr>
          </w:p>
        </w:tc>
        <w:tc>
          <w:tcPr>
            <w:tcW w:w="1123" w:type="dxa"/>
            <w:shd w:val="clear" w:color="auto" w:fill="auto"/>
            <w:tcMar>
              <w:left w:w="108" w:type="dxa"/>
              <w:right w:w="108" w:type="dxa"/>
            </w:tcMar>
            <w:vAlign w:val="center"/>
          </w:tcPr>
          <w:p>
            <w:pPr>
              <w:jc w:val="center"/>
              <w:rPr>
                <w:color w:val="auto"/>
                <w:highlight w:val="none"/>
              </w:rPr>
            </w:pPr>
          </w:p>
        </w:tc>
        <w:tc>
          <w:tcPr>
            <w:tcW w:w="1090" w:type="dxa"/>
            <w:shd w:val="clear" w:color="auto" w:fill="auto"/>
            <w:tcMar>
              <w:left w:w="108" w:type="dxa"/>
              <w:right w:w="108" w:type="dxa"/>
            </w:tcMar>
            <w:vAlign w:val="center"/>
          </w:tcPr>
          <w:p>
            <w:pPr>
              <w:jc w:val="center"/>
              <w:rPr>
                <w:color w:val="auto"/>
                <w:highlight w:val="none"/>
              </w:rPr>
            </w:pPr>
          </w:p>
        </w:tc>
        <w:tc>
          <w:tcPr>
            <w:tcW w:w="1197" w:type="dxa"/>
            <w:shd w:val="clear" w:color="auto" w:fill="auto"/>
            <w:tcMar>
              <w:left w:w="108" w:type="dxa"/>
              <w:right w:w="108" w:type="dxa"/>
            </w:tcMar>
            <w:vAlign w:val="center"/>
          </w:tcPr>
          <w:p>
            <w:pPr>
              <w:jc w:val="center"/>
              <w:rPr>
                <w:color w:val="auto"/>
                <w:highlight w:val="none"/>
              </w:rPr>
            </w:pPr>
          </w:p>
        </w:tc>
        <w:tc>
          <w:tcPr>
            <w:tcW w:w="1268" w:type="dxa"/>
            <w:shd w:val="clear" w:color="auto" w:fill="auto"/>
            <w:tcMar>
              <w:left w:w="108" w:type="dxa"/>
              <w:right w:w="108" w:type="dxa"/>
            </w:tcMar>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68" w:type="dxa"/>
            <w:vMerge w:val="restart"/>
            <w:shd w:val="clear" w:color="auto" w:fill="auto"/>
            <w:tcMar>
              <w:left w:w="108" w:type="dxa"/>
              <w:right w:w="108" w:type="dxa"/>
            </w:tcMar>
            <w:vAlign w:val="center"/>
          </w:tcPr>
          <w:p>
            <w:pPr>
              <w:jc w:val="center"/>
              <w:rPr>
                <w:color w:val="auto"/>
                <w:highlight w:val="none"/>
              </w:rPr>
            </w:pPr>
          </w:p>
        </w:tc>
        <w:tc>
          <w:tcPr>
            <w:tcW w:w="1843" w:type="dxa"/>
            <w:vMerge w:val="restart"/>
            <w:shd w:val="clear" w:color="auto" w:fill="auto"/>
            <w:tcMar>
              <w:left w:w="108" w:type="dxa"/>
              <w:right w:w="108" w:type="dxa"/>
            </w:tcMar>
            <w:vAlign w:val="center"/>
          </w:tcPr>
          <w:p>
            <w:pPr>
              <w:jc w:val="center"/>
              <w:rPr>
                <w:color w:val="auto"/>
                <w:highlight w:val="none"/>
              </w:rPr>
            </w:pPr>
          </w:p>
        </w:tc>
        <w:tc>
          <w:tcPr>
            <w:tcW w:w="751" w:type="dxa"/>
            <w:shd w:val="clear" w:color="auto" w:fill="auto"/>
            <w:tcMar>
              <w:left w:w="108" w:type="dxa"/>
              <w:right w:w="108" w:type="dxa"/>
            </w:tcMar>
            <w:vAlign w:val="center"/>
          </w:tcPr>
          <w:p>
            <w:pPr>
              <w:jc w:val="center"/>
              <w:rPr>
                <w:color w:val="auto"/>
                <w:highlight w:val="none"/>
              </w:rPr>
            </w:pPr>
            <w:r>
              <w:rPr>
                <w:color w:val="auto"/>
                <w:highlight w:val="none"/>
              </w:rPr>
              <w:t>1</w:t>
            </w:r>
          </w:p>
        </w:tc>
        <w:tc>
          <w:tcPr>
            <w:tcW w:w="950" w:type="dxa"/>
            <w:shd w:val="clear" w:color="auto" w:fill="auto"/>
            <w:tcMar>
              <w:left w:w="108" w:type="dxa"/>
              <w:right w:w="108" w:type="dxa"/>
            </w:tcMar>
            <w:vAlign w:val="center"/>
          </w:tcPr>
          <w:p>
            <w:pPr>
              <w:jc w:val="center"/>
              <w:rPr>
                <w:color w:val="auto"/>
                <w:highlight w:val="none"/>
              </w:rPr>
            </w:pPr>
          </w:p>
        </w:tc>
        <w:tc>
          <w:tcPr>
            <w:tcW w:w="1123" w:type="dxa"/>
            <w:shd w:val="clear" w:color="auto" w:fill="auto"/>
            <w:tcMar>
              <w:left w:w="108" w:type="dxa"/>
              <w:right w:w="108" w:type="dxa"/>
            </w:tcMar>
            <w:vAlign w:val="center"/>
          </w:tcPr>
          <w:p>
            <w:pPr>
              <w:jc w:val="center"/>
              <w:rPr>
                <w:color w:val="auto"/>
                <w:highlight w:val="none"/>
              </w:rPr>
            </w:pPr>
          </w:p>
        </w:tc>
        <w:tc>
          <w:tcPr>
            <w:tcW w:w="1090" w:type="dxa"/>
            <w:shd w:val="clear" w:color="auto" w:fill="auto"/>
            <w:tcMar>
              <w:left w:w="108" w:type="dxa"/>
              <w:right w:w="108" w:type="dxa"/>
            </w:tcMar>
            <w:vAlign w:val="center"/>
          </w:tcPr>
          <w:p>
            <w:pPr>
              <w:jc w:val="center"/>
              <w:rPr>
                <w:color w:val="auto"/>
                <w:highlight w:val="none"/>
              </w:rPr>
            </w:pPr>
          </w:p>
        </w:tc>
        <w:tc>
          <w:tcPr>
            <w:tcW w:w="1197" w:type="dxa"/>
            <w:shd w:val="clear" w:color="auto" w:fill="auto"/>
            <w:tcMar>
              <w:left w:w="108" w:type="dxa"/>
              <w:right w:w="108" w:type="dxa"/>
            </w:tcMar>
            <w:vAlign w:val="center"/>
          </w:tcPr>
          <w:p>
            <w:pPr>
              <w:jc w:val="center"/>
              <w:rPr>
                <w:color w:val="auto"/>
                <w:highlight w:val="none"/>
              </w:rPr>
            </w:pPr>
          </w:p>
        </w:tc>
        <w:tc>
          <w:tcPr>
            <w:tcW w:w="1268" w:type="dxa"/>
            <w:shd w:val="clear" w:color="auto" w:fill="auto"/>
            <w:tcMar>
              <w:left w:w="108" w:type="dxa"/>
              <w:right w:w="108" w:type="dxa"/>
            </w:tcMar>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68" w:type="dxa"/>
            <w:vMerge w:val="continue"/>
            <w:shd w:val="clear" w:color="auto" w:fill="auto"/>
            <w:tcMar>
              <w:left w:w="108" w:type="dxa"/>
              <w:right w:w="108" w:type="dxa"/>
            </w:tcMar>
            <w:vAlign w:val="center"/>
          </w:tcPr>
          <w:p>
            <w:pPr>
              <w:jc w:val="center"/>
              <w:rPr>
                <w:color w:val="auto"/>
                <w:highlight w:val="none"/>
              </w:rPr>
            </w:pPr>
          </w:p>
        </w:tc>
        <w:tc>
          <w:tcPr>
            <w:tcW w:w="1843" w:type="dxa"/>
            <w:vMerge w:val="continue"/>
            <w:shd w:val="clear" w:color="auto" w:fill="auto"/>
            <w:tcMar>
              <w:left w:w="108" w:type="dxa"/>
              <w:right w:w="108" w:type="dxa"/>
            </w:tcMar>
            <w:vAlign w:val="center"/>
          </w:tcPr>
          <w:p>
            <w:pPr>
              <w:jc w:val="center"/>
              <w:rPr>
                <w:color w:val="auto"/>
                <w:highlight w:val="none"/>
              </w:rPr>
            </w:pPr>
          </w:p>
        </w:tc>
        <w:tc>
          <w:tcPr>
            <w:tcW w:w="751" w:type="dxa"/>
            <w:shd w:val="clear" w:color="auto" w:fill="auto"/>
            <w:tcMar>
              <w:left w:w="108" w:type="dxa"/>
              <w:right w:w="108" w:type="dxa"/>
            </w:tcMar>
            <w:vAlign w:val="center"/>
          </w:tcPr>
          <w:p>
            <w:pPr>
              <w:jc w:val="center"/>
              <w:rPr>
                <w:color w:val="auto"/>
                <w:highlight w:val="none"/>
              </w:rPr>
            </w:pPr>
            <w:r>
              <w:rPr>
                <w:color w:val="auto"/>
                <w:highlight w:val="none"/>
              </w:rPr>
              <w:t>2</w:t>
            </w:r>
          </w:p>
        </w:tc>
        <w:tc>
          <w:tcPr>
            <w:tcW w:w="950" w:type="dxa"/>
            <w:shd w:val="clear" w:color="auto" w:fill="auto"/>
            <w:tcMar>
              <w:left w:w="108" w:type="dxa"/>
              <w:right w:w="108" w:type="dxa"/>
            </w:tcMar>
            <w:vAlign w:val="center"/>
          </w:tcPr>
          <w:p>
            <w:pPr>
              <w:jc w:val="center"/>
              <w:rPr>
                <w:color w:val="auto"/>
                <w:highlight w:val="none"/>
              </w:rPr>
            </w:pPr>
          </w:p>
        </w:tc>
        <w:tc>
          <w:tcPr>
            <w:tcW w:w="1123" w:type="dxa"/>
            <w:shd w:val="clear" w:color="auto" w:fill="auto"/>
            <w:tcMar>
              <w:left w:w="108" w:type="dxa"/>
              <w:right w:w="108" w:type="dxa"/>
            </w:tcMar>
            <w:vAlign w:val="center"/>
          </w:tcPr>
          <w:p>
            <w:pPr>
              <w:jc w:val="center"/>
              <w:rPr>
                <w:color w:val="auto"/>
                <w:highlight w:val="none"/>
              </w:rPr>
            </w:pPr>
          </w:p>
        </w:tc>
        <w:tc>
          <w:tcPr>
            <w:tcW w:w="1090" w:type="dxa"/>
            <w:shd w:val="clear" w:color="auto" w:fill="auto"/>
            <w:tcMar>
              <w:left w:w="108" w:type="dxa"/>
              <w:right w:w="108" w:type="dxa"/>
            </w:tcMar>
            <w:vAlign w:val="center"/>
          </w:tcPr>
          <w:p>
            <w:pPr>
              <w:jc w:val="center"/>
              <w:rPr>
                <w:color w:val="auto"/>
                <w:highlight w:val="none"/>
              </w:rPr>
            </w:pPr>
          </w:p>
        </w:tc>
        <w:tc>
          <w:tcPr>
            <w:tcW w:w="1197" w:type="dxa"/>
            <w:shd w:val="clear" w:color="auto" w:fill="auto"/>
            <w:tcMar>
              <w:left w:w="108" w:type="dxa"/>
              <w:right w:w="108" w:type="dxa"/>
            </w:tcMar>
            <w:vAlign w:val="center"/>
          </w:tcPr>
          <w:p>
            <w:pPr>
              <w:jc w:val="center"/>
              <w:rPr>
                <w:color w:val="auto"/>
                <w:highlight w:val="none"/>
              </w:rPr>
            </w:pPr>
          </w:p>
        </w:tc>
        <w:tc>
          <w:tcPr>
            <w:tcW w:w="1268" w:type="dxa"/>
            <w:shd w:val="clear" w:color="auto" w:fill="auto"/>
            <w:tcMar>
              <w:left w:w="108" w:type="dxa"/>
              <w:right w:w="108" w:type="dxa"/>
            </w:tcMar>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68" w:type="dxa"/>
            <w:vMerge w:val="continue"/>
            <w:shd w:val="clear" w:color="auto" w:fill="auto"/>
            <w:tcMar>
              <w:left w:w="108" w:type="dxa"/>
              <w:right w:w="108" w:type="dxa"/>
            </w:tcMar>
            <w:vAlign w:val="center"/>
          </w:tcPr>
          <w:p>
            <w:pPr>
              <w:jc w:val="center"/>
              <w:rPr>
                <w:color w:val="auto"/>
                <w:highlight w:val="none"/>
              </w:rPr>
            </w:pPr>
          </w:p>
        </w:tc>
        <w:tc>
          <w:tcPr>
            <w:tcW w:w="1843" w:type="dxa"/>
            <w:vMerge w:val="continue"/>
            <w:shd w:val="clear" w:color="auto" w:fill="auto"/>
            <w:tcMar>
              <w:left w:w="108" w:type="dxa"/>
              <w:right w:w="108" w:type="dxa"/>
            </w:tcMar>
            <w:vAlign w:val="center"/>
          </w:tcPr>
          <w:p>
            <w:pPr>
              <w:jc w:val="center"/>
              <w:rPr>
                <w:color w:val="auto"/>
                <w:highlight w:val="none"/>
              </w:rPr>
            </w:pPr>
          </w:p>
        </w:tc>
        <w:tc>
          <w:tcPr>
            <w:tcW w:w="751" w:type="dxa"/>
            <w:shd w:val="clear" w:color="auto" w:fill="auto"/>
            <w:tcMar>
              <w:left w:w="108" w:type="dxa"/>
              <w:right w:w="108" w:type="dxa"/>
            </w:tcMar>
            <w:vAlign w:val="center"/>
          </w:tcPr>
          <w:p>
            <w:pPr>
              <w:jc w:val="center"/>
              <w:rPr>
                <w:color w:val="auto"/>
                <w:highlight w:val="none"/>
              </w:rPr>
            </w:pPr>
            <w:r>
              <w:rPr>
                <w:color w:val="auto"/>
                <w:highlight w:val="none"/>
              </w:rPr>
              <w:t>3</w:t>
            </w:r>
          </w:p>
        </w:tc>
        <w:tc>
          <w:tcPr>
            <w:tcW w:w="950" w:type="dxa"/>
            <w:shd w:val="clear" w:color="auto" w:fill="auto"/>
            <w:tcMar>
              <w:left w:w="108" w:type="dxa"/>
              <w:right w:w="108" w:type="dxa"/>
            </w:tcMar>
            <w:vAlign w:val="center"/>
          </w:tcPr>
          <w:p>
            <w:pPr>
              <w:jc w:val="center"/>
              <w:rPr>
                <w:color w:val="auto"/>
                <w:highlight w:val="none"/>
              </w:rPr>
            </w:pPr>
          </w:p>
        </w:tc>
        <w:tc>
          <w:tcPr>
            <w:tcW w:w="1123" w:type="dxa"/>
            <w:shd w:val="clear" w:color="auto" w:fill="auto"/>
            <w:tcMar>
              <w:left w:w="108" w:type="dxa"/>
              <w:right w:w="108" w:type="dxa"/>
            </w:tcMar>
            <w:vAlign w:val="center"/>
          </w:tcPr>
          <w:p>
            <w:pPr>
              <w:jc w:val="center"/>
              <w:rPr>
                <w:color w:val="auto"/>
                <w:highlight w:val="none"/>
              </w:rPr>
            </w:pPr>
          </w:p>
        </w:tc>
        <w:tc>
          <w:tcPr>
            <w:tcW w:w="1090" w:type="dxa"/>
            <w:shd w:val="clear" w:color="auto" w:fill="auto"/>
            <w:tcMar>
              <w:left w:w="108" w:type="dxa"/>
              <w:right w:w="108" w:type="dxa"/>
            </w:tcMar>
            <w:vAlign w:val="center"/>
          </w:tcPr>
          <w:p>
            <w:pPr>
              <w:jc w:val="center"/>
              <w:rPr>
                <w:color w:val="auto"/>
                <w:highlight w:val="none"/>
              </w:rPr>
            </w:pPr>
          </w:p>
        </w:tc>
        <w:tc>
          <w:tcPr>
            <w:tcW w:w="1197" w:type="dxa"/>
            <w:shd w:val="clear" w:color="auto" w:fill="auto"/>
            <w:tcMar>
              <w:left w:w="108" w:type="dxa"/>
              <w:right w:w="108" w:type="dxa"/>
            </w:tcMar>
            <w:vAlign w:val="center"/>
          </w:tcPr>
          <w:p>
            <w:pPr>
              <w:jc w:val="center"/>
              <w:rPr>
                <w:color w:val="auto"/>
                <w:highlight w:val="none"/>
              </w:rPr>
            </w:pPr>
          </w:p>
        </w:tc>
        <w:tc>
          <w:tcPr>
            <w:tcW w:w="1268" w:type="dxa"/>
            <w:shd w:val="clear" w:color="auto" w:fill="auto"/>
            <w:tcMar>
              <w:left w:w="108" w:type="dxa"/>
              <w:right w:w="108" w:type="dxa"/>
            </w:tcMar>
            <w:vAlign w:val="center"/>
          </w:tcPr>
          <w:p>
            <w:pPr>
              <w:jc w:val="center"/>
              <w:rPr>
                <w:color w:val="auto"/>
                <w:highlight w:val="none"/>
              </w:rPr>
            </w:pPr>
          </w:p>
        </w:tc>
      </w:tr>
    </w:tbl>
    <w:p>
      <w:pPr>
        <w:spacing w:line="440" w:lineRule="exact"/>
        <w:ind w:right="420" w:firstLine="420" w:firstLineChars="200"/>
        <w:rPr>
          <w:color w:val="auto"/>
          <w:highlight w:val="none"/>
        </w:rPr>
      </w:pPr>
      <w:r>
        <w:rPr>
          <w:rFonts w:hint="eastAsia" w:cs="宋体"/>
          <w:color w:val="auto"/>
          <w:highlight w:val="none"/>
        </w:rPr>
        <w:t>备注：本表所列分包仅限于承包人自行施工范围内的非主体、非关键工程。</w:t>
      </w:r>
    </w:p>
    <w:p>
      <w:pPr>
        <w:wordWrap w:val="0"/>
        <w:spacing w:line="440" w:lineRule="exact"/>
        <w:ind w:right="420"/>
        <w:jc w:val="right"/>
        <w:rPr>
          <w:color w:val="auto"/>
          <w:highlight w:val="none"/>
        </w:rPr>
      </w:pPr>
    </w:p>
    <w:p>
      <w:pPr>
        <w:spacing w:line="440" w:lineRule="exact"/>
        <w:ind w:right="420"/>
        <w:jc w:val="right"/>
        <w:rPr>
          <w:color w:val="auto"/>
          <w:highlight w:val="none"/>
        </w:rPr>
      </w:pP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r>
        <w:rPr>
          <w:color w:val="auto"/>
          <w:highlight w:val="none"/>
        </w:rPr>
        <w:t xml:space="preserve">  </w:t>
      </w:r>
    </w:p>
    <w:p>
      <w:pPr>
        <w:spacing w:line="360" w:lineRule="auto"/>
        <w:ind w:firstLine="490"/>
        <w:jc w:val="center"/>
        <w:rPr>
          <w:color w:val="auto"/>
          <w:highlight w:val="none"/>
        </w:rPr>
      </w:pPr>
    </w:p>
    <w:p>
      <w:pPr>
        <w:spacing w:line="360" w:lineRule="auto"/>
        <w:ind w:firstLine="490"/>
        <w:jc w:val="center"/>
        <w:rPr>
          <w:color w:val="auto"/>
          <w:highlight w:val="none"/>
        </w:rPr>
      </w:pPr>
    </w:p>
    <w:p>
      <w:pPr>
        <w:spacing w:line="360" w:lineRule="auto"/>
        <w:ind w:firstLine="490"/>
        <w:jc w:val="center"/>
        <w:rPr>
          <w:color w:val="auto"/>
          <w:highlight w:val="none"/>
        </w:rPr>
      </w:pPr>
    </w:p>
    <w:p>
      <w:pPr>
        <w:pStyle w:val="146"/>
        <w:jc w:val="center"/>
        <w:rPr>
          <w:rFonts w:cs="宋体"/>
          <w:b/>
          <w:color w:val="auto"/>
          <w:sz w:val="24"/>
          <w:szCs w:val="24"/>
          <w:highlight w:val="none"/>
        </w:rPr>
      </w:pPr>
      <w:r>
        <w:rPr>
          <w:rFonts w:hint="eastAsia" w:cs="宋体"/>
          <w:b/>
          <w:color w:val="auto"/>
          <w:sz w:val="24"/>
          <w:szCs w:val="24"/>
          <w:highlight w:val="none"/>
        </w:rPr>
        <w:t>三、项目管理机构</w:t>
      </w:r>
    </w:p>
    <w:p>
      <w:pPr>
        <w:pStyle w:val="146"/>
        <w:jc w:val="center"/>
        <w:rPr>
          <w:b/>
          <w:color w:val="auto"/>
          <w:sz w:val="24"/>
          <w:szCs w:val="24"/>
          <w:highlight w:val="none"/>
        </w:rPr>
      </w:pPr>
      <w:bookmarkStart w:id="1576" w:name="_Toc173579005"/>
      <w:bookmarkStart w:id="1577" w:name="_Toc153274947"/>
      <w:bookmarkStart w:id="1578" w:name="_Toc172364025"/>
      <w:bookmarkStart w:id="1579" w:name="_Toc251052184"/>
    </w:p>
    <w:p>
      <w:pPr>
        <w:pStyle w:val="146"/>
        <w:jc w:val="center"/>
        <w:rPr>
          <w:b/>
          <w:color w:val="auto"/>
          <w:sz w:val="28"/>
          <w:szCs w:val="28"/>
          <w:highlight w:val="none"/>
        </w:rPr>
      </w:pPr>
      <w:r>
        <w:rPr>
          <w:b/>
          <w:color w:val="auto"/>
          <w:sz w:val="24"/>
          <w:szCs w:val="24"/>
          <w:highlight w:val="none"/>
        </w:rPr>
        <w:t>1</w:t>
      </w:r>
      <w:r>
        <w:rPr>
          <w:rFonts w:hint="eastAsia" w:cs="宋体"/>
          <w:b/>
          <w:color w:val="auto"/>
          <w:sz w:val="24"/>
          <w:szCs w:val="24"/>
          <w:highlight w:val="none"/>
        </w:rPr>
        <w:t>、项目管理机构配备情况表</w:t>
      </w:r>
      <w:bookmarkEnd w:id="1576"/>
      <w:bookmarkEnd w:id="1577"/>
      <w:bookmarkEnd w:id="1578"/>
      <w:bookmarkEnd w:id="1579"/>
    </w:p>
    <w:p>
      <w:pPr>
        <w:pStyle w:val="146"/>
        <w:rPr>
          <w:color w:val="auto"/>
          <w:highlight w:val="none"/>
          <w:u w:val="single"/>
        </w:rPr>
      </w:pPr>
    </w:p>
    <w:p>
      <w:pPr>
        <w:pStyle w:val="146"/>
        <w:rPr>
          <w:color w:val="auto"/>
          <w:highlight w:val="none"/>
        </w:rPr>
      </w:pPr>
      <w:r>
        <w:rPr>
          <w:color w:val="auto"/>
          <w:highlight w:val="none"/>
          <w:u w:val="single"/>
        </w:rPr>
        <w:t xml:space="preserve">            </w:t>
      </w:r>
      <w:bookmarkStart w:id="1580" w:name="_Toc251052185"/>
      <w:r>
        <w:rPr>
          <w:rFonts w:hint="eastAsia" w:cs="宋体"/>
          <w:color w:val="auto"/>
          <w:highlight w:val="none"/>
          <w:u w:val="single"/>
        </w:rPr>
        <w:t>（招标工程项目名称）</w:t>
      </w:r>
      <w:r>
        <w:rPr>
          <w:color w:val="auto"/>
          <w:highlight w:val="none"/>
          <w:u w:val="single"/>
        </w:rPr>
        <w:t xml:space="preserve">        </w:t>
      </w:r>
      <w:r>
        <w:rPr>
          <w:color w:val="auto"/>
          <w:highlight w:val="none"/>
        </w:rPr>
        <w:t xml:space="preserve"> </w:t>
      </w:r>
      <w:r>
        <w:rPr>
          <w:rFonts w:hint="eastAsia" w:cs="宋体"/>
          <w:color w:val="auto"/>
          <w:highlight w:val="none"/>
        </w:rPr>
        <w:t>工程</w:t>
      </w:r>
      <w:r>
        <w:rPr>
          <w:color w:val="auto"/>
          <w:highlight w:val="none"/>
        </w:rPr>
        <w:t xml:space="preserve"> </w:t>
      </w:r>
      <w:bookmarkEnd w:id="1580"/>
    </w:p>
    <w:tbl>
      <w:tblPr>
        <w:tblStyle w:val="42"/>
        <w:tblW w:w="93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829"/>
        <w:gridCol w:w="816"/>
        <w:gridCol w:w="1148"/>
        <w:gridCol w:w="1148"/>
        <w:gridCol w:w="1148"/>
        <w:gridCol w:w="1148"/>
        <w:gridCol w:w="85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7" w:hRule="atLeast"/>
          <w:jc w:val="center"/>
        </w:trPr>
        <w:tc>
          <w:tcPr>
            <w:tcW w:w="993" w:type="dxa"/>
            <w:vMerge w:val="restart"/>
            <w:shd w:val="clear" w:color="auto" w:fill="auto"/>
            <w:vAlign w:val="center"/>
          </w:tcPr>
          <w:p>
            <w:pPr>
              <w:ind w:left="223" w:hanging="222" w:hangingChars="106"/>
              <w:jc w:val="center"/>
              <w:rPr>
                <w:color w:val="auto"/>
                <w:highlight w:val="none"/>
              </w:rPr>
            </w:pPr>
            <w:r>
              <w:rPr>
                <w:rFonts w:hint="eastAsia" w:cs="宋体"/>
                <w:color w:val="auto"/>
                <w:highlight w:val="none"/>
              </w:rPr>
              <w:t>岗位</w:t>
            </w:r>
          </w:p>
        </w:tc>
        <w:tc>
          <w:tcPr>
            <w:tcW w:w="829" w:type="dxa"/>
            <w:vMerge w:val="restart"/>
            <w:shd w:val="clear" w:color="auto" w:fill="auto"/>
            <w:vAlign w:val="center"/>
          </w:tcPr>
          <w:p>
            <w:pPr>
              <w:ind w:left="223" w:hanging="222" w:hangingChars="106"/>
              <w:jc w:val="center"/>
              <w:rPr>
                <w:color w:val="auto"/>
                <w:highlight w:val="none"/>
              </w:rPr>
            </w:pPr>
            <w:bookmarkStart w:id="1581" w:name="_Toc251052187"/>
            <w:r>
              <w:rPr>
                <w:rFonts w:hint="eastAsia" w:cs="宋体"/>
                <w:color w:val="auto"/>
                <w:highlight w:val="none"/>
              </w:rPr>
              <w:t>姓名</w:t>
            </w:r>
            <w:bookmarkEnd w:id="1581"/>
          </w:p>
        </w:tc>
        <w:tc>
          <w:tcPr>
            <w:tcW w:w="816" w:type="dxa"/>
            <w:vMerge w:val="restart"/>
            <w:shd w:val="clear" w:color="auto" w:fill="auto"/>
            <w:vAlign w:val="center"/>
          </w:tcPr>
          <w:p>
            <w:pPr>
              <w:ind w:left="223" w:hanging="222" w:hangingChars="106"/>
              <w:jc w:val="center"/>
              <w:rPr>
                <w:color w:val="auto"/>
                <w:highlight w:val="none"/>
              </w:rPr>
            </w:pPr>
            <w:bookmarkStart w:id="1582" w:name="_Toc251052188"/>
            <w:r>
              <w:rPr>
                <w:rFonts w:hint="eastAsia" w:cs="宋体"/>
                <w:color w:val="auto"/>
                <w:highlight w:val="none"/>
              </w:rPr>
              <w:t>职称</w:t>
            </w:r>
            <w:bookmarkEnd w:id="1582"/>
          </w:p>
        </w:tc>
        <w:tc>
          <w:tcPr>
            <w:tcW w:w="4592" w:type="dxa"/>
            <w:gridSpan w:val="4"/>
            <w:shd w:val="clear" w:color="auto" w:fill="auto"/>
            <w:vAlign w:val="center"/>
          </w:tcPr>
          <w:p>
            <w:pPr>
              <w:ind w:left="223" w:hanging="222" w:hangingChars="106"/>
              <w:jc w:val="center"/>
              <w:rPr>
                <w:color w:val="auto"/>
                <w:highlight w:val="none"/>
              </w:rPr>
            </w:pPr>
            <w:bookmarkStart w:id="1583" w:name="_Toc251052189"/>
            <w:r>
              <w:rPr>
                <w:rFonts w:hint="eastAsia" w:cs="宋体"/>
                <w:color w:val="auto"/>
                <w:highlight w:val="none"/>
              </w:rPr>
              <w:t>执业或职业资格证明</w:t>
            </w:r>
            <w:bookmarkEnd w:id="1583"/>
          </w:p>
        </w:tc>
        <w:tc>
          <w:tcPr>
            <w:tcW w:w="2126" w:type="dxa"/>
            <w:gridSpan w:val="2"/>
            <w:shd w:val="clear" w:color="auto" w:fill="auto"/>
            <w:vAlign w:val="center"/>
          </w:tcPr>
          <w:p>
            <w:pPr>
              <w:ind w:left="223" w:hanging="222" w:hangingChars="106"/>
              <w:jc w:val="center"/>
              <w:rPr>
                <w:color w:val="auto"/>
                <w:highlight w:val="none"/>
              </w:rPr>
            </w:pPr>
            <w:bookmarkStart w:id="1584" w:name="_Toc251052190"/>
            <w:r>
              <w:rPr>
                <w:rFonts w:hint="eastAsia" w:cs="宋体"/>
                <w:color w:val="auto"/>
                <w:highlight w:val="none"/>
              </w:rPr>
              <w:t>承担完工</w:t>
            </w:r>
            <w:bookmarkEnd w:id="1584"/>
            <w:bookmarkStart w:id="1585" w:name="_Toc251052191"/>
            <w:r>
              <w:rPr>
                <w:rFonts w:hint="eastAsia" w:cs="宋体"/>
                <w:color w:val="auto"/>
                <w:highlight w:val="none"/>
              </w:rPr>
              <w:t>工程情况</w:t>
            </w:r>
            <w:bookmarkEnd w:id="158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4" w:hRule="atLeast"/>
          <w:jc w:val="center"/>
        </w:trPr>
        <w:tc>
          <w:tcPr>
            <w:tcW w:w="993" w:type="dxa"/>
            <w:vMerge w:val="continue"/>
            <w:shd w:val="clear" w:color="auto" w:fill="auto"/>
            <w:vAlign w:val="center"/>
          </w:tcPr>
          <w:p>
            <w:pPr>
              <w:ind w:left="223" w:hanging="222" w:hangingChars="106"/>
              <w:jc w:val="center"/>
              <w:rPr>
                <w:color w:val="auto"/>
                <w:highlight w:val="none"/>
              </w:rPr>
            </w:pPr>
          </w:p>
        </w:tc>
        <w:tc>
          <w:tcPr>
            <w:tcW w:w="829" w:type="dxa"/>
            <w:vMerge w:val="continue"/>
            <w:shd w:val="clear" w:color="auto" w:fill="auto"/>
            <w:vAlign w:val="center"/>
          </w:tcPr>
          <w:p>
            <w:pPr>
              <w:ind w:left="223" w:hanging="222" w:hangingChars="106"/>
              <w:jc w:val="center"/>
              <w:rPr>
                <w:color w:val="auto"/>
                <w:highlight w:val="none"/>
              </w:rPr>
            </w:pPr>
          </w:p>
        </w:tc>
        <w:tc>
          <w:tcPr>
            <w:tcW w:w="816" w:type="dxa"/>
            <w:vMerge w:val="continue"/>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bookmarkStart w:id="1586" w:name="_Toc251052192"/>
            <w:r>
              <w:rPr>
                <w:rFonts w:hint="eastAsia" w:cs="宋体"/>
                <w:color w:val="auto"/>
                <w:highlight w:val="none"/>
              </w:rPr>
              <w:t>证书名称</w:t>
            </w:r>
            <w:bookmarkEnd w:id="1586"/>
          </w:p>
        </w:tc>
        <w:tc>
          <w:tcPr>
            <w:tcW w:w="1148" w:type="dxa"/>
            <w:shd w:val="clear" w:color="auto" w:fill="auto"/>
            <w:vAlign w:val="center"/>
          </w:tcPr>
          <w:p>
            <w:pPr>
              <w:ind w:left="223" w:hanging="222" w:hangingChars="106"/>
              <w:jc w:val="center"/>
              <w:rPr>
                <w:color w:val="auto"/>
                <w:highlight w:val="none"/>
              </w:rPr>
            </w:pPr>
            <w:bookmarkStart w:id="1587" w:name="_Toc251052193"/>
            <w:r>
              <w:rPr>
                <w:rFonts w:hint="eastAsia" w:cs="宋体"/>
                <w:color w:val="auto"/>
                <w:highlight w:val="none"/>
              </w:rPr>
              <w:t>级别</w:t>
            </w:r>
            <w:bookmarkEnd w:id="1587"/>
          </w:p>
        </w:tc>
        <w:tc>
          <w:tcPr>
            <w:tcW w:w="1148" w:type="dxa"/>
            <w:shd w:val="clear" w:color="auto" w:fill="auto"/>
            <w:vAlign w:val="center"/>
          </w:tcPr>
          <w:p>
            <w:pPr>
              <w:ind w:left="223" w:hanging="222" w:hangingChars="106"/>
              <w:jc w:val="center"/>
              <w:rPr>
                <w:color w:val="auto"/>
                <w:highlight w:val="none"/>
              </w:rPr>
            </w:pPr>
            <w:bookmarkStart w:id="1588" w:name="_Toc251052194"/>
            <w:r>
              <w:rPr>
                <w:rFonts w:hint="eastAsia" w:cs="宋体"/>
                <w:color w:val="auto"/>
                <w:highlight w:val="none"/>
              </w:rPr>
              <w:t>证号</w:t>
            </w:r>
            <w:bookmarkEnd w:id="1588"/>
          </w:p>
        </w:tc>
        <w:tc>
          <w:tcPr>
            <w:tcW w:w="1148" w:type="dxa"/>
            <w:shd w:val="clear" w:color="auto" w:fill="auto"/>
            <w:vAlign w:val="center"/>
          </w:tcPr>
          <w:p>
            <w:pPr>
              <w:ind w:left="223" w:hanging="222" w:hangingChars="106"/>
              <w:jc w:val="center"/>
              <w:rPr>
                <w:color w:val="auto"/>
                <w:highlight w:val="none"/>
              </w:rPr>
            </w:pPr>
            <w:bookmarkStart w:id="1589" w:name="_Toc251052195"/>
            <w:r>
              <w:rPr>
                <w:rFonts w:hint="eastAsia" w:cs="宋体"/>
                <w:color w:val="auto"/>
                <w:highlight w:val="none"/>
              </w:rPr>
              <w:t>专业</w:t>
            </w:r>
            <w:bookmarkEnd w:id="1589"/>
          </w:p>
        </w:tc>
        <w:tc>
          <w:tcPr>
            <w:tcW w:w="850" w:type="dxa"/>
            <w:shd w:val="clear" w:color="auto" w:fill="auto"/>
            <w:vAlign w:val="center"/>
          </w:tcPr>
          <w:p>
            <w:pPr>
              <w:ind w:left="223" w:hanging="222" w:hangingChars="106"/>
              <w:jc w:val="center"/>
              <w:rPr>
                <w:color w:val="auto"/>
                <w:highlight w:val="none"/>
              </w:rPr>
            </w:pPr>
            <w:bookmarkStart w:id="1590" w:name="_Toc251052197"/>
            <w:r>
              <w:rPr>
                <w:rFonts w:hint="eastAsia" w:cs="宋体"/>
                <w:color w:val="auto"/>
                <w:highlight w:val="none"/>
              </w:rPr>
              <w:t>项目数</w:t>
            </w:r>
            <w:bookmarkEnd w:id="1590"/>
          </w:p>
        </w:tc>
        <w:tc>
          <w:tcPr>
            <w:tcW w:w="1276" w:type="dxa"/>
            <w:shd w:val="clear" w:color="auto" w:fill="auto"/>
            <w:vAlign w:val="center"/>
          </w:tcPr>
          <w:p>
            <w:pPr>
              <w:ind w:left="223" w:hanging="222" w:hangingChars="106"/>
              <w:jc w:val="center"/>
              <w:rPr>
                <w:color w:val="auto"/>
                <w:highlight w:val="none"/>
              </w:rPr>
            </w:pPr>
            <w:bookmarkStart w:id="1591" w:name="_Toc251052198"/>
            <w:r>
              <w:rPr>
                <w:rFonts w:hint="eastAsia" w:cs="宋体"/>
                <w:color w:val="auto"/>
                <w:highlight w:val="none"/>
              </w:rPr>
              <w:t>主要项目</w:t>
            </w:r>
          </w:p>
          <w:p>
            <w:pPr>
              <w:ind w:left="223" w:hanging="222" w:hangingChars="106"/>
              <w:jc w:val="center"/>
              <w:rPr>
                <w:color w:val="auto"/>
                <w:highlight w:val="none"/>
              </w:rPr>
            </w:pPr>
            <w:r>
              <w:rPr>
                <w:rFonts w:hint="eastAsia" w:cs="宋体"/>
                <w:color w:val="auto"/>
                <w:highlight w:val="none"/>
              </w:rPr>
              <w:t>名称</w:t>
            </w:r>
            <w:bookmarkEnd w:id="159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993" w:type="dxa"/>
            <w:shd w:val="clear" w:color="auto" w:fill="auto"/>
            <w:vAlign w:val="center"/>
          </w:tcPr>
          <w:p>
            <w:pPr>
              <w:ind w:left="223" w:hanging="222" w:hangingChars="106"/>
              <w:jc w:val="center"/>
              <w:rPr>
                <w:color w:val="auto"/>
                <w:highlight w:val="none"/>
              </w:rPr>
            </w:pPr>
            <w:r>
              <w:rPr>
                <w:rFonts w:hint="eastAsia" w:cs="宋体"/>
                <w:color w:val="auto"/>
                <w:highlight w:val="none"/>
              </w:rPr>
              <w:t>施工员</w:t>
            </w:r>
          </w:p>
        </w:tc>
        <w:tc>
          <w:tcPr>
            <w:tcW w:w="829" w:type="dxa"/>
            <w:shd w:val="clear" w:color="auto" w:fill="auto"/>
            <w:vAlign w:val="center"/>
          </w:tcPr>
          <w:p>
            <w:pPr>
              <w:ind w:left="223" w:hanging="222" w:hangingChars="106"/>
              <w:jc w:val="center"/>
              <w:rPr>
                <w:color w:val="auto"/>
                <w:highlight w:val="none"/>
              </w:rPr>
            </w:pPr>
          </w:p>
        </w:tc>
        <w:tc>
          <w:tcPr>
            <w:tcW w:w="816"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850" w:type="dxa"/>
            <w:shd w:val="clear" w:color="auto" w:fill="auto"/>
            <w:vAlign w:val="center"/>
          </w:tcPr>
          <w:p>
            <w:pPr>
              <w:ind w:left="223" w:hanging="222" w:hangingChars="106"/>
              <w:jc w:val="center"/>
              <w:rPr>
                <w:color w:val="auto"/>
                <w:highlight w:val="none"/>
              </w:rPr>
            </w:pPr>
          </w:p>
        </w:tc>
        <w:tc>
          <w:tcPr>
            <w:tcW w:w="1276" w:type="dxa"/>
            <w:shd w:val="clear" w:color="auto" w:fill="auto"/>
            <w:vAlign w:val="center"/>
          </w:tcPr>
          <w:p>
            <w:pPr>
              <w:ind w:left="223" w:hanging="222" w:hangingChars="106"/>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993" w:type="dxa"/>
            <w:shd w:val="clear" w:color="auto" w:fill="auto"/>
            <w:vAlign w:val="center"/>
          </w:tcPr>
          <w:p>
            <w:pPr>
              <w:ind w:left="223" w:hanging="222" w:hangingChars="106"/>
              <w:jc w:val="center"/>
              <w:rPr>
                <w:color w:val="auto"/>
                <w:highlight w:val="none"/>
              </w:rPr>
            </w:pPr>
            <w:r>
              <w:rPr>
                <w:rFonts w:hint="eastAsia" w:cs="宋体"/>
                <w:color w:val="auto"/>
                <w:highlight w:val="none"/>
              </w:rPr>
              <w:t>质量员</w:t>
            </w:r>
          </w:p>
        </w:tc>
        <w:tc>
          <w:tcPr>
            <w:tcW w:w="829" w:type="dxa"/>
            <w:shd w:val="clear" w:color="auto" w:fill="auto"/>
            <w:vAlign w:val="center"/>
          </w:tcPr>
          <w:p>
            <w:pPr>
              <w:ind w:left="223" w:hanging="222" w:hangingChars="106"/>
              <w:jc w:val="center"/>
              <w:rPr>
                <w:color w:val="auto"/>
                <w:highlight w:val="none"/>
              </w:rPr>
            </w:pPr>
          </w:p>
        </w:tc>
        <w:tc>
          <w:tcPr>
            <w:tcW w:w="816"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850" w:type="dxa"/>
            <w:shd w:val="clear" w:color="auto" w:fill="auto"/>
            <w:vAlign w:val="center"/>
          </w:tcPr>
          <w:p>
            <w:pPr>
              <w:ind w:left="223" w:hanging="222" w:hangingChars="106"/>
              <w:jc w:val="center"/>
              <w:rPr>
                <w:color w:val="auto"/>
                <w:highlight w:val="none"/>
              </w:rPr>
            </w:pPr>
          </w:p>
        </w:tc>
        <w:tc>
          <w:tcPr>
            <w:tcW w:w="1276" w:type="dxa"/>
            <w:shd w:val="clear" w:color="auto" w:fill="auto"/>
            <w:vAlign w:val="center"/>
          </w:tcPr>
          <w:p>
            <w:pPr>
              <w:ind w:left="223" w:hanging="222" w:hangingChars="106"/>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993" w:type="dxa"/>
            <w:vMerge w:val="restart"/>
            <w:shd w:val="clear" w:color="auto" w:fill="auto"/>
            <w:vAlign w:val="center"/>
          </w:tcPr>
          <w:p>
            <w:pPr>
              <w:ind w:left="223" w:hanging="222" w:hangingChars="106"/>
              <w:jc w:val="center"/>
              <w:rPr>
                <w:color w:val="auto"/>
                <w:highlight w:val="none"/>
              </w:rPr>
            </w:pPr>
            <w:r>
              <w:rPr>
                <w:rFonts w:hint="eastAsia" w:cs="宋体"/>
                <w:color w:val="auto"/>
                <w:highlight w:val="none"/>
              </w:rPr>
              <w:t>安全员</w:t>
            </w:r>
          </w:p>
        </w:tc>
        <w:tc>
          <w:tcPr>
            <w:tcW w:w="829" w:type="dxa"/>
            <w:shd w:val="clear" w:color="auto" w:fill="auto"/>
            <w:vAlign w:val="center"/>
          </w:tcPr>
          <w:p>
            <w:pPr>
              <w:ind w:left="223" w:hanging="222" w:hangingChars="106"/>
              <w:jc w:val="center"/>
              <w:rPr>
                <w:color w:val="auto"/>
                <w:highlight w:val="none"/>
              </w:rPr>
            </w:pPr>
          </w:p>
        </w:tc>
        <w:tc>
          <w:tcPr>
            <w:tcW w:w="816"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850" w:type="dxa"/>
            <w:shd w:val="clear" w:color="auto" w:fill="auto"/>
            <w:vAlign w:val="center"/>
          </w:tcPr>
          <w:p>
            <w:pPr>
              <w:ind w:left="223" w:hanging="222" w:hangingChars="106"/>
              <w:jc w:val="center"/>
              <w:rPr>
                <w:color w:val="auto"/>
                <w:highlight w:val="none"/>
              </w:rPr>
            </w:pPr>
          </w:p>
        </w:tc>
        <w:tc>
          <w:tcPr>
            <w:tcW w:w="1276" w:type="dxa"/>
            <w:shd w:val="clear" w:color="auto" w:fill="auto"/>
            <w:vAlign w:val="center"/>
          </w:tcPr>
          <w:p>
            <w:pPr>
              <w:ind w:left="223" w:hanging="222" w:hangingChars="106"/>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993" w:type="dxa"/>
            <w:vMerge w:val="continue"/>
            <w:shd w:val="clear" w:color="auto" w:fill="auto"/>
            <w:vAlign w:val="center"/>
          </w:tcPr>
          <w:p>
            <w:pPr>
              <w:ind w:left="223" w:hanging="222" w:hangingChars="106"/>
              <w:jc w:val="center"/>
              <w:rPr>
                <w:color w:val="auto"/>
                <w:highlight w:val="none"/>
              </w:rPr>
            </w:pPr>
          </w:p>
        </w:tc>
        <w:tc>
          <w:tcPr>
            <w:tcW w:w="829" w:type="dxa"/>
            <w:shd w:val="clear" w:color="auto" w:fill="auto"/>
            <w:vAlign w:val="center"/>
          </w:tcPr>
          <w:p>
            <w:pPr>
              <w:ind w:left="223" w:hanging="222" w:hangingChars="106"/>
              <w:jc w:val="center"/>
              <w:rPr>
                <w:color w:val="auto"/>
                <w:highlight w:val="none"/>
              </w:rPr>
            </w:pPr>
          </w:p>
        </w:tc>
        <w:tc>
          <w:tcPr>
            <w:tcW w:w="816"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850" w:type="dxa"/>
            <w:shd w:val="clear" w:color="auto" w:fill="auto"/>
            <w:vAlign w:val="center"/>
          </w:tcPr>
          <w:p>
            <w:pPr>
              <w:ind w:left="223" w:hanging="222" w:hangingChars="106"/>
              <w:jc w:val="center"/>
              <w:rPr>
                <w:color w:val="auto"/>
                <w:highlight w:val="none"/>
              </w:rPr>
            </w:pPr>
          </w:p>
        </w:tc>
        <w:tc>
          <w:tcPr>
            <w:tcW w:w="1276" w:type="dxa"/>
            <w:shd w:val="clear" w:color="auto" w:fill="auto"/>
            <w:vAlign w:val="center"/>
          </w:tcPr>
          <w:p>
            <w:pPr>
              <w:ind w:left="223" w:hanging="222" w:hangingChars="106"/>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993" w:type="dxa"/>
            <w:vMerge w:val="continue"/>
            <w:shd w:val="clear" w:color="auto" w:fill="auto"/>
            <w:vAlign w:val="center"/>
          </w:tcPr>
          <w:p>
            <w:pPr>
              <w:ind w:left="223" w:hanging="222" w:hangingChars="106"/>
              <w:jc w:val="center"/>
              <w:rPr>
                <w:color w:val="auto"/>
                <w:highlight w:val="none"/>
              </w:rPr>
            </w:pPr>
          </w:p>
        </w:tc>
        <w:tc>
          <w:tcPr>
            <w:tcW w:w="829" w:type="dxa"/>
            <w:shd w:val="clear" w:color="auto" w:fill="auto"/>
            <w:vAlign w:val="center"/>
          </w:tcPr>
          <w:p>
            <w:pPr>
              <w:ind w:left="223" w:hanging="222" w:hangingChars="106"/>
              <w:jc w:val="center"/>
              <w:rPr>
                <w:color w:val="auto"/>
                <w:highlight w:val="none"/>
              </w:rPr>
            </w:pPr>
          </w:p>
        </w:tc>
        <w:tc>
          <w:tcPr>
            <w:tcW w:w="816"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850" w:type="dxa"/>
            <w:shd w:val="clear" w:color="auto" w:fill="auto"/>
            <w:vAlign w:val="center"/>
          </w:tcPr>
          <w:p>
            <w:pPr>
              <w:ind w:left="223" w:hanging="222" w:hangingChars="106"/>
              <w:jc w:val="center"/>
              <w:rPr>
                <w:color w:val="auto"/>
                <w:highlight w:val="none"/>
              </w:rPr>
            </w:pPr>
          </w:p>
        </w:tc>
        <w:tc>
          <w:tcPr>
            <w:tcW w:w="1276" w:type="dxa"/>
            <w:shd w:val="clear" w:color="auto" w:fill="auto"/>
            <w:vAlign w:val="center"/>
          </w:tcPr>
          <w:p>
            <w:pPr>
              <w:ind w:left="223" w:hanging="222" w:hangingChars="106"/>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993" w:type="dxa"/>
            <w:shd w:val="clear" w:color="auto" w:fill="auto"/>
            <w:vAlign w:val="center"/>
          </w:tcPr>
          <w:p>
            <w:pPr>
              <w:ind w:left="223" w:hanging="222" w:hangingChars="106"/>
              <w:jc w:val="center"/>
              <w:rPr>
                <w:color w:val="auto"/>
                <w:highlight w:val="none"/>
              </w:rPr>
            </w:pPr>
            <w:r>
              <w:rPr>
                <w:rFonts w:hint="eastAsia" w:cs="宋体"/>
                <w:color w:val="auto"/>
                <w:highlight w:val="none"/>
              </w:rPr>
              <w:t>材料员</w:t>
            </w:r>
          </w:p>
        </w:tc>
        <w:tc>
          <w:tcPr>
            <w:tcW w:w="829" w:type="dxa"/>
            <w:shd w:val="clear" w:color="auto" w:fill="auto"/>
            <w:vAlign w:val="center"/>
          </w:tcPr>
          <w:p>
            <w:pPr>
              <w:ind w:left="223" w:hanging="222" w:hangingChars="106"/>
              <w:jc w:val="center"/>
              <w:rPr>
                <w:color w:val="auto"/>
                <w:highlight w:val="none"/>
              </w:rPr>
            </w:pPr>
          </w:p>
        </w:tc>
        <w:tc>
          <w:tcPr>
            <w:tcW w:w="816"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850" w:type="dxa"/>
            <w:shd w:val="clear" w:color="auto" w:fill="auto"/>
            <w:vAlign w:val="center"/>
          </w:tcPr>
          <w:p>
            <w:pPr>
              <w:ind w:left="223" w:hanging="222" w:hangingChars="106"/>
              <w:jc w:val="center"/>
              <w:rPr>
                <w:color w:val="auto"/>
                <w:highlight w:val="none"/>
              </w:rPr>
            </w:pPr>
          </w:p>
        </w:tc>
        <w:tc>
          <w:tcPr>
            <w:tcW w:w="1276" w:type="dxa"/>
            <w:shd w:val="clear" w:color="auto" w:fill="auto"/>
            <w:vAlign w:val="center"/>
          </w:tcPr>
          <w:p>
            <w:pPr>
              <w:ind w:left="223" w:hanging="222" w:hangingChars="106"/>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993" w:type="dxa"/>
            <w:shd w:val="clear" w:color="auto" w:fill="auto"/>
            <w:vAlign w:val="center"/>
          </w:tcPr>
          <w:p>
            <w:pPr>
              <w:ind w:left="223" w:hanging="222" w:hangingChars="106"/>
              <w:jc w:val="center"/>
              <w:rPr>
                <w:color w:val="auto"/>
                <w:highlight w:val="none"/>
              </w:rPr>
            </w:pPr>
          </w:p>
        </w:tc>
        <w:tc>
          <w:tcPr>
            <w:tcW w:w="829" w:type="dxa"/>
            <w:shd w:val="clear" w:color="auto" w:fill="auto"/>
            <w:vAlign w:val="center"/>
          </w:tcPr>
          <w:p>
            <w:pPr>
              <w:ind w:left="223" w:hanging="222" w:hangingChars="106"/>
              <w:jc w:val="center"/>
              <w:rPr>
                <w:color w:val="auto"/>
                <w:highlight w:val="none"/>
              </w:rPr>
            </w:pPr>
          </w:p>
        </w:tc>
        <w:tc>
          <w:tcPr>
            <w:tcW w:w="816"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850" w:type="dxa"/>
            <w:shd w:val="clear" w:color="auto" w:fill="auto"/>
            <w:vAlign w:val="center"/>
          </w:tcPr>
          <w:p>
            <w:pPr>
              <w:ind w:left="223" w:hanging="222" w:hangingChars="106"/>
              <w:jc w:val="center"/>
              <w:rPr>
                <w:color w:val="auto"/>
                <w:highlight w:val="none"/>
              </w:rPr>
            </w:pPr>
          </w:p>
        </w:tc>
        <w:tc>
          <w:tcPr>
            <w:tcW w:w="1276" w:type="dxa"/>
            <w:shd w:val="clear" w:color="auto" w:fill="auto"/>
            <w:vAlign w:val="center"/>
          </w:tcPr>
          <w:p>
            <w:pPr>
              <w:ind w:left="223" w:hanging="222" w:hangingChars="106"/>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993" w:type="dxa"/>
            <w:shd w:val="clear" w:color="auto" w:fill="auto"/>
            <w:vAlign w:val="center"/>
          </w:tcPr>
          <w:p>
            <w:pPr>
              <w:ind w:left="223" w:hanging="222" w:hangingChars="106"/>
              <w:jc w:val="center"/>
              <w:rPr>
                <w:color w:val="auto"/>
                <w:highlight w:val="none"/>
              </w:rPr>
            </w:pPr>
            <w:r>
              <w:rPr>
                <w:color w:val="auto"/>
                <w:highlight w:val="none"/>
              </w:rPr>
              <w:t>……</w:t>
            </w:r>
          </w:p>
        </w:tc>
        <w:tc>
          <w:tcPr>
            <w:tcW w:w="829" w:type="dxa"/>
            <w:shd w:val="clear" w:color="auto" w:fill="auto"/>
            <w:vAlign w:val="center"/>
          </w:tcPr>
          <w:p>
            <w:pPr>
              <w:ind w:left="223" w:hanging="222" w:hangingChars="106"/>
              <w:jc w:val="center"/>
              <w:rPr>
                <w:color w:val="auto"/>
                <w:highlight w:val="none"/>
              </w:rPr>
            </w:pPr>
          </w:p>
        </w:tc>
        <w:tc>
          <w:tcPr>
            <w:tcW w:w="816"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1148" w:type="dxa"/>
            <w:shd w:val="clear" w:color="auto" w:fill="auto"/>
            <w:vAlign w:val="center"/>
          </w:tcPr>
          <w:p>
            <w:pPr>
              <w:ind w:left="223" w:hanging="222" w:hangingChars="106"/>
              <w:jc w:val="center"/>
              <w:rPr>
                <w:color w:val="auto"/>
                <w:highlight w:val="none"/>
              </w:rPr>
            </w:pPr>
          </w:p>
        </w:tc>
        <w:tc>
          <w:tcPr>
            <w:tcW w:w="850" w:type="dxa"/>
            <w:shd w:val="clear" w:color="auto" w:fill="auto"/>
            <w:vAlign w:val="center"/>
          </w:tcPr>
          <w:p>
            <w:pPr>
              <w:ind w:left="223" w:hanging="222" w:hangingChars="106"/>
              <w:jc w:val="center"/>
              <w:rPr>
                <w:color w:val="auto"/>
                <w:highlight w:val="none"/>
              </w:rPr>
            </w:pPr>
          </w:p>
        </w:tc>
        <w:tc>
          <w:tcPr>
            <w:tcW w:w="1276" w:type="dxa"/>
            <w:shd w:val="clear" w:color="auto" w:fill="auto"/>
            <w:vAlign w:val="center"/>
          </w:tcPr>
          <w:p>
            <w:pPr>
              <w:ind w:left="223" w:hanging="222" w:hangingChars="106"/>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79" w:hRule="atLeast"/>
          <w:jc w:val="center"/>
        </w:trPr>
        <w:tc>
          <w:tcPr>
            <w:tcW w:w="9356" w:type="dxa"/>
            <w:gridSpan w:val="9"/>
            <w:shd w:val="clear" w:color="auto" w:fill="auto"/>
            <w:vAlign w:val="center"/>
          </w:tcPr>
          <w:p>
            <w:pPr>
              <w:spacing w:line="360" w:lineRule="auto"/>
              <w:rPr>
                <w:color w:val="auto"/>
                <w:highlight w:val="none"/>
              </w:rPr>
            </w:pPr>
            <w:bookmarkStart w:id="1592" w:name="_Toc251052199"/>
            <w:r>
              <w:rPr>
                <w:rFonts w:hint="eastAsia" w:cs="宋体"/>
                <w:color w:val="auto"/>
                <w:highlight w:val="none"/>
              </w:rPr>
              <w:t>一旦我单位中标，将实行项目经理负责制，我方保证并配备上述项目管理机构。上述填报内容真实，若不真实，愿按有关规定接受处理。项目管理班子机构设置、职责分工等情况另附资料说明。</w:t>
            </w:r>
            <w:bookmarkEnd w:id="1592"/>
          </w:p>
        </w:tc>
      </w:tr>
    </w:tbl>
    <w:p>
      <w:pPr>
        <w:tabs>
          <w:tab w:val="left" w:pos="0"/>
        </w:tabs>
        <w:spacing w:line="360" w:lineRule="auto"/>
        <w:ind w:right="-210"/>
        <w:rPr>
          <w:color w:val="auto"/>
          <w:highlight w:val="none"/>
        </w:rPr>
      </w:pPr>
    </w:p>
    <w:p>
      <w:pPr>
        <w:spacing w:line="360" w:lineRule="auto"/>
        <w:rPr>
          <w:color w:val="auto"/>
          <w:highlight w:val="none"/>
        </w:rPr>
      </w:pPr>
      <w:r>
        <w:rPr>
          <w:rFonts w:hint="eastAsia" w:eastAsia="楷体_GB2312" w:cs="楷体_GB2312"/>
          <w:color w:val="auto"/>
          <w:highlight w:val="none"/>
        </w:rPr>
        <w:t>【备注：附各岗位人员资格证件（如有）复印件。】</w:t>
      </w:r>
    </w:p>
    <w:p>
      <w:pPr>
        <w:spacing w:line="360" w:lineRule="auto"/>
        <w:rPr>
          <w:rFonts w:eastAsia="楷体_GB2312"/>
          <w:color w:val="auto"/>
          <w:highlight w:val="none"/>
        </w:rPr>
      </w:pPr>
      <w:r>
        <w:rPr>
          <w:rFonts w:hint="eastAsia" w:eastAsia="楷体_GB2312" w:cs="楷体_GB2312"/>
          <w:color w:val="auto"/>
          <w:highlight w:val="none"/>
        </w:rPr>
        <w:t>。</w:t>
      </w:r>
    </w:p>
    <w:p>
      <w:pPr>
        <w:tabs>
          <w:tab w:val="left" w:pos="0"/>
        </w:tabs>
        <w:spacing w:line="360" w:lineRule="auto"/>
        <w:ind w:right="-210"/>
        <w:rPr>
          <w:color w:val="auto"/>
          <w:highlight w:val="none"/>
        </w:rPr>
      </w:pPr>
    </w:p>
    <w:p>
      <w:pPr>
        <w:tabs>
          <w:tab w:val="left" w:pos="0"/>
        </w:tabs>
        <w:spacing w:line="360" w:lineRule="auto"/>
        <w:ind w:right="-210"/>
        <w:rPr>
          <w:color w:val="auto"/>
          <w:highlight w:val="none"/>
        </w:rPr>
      </w:pPr>
    </w:p>
    <w:p>
      <w:pPr>
        <w:tabs>
          <w:tab w:val="left" w:pos="0"/>
        </w:tabs>
        <w:spacing w:line="360" w:lineRule="auto"/>
        <w:ind w:right="-210"/>
        <w:rPr>
          <w:color w:val="auto"/>
          <w:highlight w:val="none"/>
        </w:rPr>
        <w:sectPr>
          <w:pgSz w:w="11907" w:h="16840"/>
          <w:pgMar w:top="1440" w:right="1440" w:bottom="1440" w:left="1797" w:header="851" w:footer="851" w:gutter="0"/>
          <w:cols w:space="720" w:num="1"/>
          <w:docGrid w:linePitch="312" w:charSpace="0"/>
        </w:sectPr>
      </w:pPr>
    </w:p>
    <w:p>
      <w:pPr>
        <w:pStyle w:val="146"/>
        <w:jc w:val="center"/>
        <w:rPr>
          <w:color w:val="auto"/>
          <w:highlight w:val="none"/>
          <w:u w:val="single"/>
        </w:rPr>
      </w:pPr>
      <w:bookmarkStart w:id="1593" w:name="_Toc173579006"/>
      <w:bookmarkStart w:id="1594" w:name="_Toc153274948"/>
      <w:bookmarkStart w:id="1595" w:name="_Toc389065364"/>
      <w:bookmarkStart w:id="1596" w:name="_Toc251052200"/>
      <w:bookmarkStart w:id="1597" w:name="_Toc172364026"/>
      <w:r>
        <w:rPr>
          <w:b/>
          <w:color w:val="auto"/>
          <w:sz w:val="24"/>
          <w:szCs w:val="24"/>
          <w:highlight w:val="none"/>
        </w:rPr>
        <w:t>2</w:t>
      </w:r>
      <w:r>
        <w:rPr>
          <w:rFonts w:hint="eastAsia" w:cs="宋体"/>
          <w:b/>
          <w:color w:val="auto"/>
          <w:sz w:val="24"/>
          <w:szCs w:val="24"/>
          <w:highlight w:val="none"/>
        </w:rPr>
        <w:t>、项目经理（注册建造师）简历表</w:t>
      </w:r>
      <w:bookmarkEnd w:id="1593"/>
      <w:bookmarkEnd w:id="1594"/>
      <w:bookmarkEnd w:id="1595"/>
      <w:bookmarkEnd w:id="1596"/>
      <w:bookmarkEnd w:id="1597"/>
    </w:p>
    <w:p>
      <w:pPr>
        <w:pStyle w:val="146"/>
        <w:rPr>
          <w:color w:val="auto"/>
          <w:highlight w:val="none"/>
          <w:u w:val="single"/>
        </w:rPr>
      </w:pPr>
    </w:p>
    <w:p>
      <w:pPr>
        <w:pStyle w:val="146"/>
        <w:rPr>
          <w:color w:val="auto"/>
          <w:highlight w:val="none"/>
        </w:rPr>
      </w:pPr>
      <w:r>
        <w:rPr>
          <w:color w:val="auto"/>
          <w:highlight w:val="none"/>
          <w:u w:val="single"/>
        </w:rPr>
        <w:t xml:space="preserve">            </w:t>
      </w:r>
      <w:r>
        <w:rPr>
          <w:rFonts w:hint="eastAsia" w:cs="宋体"/>
          <w:color w:val="auto"/>
          <w:highlight w:val="none"/>
          <w:u w:val="single"/>
        </w:rPr>
        <w:t>（招标工程项目名称）</w:t>
      </w:r>
      <w:r>
        <w:rPr>
          <w:color w:val="auto"/>
          <w:highlight w:val="none"/>
          <w:u w:val="single"/>
        </w:rPr>
        <w:t xml:space="preserve">        </w:t>
      </w:r>
      <w:r>
        <w:rPr>
          <w:color w:val="auto"/>
          <w:highlight w:val="none"/>
        </w:rPr>
        <w:t xml:space="preserve"> </w:t>
      </w:r>
      <w:r>
        <w:rPr>
          <w:rFonts w:hint="eastAsia" w:cs="宋体"/>
          <w:color w:val="auto"/>
          <w:highlight w:val="none"/>
        </w:rPr>
        <w:t>工程</w:t>
      </w:r>
    </w:p>
    <w:tbl>
      <w:tblPr>
        <w:tblStyle w:val="42"/>
        <w:tblW w:w="928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464"/>
        <w:gridCol w:w="1548"/>
        <w:gridCol w:w="328"/>
        <w:gridCol w:w="1219"/>
        <w:gridCol w:w="674"/>
        <w:gridCol w:w="874"/>
        <w:gridCol w:w="711"/>
        <w:gridCol w:w="836"/>
        <w:gridCol w:w="272"/>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083" w:type="dxa"/>
            <w:shd w:val="clear" w:color="auto" w:fill="auto"/>
            <w:vAlign w:val="center"/>
          </w:tcPr>
          <w:p>
            <w:pPr>
              <w:jc w:val="center"/>
              <w:rPr>
                <w:color w:val="auto"/>
                <w:highlight w:val="none"/>
              </w:rPr>
            </w:pPr>
            <w:r>
              <w:rPr>
                <w:rFonts w:hint="eastAsia" w:cs="宋体"/>
                <w:color w:val="auto"/>
                <w:highlight w:val="none"/>
              </w:rPr>
              <w:t>姓名</w:t>
            </w:r>
          </w:p>
        </w:tc>
        <w:tc>
          <w:tcPr>
            <w:tcW w:w="2340" w:type="dxa"/>
            <w:gridSpan w:val="3"/>
            <w:shd w:val="clear" w:color="auto" w:fill="auto"/>
            <w:vAlign w:val="center"/>
          </w:tcPr>
          <w:p>
            <w:pPr>
              <w:jc w:val="center"/>
              <w:rPr>
                <w:color w:val="auto"/>
                <w:highlight w:val="none"/>
              </w:rPr>
            </w:pPr>
          </w:p>
        </w:tc>
        <w:tc>
          <w:tcPr>
            <w:tcW w:w="1893" w:type="dxa"/>
            <w:gridSpan w:val="2"/>
            <w:shd w:val="clear" w:color="auto" w:fill="auto"/>
            <w:vAlign w:val="center"/>
          </w:tcPr>
          <w:p>
            <w:pPr>
              <w:jc w:val="center"/>
              <w:rPr>
                <w:color w:val="auto"/>
                <w:highlight w:val="none"/>
              </w:rPr>
            </w:pPr>
            <w:r>
              <w:rPr>
                <w:rFonts w:hint="eastAsia" w:cs="宋体"/>
                <w:color w:val="auto"/>
                <w:highlight w:val="none"/>
              </w:rPr>
              <w:t>性别</w:t>
            </w:r>
          </w:p>
        </w:tc>
        <w:tc>
          <w:tcPr>
            <w:tcW w:w="1585" w:type="dxa"/>
            <w:gridSpan w:val="2"/>
            <w:shd w:val="clear" w:color="auto" w:fill="auto"/>
            <w:vAlign w:val="center"/>
          </w:tcPr>
          <w:p>
            <w:pPr>
              <w:jc w:val="center"/>
              <w:rPr>
                <w:color w:val="auto"/>
                <w:highlight w:val="none"/>
              </w:rPr>
            </w:pPr>
          </w:p>
        </w:tc>
        <w:tc>
          <w:tcPr>
            <w:tcW w:w="1108" w:type="dxa"/>
            <w:gridSpan w:val="2"/>
            <w:shd w:val="clear" w:color="auto" w:fill="auto"/>
            <w:vAlign w:val="center"/>
          </w:tcPr>
          <w:p>
            <w:pPr>
              <w:jc w:val="center"/>
              <w:rPr>
                <w:color w:val="auto"/>
                <w:highlight w:val="none"/>
              </w:rPr>
            </w:pPr>
            <w:r>
              <w:rPr>
                <w:rFonts w:hint="eastAsia" w:cs="宋体"/>
                <w:color w:val="auto"/>
                <w:highlight w:val="none"/>
              </w:rPr>
              <w:t>年龄</w:t>
            </w:r>
          </w:p>
        </w:tc>
        <w:tc>
          <w:tcPr>
            <w:tcW w:w="1276"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jc w:val="center"/>
        </w:trPr>
        <w:tc>
          <w:tcPr>
            <w:tcW w:w="1083" w:type="dxa"/>
            <w:shd w:val="clear" w:color="auto" w:fill="auto"/>
            <w:vAlign w:val="center"/>
          </w:tcPr>
          <w:p>
            <w:pPr>
              <w:jc w:val="center"/>
              <w:rPr>
                <w:color w:val="auto"/>
                <w:highlight w:val="none"/>
              </w:rPr>
            </w:pPr>
            <w:r>
              <w:rPr>
                <w:rFonts w:hint="eastAsia" w:cs="宋体"/>
                <w:color w:val="auto"/>
                <w:highlight w:val="none"/>
              </w:rPr>
              <w:t>职务</w:t>
            </w:r>
          </w:p>
        </w:tc>
        <w:tc>
          <w:tcPr>
            <w:tcW w:w="2340" w:type="dxa"/>
            <w:gridSpan w:val="3"/>
            <w:shd w:val="clear" w:color="auto" w:fill="auto"/>
            <w:vAlign w:val="center"/>
          </w:tcPr>
          <w:p>
            <w:pPr>
              <w:jc w:val="center"/>
              <w:rPr>
                <w:color w:val="auto"/>
                <w:highlight w:val="none"/>
              </w:rPr>
            </w:pPr>
          </w:p>
        </w:tc>
        <w:tc>
          <w:tcPr>
            <w:tcW w:w="1893" w:type="dxa"/>
            <w:gridSpan w:val="2"/>
            <w:shd w:val="clear" w:color="auto" w:fill="auto"/>
            <w:vAlign w:val="center"/>
          </w:tcPr>
          <w:p>
            <w:pPr>
              <w:jc w:val="center"/>
              <w:rPr>
                <w:color w:val="auto"/>
                <w:highlight w:val="none"/>
              </w:rPr>
            </w:pPr>
            <w:r>
              <w:rPr>
                <w:rFonts w:hint="eastAsia" w:cs="宋体"/>
                <w:color w:val="auto"/>
                <w:highlight w:val="none"/>
              </w:rPr>
              <w:t>职称</w:t>
            </w:r>
          </w:p>
        </w:tc>
        <w:tc>
          <w:tcPr>
            <w:tcW w:w="1585" w:type="dxa"/>
            <w:gridSpan w:val="2"/>
            <w:shd w:val="clear" w:color="auto" w:fill="auto"/>
            <w:vAlign w:val="center"/>
          </w:tcPr>
          <w:p>
            <w:pPr>
              <w:jc w:val="center"/>
              <w:rPr>
                <w:color w:val="auto"/>
                <w:highlight w:val="none"/>
              </w:rPr>
            </w:pPr>
          </w:p>
        </w:tc>
        <w:tc>
          <w:tcPr>
            <w:tcW w:w="1108" w:type="dxa"/>
            <w:gridSpan w:val="2"/>
            <w:shd w:val="clear" w:color="auto" w:fill="auto"/>
            <w:vAlign w:val="center"/>
          </w:tcPr>
          <w:p>
            <w:pPr>
              <w:jc w:val="center"/>
              <w:rPr>
                <w:color w:val="auto"/>
                <w:highlight w:val="none"/>
              </w:rPr>
            </w:pPr>
            <w:r>
              <w:rPr>
                <w:rFonts w:hint="eastAsia" w:cs="宋体"/>
                <w:color w:val="auto"/>
                <w:highlight w:val="none"/>
              </w:rPr>
              <w:t>学历</w:t>
            </w:r>
          </w:p>
        </w:tc>
        <w:tc>
          <w:tcPr>
            <w:tcW w:w="1276"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3423" w:type="dxa"/>
            <w:gridSpan w:val="4"/>
            <w:shd w:val="clear" w:color="auto" w:fill="auto"/>
            <w:vAlign w:val="center"/>
          </w:tcPr>
          <w:p>
            <w:pPr>
              <w:jc w:val="center"/>
              <w:rPr>
                <w:color w:val="auto"/>
                <w:highlight w:val="none"/>
              </w:rPr>
            </w:pPr>
            <w:r>
              <w:rPr>
                <w:rFonts w:hint="eastAsia" w:cs="宋体"/>
                <w:color w:val="auto"/>
                <w:highlight w:val="none"/>
              </w:rPr>
              <w:t>参加工作时间</w:t>
            </w:r>
          </w:p>
        </w:tc>
        <w:tc>
          <w:tcPr>
            <w:tcW w:w="1893" w:type="dxa"/>
            <w:gridSpan w:val="2"/>
            <w:shd w:val="clear" w:color="auto" w:fill="auto"/>
            <w:vAlign w:val="center"/>
          </w:tcPr>
          <w:p>
            <w:pPr>
              <w:jc w:val="center"/>
              <w:rPr>
                <w:color w:val="auto"/>
                <w:highlight w:val="none"/>
              </w:rPr>
            </w:pPr>
          </w:p>
        </w:tc>
        <w:tc>
          <w:tcPr>
            <w:tcW w:w="2693" w:type="dxa"/>
            <w:gridSpan w:val="4"/>
            <w:shd w:val="clear" w:color="auto" w:fill="auto"/>
            <w:vAlign w:val="center"/>
          </w:tcPr>
          <w:p>
            <w:pPr>
              <w:jc w:val="center"/>
              <w:rPr>
                <w:color w:val="auto"/>
                <w:highlight w:val="none"/>
              </w:rPr>
            </w:pPr>
            <w:r>
              <w:rPr>
                <w:rFonts w:hint="eastAsia" w:cs="宋体"/>
                <w:color w:val="auto"/>
                <w:highlight w:val="none"/>
              </w:rPr>
              <w:t>担任项目经理年限</w:t>
            </w:r>
          </w:p>
        </w:tc>
        <w:tc>
          <w:tcPr>
            <w:tcW w:w="1276"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8" w:hRule="atLeast"/>
          <w:jc w:val="center"/>
        </w:trPr>
        <w:tc>
          <w:tcPr>
            <w:tcW w:w="3423" w:type="dxa"/>
            <w:gridSpan w:val="4"/>
            <w:shd w:val="clear" w:color="auto" w:fill="auto"/>
            <w:vAlign w:val="center"/>
          </w:tcPr>
          <w:p>
            <w:pPr>
              <w:jc w:val="center"/>
              <w:rPr>
                <w:color w:val="auto"/>
                <w:highlight w:val="none"/>
              </w:rPr>
            </w:pPr>
            <w:r>
              <w:rPr>
                <w:rFonts w:hint="eastAsia" w:cs="宋体"/>
                <w:color w:val="auto"/>
                <w:highlight w:val="none"/>
              </w:rPr>
              <w:t>建造师注册证书编号</w:t>
            </w:r>
          </w:p>
        </w:tc>
        <w:tc>
          <w:tcPr>
            <w:tcW w:w="5862" w:type="dxa"/>
            <w:gridSpan w:val="7"/>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9285" w:type="dxa"/>
            <w:gridSpan w:val="11"/>
            <w:shd w:val="clear" w:color="auto" w:fill="auto"/>
            <w:vAlign w:val="center"/>
          </w:tcPr>
          <w:p>
            <w:pPr>
              <w:jc w:val="center"/>
              <w:rPr>
                <w:color w:val="auto"/>
                <w:highlight w:val="none"/>
              </w:rPr>
            </w:pPr>
            <w:r>
              <w:rPr>
                <w:rFonts w:hint="eastAsia" w:cs="宋体"/>
                <w:color w:val="auto"/>
                <w:highlight w:val="none"/>
              </w:rPr>
              <w:t>在建和已完工程项目情况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547" w:type="dxa"/>
            <w:gridSpan w:val="2"/>
            <w:shd w:val="clear" w:color="auto" w:fill="auto"/>
            <w:vAlign w:val="center"/>
          </w:tcPr>
          <w:p>
            <w:pPr>
              <w:jc w:val="center"/>
              <w:rPr>
                <w:color w:val="auto"/>
                <w:highlight w:val="none"/>
              </w:rPr>
            </w:pPr>
            <w:r>
              <w:rPr>
                <w:rFonts w:hint="eastAsia" w:cs="宋体"/>
                <w:color w:val="auto"/>
                <w:highlight w:val="none"/>
              </w:rPr>
              <w:t>建设单位</w:t>
            </w:r>
          </w:p>
        </w:tc>
        <w:tc>
          <w:tcPr>
            <w:tcW w:w="1548" w:type="dxa"/>
            <w:shd w:val="clear" w:color="auto" w:fill="auto"/>
            <w:vAlign w:val="center"/>
          </w:tcPr>
          <w:p>
            <w:pPr>
              <w:jc w:val="center"/>
              <w:rPr>
                <w:color w:val="auto"/>
                <w:highlight w:val="none"/>
              </w:rPr>
            </w:pPr>
            <w:r>
              <w:rPr>
                <w:rFonts w:hint="eastAsia" w:cs="宋体"/>
                <w:color w:val="auto"/>
                <w:highlight w:val="none"/>
              </w:rPr>
              <w:t>项目名称</w:t>
            </w:r>
          </w:p>
        </w:tc>
        <w:tc>
          <w:tcPr>
            <w:tcW w:w="1547" w:type="dxa"/>
            <w:gridSpan w:val="2"/>
            <w:shd w:val="clear" w:color="auto" w:fill="auto"/>
            <w:vAlign w:val="center"/>
          </w:tcPr>
          <w:p>
            <w:pPr>
              <w:jc w:val="center"/>
              <w:rPr>
                <w:color w:val="auto"/>
                <w:highlight w:val="none"/>
              </w:rPr>
            </w:pPr>
            <w:r>
              <w:rPr>
                <w:rFonts w:hint="eastAsia" w:cs="宋体"/>
                <w:color w:val="auto"/>
                <w:highlight w:val="none"/>
              </w:rPr>
              <w:t>建设规模</w:t>
            </w:r>
          </w:p>
        </w:tc>
        <w:tc>
          <w:tcPr>
            <w:tcW w:w="1548" w:type="dxa"/>
            <w:gridSpan w:val="2"/>
            <w:shd w:val="clear" w:color="auto" w:fill="auto"/>
            <w:vAlign w:val="center"/>
          </w:tcPr>
          <w:p>
            <w:pPr>
              <w:jc w:val="center"/>
              <w:rPr>
                <w:color w:val="auto"/>
                <w:highlight w:val="none"/>
              </w:rPr>
            </w:pPr>
            <w:r>
              <w:rPr>
                <w:rFonts w:hint="eastAsia" w:cs="宋体"/>
                <w:color w:val="auto"/>
                <w:highlight w:val="none"/>
              </w:rPr>
              <w:t>开、竣工日期</w:t>
            </w:r>
          </w:p>
        </w:tc>
        <w:tc>
          <w:tcPr>
            <w:tcW w:w="1547" w:type="dxa"/>
            <w:gridSpan w:val="2"/>
            <w:shd w:val="clear" w:color="auto" w:fill="auto"/>
            <w:vAlign w:val="center"/>
          </w:tcPr>
          <w:p>
            <w:pPr>
              <w:jc w:val="center"/>
              <w:rPr>
                <w:color w:val="auto"/>
                <w:highlight w:val="none"/>
              </w:rPr>
            </w:pPr>
            <w:r>
              <w:rPr>
                <w:rFonts w:hint="eastAsia" w:cs="宋体"/>
                <w:color w:val="auto"/>
                <w:highlight w:val="none"/>
              </w:rPr>
              <w:t>在建或已完</w:t>
            </w:r>
          </w:p>
        </w:tc>
        <w:tc>
          <w:tcPr>
            <w:tcW w:w="1548" w:type="dxa"/>
            <w:gridSpan w:val="2"/>
            <w:shd w:val="clear" w:color="auto" w:fill="auto"/>
            <w:vAlign w:val="center"/>
          </w:tcPr>
          <w:p>
            <w:pPr>
              <w:jc w:val="center"/>
              <w:rPr>
                <w:color w:val="auto"/>
                <w:highlight w:val="none"/>
              </w:rPr>
            </w:pPr>
            <w:r>
              <w:rPr>
                <w:rFonts w:hint="eastAsia" w:cs="宋体"/>
                <w:color w:val="auto"/>
                <w:highlight w:val="none"/>
              </w:rPr>
              <w:t>工程质量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jc w:val="center"/>
        </w:trPr>
        <w:tc>
          <w:tcPr>
            <w:tcW w:w="1547" w:type="dxa"/>
            <w:gridSpan w:val="2"/>
            <w:shd w:val="clear" w:color="auto" w:fill="auto"/>
            <w:vAlign w:val="center"/>
          </w:tcPr>
          <w:p>
            <w:pPr>
              <w:jc w:val="center"/>
              <w:rPr>
                <w:color w:val="auto"/>
                <w:highlight w:val="none"/>
              </w:rPr>
            </w:pPr>
          </w:p>
        </w:tc>
        <w:tc>
          <w:tcPr>
            <w:tcW w:w="1548" w:type="dxa"/>
            <w:shd w:val="clear" w:color="auto" w:fill="auto"/>
            <w:vAlign w:val="center"/>
          </w:tcPr>
          <w:p>
            <w:pPr>
              <w:jc w:val="center"/>
              <w:rPr>
                <w:color w:val="auto"/>
                <w:highlight w:val="none"/>
              </w:rPr>
            </w:pPr>
          </w:p>
        </w:tc>
        <w:tc>
          <w:tcPr>
            <w:tcW w:w="1547" w:type="dxa"/>
            <w:gridSpan w:val="2"/>
            <w:shd w:val="clear" w:color="auto" w:fill="auto"/>
            <w:vAlign w:val="center"/>
          </w:tcPr>
          <w:p>
            <w:pPr>
              <w:jc w:val="center"/>
              <w:rPr>
                <w:color w:val="auto"/>
                <w:highlight w:val="none"/>
              </w:rPr>
            </w:pPr>
          </w:p>
        </w:tc>
        <w:tc>
          <w:tcPr>
            <w:tcW w:w="1548" w:type="dxa"/>
            <w:gridSpan w:val="2"/>
            <w:shd w:val="clear" w:color="auto" w:fill="auto"/>
            <w:vAlign w:val="center"/>
          </w:tcPr>
          <w:p>
            <w:pPr>
              <w:jc w:val="center"/>
              <w:rPr>
                <w:color w:val="auto"/>
                <w:highlight w:val="none"/>
              </w:rPr>
            </w:pPr>
          </w:p>
        </w:tc>
        <w:tc>
          <w:tcPr>
            <w:tcW w:w="1547" w:type="dxa"/>
            <w:gridSpan w:val="2"/>
            <w:shd w:val="clear" w:color="auto" w:fill="auto"/>
            <w:vAlign w:val="center"/>
          </w:tcPr>
          <w:p>
            <w:pPr>
              <w:jc w:val="center"/>
              <w:rPr>
                <w:color w:val="auto"/>
                <w:highlight w:val="none"/>
              </w:rPr>
            </w:pPr>
          </w:p>
        </w:tc>
        <w:tc>
          <w:tcPr>
            <w:tcW w:w="1548" w:type="dxa"/>
            <w:gridSpan w:val="2"/>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jc w:val="center"/>
        </w:trPr>
        <w:tc>
          <w:tcPr>
            <w:tcW w:w="1547" w:type="dxa"/>
            <w:gridSpan w:val="2"/>
            <w:shd w:val="clear" w:color="auto" w:fill="auto"/>
            <w:vAlign w:val="center"/>
          </w:tcPr>
          <w:p>
            <w:pPr>
              <w:jc w:val="center"/>
              <w:rPr>
                <w:color w:val="auto"/>
                <w:highlight w:val="none"/>
              </w:rPr>
            </w:pPr>
          </w:p>
        </w:tc>
        <w:tc>
          <w:tcPr>
            <w:tcW w:w="1548" w:type="dxa"/>
            <w:shd w:val="clear" w:color="auto" w:fill="auto"/>
            <w:vAlign w:val="center"/>
          </w:tcPr>
          <w:p>
            <w:pPr>
              <w:jc w:val="center"/>
              <w:rPr>
                <w:color w:val="auto"/>
                <w:highlight w:val="none"/>
              </w:rPr>
            </w:pPr>
          </w:p>
        </w:tc>
        <w:tc>
          <w:tcPr>
            <w:tcW w:w="1547" w:type="dxa"/>
            <w:gridSpan w:val="2"/>
            <w:shd w:val="clear" w:color="auto" w:fill="auto"/>
            <w:vAlign w:val="center"/>
          </w:tcPr>
          <w:p>
            <w:pPr>
              <w:jc w:val="center"/>
              <w:rPr>
                <w:color w:val="auto"/>
                <w:highlight w:val="none"/>
              </w:rPr>
            </w:pPr>
          </w:p>
        </w:tc>
        <w:tc>
          <w:tcPr>
            <w:tcW w:w="1548" w:type="dxa"/>
            <w:gridSpan w:val="2"/>
            <w:shd w:val="clear" w:color="auto" w:fill="auto"/>
            <w:vAlign w:val="center"/>
          </w:tcPr>
          <w:p>
            <w:pPr>
              <w:jc w:val="center"/>
              <w:rPr>
                <w:color w:val="auto"/>
                <w:highlight w:val="none"/>
              </w:rPr>
            </w:pPr>
          </w:p>
        </w:tc>
        <w:tc>
          <w:tcPr>
            <w:tcW w:w="1547" w:type="dxa"/>
            <w:gridSpan w:val="2"/>
            <w:shd w:val="clear" w:color="auto" w:fill="auto"/>
            <w:vAlign w:val="center"/>
          </w:tcPr>
          <w:p>
            <w:pPr>
              <w:jc w:val="center"/>
              <w:rPr>
                <w:color w:val="auto"/>
                <w:highlight w:val="none"/>
              </w:rPr>
            </w:pPr>
          </w:p>
        </w:tc>
        <w:tc>
          <w:tcPr>
            <w:tcW w:w="1548" w:type="dxa"/>
            <w:gridSpan w:val="2"/>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jc w:val="center"/>
        </w:trPr>
        <w:tc>
          <w:tcPr>
            <w:tcW w:w="1547" w:type="dxa"/>
            <w:gridSpan w:val="2"/>
            <w:shd w:val="clear" w:color="auto" w:fill="auto"/>
            <w:vAlign w:val="center"/>
          </w:tcPr>
          <w:p>
            <w:pPr>
              <w:jc w:val="center"/>
              <w:rPr>
                <w:color w:val="auto"/>
                <w:highlight w:val="none"/>
              </w:rPr>
            </w:pPr>
          </w:p>
        </w:tc>
        <w:tc>
          <w:tcPr>
            <w:tcW w:w="1548" w:type="dxa"/>
            <w:shd w:val="clear" w:color="auto" w:fill="auto"/>
            <w:vAlign w:val="center"/>
          </w:tcPr>
          <w:p>
            <w:pPr>
              <w:jc w:val="center"/>
              <w:rPr>
                <w:color w:val="auto"/>
                <w:highlight w:val="none"/>
              </w:rPr>
            </w:pPr>
          </w:p>
        </w:tc>
        <w:tc>
          <w:tcPr>
            <w:tcW w:w="1547" w:type="dxa"/>
            <w:gridSpan w:val="2"/>
            <w:shd w:val="clear" w:color="auto" w:fill="auto"/>
            <w:vAlign w:val="center"/>
          </w:tcPr>
          <w:p>
            <w:pPr>
              <w:jc w:val="center"/>
              <w:rPr>
                <w:color w:val="auto"/>
                <w:highlight w:val="none"/>
              </w:rPr>
            </w:pPr>
          </w:p>
        </w:tc>
        <w:tc>
          <w:tcPr>
            <w:tcW w:w="1548" w:type="dxa"/>
            <w:gridSpan w:val="2"/>
            <w:shd w:val="clear" w:color="auto" w:fill="auto"/>
            <w:vAlign w:val="center"/>
          </w:tcPr>
          <w:p>
            <w:pPr>
              <w:jc w:val="center"/>
              <w:rPr>
                <w:color w:val="auto"/>
                <w:highlight w:val="none"/>
              </w:rPr>
            </w:pPr>
          </w:p>
        </w:tc>
        <w:tc>
          <w:tcPr>
            <w:tcW w:w="1547" w:type="dxa"/>
            <w:gridSpan w:val="2"/>
            <w:shd w:val="clear" w:color="auto" w:fill="auto"/>
            <w:vAlign w:val="center"/>
          </w:tcPr>
          <w:p>
            <w:pPr>
              <w:jc w:val="center"/>
              <w:rPr>
                <w:color w:val="auto"/>
                <w:highlight w:val="none"/>
              </w:rPr>
            </w:pPr>
          </w:p>
        </w:tc>
        <w:tc>
          <w:tcPr>
            <w:tcW w:w="1548" w:type="dxa"/>
            <w:gridSpan w:val="2"/>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jc w:val="center"/>
        </w:trPr>
        <w:tc>
          <w:tcPr>
            <w:tcW w:w="1547" w:type="dxa"/>
            <w:gridSpan w:val="2"/>
            <w:shd w:val="clear" w:color="auto" w:fill="auto"/>
            <w:vAlign w:val="center"/>
          </w:tcPr>
          <w:p>
            <w:pPr>
              <w:jc w:val="center"/>
              <w:rPr>
                <w:color w:val="auto"/>
                <w:highlight w:val="none"/>
              </w:rPr>
            </w:pPr>
          </w:p>
        </w:tc>
        <w:tc>
          <w:tcPr>
            <w:tcW w:w="1548" w:type="dxa"/>
            <w:shd w:val="clear" w:color="auto" w:fill="auto"/>
            <w:vAlign w:val="center"/>
          </w:tcPr>
          <w:p>
            <w:pPr>
              <w:jc w:val="center"/>
              <w:rPr>
                <w:color w:val="auto"/>
                <w:highlight w:val="none"/>
              </w:rPr>
            </w:pPr>
          </w:p>
        </w:tc>
        <w:tc>
          <w:tcPr>
            <w:tcW w:w="1547" w:type="dxa"/>
            <w:gridSpan w:val="2"/>
            <w:shd w:val="clear" w:color="auto" w:fill="auto"/>
            <w:vAlign w:val="center"/>
          </w:tcPr>
          <w:p>
            <w:pPr>
              <w:jc w:val="center"/>
              <w:rPr>
                <w:color w:val="auto"/>
                <w:highlight w:val="none"/>
              </w:rPr>
            </w:pPr>
          </w:p>
        </w:tc>
        <w:tc>
          <w:tcPr>
            <w:tcW w:w="1548" w:type="dxa"/>
            <w:gridSpan w:val="2"/>
            <w:shd w:val="clear" w:color="auto" w:fill="auto"/>
            <w:vAlign w:val="center"/>
          </w:tcPr>
          <w:p>
            <w:pPr>
              <w:jc w:val="center"/>
              <w:rPr>
                <w:color w:val="auto"/>
                <w:highlight w:val="none"/>
              </w:rPr>
            </w:pPr>
          </w:p>
        </w:tc>
        <w:tc>
          <w:tcPr>
            <w:tcW w:w="1547" w:type="dxa"/>
            <w:gridSpan w:val="2"/>
            <w:shd w:val="clear" w:color="auto" w:fill="auto"/>
            <w:vAlign w:val="center"/>
          </w:tcPr>
          <w:p>
            <w:pPr>
              <w:jc w:val="center"/>
              <w:rPr>
                <w:color w:val="auto"/>
                <w:highlight w:val="none"/>
              </w:rPr>
            </w:pPr>
          </w:p>
        </w:tc>
        <w:tc>
          <w:tcPr>
            <w:tcW w:w="1548" w:type="dxa"/>
            <w:gridSpan w:val="2"/>
            <w:shd w:val="clear" w:color="auto" w:fill="auto"/>
            <w:vAlign w:val="center"/>
          </w:tcPr>
          <w:p>
            <w:pPr>
              <w:jc w:val="center"/>
              <w:rPr>
                <w:color w:val="auto"/>
                <w:highlight w:val="none"/>
              </w:rPr>
            </w:pPr>
          </w:p>
        </w:tc>
      </w:tr>
    </w:tbl>
    <w:p>
      <w:pPr>
        <w:spacing w:line="360" w:lineRule="auto"/>
        <w:rPr>
          <w:color w:val="auto"/>
          <w:highlight w:val="none"/>
        </w:rPr>
      </w:pPr>
    </w:p>
    <w:p>
      <w:pPr>
        <w:spacing w:line="360" w:lineRule="auto"/>
        <w:rPr>
          <w:rFonts w:eastAsia="楷体_GB2312"/>
          <w:color w:val="auto"/>
          <w:highlight w:val="none"/>
        </w:rPr>
      </w:pPr>
      <w:r>
        <w:rPr>
          <w:rFonts w:hint="eastAsia" w:eastAsia="楷体_GB2312" w:cs="楷体_GB2312"/>
          <w:color w:val="auto"/>
          <w:highlight w:val="none"/>
        </w:rPr>
        <w:t>备注：</w:t>
      </w:r>
    </w:p>
    <w:p>
      <w:pPr>
        <w:spacing w:line="360" w:lineRule="auto"/>
        <w:ind w:firstLine="420" w:firstLineChars="200"/>
        <w:rPr>
          <w:rFonts w:eastAsia="楷体_GB2312"/>
          <w:color w:val="auto"/>
          <w:highlight w:val="none"/>
        </w:rPr>
      </w:pPr>
      <w:r>
        <w:rPr>
          <w:rFonts w:eastAsia="楷体_GB2312"/>
          <w:color w:val="auto"/>
          <w:highlight w:val="none"/>
        </w:rPr>
        <w:t>1</w:t>
      </w:r>
      <w:r>
        <w:rPr>
          <w:rFonts w:hint="eastAsia" w:eastAsia="楷体_GB2312" w:cs="楷体_GB2312"/>
          <w:color w:val="auto"/>
          <w:highlight w:val="none"/>
        </w:rPr>
        <w:t>、已完成的类似工程应附中标通知书（如有）、合同协议书有关页面、工程竣工验收证明材料的复印件。在建类似工程应附中标通知书（如有）、工程合同协议书有关页面复印件。</w:t>
      </w:r>
    </w:p>
    <w:p>
      <w:pPr>
        <w:spacing w:beforeLines="50"/>
        <w:ind w:firstLine="420" w:firstLineChars="200"/>
        <w:rPr>
          <w:rFonts w:eastAsia="楷体_GB2312"/>
          <w:color w:val="auto"/>
          <w:highlight w:val="none"/>
        </w:rPr>
      </w:pPr>
    </w:p>
    <w:p>
      <w:pPr>
        <w:spacing w:line="360" w:lineRule="auto"/>
        <w:ind w:firstLine="525" w:firstLineChars="250"/>
        <w:rPr>
          <w:color w:val="auto"/>
          <w:highlight w:val="none"/>
        </w:rPr>
      </w:pPr>
    </w:p>
    <w:p>
      <w:pPr>
        <w:spacing w:line="360" w:lineRule="auto"/>
        <w:ind w:firstLine="525" w:firstLineChars="250"/>
        <w:rPr>
          <w:color w:val="auto"/>
          <w:highlight w:val="none"/>
        </w:rPr>
        <w:sectPr>
          <w:pgSz w:w="11907" w:h="16840"/>
          <w:pgMar w:top="1440" w:right="1440" w:bottom="1440" w:left="1797" w:header="851" w:footer="851" w:gutter="0"/>
          <w:cols w:space="720" w:num="1"/>
          <w:docGrid w:linePitch="312" w:charSpace="0"/>
        </w:sectPr>
      </w:pPr>
    </w:p>
    <w:p>
      <w:pPr>
        <w:spacing w:line="360" w:lineRule="auto"/>
        <w:ind w:firstLine="525" w:firstLineChars="250"/>
        <w:rPr>
          <w:color w:val="auto"/>
          <w:highlight w:val="none"/>
        </w:rPr>
      </w:pPr>
    </w:p>
    <w:p>
      <w:pPr>
        <w:pStyle w:val="146"/>
        <w:jc w:val="center"/>
        <w:rPr>
          <w:b/>
          <w:color w:val="auto"/>
          <w:sz w:val="24"/>
          <w:szCs w:val="24"/>
          <w:highlight w:val="none"/>
        </w:rPr>
      </w:pPr>
      <w:bookmarkStart w:id="1598" w:name="_Toc153274949"/>
      <w:bookmarkStart w:id="1599" w:name="_Toc173579007"/>
      <w:bookmarkStart w:id="1600" w:name="_Toc251052219"/>
      <w:bookmarkStart w:id="1601" w:name="_Toc172364027"/>
      <w:bookmarkStart w:id="1602" w:name="_Toc389065365"/>
      <w:r>
        <w:rPr>
          <w:b/>
          <w:color w:val="auto"/>
          <w:sz w:val="24"/>
          <w:szCs w:val="24"/>
          <w:highlight w:val="none"/>
        </w:rPr>
        <w:t>3</w:t>
      </w:r>
      <w:r>
        <w:rPr>
          <w:rFonts w:hint="eastAsia" w:cs="宋体"/>
          <w:b/>
          <w:color w:val="auto"/>
          <w:sz w:val="24"/>
          <w:szCs w:val="24"/>
          <w:highlight w:val="none"/>
        </w:rPr>
        <w:t>、项目技术负责人简历表</w:t>
      </w:r>
      <w:bookmarkEnd w:id="1598"/>
      <w:bookmarkEnd w:id="1599"/>
      <w:bookmarkEnd w:id="1600"/>
      <w:bookmarkEnd w:id="1601"/>
      <w:bookmarkEnd w:id="1602"/>
    </w:p>
    <w:p>
      <w:pPr>
        <w:pStyle w:val="146"/>
        <w:rPr>
          <w:color w:val="auto"/>
          <w:highlight w:val="none"/>
          <w:u w:val="single"/>
        </w:rPr>
      </w:pPr>
    </w:p>
    <w:p>
      <w:pPr>
        <w:pStyle w:val="146"/>
        <w:rPr>
          <w:color w:val="auto"/>
          <w:highlight w:val="none"/>
        </w:rPr>
      </w:pPr>
      <w:r>
        <w:rPr>
          <w:color w:val="auto"/>
          <w:highlight w:val="none"/>
          <w:u w:val="single"/>
        </w:rPr>
        <w:t xml:space="preserve">            </w:t>
      </w:r>
      <w:r>
        <w:rPr>
          <w:rFonts w:hint="eastAsia" w:cs="宋体"/>
          <w:color w:val="auto"/>
          <w:highlight w:val="none"/>
          <w:u w:val="single"/>
        </w:rPr>
        <w:t>（招标工程项目名称）</w:t>
      </w:r>
      <w:r>
        <w:rPr>
          <w:color w:val="auto"/>
          <w:highlight w:val="none"/>
          <w:u w:val="single"/>
        </w:rPr>
        <w:t xml:space="preserve">        </w:t>
      </w:r>
      <w:r>
        <w:rPr>
          <w:color w:val="auto"/>
          <w:highlight w:val="none"/>
        </w:rPr>
        <w:t xml:space="preserve"> </w:t>
      </w:r>
      <w:r>
        <w:rPr>
          <w:rFonts w:hint="eastAsia" w:cs="宋体"/>
          <w:color w:val="auto"/>
          <w:highlight w:val="none"/>
        </w:rPr>
        <w:t>工程</w:t>
      </w:r>
    </w:p>
    <w:tbl>
      <w:tblPr>
        <w:tblStyle w:val="42"/>
        <w:tblW w:w="928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464"/>
        <w:gridCol w:w="1548"/>
        <w:gridCol w:w="328"/>
        <w:gridCol w:w="1219"/>
        <w:gridCol w:w="674"/>
        <w:gridCol w:w="874"/>
        <w:gridCol w:w="711"/>
        <w:gridCol w:w="836"/>
        <w:gridCol w:w="272"/>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083" w:type="dxa"/>
            <w:shd w:val="clear" w:color="auto" w:fill="auto"/>
            <w:vAlign w:val="center"/>
          </w:tcPr>
          <w:p>
            <w:pPr>
              <w:jc w:val="center"/>
              <w:rPr>
                <w:color w:val="auto"/>
                <w:highlight w:val="none"/>
              </w:rPr>
            </w:pPr>
            <w:r>
              <w:rPr>
                <w:rFonts w:hint="eastAsia" w:cs="宋体"/>
                <w:color w:val="auto"/>
                <w:highlight w:val="none"/>
              </w:rPr>
              <w:t>姓名</w:t>
            </w:r>
          </w:p>
        </w:tc>
        <w:tc>
          <w:tcPr>
            <w:tcW w:w="2340" w:type="dxa"/>
            <w:gridSpan w:val="3"/>
            <w:shd w:val="clear" w:color="auto" w:fill="auto"/>
            <w:vAlign w:val="center"/>
          </w:tcPr>
          <w:p>
            <w:pPr>
              <w:jc w:val="center"/>
              <w:rPr>
                <w:color w:val="auto"/>
                <w:highlight w:val="none"/>
              </w:rPr>
            </w:pPr>
          </w:p>
        </w:tc>
        <w:tc>
          <w:tcPr>
            <w:tcW w:w="1893" w:type="dxa"/>
            <w:gridSpan w:val="2"/>
            <w:shd w:val="clear" w:color="auto" w:fill="auto"/>
            <w:vAlign w:val="center"/>
          </w:tcPr>
          <w:p>
            <w:pPr>
              <w:jc w:val="center"/>
              <w:rPr>
                <w:color w:val="auto"/>
                <w:highlight w:val="none"/>
              </w:rPr>
            </w:pPr>
            <w:r>
              <w:rPr>
                <w:rFonts w:hint="eastAsia" w:cs="宋体"/>
                <w:color w:val="auto"/>
                <w:highlight w:val="none"/>
              </w:rPr>
              <w:t>性别</w:t>
            </w:r>
          </w:p>
        </w:tc>
        <w:tc>
          <w:tcPr>
            <w:tcW w:w="1585" w:type="dxa"/>
            <w:gridSpan w:val="2"/>
            <w:shd w:val="clear" w:color="auto" w:fill="auto"/>
            <w:vAlign w:val="center"/>
          </w:tcPr>
          <w:p>
            <w:pPr>
              <w:jc w:val="center"/>
              <w:rPr>
                <w:color w:val="auto"/>
                <w:highlight w:val="none"/>
              </w:rPr>
            </w:pPr>
          </w:p>
        </w:tc>
        <w:tc>
          <w:tcPr>
            <w:tcW w:w="1108" w:type="dxa"/>
            <w:gridSpan w:val="2"/>
            <w:shd w:val="clear" w:color="auto" w:fill="auto"/>
            <w:vAlign w:val="center"/>
          </w:tcPr>
          <w:p>
            <w:pPr>
              <w:jc w:val="center"/>
              <w:rPr>
                <w:color w:val="auto"/>
                <w:highlight w:val="none"/>
              </w:rPr>
            </w:pPr>
            <w:r>
              <w:rPr>
                <w:rFonts w:hint="eastAsia" w:cs="宋体"/>
                <w:color w:val="auto"/>
                <w:highlight w:val="none"/>
              </w:rPr>
              <w:t>年龄</w:t>
            </w:r>
          </w:p>
        </w:tc>
        <w:tc>
          <w:tcPr>
            <w:tcW w:w="1276"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jc w:val="center"/>
        </w:trPr>
        <w:tc>
          <w:tcPr>
            <w:tcW w:w="1083" w:type="dxa"/>
            <w:shd w:val="clear" w:color="auto" w:fill="auto"/>
            <w:vAlign w:val="center"/>
          </w:tcPr>
          <w:p>
            <w:pPr>
              <w:jc w:val="center"/>
              <w:rPr>
                <w:color w:val="auto"/>
                <w:highlight w:val="none"/>
              </w:rPr>
            </w:pPr>
            <w:r>
              <w:rPr>
                <w:rFonts w:hint="eastAsia" w:cs="宋体"/>
                <w:color w:val="auto"/>
                <w:highlight w:val="none"/>
              </w:rPr>
              <w:t>职务</w:t>
            </w:r>
          </w:p>
        </w:tc>
        <w:tc>
          <w:tcPr>
            <w:tcW w:w="2340" w:type="dxa"/>
            <w:gridSpan w:val="3"/>
            <w:shd w:val="clear" w:color="auto" w:fill="auto"/>
            <w:vAlign w:val="center"/>
          </w:tcPr>
          <w:p>
            <w:pPr>
              <w:jc w:val="center"/>
              <w:rPr>
                <w:color w:val="auto"/>
                <w:highlight w:val="none"/>
              </w:rPr>
            </w:pPr>
          </w:p>
        </w:tc>
        <w:tc>
          <w:tcPr>
            <w:tcW w:w="1893" w:type="dxa"/>
            <w:gridSpan w:val="2"/>
            <w:shd w:val="clear" w:color="auto" w:fill="auto"/>
            <w:vAlign w:val="center"/>
          </w:tcPr>
          <w:p>
            <w:pPr>
              <w:jc w:val="center"/>
              <w:rPr>
                <w:color w:val="auto"/>
                <w:highlight w:val="none"/>
              </w:rPr>
            </w:pPr>
            <w:r>
              <w:rPr>
                <w:rFonts w:hint="eastAsia" w:cs="宋体"/>
                <w:color w:val="auto"/>
                <w:highlight w:val="none"/>
              </w:rPr>
              <w:t>职称</w:t>
            </w:r>
          </w:p>
        </w:tc>
        <w:tc>
          <w:tcPr>
            <w:tcW w:w="1585" w:type="dxa"/>
            <w:gridSpan w:val="2"/>
            <w:shd w:val="clear" w:color="auto" w:fill="auto"/>
            <w:vAlign w:val="center"/>
          </w:tcPr>
          <w:p>
            <w:pPr>
              <w:jc w:val="center"/>
              <w:rPr>
                <w:color w:val="auto"/>
                <w:highlight w:val="none"/>
              </w:rPr>
            </w:pPr>
          </w:p>
        </w:tc>
        <w:tc>
          <w:tcPr>
            <w:tcW w:w="1108" w:type="dxa"/>
            <w:gridSpan w:val="2"/>
            <w:shd w:val="clear" w:color="auto" w:fill="auto"/>
            <w:vAlign w:val="center"/>
          </w:tcPr>
          <w:p>
            <w:pPr>
              <w:jc w:val="center"/>
              <w:rPr>
                <w:color w:val="auto"/>
                <w:highlight w:val="none"/>
              </w:rPr>
            </w:pPr>
            <w:r>
              <w:rPr>
                <w:rFonts w:hint="eastAsia" w:cs="宋体"/>
                <w:color w:val="auto"/>
                <w:highlight w:val="none"/>
              </w:rPr>
              <w:t>学历</w:t>
            </w:r>
          </w:p>
        </w:tc>
        <w:tc>
          <w:tcPr>
            <w:tcW w:w="1276"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3423" w:type="dxa"/>
            <w:gridSpan w:val="4"/>
            <w:shd w:val="clear" w:color="auto" w:fill="auto"/>
            <w:vAlign w:val="center"/>
          </w:tcPr>
          <w:p>
            <w:pPr>
              <w:jc w:val="center"/>
              <w:rPr>
                <w:color w:val="auto"/>
                <w:highlight w:val="none"/>
              </w:rPr>
            </w:pPr>
            <w:r>
              <w:rPr>
                <w:rFonts w:hint="eastAsia" w:cs="宋体"/>
                <w:color w:val="auto"/>
                <w:highlight w:val="none"/>
              </w:rPr>
              <w:t>参加工作时间</w:t>
            </w:r>
          </w:p>
        </w:tc>
        <w:tc>
          <w:tcPr>
            <w:tcW w:w="1893" w:type="dxa"/>
            <w:gridSpan w:val="2"/>
            <w:shd w:val="clear" w:color="auto" w:fill="auto"/>
            <w:vAlign w:val="center"/>
          </w:tcPr>
          <w:p>
            <w:pPr>
              <w:jc w:val="center"/>
              <w:rPr>
                <w:color w:val="auto"/>
                <w:highlight w:val="none"/>
              </w:rPr>
            </w:pPr>
          </w:p>
        </w:tc>
        <w:tc>
          <w:tcPr>
            <w:tcW w:w="2693" w:type="dxa"/>
            <w:gridSpan w:val="4"/>
            <w:shd w:val="clear" w:color="auto" w:fill="auto"/>
            <w:vAlign w:val="center"/>
          </w:tcPr>
          <w:p>
            <w:pPr>
              <w:jc w:val="center"/>
              <w:rPr>
                <w:color w:val="auto"/>
                <w:highlight w:val="none"/>
              </w:rPr>
            </w:pPr>
            <w:r>
              <w:rPr>
                <w:rFonts w:hint="eastAsia" w:cs="宋体"/>
                <w:color w:val="auto"/>
                <w:highlight w:val="none"/>
              </w:rPr>
              <w:t>担任技术负责人年限</w:t>
            </w:r>
          </w:p>
        </w:tc>
        <w:tc>
          <w:tcPr>
            <w:tcW w:w="1276"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9285" w:type="dxa"/>
            <w:gridSpan w:val="11"/>
            <w:shd w:val="clear" w:color="auto" w:fill="auto"/>
            <w:vAlign w:val="center"/>
          </w:tcPr>
          <w:p>
            <w:pPr>
              <w:jc w:val="center"/>
              <w:rPr>
                <w:color w:val="auto"/>
                <w:highlight w:val="none"/>
              </w:rPr>
            </w:pPr>
            <w:r>
              <w:rPr>
                <w:rFonts w:hint="eastAsia" w:cs="宋体"/>
                <w:color w:val="auto"/>
                <w:highlight w:val="none"/>
              </w:rPr>
              <w:t>在建和已完工程项目情况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547" w:type="dxa"/>
            <w:gridSpan w:val="2"/>
            <w:shd w:val="clear" w:color="auto" w:fill="auto"/>
            <w:vAlign w:val="center"/>
          </w:tcPr>
          <w:p>
            <w:pPr>
              <w:jc w:val="center"/>
              <w:rPr>
                <w:color w:val="auto"/>
                <w:highlight w:val="none"/>
              </w:rPr>
            </w:pPr>
            <w:r>
              <w:rPr>
                <w:rFonts w:hint="eastAsia" w:cs="宋体"/>
                <w:color w:val="auto"/>
                <w:highlight w:val="none"/>
              </w:rPr>
              <w:t>建设单位</w:t>
            </w:r>
          </w:p>
        </w:tc>
        <w:tc>
          <w:tcPr>
            <w:tcW w:w="1548" w:type="dxa"/>
            <w:shd w:val="clear" w:color="auto" w:fill="auto"/>
            <w:vAlign w:val="center"/>
          </w:tcPr>
          <w:p>
            <w:pPr>
              <w:jc w:val="center"/>
              <w:rPr>
                <w:color w:val="auto"/>
                <w:highlight w:val="none"/>
              </w:rPr>
            </w:pPr>
            <w:r>
              <w:rPr>
                <w:rFonts w:hint="eastAsia" w:cs="宋体"/>
                <w:color w:val="auto"/>
                <w:highlight w:val="none"/>
              </w:rPr>
              <w:t>项目名称</w:t>
            </w:r>
          </w:p>
        </w:tc>
        <w:tc>
          <w:tcPr>
            <w:tcW w:w="1547" w:type="dxa"/>
            <w:gridSpan w:val="2"/>
            <w:shd w:val="clear" w:color="auto" w:fill="auto"/>
            <w:vAlign w:val="center"/>
          </w:tcPr>
          <w:p>
            <w:pPr>
              <w:jc w:val="center"/>
              <w:rPr>
                <w:color w:val="auto"/>
                <w:highlight w:val="none"/>
              </w:rPr>
            </w:pPr>
            <w:r>
              <w:rPr>
                <w:rFonts w:hint="eastAsia" w:cs="宋体"/>
                <w:color w:val="auto"/>
                <w:highlight w:val="none"/>
              </w:rPr>
              <w:t>建设规模</w:t>
            </w:r>
          </w:p>
        </w:tc>
        <w:tc>
          <w:tcPr>
            <w:tcW w:w="1548" w:type="dxa"/>
            <w:gridSpan w:val="2"/>
            <w:shd w:val="clear" w:color="auto" w:fill="auto"/>
            <w:vAlign w:val="center"/>
          </w:tcPr>
          <w:p>
            <w:pPr>
              <w:jc w:val="center"/>
              <w:rPr>
                <w:color w:val="auto"/>
                <w:highlight w:val="none"/>
              </w:rPr>
            </w:pPr>
            <w:r>
              <w:rPr>
                <w:rFonts w:hint="eastAsia" w:cs="宋体"/>
                <w:color w:val="auto"/>
                <w:highlight w:val="none"/>
              </w:rPr>
              <w:t>开、竣工日期</w:t>
            </w:r>
          </w:p>
        </w:tc>
        <w:tc>
          <w:tcPr>
            <w:tcW w:w="1547" w:type="dxa"/>
            <w:gridSpan w:val="2"/>
            <w:shd w:val="clear" w:color="auto" w:fill="auto"/>
            <w:vAlign w:val="center"/>
          </w:tcPr>
          <w:p>
            <w:pPr>
              <w:jc w:val="center"/>
              <w:rPr>
                <w:color w:val="auto"/>
                <w:highlight w:val="none"/>
              </w:rPr>
            </w:pPr>
            <w:r>
              <w:rPr>
                <w:rFonts w:hint="eastAsia" w:cs="宋体"/>
                <w:color w:val="auto"/>
                <w:highlight w:val="none"/>
              </w:rPr>
              <w:t>在建或已完</w:t>
            </w:r>
          </w:p>
        </w:tc>
        <w:tc>
          <w:tcPr>
            <w:tcW w:w="1548" w:type="dxa"/>
            <w:gridSpan w:val="2"/>
            <w:shd w:val="clear" w:color="auto" w:fill="auto"/>
            <w:vAlign w:val="center"/>
          </w:tcPr>
          <w:p>
            <w:pPr>
              <w:jc w:val="center"/>
              <w:rPr>
                <w:color w:val="auto"/>
                <w:highlight w:val="none"/>
              </w:rPr>
            </w:pPr>
            <w:r>
              <w:rPr>
                <w:rFonts w:hint="eastAsia" w:cs="宋体"/>
                <w:color w:val="auto"/>
                <w:highlight w:val="none"/>
              </w:rPr>
              <w:t>工程质量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jc w:val="center"/>
        </w:trPr>
        <w:tc>
          <w:tcPr>
            <w:tcW w:w="1547" w:type="dxa"/>
            <w:gridSpan w:val="2"/>
            <w:shd w:val="clear" w:color="auto" w:fill="auto"/>
            <w:vAlign w:val="center"/>
          </w:tcPr>
          <w:p>
            <w:pPr>
              <w:jc w:val="center"/>
              <w:rPr>
                <w:color w:val="auto"/>
                <w:highlight w:val="none"/>
              </w:rPr>
            </w:pPr>
          </w:p>
        </w:tc>
        <w:tc>
          <w:tcPr>
            <w:tcW w:w="1548" w:type="dxa"/>
            <w:shd w:val="clear" w:color="auto" w:fill="auto"/>
            <w:vAlign w:val="center"/>
          </w:tcPr>
          <w:p>
            <w:pPr>
              <w:jc w:val="center"/>
              <w:rPr>
                <w:color w:val="auto"/>
                <w:highlight w:val="none"/>
              </w:rPr>
            </w:pPr>
          </w:p>
        </w:tc>
        <w:tc>
          <w:tcPr>
            <w:tcW w:w="1547" w:type="dxa"/>
            <w:gridSpan w:val="2"/>
            <w:shd w:val="clear" w:color="auto" w:fill="auto"/>
            <w:vAlign w:val="center"/>
          </w:tcPr>
          <w:p>
            <w:pPr>
              <w:jc w:val="center"/>
              <w:rPr>
                <w:color w:val="auto"/>
                <w:highlight w:val="none"/>
              </w:rPr>
            </w:pPr>
          </w:p>
        </w:tc>
        <w:tc>
          <w:tcPr>
            <w:tcW w:w="1548" w:type="dxa"/>
            <w:gridSpan w:val="2"/>
            <w:shd w:val="clear" w:color="auto" w:fill="auto"/>
            <w:vAlign w:val="center"/>
          </w:tcPr>
          <w:p>
            <w:pPr>
              <w:jc w:val="center"/>
              <w:rPr>
                <w:color w:val="auto"/>
                <w:highlight w:val="none"/>
              </w:rPr>
            </w:pPr>
          </w:p>
        </w:tc>
        <w:tc>
          <w:tcPr>
            <w:tcW w:w="1547" w:type="dxa"/>
            <w:gridSpan w:val="2"/>
            <w:shd w:val="clear" w:color="auto" w:fill="auto"/>
            <w:vAlign w:val="center"/>
          </w:tcPr>
          <w:p>
            <w:pPr>
              <w:jc w:val="center"/>
              <w:rPr>
                <w:color w:val="auto"/>
                <w:highlight w:val="none"/>
              </w:rPr>
            </w:pPr>
          </w:p>
        </w:tc>
        <w:tc>
          <w:tcPr>
            <w:tcW w:w="1548" w:type="dxa"/>
            <w:gridSpan w:val="2"/>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jc w:val="center"/>
        </w:trPr>
        <w:tc>
          <w:tcPr>
            <w:tcW w:w="1547" w:type="dxa"/>
            <w:gridSpan w:val="2"/>
            <w:shd w:val="clear" w:color="auto" w:fill="auto"/>
            <w:vAlign w:val="center"/>
          </w:tcPr>
          <w:p>
            <w:pPr>
              <w:jc w:val="center"/>
              <w:rPr>
                <w:color w:val="auto"/>
                <w:highlight w:val="none"/>
              </w:rPr>
            </w:pPr>
          </w:p>
        </w:tc>
        <w:tc>
          <w:tcPr>
            <w:tcW w:w="1548" w:type="dxa"/>
            <w:shd w:val="clear" w:color="auto" w:fill="auto"/>
            <w:vAlign w:val="center"/>
          </w:tcPr>
          <w:p>
            <w:pPr>
              <w:jc w:val="center"/>
              <w:rPr>
                <w:color w:val="auto"/>
                <w:highlight w:val="none"/>
              </w:rPr>
            </w:pPr>
          </w:p>
        </w:tc>
        <w:tc>
          <w:tcPr>
            <w:tcW w:w="1547" w:type="dxa"/>
            <w:gridSpan w:val="2"/>
            <w:shd w:val="clear" w:color="auto" w:fill="auto"/>
            <w:vAlign w:val="center"/>
          </w:tcPr>
          <w:p>
            <w:pPr>
              <w:jc w:val="center"/>
              <w:rPr>
                <w:color w:val="auto"/>
                <w:highlight w:val="none"/>
              </w:rPr>
            </w:pPr>
          </w:p>
        </w:tc>
        <w:tc>
          <w:tcPr>
            <w:tcW w:w="1548" w:type="dxa"/>
            <w:gridSpan w:val="2"/>
            <w:shd w:val="clear" w:color="auto" w:fill="auto"/>
            <w:vAlign w:val="center"/>
          </w:tcPr>
          <w:p>
            <w:pPr>
              <w:jc w:val="center"/>
              <w:rPr>
                <w:color w:val="auto"/>
                <w:highlight w:val="none"/>
              </w:rPr>
            </w:pPr>
          </w:p>
        </w:tc>
        <w:tc>
          <w:tcPr>
            <w:tcW w:w="1547" w:type="dxa"/>
            <w:gridSpan w:val="2"/>
            <w:shd w:val="clear" w:color="auto" w:fill="auto"/>
            <w:vAlign w:val="center"/>
          </w:tcPr>
          <w:p>
            <w:pPr>
              <w:jc w:val="center"/>
              <w:rPr>
                <w:color w:val="auto"/>
                <w:highlight w:val="none"/>
              </w:rPr>
            </w:pPr>
          </w:p>
        </w:tc>
        <w:tc>
          <w:tcPr>
            <w:tcW w:w="1548" w:type="dxa"/>
            <w:gridSpan w:val="2"/>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jc w:val="center"/>
        </w:trPr>
        <w:tc>
          <w:tcPr>
            <w:tcW w:w="1547" w:type="dxa"/>
            <w:gridSpan w:val="2"/>
            <w:shd w:val="clear" w:color="auto" w:fill="auto"/>
            <w:vAlign w:val="center"/>
          </w:tcPr>
          <w:p>
            <w:pPr>
              <w:jc w:val="center"/>
              <w:rPr>
                <w:color w:val="auto"/>
                <w:highlight w:val="none"/>
              </w:rPr>
            </w:pPr>
          </w:p>
        </w:tc>
        <w:tc>
          <w:tcPr>
            <w:tcW w:w="1548" w:type="dxa"/>
            <w:shd w:val="clear" w:color="auto" w:fill="auto"/>
            <w:vAlign w:val="center"/>
          </w:tcPr>
          <w:p>
            <w:pPr>
              <w:jc w:val="center"/>
              <w:rPr>
                <w:color w:val="auto"/>
                <w:highlight w:val="none"/>
              </w:rPr>
            </w:pPr>
          </w:p>
        </w:tc>
        <w:tc>
          <w:tcPr>
            <w:tcW w:w="1547" w:type="dxa"/>
            <w:gridSpan w:val="2"/>
            <w:shd w:val="clear" w:color="auto" w:fill="auto"/>
            <w:vAlign w:val="center"/>
          </w:tcPr>
          <w:p>
            <w:pPr>
              <w:jc w:val="center"/>
              <w:rPr>
                <w:color w:val="auto"/>
                <w:highlight w:val="none"/>
              </w:rPr>
            </w:pPr>
          </w:p>
        </w:tc>
        <w:tc>
          <w:tcPr>
            <w:tcW w:w="1548" w:type="dxa"/>
            <w:gridSpan w:val="2"/>
            <w:shd w:val="clear" w:color="auto" w:fill="auto"/>
            <w:vAlign w:val="center"/>
          </w:tcPr>
          <w:p>
            <w:pPr>
              <w:jc w:val="center"/>
              <w:rPr>
                <w:color w:val="auto"/>
                <w:highlight w:val="none"/>
              </w:rPr>
            </w:pPr>
          </w:p>
        </w:tc>
        <w:tc>
          <w:tcPr>
            <w:tcW w:w="1547" w:type="dxa"/>
            <w:gridSpan w:val="2"/>
            <w:shd w:val="clear" w:color="auto" w:fill="auto"/>
            <w:vAlign w:val="center"/>
          </w:tcPr>
          <w:p>
            <w:pPr>
              <w:jc w:val="center"/>
              <w:rPr>
                <w:color w:val="auto"/>
                <w:highlight w:val="none"/>
              </w:rPr>
            </w:pPr>
          </w:p>
        </w:tc>
        <w:tc>
          <w:tcPr>
            <w:tcW w:w="1548" w:type="dxa"/>
            <w:gridSpan w:val="2"/>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jc w:val="center"/>
        </w:trPr>
        <w:tc>
          <w:tcPr>
            <w:tcW w:w="1547" w:type="dxa"/>
            <w:gridSpan w:val="2"/>
            <w:shd w:val="clear" w:color="auto" w:fill="auto"/>
            <w:vAlign w:val="center"/>
          </w:tcPr>
          <w:p>
            <w:pPr>
              <w:jc w:val="center"/>
              <w:rPr>
                <w:color w:val="auto"/>
                <w:highlight w:val="none"/>
              </w:rPr>
            </w:pPr>
          </w:p>
        </w:tc>
        <w:tc>
          <w:tcPr>
            <w:tcW w:w="1548" w:type="dxa"/>
            <w:shd w:val="clear" w:color="auto" w:fill="auto"/>
            <w:vAlign w:val="center"/>
          </w:tcPr>
          <w:p>
            <w:pPr>
              <w:jc w:val="center"/>
              <w:rPr>
                <w:color w:val="auto"/>
                <w:highlight w:val="none"/>
              </w:rPr>
            </w:pPr>
          </w:p>
        </w:tc>
        <w:tc>
          <w:tcPr>
            <w:tcW w:w="1547" w:type="dxa"/>
            <w:gridSpan w:val="2"/>
            <w:shd w:val="clear" w:color="auto" w:fill="auto"/>
            <w:vAlign w:val="center"/>
          </w:tcPr>
          <w:p>
            <w:pPr>
              <w:jc w:val="center"/>
              <w:rPr>
                <w:color w:val="auto"/>
                <w:highlight w:val="none"/>
              </w:rPr>
            </w:pPr>
          </w:p>
        </w:tc>
        <w:tc>
          <w:tcPr>
            <w:tcW w:w="1548" w:type="dxa"/>
            <w:gridSpan w:val="2"/>
            <w:shd w:val="clear" w:color="auto" w:fill="auto"/>
            <w:vAlign w:val="center"/>
          </w:tcPr>
          <w:p>
            <w:pPr>
              <w:jc w:val="center"/>
              <w:rPr>
                <w:color w:val="auto"/>
                <w:highlight w:val="none"/>
              </w:rPr>
            </w:pPr>
          </w:p>
        </w:tc>
        <w:tc>
          <w:tcPr>
            <w:tcW w:w="1547" w:type="dxa"/>
            <w:gridSpan w:val="2"/>
            <w:shd w:val="clear" w:color="auto" w:fill="auto"/>
            <w:vAlign w:val="center"/>
          </w:tcPr>
          <w:p>
            <w:pPr>
              <w:jc w:val="center"/>
              <w:rPr>
                <w:color w:val="auto"/>
                <w:highlight w:val="none"/>
              </w:rPr>
            </w:pPr>
          </w:p>
        </w:tc>
        <w:tc>
          <w:tcPr>
            <w:tcW w:w="1548" w:type="dxa"/>
            <w:gridSpan w:val="2"/>
            <w:shd w:val="clear" w:color="auto" w:fill="auto"/>
            <w:vAlign w:val="center"/>
          </w:tcPr>
          <w:p>
            <w:pPr>
              <w:jc w:val="center"/>
              <w:rPr>
                <w:color w:val="auto"/>
                <w:highlight w:val="none"/>
              </w:rPr>
            </w:pPr>
          </w:p>
        </w:tc>
      </w:tr>
    </w:tbl>
    <w:p>
      <w:pPr>
        <w:spacing w:line="360" w:lineRule="auto"/>
        <w:rPr>
          <w:color w:val="auto"/>
          <w:highlight w:val="none"/>
        </w:rPr>
      </w:pPr>
    </w:p>
    <w:p>
      <w:pPr>
        <w:spacing w:line="360" w:lineRule="auto"/>
        <w:rPr>
          <w:rFonts w:eastAsia="楷体_GB2312"/>
          <w:color w:val="auto"/>
          <w:highlight w:val="none"/>
        </w:rPr>
      </w:pPr>
      <w:r>
        <w:rPr>
          <w:rFonts w:hint="eastAsia" w:eastAsia="楷体_GB2312" w:cs="楷体_GB2312"/>
          <w:color w:val="auto"/>
          <w:highlight w:val="none"/>
        </w:rPr>
        <w:t>备注：</w:t>
      </w:r>
    </w:p>
    <w:p>
      <w:pPr>
        <w:spacing w:line="360" w:lineRule="auto"/>
        <w:ind w:firstLine="420" w:firstLineChars="200"/>
        <w:rPr>
          <w:rFonts w:eastAsia="楷体_GB2312"/>
          <w:color w:val="auto"/>
          <w:highlight w:val="none"/>
        </w:rPr>
      </w:pPr>
      <w:r>
        <w:rPr>
          <w:rFonts w:hint="eastAsia" w:eastAsia="楷体_GB2312" w:cs="楷体_GB2312"/>
          <w:color w:val="auto"/>
          <w:highlight w:val="none"/>
        </w:rPr>
        <w:t>职称证、已完成的类似工程应附中标通知书（如有）、合同协议书有关页面、工程竣工验收证明材料的复印件。在建类似工程应附中标通知书（如有）、工程合同协议书有关页面复印件。</w:t>
      </w:r>
    </w:p>
    <w:p>
      <w:pPr>
        <w:spacing w:line="360" w:lineRule="auto"/>
        <w:ind w:firstLine="420" w:firstLineChars="200"/>
        <w:rPr>
          <w:rFonts w:eastAsia="楷体_GB2312"/>
          <w:color w:val="auto"/>
          <w:highlight w:val="none"/>
        </w:rPr>
      </w:pPr>
    </w:p>
    <w:p>
      <w:pPr>
        <w:jc w:val="center"/>
        <w:rPr>
          <w:color w:val="auto"/>
          <w:sz w:val="32"/>
          <w:szCs w:val="32"/>
          <w:highlight w:val="none"/>
        </w:rPr>
      </w:pPr>
    </w:p>
    <w:p>
      <w:pPr>
        <w:rPr>
          <w:color w:val="auto"/>
          <w:highlight w:val="none"/>
        </w:rPr>
      </w:pPr>
    </w:p>
    <w:p>
      <w:pPr>
        <w:spacing w:line="360" w:lineRule="auto"/>
        <w:ind w:firstLine="490"/>
        <w:jc w:val="center"/>
        <w:rPr>
          <w:color w:val="auto"/>
          <w:highlight w:val="none"/>
        </w:rPr>
      </w:pPr>
    </w:p>
    <w:p>
      <w:pPr>
        <w:spacing w:line="360" w:lineRule="auto"/>
        <w:ind w:firstLine="490"/>
        <w:jc w:val="center"/>
        <w:rPr>
          <w:color w:val="auto"/>
          <w:highlight w:val="none"/>
        </w:rPr>
      </w:pPr>
    </w:p>
    <w:p>
      <w:pPr>
        <w:pStyle w:val="43"/>
        <w:rPr>
          <w:color w:val="auto"/>
          <w:highlight w:val="none"/>
        </w:rPr>
      </w:pPr>
    </w:p>
    <w:p>
      <w:pPr>
        <w:pStyle w:val="43"/>
        <w:rPr>
          <w:color w:val="auto"/>
          <w:highlight w:val="none"/>
        </w:rPr>
      </w:pPr>
    </w:p>
    <w:p>
      <w:pPr>
        <w:pStyle w:val="43"/>
        <w:rPr>
          <w:color w:val="auto"/>
          <w:highlight w:val="none"/>
        </w:rPr>
      </w:pPr>
    </w:p>
    <w:p>
      <w:pPr>
        <w:pStyle w:val="43"/>
        <w:rPr>
          <w:color w:val="auto"/>
          <w:highlight w:val="none"/>
        </w:rPr>
      </w:pPr>
    </w:p>
    <w:p>
      <w:pPr>
        <w:pStyle w:val="43"/>
        <w:rPr>
          <w:color w:val="auto"/>
          <w:highlight w:val="none"/>
        </w:rPr>
      </w:pPr>
    </w:p>
    <w:p>
      <w:pPr>
        <w:pStyle w:val="43"/>
        <w:rPr>
          <w:color w:val="auto"/>
          <w:highlight w:val="none"/>
        </w:rPr>
      </w:pPr>
    </w:p>
    <w:p>
      <w:pPr>
        <w:pStyle w:val="43"/>
        <w:rPr>
          <w:color w:val="auto"/>
          <w:highlight w:val="none"/>
        </w:rPr>
      </w:pPr>
    </w:p>
    <w:p>
      <w:pPr>
        <w:pStyle w:val="43"/>
        <w:rPr>
          <w:color w:val="auto"/>
          <w:highlight w:val="none"/>
        </w:rPr>
      </w:pPr>
    </w:p>
    <w:p>
      <w:pPr>
        <w:pStyle w:val="43"/>
        <w:rPr>
          <w:color w:val="auto"/>
          <w:highlight w:val="none"/>
        </w:rPr>
      </w:pPr>
    </w:p>
    <w:p>
      <w:pPr>
        <w:pStyle w:val="43"/>
        <w:rPr>
          <w:color w:val="auto"/>
          <w:highlight w:val="none"/>
        </w:rPr>
      </w:pPr>
    </w:p>
    <w:p>
      <w:pPr>
        <w:pStyle w:val="43"/>
        <w:rPr>
          <w:color w:val="auto"/>
          <w:highlight w:val="none"/>
        </w:rPr>
      </w:pPr>
    </w:p>
    <w:p>
      <w:pPr>
        <w:jc w:val="center"/>
        <w:rPr>
          <w:b/>
          <w:color w:val="auto"/>
          <w:sz w:val="30"/>
          <w:highlight w:val="none"/>
        </w:rPr>
      </w:pPr>
    </w:p>
    <w:p>
      <w:pPr>
        <w:jc w:val="center"/>
        <w:rPr>
          <w:b/>
          <w:color w:val="auto"/>
          <w:sz w:val="30"/>
          <w:highlight w:val="none"/>
        </w:rPr>
      </w:pP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jc w:val="center"/>
        <w:rPr>
          <w:color w:val="auto"/>
          <w:sz w:val="28"/>
          <w:szCs w:val="28"/>
          <w:highlight w:val="none"/>
        </w:rPr>
      </w:pPr>
      <w:r>
        <w:rPr>
          <w:color w:val="auto"/>
          <w:sz w:val="32"/>
          <w:szCs w:val="32"/>
          <w:highlight w:val="none"/>
          <w:u w:val="single"/>
        </w:rPr>
        <w:t xml:space="preserve">             </w:t>
      </w:r>
      <w:r>
        <w:rPr>
          <w:rFonts w:hint="eastAsia" w:cs="宋体"/>
          <w:color w:val="auto"/>
          <w:sz w:val="28"/>
          <w:szCs w:val="28"/>
          <w:highlight w:val="none"/>
        </w:rPr>
        <w:t>（项目名称）施工招标</w:t>
      </w:r>
    </w:p>
    <w:p>
      <w:pPr>
        <w:jc w:val="center"/>
        <w:rPr>
          <w:color w:val="auto"/>
          <w:sz w:val="28"/>
          <w:szCs w:val="28"/>
          <w:highlight w:val="none"/>
        </w:rPr>
      </w:pPr>
    </w:p>
    <w:p>
      <w:pPr>
        <w:spacing w:beforeLines="100"/>
        <w:jc w:val="center"/>
        <w:rPr>
          <w:color w:val="auto"/>
          <w:sz w:val="52"/>
          <w:szCs w:val="52"/>
          <w:highlight w:val="none"/>
        </w:rPr>
      </w:pPr>
      <w:r>
        <w:rPr>
          <w:rFonts w:hint="eastAsia" w:cs="宋体"/>
          <w:color w:val="auto"/>
          <w:sz w:val="52"/>
          <w:szCs w:val="52"/>
          <w:highlight w:val="none"/>
        </w:rPr>
        <w:t>投</w:t>
      </w:r>
      <w:r>
        <w:rPr>
          <w:color w:val="auto"/>
          <w:sz w:val="52"/>
          <w:szCs w:val="52"/>
          <w:highlight w:val="none"/>
        </w:rPr>
        <w:t xml:space="preserve">  </w:t>
      </w:r>
      <w:r>
        <w:rPr>
          <w:rFonts w:hint="eastAsia" w:cs="宋体"/>
          <w:color w:val="auto"/>
          <w:sz w:val="52"/>
          <w:szCs w:val="52"/>
          <w:highlight w:val="none"/>
        </w:rPr>
        <w:t>标</w:t>
      </w:r>
      <w:r>
        <w:rPr>
          <w:color w:val="auto"/>
          <w:sz w:val="52"/>
          <w:szCs w:val="52"/>
          <w:highlight w:val="none"/>
        </w:rPr>
        <w:t xml:space="preserve">  </w:t>
      </w:r>
      <w:r>
        <w:rPr>
          <w:rFonts w:hint="eastAsia" w:cs="宋体"/>
          <w:color w:val="auto"/>
          <w:sz w:val="52"/>
          <w:szCs w:val="52"/>
          <w:highlight w:val="none"/>
        </w:rPr>
        <w:t>文</w:t>
      </w:r>
      <w:r>
        <w:rPr>
          <w:color w:val="auto"/>
          <w:sz w:val="52"/>
          <w:szCs w:val="52"/>
          <w:highlight w:val="none"/>
        </w:rPr>
        <w:t xml:space="preserve">  </w:t>
      </w:r>
      <w:r>
        <w:rPr>
          <w:rFonts w:hint="eastAsia" w:cs="宋体"/>
          <w:color w:val="auto"/>
          <w:sz w:val="52"/>
          <w:szCs w:val="52"/>
          <w:highlight w:val="none"/>
        </w:rPr>
        <w:t>件</w:t>
      </w: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spacing w:line="360" w:lineRule="auto"/>
        <w:ind w:firstLine="2380" w:firstLineChars="850"/>
        <w:rPr>
          <w:color w:val="auto"/>
          <w:sz w:val="28"/>
          <w:szCs w:val="28"/>
          <w:highlight w:val="none"/>
          <w:u w:val="single"/>
        </w:rPr>
      </w:pPr>
      <w:r>
        <w:rPr>
          <w:rFonts w:hint="eastAsia" w:cs="宋体"/>
          <w:color w:val="auto"/>
          <w:sz w:val="28"/>
          <w:szCs w:val="28"/>
          <w:highlight w:val="none"/>
        </w:rPr>
        <w:t>项目招标编号：</w:t>
      </w:r>
      <w:r>
        <w:rPr>
          <w:color w:val="auto"/>
          <w:sz w:val="28"/>
          <w:szCs w:val="28"/>
          <w:highlight w:val="none"/>
          <w:u w:val="single"/>
        </w:rPr>
        <w:t xml:space="preserve">                   </w:t>
      </w:r>
    </w:p>
    <w:p>
      <w:pPr>
        <w:jc w:val="center"/>
        <w:rPr>
          <w:color w:val="auto"/>
          <w:sz w:val="32"/>
          <w:szCs w:val="32"/>
          <w:highlight w:val="none"/>
        </w:rPr>
      </w:pPr>
      <w:r>
        <w:rPr>
          <w:color w:val="auto"/>
          <w:sz w:val="32"/>
          <w:szCs w:val="32"/>
          <w:highlight w:val="none"/>
        </w:rPr>
        <w:t>（正本/副本）</w:t>
      </w: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jc w:val="center"/>
        <w:rPr>
          <w:color w:val="auto"/>
          <w:sz w:val="32"/>
          <w:szCs w:val="32"/>
          <w:highlight w:val="none"/>
        </w:rPr>
      </w:pPr>
    </w:p>
    <w:p>
      <w:pPr>
        <w:spacing w:line="360" w:lineRule="auto"/>
        <w:ind w:firstLine="980" w:firstLineChars="350"/>
        <w:rPr>
          <w:color w:val="auto"/>
          <w:sz w:val="28"/>
          <w:szCs w:val="28"/>
          <w:highlight w:val="none"/>
          <w:u w:val="single"/>
        </w:rPr>
      </w:pPr>
      <w:r>
        <w:rPr>
          <w:rFonts w:hint="eastAsia" w:cs="宋体"/>
          <w:color w:val="auto"/>
          <w:sz w:val="28"/>
          <w:szCs w:val="28"/>
          <w:highlight w:val="none"/>
        </w:rPr>
        <w:t>投标内容：</w:t>
      </w:r>
      <w:r>
        <w:rPr>
          <w:color w:val="auto"/>
          <w:sz w:val="28"/>
          <w:szCs w:val="28"/>
          <w:highlight w:val="none"/>
          <w:u w:val="single"/>
        </w:rPr>
        <w:t xml:space="preserve">            </w:t>
      </w:r>
      <w:r>
        <w:rPr>
          <w:rFonts w:hint="eastAsia" w:cs="宋体"/>
          <w:color w:val="auto"/>
          <w:sz w:val="28"/>
          <w:szCs w:val="28"/>
          <w:highlight w:val="none"/>
          <w:u w:val="single"/>
        </w:rPr>
        <w:t>企业信誉实力部分</w:t>
      </w:r>
      <w:r>
        <w:rPr>
          <w:color w:val="auto"/>
          <w:sz w:val="28"/>
          <w:szCs w:val="28"/>
          <w:highlight w:val="none"/>
          <w:u w:val="single"/>
        </w:rPr>
        <w:t xml:space="preserve">           </w:t>
      </w:r>
    </w:p>
    <w:p>
      <w:pPr>
        <w:spacing w:line="360" w:lineRule="auto"/>
        <w:ind w:firstLine="980" w:firstLineChars="350"/>
        <w:rPr>
          <w:color w:val="auto"/>
          <w:sz w:val="28"/>
          <w:szCs w:val="28"/>
          <w:highlight w:val="none"/>
        </w:rPr>
      </w:pPr>
      <w:r>
        <w:rPr>
          <w:rFonts w:hint="eastAsia" w:cs="宋体"/>
          <w:color w:val="auto"/>
          <w:sz w:val="28"/>
          <w:szCs w:val="28"/>
          <w:highlight w:val="none"/>
        </w:rPr>
        <w:t>投标人：</w:t>
      </w:r>
      <w:r>
        <w:rPr>
          <w:color w:val="auto"/>
          <w:sz w:val="28"/>
          <w:szCs w:val="28"/>
          <w:highlight w:val="none"/>
          <w:u w:val="single"/>
        </w:rPr>
        <w:t xml:space="preserve">                               </w:t>
      </w:r>
      <w:r>
        <w:rPr>
          <w:rFonts w:hint="eastAsia" w:cs="宋体"/>
          <w:color w:val="auto"/>
          <w:sz w:val="28"/>
          <w:szCs w:val="28"/>
          <w:highlight w:val="none"/>
        </w:rPr>
        <w:t>（盖单位章）</w:t>
      </w:r>
    </w:p>
    <w:p>
      <w:pPr>
        <w:spacing w:line="360" w:lineRule="auto"/>
        <w:ind w:firstLine="980" w:firstLineChars="350"/>
        <w:rPr>
          <w:color w:val="auto"/>
          <w:sz w:val="28"/>
          <w:szCs w:val="28"/>
          <w:highlight w:val="none"/>
        </w:rPr>
      </w:pPr>
      <w:r>
        <w:rPr>
          <w:rFonts w:hint="eastAsia" w:cs="宋体"/>
          <w:color w:val="auto"/>
          <w:sz w:val="28"/>
          <w:szCs w:val="28"/>
          <w:highlight w:val="none"/>
        </w:rPr>
        <w:t>法定代表人：</w:t>
      </w:r>
      <w:r>
        <w:rPr>
          <w:color w:val="auto"/>
          <w:sz w:val="28"/>
          <w:szCs w:val="28"/>
          <w:highlight w:val="none"/>
          <w:u w:val="single"/>
        </w:rPr>
        <w:t xml:space="preserve">           </w:t>
      </w:r>
      <w:r>
        <w:rPr>
          <w:rFonts w:hint="eastAsia" w:cs="宋体"/>
          <w:color w:val="auto"/>
          <w:sz w:val="28"/>
          <w:szCs w:val="28"/>
          <w:highlight w:val="none"/>
        </w:rPr>
        <w:t>（签字或盖章）</w:t>
      </w:r>
    </w:p>
    <w:p>
      <w:pPr>
        <w:jc w:val="center"/>
        <w:rPr>
          <w:color w:val="auto"/>
          <w:sz w:val="28"/>
          <w:szCs w:val="28"/>
          <w:highlight w:val="none"/>
        </w:rPr>
      </w:pPr>
    </w:p>
    <w:p>
      <w:pPr>
        <w:jc w:val="center"/>
        <w:rPr>
          <w:color w:val="auto"/>
          <w:sz w:val="28"/>
          <w:szCs w:val="28"/>
          <w:highlight w:val="none"/>
        </w:rPr>
      </w:pPr>
    </w:p>
    <w:p>
      <w:pPr>
        <w:jc w:val="center"/>
        <w:rPr>
          <w:color w:val="auto"/>
          <w:sz w:val="28"/>
          <w:szCs w:val="28"/>
          <w:highlight w:val="none"/>
        </w:rPr>
      </w:pPr>
      <w:r>
        <w:rPr>
          <w:color w:val="auto"/>
          <w:sz w:val="28"/>
          <w:szCs w:val="28"/>
          <w:highlight w:val="none"/>
          <w:u w:val="single"/>
        </w:rPr>
        <w:t xml:space="preserve">         </w:t>
      </w:r>
      <w:r>
        <w:rPr>
          <w:rFonts w:hint="eastAsia" w:cs="宋体"/>
          <w:color w:val="auto"/>
          <w:sz w:val="28"/>
          <w:szCs w:val="28"/>
          <w:highlight w:val="none"/>
        </w:rPr>
        <w:t>年</w:t>
      </w:r>
      <w:r>
        <w:rPr>
          <w:color w:val="auto"/>
          <w:sz w:val="28"/>
          <w:szCs w:val="28"/>
          <w:highlight w:val="none"/>
          <w:u w:val="single"/>
        </w:rPr>
        <w:t xml:space="preserve">         </w:t>
      </w:r>
      <w:r>
        <w:rPr>
          <w:rFonts w:hint="eastAsia" w:cs="宋体"/>
          <w:color w:val="auto"/>
          <w:sz w:val="28"/>
          <w:szCs w:val="28"/>
          <w:highlight w:val="none"/>
        </w:rPr>
        <w:t>月</w:t>
      </w:r>
      <w:r>
        <w:rPr>
          <w:color w:val="auto"/>
          <w:sz w:val="28"/>
          <w:szCs w:val="28"/>
          <w:highlight w:val="none"/>
          <w:u w:val="single"/>
        </w:rPr>
        <w:t xml:space="preserve">         </w:t>
      </w:r>
      <w:r>
        <w:rPr>
          <w:rFonts w:hint="eastAsia" w:cs="宋体"/>
          <w:color w:val="auto"/>
          <w:sz w:val="28"/>
          <w:szCs w:val="28"/>
          <w:highlight w:val="none"/>
        </w:rPr>
        <w:t>日</w:t>
      </w:r>
    </w:p>
    <w:p>
      <w:pPr>
        <w:jc w:val="center"/>
        <w:rPr>
          <w:b/>
          <w:color w:val="auto"/>
          <w:sz w:val="30"/>
          <w:highlight w:val="none"/>
        </w:rPr>
      </w:pPr>
      <w:r>
        <w:rPr>
          <w:color w:val="auto"/>
          <w:sz w:val="28"/>
          <w:szCs w:val="28"/>
          <w:highlight w:val="none"/>
        </w:rPr>
        <w:br w:type="page"/>
      </w:r>
    </w:p>
    <w:p>
      <w:pPr>
        <w:jc w:val="center"/>
        <w:rPr>
          <w:b/>
          <w:color w:val="auto"/>
          <w:sz w:val="30"/>
          <w:highlight w:val="none"/>
        </w:rPr>
      </w:pPr>
    </w:p>
    <w:p>
      <w:pPr>
        <w:jc w:val="center"/>
        <w:rPr>
          <w:b/>
          <w:color w:val="auto"/>
          <w:sz w:val="30"/>
          <w:highlight w:val="none"/>
        </w:rPr>
      </w:pPr>
      <w:r>
        <w:rPr>
          <w:b/>
          <w:color w:val="auto"/>
          <w:sz w:val="30"/>
          <w:highlight w:val="none"/>
        </w:rPr>
        <w:t>企业信誉实力一览表</w:t>
      </w:r>
    </w:p>
    <w:tbl>
      <w:tblPr>
        <w:tblStyle w:val="42"/>
        <w:tblW w:w="86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7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083" w:type="dxa"/>
            <w:shd w:val="clear" w:color="auto" w:fill="auto"/>
            <w:vAlign w:val="center"/>
          </w:tcPr>
          <w:p>
            <w:pPr>
              <w:jc w:val="center"/>
              <w:rPr>
                <w:color w:val="auto"/>
                <w:highlight w:val="none"/>
              </w:rPr>
            </w:pPr>
            <w:r>
              <w:rPr>
                <w:rFonts w:hint="eastAsia"/>
                <w:color w:val="auto"/>
                <w:highlight w:val="none"/>
              </w:rPr>
              <w:t>序号</w:t>
            </w:r>
          </w:p>
        </w:tc>
        <w:tc>
          <w:tcPr>
            <w:tcW w:w="7606" w:type="dxa"/>
            <w:shd w:val="clear" w:color="auto" w:fill="auto"/>
            <w:vAlign w:val="center"/>
          </w:tcPr>
          <w:p>
            <w:pPr>
              <w:jc w:val="center"/>
              <w:rPr>
                <w:color w:val="auto"/>
                <w:highlight w:val="none"/>
              </w:rPr>
            </w:pPr>
            <w:r>
              <w:rPr>
                <w:rFonts w:hint="eastAsia"/>
                <w:color w:val="auto"/>
                <w:highlight w:val="none"/>
              </w:rPr>
              <w:t>项目类别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jc w:val="center"/>
        </w:trPr>
        <w:tc>
          <w:tcPr>
            <w:tcW w:w="1083" w:type="dxa"/>
            <w:shd w:val="clear" w:color="auto" w:fill="auto"/>
            <w:vAlign w:val="center"/>
          </w:tcPr>
          <w:p>
            <w:pPr>
              <w:jc w:val="center"/>
              <w:rPr>
                <w:color w:val="auto"/>
                <w:highlight w:val="none"/>
              </w:rPr>
            </w:pPr>
            <w:r>
              <w:rPr>
                <w:rFonts w:hint="eastAsia"/>
                <w:color w:val="auto"/>
                <w:highlight w:val="none"/>
              </w:rPr>
              <w:t>1</w:t>
            </w:r>
          </w:p>
        </w:tc>
        <w:tc>
          <w:tcPr>
            <w:tcW w:w="7606" w:type="dxa"/>
            <w:shd w:val="clear" w:color="auto" w:fill="auto"/>
            <w:vAlign w:val="center"/>
          </w:tcPr>
          <w:p>
            <w:pPr>
              <w:spacing w:line="360" w:lineRule="auto"/>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jc w:val="center"/>
        </w:trPr>
        <w:tc>
          <w:tcPr>
            <w:tcW w:w="1083" w:type="dxa"/>
            <w:shd w:val="clear" w:color="auto" w:fill="auto"/>
            <w:vAlign w:val="center"/>
          </w:tcPr>
          <w:p>
            <w:pPr>
              <w:jc w:val="center"/>
              <w:rPr>
                <w:color w:val="auto"/>
                <w:highlight w:val="none"/>
              </w:rPr>
            </w:pPr>
            <w:r>
              <w:rPr>
                <w:rFonts w:hint="eastAsia"/>
                <w:color w:val="auto"/>
                <w:highlight w:val="none"/>
              </w:rPr>
              <w:t>2</w:t>
            </w:r>
          </w:p>
        </w:tc>
        <w:tc>
          <w:tcPr>
            <w:tcW w:w="7606" w:type="dxa"/>
            <w:shd w:val="clear" w:color="auto" w:fill="auto"/>
            <w:vAlign w:val="center"/>
          </w:tcPr>
          <w:p>
            <w:pPr>
              <w:spacing w:line="360" w:lineRule="auto"/>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jc w:val="center"/>
        </w:trPr>
        <w:tc>
          <w:tcPr>
            <w:tcW w:w="1083" w:type="dxa"/>
            <w:shd w:val="clear" w:color="auto" w:fill="auto"/>
            <w:vAlign w:val="center"/>
          </w:tcPr>
          <w:p>
            <w:pPr>
              <w:jc w:val="center"/>
              <w:rPr>
                <w:color w:val="auto"/>
                <w:highlight w:val="none"/>
              </w:rPr>
            </w:pPr>
            <w:r>
              <w:rPr>
                <w:rFonts w:hint="eastAsia"/>
                <w:color w:val="auto"/>
                <w:highlight w:val="none"/>
              </w:rPr>
              <w:t>3</w:t>
            </w:r>
          </w:p>
        </w:tc>
        <w:tc>
          <w:tcPr>
            <w:tcW w:w="7606" w:type="dxa"/>
            <w:shd w:val="clear" w:color="auto" w:fill="auto"/>
            <w:vAlign w:val="center"/>
          </w:tcPr>
          <w:p>
            <w:pPr>
              <w:spacing w:line="360" w:lineRule="auto"/>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jc w:val="center"/>
        </w:trPr>
        <w:tc>
          <w:tcPr>
            <w:tcW w:w="1083" w:type="dxa"/>
            <w:shd w:val="clear" w:color="auto" w:fill="auto"/>
            <w:vAlign w:val="center"/>
          </w:tcPr>
          <w:p>
            <w:pPr>
              <w:jc w:val="center"/>
              <w:rPr>
                <w:color w:val="auto"/>
                <w:highlight w:val="none"/>
              </w:rPr>
            </w:pPr>
            <w:r>
              <w:rPr>
                <w:rFonts w:hint="eastAsia"/>
                <w:color w:val="auto"/>
                <w:highlight w:val="none"/>
              </w:rPr>
              <w:t>4</w:t>
            </w:r>
          </w:p>
        </w:tc>
        <w:tc>
          <w:tcPr>
            <w:tcW w:w="7606" w:type="dxa"/>
            <w:shd w:val="clear" w:color="auto" w:fill="auto"/>
            <w:vAlign w:val="center"/>
          </w:tcPr>
          <w:p>
            <w:pPr>
              <w:spacing w:line="360" w:lineRule="auto"/>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jc w:val="center"/>
        </w:trPr>
        <w:tc>
          <w:tcPr>
            <w:tcW w:w="1083" w:type="dxa"/>
            <w:shd w:val="clear" w:color="auto" w:fill="auto"/>
            <w:vAlign w:val="center"/>
          </w:tcPr>
          <w:p>
            <w:pPr>
              <w:jc w:val="center"/>
              <w:rPr>
                <w:color w:val="auto"/>
                <w:highlight w:val="none"/>
              </w:rPr>
            </w:pPr>
            <w:r>
              <w:rPr>
                <w:rFonts w:hint="eastAsia"/>
                <w:color w:val="auto"/>
                <w:highlight w:val="none"/>
              </w:rPr>
              <w:t>5</w:t>
            </w:r>
          </w:p>
        </w:tc>
        <w:tc>
          <w:tcPr>
            <w:tcW w:w="7606" w:type="dxa"/>
            <w:shd w:val="clear" w:color="auto" w:fill="auto"/>
            <w:vAlign w:val="center"/>
          </w:tcPr>
          <w:p>
            <w:pPr>
              <w:spacing w:line="360" w:lineRule="auto"/>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jc w:val="center"/>
        </w:trPr>
        <w:tc>
          <w:tcPr>
            <w:tcW w:w="1083" w:type="dxa"/>
            <w:shd w:val="clear" w:color="auto" w:fill="auto"/>
            <w:vAlign w:val="center"/>
          </w:tcPr>
          <w:p>
            <w:pPr>
              <w:jc w:val="center"/>
              <w:rPr>
                <w:color w:val="auto"/>
                <w:highlight w:val="none"/>
              </w:rPr>
            </w:pPr>
            <w:r>
              <w:rPr>
                <w:rFonts w:hint="eastAsia"/>
                <w:color w:val="auto"/>
                <w:highlight w:val="none"/>
              </w:rPr>
              <w:t>6</w:t>
            </w:r>
          </w:p>
        </w:tc>
        <w:tc>
          <w:tcPr>
            <w:tcW w:w="7606" w:type="dxa"/>
            <w:shd w:val="clear" w:color="auto" w:fill="auto"/>
            <w:vAlign w:val="center"/>
          </w:tcPr>
          <w:p>
            <w:pPr>
              <w:spacing w:line="360" w:lineRule="auto"/>
              <w:rPr>
                <w:color w:val="auto"/>
                <w:highlight w:val="none"/>
              </w:rPr>
            </w:pPr>
          </w:p>
        </w:tc>
      </w:tr>
    </w:tbl>
    <w:p>
      <w:pPr>
        <w:spacing w:line="360" w:lineRule="auto"/>
        <w:ind w:firstLine="420" w:firstLineChars="200"/>
        <w:rPr>
          <w:rFonts w:eastAsia="楷体_GB2312"/>
          <w:color w:val="auto"/>
          <w:highlight w:val="none"/>
        </w:rPr>
      </w:pPr>
    </w:p>
    <w:p>
      <w:pPr>
        <w:spacing w:line="360" w:lineRule="auto"/>
        <w:ind w:firstLine="420" w:firstLineChars="200"/>
        <w:rPr>
          <w:rFonts w:eastAsia="楷体_GB2312"/>
          <w:color w:val="auto"/>
          <w:highlight w:val="none"/>
        </w:rPr>
      </w:pPr>
      <w:r>
        <w:rPr>
          <w:rFonts w:eastAsia="楷体_GB2312"/>
          <w:color w:val="auto"/>
          <w:highlight w:val="none"/>
        </w:rPr>
        <w:t>备注：1、</w:t>
      </w:r>
      <w:r>
        <w:rPr>
          <w:rFonts w:hint="eastAsia" w:eastAsia="楷体_GB2312"/>
          <w:color w:val="auto"/>
          <w:highlight w:val="none"/>
        </w:rPr>
        <w:t>附以上相关奖状、证书等有效证明材料的复印件，以及投标人认为需要增加的其他证明材料复印件，</w:t>
      </w:r>
      <w:r>
        <w:rPr>
          <w:rFonts w:eastAsia="楷体_GB2312"/>
          <w:color w:val="auto"/>
          <w:highlight w:val="none"/>
        </w:rPr>
        <w:t>以</w:t>
      </w:r>
      <w:r>
        <w:rPr>
          <w:rFonts w:hint="eastAsia" w:eastAsia="楷体_GB2312"/>
          <w:color w:val="auto"/>
          <w:highlight w:val="none"/>
        </w:rPr>
        <w:t>上</w:t>
      </w:r>
      <w:r>
        <w:rPr>
          <w:rFonts w:eastAsia="楷体_GB2312"/>
          <w:color w:val="auto"/>
          <w:highlight w:val="none"/>
        </w:rPr>
        <w:t>复印件均须加盖投标人单位公章</w:t>
      </w:r>
      <w:r>
        <w:rPr>
          <w:rFonts w:hint="eastAsia" w:eastAsia="楷体_GB2312"/>
          <w:color w:val="auto"/>
          <w:highlight w:val="none"/>
        </w:rPr>
        <w:t>。</w:t>
      </w:r>
    </w:p>
    <w:p>
      <w:pPr>
        <w:pStyle w:val="43"/>
        <w:rPr>
          <w:color w:val="auto"/>
          <w:highlight w:val="none"/>
        </w:rPr>
      </w:pPr>
    </w:p>
    <w:p>
      <w:pPr>
        <w:rPr>
          <w:color w:val="auto"/>
          <w:highlight w:val="none"/>
        </w:rPr>
      </w:pPr>
    </w:p>
    <w:sectPr>
      <w:pgSz w:w="11907" w:h="16840"/>
      <w:pgMar w:top="1440" w:right="1440" w:bottom="1440" w:left="1797"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B39EE07-9D8A-4EE7-9647-EF52D635D13B}"/>
  </w:font>
  <w:font w:name="Arial">
    <w:panose1 w:val="020B0604020202020204"/>
    <w:charset w:val="01"/>
    <w:family w:val="swiss"/>
    <w:pitch w:val="default"/>
    <w:sig w:usb0="E0002AFF" w:usb1="C0007843" w:usb2="00000009" w:usb3="00000000" w:csb0="400001FF" w:csb1="FFFF0000"/>
    <w:embedRegular r:id="rId2" w:fontKey="{82B3AB85-69C3-4639-AFD9-F3575B852810}"/>
  </w:font>
  <w:font w:name="黑体">
    <w:panose1 w:val="02010609060101010101"/>
    <w:charset w:val="86"/>
    <w:family w:val="auto"/>
    <w:pitch w:val="default"/>
    <w:sig w:usb0="800002BF" w:usb1="38CF7CFA" w:usb2="00000016" w:usb3="00000000" w:csb0="00040001" w:csb1="00000000"/>
    <w:embedRegular r:id="rId3" w:fontKey="{ACFBAB14-A926-4485-9305-E27018509D67}"/>
  </w:font>
  <w:font w:name="Courier New">
    <w:panose1 w:val="02070309020205020404"/>
    <w:charset w:val="01"/>
    <w:family w:val="modern"/>
    <w:pitch w:val="default"/>
    <w:sig w:usb0="E0002AFF" w:usb1="C0007843" w:usb2="00000009" w:usb3="00000000" w:csb0="400001FF" w:csb1="FFFF0000"/>
    <w:embedRegular r:id="rId4" w:fontKey="{BA3A28BF-2596-4B8C-8AAE-BEE0D8895885}"/>
  </w:font>
  <w:font w:name="Symbol">
    <w:panose1 w:val="05050102010706020507"/>
    <w:charset w:val="02"/>
    <w:family w:val="roman"/>
    <w:pitch w:val="default"/>
    <w:sig w:usb0="00000000" w:usb1="00000000" w:usb2="00000000" w:usb3="00000000" w:csb0="80000000" w:csb1="00000000"/>
    <w:embedRegular r:id="rId5" w:fontKey="{202D7A84-884A-4D79-9793-6324D05A9EF6}"/>
  </w:font>
  <w:font w:name="Calibri">
    <w:panose1 w:val="020F0502020204030204"/>
    <w:charset w:val="00"/>
    <w:family w:val="swiss"/>
    <w:pitch w:val="default"/>
    <w:sig w:usb0="E00002FF" w:usb1="4000ACFF" w:usb2="00000001" w:usb3="00000000" w:csb0="2000019F" w:csb1="00000000"/>
    <w:embedRegular r:id="rId6" w:fontKey="{1DE0D05C-DC4A-43DB-BB2D-DBD28F86DAD4}"/>
  </w:font>
  <w:font w:name="Cambria">
    <w:panose1 w:val="02040503050406030204"/>
    <w:charset w:val="00"/>
    <w:family w:val="roman"/>
    <w:pitch w:val="default"/>
    <w:sig w:usb0="E00002FF" w:usb1="400004FF" w:usb2="00000000" w:usb3="00000000" w:csb0="2000019F" w:csb1="00000000"/>
    <w:embedRegular r:id="rId7" w:fontKey="{89DDB18F-AA9E-4370-A190-3AC98CC7691E}"/>
  </w:font>
  <w:font w:name="Calibri Light">
    <w:panose1 w:val="020F0302020204030204"/>
    <w:charset w:val="00"/>
    <w:family w:val="swiss"/>
    <w:pitch w:val="default"/>
    <w:sig w:usb0="A00002EF" w:usb1="4000207B" w:usb2="00000000" w:usb3="00000000" w:csb0="2000019F" w:csb1="00000000"/>
    <w:embedRegular r:id="rId8" w:fontKey="{C6E669B2-5F44-4AE4-9D8F-978386AD7B18}"/>
  </w:font>
  <w:font w:name="Arial Unicode MS">
    <w:altName w:val="宋体"/>
    <w:panose1 w:val="020B0604020202020204"/>
    <w:charset w:val="86"/>
    <w:family w:val="swiss"/>
    <w:pitch w:val="default"/>
    <w:sig w:usb0="00000000" w:usb1="00000000" w:usb2="0000003F" w:usb3="00000000" w:csb0="603F01FF" w:csb1="FFFF0000"/>
  </w:font>
  <w:font w:name="Verdana">
    <w:panose1 w:val="020B0604030504040204"/>
    <w:charset w:val="00"/>
    <w:family w:val="swiss"/>
    <w:pitch w:val="default"/>
    <w:sig w:usb0="A10006FF" w:usb1="4000205B" w:usb2="00000010" w:usb3="00000000" w:csb0="2000019F" w:csb1="00000000"/>
    <w:embedRegular r:id="rId9" w:fontKey="{F1899722-2943-4E63-B454-986F766B4215}"/>
  </w:font>
  <w:font w:name="仿宋_GB2312">
    <w:panose1 w:val="02010609030101010101"/>
    <w:charset w:val="86"/>
    <w:family w:val="auto"/>
    <w:pitch w:val="default"/>
    <w:sig w:usb0="00000000" w:usb1="00000000" w:usb2="00000000" w:usb3="00000000" w:csb0="00000000" w:csb1="00000000"/>
    <w:embedRegular r:id="rId10" w:fontKey="{58B9D4D2-E1E5-4CD1-B316-6D479E24486B}"/>
  </w:font>
  <w:font w:name="Wingdings 2">
    <w:panose1 w:val="05020102010507070707"/>
    <w:charset w:val="02"/>
    <w:family w:val="roman"/>
    <w:pitch w:val="default"/>
    <w:sig w:usb0="00000000" w:usb1="00000000" w:usb2="00000000" w:usb3="00000000" w:csb0="00000000" w:csb1="00000000"/>
    <w:embedRegular r:id="rId11" w:fontKey="{37191726-440D-4234-8D33-A5BEA1F2B96E}"/>
  </w:font>
  <w:font w:name="楷体_GB2312">
    <w:panose1 w:val="02010609030101010101"/>
    <w:charset w:val="86"/>
    <w:family w:val="auto"/>
    <w:pitch w:val="default"/>
    <w:sig w:usb0="00000000" w:usb1="00000000" w:usb2="00000000" w:usb3="00000000" w:csb0="00000000" w:csb1="00000000"/>
    <w:embedRegular r:id="rId12" w:fontKey="{4A69AB00-AE9C-48E6-8275-063124C20775}"/>
  </w:font>
  <w:font w:name="MS Mincho">
    <w:panose1 w:val="02020609040205080304"/>
    <w:charset w:val="80"/>
    <w:family w:val="modern"/>
    <w:pitch w:val="default"/>
    <w:sig w:usb0="E00002FF" w:usb1="6AC7FDFB" w:usb2="00000012" w:usb3="00000000" w:csb0="4002009F" w:csb1="DFD70000"/>
    <w:embedRegular r:id="rId13" w:fontKey="{4F9BCD53-0A73-4C6C-B462-7C81F696F3B3}"/>
  </w:font>
  <w:font w:name="MingLiU_HKSCS">
    <w:panose1 w:val="02020500000000000000"/>
    <w:charset w:val="88"/>
    <w:family w:val="auto"/>
    <w:pitch w:val="default"/>
    <w:sig w:usb0="A00002FF" w:usb1="38CFFCFA" w:usb2="00000016" w:usb3="00000000" w:csb0="00100001" w:csb1="00000000"/>
    <w:embedRegular r:id="rId14" w:fontKey="{6B06868A-2A56-422E-AB9E-6EF2259A5D18}"/>
  </w:font>
  <w:font w:name="方正仿宋_GBK">
    <w:panose1 w:val="02000000000000000000"/>
    <w:charset w:val="86"/>
    <w:family w:val="auto"/>
    <w:pitch w:val="default"/>
    <w:sig w:usb0="00000000" w:usb1="00000000" w:usb2="00000000" w:usb3="00000000" w:csb0="00000000" w:csb1="00000000"/>
    <w:embedRegular r:id="rId15" w:fontKey="{ABF383CE-D472-4A03-B882-8E83E19B1B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text" w:xAlign="center" w:y="1"/>
      <w:tabs>
        <w:tab w:val="center" w:pos="4153"/>
        <w:tab w:val="right" w:pos="8306"/>
      </w:tabs>
      <w:rPr>
        <w:rStyle w:val="37"/>
      </w:rPr>
    </w:pPr>
    <w:r>
      <w:fldChar w:fldCharType="begin"/>
    </w:r>
    <w:r>
      <w:rPr>
        <w:rStyle w:val="37"/>
      </w:rPr>
      <w:instrText xml:space="preserve">PAGE  </w:instrText>
    </w:r>
    <w:r>
      <w:fldChar w:fldCharType="separate"/>
    </w:r>
    <w:r>
      <w:rPr>
        <w:rStyle w:val="37"/>
      </w:rPr>
      <w:t>VI</w:t>
    </w:r>
    <w:r>
      <w:fldChar w:fldCharType="end"/>
    </w:r>
  </w:p>
  <w:p>
    <w:pPr>
      <w:pStyle w:val="25"/>
      <w:tabs>
        <w:tab w:val="center" w:pos="4153"/>
        <w:tab w:val="right"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text" w:xAlign="center" w:y="1"/>
      <w:tabs>
        <w:tab w:val="center" w:pos="4153"/>
        <w:tab w:val="right" w:pos="8306"/>
      </w:tabs>
      <w:rPr>
        <w:rStyle w:val="37"/>
      </w:rPr>
    </w:pPr>
    <w:r>
      <w:fldChar w:fldCharType="begin"/>
    </w:r>
    <w:r>
      <w:rPr>
        <w:rStyle w:val="37"/>
      </w:rPr>
      <w:instrText xml:space="preserve">PAGE  </w:instrText>
    </w:r>
    <w:r>
      <w:fldChar w:fldCharType="separate"/>
    </w:r>
    <w:r>
      <w:rPr>
        <w:rStyle w:val="37"/>
      </w:rPr>
      <w:t>160</w:t>
    </w:r>
    <w:r>
      <w:fldChar w:fldCharType="end"/>
    </w:r>
  </w:p>
  <w:p>
    <w:pPr>
      <w:pStyle w:val="25"/>
      <w:tabs>
        <w:tab w:val="center" w:pos="4153"/>
        <w:tab w:val="right" w:pos="8306"/>
      </w:tabs>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70C08"/>
    <w:multiLevelType w:val="multilevel"/>
    <w:tmpl w:val="0E870C08"/>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11DB2E58"/>
    <w:multiLevelType w:val="singleLevel"/>
    <w:tmpl w:val="11DB2E58"/>
    <w:lvl w:ilvl="0" w:tentative="0">
      <w:start w:val="1"/>
      <w:numFmt w:val="decimal"/>
      <w:suff w:val="space"/>
      <w:lvlText w:val="%1."/>
      <w:lvlJc w:val="left"/>
    </w:lvl>
  </w:abstractNum>
  <w:abstractNum w:abstractNumId="2">
    <w:nsid w:val="28383152"/>
    <w:multiLevelType w:val="multilevel"/>
    <w:tmpl w:val="2838315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9F5276E"/>
    <w:multiLevelType w:val="multilevel"/>
    <w:tmpl w:val="39F5276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0F5355F"/>
    <w:multiLevelType w:val="singleLevel"/>
    <w:tmpl w:val="50F5355F"/>
    <w:lvl w:ilvl="0" w:tentative="0">
      <w:start w:val="1"/>
      <w:numFmt w:val="decimal"/>
      <w:suff w:val="nothing"/>
      <w:lvlText w:val="%1、"/>
      <w:lvlJc w:val="left"/>
    </w:lvl>
  </w:abstractNum>
  <w:abstractNum w:abstractNumId="5">
    <w:nsid w:val="5DD74C3B"/>
    <w:multiLevelType w:val="singleLevel"/>
    <w:tmpl w:val="5DD74C3B"/>
    <w:lvl w:ilvl="0" w:tentative="0">
      <w:start w:val="1"/>
      <w:numFmt w:val="decimal"/>
      <w:suff w:val="nothing"/>
      <w:lvlText w:val="（%1）"/>
      <w:lvlJc w:val="left"/>
    </w:lvl>
  </w:abstractNum>
  <w:abstractNum w:abstractNumId="6">
    <w:nsid w:val="62094E74"/>
    <w:multiLevelType w:val="multilevel"/>
    <w:tmpl w:val="62094E7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F3875B8"/>
    <w:multiLevelType w:val="singleLevel"/>
    <w:tmpl w:val="6F3875B8"/>
    <w:lvl w:ilvl="0" w:tentative="0">
      <w:start w:val="11"/>
      <w:numFmt w:val="decimal"/>
      <w:suff w:val="space"/>
      <w:lvlText w:val="%1."/>
      <w:lvlJc w:val="left"/>
    </w:lvl>
  </w:abstractNum>
  <w:num w:numId="1">
    <w:abstractNumId w:val="2"/>
  </w:num>
  <w:num w:numId="2">
    <w:abstractNumId w:val="5"/>
  </w:num>
  <w:num w:numId="3">
    <w:abstractNumId w:val="0"/>
  </w:num>
  <w:num w:numId="4">
    <w:abstractNumId w:val="7"/>
  </w:num>
  <w:num w:numId="5">
    <w:abstractNumId w:val="4"/>
  </w:num>
  <w:num w:numId="6">
    <w:abstractNumId w:val="3"/>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bordersDoNotSurroundHeader w:val="1"/>
  <w:bordersDoNotSurroundFooter w:val="1"/>
  <w:hideSpellingErrors/>
  <w:documentProtection w:edit="forms" w:formatting="1" w:enforcement="0"/>
  <w:defaultTabStop w:val="420"/>
  <w:drawingGridVerticalSpacing w:val="156"/>
  <w:noPunctuationKerning w:val="1"/>
  <w:characterSpacingControl w:val="compressPunctuation"/>
  <w:noLineBreaksAfter w:lang="zh-CN" w:val="([{·‘“〈《「『【〔〖（．［｛￡￥"/>
  <w:noLineBreaksBefore w:lang="zh-CN" w:val="!),.:;?]}¨·ˇˉ―‖’”…∶、。〃々〉》」』】〕〗！＂＇），．：；？］｀｜｝～￠"/>
  <w:compat>
    <w:spaceForUL/>
    <w:balanceSingleByteDoubleByteWidth/>
    <w:ulTrailSpace/>
    <w:doNotExpandShiftReturn/>
    <w:adjustLineHeightInTable/>
    <w:useFELayout/>
    <w:compatSetting w:name="compatibilityMode" w:uri="http://schemas.microsoft.com/office/word" w:val="12"/>
  </w:compat>
  <w:rsids>
    <w:rsidRoot w:val="00CF4BEB"/>
    <w:rsid w:val="003C2AE2"/>
    <w:rsid w:val="003F17ED"/>
    <w:rsid w:val="005B74D7"/>
    <w:rsid w:val="0089083B"/>
    <w:rsid w:val="00AF301F"/>
    <w:rsid w:val="00CF4BEB"/>
    <w:rsid w:val="00F55629"/>
    <w:rsid w:val="015B3DFA"/>
    <w:rsid w:val="038265C3"/>
    <w:rsid w:val="06645087"/>
    <w:rsid w:val="06C77FC0"/>
    <w:rsid w:val="070910AA"/>
    <w:rsid w:val="0B9A5BA8"/>
    <w:rsid w:val="0E3E12C1"/>
    <w:rsid w:val="0EEB275A"/>
    <w:rsid w:val="13075AB8"/>
    <w:rsid w:val="14866DF9"/>
    <w:rsid w:val="149E0308"/>
    <w:rsid w:val="16E84594"/>
    <w:rsid w:val="17B91854"/>
    <w:rsid w:val="17E9717B"/>
    <w:rsid w:val="18DE2654"/>
    <w:rsid w:val="1A8C2CC9"/>
    <w:rsid w:val="1A9254EE"/>
    <w:rsid w:val="1B814DC9"/>
    <w:rsid w:val="1C983EB0"/>
    <w:rsid w:val="1C9D44D4"/>
    <w:rsid w:val="1E8E6AA4"/>
    <w:rsid w:val="1F2406E8"/>
    <w:rsid w:val="1F64780F"/>
    <w:rsid w:val="200E58CA"/>
    <w:rsid w:val="202A1B08"/>
    <w:rsid w:val="237F6096"/>
    <w:rsid w:val="23A15DB6"/>
    <w:rsid w:val="25CE62DF"/>
    <w:rsid w:val="2A3B6C4C"/>
    <w:rsid w:val="2AF26928"/>
    <w:rsid w:val="2C42671B"/>
    <w:rsid w:val="300A4F64"/>
    <w:rsid w:val="31043AC3"/>
    <w:rsid w:val="31622DB3"/>
    <w:rsid w:val="317933C5"/>
    <w:rsid w:val="31796627"/>
    <w:rsid w:val="34B30E2E"/>
    <w:rsid w:val="354344CB"/>
    <w:rsid w:val="367B1FE4"/>
    <w:rsid w:val="37166E60"/>
    <w:rsid w:val="382F7709"/>
    <w:rsid w:val="389B18C2"/>
    <w:rsid w:val="3B3537E6"/>
    <w:rsid w:val="3D970153"/>
    <w:rsid w:val="3E0A4001"/>
    <w:rsid w:val="3E3D626F"/>
    <w:rsid w:val="3E7C1DB3"/>
    <w:rsid w:val="3F2125F6"/>
    <w:rsid w:val="41D57165"/>
    <w:rsid w:val="42497674"/>
    <w:rsid w:val="44C03DF6"/>
    <w:rsid w:val="44ED7D28"/>
    <w:rsid w:val="45766BC3"/>
    <w:rsid w:val="48D45215"/>
    <w:rsid w:val="48EF6ED4"/>
    <w:rsid w:val="4A447611"/>
    <w:rsid w:val="4AA34956"/>
    <w:rsid w:val="4AA8511F"/>
    <w:rsid w:val="4ADF0EDD"/>
    <w:rsid w:val="4B52699D"/>
    <w:rsid w:val="4B563EB6"/>
    <w:rsid w:val="4D411E95"/>
    <w:rsid w:val="4F3F4F51"/>
    <w:rsid w:val="4F4F4EEF"/>
    <w:rsid w:val="51ED4EEA"/>
    <w:rsid w:val="52CE3BC9"/>
    <w:rsid w:val="53FA2D3F"/>
    <w:rsid w:val="566229D4"/>
    <w:rsid w:val="56D05B73"/>
    <w:rsid w:val="57BE5583"/>
    <w:rsid w:val="5A28547D"/>
    <w:rsid w:val="5A47414C"/>
    <w:rsid w:val="5A687D42"/>
    <w:rsid w:val="5CDB4EE7"/>
    <w:rsid w:val="5D0F7650"/>
    <w:rsid w:val="5D900D9A"/>
    <w:rsid w:val="5E5835B4"/>
    <w:rsid w:val="5E6E5B91"/>
    <w:rsid w:val="5F267600"/>
    <w:rsid w:val="60A12B2E"/>
    <w:rsid w:val="66A757CD"/>
    <w:rsid w:val="66DA4B8D"/>
    <w:rsid w:val="67604ED0"/>
    <w:rsid w:val="695A3ACC"/>
    <w:rsid w:val="6C51749F"/>
    <w:rsid w:val="6C5244B4"/>
    <w:rsid w:val="6CCC6AC9"/>
    <w:rsid w:val="6DF74E3E"/>
    <w:rsid w:val="70324238"/>
    <w:rsid w:val="71CD30A7"/>
    <w:rsid w:val="71DD225F"/>
    <w:rsid w:val="7731120B"/>
    <w:rsid w:val="78C15F9B"/>
    <w:rsid w:val="791234BD"/>
    <w:rsid w:val="7B8E2157"/>
    <w:rsid w:val="7BC2712A"/>
    <w:rsid w:val="7C6B7606"/>
    <w:rsid w:val="7DBD1D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48"/>
    <w:qFormat/>
    <w:uiPriority w:val="0"/>
    <w:pPr>
      <w:keepNext/>
      <w:keepLines/>
      <w:spacing w:line="360" w:lineRule="auto"/>
      <w:outlineLvl w:val="0"/>
    </w:pPr>
    <w:rPr>
      <w:rFonts w:eastAsia="黑体"/>
      <w:b/>
      <w:kern w:val="44"/>
      <w:sz w:val="44"/>
      <w:szCs w:val="44"/>
      <w:lang w:val="zh-CN"/>
    </w:rPr>
  </w:style>
  <w:style w:type="paragraph" w:styleId="4">
    <w:name w:val="heading 2"/>
    <w:basedOn w:val="1"/>
    <w:next w:val="1"/>
    <w:link w:val="49"/>
    <w:qFormat/>
    <w:uiPriority w:val="0"/>
    <w:pPr>
      <w:keepNext/>
      <w:keepLines/>
      <w:spacing w:before="60" w:after="60" w:line="413" w:lineRule="auto"/>
      <w:outlineLvl w:val="1"/>
    </w:pPr>
    <w:rPr>
      <w:rFonts w:ascii="Arial" w:hAnsi="Arial" w:eastAsia="黑体"/>
      <w:b/>
      <w:sz w:val="32"/>
      <w:szCs w:val="32"/>
      <w:lang w:val="zh-CN"/>
    </w:rPr>
  </w:style>
  <w:style w:type="paragraph" w:styleId="5">
    <w:name w:val="heading 3"/>
    <w:basedOn w:val="1"/>
    <w:next w:val="1"/>
    <w:link w:val="50"/>
    <w:qFormat/>
    <w:uiPriority w:val="0"/>
    <w:pPr>
      <w:keepNext/>
      <w:keepLines/>
      <w:spacing w:line="360" w:lineRule="auto"/>
      <w:outlineLvl w:val="2"/>
    </w:pPr>
    <w:rPr>
      <w:rFonts w:eastAsia="黑体"/>
      <w:b/>
      <w:sz w:val="32"/>
      <w:szCs w:val="32"/>
      <w:lang w:val="zh-CN"/>
    </w:rPr>
  </w:style>
  <w:style w:type="paragraph" w:styleId="6">
    <w:name w:val="heading 4"/>
    <w:basedOn w:val="1"/>
    <w:next w:val="1"/>
    <w:link w:val="51"/>
    <w:qFormat/>
    <w:uiPriority w:val="0"/>
    <w:pPr>
      <w:keepNext/>
      <w:keepLines/>
      <w:spacing w:line="360" w:lineRule="auto"/>
      <w:outlineLvl w:val="3"/>
    </w:pPr>
    <w:rPr>
      <w:rFonts w:ascii="Arial" w:hAnsi="Arial"/>
      <w:b/>
      <w:sz w:val="28"/>
      <w:szCs w:val="28"/>
    </w:rPr>
  </w:style>
  <w:style w:type="paragraph" w:styleId="7">
    <w:name w:val="heading 5"/>
    <w:basedOn w:val="1"/>
    <w:next w:val="1"/>
    <w:link w:val="52"/>
    <w:qFormat/>
    <w:uiPriority w:val="0"/>
    <w:pPr>
      <w:keepNext/>
      <w:keepLines/>
      <w:spacing w:before="280" w:after="290" w:line="376" w:lineRule="auto"/>
      <w:outlineLvl w:val="4"/>
    </w:pPr>
    <w:rPr>
      <w:b/>
      <w:sz w:val="28"/>
      <w:szCs w:val="28"/>
    </w:rPr>
  </w:style>
  <w:style w:type="paragraph" w:styleId="8">
    <w:name w:val="heading 6"/>
    <w:basedOn w:val="1"/>
    <w:next w:val="1"/>
    <w:link w:val="53"/>
    <w:qFormat/>
    <w:uiPriority w:val="0"/>
    <w:pPr>
      <w:keepNext/>
      <w:keepLines/>
      <w:spacing w:before="240" w:after="64" w:line="317" w:lineRule="auto"/>
      <w:outlineLvl w:val="5"/>
    </w:pPr>
    <w:rPr>
      <w:rFonts w:ascii="Cambria" w:hAnsi="Cambria"/>
      <w:b/>
      <w:kern w:val="0"/>
      <w:sz w:val="24"/>
      <w:szCs w:val="24"/>
    </w:rPr>
  </w:style>
  <w:style w:type="paragraph" w:styleId="9">
    <w:name w:val="heading 7"/>
    <w:basedOn w:val="1"/>
    <w:next w:val="1"/>
    <w:link w:val="54"/>
    <w:qFormat/>
    <w:uiPriority w:val="0"/>
    <w:pPr>
      <w:keepNext/>
      <w:keepLines/>
      <w:spacing w:before="240" w:after="64" w:line="317" w:lineRule="auto"/>
      <w:outlineLvl w:val="6"/>
    </w:pPr>
    <w:rPr>
      <w:b/>
      <w:kern w:val="0"/>
      <w:sz w:val="24"/>
      <w:szCs w:val="24"/>
    </w:rPr>
  </w:style>
  <w:style w:type="paragraph" w:styleId="10">
    <w:name w:val="heading 8"/>
    <w:basedOn w:val="1"/>
    <w:next w:val="1"/>
    <w:link w:val="55"/>
    <w:qFormat/>
    <w:uiPriority w:val="0"/>
    <w:pPr>
      <w:keepNext/>
      <w:keepLines/>
      <w:spacing w:before="240" w:after="64" w:line="317" w:lineRule="auto"/>
      <w:outlineLvl w:val="7"/>
    </w:pPr>
    <w:rPr>
      <w:rFonts w:ascii="Cambria" w:hAnsi="Cambria"/>
      <w:kern w:val="0"/>
      <w:sz w:val="24"/>
      <w:szCs w:val="24"/>
    </w:rPr>
  </w:style>
  <w:style w:type="paragraph" w:styleId="11">
    <w:name w:val="heading 9"/>
    <w:basedOn w:val="1"/>
    <w:next w:val="1"/>
    <w:link w:val="56"/>
    <w:qFormat/>
    <w:uiPriority w:val="0"/>
    <w:pPr>
      <w:keepNext/>
      <w:keepLines/>
      <w:spacing w:before="240" w:after="64" w:line="317" w:lineRule="auto"/>
      <w:outlineLvl w:val="8"/>
    </w:pPr>
    <w:rPr>
      <w:rFonts w:ascii="Cambria" w:hAnsi="Cambria"/>
      <w:kern w:val="0"/>
      <w:sz w:val="20"/>
    </w:rPr>
  </w:style>
  <w:style w:type="character" w:default="1" w:styleId="35">
    <w:name w:val="Default Paragraph Font"/>
    <w:semiHidden/>
    <w:unhideWhenUsed/>
    <w:qFormat/>
    <w:uiPriority w:val="1"/>
  </w:style>
  <w:style w:type="table" w:default="1" w:styleId="42">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link w:val="59"/>
    <w:qFormat/>
    <w:uiPriority w:val="0"/>
    <w:pPr>
      <w:adjustRightInd w:val="0"/>
      <w:spacing w:after="60" w:line="360" w:lineRule="atLeast"/>
      <w:ind w:left="72" w:leftChars="30" w:right="30" w:rightChars="30"/>
      <w:jc w:val="center"/>
      <w:textAlignment w:val="baseline"/>
    </w:pPr>
    <w:rPr>
      <w:sz w:val="22"/>
      <w:szCs w:val="22"/>
    </w:rPr>
  </w:style>
  <w:style w:type="paragraph" w:styleId="12">
    <w:name w:val="toc 7"/>
    <w:basedOn w:val="1"/>
    <w:next w:val="1"/>
    <w:qFormat/>
    <w:uiPriority w:val="0"/>
    <w:pPr>
      <w:ind w:left="2520" w:leftChars="1200"/>
    </w:pPr>
    <w:rPr>
      <w:rFonts w:ascii="Calibri" w:hAnsi="Calibri" w:cs="Calibri"/>
    </w:rPr>
  </w:style>
  <w:style w:type="paragraph" w:styleId="13">
    <w:name w:val="Normal Indent"/>
    <w:basedOn w:val="1"/>
    <w:qFormat/>
    <w:uiPriority w:val="0"/>
    <w:pPr>
      <w:widowControl/>
      <w:ind w:firstLine="420"/>
      <w:jc w:val="left"/>
    </w:pPr>
    <w:rPr>
      <w:sz w:val="20"/>
      <w:szCs w:val="20"/>
    </w:rPr>
  </w:style>
  <w:style w:type="paragraph" w:styleId="14">
    <w:name w:val="caption"/>
    <w:basedOn w:val="1"/>
    <w:next w:val="1"/>
    <w:qFormat/>
    <w:uiPriority w:val="0"/>
    <w:rPr>
      <w:rFonts w:ascii="Cambria" w:hAnsi="Cambria" w:eastAsia="黑体" w:cs="Cambria"/>
      <w:sz w:val="20"/>
      <w:szCs w:val="20"/>
    </w:rPr>
  </w:style>
  <w:style w:type="paragraph" w:styleId="15">
    <w:name w:val="annotation text"/>
    <w:basedOn w:val="1"/>
    <w:link w:val="58"/>
    <w:qFormat/>
    <w:uiPriority w:val="0"/>
    <w:pPr>
      <w:jc w:val="left"/>
    </w:pPr>
    <w:rPr>
      <w:sz w:val="24"/>
      <w:szCs w:val="24"/>
    </w:rPr>
  </w:style>
  <w:style w:type="paragraph" w:styleId="16">
    <w:name w:val="Body Text Indent"/>
    <w:basedOn w:val="1"/>
    <w:link w:val="60"/>
    <w:qFormat/>
    <w:uiPriority w:val="0"/>
    <w:pPr>
      <w:spacing w:before="240" w:line="360" w:lineRule="auto"/>
      <w:ind w:firstLine="552" w:firstLineChars="263"/>
    </w:pPr>
    <w:rPr>
      <w:rFonts w:ascii="宋体"/>
    </w:rPr>
  </w:style>
  <w:style w:type="paragraph" w:styleId="17">
    <w:name w:val="index 4"/>
    <w:basedOn w:val="1"/>
    <w:next w:val="1"/>
    <w:qFormat/>
    <w:uiPriority w:val="0"/>
    <w:pPr>
      <w:ind w:left="600" w:leftChars="600"/>
    </w:pPr>
  </w:style>
  <w:style w:type="paragraph" w:styleId="18">
    <w:name w:val="toc 5"/>
    <w:basedOn w:val="1"/>
    <w:next w:val="1"/>
    <w:qFormat/>
    <w:uiPriority w:val="0"/>
    <w:pPr>
      <w:ind w:left="1680" w:leftChars="800"/>
    </w:pPr>
    <w:rPr>
      <w:rFonts w:ascii="Calibri" w:hAnsi="Calibri" w:cs="Calibri"/>
    </w:rPr>
  </w:style>
  <w:style w:type="paragraph" w:styleId="19">
    <w:name w:val="toc 3"/>
    <w:basedOn w:val="1"/>
    <w:next w:val="1"/>
    <w:qFormat/>
    <w:uiPriority w:val="0"/>
    <w:pPr>
      <w:ind w:left="840" w:leftChars="400"/>
    </w:pPr>
  </w:style>
  <w:style w:type="paragraph" w:styleId="20">
    <w:name w:val="Plain Text"/>
    <w:basedOn w:val="1"/>
    <w:link w:val="61"/>
    <w:qFormat/>
    <w:uiPriority w:val="0"/>
    <w:rPr>
      <w:rFonts w:ascii="宋体" w:hAnsi="Courier New"/>
      <w:sz w:val="24"/>
      <w:szCs w:val="24"/>
    </w:rPr>
  </w:style>
  <w:style w:type="paragraph" w:styleId="21">
    <w:name w:val="toc 8"/>
    <w:basedOn w:val="1"/>
    <w:next w:val="1"/>
    <w:qFormat/>
    <w:uiPriority w:val="0"/>
    <w:pPr>
      <w:ind w:left="2940" w:leftChars="1400"/>
    </w:pPr>
    <w:rPr>
      <w:rFonts w:ascii="Calibri" w:hAnsi="Calibri" w:cs="Calibri"/>
    </w:rPr>
  </w:style>
  <w:style w:type="paragraph" w:styleId="22">
    <w:name w:val="Date"/>
    <w:basedOn w:val="1"/>
    <w:next w:val="1"/>
    <w:link w:val="62"/>
    <w:qFormat/>
    <w:uiPriority w:val="0"/>
    <w:pPr>
      <w:ind w:left="100" w:leftChars="2500"/>
    </w:pPr>
    <w:rPr>
      <w:sz w:val="24"/>
      <w:szCs w:val="24"/>
    </w:rPr>
  </w:style>
  <w:style w:type="paragraph" w:styleId="23">
    <w:name w:val="Body Text Indent 2"/>
    <w:basedOn w:val="1"/>
    <w:link w:val="63"/>
    <w:qFormat/>
    <w:uiPriority w:val="0"/>
    <w:pPr>
      <w:spacing w:after="120" w:line="480" w:lineRule="auto"/>
      <w:ind w:left="420" w:leftChars="200"/>
    </w:pPr>
    <w:rPr>
      <w:sz w:val="24"/>
      <w:szCs w:val="24"/>
    </w:rPr>
  </w:style>
  <w:style w:type="paragraph" w:styleId="24">
    <w:name w:val="Balloon Text"/>
    <w:basedOn w:val="1"/>
    <w:link w:val="64"/>
    <w:qFormat/>
    <w:uiPriority w:val="0"/>
    <w:rPr>
      <w:sz w:val="18"/>
      <w:szCs w:val="18"/>
    </w:rPr>
  </w:style>
  <w:style w:type="paragraph" w:styleId="25">
    <w:name w:val="footer"/>
    <w:basedOn w:val="1"/>
    <w:link w:val="65"/>
    <w:qFormat/>
    <w:uiPriority w:val="0"/>
    <w:pPr>
      <w:snapToGrid w:val="0"/>
      <w:jc w:val="left"/>
    </w:pPr>
    <w:rPr>
      <w:sz w:val="18"/>
      <w:szCs w:val="18"/>
    </w:rPr>
  </w:style>
  <w:style w:type="paragraph" w:styleId="26">
    <w:name w:val="header"/>
    <w:basedOn w:val="1"/>
    <w:link w:val="66"/>
    <w:qFormat/>
    <w:uiPriority w:val="0"/>
    <w:pPr>
      <w:pBdr>
        <w:bottom w:val="single" w:color="auto" w:sz="6" w:space="1"/>
      </w:pBdr>
      <w:snapToGrid w:val="0"/>
      <w:jc w:val="center"/>
    </w:pPr>
    <w:rPr>
      <w:sz w:val="18"/>
      <w:szCs w:val="18"/>
    </w:rPr>
  </w:style>
  <w:style w:type="paragraph" w:styleId="27">
    <w:name w:val="toc 1"/>
    <w:basedOn w:val="1"/>
    <w:next w:val="1"/>
    <w:qFormat/>
    <w:uiPriority w:val="0"/>
    <w:pPr>
      <w:spacing w:before="60" w:line="400" w:lineRule="exact"/>
    </w:pPr>
    <w:rPr>
      <w:rFonts w:eastAsia="黑体"/>
    </w:rPr>
  </w:style>
  <w:style w:type="paragraph" w:styleId="28">
    <w:name w:val="toc 4"/>
    <w:basedOn w:val="1"/>
    <w:next w:val="1"/>
    <w:qFormat/>
    <w:uiPriority w:val="0"/>
    <w:pPr>
      <w:ind w:left="1260" w:leftChars="600"/>
    </w:pPr>
    <w:rPr>
      <w:rFonts w:ascii="Calibri" w:hAnsi="Calibri" w:cs="Calibri"/>
    </w:rPr>
  </w:style>
  <w:style w:type="paragraph" w:styleId="29">
    <w:name w:val="Subtitle"/>
    <w:basedOn w:val="1"/>
    <w:next w:val="1"/>
    <w:link w:val="67"/>
    <w:qFormat/>
    <w:uiPriority w:val="0"/>
    <w:pPr>
      <w:spacing w:before="240" w:after="60" w:line="312" w:lineRule="auto"/>
      <w:jc w:val="center"/>
      <w:outlineLvl w:val="1"/>
    </w:pPr>
    <w:rPr>
      <w:rFonts w:ascii="Cambria" w:hAnsi="Cambria"/>
      <w:b/>
      <w:kern w:val="28"/>
      <w:sz w:val="32"/>
      <w:szCs w:val="32"/>
    </w:rPr>
  </w:style>
  <w:style w:type="paragraph" w:styleId="30">
    <w:name w:val="footnote text"/>
    <w:basedOn w:val="1"/>
    <w:link w:val="68"/>
    <w:qFormat/>
    <w:uiPriority w:val="0"/>
    <w:pPr>
      <w:adjustRightInd w:val="0"/>
      <w:spacing w:line="312" w:lineRule="atLeast"/>
      <w:jc w:val="left"/>
      <w:textAlignment w:val="baseline"/>
    </w:pPr>
    <w:rPr>
      <w:kern w:val="0"/>
      <w:sz w:val="18"/>
      <w:szCs w:val="18"/>
    </w:rPr>
  </w:style>
  <w:style w:type="paragraph" w:styleId="31">
    <w:name w:val="toc 6"/>
    <w:basedOn w:val="1"/>
    <w:next w:val="1"/>
    <w:qFormat/>
    <w:uiPriority w:val="0"/>
    <w:pPr>
      <w:ind w:left="2100" w:leftChars="1000"/>
    </w:pPr>
    <w:rPr>
      <w:rFonts w:ascii="Calibri" w:hAnsi="Calibri" w:cs="Calibri"/>
    </w:rPr>
  </w:style>
  <w:style w:type="paragraph" w:styleId="32">
    <w:name w:val="toc 2"/>
    <w:basedOn w:val="1"/>
    <w:next w:val="1"/>
    <w:qFormat/>
    <w:uiPriority w:val="0"/>
    <w:pPr>
      <w:ind w:left="420" w:leftChars="200"/>
    </w:pPr>
    <w:rPr>
      <w:rFonts w:ascii="Calibri" w:hAnsi="Calibri" w:cs="Calibri"/>
    </w:rPr>
  </w:style>
  <w:style w:type="paragraph" w:styleId="33">
    <w:name w:val="toc 9"/>
    <w:basedOn w:val="1"/>
    <w:next w:val="1"/>
    <w:qFormat/>
    <w:uiPriority w:val="0"/>
    <w:pPr>
      <w:ind w:left="3360" w:leftChars="1600"/>
    </w:pPr>
    <w:rPr>
      <w:rFonts w:ascii="Calibri" w:hAnsi="Calibri" w:cs="Calibri"/>
    </w:rPr>
  </w:style>
  <w:style w:type="paragraph" w:styleId="34">
    <w:name w:val="Title"/>
    <w:basedOn w:val="1"/>
    <w:next w:val="1"/>
    <w:link w:val="69"/>
    <w:qFormat/>
    <w:uiPriority w:val="0"/>
    <w:pPr>
      <w:spacing w:before="240" w:after="60"/>
      <w:jc w:val="center"/>
      <w:outlineLvl w:val="0"/>
    </w:pPr>
    <w:rPr>
      <w:rFonts w:ascii="Cambria" w:hAnsi="Cambria"/>
      <w:b/>
      <w:sz w:val="32"/>
      <w:szCs w:val="32"/>
    </w:rPr>
  </w:style>
  <w:style w:type="character" w:styleId="36">
    <w:name w:val="Strong"/>
    <w:qFormat/>
    <w:uiPriority w:val="0"/>
    <w:rPr>
      <w:b/>
    </w:rPr>
  </w:style>
  <w:style w:type="character" w:styleId="37">
    <w:name w:val="page number"/>
    <w:qFormat/>
    <w:uiPriority w:val="0"/>
  </w:style>
  <w:style w:type="character" w:styleId="38">
    <w:name w:val="FollowedHyperlink"/>
    <w:qFormat/>
    <w:uiPriority w:val="0"/>
    <w:rPr>
      <w:color w:val="800080"/>
      <w:u w:val="single"/>
    </w:rPr>
  </w:style>
  <w:style w:type="character" w:styleId="39">
    <w:name w:val="Emphasis"/>
    <w:qFormat/>
    <w:uiPriority w:val="0"/>
    <w:rPr>
      <w:i/>
      <w:iCs/>
    </w:rPr>
  </w:style>
  <w:style w:type="character" w:styleId="40">
    <w:name w:val="Hyperlink"/>
    <w:qFormat/>
    <w:uiPriority w:val="0"/>
    <w:rPr>
      <w:color w:val="0000FF"/>
      <w:u w:val="single"/>
    </w:rPr>
  </w:style>
  <w:style w:type="character" w:styleId="41">
    <w:name w:val="annotation reference"/>
    <w:qFormat/>
    <w:uiPriority w:val="0"/>
    <w:rPr>
      <w:sz w:val="21"/>
      <w:szCs w:val="21"/>
    </w:rPr>
  </w:style>
  <w:style w:type="paragraph" w:customStyle="1" w:styleId="43">
    <w:name w:val="表格文字"/>
    <w:basedOn w:val="1"/>
    <w:qFormat/>
    <w:uiPriority w:val="0"/>
    <w:pPr>
      <w:jc w:val="left"/>
    </w:pPr>
    <w:rPr>
      <w:spacing w:val="10"/>
      <w:kern w:val="0"/>
      <w:sz w:val="24"/>
      <w:szCs w:val="20"/>
    </w:rPr>
  </w:style>
  <w:style w:type="paragraph" w:customStyle="1" w:styleId="44">
    <w:name w:val="Title1"/>
    <w:basedOn w:val="1"/>
    <w:next w:val="1"/>
    <w:qFormat/>
    <w:uiPriority w:val="0"/>
    <w:pPr>
      <w:jc w:val="center"/>
      <w:outlineLvl w:val="0"/>
    </w:pPr>
    <w:rPr>
      <w:rFonts w:ascii="Calibri Light" w:hAnsi="Calibri Light" w:eastAsia="Arial Unicode MS"/>
      <w:b/>
    </w:rPr>
  </w:style>
  <w:style w:type="paragraph" w:customStyle="1" w:styleId="45">
    <w:name w:val="文档结构图1"/>
    <w:basedOn w:val="1"/>
    <w:link w:val="57"/>
    <w:qFormat/>
    <w:uiPriority w:val="0"/>
    <w:pPr>
      <w:shd w:val="clear" w:color="auto" w:fill="000080"/>
    </w:pPr>
    <w:rPr>
      <w:sz w:val="24"/>
      <w:szCs w:val="24"/>
      <w:shd w:val="clear" w:color="auto" w:fill="000080"/>
    </w:rPr>
  </w:style>
  <w:style w:type="paragraph" w:customStyle="1" w:styleId="46">
    <w:name w:val="普通(网站)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7">
    <w:name w:val="批注主题1"/>
    <w:basedOn w:val="15"/>
    <w:next w:val="15"/>
    <w:link w:val="70"/>
    <w:qFormat/>
    <w:uiPriority w:val="0"/>
    <w:rPr>
      <w:b/>
    </w:rPr>
  </w:style>
  <w:style w:type="character" w:customStyle="1" w:styleId="48">
    <w:name w:val="标题 1 Char"/>
    <w:link w:val="3"/>
    <w:qFormat/>
    <w:locked/>
    <w:uiPriority w:val="0"/>
    <w:rPr>
      <w:rFonts w:hint="default" w:eastAsia="黑体"/>
      <w:b/>
      <w:kern w:val="44"/>
      <w:sz w:val="44"/>
      <w:szCs w:val="44"/>
      <w:lang w:val="zh-CN" w:eastAsia="zh-CN"/>
    </w:rPr>
  </w:style>
  <w:style w:type="character" w:customStyle="1" w:styleId="49">
    <w:name w:val="标题 2 Char"/>
    <w:link w:val="4"/>
    <w:qFormat/>
    <w:locked/>
    <w:uiPriority w:val="0"/>
    <w:rPr>
      <w:rFonts w:hint="default" w:ascii="Arial" w:hAnsi="Arial" w:eastAsia="黑体" w:cs="Arial"/>
      <w:b/>
      <w:kern w:val="2"/>
      <w:sz w:val="32"/>
      <w:szCs w:val="32"/>
      <w:lang w:val="zh-CN" w:eastAsia="zh-CN"/>
    </w:rPr>
  </w:style>
  <w:style w:type="character" w:customStyle="1" w:styleId="50">
    <w:name w:val="标题 3 Char"/>
    <w:link w:val="5"/>
    <w:qFormat/>
    <w:locked/>
    <w:uiPriority w:val="0"/>
    <w:rPr>
      <w:rFonts w:hint="default" w:eastAsia="黑体"/>
      <w:b/>
      <w:kern w:val="2"/>
      <w:sz w:val="32"/>
      <w:szCs w:val="32"/>
      <w:lang w:val="zh-CN" w:eastAsia="zh-CN"/>
    </w:rPr>
  </w:style>
  <w:style w:type="character" w:customStyle="1" w:styleId="51">
    <w:name w:val="标题 4 Char"/>
    <w:link w:val="6"/>
    <w:qFormat/>
    <w:locked/>
    <w:uiPriority w:val="0"/>
    <w:rPr>
      <w:rFonts w:hint="default" w:ascii="Arial" w:hAnsi="Arial" w:eastAsia="宋体" w:cs="Arial"/>
      <w:b/>
      <w:kern w:val="2"/>
      <w:sz w:val="28"/>
      <w:szCs w:val="28"/>
      <w:lang w:val="en-US" w:eastAsia="zh-CN"/>
    </w:rPr>
  </w:style>
  <w:style w:type="character" w:customStyle="1" w:styleId="52">
    <w:name w:val="标题 5 Char"/>
    <w:link w:val="7"/>
    <w:qFormat/>
    <w:locked/>
    <w:uiPriority w:val="0"/>
    <w:rPr>
      <w:rFonts w:hint="default" w:eastAsia="宋体"/>
      <w:b/>
      <w:kern w:val="2"/>
      <w:sz w:val="28"/>
      <w:szCs w:val="28"/>
      <w:lang w:val="en-US" w:eastAsia="zh-CN"/>
    </w:rPr>
  </w:style>
  <w:style w:type="character" w:customStyle="1" w:styleId="53">
    <w:name w:val="标题 6 Char"/>
    <w:link w:val="8"/>
    <w:qFormat/>
    <w:uiPriority w:val="0"/>
    <w:rPr>
      <w:rFonts w:hint="default" w:ascii="Cambria" w:hAnsi="Cambria" w:eastAsia="宋体" w:cs="Times New Roman"/>
      <w:b/>
      <w:sz w:val="24"/>
      <w:szCs w:val="24"/>
    </w:rPr>
  </w:style>
  <w:style w:type="character" w:customStyle="1" w:styleId="54">
    <w:name w:val="标题 7 Char"/>
    <w:link w:val="9"/>
    <w:qFormat/>
    <w:uiPriority w:val="0"/>
    <w:rPr>
      <w:b/>
      <w:sz w:val="24"/>
      <w:szCs w:val="24"/>
    </w:rPr>
  </w:style>
  <w:style w:type="character" w:customStyle="1" w:styleId="55">
    <w:name w:val="标题 8 Char"/>
    <w:link w:val="10"/>
    <w:qFormat/>
    <w:uiPriority w:val="0"/>
    <w:rPr>
      <w:rFonts w:hint="default" w:ascii="Cambria" w:hAnsi="Cambria" w:eastAsia="宋体" w:cs="Times New Roman"/>
      <w:sz w:val="24"/>
      <w:szCs w:val="24"/>
    </w:rPr>
  </w:style>
  <w:style w:type="character" w:customStyle="1" w:styleId="56">
    <w:name w:val="标题 9 Char"/>
    <w:link w:val="11"/>
    <w:qFormat/>
    <w:uiPriority w:val="0"/>
    <w:rPr>
      <w:rFonts w:hint="default" w:ascii="Cambria" w:hAnsi="Cambria" w:eastAsia="宋体" w:cs="Times New Roman"/>
      <w:szCs w:val="21"/>
    </w:rPr>
  </w:style>
  <w:style w:type="character" w:customStyle="1" w:styleId="57">
    <w:name w:val="文档结构图 字符"/>
    <w:link w:val="45"/>
    <w:qFormat/>
    <w:locked/>
    <w:uiPriority w:val="0"/>
    <w:rPr>
      <w:kern w:val="2"/>
      <w:sz w:val="24"/>
      <w:szCs w:val="24"/>
      <w:shd w:val="clear" w:color="auto" w:fill="000080"/>
    </w:rPr>
  </w:style>
  <w:style w:type="character" w:customStyle="1" w:styleId="58">
    <w:name w:val="批注文字 Char3"/>
    <w:link w:val="15"/>
    <w:qFormat/>
    <w:locked/>
    <w:uiPriority w:val="0"/>
    <w:rPr>
      <w:rFonts w:hint="default" w:eastAsia="宋体"/>
      <w:kern w:val="2"/>
      <w:sz w:val="24"/>
      <w:szCs w:val="24"/>
      <w:lang w:val="en-US" w:eastAsia="zh-CN"/>
    </w:rPr>
  </w:style>
  <w:style w:type="character" w:customStyle="1" w:styleId="59">
    <w:name w:val="正文文本 Char"/>
    <w:link w:val="2"/>
    <w:qFormat/>
    <w:locked/>
    <w:uiPriority w:val="0"/>
    <w:rPr>
      <w:rFonts w:hint="default" w:eastAsia="宋体"/>
      <w:kern w:val="2"/>
      <w:sz w:val="22"/>
      <w:szCs w:val="22"/>
      <w:lang w:val="en-US" w:eastAsia="zh-CN"/>
    </w:rPr>
  </w:style>
  <w:style w:type="character" w:customStyle="1" w:styleId="60">
    <w:name w:val="正文文本缩进 Char"/>
    <w:link w:val="16"/>
    <w:qFormat/>
    <w:locked/>
    <w:uiPriority w:val="0"/>
    <w:rPr>
      <w:rFonts w:hint="default" w:ascii="宋体" w:eastAsia="宋体" w:cs="宋体"/>
      <w:kern w:val="2"/>
      <w:sz w:val="21"/>
      <w:szCs w:val="21"/>
    </w:rPr>
  </w:style>
  <w:style w:type="character" w:customStyle="1" w:styleId="61">
    <w:name w:val="纯文本 Char"/>
    <w:link w:val="20"/>
    <w:qFormat/>
    <w:locked/>
    <w:uiPriority w:val="0"/>
    <w:rPr>
      <w:rFonts w:hint="default" w:ascii="宋体" w:hAnsi="Courier New" w:eastAsia="宋体" w:cs="宋体"/>
      <w:kern w:val="2"/>
      <w:sz w:val="24"/>
      <w:szCs w:val="24"/>
      <w:lang w:val="en-US" w:eastAsia="zh-CN"/>
    </w:rPr>
  </w:style>
  <w:style w:type="character" w:customStyle="1" w:styleId="62">
    <w:name w:val="日期 Char"/>
    <w:link w:val="22"/>
    <w:qFormat/>
    <w:locked/>
    <w:uiPriority w:val="0"/>
    <w:rPr>
      <w:kern w:val="2"/>
      <w:sz w:val="24"/>
      <w:szCs w:val="24"/>
    </w:rPr>
  </w:style>
  <w:style w:type="character" w:customStyle="1" w:styleId="63">
    <w:name w:val="正文文本缩进 2 Char"/>
    <w:link w:val="23"/>
    <w:qFormat/>
    <w:locked/>
    <w:uiPriority w:val="0"/>
    <w:rPr>
      <w:kern w:val="2"/>
      <w:sz w:val="24"/>
      <w:szCs w:val="24"/>
    </w:rPr>
  </w:style>
  <w:style w:type="character" w:customStyle="1" w:styleId="64">
    <w:name w:val="批注框文本 Char"/>
    <w:link w:val="24"/>
    <w:qFormat/>
    <w:locked/>
    <w:uiPriority w:val="0"/>
    <w:rPr>
      <w:kern w:val="2"/>
      <w:sz w:val="18"/>
      <w:szCs w:val="18"/>
    </w:rPr>
  </w:style>
  <w:style w:type="character" w:customStyle="1" w:styleId="65">
    <w:name w:val="页脚 Char"/>
    <w:link w:val="25"/>
    <w:qFormat/>
    <w:locked/>
    <w:uiPriority w:val="0"/>
    <w:rPr>
      <w:kern w:val="2"/>
      <w:sz w:val="18"/>
      <w:szCs w:val="18"/>
    </w:rPr>
  </w:style>
  <w:style w:type="character" w:customStyle="1" w:styleId="66">
    <w:name w:val="页眉 Char"/>
    <w:link w:val="26"/>
    <w:qFormat/>
    <w:locked/>
    <w:uiPriority w:val="0"/>
    <w:rPr>
      <w:kern w:val="2"/>
      <w:sz w:val="18"/>
      <w:szCs w:val="18"/>
    </w:rPr>
  </w:style>
  <w:style w:type="character" w:customStyle="1" w:styleId="67">
    <w:name w:val="副标题 Char"/>
    <w:link w:val="29"/>
    <w:qFormat/>
    <w:uiPriority w:val="0"/>
    <w:rPr>
      <w:rFonts w:hint="default" w:ascii="Cambria" w:hAnsi="Cambria" w:cs="Times New Roman"/>
      <w:b/>
      <w:kern w:val="28"/>
      <w:sz w:val="32"/>
      <w:szCs w:val="32"/>
    </w:rPr>
  </w:style>
  <w:style w:type="character" w:customStyle="1" w:styleId="68">
    <w:name w:val="脚注文本 Char"/>
    <w:link w:val="30"/>
    <w:qFormat/>
    <w:locked/>
    <w:uiPriority w:val="0"/>
    <w:rPr>
      <w:sz w:val="18"/>
      <w:szCs w:val="18"/>
    </w:rPr>
  </w:style>
  <w:style w:type="character" w:customStyle="1" w:styleId="69">
    <w:name w:val="标题 Char"/>
    <w:link w:val="34"/>
    <w:qFormat/>
    <w:locked/>
    <w:uiPriority w:val="0"/>
    <w:rPr>
      <w:rFonts w:hint="default" w:ascii="Cambria" w:hAnsi="Cambria" w:cs="Cambria"/>
      <w:b/>
      <w:kern w:val="2"/>
      <w:sz w:val="32"/>
      <w:szCs w:val="32"/>
    </w:rPr>
  </w:style>
  <w:style w:type="character" w:customStyle="1" w:styleId="70">
    <w:name w:val="批注主题 字符"/>
    <w:link w:val="47"/>
    <w:qFormat/>
    <w:locked/>
    <w:uiPriority w:val="0"/>
    <w:rPr>
      <w:b/>
      <w:kern w:val="2"/>
      <w:sz w:val="24"/>
      <w:szCs w:val="24"/>
    </w:rPr>
  </w:style>
  <w:style w:type="character" w:customStyle="1" w:styleId="71">
    <w:name w:val="正文文本 Char1"/>
    <w:qFormat/>
    <w:uiPriority w:val="0"/>
    <w:rPr>
      <w:kern w:val="2"/>
      <w:sz w:val="22"/>
      <w:szCs w:val="22"/>
    </w:rPr>
  </w:style>
  <w:style w:type="character" w:customStyle="1" w:styleId="72">
    <w:name w:val="日期 Char1"/>
    <w:qFormat/>
    <w:uiPriority w:val="0"/>
    <w:rPr>
      <w:rFonts w:hint="default" w:ascii="Times New Roman" w:hAnsi="Times New Roman" w:eastAsia="宋体" w:cs="Times New Roman"/>
      <w:sz w:val="24"/>
      <w:szCs w:val="24"/>
    </w:rPr>
  </w:style>
  <w:style w:type="character" w:customStyle="1" w:styleId="73">
    <w:name w:val="标题 Char2"/>
    <w:qFormat/>
    <w:uiPriority w:val="0"/>
    <w:rPr>
      <w:rFonts w:hint="default" w:ascii="Cambria" w:hAnsi="Cambria" w:eastAsia="宋体" w:cs="Cambria"/>
      <w:b/>
      <w:sz w:val="32"/>
      <w:szCs w:val="32"/>
    </w:rPr>
  </w:style>
  <w:style w:type="character" w:customStyle="1" w:styleId="74">
    <w:name w:val="Comment Subject Char"/>
    <w:qFormat/>
    <w:uiPriority w:val="0"/>
    <w:rPr>
      <w:b/>
      <w:sz w:val="24"/>
      <w:szCs w:val="24"/>
    </w:rPr>
  </w:style>
  <w:style w:type="character" w:customStyle="1" w:styleId="75">
    <w:name w:val="Header Char"/>
    <w:qFormat/>
    <w:uiPriority w:val="0"/>
    <w:rPr>
      <w:rFonts w:hint="default" w:eastAsia="宋体"/>
      <w:kern w:val="2"/>
      <w:sz w:val="18"/>
      <w:szCs w:val="18"/>
      <w:lang w:val="en-US" w:eastAsia="zh-CN"/>
    </w:rPr>
  </w:style>
  <w:style w:type="character" w:customStyle="1" w:styleId="76">
    <w:name w:val="Char Char91"/>
    <w:qFormat/>
    <w:uiPriority w:val="0"/>
    <w:rPr>
      <w:rFonts w:hint="default" w:eastAsia="宋体"/>
      <w:b/>
      <w:kern w:val="44"/>
      <w:sz w:val="44"/>
      <w:szCs w:val="44"/>
      <w:lang w:val="en-US" w:eastAsia="zh-CN"/>
    </w:rPr>
  </w:style>
  <w:style w:type="character" w:customStyle="1" w:styleId="77">
    <w:name w:val="明显引用 Char"/>
    <w:link w:val="78"/>
    <w:qFormat/>
    <w:locked/>
    <w:uiPriority w:val="0"/>
    <w:rPr>
      <w:b/>
      <w:i/>
      <w:iCs/>
      <w:color w:val="4F81BD"/>
    </w:rPr>
  </w:style>
  <w:style w:type="paragraph" w:customStyle="1" w:styleId="78">
    <w:name w:val="明显引用1"/>
    <w:basedOn w:val="1"/>
    <w:next w:val="1"/>
    <w:link w:val="77"/>
    <w:qFormat/>
    <w:uiPriority w:val="0"/>
    <w:pPr>
      <w:pBdr>
        <w:bottom w:val="single" w:color="4F81BD" w:sz="4" w:space="4"/>
      </w:pBdr>
      <w:spacing w:before="200" w:after="280"/>
      <w:ind w:left="936" w:right="936"/>
    </w:pPr>
    <w:rPr>
      <w:b/>
      <w:i/>
      <w:iCs/>
      <w:color w:val="4F81BD"/>
      <w:kern w:val="0"/>
      <w:sz w:val="20"/>
      <w:szCs w:val="20"/>
    </w:rPr>
  </w:style>
  <w:style w:type="character" w:customStyle="1" w:styleId="79">
    <w:name w:val="Document Map Char"/>
    <w:qFormat/>
    <w:uiPriority w:val="0"/>
    <w:rPr>
      <w:rFonts w:hint="default" w:eastAsia="宋体"/>
      <w:kern w:val="2"/>
      <w:sz w:val="24"/>
      <w:szCs w:val="24"/>
      <w:lang w:val="en-US" w:eastAsia="zh-CN"/>
    </w:rPr>
  </w:style>
  <w:style w:type="character" w:customStyle="1" w:styleId="80">
    <w:name w:val="标题5 Char Char"/>
    <w:link w:val="81"/>
    <w:qFormat/>
    <w:locked/>
    <w:uiPriority w:val="0"/>
    <w:rPr>
      <w:rFonts w:hint="default" w:ascii="Arial" w:hAnsi="Arial" w:cs="Arial"/>
      <w:b/>
      <w:sz w:val="32"/>
      <w:szCs w:val="32"/>
    </w:rPr>
  </w:style>
  <w:style w:type="paragraph" w:customStyle="1" w:styleId="81">
    <w:name w:val="标题5"/>
    <w:basedOn w:val="5"/>
    <w:link w:val="80"/>
    <w:qFormat/>
    <w:uiPriority w:val="0"/>
    <w:pPr>
      <w:spacing w:before="260" w:after="260" w:line="413" w:lineRule="auto"/>
    </w:pPr>
    <w:rPr>
      <w:rFonts w:ascii="Arial" w:hAnsi="Arial" w:eastAsia="宋体"/>
      <w:kern w:val="0"/>
    </w:rPr>
  </w:style>
  <w:style w:type="character" w:customStyle="1" w:styleId="82">
    <w:name w:val="批注文字 Char2"/>
    <w:qFormat/>
    <w:locked/>
    <w:uiPriority w:val="0"/>
    <w:rPr>
      <w:rFonts w:hint="default" w:eastAsia="宋体"/>
      <w:kern w:val="2"/>
      <w:sz w:val="24"/>
      <w:szCs w:val="24"/>
      <w:lang w:val="en-US" w:eastAsia="zh-CN"/>
    </w:rPr>
  </w:style>
  <w:style w:type="character" w:customStyle="1" w:styleId="83">
    <w:name w:val="Heading 1 Char"/>
    <w:qFormat/>
    <w:uiPriority w:val="0"/>
    <w:rPr>
      <w:rFonts w:hint="default" w:eastAsia="宋体"/>
      <w:b/>
      <w:kern w:val="44"/>
      <w:sz w:val="44"/>
      <w:szCs w:val="44"/>
      <w:lang w:val="en-US" w:eastAsia="zh-CN"/>
    </w:rPr>
  </w:style>
  <w:style w:type="character" w:customStyle="1" w:styleId="84">
    <w:name w:val="批注文字 字符"/>
    <w:qFormat/>
    <w:locked/>
    <w:uiPriority w:val="0"/>
    <w:rPr>
      <w:rFonts w:hint="default" w:eastAsia="宋体"/>
      <w:kern w:val="2"/>
      <w:sz w:val="24"/>
      <w:szCs w:val="24"/>
      <w:lang w:val="en-US" w:eastAsia="zh-CN"/>
    </w:rPr>
  </w:style>
  <w:style w:type="character" w:customStyle="1" w:styleId="85">
    <w:name w:val="Date Char"/>
    <w:qFormat/>
    <w:uiPriority w:val="0"/>
    <w:rPr>
      <w:rFonts w:hint="default" w:eastAsia="宋体"/>
      <w:kern w:val="2"/>
      <w:sz w:val="24"/>
      <w:szCs w:val="24"/>
      <w:lang w:val="en-US" w:eastAsia="zh-CN"/>
    </w:rPr>
  </w:style>
  <w:style w:type="character" w:customStyle="1" w:styleId="86">
    <w:name w:val="批注文字 Char Char"/>
    <w:qFormat/>
    <w:uiPriority w:val="0"/>
    <w:rPr>
      <w:rFonts w:hint="default" w:ascii="宋体" w:hAnsi="Times New Roman" w:eastAsia="宋体" w:cs="宋体"/>
      <w:sz w:val="20"/>
      <w:szCs w:val="20"/>
    </w:rPr>
  </w:style>
  <w:style w:type="character" w:customStyle="1" w:styleId="87">
    <w:name w:val="批注框文本 Char1"/>
    <w:qFormat/>
    <w:uiPriority w:val="0"/>
    <w:rPr>
      <w:rFonts w:hint="default" w:ascii="Times New Roman" w:hAnsi="Times New Roman" w:eastAsia="宋体" w:cs="Times New Roman"/>
      <w:sz w:val="18"/>
      <w:szCs w:val="18"/>
    </w:rPr>
  </w:style>
  <w:style w:type="character" w:customStyle="1" w:styleId="88">
    <w:name w:val="纯文本 Char1"/>
    <w:qFormat/>
    <w:uiPriority w:val="0"/>
    <w:rPr>
      <w:rFonts w:hint="default" w:ascii="宋体" w:hAnsi="Courier New" w:eastAsia="宋体" w:cs="宋体"/>
      <w:sz w:val="21"/>
      <w:szCs w:val="21"/>
    </w:rPr>
  </w:style>
  <w:style w:type="character" w:customStyle="1" w:styleId="89">
    <w:name w:val="Heading 5 Char"/>
    <w:qFormat/>
    <w:uiPriority w:val="0"/>
    <w:rPr>
      <w:rFonts w:hint="default" w:eastAsia="宋体"/>
      <w:b/>
      <w:kern w:val="2"/>
      <w:sz w:val="28"/>
      <w:szCs w:val="28"/>
      <w:lang w:val="en-US" w:eastAsia="zh-CN"/>
    </w:rPr>
  </w:style>
  <w:style w:type="character" w:customStyle="1" w:styleId="90">
    <w:name w:val="Comment Text Char1"/>
    <w:qFormat/>
    <w:uiPriority w:val="0"/>
    <w:rPr>
      <w:sz w:val="24"/>
      <w:szCs w:val="24"/>
    </w:rPr>
  </w:style>
  <w:style w:type="character" w:customStyle="1" w:styleId="91">
    <w:name w:val="批注主题 Char1"/>
    <w:qFormat/>
    <w:uiPriority w:val="0"/>
    <w:rPr>
      <w:rFonts w:hint="default" w:ascii="Times New Roman" w:hAnsi="Times New Roman" w:eastAsia="宋体" w:cs="Times New Roman"/>
      <w:b/>
      <w:sz w:val="24"/>
      <w:szCs w:val="24"/>
    </w:rPr>
  </w:style>
  <w:style w:type="character" w:customStyle="1" w:styleId="92">
    <w:name w:val="Balloon Text Char"/>
    <w:qFormat/>
    <w:uiPriority w:val="0"/>
    <w:rPr>
      <w:sz w:val="18"/>
      <w:szCs w:val="18"/>
    </w:rPr>
  </w:style>
  <w:style w:type="character" w:customStyle="1" w:styleId="93">
    <w:name w:val="批注文字 字符1"/>
    <w:qFormat/>
    <w:uiPriority w:val="0"/>
    <w:rPr>
      <w:kern w:val="2"/>
      <w:sz w:val="21"/>
      <w:szCs w:val="22"/>
    </w:rPr>
  </w:style>
  <w:style w:type="character" w:customStyle="1" w:styleId="94">
    <w:name w:val="Body Text Indent Char"/>
    <w:qFormat/>
    <w:uiPriority w:val="0"/>
    <w:rPr>
      <w:rFonts w:hint="default" w:ascii="宋体" w:hAnsi="宋体" w:eastAsia="宋体" w:cs="宋体"/>
      <w:kern w:val="2"/>
      <w:sz w:val="21"/>
      <w:szCs w:val="21"/>
      <w:lang w:val="en-US" w:eastAsia="zh-CN"/>
    </w:rPr>
  </w:style>
  <w:style w:type="character" w:customStyle="1" w:styleId="95">
    <w:name w:val="Heading 3 Char"/>
    <w:qFormat/>
    <w:uiPriority w:val="0"/>
    <w:rPr>
      <w:b/>
      <w:kern w:val="2"/>
      <w:sz w:val="32"/>
      <w:szCs w:val="32"/>
    </w:rPr>
  </w:style>
  <w:style w:type="character" w:customStyle="1" w:styleId="96">
    <w:name w:val="Char Char181"/>
    <w:qFormat/>
    <w:uiPriority w:val="0"/>
    <w:rPr>
      <w:b/>
      <w:kern w:val="44"/>
      <w:sz w:val="44"/>
      <w:szCs w:val="44"/>
    </w:rPr>
  </w:style>
  <w:style w:type="character" w:customStyle="1" w:styleId="97">
    <w:name w:val="引用 Char1"/>
    <w:qFormat/>
    <w:uiPriority w:val="0"/>
    <w:rPr>
      <w:rFonts w:hint="default" w:ascii="Times New Roman" w:hAnsi="Times New Roman" w:eastAsia="宋体" w:cs="Times New Roman"/>
      <w:i/>
      <w:iCs/>
      <w:color w:val="000000"/>
      <w:sz w:val="24"/>
      <w:szCs w:val="24"/>
    </w:rPr>
  </w:style>
  <w:style w:type="character" w:customStyle="1" w:styleId="98">
    <w:name w:val="Footnote Text Char"/>
    <w:qFormat/>
    <w:uiPriority w:val="0"/>
    <w:rPr>
      <w:rFonts w:hint="default" w:eastAsia="宋体"/>
      <w:sz w:val="18"/>
      <w:szCs w:val="18"/>
      <w:lang w:val="en-US" w:eastAsia="zh-CN"/>
    </w:rPr>
  </w:style>
  <w:style w:type="character" w:customStyle="1" w:styleId="99">
    <w:name w:val="明显强调1"/>
    <w:qFormat/>
    <w:uiPriority w:val="0"/>
    <w:rPr>
      <w:b/>
      <w:i/>
      <w:iCs/>
      <w:color w:val="4F81BD"/>
    </w:rPr>
  </w:style>
  <w:style w:type="character" w:customStyle="1" w:styleId="100">
    <w:name w:val="Char Char9"/>
    <w:qFormat/>
    <w:uiPriority w:val="0"/>
    <w:rPr>
      <w:rFonts w:hint="default" w:eastAsia="宋体"/>
      <w:b/>
      <w:kern w:val="44"/>
      <w:sz w:val="44"/>
      <w:szCs w:val="44"/>
      <w:lang w:val="en-US" w:eastAsia="zh-CN"/>
    </w:rPr>
  </w:style>
  <w:style w:type="character" w:customStyle="1" w:styleId="101">
    <w:name w:val="不明显强调1"/>
    <w:qFormat/>
    <w:uiPriority w:val="0"/>
    <w:rPr>
      <w:i/>
      <w:iCs/>
      <w:color w:val="808080"/>
    </w:rPr>
  </w:style>
  <w:style w:type="character" w:customStyle="1" w:styleId="102">
    <w:name w:val="不明显参考1"/>
    <w:qFormat/>
    <w:uiPriority w:val="0"/>
    <w:rPr>
      <w:smallCaps/>
      <w:color w:val="auto"/>
      <w:u w:val="single"/>
    </w:rPr>
  </w:style>
  <w:style w:type="character" w:customStyle="1" w:styleId="103">
    <w:name w:val="明显参考1"/>
    <w:qFormat/>
    <w:uiPriority w:val="0"/>
    <w:rPr>
      <w:b/>
      <w:smallCaps/>
      <w:color w:val="auto"/>
      <w:spacing w:val="5"/>
      <w:u w:val="single"/>
    </w:rPr>
  </w:style>
  <w:style w:type="character" w:customStyle="1" w:styleId="104">
    <w:name w:val="Unresolved Mention"/>
    <w:qFormat/>
    <w:uiPriority w:val="0"/>
    <w:rPr>
      <w:color w:val="605E5C"/>
      <w:shd w:val="clear" w:color="auto" w:fill="E1DFDD"/>
    </w:rPr>
  </w:style>
  <w:style w:type="character" w:customStyle="1" w:styleId="105">
    <w:name w:val="Plain Text Char"/>
    <w:qFormat/>
    <w:uiPriority w:val="0"/>
    <w:rPr>
      <w:rFonts w:hint="default" w:ascii="宋体" w:hAnsi="Courier New" w:eastAsia="宋体" w:cs="宋体"/>
      <w:sz w:val="24"/>
      <w:szCs w:val="24"/>
    </w:rPr>
  </w:style>
  <w:style w:type="character" w:customStyle="1" w:styleId="106">
    <w:name w:val="引用 Char"/>
    <w:link w:val="107"/>
    <w:qFormat/>
    <w:locked/>
    <w:uiPriority w:val="0"/>
    <w:rPr>
      <w:i/>
      <w:iCs/>
      <w:color w:val="000000"/>
    </w:rPr>
  </w:style>
  <w:style w:type="paragraph" w:customStyle="1" w:styleId="107">
    <w:name w:val="引用1"/>
    <w:basedOn w:val="1"/>
    <w:next w:val="1"/>
    <w:link w:val="106"/>
    <w:qFormat/>
    <w:uiPriority w:val="0"/>
    <w:rPr>
      <w:i/>
      <w:iCs/>
      <w:color w:val="000000"/>
      <w:kern w:val="0"/>
      <w:sz w:val="20"/>
      <w:szCs w:val="20"/>
    </w:rPr>
  </w:style>
  <w:style w:type="character" w:customStyle="1" w:styleId="108">
    <w:name w:val="Comment Text Char"/>
    <w:qFormat/>
    <w:uiPriority w:val="0"/>
    <w:rPr>
      <w:sz w:val="24"/>
      <w:szCs w:val="24"/>
    </w:rPr>
  </w:style>
  <w:style w:type="character" w:customStyle="1" w:styleId="109">
    <w:name w:val="Body Text Indent 2 Char"/>
    <w:qFormat/>
    <w:uiPriority w:val="0"/>
    <w:rPr>
      <w:rFonts w:hint="default" w:eastAsia="宋体"/>
      <w:kern w:val="2"/>
      <w:sz w:val="24"/>
      <w:szCs w:val="24"/>
      <w:lang w:val="en-US" w:eastAsia="zh-CN"/>
    </w:rPr>
  </w:style>
  <w:style w:type="character" w:customStyle="1" w:styleId="110">
    <w:name w:val="Heading 2 Char"/>
    <w:qFormat/>
    <w:uiPriority w:val="0"/>
    <w:rPr>
      <w:rFonts w:hint="default" w:ascii="Arial" w:hAnsi="Arial" w:eastAsia="黑体" w:cs="Arial"/>
      <w:b/>
      <w:kern w:val="2"/>
      <w:sz w:val="32"/>
      <w:szCs w:val="32"/>
      <w:lang w:val="en-US" w:eastAsia="zh-CN"/>
    </w:rPr>
  </w:style>
  <w:style w:type="character" w:customStyle="1" w:styleId="111">
    <w:name w:val="批注文字 Char"/>
    <w:qFormat/>
    <w:uiPriority w:val="0"/>
    <w:rPr>
      <w:kern w:val="2"/>
      <w:sz w:val="24"/>
      <w:szCs w:val="24"/>
    </w:rPr>
  </w:style>
  <w:style w:type="character" w:customStyle="1" w:styleId="112">
    <w:name w:val="Footer Char"/>
    <w:qFormat/>
    <w:uiPriority w:val="0"/>
    <w:rPr>
      <w:rFonts w:hint="default" w:eastAsia="宋体"/>
      <w:kern w:val="2"/>
      <w:sz w:val="18"/>
      <w:szCs w:val="18"/>
      <w:lang w:val="en-US" w:eastAsia="zh-CN"/>
    </w:rPr>
  </w:style>
  <w:style w:type="character" w:customStyle="1" w:styleId="113">
    <w:name w:val="明显引用 Char1"/>
    <w:qFormat/>
    <w:uiPriority w:val="0"/>
    <w:rPr>
      <w:rFonts w:hint="default" w:ascii="Times New Roman" w:hAnsi="Times New Roman" w:eastAsia="宋体" w:cs="Times New Roman"/>
      <w:b/>
      <w:i/>
      <w:iCs/>
      <w:color w:val="4F81BD"/>
      <w:sz w:val="24"/>
      <w:szCs w:val="24"/>
    </w:rPr>
  </w:style>
  <w:style w:type="character" w:customStyle="1" w:styleId="114">
    <w:name w:val="Heading 3 Char1"/>
    <w:qFormat/>
    <w:uiPriority w:val="0"/>
    <w:rPr>
      <w:rFonts w:hint="default" w:eastAsia="宋体"/>
      <w:b/>
      <w:kern w:val="2"/>
      <w:sz w:val="32"/>
      <w:szCs w:val="32"/>
      <w:lang w:val="en-US" w:eastAsia="zh-CN"/>
    </w:rPr>
  </w:style>
  <w:style w:type="character" w:customStyle="1" w:styleId="115">
    <w:name w:val="Char Char6"/>
    <w:qFormat/>
    <w:uiPriority w:val="0"/>
    <w:rPr>
      <w:rFonts w:hint="default" w:eastAsia="宋体"/>
      <w:b/>
      <w:kern w:val="44"/>
      <w:sz w:val="44"/>
      <w:szCs w:val="44"/>
      <w:lang w:val="en-US" w:eastAsia="zh-CN"/>
    </w:rPr>
  </w:style>
  <w:style w:type="character" w:customStyle="1" w:styleId="116">
    <w:name w:val="批注文字 Char1"/>
    <w:qFormat/>
    <w:uiPriority w:val="0"/>
    <w:rPr>
      <w:rFonts w:hint="default" w:ascii="Times New Roman" w:hAnsi="Times New Roman" w:eastAsia="宋体" w:cs="Times New Roman"/>
      <w:sz w:val="24"/>
      <w:szCs w:val="24"/>
    </w:rPr>
  </w:style>
  <w:style w:type="character" w:customStyle="1" w:styleId="117">
    <w:name w:val="Title Char"/>
    <w:qFormat/>
    <w:uiPriority w:val="0"/>
    <w:rPr>
      <w:rFonts w:hint="default" w:ascii="Cambria" w:hAnsi="Cambria" w:cs="Cambria"/>
      <w:b/>
      <w:sz w:val="32"/>
      <w:szCs w:val="32"/>
    </w:rPr>
  </w:style>
  <w:style w:type="character" w:customStyle="1" w:styleId="118">
    <w:name w:val="标题 Char1"/>
    <w:qFormat/>
    <w:uiPriority w:val="0"/>
    <w:rPr>
      <w:rFonts w:hint="default" w:ascii="Cambria" w:hAnsi="Cambria" w:eastAsia="宋体" w:cs="Cambria"/>
      <w:b/>
      <w:sz w:val="32"/>
      <w:szCs w:val="32"/>
    </w:rPr>
  </w:style>
  <w:style w:type="character" w:customStyle="1" w:styleId="119">
    <w:name w:val="textcontents"/>
    <w:qFormat/>
    <w:uiPriority w:val="0"/>
  </w:style>
  <w:style w:type="character" w:customStyle="1" w:styleId="120">
    <w:name w:val="Char Char18"/>
    <w:qFormat/>
    <w:uiPriority w:val="0"/>
    <w:rPr>
      <w:rFonts w:hint="default" w:ascii="Times New Roman" w:hAnsi="Times New Roman" w:eastAsia="宋体" w:cs="Times New Roman"/>
      <w:b/>
      <w:sz w:val="28"/>
      <w:szCs w:val="28"/>
    </w:rPr>
  </w:style>
  <w:style w:type="character" w:customStyle="1" w:styleId="121">
    <w:name w:val="Char Char19"/>
    <w:qFormat/>
    <w:uiPriority w:val="0"/>
    <w:rPr>
      <w:rFonts w:hint="default" w:ascii="Arial" w:hAnsi="Arial" w:eastAsia="宋体" w:cs="Arial"/>
      <w:b/>
      <w:sz w:val="28"/>
      <w:szCs w:val="28"/>
    </w:rPr>
  </w:style>
  <w:style w:type="character" w:customStyle="1" w:styleId="122">
    <w:name w:val="Char Char23"/>
    <w:qFormat/>
    <w:uiPriority w:val="0"/>
    <w:rPr>
      <w:rFonts w:hint="default" w:eastAsia="宋体"/>
      <w:b/>
      <w:kern w:val="44"/>
      <w:sz w:val="44"/>
      <w:szCs w:val="44"/>
      <w:lang w:val="en-US" w:eastAsia="zh-CN"/>
    </w:rPr>
  </w:style>
  <w:style w:type="character" w:customStyle="1" w:styleId="123">
    <w:name w:val="标题4 Char Char"/>
    <w:link w:val="124"/>
    <w:qFormat/>
    <w:locked/>
    <w:uiPriority w:val="0"/>
    <w:rPr>
      <w:rFonts w:hint="default" w:ascii="Arial" w:hAnsi="Arial" w:cs="Arial"/>
      <w:b/>
      <w:sz w:val="32"/>
      <w:szCs w:val="32"/>
    </w:rPr>
  </w:style>
  <w:style w:type="paragraph" w:customStyle="1" w:styleId="124">
    <w:name w:val="标题4"/>
    <w:basedOn w:val="4"/>
    <w:next w:val="17"/>
    <w:link w:val="123"/>
    <w:qFormat/>
    <w:uiPriority w:val="0"/>
    <w:rPr>
      <w:rFonts w:eastAsia="宋体"/>
      <w:kern w:val="0"/>
    </w:rPr>
  </w:style>
  <w:style w:type="character" w:customStyle="1" w:styleId="125">
    <w:name w:val="Char Char21"/>
    <w:qFormat/>
    <w:uiPriority w:val="0"/>
    <w:rPr>
      <w:rFonts w:hint="default" w:ascii="Arial" w:hAnsi="Arial" w:eastAsia="黑体" w:cs="Arial"/>
      <w:b/>
      <w:sz w:val="32"/>
      <w:szCs w:val="32"/>
    </w:rPr>
  </w:style>
  <w:style w:type="character" w:customStyle="1" w:styleId="126">
    <w:name w:val="Char Char20"/>
    <w:qFormat/>
    <w:uiPriority w:val="0"/>
    <w:rPr>
      <w:rFonts w:hint="default" w:ascii="Times New Roman" w:hAnsi="Times New Roman" w:eastAsia="宋体" w:cs="Times New Roman"/>
      <w:b/>
      <w:sz w:val="32"/>
      <w:szCs w:val="32"/>
    </w:rPr>
  </w:style>
  <w:style w:type="character" w:customStyle="1" w:styleId="127">
    <w:name w:val="Char Char22"/>
    <w:qFormat/>
    <w:uiPriority w:val="0"/>
    <w:rPr>
      <w:rFonts w:hint="default" w:ascii="Times New Roman" w:hAnsi="Times New Roman" w:eastAsia="宋体" w:cs="Times New Roman"/>
      <w:b/>
      <w:kern w:val="44"/>
      <w:sz w:val="44"/>
      <w:szCs w:val="44"/>
    </w:rPr>
  </w:style>
  <w:style w:type="character" w:customStyle="1" w:styleId="128">
    <w:name w:val="Char Char24"/>
    <w:qFormat/>
    <w:uiPriority w:val="0"/>
    <w:rPr>
      <w:rFonts w:hint="default" w:eastAsia="宋体"/>
      <w:b/>
      <w:kern w:val="44"/>
      <w:sz w:val="44"/>
      <w:szCs w:val="44"/>
      <w:lang w:val="en-US" w:eastAsia="zh-CN"/>
    </w:rPr>
  </w:style>
  <w:style w:type="character" w:customStyle="1" w:styleId="129">
    <w:name w:val="Heading 4 Char"/>
    <w:qFormat/>
    <w:uiPriority w:val="0"/>
    <w:rPr>
      <w:rFonts w:hint="default" w:ascii="Arial" w:hAnsi="Arial" w:eastAsia="宋体" w:cs="Arial"/>
      <w:b/>
      <w:kern w:val="2"/>
      <w:sz w:val="28"/>
      <w:szCs w:val="28"/>
      <w:lang w:val="en-US" w:eastAsia="zh-CN"/>
    </w:rPr>
  </w:style>
  <w:style w:type="character" w:customStyle="1" w:styleId="130">
    <w:name w:val="文档结构图 Char1"/>
    <w:qFormat/>
    <w:uiPriority w:val="0"/>
    <w:rPr>
      <w:rFonts w:hint="default" w:ascii="宋体" w:hAnsi="Times New Roman" w:eastAsia="宋体" w:cs="宋体"/>
      <w:sz w:val="18"/>
      <w:szCs w:val="18"/>
    </w:rPr>
  </w:style>
  <w:style w:type="character" w:customStyle="1" w:styleId="131">
    <w:name w:val="书籍标题1"/>
    <w:qFormat/>
    <w:uiPriority w:val="0"/>
    <w:rPr>
      <w:b/>
      <w:smallCaps/>
      <w:spacing w:val="5"/>
    </w:rPr>
  </w:style>
  <w:style w:type="paragraph" w:customStyle="1" w:styleId="132">
    <w:name w:val="样式 标题 3 + (中文) 黑体 小四 非加粗 段前: 7.8 磅 段后: 0 磅 行距: 固定值 20 磅"/>
    <w:basedOn w:val="5"/>
    <w:qFormat/>
    <w:uiPriority w:val="0"/>
    <w:pPr>
      <w:spacing w:line="400" w:lineRule="exact"/>
    </w:pPr>
    <w:rPr>
      <w:b w:val="0"/>
    </w:rPr>
  </w:style>
  <w:style w:type="paragraph" w:customStyle="1" w:styleId="133">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4">
    <w:name w:val="列出段落1"/>
    <w:basedOn w:val="1"/>
    <w:qFormat/>
    <w:uiPriority w:val="0"/>
    <w:pPr>
      <w:ind w:firstLine="420" w:firstLineChars="200"/>
    </w:pPr>
    <w:rPr>
      <w:rFonts w:ascii="Calibri" w:hAnsi="Calibri" w:cs="Calibri"/>
    </w:rPr>
  </w:style>
  <w:style w:type="paragraph" w:customStyle="1" w:styleId="135">
    <w:name w:val="Default"/>
    <w:qFormat/>
    <w:uiPriority w:val="0"/>
    <w:pPr>
      <w:widowControl w:val="0"/>
      <w:autoSpaceDE w:val="0"/>
      <w:autoSpaceDN w:val="0"/>
      <w:adjustRightInd w:val="0"/>
    </w:pPr>
    <w:rPr>
      <w:rFonts w:ascii="Times New Roman" w:hAnsi="Times New Roman" w:eastAsia="宋体" w:cs="Times New Roman"/>
      <w:color w:val="000000"/>
      <w:kern w:val="2"/>
      <w:sz w:val="24"/>
      <w:szCs w:val="24"/>
      <w:lang w:val="en-US" w:eastAsia="zh-CN" w:bidi="ar-SA"/>
    </w:rPr>
  </w:style>
  <w:style w:type="paragraph" w:customStyle="1" w:styleId="136">
    <w:name w:val="Char"/>
    <w:basedOn w:val="1"/>
    <w:qFormat/>
    <w:uiPriority w:val="0"/>
    <w:pPr>
      <w:widowControl/>
      <w:spacing w:after="160" w:line="240" w:lineRule="exact"/>
      <w:jc w:val="left"/>
    </w:pPr>
  </w:style>
  <w:style w:type="paragraph" w:customStyle="1" w:styleId="137">
    <w:name w:val="样式1"/>
    <w:basedOn w:val="1"/>
    <w:next w:val="6"/>
    <w:qFormat/>
    <w:uiPriority w:val="0"/>
    <w:pPr>
      <w:spacing w:line="360" w:lineRule="auto"/>
      <w:ind w:firstLine="420" w:firstLineChars="200"/>
    </w:pPr>
    <w:rPr>
      <w:rFonts w:ascii="宋体" w:hAnsi="宋体" w:cs="宋体"/>
    </w:rPr>
  </w:style>
  <w:style w:type="paragraph" w:customStyle="1" w:styleId="138">
    <w:name w:val="TOC 标题1"/>
    <w:basedOn w:val="3"/>
    <w:next w:val="1"/>
    <w:qFormat/>
    <w:uiPriority w:val="0"/>
    <w:pPr>
      <w:spacing w:before="340" w:after="330" w:line="576" w:lineRule="auto"/>
      <w:outlineLvl w:val="9"/>
    </w:pPr>
    <w:rPr>
      <w:rFonts w:ascii="Calibri" w:hAnsi="Calibri" w:cs="Calibri"/>
    </w:rPr>
  </w:style>
  <w:style w:type="paragraph" w:customStyle="1" w:styleId="139">
    <w:name w:val="列出段落2"/>
    <w:basedOn w:val="1"/>
    <w:qFormat/>
    <w:uiPriority w:val="0"/>
    <w:pPr>
      <w:ind w:firstLine="420" w:firstLineChars="200"/>
    </w:pPr>
    <w:rPr>
      <w:rFonts w:ascii="Calibri" w:hAnsi="Calibri" w:cs="Calibri"/>
    </w:rPr>
  </w:style>
  <w:style w:type="paragraph" w:customStyle="1" w:styleId="140">
    <w:name w:val="{b0ac786a-5be7-433a-9c7d-59b763638e76}"/>
    <w:qFormat/>
    <w:uiPriority w:val="0"/>
    <w:rPr>
      <w:rFonts w:ascii="Times New Roman" w:hAnsi="Times New Roman" w:eastAsia="宋体" w:cs="Times New Roman"/>
      <w:kern w:val="2"/>
      <w:sz w:val="21"/>
      <w:szCs w:val="21"/>
      <w:lang w:val="en-US" w:eastAsia="zh-CN" w:bidi="ar-SA"/>
    </w:rPr>
  </w:style>
  <w:style w:type="paragraph" w:customStyle="1" w:styleId="141">
    <w:name w:val="Char Char Char Char"/>
    <w:basedOn w:val="1"/>
    <w:qFormat/>
    <w:uiPriority w:val="0"/>
    <w:pPr>
      <w:widowControl/>
      <w:spacing w:line="500" w:lineRule="exact"/>
      <w:outlineLvl w:val="2"/>
    </w:pPr>
    <w:rPr>
      <w:rFonts w:ascii="黑体" w:hAnsi="Verdana" w:eastAsia="黑体" w:cs="黑体"/>
      <w:kern w:val="0"/>
      <w:sz w:val="28"/>
      <w:szCs w:val="28"/>
      <w:lang w:eastAsia="en-US"/>
    </w:rPr>
  </w:style>
  <w:style w:type="paragraph" w:customStyle="1" w:styleId="142">
    <w:name w:val="Char1"/>
    <w:basedOn w:val="1"/>
    <w:qFormat/>
    <w:uiPriority w:val="0"/>
    <w:pPr>
      <w:widowControl/>
      <w:spacing w:after="160" w:line="240" w:lineRule="exact"/>
      <w:jc w:val="left"/>
    </w:pPr>
  </w:style>
  <w:style w:type="paragraph" w:customStyle="1" w:styleId="143">
    <w:name w:val="2-2ji"/>
    <w:basedOn w:val="4"/>
    <w:qFormat/>
    <w:uiPriority w:val="0"/>
    <w:pPr>
      <w:spacing w:before="0" w:after="0" w:line="360" w:lineRule="auto"/>
      <w:jc w:val="center"/>
    </w:pPr>
    <w:rPr>
      <w:rFonts w:ascii="宋体" w:hAnsi="宋体" w:eastAsia="宋体" w:cs="宋体"/>
      <w:sz w:val="36"/>
      <w:szCs w:val="36"/>
    </w:rPr>
  </w:style>
  <w:style w:type="paragraph" w:customStyle="1" w:styleId="144">
    <w:name w:val="flNote"/>
    <w:basedOn w:val="1"/>
    <w:qFormat/>
    <w:uiPriority w:val="0"/>
    <w:pPr>
      <w:adjustRightInd w:val="0"/>
      <w:spacing w:before="320" w:after="160" w:line="360" w:lineRule="atLeast"/>
      <w:jc w:val="center"/>
      <w:textAlignment w:val="baseline"/>
    </w:pPr>
    <w:rPr>
      <w:rFonts w:ascii="Arial" w:eastAsia="黑体" w:cs="Arial"/>
      <w:kern w:val="0"/>
      <w:sz w:val="30"/>
      <w:szCs w:val="30"/>
    </w:rPr>
  </w:style>
  <w:style w:type="paragraph" w:customStyle="1" w:styleId="145">
    <w:name w:val="修订1"/>
    <w:qFormat/>
    <w:uiPriority w:val="0"/>
    <w:rPr>
      <w:rFonts w:ascii="Times New Roman" w:hAnsi="Times New Roman" w:eastAsia="宋体" w:cs="Times New Roman"/>
      <w:kern w:val="2"/>
      <w:sz w:val="21"/>
      <w:szCs w:val="21"/>
      <w:lang w:val="en-US" w:eastAsia="zh-CN" w:bidi="ar-SA"/>
    </w:rPr>
  </w:style>
  <w:style w:type="paragraph" w:customStyle="1" w:styleId="146">
    <w:name w:val="无间隔1"/>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47">
    <w:name w:val="1"/>
    <w:basedOn w:val="1"/>
    <w:next w:val="1"/>
    <w:qFormat/>
    <w:uiPriority w:val="0"/>
  </w:style>
  <w:style w:type="paragraph" w:customStyle="1" w:styleId="148">
    <w:name w:val="正文_1"/>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49">
    <w:name w:val="Char Char Char Char Char Char Char"/>
    <w:basedOn w:val="1"/>
    <w:qFormat/>
    <w:uiPriority w:val="0"/>
    <w:pPr>
      <w:widowControl/>
      <w:spacing w:after="160" w:line="240" w:lineRule="exact"/>
      <w:jc w:val="left"/>
    </w:pPr>
  </w:style>
  <w:style w:type="paragraph" w:customStyle="1" w:styleId="150">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51">
    <w:name w:val="_Style 37"/>
    <w:basedOn w:val="1"/>
    <w:next w:val="1"/>
    <w:qFormat/>
    <w:uiPriority w:val="0"/>
  </w:style>
  <w:style w:type="paragraph" w:customStyle="1" w:styleId="152">
    <w:name w:val="空半行"/>
    <w:basedOn w:val="1"/>
    <w:qFormat/>
    <w:uiPriority w:val="0"/>
    <w:pPr>
      <w:adjustRightInd w:val="0"/>
      <w:spacing w:line="120" w:lineRule="exact"/>
      <w:textAlignment w:val="baseline"/>
    </w:pPr>
    <w:rPr>
      <w:rFonts w:eastAsia="仿宋_GB2312"/>
      <w:color w:val="FFFFFF"/>
      <w:kern w:val="0"/>
      <w:sz w:val="30"/>
      <w:szCs w:val="30"/>
    </w:rPr>
  </w:style>
  <w:style w:type="paragraph" w:customStyle="1" w:styleId="153">
    <w:name w:val="样式 标题 2 + Times New Roman 四号 非加粗 段前: 5 磅 段后: 0 磅 行距: 固定值 20..."/>
    <w:basedOn w:val="4"/>
    <w:qFormat/>
    <w:uiPriority w:val="0"/>
    <w:pPr>
      <w:spacing w:before="100" w:after="0" w:line="400" w:lineRule="exact"/>
    </w:pPr>
    <w:rPr>
      <w:rFonts w:ascii="Times New Roman" w:hAnsi="Times New Roman"/>
      <w:b w:val="0"/>
      <w:kern w:val="0"/>
      <w:sz w:val="28"/>
      <w:szCs w:val="28"/>
    </w:rPr>
  </w:style>
  <w:style w:type="paragraph" w:customStyle="1" w:styleId="154">
    <w:name w:val="无间隔11"/>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55">
    <w:name w:val="列出段落3"/>
    <w:basedOn w:val="1"/>
    <w:qFormat/>
    <w:uiPriority w:val="0"/>
    <w:pPr>
      <w:ind w:firstLine="420" w:firstLineChars="200"/>
    </w:pPr>
  </w:style>
  <w:style w:type="paragraph" w:customStyle="1" w:styleId="156">
    <w:name w:val="p0"/>
    <w:basedOn w:val="1"/>
    <w:qFormat/>
    <w:uiPriority w:val="0"/>
    <w:pPr>
      <w:widowControl/>
    </w:pPr>
    <w:rPr>
      <w:rFonts w:ascii="Calibri" w:hAnsi="Calibri" w:cs="Calibri"/>
      <w:kern w:val="0"/>
    </w:rPr>
  </w:style>
  <w:style w:type="paragraph" w:customStyle="1" w:styleId="157">
    <w:name w:val="Table Paragraph"/>
    <w:basedOn w:val="1"/>
    <w:qFormat/>
    <w:uiPriority w:val="0"/>
    <w:rPr>
      <w:rFonts w:ascii="宋体" w:hAnsi="宋体" w:cs="宋体"/>
      <w:lang w:val="zh-CN" w:bidi="zh-CN"/>
    </w:rPr>
  </w:style>
  <w:style w:type="character" w:customStyle="1" w:styleId="158">
    <w:name w:val="NormalCharacter"/>
    <w:qFormat/>
    <w:uiPriority w:val="0"/>
    <w:rPr>
      <w:kern w:val="2"/>
      <w:sz w:val="21"/>
      <w:szCs w:val="21"/>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166</Pages>
  <Words>17666</Words>
  <Characters>100700</Characters>
  <Lines>839</Lines>
  <Paragraphs>236</Paragraphs>
  <TotalTime>0</TotalTime>
  <ScaleCrop>false</ScaleCrop>
  <LinksUpToDate>false</LinksUpToDate>
  <CharactersWithSpaces>118130</CharactersWithSpaces>
  <Application>WPS Office_10.8.2.6666_F1E327BC-269C-435d-A152-05C5408002CA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2021-10-09T13:33:00Z</dcterms:created>
  <dc:creator>梁 梦雪</dc:creator>
  <cp:lastModifiedBy>杨小凤</cp:lastModifiedBy>
  <dcterms:modified xsi:type="dcterms:W3CDTF">2021-11-02T01:31:37Z</dcterms:modified>
  <dc:title>广西壮族自治区房屋建筑和市政工程施工电子招标文件范本（2015年版）</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1157014373_embed</vt:lpwstr>
  </property>
  <property fmtid="{D5CDD505-2E9C-101B-9397-08002B2CF9AE}" pid="3" name="KSOProductBuildVer">
    <vt:lpwstr>2052-10.8.2.6666</vt:lpwstr>
  </property>
  <property fmtid="{D5CDD505-2E9C-101B-9397-08002B2CF9AE}" pid="4" name="ICV">
    <vt:lpwstr>57EADEE9E86C41919987031234D50AC8</vt:lpwstr>
  </property>
</Properties>
</file>