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color w:val="auto"/>
          <w:sz w:val="24"/>
          <w:highlight w:val="none"/>
          <w:vertAlign w:val="subscript"/>
        </w:rPr>
      </w:pPr>
      <w:bookmarkStart w:id="109" w:name="_GoBack"/>
    </w:p>
    <w:p>
      <w:pPr>
        <w:jc w:val="center"/>
        <w:rPr>
          <w:rFonts w:ascii="宋体" w:hAnsi="宋体"/>
          <w:b/>
          <w:color w:val="auto"/>
          <w:sz w:val="76"/>
          <w:szCs w:val="72"/>
          <w:highlight w:val="none"/>
        </w:rPr>
      </w:pPr>
      <w:r>
        <w:rPr>
          <w:rFonts w:hint="eastAsia" w:ascii="宋体" w:hAnsi="宋体"/>
          <w:b/>
          <w:color w:val="auto"/>
          <w:sz w:val="56"/>
          <w:szCs w:val="72"/>
          <w:highlight w:val="none"/>
        </w:rPr>
        <w:t>南宁政府采购服务</w:t>
      </w:r>
    </w:p>
    <w:p>
      <w:pPr>
        <w:jc w:val="center"/>
        <w:rPr>
          <w:rFonts w:ascii="宋体" w:hAnsi="宋体"/>
          <w:b/>
          <w:color w:val="auto"/>
          <w:sz w:val="58"/>
          <w:szCs w:val="72"/>
          <w:highlight w:val="none"/>
        </w:rPr>
      </w:pPr>
    </w:p>
    <w:p>
      <w:pPr>
        <w:jc w:val="center"/>
        <w:rPr>
          <w:rFonts w:ascii="宋体" w:hAnsi="宋体"/>
          <w:b/>
          <w:color w:val="auto"/>
          <w:sz w:val="84"/>
          <w:szCs w:val="84"/>
          <w:highlight w:val="none"/>
        </w:rPr>
      </w:pPr>
      <w:r>
        <w:rPr>
          <w:rFonts w:hint="eastAsia" w:ascii="宋体" w:hAnsi="宋体"/>
          <w:b/>
          <w:color w:val="auto"/>
          <w:sz w:val="84"/>
          <w:szCs w:val="84"/>
          <w:highlight w:val="none"/>
        </w:rPr>
        <w:t>公 开 招 标 文 件</w:t>
      </w:r>
    </w:p>
    <w:p>
      <w:pPr>
        <w:jc w:val="center"/>
        <w:rPr>
          <w:rFonts w:ascii="宋体" w:hAnsi="宋体"/>
          <w:b/>
          <w:color w:val="auto"/>
          <w:sz w:val="56"/>
          <w:szCs w:val="72"/>
          <w:highlight w:val="none"/>
        </w:rPr>
      </w:pPr>
      <w:r>
        <w:rPr>
          <w:rFonts w:hint="eastAsia" w:ascii="宋体" w:hAnsi="宋体"/>
          <w:b/>
          <w:color w:val="auto"/>
          <w:sz w:val="56"/>
          <w:szCs w:val="72"/>
          <w:highlight w:val="none"/>
        </w:rPr>
        <w:t xml:space="preserve"> </w:t>
      </w:r>
    </w:p>
    <w:p>
      <w:pPr>
        <w:pStyle w:val="22"/>
        <w:snapToGrid w:val="0"/>
        <w:ind w:firstLine="708" w:firstLineChars="196"/>
        <w:jc w:val="center"/>
        <w:rPr>
          <w:rFonts w:hAnsi="宋体"/>
          <w:b/>
          <w:bCs/>
          <w:color w:val="auto"/>
          <w:sz w:val="36"/>
          <w:szCs w:val="36"/>
          <w:highlight w:val="none"/>
        </w:rPr>
      </w:pPr>
    </w:p>
    <w:p>
      <w:pPr>
        <w:pStyle w:val="22"/>
        <w:snapToGrid w:val="0"/>
        <w:ind w:firstLine="708" w:firstLineChars="196"/>
        <w:jc w:val="center"/>
        <w:rPr>
          <w:rFonts w:hAnsi="宋体"/>
          <w:b/>
          <w:bCs/>
          <w:color w:val="auto"/>
          <w:sz w:val="36"/>
          <w:szCs w:val="36"/>
          <w:highlight w:val="none"/>
        </w:rPr>
      </w:pPr>
    </w:p>
    <w:p>
      <w:pPr>
        <w:pStyle w:val="22"/>
        <w:snapToGrid w:val="0"/>
        <w:ind w:firstLine="708" w:firstLineChars="196"/>
        <w:jc w:val="center"/>
        <w:rPr>
          <w:rFonts w:hAnsi="宋体"/>
          <w:b/>
          <w:bCs/>
          <w:color w:val="auto"/>
          <w:sz w:val="36"/>
          <w:szCs w:val="36"/>
          <w:highlight w:val="none"/>
        </w:rPr>
      </w:pPr>
    </w:p>
    <w:p>
      <w:pPr>
        <w:pStyle w:val="22"/>
        <w:snapToGrid w:val="0"/>
        <w:ind w:firstLine="708" w:firstLineChars="196"/>
        <w:jc w:val="center"/>
        <w:rPr>
          <w:rFonts w:hAnsi="宋体"/>
          <w:b/>
          <w:bCs/>
          <w:color w:val="auto"/>
          <w:sz w:val="36"/>
          <w:szCs w:val="36"/>
          <w:highlight w:val="none"/>
        </w:rPr>
      </w:pPr>
    </w:p>
    <w:p>
      <w:pPr>
        <w:pStyle w:val="22"/>
        <w:snapToGrid w:val="0"/>
        <w:ind w:firstLine="708" w:firstLineChars="196"/>
        <w:jc w:val="center"/>
        <w:rPr>
          <w:rFonts w:hAnsi="宋体"/>
          <w:b/>
          <w:bCs/>
          <w:color w:val="auto"/>
          <w:sz w:val="36"/>
          <w:szCs w:val="36"/>
          <w:highlight w:val="none"/>
        </w:rPr>
      </w:pPr>
    </w:p>
    <w:p>
      <w:pPr>
        <w:pStyle w:val="22"/>
        <w:snapToGrid w:val="0"/>
        <w:ind w:firstLine="708" w:firstLineChars="196"/>
        <w:jc w:val="center"/>
        <w:rPr>
          <w:rFonts w:hAnsi="宋体"/>
          <w:b/>
          <w:bCs/>
          <w:color w:val="auto"/>
          <w:sz w:val="36"/>
          <w:szCs w:val="36"/>
          <w:highlight w:val="none"/>
        </w:rPr>
      </w:pPr>
    </w:p>
    <w:p>
      <w:pPr>
        <w:pStyle w:val="22"/>
        <w:snapToGrid w:val="0"/>
        <w:ind w:firstLine="708" w:firstLineChars="196"/>
        <w:jc w:val="center"/>
        <w:rPr>
          <w:rFonts w:hAnsi="宋体"/>
          <w:b/>
          <w:bCs/>
          <w:color w:val="auto"/>
          <w:sz w:val="36"/>
          <w:szCs w:val="36"/>
          <w:highlight w:val="none"/>
        </w:rPr>
      </w:pPr>
    </w:p>
    <w:p>
      <w:pPr>
        <w:pStyle w:val="22"/>
        <w:snapToGrid w:val="0"/>
        <w:ind w:firstLine="708" w:firstLineChars="196"/>
        <w:jc w:val="center"/>
        <w:rPr>
          <w:rFonts w:hAnsi="宋体"/>
          <w:b/>
          <w:bCs/>
          <w:color w:val="auto"/>
          <w:sz w:val="36"/>
          <w:szCs w:val="36"/>
          <w:highlight w:val="none"/>
        </w:rPr>
      </w:pPr>
    </w:p>
    <w:p>
      <w:pPr>
        <w:pStyle w:val="22"/>
        <w:tabs>
          <w:tab w:val="left" w:pos="5640"/>
        </w:tabs>
        <w:snapToGrid w:val="0"/>
        <w:spacing w:line="360" w:lineRule="auto"/>
        <w:ind w:left="907" w:leftChars="432" w:firstLine="542" w:firstLineChars="150"/>
        <w:rPr>
          <w:rFonts w:hAnsi="宋体"/>
          <w:b/>
          <w:color w:val="auto"/>
          <w:sz w:val="36"/>
          <w:szCs w:val="36"/>
          <w:highlight w:val="none"/>
        </w:rPr>
      </w:pPr>
      <w:r>
        <w:rPr>
          <w:rFonts w:hint="eastAsia" w:hAnsi="宋体"/>
          <w:b/>
          <w:bCs/>
          <w:color w:val="auto"/>
          <w:sz w:val="36"/>
          <w:szCs w:val="36"/>
          <w:highlight w:val="none"/>
        </w:rPr>
        <w:t>项目名称：</w:t>
      </w:r>
      <w:r>
        <w:rPr>
          <w:rFonts w:hint="eastAsia" w:hAnsi="宋体"/>
          <w:b/>
          <w:color w:val="auto"/>
          <w:sz w:val="36"/>
          <w:szCs w:val="36"/>
          <w:highlight w:val="none"/>
          <w:u w:val="single"/>
        </w:rPr>
        <w:t xml:space="preserve">南宁市公共服务大数据治理与应用平台项目可信共享（试点）平台建设 </w:t>
      </w:r>
      <w:r>
        <w:rPr>
          <w:rFonts w:hint="eastAsia" w:hAnsi="宋体"/>
          <w:b/>
          <w:color w:val="auto"/>
          <w:sz w:val="28"/>
          <w:szCs w:val="36"/>
          <w:highlight w:val="none"/>
          <w:u w:val="single"/>
        </w:rPr>
        <w:t xml:space="preserve"> </w:t>
      </w:r>
    </w:p>
    <w:p>
      <w:pPr>
        <w:pStyle w:val="22"/>
        <w:tabs>
          <w:tab w:val="left" w:pos="5640"/>
        </w:tabs>
        <w:snapToGrid w:val="0"/>
        <w:spacing w:line="360" w:lineRule="auto"/>
        <w:ind w:left="907" w:leftChars="432" w:firstLine="542" w:firstLineChars="150"/>
        <w:rPr>
          <w:rFonts w:hAnsi="宋体"/>
          <w:b/>
          <w:bCs/>
          <w:color w:val="auto"/>
          <w:w w:val="95"/>
          <w:sz w:val="36"/>
          <w:szCs w:val="36"/>
          <w:highlight w:val="none"/>
        </w:rPr>
      </w:pPr>
      <w:r>
        <w:rPr>
          <w:rFonts w:hint="eastAsia" w:hAnsi="宋体"/>
          <w:b/>
          <w:bCs/>
          <w:color w:val="auto"/>
          <w:sz w:val="36"/>
          <w:szCs w:val="36"/>
          <w:highlight w:val="none"/>
        </w:rPr>
        <w:t>项目编号：</w:t>
      </w:r>
      <w:r>
        <w:rPr>
          <w:rFonts w:hint="eastAsia" w:hAnsi="宋体"/>
          <w:b/>
          <w:color w:val="auto"/>
          <w:sz w:val="36"/>
          <w:szCs w:val="36"/>
          <w:highlight w:val="none"/>
          <w:u w:val="single"/>
          <w:lang w:eastAsia="zh-CN"/>
        </w:rPr>
        <w:t>NNZC2020-G3-990644-JGJD</w:t>
      </w:r>
      <w:r>
        <w:rPr>
          <w:rFonts w:hint="eastAsia" w:hAnsi="宋体"/>
          <w:b/>
          <w:color w:val="auto"/>
          <w:sz w:val="36"/>
          <w:szCs w:val="36"/>
          <w:highlight w:val="none"/>
          <w:u w:val="single"/>
        </w:rPr>
        <w:t xml:space="preserve">  </w:t>
      </w:r>
    </w:p>
    <w:p>
      <w:pPr>
        <w:pStyle w:val="22"/>
        <w:tabs>
          <w:tab w:val="left" w:pos="5640"/>
        </w:tabs>
        <w:snapToGrid w:val="0"/>
        <w:spacing w:line="360" w:lineRule="auto"/>
        <w:ind w:left="907" w:leftChars="432" w:firstLine="542" w:firstLineChars="150"/>
        <w:rPr>
          <w:rFonts w:hAnsi="宋体"/>
          <w:b/>
          <w:bCs/>
          <w:color w:val="auto"/>
          <w:sz w:val="36"/>
          <w:szCs w:val="36"/>
          <w:highlight w:val="none"/>
        </w:rPr>
      </w:pPr>
      <w:r>
        <w:rPr>
          <w:rFonts w:hint="eastAsia" w:hAnsi="宋体"/>
          <w:b/>
          <w:bCs/>
          <w:color w:val="auto"/>
          <w:sz w:val="36"/>
          <w:szCs w:val="36"/>
          <w:highlight w:val="none"/>
        </w:rPr>
        <w:t>审批编号：</w:t>
      </w:r>
      <w:r>
        <w:rPr>
          <w:rFonts w:hint="eastAsia" w:hAnsi="宋体"/>
          <w:b/>
          <w:color w:val="auto"/>
          <w:sz w:val="36"/>
          <w:szCs w:val="36"/>
          <w:highlight w:val="none"/>
          <w:u w:val="single"/>
        </w:rPr>
        <w:t xml:space="preserve">[2020]NCCJA094/2  </w:t>
      </w:r>
    </w:p>
    <w:p>
      <w:pPr>
        <w:pStyle w:val="22"/>
        <w:snapToGrid w:val="0"/>
        <w:ind w:firstLine="673" w:firstLineChars="196"/>
        <w:jc w:val="center"/>
        <w:rPr>
          <w:rFonts w:hAnsi="宋体"/>
          <w:b/>
          <w:bCs/>
          <w:color w:val="auto"/>
          <w:w w:val="95"/>
          <w:sz w:val="36"/>
          <w:szCs w:val="36"/>
          <w:highlight w:val="none"/>
        </w:rPr>
      </w:pPr>
    </w:p>
    <w:p>
      <w:pPr>
        <w:pStyle w:val="22"/>
        <w:snapToGrid w:val="0"/>
        <w:ind w:firstLine="673" w:firstLineChars="196"/>
        <w:jc w:val="center"/>
        <w:rPr>
          <w:rFonts w:hAnsi="宋体"/>
          <w:b/>
          <w:bCs/>
          <w:color w:val="auto"/>
          <w:w w:val="95"/>
          <w:sz w:val="36"/>
          <w:szCs w:val="36"/>
          <w:highlight w:val="none"/>
        </w:rPr>
      </w:pPr>
    </w:p>
    <w:p>
      <w:pPr>
        <w:pStyle w:val="22"/>
        <w:snapToGrid w:val="0"/>
        <w:spacing w:line="360" w:lineRule="auto"/>
        <w:jc w:val="left"/>
        <w:rPr>
          <w:rFonts w:hAnsi="宋体"/>
          <w:b/>
          <w:color w:val="auto"/>
          <w:sz w:val="36"/>
          <w:szCs w:val="36"/>
          <w:highlight w:val="none"/>
          <w:u w:val="single"/>
        </w:rPr>
      </w:pPr>
      <w:r>
        <w:rPr>
          <w:rFonts w:hint="eastAsia" w:hAnsi="宋体"/>
          <w:b/>
          <w:bCs/>
          <w:color w:val="auto"/>
          <w:w w:val="95"/>
          <w:sz w:val="36"/>
          <w:szCs w:val="36"/>
          <w:highlight w:val="none"/>
        </w:rPr>
        <w:t>采购单位：</w:t>
      </w:r>
      <w:r>
        <w:rPr>
          <w:rFonts w:hint="eastAsia" w:hAnsi="宋体"/>
          <w:b/>
          <w:color w:val="auto"/>
          <w:sz w:val="36"/>
          <w:szCs w:val="36"/>
          <w:highlight w:val="none"/>
          <w:u w:val="single"/>
        </w:rPr>
        <w:t xml:space="preserve">南宁市信息网络管理中心 </w:t>
      </w:r>
    </w:p>
    <w:p>
      <w:pPr>
        <w:pStyle w:val="22"/>
        <w:snapToGrid w:val="0"/>
        <w:spacing w:line="360" w:lineRule="auto"/>
        <w:jc w:val="left"/>
        <w:rPr>
          <w:rFonts w:hAnsi="宋体"/>
          <w:b/>
          <w:color w:val="auto"/>
          <w:sz w:val="36"/>
          <w:szCs w:val="36"/>
          <w:highlight w:val="none"/>
          <w:u w:val="single"/>
        </w:rPr>
      </w:pPr>
      <w:r>
        <w:rPr>
          <w:rFonts w:hint="eastAsia" w:hAnsi="宋体"/>
          <w:b/>
          <w:bCs/>
          <w:color w:val="auto"/>
          <w:w w:val="95"/>
          <w:sz w:val="36"/>
          <w:szCs w:val="36"/>
          <w:highlight w:val="none"/>
        </w:rPr>
        <w:t>代理机构：</w:t>
      </w:r>
      <w:r>
        <w:rPr>
          <w:rFonts w:hint="eastAsia" w:hAnsi="宋体"/>
          <w:b/>
          <w:bCs/>
          <w:color w:val="auto"/>
          <w:sz w:val="36"/>
          <w:szCs w:val="36"/>
          <w:highlight w:val="none"/>
          <w:u w:val="single"/>
        </w:rPr>
        <w:t>广西建设工程机电设备招标中心有限公司</w:t>
      </w:r>
    </w:p>
    <w:p>
      <w:pPr>
        <w:pStyle w:val="22"/>
        <w:snapToGrid w:val="0"/>
        <w:spacing w:line="360" w:lineRule="auto"/>
        <w:ind w:firstLine="3345" w:firstLineChars="974"/>
        <w:rPr>
          <w:rFonts w:hAnsi="宋体"/>
          <w:b/>
          <w:color w:val="auto"/>
          <w:w w:val="95"/>
          <w:sz w:val="36"/>
          <w:szCs w:val="36"/>
          <w:highlight w:val="none"/>
        </w:rPr>
      </w:pPr>
      <w:r>
        <w:rPr>
          <w:rFonts w:hint="eastAsia" w:hAnsi="宋体"/>
          <w:b/>
          <w:bCs/>
          <w:color w:val="auto"/>
          <w:w w:val="95"/>
          <w:sz w:val="36"/>
          <w:szCs w:val="36"/>
          <w:highlight w:val="none"/>
        </w:rPr>
        <w:t xml:space="preserve"> </w:t>
      </w:r>
      <w:r>
        <w:rPr>
          <w:rFonts w:hint="eastAsia" w:hAnsi="宋体"/>
          <w:b/>
          <w:color w:val="auto"/>
          <w:sz w:val="36"/>
          <w:szCs w:val="36"/>
          <w:highlight w:val="none"/>
          <w:u w:val="single"/>
        </w:rPr>
        <w:t xml:space="preserve"> 2020 </w:t>
      </w:r>
      <w:r>
        <w:rPr>
          <w:rFonts w:hint="eastAsia" w:hAnsi="宋体"/>
          <w:b/>
          <w:bCs/>
          <w:color w:val="auto"/>
          <w:w w:val="95"/>
          <w:sz w:val="36"/>
          <w:szCs w:val="36"/>
          <w:highlight w:val="none"/>
        </w:rPr>
        <w:t>年</w:t>
      </w:r>
      <w:r>
        <w:rPr>
          <w:rFonts w:hint="eastAsia" w:hAnsi="宋体"/>
          <w:b/>
          <w:color w:val="auto"/>
          <w:sz w:val="36"/>
          <w:szCs w:val="36"/>
          <w:highlight w:val="none"/>
          <w:u w:val="single"/>
          <w:lang w:val="en-US" w:eastAsia="zh-CN"/>
        </w:rPr>
        <w:t>12</w:t>
      </w:r>
      <w:r>
        <w:rPr>
          <w:rFonts w:hint="eastAsia" w:hAnsi="宋体"/>
          <w:b/>
          <w:bCs/>
          <w:color w:val="auto"/>
          <w:w w:val="95"/>
          <w:sz w:val="36"/>
          <w:szCs w:val="36"/>
          <w:highlight w:val="none"/>
        </w:rPr>
        <w:t>月</w:t>
      </w:r>
      <w:r>
        <w:rPr>
          <w:rFonts w:hint="eastAsia" w:hAnsi="宋体"/>
          <w:b/>
          <w:color w:val="auto"/>
          <w:sz w:val="36"/>
          <w:szCs w:val="36"/>
          <w:highlight w:val="none"/>
          <w:u w:val="single"/>
        </w:rPr>
        <w:t xml:space="preserve"> </w:t>
      </w:r>
      <w:r>
        <w:rPr>
          <w:rFonts w:hint="eastAsia" w:hAnsi="宋体"/>
          <w:b/>
          <w:color w:val="auto"/>
          <w:sz w:val="36"/>
          <w:szCs w:val="36"/>
          <w:highlight w:val="none"/>
          <w:u w:val="single"/>
          <w:lang w:val="en-US" w:eastAsia="zh-CN"/>
        </w:rPr>
        <w:t>31</w:t>
      </w:r>
      <w:r>
        <w:rPr>
          <w:rFonts w:hint="eastAsia" w:hAnsi="宋体"/>
          <w:b/>
          <w:color w:val="auto"/>
          <w:sz w:val="36"/>
          <w:szCs w:val="36"/>
          <w:highlight w:val="none"/>
          <w:u w:val="single"/>
        </w:rPr>
        <w:t xml:space="preserve"> </w:t>
      </w:r>
      <w:r>
        <w:rPr>
          <w:rFonts w:hint="eastAsia" w:hAnsi="宋体"/>
          <w:b/>
          <w:bCs/>
          <w:color w:val="auto"/>
          <w:w w:val="95"/>
          <w:sz w:val="36"/>
          <w:szCs w:val="36"/>
          <w:highlight w:val="none"/>
        </w:rPr>
        <w:t>日</w:t>
      </w:r>
    </w:p>
    <w:p>
      <w:pPr>
        <w:pStyle w:val="22"/>
        <w:snapToGrid w:val="0"/>
        <w:rPr>
          <w:rFonts w:hAnsi="宋体"/>
          <w:b/>
          <w:color w:val="auto"/>
          <w:sz w:val="28"/>
          <w:szCs w:val="28"/>
          <w:highlight w:val="none"/>
        </w:rPr>
      </w:pPr>
    </w:p>
    <w:p>
      <w:pPr>
        <w:rPr>
          <w:color w:val="auto"/>
          <w:highlight w:val="none"/>
        </w:rPr>
      </w:pPr>
    </w:p>
    <w:p>
      <w:pPr>
        <w:rPr>
          <w:color w:val="auto"/>
          <w:highlight w:val="none"/>
        </w:rPr>
      </w:pPr>
    </w:p>
    <w:p>
      <w:pPr>
        <w:rPr>
          <w:color w:val="auto"/>
          <w:highlight w:val="none"/>
        </w:rPr>
      </w:pPr>
    </w:p>
    <w:p>
      <w:pPr>
        <w:pStyle w:val="26"/>
        <w:framePr w:wrap="around" w:vAnchor="text" w:hAnchor="page" w:x="9837" w:y="1"/>
        <w:rPr>
          <w:rStyle w:val="41"/>
          <w:rFonts w:ascii="仿宋" w:hAnsi="仿宋" w:eastAsia="仿宋"/>
          <w:color w:val="auto"/>
          <w:sz w:val="28"/>
          <w:szCs w:val="28"/>
          <w:highlight w:val="none"/>
        </w:rPr>
      </w:pPr>
    </w:p>
    <w:p>
      <w:pPr>
        <w:pStyle w:val="22"/>
        <w:snapToGrid w:val="0"/>
        <w:jc w:val="right"/>
        <w:rPr>
          <w:color w:val="auto"/>
          <w:highlight w:val="none"/>
        </w:rPr>
      </w:pPr>
    </w:p>
    <w:p>
      <w:pPr>
        <w:pStyle w:val="22"/>
        <w:snapToGrid w:val="0"/>
        <w:rPr>
          <w:rFonts w:hAnsi="宋体"/>
          <w:b/>
          <w:color w:val="auto"/>
          <w:sz w:val="28"/>
          <w:szCs w:val="28"/>
          <w:highlight w:val="none"/>
        </w:rPr>
      </w:pPr>
      <w:r>
        <w:rPr>
          <w:rFonts w:hint="eastAsia" w:hAnsi="宋体"/>
          <w:b/>
          <w:color w:val="auto"/>
          <w:sz w:val="28"/>
          <w:szCs w:val="28"/>
          <w:highlight w:val="none"/>
        </w:rPr>
        <w:t xml:space="preserve">            </w:t>
      </w:r>
    </w:p>
    <w:p>
      <w:pPr>
        <w:rPr>
          <w:rFonts w:ascii="宋体" w:cs="宋体"/>
          <w:b/>
          <w:color w:val="auto"/>
          <w:sz w:val="44"/>
          <w:szCs w:val="44"/>
          <w:highlight w:val="none"/>
        </w:rPr>
      </w:pPr>
    </w:p>
    <w:p>
      <w:pPr>
        <w:pStyle w:val="22"/>
        <w:snapToGrid w:val="0"/>
        <w:ind w:right="140"/>
        <w:jc w:val="center"/>
        <w:rPr>
          <w:rFonts w:hAnsi="宋体"/>
          <w:b/>
          <w:color w:val="auto"/>
          <w:sz w:val="44"/>
          <w:szCs w:val="44"/>
          <w:highlight w:val="none"/>
        </w:rPr>
      </w:pPr>
      <w:r>
        <w:rPr>
          <w:rFonts w:hint="eastAsia" w:hAnsi="宋体"/>
          <w:b/>
          <w:color w:val="auto"/>
          <w:sz w:val="44"/>
          <w:szCs w:val="44"/>
          <w:highlight w:val="none"/>
        </w:rPr>
        <w:t>目    录</w:t>
      </w:r>
    </w:p>
    <w:p>
      <w:pPr>
        <w:pStyle w:val="28"/>
        <w:tabs>
          <w:tab w:val="right" w:leader="dot" w:pos="8997"/>
          <w:tab w:val="clear" w:pos="8398"/>
        </w:tabs>
        <w:ind w:firstLine="241"/>
        <w:rPr>
          <w:color w:val="auto"/>
          <w:highlight w:val="none"/>
        </w:rPr>
      </w:pPr>
      <w:r>
        <w:rPr>
          <w:color w:val="auto"/>
          <w:highlight w:val="none"/>
        </w:rPr>
        <w:fldChar w:fldCharType="begin"/>
      </w:r>
      <w:r>
        <w:rPr>
          <w:color w:val="auto"/>
          <w:highlight w:val="none"/>
        </w:rPr>
        <w:instrText xml:space="preserve"> </w:instrText>
      </w:r>
      <w:r>
        <w:rPr>
          <w:rFonts w:hint="eastAsia"/>
          <w:color w:val="auto"/>
          <w:highlight w:val="none"/>
        </w:rPr>
        <w:instrText xml:space="preserve">TOC \o "1-3" \h \z \u</w:instrText>
      </w:r>
      <w:r>
        <w:rPr>
          <w:color w:val="auto"/>
          <w:highlight w:val="none"/>
        </w:rPr>
        <w:instrText xml:space="preserve"> </w:instrText>
      </w:r>
      <w:r>
        <w:rPr>
          <w:color w:val="auto"/>
          <w:highlight w:val="none"/>
        </w:rPr>
        <w:fldChar w:fldCharType="separate"/>
      </w:r>
      <w:r>
        <w:rPr>
          <w:color w:val="auto"/>
          <w:highlight w:val="none"/>
        </w:rPr>
        <w:fldChar w:fldCharType="begin"/>
      </w:r>
      <w:r>
        <w:rPr>
          <w:color w:val="auto"/>
          <w:highlight w:val="none"/>
        </w:rPr>
        <w:instrText xml:space="preserve"> HYPERLINK \l "_Toc31507" </w:instrText>
      </w:r>
      <w:r>
        <w:rPr>
          <w:color w:val="auto"/>
          <w:highlight w:val="none"/>
        </w:rPr>
        <w:fldChar w:fldCharType="separate"/>
      </w:r>
      <w:r>
        <w:rPr>
          <w:rFonts w:hint="eastAsia"/>
          <w:color w:val="auto"/>
          <w:szCs w:val="44"/>
          <w:highlight w:val="none"/>
        </w:rPr>
        <w:t>第一章 公开招标公告</w:t>
      </w:r>
      <w:r>
        <w:rPr>
          <w:color w:val="auto"/>
          <w:highlight w:val="none"/>
        </w:rPr>
        <w:tab/>
      </w:r>
      <w:r>
        <w:rPr>
          <w:color w:val="auto"/>
          <w:highlight w:val="none"/>
        </w:rPr>
        <w:fldChar w:fldCharType="begin"/>
      </w:r>
      <w:r>
        <w:rPr>
          <w:color w:val="auto"/>
          <w:highlight w:val="none"/>
        </w:rPr>
        <w:instrText xml:space="preserve"> PAGEREF _Toc31507 </w:instrText>
      </w:r>
      <w:r>
        <w:rPr>
          <w:color w:val="auto"/>
          <w:highlight w:val="none"/>
        </w:rPr>
        <w:fldChar w:fldCharType="separate"/>
      </w:r>
      <w:r>
        <w:rPr>
          <w:color w:val="auto"/>
          <w:highlight w:val="none"/>
        </w:rPr>
        <w:t>- 2 -</w:t>
      </w:r>
      <w:r>
        <w:rPr>
          <w:color w:val="auto"/>
          <w:highlight w:val="none"/>
        </w:rPr>
        <w:fldChar w:fldCharType="end"/>
      </w:r>
      <w:r>
        <w:rPr>
          <w:color w:val="auto"/>
          <w:highlight w:val="none"/>
        </w:rPr>
        <w:fldChar w:fldCharType="end"/>
      </w:r>
    </w:p>
    <w:p>
      <w:pPr>
        <w:pStyle w:val="28"/>
        <w:tabs>
          <w:tab w:val="right" w:leader="dot" w:pos="8997"/>
          <w:tab w:val="clear" w:pos="8398"/>
        </w:tabs>
        <w:ind w:firstLine="241"/>
        <w:rPr>
          <w:color w:val="auto"/>
          <w:highlight w:val="none"/>
        </w:rPr>
      </w:pPr>
      <w:r>
        <w:rPr>
          <w:color w:val="auto"/>
          <w:highlight w:val="none"/>
        </w:rPr>
        <w:fldChar w:fldCharType="begin"/>
      </w:r>
      <w:r>
        <w:rPr>
          <w:color w:val="auto"/>
          <w:highlight w:val="none"/>
        </w:rPr>
        <w:instrText xml:space="preserve"> HYPERLINK \l "_Toc28706" </w:instrText>
      </w:r>
      <w:r>
        <w:rPr>
          <w:color w:val="auto"/>
          <w:highlight w:val="none"/>
        </w:rPr>
        <w:fldChar w:fldCharType="separate"/>
      </w:r>
      <w:r>
        <w:rPr>
          <w:rFonts w:hint="eastAsia"/>
          <w:color w:val="auto"/>
          <w:szCs w:val="44"/>
          <w:highlight w:val="none"/>
        </w:rPr>
        <w:t>第二章 招标项目采购需求</w:t>
      </w:r>
      <w:r>
        <w:rPr>
          <w:color w:val="auto"/>
          <w:highlight w:val="none"/>
        </w:rPr>
        <w:tab/>
      </w:r>
      <w:r>
        <w:rPr>
          <w:color w:val="auto"/>
          <w:highlight w:val="none"/>
        </w:rPr>
        <w:fldChar w:fldCharType="begin"/>
      </w:r>
      <w:r>
        <w:rPr>
          <w:color w:val="auto"/>
          <w:highlight w:val="none"/>
        </w:rPr>
        <w:instrText xml:space="preserve"> PAGEREF _Toc28706 </w:instrText>
      </w:r>
      <w:r>
        <w:rPr>
          <w:color w:val="auto"/>
          <w:highlight w:val="none"/>
        </w:rPr>
        <w:fldChar w:fldCharType="separate"/>
      </w:r>
      <w:r>
        <w:rPr>
          <w:color w:val="auto"/>
          <w:highlight w:val="none"/>
        </w:rPr>
        <w:t>- 6 -</w:t>
      </w:r>
      <w:r>
        <w:rPr>
          <w:color w:val="auto"/>
          <w:highlight w:val="none"/>
        </w:rPr>
        <w:fldChar w:fldCharType="end"/>
      </w:r>
      <w:r>
        <w:rPr>
          <w:color w:val="auto"/>
          <w:highlight w:val="none"/>
        </w:rPr>
        <w:fldChar w:fldCharType="end"/>
      </w:r>
    </w:p>
    <w:p>
      <w:pPr>
        <w:pStyle w:val="28"/>
        <w:tabs>
          <w:tab w:val="right" w:leader="dot" w:pos="8997"/>
          <w:tab w:val="clear" w:pos="8398"/>
        </w:tabs>
        <w:ind w:firstLine="241"/>
        <w:rPr>
          <w:color w:val="auto"/>
          <w:highlight w:val="none"/>
        </w:rPr>
      </w:pPr>
      <w:r>
        <w:rPr>
          <w:color w:val="auto"/>
          <w:highlight w:val="none"/>
        </w:rPr>
        <w:fldChar w:fldCharType="begin"/>
      </w:r>
      <w:r>
        <w:rPr>
          <w:color w:val="auto"/>
          <w:highlight w:val="none"/>
        </w:rPr>
        <w:instrText xml:space="preserve"> HYPERLINK \l "_Toc3476" </w:instrText>
      </w:r>
      <w:r>
        <w:rPr>
          <w:color w:val="auto"/>
          <w:highlight w:val="none"/>
        </w:rPr>
        <w:fldChar w:fldCharType="separate"/>
      </w:r>
      <w:r>
        <w:rPr>
          <w:rFonts w:hint="eastAsia"/>
          <w:color w:val="auto"/>
          <w:szCs w:val="44"/>
          <w:highlight w:val="none"/>
        </w:rPr>
        <w:t>第三章  投标人须知</w:t>
      </w:r>
      <w:r>
        <w:rPr>
          <w:color w:val="auto"/>
          <w:highlight w:val="none"/>
        </w:rPr>
        <w:tab/>
      </w:r>
      <w:r>
        <w:rPr>
          <w:color w:val="auto"/>
          <w:highlight w:val="none"/>
        </w:rPr>
        <w:fldChar w:fldCharType="begin"/>
      </w:r>
      <w:r>
        <w:rPr>
          <w:color w:val="auto"/>
          <w:highlight w:val="none"/>
        </w:rPr>
        <w:instrText xml:space="preserve"> PAGEREF _Toc3476 </w:instrText>
      </w:r>
      <w:r>
        <w:rPr>
          <w:color w:val="auto"/>
          <w:highlight w:val="none"/>
        </w:rPr>
        <w:fldChar w:fldCharType="separate"/>
      </w:r>
      <w:r>
        <w:rPr>
          <w:color w:val="auto"/>
          <w:highlight w:val="none"/>
        </w:rPr>
        <w:t>- 14 -</w:t>
      </w:r>
      <w:r>
        <w:rPr>
          <w:color w:val="auto"/>
          <w:highlight w:val="none"/>
        </w:rPr>
        <w:fldChar w:fldCharType="end"/>
      </w:r>
      <w:r>
        <w:rPr>
          <w:color w:val="auto"/>
          <w:highlight w:val="none"/>
        </w:rPr>
        <w:fldChar w:fldCharType="end"/>
      </w:r>
    </w:p>
    <w:p>
      <w:pPr>
        <w:pStyle w:val="28"/>
        <w:tabs>
          <w:tab w:val="right" w:leader="dot" w:pos="8997"/>
          <w:tab w:val="clear" w:pos="8398"/>
        </w:tabs>
        <w:ind w:firstLine="241"/>
        <w:rPr>
          <w:color w:val="auto"/>
          <w:highlight w:val="none"/>
        </w:rPr>
      </w:pPr>
      <w:r>
        <w:rPr>
          <w:color w:val="auto"/>
          <w:highlight w:val="none"/>
        </w:rPr>
        <w:fldChar w:fldCharType="begin"/>
      </w:r>
      <w:r>
        <w:rPr>
          <w:color w:val="auto"/>
          <w:highlight w:val="none"/>
        </w:rPr>
        <w:instrText xml:space="preserve"> HYPERLINK \l "_Toc1718" </w:instrText>
      </w:r>
      <w:r>
        <w:rPr>
          <w:color w:val="auto"/>
          <w:highlight w:val="none"/>
        </w:rPr>
        <w:fldChar w:fldCharType="separate"/>
      </w:r>
      <w:r>
        <w:rPr>
          <w:rFonts w:hint="eastAsia"/>
          <w:color w:val="auto"/>
          <w:szCs w:val="44"/>
          <w:highlight w:val="none"/>
        </w:rPr>
        <w:t>第四章  评标办法及评分标准</w:t>
      </w:r>
      <w:r>
        <w:rPr>
          <w:color w:val="auto"/>
          <w:highlight w:val="none"/>
        </w:rPr>
        <w:tab/>
      </w:r>
      <w:r>
        <w:rPr>
          <w:color w:val="auto"/>
          <w:highlight w:val="none"/>
        </w:rPr>
        <w:fldChar w:fldCharType="begin"/>
      </w:r>
      <w:r>
        <w:rPr>
          <w:color w:val="auto"/>
          <w:highlight w:val="none"/>
        </w:rPr>
        <w:instrText xml:space="preserve"> PAGEREF _Toc1718 </w:instrText>
      </w:r>
      <w:r>
        <w:rPr>
          <w:color w:val="auto"/>
          <w:highlight w:val="none"/>
        </w:rPr>
        <w:fldChar w:fldCharType="separate"/>
      </w:r>
      <w:r>
        <w:rPr>
          <w:color w:val="auto"/>
          <w:highlight w:val="none"/>
        </w:rPr>
        <w:t>- 28 -</w:t>
      </w:r>
      <w:r>
        <w:rPr>
          <w:color w:val="auto"/>
          <w:highlight w:val="none"/>
        </w:rPr>
        <w:fldChar w:fldCharType="end"/>
      </w:r>
      <w:r>
        <w:rPr>
          <w:color w:val="auto"/>
          <w:highlight w:val="none"/>
        </w:rPr>
        <w:fldChar w:fldCharType="end"/>
      </w:r>
    </w:p>
    <w:p>
      <w:pPr>
        <w:pStyle w:val="28"/>
        <w:tabs>
          <w:tab w:val="right" w:leader="dot" w:pos="8997"/>
          <w:tab w:val="clear" w:pos="8398"/>
        </w:tabs>
        <w:ind w:firstLine="241"/>
        <w:rPr>
          <w:color w:val="auto"/>
          <w:highlight w:val="none"/>
        </w:rPr>
      </w:pPr>
      <w:r>
        <w:rPr>
          <w:color w:val="auto"/>
          <w:highlight w:val="none"/>
        </w:rPr>
        <w:fldChar w:fldCharType="begin"/>
      </w:r>
      <w:r>
        <w:rPr>
          <w:color w:val="auto"/>
          <w:highlight w:val="none"/>
        </w:rPr>
        <w:instrText xml:space="preserve"> HYPERLINK \l "_Toc23065" </w:instrText>
      </w:r>
      <w:r>
        <w:rPr>
          <w:color w:val="auto"/>
          <w:highlight w:val="none"/>
        </w:rPr>
        <w:fldChar w:fldCharType="separate"/>
      </w:r>
      <w:r>
        <w:rPr>
          <w:rFonts w:hint="eastAsia"/>
          <w:color w:val="auto"/>
          <w:szCs w:val="44"/>
          <w:highlight w:val="none"/>
        </w:rPr>
        <w:t>第五章 合同主要条款格式</w:t>
      </w:r>
      <w:r>
        <w:rPr>
          <w:color w:val="auto"/>
          <w:highlight w:val="none"/>
        </w:rPr>
        <w:tab/>
      </w:r>
      <w:r>
        <w:rPr>
          <w:color w:val="auto"/>
          <w:highlight w:val="none"/>
        </w:rPr>
        <w:fldChar w:fldCharType="begin"/>
      </w:r>
      <w:r>
        <w:rPr>
          <w:color w:val="auto"/>
          <w:highlight w:val="none"/>
        </w:rPr>
        <w:instrText xml:space="preserve"> PAGEREF _Toc23065 </w:instrText>
      </w:r>
      <w:r>
        <w:rPr>
          <w:color w:val="auto"/>
          <w:highlight w:val="none"/>
        </w:rPr>
        <w:fldChar w:fldCharType="separate"/>
      </w:r>
      <w:r>
        <w:rPr>
          <w:color w:val="auto"/>
          <w:highlight w:val="none"/>
        </w:rPr>
        <w:t>- 35 -</w:t>
      </w:r>
      <w:r>
        <w:rPr>
          <w:color w:val="auto"/>
          <w:highlight w:val="none"/>
        </w:rPr>
        <w:fldChar w:fldCharType="end"/>
      </w:r>
      <w:r>
        <w:rPr>
          <w:color w:val="auto"/>
          <w:highlight w:val="none"/>
        </w:rPr>
        <w:fldChar w:fldCharType="end"/>
      </w:r>
    </w:p>
    <w:p>
      <w:pPr>
        <w:pStyle w:val="28"/>
        <w:tabs>
          <w:tab w:val="right" w:leader="dot" w:pos="8997"/>
          <w:tab w:val="clear" w:pos="8398"/>
        </w:tabs>
        <w:ind w:firstLine="241"/>
        <w:rPr>
          <w:color w:val="auto"/>
          <w:highlight w:val="none"/>
        </w:rPr>
      </w:pPr>
      <w:r>
        <w:rPr>
          <w:color w:val="auto"/>
          <w:highlight w:val="none"/>
        </w:rPr>
        <w:fldChar w:fldCharType="begin"/>
      </w:r>
      <w:r>
        <w:rPr>
          <w:color w:val="auto"/>
          <w:highlight w:val="none"/>
        </w:rPr>
        <w:instrText xml:space="preserve"> HYPERLINK \l "_Toc20398" </w:instrText>
      </w:r>
      <w:r>
        <w:rPr>
          <w:color w:val="auto"/>
          <w:highlight w:val="none"/>
        </w:rPr>
        <w:fldChar w:fldCharType="separate"/>
      </w:r>
      <w:r>
        <w:rPr>
          <w:rFonts w:hint="eastAsia"/>
          <w:color w:val="auto"/>
          <w:szCs w:val="44"/>
          <w:highlight w:val="none"/>
        </w:rPr>
        <w:t>第六章 投标文件格式</w:t>
      </w:r>
      <w:r>
        <w:rPr>
          <w:color w:val="auto"/>
          <w:highlight w:val="none"/>
        </w:rPr>
        <w:tab/>
      </w:r>
      <w:r>
        <w:rPr>
          <w:color w:val="auto"/>
          <w:highlight w:val="none"/>
        </w:rPr>
        <w:fldChar w:fldCharType="begin"/>
      </w:r>
      <w:r>
        <w:rPr>
          <w:color w:val="auto"/>
          <w:highlight w:val="none"/>
        </w:rPr>
        <w:instrText xml:space="preserve"> PAGEREF _Toc20398 </w:instrText>
      </w:r>
      <w:r>
        <w:rPr>
          <w:color w:val="auto"/>
          <w:highlight w:val="none"/>
        </w:rPr>
        <w:fldChar w:fldCharType="separate"/>
      </w:r>
      <w:r>
        <w:rPr>
          <w:color w:val="auto"/>
          <w:highlight w:val="none"/>
        </w:rPr>
        <w:t>- 43 -</w:t>
      </w:r>
      <w:r>
        <w:rPr>
          <w:color w:val="auto"/>
          <w:highlight w:val="none"/>
        </w:rPr>
        <w:fldChar w:fldCharType="end"/>
      </w:r>
      <w:r>
        <w:rPr>
          <w:color w:val="auto"/>
          <w:highlight w:val="none"/>
        </w:rPr>
        <w:fldChar w:fldCharType="end"/>
      </w:r>
    </w:p>
    <w:p>
      <w:pPr>
        <w:pStyle w:val="28"/>
        <w:tabs>
          <w:tab w:val="right" w:leader="dot" w:pos="8997"/>
          <w:tab w:val="clear" w:pos="8398"/>
        </w:tabs>
        <w:ind w:firstLine="241"/>
        <w:rPr>
          <w:color w:val="auto"/>
          <w:highlight w:val="none"/>
        </w:rPr>
      </w:pPr>
      <w:r>
        <w:rPr>
          <w:color w:val="auto"/>
          <w:highlight w:val="none"/>
        </w:rPr>
        <w:fldChar w:fldCharType="begin"/>
      </w:r>
      <w:r>
        <w:rPr>
          <w:color w:val="auto"/>
          <w:highlight w:val="none"/>
        </w:rPr>
        <w:instrText xml:space="preserve"> HYPERLINK \l "_Toc25446" </w:instrText>
      </w:r>
      <w:r>
        <w:rPr>
          <w:color w:val="auto"/>
          <w:highlight w:val="none"/>
        </w:rPr>
        <w:fldChar w:fldCharType="separate"/>
      </w:r>
      <w:r>
        <w:rPr>
          <w:rFonts w:hint="eastAsia" w:cs="宋体"/>
          <w:color w:val="auto"/>
          <w:kern w:val="0"/>
          <w:szCs w:val="36"/>
          <w:highlight w:val="none"/>
        </w:rPr>
        <w:t>第七章  质疑函及投诉书格式</w:t>
      </w:r>
      <w:r>
        <w:rPr>
          <w:color w:val="auto"/>
          <w:highlight w:val="none"/>
        </w:rPr>
        <w:tab/>
      </w:r>
      <w:r>
        <w:rPr>
          <w:color w:val="auto"/>
          <w:highlight w:val="none"/>
        </w:rPr>
        <w:fldChar w:fldCharType="begin"/>
      </w:r>
      <w:r>
        <w:rPr>
          <w:color w:val="auto"/>
          <w:highlight w:val="none"/>
        </w:rPr>
        <w:instrText xml:space="preserve"> PAGEREF _Toc25446 </w:instrText>
      </w:r>
      <w:r>
        <w:rPr>
          <w:color w:val="auto"/>
          <w:highlight w:val="none"/>
        </w:rPr>
        <w:fldChar w:fldCharType="separate"/>
      </w:r>
      <w:r>
        <w:rPr>
          <w:color w:val="auto"/>
          <w:highlight w:val="none"/>
        </w:rPr>
        <w:t>- 63 -</w:t>
      </w:r>
      <w:r>
        <w:rPr>
          <w:color w:val="auto"/>
          <w:highlight w:val="none"/>
        </w:rPr>
        <w:fldChar w:fldCharType="end"/>
      </w:r>
      <w:r>
        <w:rPr>
          <w:color w:val="auto"/>
          <w:highlight w:val="none"/>
        </w:rPr>
        <w:fldChar w:fldCharType="end"/>
      </w:r>
    </w:p>
    <w:p>
      <w:pPr>
        <w:pStyle w:val="28"/>
        <w:spacing w:line="480" w:lineRule="auto"/>
        <w:ind w:firstLine="241"/>
        <w:rPr>
          <w:color w:val="auto"/>
          <w:highlight w:val="none"/>
        </w:rPr>
      </w:pPr>
      <w:r>
        <w:rPr>
          <w:color w:val="auto"/>
          <w:highlight w:val="none"/>
        </w:rPr>
        <w:fldChar w:fldCharType="end"/>
      </w:r>
      <w:r>
        <w:rPr>
          <w:rFonts w:hint="eastAsia"/>
          <w:color w:val="auto"/>
          <w:highlight w:val="none"/>
        </w:rPr>
        <w:t>附件:中标通知书</w:t>
      </w:r>
    </w:p>
    <w:p>
      <w:pPr>
        <w:rPr>
          <w:rFonts w:ascii="宋体" w:hAnsi="宋体"/>
          <w:color w:val="auto"/>
          <w:sz w:val="30"/>
          <w:highlight w:val="none"/>
        </w:rPr>
      </w:pPr>
    </w:p>
    <w:p>
      <w:pPr>
        <w:rPr>
          <w:rFonts w:ascii="宋体" w:hAnsi="宋体"/>
          <w:color w:val="auto"/>
          <w:sz w:val="30"/>
          <w:highlight w:val="none"/>
        </w:rPr>
      </w:pPr>
    </w:p>
    <w:p>
      <w:pPr>
        <w:rPr>
          <w:rFonts w:ascii="宋体" w:hAnsi="宋体"/>
          <w:color w:val="auto"/>
          <w:sz w:val="30"/>
          <w:highlight w:val="none"/>
        </w:rPr>
      </w:pPr>
    </w:p>
    <w:p>
      <w:pPr>
        <w:rPr>
          <w:rFonts w:ascii="宋体" w:hAnsi="宋体"/>
          <w:color w:val="auto"/>
          <w:sz w:val="30"/>
          <w:highlight w:val="none"/>
        </w:rPr>
      </w:pPr>
    </w:p>
    <w:p>
      <w:pPr>
        <w:rPr>
          <w:rFonts w:ascii="宋体" w:hAnsi="宋体"/>
          <w:color w:val="auto"/>
          <w:sz w:val="30"/>
          <w:highlight w:val="none"/>
        </w:rPr>
      </w:pPr>
    </w:p>
    <w:p>
      <w:pPr>
        <w:rPr>
          <w:rFonts w:ascii="宋体" w:hAnsi="宋体"/>
          <w:color w:val="auto"/>
          <w:sz w:val="30"/>
          <w:highlight w:val="none"/>
        </w:rPr>
      </w:pPr>
    </w:p>
    <w:p>
      <w:pPr>
        <w:rPr>
          <w:rFonts w:ascii="宋体" w:hAnsi="宋体"/>
          <w:color w:val="auto"/>
          <w:sz w:val="30"/>
          <w:highlight w:val="none"/>
        </w:rPr>
      </w:pPr>
    </w:p>
    <w:p>
      <w:pPr>
        <w:rPr>
          <w:rFonts w:ascii="宋体" w:hAnsi="宋体"/>
          <w:color w:val="auto"/>
          <w:sz w:val="30"/>
          <w:highlight w:val="none"/>
        </w:rPr>
      </w:pPr>
    </w:p>
    <w:p>
      <w:pPr>
        <w:rPr>
          <w:rFonts w:ascii="宋体" w:hAnsi="宋体"/>
          <w:color w:val="auto"/>
          <w:sz w:val="30"/>
          <w:highlight w:val="none"/>
        </w:rPr>
      </w:pPr>
    </w:p>
    <w:p>
      <w:pPr>
        <w:rPr>
          <w:rFonts w:ascii="宋体" w:hAnsi="宋体"/>
          <w:color w:val="auto"/>
          <w:sz w:val="30"/>
          <w:highlight w:val="none"/>
        </w:rPr>
      </w:pPr>
    </w:p>
    <w:p>
      <w:pPr>
        <w:rPr>
          <w:rFonts w:ascii="宋体" w:hAnsi="宋体"/>
          <w:color w:val="auto"/>
          <w:sz w:val="30"/>
          <w:highlight w:val="none"/>
        </w:rPr>
      </w:pPr>
    </w:p>
    <w:p>
      <w:pPr>
        <w:pStyle w:val="22"/>
        <w:snapToGrid w:val="0"/>
        <w:jc w:val="center"/>
        <w:outlineLvl w:val="0"/>
        <w:rPr>
          <w:rFonts w:hAnsi="宋体"/>
          <w:color w:val="auto"/>
          <w:highlight w:val="none"/>
        </w:rPr>
      </w:pPr>
      <w:bookmarkStart w:id="0" w:name="_Toc254970630"/>
      <w:bookmarkStart w:id="1" w:name="_Toc254970489"/>
      <w:r>
        <w:rPr>
          <w:rFonts w:hAnsi="宋体"/>
          <w:color w:val="auto"/>
          <w:highlight w:val="none"/>
        </w:rPr>
        <w:br w:type="page"/>
      </w:r>
    </w:p>
    <w:p>
      <w:pPr>
        <w:pStyle w:val="22"/>
        <w:snapToGrid w:val="0"/>
        <w:jc w:val="center"/>
        <w:outlineLvl w:val="0"/>
        <w:rPr>
          <w:rFonts w:hAnsi="宋体"/>
          <w:color w:val="auto"/>
          <w:highlight w:val="none"/>
        </w:rPr>
      </w:pPr>
    </w:p>
    <w:p>
      <w:pPr>
        <w:pStyle w:val="22"/>
        <w:snapToGrid w:val="0"/>
        <w:jc w:val="center"/>
        <w:outlineLvl w:val="0"/>
        <w:rPr>
          <w:rFonts w:hAnsi="宋体"/>
          <w:color w:val="auto"/>
          <w:highlight w:val="none"/>
        </w:rPr>
      </w:pPr>
    </w:p>
    <w:p>
      <w:pPr>
        <w:pStyle w:val="22"/>
        <w:snapToGrid w:val="0"/>
        <w:jc w:val="center"/>
        <w:outlineLvl w:val="0"/>
        <w:rPr>
          <w:rFonts w:hAnsi="宋体"/>
          <w:color w:val="auto"/>
          <w:highlight w:val="none"/>
        </w:rPr>
      </w:pPr>
    </w:p>
    <w:p>
      <w:pPr>
        <w:pStyle w:val="22"/>
        <w:snapToGrid w:val="0"/>
        <w:jc w:val="center"/>
        <w:outlineLvl w:val="0"/>
        <w:rPr>
          <w:rFonts w:hAnsi="宋体"/>
          <w:color w:val="auto"/>
          <w:highlight w:val="none"/>
        </w:rPr>
      </w:pPr>
    </w:p>
    <w:p>
      <w:pPr>
        <w:pStyle w:val="22"/>
        <w:snapToGrid w:val="0"/>
        <w:jc w:val="center"/>
        <w:outlineLvl w:val="0"/>
        <w:rPr>
          <w:rFonts w:hAnsi="宋体"/>
          <w:color w:val="auto"/>
          <w:highlight w:val="none"/>
        </w:rPr>
      </w:pPr>
    </w:p>
    <w:p>
      <w:pPr>
        <w:pStyle w:val="22"/>
        <w:snapToGrid w:val="0"/>
        <w:jc w:val="center"/>
        <w:outlineLvl w:val="0"/>
        <w:rPr>
          <w:rFonts w:hAnsi="宋体"/>
          <w:color w:val="auto"/>
          <w:highlight w:val="none"/>
        </w:rPr>
      </w:pPr>
    </w:p>
    <w:p>
      <w:pPr>
        <w:pStyle w:val="22"/>
        <w:snapToGrid w:val="0"/>
        <w:jc w:val="center"/>
        <w:outlineLvl w:val="0"/>
        <w:rPr>
          <w:rFonts w:hAnsi="宋体"/>
          <w:color w:val="auto"/>
          <w:highlight w:val="none"/>
        </w:rPr>
      </w:pPr>
    </w:p>
    <w:p>
      <w:pPr>
        <w:pStyle w:val="22"/>
        <w:snapToGrid w:val="0"/>
        <w:jc w:val="center"/>
        <w:outlineLvl w:val="0"/>
        <w:rPr>
          <w:rFonts w:hAnsi="宋体"/>
          <w:color w:val="auto"/>
          <w:highlight w:val="none"/>
        </w:rPr>
      </w:pPr>
    </w:p>
    <w:p>
      <w:pPr>
        <w:pStyle w:val="22"/>
        <w:snapToGrid w:val="0"/>
        <w:jc w:val="center"/>
        <w:outlineLvl w:val="0"/>
        <w:rPr>
          <w:rFonts w:hAnsi="宋体"/>
          <w:color w:val="auto"/>
          <w:highlight w:val="none"/>
        </w:rPr>
      </w:pPr>
    </w:p>
    <w:p>
      <w:pPr>
        <w:pStyle w:val="22"/>
        <w:snapToGrid w:val="0"/>
        <w:jc w:val="center"/>
        <w:outlineLvl w:val="0"/>
        <w:rPr>
          <w:rFonts w:hAnsi="宋体"/>
          <w:color w:val="auto"/>
          <w:highlight w:val="none"/>
        </w:rPr>
      </w:pPr>
    </w:p>
    <w:p>
      <w:pPr>
        <w:pStyle w:val="22"/>
        <w:snapToGrid w:val="0"/>
        <w:jc w:val="center"/>
        <w:outlineLvl w:val="0"/>
        <w:rPr>
          <w:rFonts w:hAnsi="宋体"/>
          <w:color w:val="auto"/>
          <w:highlight w:val="none"/>
        </w:rPr>
      </w:pPr>
    </w:p>
    <w:p>
      <w:pPr>
        <w:pStyle w:val="22"/>
        <w:snapToGrid w:val="0"/>
        <w:jc w:val="center"/>
        <w:outlineLvl w:val="0"/>
        <w:rPr>
          <w:rFonts w:hAnsi="宋体"/>
          <w:color w:val="auto"/>
          <w:highlight w:val="none"/>
        </w:rPr>
      </w:pPr>
    </w:p>
    <w:p>
      <w:pPr>
        <w:pStyle w:val="22"/>
        <w:snapToGrid w:val="0"/>
        <w:jc w:val="center"/>
        <w:outlineLvl w:val="0"/>
        <w:rPr>
          <w:rFonts w:hAnsi="宋体"/>
          <w:color w:val="auto"/>
          <w:highlight w:val="none"/>
        </w:rPr>
      </w:pPr>
    </w:p>
    <w:p>
      <w:pPr>
        <w:pStyle w:val="22"/>
        <w:snapToGrid w:val="0"/>
        <w:jc w:val="center"/>
        <w:outlineLvl w:val="0"/>
        <w:rPr>
          <w:rFonts w:hAnsi="宋体"/>
          <w:color w:val="auto"/>
          <w:highlight w:val="none"/>
        </w:rPr>
      </w:pPr>
    </w:p>
    <w:p>
      <w:pPr>
        <w:pStyle w:val="22"/>
        <w:snapToGrid w:val="0"/>
        <w:jc w:val="center"/>
        <w:outlineLvl w:val="0"/>
        <w:rPr>
          <w:rFonts w:hAnsi="宋体"/>
          <w:color w:val="auto"/>
          <w:highlight w:val="none"/>
        </w:rPr>
      </w:pPr>
    </w:p>
    <w:p>
      <w:pPr>
        <w:pStyle w:val="22"/>
        <w:snapToGrid w:val="0"/>
        <w:jc w:val="center"/>
        <w:outlineLvl w:val="0"/>
        <w:rPr>
          <w:rFonts w:hAnsi="宋体"/>
          <w:color w:val="auto"/>
          <w:highlight w:val="none"/>
        </w:rPr>
      </w:pPr>
    </w:p>
    <w:p>
      <w:pPr>
        <w:pStyle w:val="22"/>
        <w:snapToGrid w:val="0"/>
        <w:jc w:val="center"/>
        <w:outlineLvl w:val="0"/>
        <w:rPr>
          <w:rFonts w:hAnsi="宋体"/>
          <w:color w:val="auto"/>
          <w:highlight w:val="none"/>
        </w:rPr>
      </w:pPr>
    </w:p>
    <w:p>
      <w:pPr>
        <w:pStyle w:val="22"/>
        <w:snapToGrid w:val="0"/>
        <w:jc w:val="center"/>
        <w:outlineLvl w:val="0"/>
        <w:rPr>
          <w:rFonts w:hAnsi="宋体"/>
          <w:b/>
          <w:color w:val="auto"/>
          <w:sz w:val="44"/>
          <w:szCs w:val="44"/>
          <w:highlight w:val="none"/>
        </w:rPr>
      </w:pPr>
      <w:bookmarkStart w:id="2" w:name="_Toc31507"/>
      <w:bookmarkStart w:id="3" w:name="_Toc4176"/>
      <w:bookmarkStart w:id="4" w:name="_Toc12391"/>
      <w:r>
        <w:rPr>
          <w:rFonts w:hint="eastAsia" w:hAnsi="宋体"/>
          <w:b/>
          <w:color w:val="auto"/>
          <w:sz w:val="44"/>
          <w:szCs w:val="44"/>
          <w:highlight w:val="none"/>
        </w:rPr>
        <w:t>第一章 公开招标公告</w:t>
      </w:r>
      <w:bookmarkEnd w:id="0"/>
      <w:bookmarkEnd w:id="1"/>
      <w:bookmarkEnd w:id="2"/>
      <w:bookmarkEnd w:id="3"/>
      <w:bookmarkEnd w:id="4"/>
    </w:p>
    <w:p>
      <w:pPr>
        <w:overflowPunct w:val="0"/>
        <w:autoSpaceDE w:val="0"/>
        <w:autoSpaceDN w:val="0"/>
        <w:adjustRightInd w:val="0"/>
        <w:spacing w:line="400" w:lineRule="exact"/>
        <w:ind w:firstLine="420" w:firstLineChars="200"/>
        <w:jc w:val="center"/>
        <w:rPr>
          <w:rFonts w:ascii="宋体" w:hAnsi="宋体"/>
          <w:b/>
          <w:color w:val="auto"/>
          <w:spacing w:val="-6"/>
          <w:sz w:val="30"/>
          <w:szCs w:val="30"/>
          <w:highlight w:val="none"/>
        </w:rPr>
      </w:pPr>
      <w:r>
        <w:rPr>
          <w:rFonts w:ascii="宋体" w:hAnsi="宋体"/>
          <w:color w:val="auto"/>
          <w:szCs w:val="21"/>
          <w:highlight w:val="none"/>
        </w:rPr>
        <w:br w:type="page"/>
      </w:r>
      <w:r>
        <w:rPr>
          <w:rFonts w:hint="eastAsia" w:ascii="宋体" w:hAnsi="宋体"/>
          <w:b/>
          <w:color w:val="auto"/>
          <w:spacing w:val="-6"/>
          <w:sz w:val="30"/>
          <w:szCs w:val="30"/>
          <w:highlight w:val="none"/>
        </w:rPr>
        <w:t>广西建设工程机电设备招标中心有限公司</w:t>
      </w:r>
    </w:p>
    <w:p>
      <w:pPr>
        <w:overflowPunct w:val="0"/>
        <w:autoSpaceDE w:val="0"/>
        <w:autoSpaceDN w:val="0"/>
        <w:adjustRightInd w:val="0"/>
        <w:spacing w:line="400" w:lineRule="exact"/>
        <w:ind w:firstLine="578" w:firstLineChars="200"/>
        <w:jc w:val="center"/>
        <w:rPr>
          <w:rFonts w:ascii="华文中宋" w:hAnsi="华文中宋" w:eastAsia="华文中宋"/>
          <w:b/>
          <w:color w:val="auto"/>
          <w:sz w:val="30"/>
          <w:szCs w:val="30"/>
          <w:highlight w:val="none"/>
        </w:rPr>
      </w:pPr>
      <w:r>
        <w:rPr>
          <w:rFonts w:hint="eastAsia" w:ascii="宋体" w:hAnsi="宋体"/>
          <w:b/>
          <w:color w:val="auto"/>
          <w:spacing w:val="-6"/>
          <w:sz w:val="30"/>
          <w:szCs w:val="30"/>
          <w:highlight w:val="none"/>
        </w:rPr>
        <w:t xml:space="preserve"> 南宁市公共服务大数据治理与应用平台项目可信共享（试点）平台建设项目编号：</w:t>
      </w:r>
      <w:r>
        <w:rPr>
          <w:rFonts w:hint="eastAsia" w:ascii="黑体" w:hAnsi="黑体" w:eastAsia="黑体" w:cs="黑体"/>
          <w:b/>
          <w:color w:val="auto"/>
          <w:sz w:val="32"/>
          <w:szCs w:val="32"/>
          <w:highlight w:val="none"/>
          <w:lang w:eastAsia="zh-CN"/>
        </w:rPr>
        <w:t>NNZC2020-G3-990644-JGJD</w:t>
      </w:r>
      <w:r>
        <w:rPr>
          <w:rFonts w:hint="eastAsia" w:ascii="宋体" w:hAnsi="宋体"/>
          <w:b/>
          <w:color w:val="auto"/>
          <w:spacing w:val="-6"/>
          <w:sz w:val="30"/>
          <w:szCs w:val="30"/>
          <w:highlight w:val="none"/>
        </w:rPr>
        <w:t>公开招标公告</w:t>
      </w:r>
    </w:p>
    <w:p>
      <w:pPr>
        <w:pBdr>
          <w:top w:val="single" w:color="auto" w:sz="4" w:space="1"/>
          <w:left w:val="single" w:color="auto" w:sz="4" w:space="4"/>
          <w:bottom w:val="single" w:color="auto" w:sz="4" w:space="1"/>
          <w:right w:val="single" w:color="auto" w:sz="4" w:space="4"/>
        </w:pBdr>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项目概况</w:t>
      </w:r>
    </w:p>
    <w:p>
      <w:pPr>
        <w:pBdr>
          <w:top w:val="single" w:color="auto" w:sz="4" w:space="1"/>
          <w:left w:val="single" w:color="auto" w:sz="4" w:space="4"/>
          <w:bottom w:val="single" w:color="auto" w:sz="4" w:space="1"/>
          <w:right w:val="single" w:color="auto" w:sz="4" w:space="4"/>
        </w:pBdr>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u w:val="single"/>
        </w:rPr>
        <w:t xml:space="preserve"> </w:t>
      </w:r>
      <w:r>
        <w:rPr>
          <w:rFonts w:hint="eastAsia" w:ascii="宋体" w:hAnsi="宋体"/>
          <w:color w:val="auto"/>
          <w:spacing w:val="-6"/>
          <w:sz w:val="24"/>
          <w:highlight w:val="none"/>
          <w:u w:val="single"/>
        </w:rPr>
        <w:t>南宁市公共服务大数据治理与应用平台项目可信共享（试点）平台建设</w:t>
      </w:r>
      <w:r>
        <w:rPr>
          <w:rFonts w:hint="eastAsia" w:asciiTheme="minorEastAsia" w:hAnsiTheme="minorEastAsia" w:eastAsiaTheme="minorEastAsia" w:cstheme="minorEastAsia"/>
          <w:color w:val="auto"/>
          <w:sz w:val="24"/>
          <w:highlight w:val="none"/>
        </w:rPr>
        <w:t xml:space="preserve"> 招标项目的潜在投标人应在</w:t>
      </w:r>
      <w:r>
        <w:rPr>
          <w:rFonts w:hint="eastAsia" w:asciiTheme="minorEastAsia" w:hAnsiTheme="minorEastAsia" w:eastAsiaTheme="minorEastAsia" w:cstheme="minorEastAsia"/>
          <w:color w:val="auto"/>
          <w:sz w:val="24"/>
          <w:highlight w:val="none"/>
          <w:u w:val="single"/>
        </w:rPr>
        <w:t>南宁市公共资源交易平台(https://www.nnggzy.org.cn/gxnnzbw)的信息公告处</w:t>
      </w:r>
      <w:r>
        <w:rPr>
          <w:rFonts w:hint="eastAsia" w:asciiTheme="minorEastAsia" w:hAnsiTheme="minorEastAsia" w:eastAsiaTheme="minorEastAsia" w:cstheme="minorEastAsia"/>
          <w:color w:val="auto"/>
          <w:sz w:val="24"/>
          <w:highlight w:val="none"/>
        </w:rPr>
        <w:t>获取招标文件，并于</w:t>
      </w:r>
      <w:r>
        <w:rPr>
          <w:rFonts w:hint="eastAsia" w:asciiTheme="minorEastAsia" w:hAnsiTheme="minorEastAsia" w:eastAsiaTheme="minorEastAsia" w:cstheme="minorEastAsia"/>
          <w:color w:val="auto"/>
          <w:sz w:val="24"/>
          <w:highlight w:val="none"/>
          <w:u w:val="single"/>
        </w:rPr>
        <w:t xml:space="preserve"> 202</w:t>
      </w:r>
      <w:r>
        <w:rPr>
          <w:rFonts w:hint="eastAsia" w:asciiTheme="minorEastAsia" w:hAnsiTheme="minorEastAsia" w:eastAsiaTheme="minorEastAsia" w:cstheme="minorEastAsia"/>
          <w:color w:val="auto"/>
          <w:sz w:val="24"/>
          <w:highlight w:val="none"/>
          <w:u w:val="single"/>
          <w:lang w:val="en-US" w:eastAsia="zh-CN"/>
        </w:rPr>
        <w:t>1</w:t>
      </w:r>
      <w:r>
        <w:rPr>
          <w:rFonts w:hint="eastAsia" w:asciiTheme="minorEastAsia" w:hAnsiTheme="minorEastAsia" w:eastAsiaTheme="minorEastAsia" w:cstheme="minorEastAsia"/>
          <w:bCs/>
          <w:color w:val="auto"/>
          <w:sz w:val="24"/>
          <w:highlight w:val="none"/>
          <w:u w:val="single"/>
        </w:rPr>
        <w:t>年</w:t>
      </w:r>
      <w:r>
        <w:rPr>
          <w:rFonts w:hint="eastAsia" w:asciiTheme="minorEastAsia" w:hAnsiTheme="minorEastAsia" w:eastAsiaTheme="minorEastAsia" w:cstheme="minorEastAsia"/>
          <w:bCs/>
          <w:color w:val="auto"/>
          <w:sz w:val="24"/>
          <w:highlight w:val="none"/>
          <w:u w:val="single"/>
          <w:lang w:val="en-US" w:eastAsia="zh-CN"/>
        </w:rPr>
        <w:t>1</w:t>
      </w:r>
      <w:r>
        <w:rPr>
          <w:rFonts w:hint="eastAsia" w:asciiTheme="minorEastAsia" w:hAnsiTheme="minorEastAsia" w:eastAsiaTheme="minorEastAsia" w:cstheme="minorEastAsia"/>
          <w:bCs/>
          <w:color w:val="auto"/>
          <w:sz w:val="24"/>
          <w:highlight w:val="none"/>
          <w:u w:val="single"/>
        </w:rPr>
        <w:t>月</w:t>
      </w:r>
      <w:r>
        <w:rPr>
          <w:rFonts w:hint="eastAsia" w:asciiTheme="minorEastAsia" w:hAnsiTheme="minorEastAsia" w:eastAsiaTheme="minorEastAsia" w:cstheme="minorEastAsia"/>
          <w:bCs/>
          <w:color w:val="auto"/>
          <w:sz w:val="24"/>
          <w:highlight w:val="none"/>
          <w:u w:val="single"/>
          <w:lang w:val="en-US" w:eastAsia="zh-CN"/>
        </w:rPr>
        <w:t>21</w:t>
      </w:r>
      <w:r>
        <w:rPr>
          <w:rFonts w:hint="eastAsia" w:asciiTheme="minorEastAsia" w:hAnsiTheme="minorEastAsia" w:eastAsiaTheme="minorEastAsia" w:cstheme="minorEastAsia"/>
          <w:bCs/>
          <w:color w:val="auto"/>
          <w:sz w:val="24"/>
          <w:highlight w:val="none"/>
          <w:u w:val="single"/>
        </w:rPr>
        <w:t>日9点30分（</w:t>
      </w:r>
      <w:r>
        <w:rPr>
          <w:rFonts w:hint="eastAsia" w:asciiTheme="minorEastAsia" w:hAnsiTheme="minorEastAsia" w:eastAsiaTheme="minorEastAsia" w:cstheme="minorEastAsia"/>
          <w:bCs/>
          <w:color w:val="auto"/>
          <w:sz w:val="24"/>
          <w:highlight w:val="none"/>
        </w:rPr>
        <w:t>北京时间）前递交投标文件</w:t>
      </w:r>
      <w:r>
        <w:rPr>
          <w:rFonts w:hint="eastAsia" w:asciiTheme="minorEastAsia" w:hAnsiTheme="minorEastAsia" w:eastAsiaTheme="minorEastAsia" w:cstheme="minorEastAsia"/>
          <w:color w:val="auto"/>
          <w:sz w:val="24"/>
          <w:highlight w:val="none"/>
        </w:rPr>
        <w:t>。</w:t>
      </w:r>
    </w:p>
    <w:p>
      <w:pPr>
        <w:rPr>
          <w:rFonts w:asciiTheme="minorEastAsia" w:hAnsiTheme="minorEastAsia" w:eastAsiaTheme="minorEastAsia" w:cstheme="minorEastAsia"/>
          <w:color w:val="auto"/>
          <w:sz w:val="24"/>
          <w:highlight w:val="none"/>
        </w:rPr>
      </w:pPr>
    </w:p>
    <w:p>
      <w:pPr>
        <w:rPr>
          <w:rFonts w:asciiTheme="minorEastAsia" w:hAnsiTheme="minorEastAsia" w:eastAsiaTheme="minorEastAsia" w:cstheme="minorEastAsia"/>
          <w:color w:val="auto"/>
          <w:sz w:val="24"/>
          <w:highlight w:val="none"/>
        </w:rPr>
      </w:pPr>
      <w:bookmarkStart w:id="5" w:name="_Toc28359002"/>
      <w:bookmarkStart w:id="6" w:name="_Toc28359079"/>
      <w:bookmarkStart w:id="7" w:name="_Toc35393790"/>
      <w:bookmarkStart w:id="8" w:name="_Toc35393621"/>
      <w:bookmarkStart w:id="9" w:name="_Hlk24379207"/>
      <w:r>
        <w:rPr>
          <w:rFonts w:hint="eastAsia" w:asciiTheme="minorEastAsia" w:hAnsiTheme="minorEastAsia" w:eastAsiaTheme="minorEastAsia" w:cstheme="minorEastAsia"/>
          <w:color w:val="auto"/>
          <w:sz w:val="24"/>
          <w:highlight w:val="none"/>
        </w:rPr>
        <w:t>一、项目基本情况</w:t>
      </w:r>
      <w:bookmarkEnd w:id="5"/>
      <w:bookmarkEnd w:id="6"/>
      <w:bookmarkEnd w:id="7"/>
      <w:bookmarkEnd w:id="8"/>
    </w:p>
    <w:p>
      <w:pPr>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项目编号：</w:t>
      </w:r>
      <w:r>
        <w:rPr>
          <w:rFonts w:hint="eastAsia" w:asciiTheme="minorEastAsia" w:hAnsiTheme="minorEastAsia" w:eastAsiaTheme="minorEastAsia" w:cstheme="minorEastAsia"/>
          <w:color w:val="auto"/>
          <w:sz w:val="24"/>
          <w:highlight w:val="none"/>
          <w:lang w:eastAsia="zh-CN"/>
        </w:rPr>
        <w:t>NNZC2020-G3-990644-JGJD</w:t>
      </w:r>
      <w:r>
        <w:rPr>
          <w:rFonts w:hint="eastAsia" w:asciiTheme="minorEastAsia" w:hAnsiTheme="minorEastAsia" w:eastAsiaTheme="minorEastAsia" w:cstheme="minorEastAsia"/>
          <w:color w:val="auto"/>
          <w:sz w:val="24"/>
          <w:highlight w:val="none"/>
        </w:rPr>
        <w:t xml:space="preserve"> （审批编号：[2020]NCCJA094/2）：</w:t>
      </w:r>
    </w:p>
    <w:p>
      <w:pPr>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项目名称：南宁市公共服务大数据治理与应用平台项目可信共享（试点）平台建设项目</w:t>
      </w:r>
    </w:p>
    <w:bookmarkEnd w:id="9"/>
    <w:p>
      <w:pPr>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预算金额：863800元</w:t>
      </w:r>
    </w:p>
    <w:p>
      <w:pPr>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最高限价（如有）：863800元</w:t>
      </w:r>
    </w:p>
    <w:p>
      <w:pPr>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采购需求：</w:t>
      </w:r>
    </w:p>
    <w:tbl>
      <w:tblPr>
        <w:tblStyle w:val="37"/>
        <w:tblW w:w="8518"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31"/>
        <w:gridCol w:w="4723"/>
        <w:gridCol w:w="18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931" w:type="dxa"/>
            <w:tcBorders>
              <w:top w:val="single" w:color="auto" w:sz="4" w:space="0"/>
              <w:left w:val="single" w:color="auto" w:sz="4" w:space="0"/>
              <w:bottom w:val="single" w:color="auto" w:sz="4" w:space="0"/>
              <w:right w:val="single" w:color="auto" w:sz="4" w:space="0"/>
            </w:tcBorders>
            <w:vAlign w:val="center"/>
          </w:tcPr>
          <w:p>
            <w:pPr>
              <w:snapToGrid w:val="0"/>
              <w:spacing w:line="386" w:lineRule="exact"/>
              <w:ind w:firstLine="480" w:firstLineChars="20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序号</w:t>
            </w:r>
          </w:p>
        </w:tc>
        <w:tc>
          <w:tcPr>
            <w:tcW w:w="4723" w:type="dxa"/>
            <w:tcBorders>
              <w:top w:val="single" w:color="auto" w:sz="4" w:space="0"/>
              <w:left w:val="single" w:color="auto" w:sz="4" w:space="0"/>
              <w:bottom w:val="single" w:color="auto" w:sz="4" w:space="0"/>
              <w:right w:val="single" w:color="auto" w:sz="4" w:space="0"/>
            </w:tcBorders>
            <w:vAlign w:val="center"/>
          </w:tcPr>
          <w:p>
            <w:pPr>
              <w:snapToGrid w:val="0"/>
              <w:spacing w:line="386" w:lineRule="exact"/>
              <w:ind w:firstLine="480" w:firstLineChars="20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服务名称</w:t>
            </w:r>
          </w:p>
        </w:tc>
        <w:tc>
          <w:tcPr>
            <w:tcW w:w="1864" w:type="dxa"/>
            <w:tcBorders>
              <w:top w:val="single" w:color="auto" w:sz="4" w:space="0"/>
              <w:left w:val="single" w:color="auto" w:sz="4" w:space="0"/>
              <w:bottom w:val="single" w:color="auto" w:sz="4" w:space="0"/>
              <w:right w:val="single" w:color="auto" w:sz="4" w:space="0"/>
            </w:tcBorders>
            <w:vAlign w:val="center"/>
          </w:tcPr>
          <w:p>
            <w:pPr>
              <w:snapToGrid w:val="0"/>
              <w:spacing w:line="386" w:lineRule="exact"/>
              <w:ind w:firstLine="480" w:firstLineChars="20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1931" w:type="dxa"/>
            <w:tcBorders>
              <w:top w:val="single" w:color="auto" w:sz="4" w:space="0"/>
              <w:left w:val="single" w:color="auto" w:sz="4" w:space="0"/>
              <w:bottom w:val="single" w:color="auto" w:sz="4" w:space="0"/>
              <w:right w:val="single" w:color="auto" w:sz="4" w:space="0"/>
            </w:tcBorders>
          </w:tcPr>
          <w:p>
            <w:pPr>
              <w:snapToGrid w:val="0"/>
              <w:spacing w:line="386" w:lineRule="exact"/>
              <w:ind w:firstLine="480" w:firstLineChars="20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p>
        </w:tc>
        <w:tc>
          <w:tcPr>
            <w:tcW w:w="4723" w:type="dxa"/>
            <w:tcBorders>
              <w:top w:val="single" w:color="auto" w:sz="4" w:space="0"/>
              <w:left w:val="single" w:color="auto" w:sz="4" w:space="0"/>
              <w:bottom w:val="single" w:color="auto" w:sz="4" w:space="0"/>
              <w:right w:val="single" w:color="auto" w:sz="4" w:space="0"/>
            </w:tcBorders>
          </w:tcPr>
          <w:p>
            <w:pPr>
              <w:snapToGrid w:val="0"/>
              <w:spacing w:line="386"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南宁市公共服务大数据治理与应用平台项目可信共享（试点）平台建设</w:t>
            </w:r>
          </w:p>
        </w:tc>
        <w:tc>
          <w:tcPr>
            <w:tcW w:w="1864" w:type="dxa"/>
            <w:tcBorders>
              <w:top w:val="single" w:color="auto" w:sz="4" w:space="0"/>
              <w:left w:val="single" w:color="auto" w:sz="4" w:space="0"/>
              <w:bottom w:val="single" w:color="auto" w:sz="4" w:space="0"/>
              <w:right w:val="single" w:color="auto" w:sz="4" w:space="0"/>
            </w:tcBorders>
          </w:tcPr>
          <w:p>
            <w:pPr>
              <w:snapToGrid w:val="0"/>
              <w:spacing w:line="386" w:lineRule="exact"/>
              <w:ind w:firstLine="480" w:firstLineChars="20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1项</w:t>
            </w:r>
          </w:p>
        </w:tc>
      </w:tr>
    </w:tbl>
    <w:p>
      <w:pPr>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如需进一步了解详细内容，详见招标文件。</w:t>
      </w:r>
    </w:p>
    <w:p>
      <w:pPr>
        <w:ind w:firstLine="480" w:firstLineChars="200"/>
        <w:rPr>
          <w:rFonts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合同履行期限：</w:t>
      </w:r>
      <w:r>
        <w:rPr>
          <w:rFonts w:hint="eastAsia" w:ascii="宋体" w:hAnsi="宋体" w:cs="宋体"/>
          <w:color w:val="auto"/>
          <w:sz w:val="24"/>
          <w:highlight w:val="none"/>
        </w:rPr>
        <w:t>一年。</w:t>
      </w:r>
    </w:p>
    <w:p>
      <w:pPr>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本项目不接受联合体投标。</w:t>
      </w:r>
    </w:p>
    <w:p>
      <w:pPr>
        <w:rPr>
          <w:rFonts w:asciiTheme="minorEastAsia" w:hAnsiTheme="minorEastAsia" w:eastAsiaTheme="minorEastAsia" w:cstheme="minorEastAsia"/>
          <w:color w:val="auto"/>
          <w:sz w:val="24"/>
          <w:highlight w:val="none"/>
        </w:rPr>
      </w:pPr>
      <w:bookmarkStart w:id="10" w:name="_Toc28359080"/>
      <w:bookmarkStart w:id="11" w:name="_Toc28359003"/>
      <w:bookmarkStart w:id="12" w:name="_Toc35393791"/>
      <w:bookmarkStart w:id="13" w:name="_Toc35393622"/>
      <w:r>
        <w:rPr>
          <w:rFonts w:hint="eastAsia" w:asciiTheme="minorEastAsia" w:hAnsiTheme="minorEastAsia" w:eastAsiaTheme="minorEastAsia" w:cstheme="minorEastAsia"/>
          <w:color w:val="auto"/>
          <w:sz w:val="24"/>
          <w:highlight w:val="none"/>
        </w:rPr>
        <w:t>二、申请人的资格要求：</w:t>
      </w:r>
      <w:bookmarkEnd w:id="10"/>
      <w:bookmarkEnd w:id="11"/>
      <w:bookmarkEnd w:id="12"/>
      <w:bookmarkEnd w:id="13"/>
    </w:p>
    <w:p>
      <w:pPr>
        <w:snapToGrid w:val="0"/>
        <w:ind w:firstLine="480" w:firstLineChars="200"/>
        <w:rPr>
          <w:rFonts w:asciiTheme="minorEastAsia" w:hAnsiTheme="minorEastAsia" w:eastAsiaTheme="minorEastAsia"/>
          <w:color w:val="auto"/>
          <w:sz w:val="24"/>
          <w:highlight w:val="none"/>
        </w:rPr>
      </w:pPr>
      <w:bookmarkStart w:id="14" w:name="_Toc28359081"/>
      <w:bookmarkStart w:id="15" w:name="_Toc35393623"/>
      <w:bookmarkStart w:id="16" w:name="_Toc28359004"/>
      <w:bookmarkStart w:id="17" w:name="_Toc35393792"/>
      <w:r>
        <w:rPr>
          <w:rFonts w:hint="eastAsia" w:asciiTheme="minorEastAsia" w:hAnsiTheme="minorEastAsia" w:eastAsiaTheme="minorEastAsia"/>
          <w:color w:val="auto"/>
          <w:sz w:val="24"/>
          <w:highlight w:val="none"/>
        </w:rPr>
        <w:t>1、符合《中华人民共和国政府采购法》第二十二条规定的资格条件。</w:t>
      </w:r>
    </w:p>
    <w:p>
      <w:pPr>
        <w:snapToGrid w:val="0"/>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2、在中华人民共和国境内注册，具有能力提供本次服务的供应商。</w:t>
      </w:r>
    </w:p>
    <w:p>
      <w:pPr>
        <w:snapToGrid w:val="0"/>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将被拒绝参与本次政府采购活动。</w:t>
      </w:r>
    </w:p>
    <w:p>
      <w:pPr>
        <w:snapToGrid w:val="0"/>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4、本项目不接受联合体投标。</w:t>
      </w:r>
    </w:p>
    <w:p>
      <w:pP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三、获取招标文件</w:t>
      </w:r>
      <w:bookmarkEnd w:id="14"/>
      <w:bookmarkEnd w:id="15"/>
      <w:bookmarkEnd w:id="16"/>
      <w:bookmarkEnd w:id="17"/>
    </w:p>
    <w:p>
      <w:pPr>
        <w:spacing w:line="360" w:lineRule="auto"/>
        <w:ind w:firstLine="54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时间：自本公告发布之时起至提交投标文件截止时间前；</w:t>
      </w:r>
    </w:p>
    <w:p>
      <w:pPr>
        <w:spacing w:line="360" w:lineRule="auto"/>
        <w:ind w:firstLine="54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地点：南宁市公共资源交易平台(https://www.nnggzy.org.cn/gxnnzbw)的信息公告处；</w:t>
      </w:r>
    </w:p>
    <w:p>
      <w:pPr>
        <w:spacing w:line="360" w:lineRule="auto"/>
        <w:ind w:firstLine="54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方式：由潜在投标人自行在南宁市公共资源交易平台(https://www.nnggzy.org.cn/gxnnzbw)的信息公告处下载采购文件；</w:t>
      </w:r>
    </w:p>
    <w:p>
      <w:pPr>
        <w:spacing w:line="360" w:lineRule="auto"/>
        <w:ind w:firstLine="54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售价：招标文件售价每本0元。 </w:t>
      </w:r>
    </w:p>
    <w:p>
      <w:pPr>
        <w:rPr>
          <w:rFonts w:asciiTheme="minorEastAsia" w:hAnsiTheme="minorEastAsia" w:eastAsiaTheme="minorEastAsia" w:cstheme="minorEastAsia"/>
          <w:color w:val="auto"/>
          <w:sz w:val="24"/>
          <w:highlight w:val="none"/>
        </w:rPr>
      </w:pPr>
      <w:bookmarkStart w:id="18" w:name="_Toc28359005"/>
      <w:bookmarkStart w:id="19" w:name="_Toc28359082"/>
      <w:bookmarkStart w:id="20" w:name="_Toc35393793"/>
      <w:bookmarkStart w:id="21" w:name="_Toc35393624"/>
      <w:r>
        <w:rPr>
          <w:rFonts w:hint="eastAsia" w:asciiTheme="minorEastAsia" w:hAnsiTheme="minorEastAsia" w:eastAsiaTheme="minorEastAsia" w:cstheme="minorEastAsia"/>
          <w:color w:val="auto"/>
          <w:sz w:val="24"/>
          <w:highlight w:val="none"/>
        </w:rPr>
        <w:t>四、提交投标文件</w:t>
      </w:r>
      <w:bookmarkEnd w:id="18"/>
      <w:bookmarkEnd w:id="19"/>
      <w:r>
        <w:rPr>
          <w:rFonts w:hint="eastAsia" w:asciiTheme="minorEastAsia" w:hAnsiTheme="minorEastAsia" w:eastAsiaTheme="minorEastAsia" w:cstheme="minorEastAsia"/>
          <w:color w:val="auto"/>
          <w:sz w:val="24"/>
          <w:highlight w:val="none"/>
        </w:rPr>
        <w:t>截止时间、开标时间和地点</w:t>
      </w:r>
      <w:bookmarkEnd w:id="20"/>
      <w:bookmarkEnd w:id="21"/>
    </w:p>
    <w:p>
      <w:pPr>
        <w:snapToGrid w:val="0"/>
        <w:spacing w:line="360" w:lineRule="auto"/>
        <w:ind w:firstLine="480" w:firstLineChars="200"/>
        <w:jc w:val="left"/>
        <w:rPr>
          <w:rFonts w:ascii="宋体" w:hAnsi="宋体"/>
          <w:color w:val="auto"/>
          <w:sz w:val="24"/>
          <w:highlight w:val="none"/>
        </w:rPr>
      </w:pPr>
      <w:bookmarkStart w:id="22" w:name="_Toc28359007"/>
      <w:bookmarkStart w:id="23" w:name="_Toc35393794"/>
      <w:bookmarkStart w:id="24" w:name="_Toc35393625"/>
      <w:bookmarkStart w:id="25" w:name="_Toc28359084"/>
      <w:r>
        <w:rPr>
          <w:rFonts w:hint="eastAsia" w:ascii="宋体" w:hAnsi="宋体"/>
          <w:color w:val="auto"/>
          <w:sz w:val="24"/>
          <w:highlight w:val="none"/>
        </w:rPr>
        <w:t>1、投标文件递交截止时间（</w:t>
      </w:r>
      <w:r>
        <w:rPr>
          <w:rFonts w:hint="eastAsia" w:hAnsi="宋体"/>
          <w:color w:val="auto"/>
          <w:sz w:val="24"/>
          <w:highlight w:val="none"/>
        </w:rPr>
        <w:t>投标截止时间</w:t>
      </w:r>
      <w:r>
        <w:rPr>
          <w:rFonts w:hint="eastAsia" w:ascii="宋体" w:hAnsi="宋体"/>
          <w:color w:val="auto"/>
          <w:sz w:val="24"/>
          <w:highlight w:val="none"/>
        </w:rPr>
        <w:t>）、开标时间：</w:t>
      </w:r>
      <w:r>
        <w:rPr>
          <w:rFonts w:hint="eastAsia" w:asciiTheme="minorEastAsia" w:hAnsiTheme="minorEastAsia" w:eastAsiaTheme="minorEastAsia" w:cstheme="minorEastAsia"/>
          <w:color w:val="auto"/>
          <w:sz w:val="24"/>
          <w:highlight w:val="none"/>
          <w:u w:val="single"/>
        </w:rPr>
        <w:t>202</w:t>
      </w:r>
      <w:r>
        <w:rPr>
          <w:rFonts w:hint="eastAsia" w:asciiTheme="minorEastAsia" w:hAnsiTheme="minorEastAsia" w:eastAsiaTheme="minorEastAsia" w:cstheme="minorEastAsia"/>
          <w:color w:val="auto"/>
          <w:sz w:val="24"/>
          <w:highlight w:val="none"/>
          <w:u w:val="single"/>
          <w:lang w:val="en-US" w:eastAsia="zh-CN"/>
        </w:rPr>
        <w:t>1</w:t>
      </w:r>
      <w:r>
        <w:rPr>
          <w:rFonts w:hint="eastAsia" w:asciiTheme="minorEastAsia" w:hAnsiTheme="minorEastAsia" w:eastAsiaTheme="minorEastAsia" w:cstheme="minorEastAsia"/>
          <w:bCs/>
          <w:color w:val="auto"/>
          <w:sz w:val="24"/>
          <w:highlight w:val="none"/>
          <w:u w:val="single"/>
        </w:rPr>
        <w:t>年</w:t>
      </w:r>
      <w:r>
        <w:rPr>
          <w:rFonts w:hint="eastAsia" w:asciiTheme="minorEastAsia" w:hAnsiTheme="minorEastAsia" w:eastAsiaTheme="minorEastAsia" w:cstheme="minorEastAsia"/>
          <w:bCs/>
          <w:color w:val="auto"/>
          <w:sz w:val="24"/>
          <w:highlight w:val="none"/>
          <w:u w:val="single"/>
          <w:lang w:val="en-US" w:eastAsia="zh-CN"/>
        </w:rPr>
        <w:t>1</w:t>
      </w:r>
      <w:r>
        <w:rPr>
          <w:rFonts w:hint="eastAsia" w:asciiTheme="minorEastAsia" w:hAnsiTheme="minorEastAsia" w:eastAsiaTheme="minorEastAsia" w:cstheme="minorEastAsia"/>
          <w:bCs/>
          <w:color w:val="auto"/>
          <w:sz w:val="24"/>
          <w:highlight w:val="none"/>
          <w:u w:val="single"/>
        </w:rPr>
        <w:t>月</w:t>
      </w:r>
      <w:r>
        <w:rPr>
          <w:rFonts w:hint="eastAsia" w:asciiTheme="minorEastAsia" w:hAnsiTheme="minorEastAsia" w:eastAsiaTheme="minorEastAsia" w:cstheme="minorEastAsia"/>
          <w:bCs/>
          <w:color w:val="auto"/>
          <w:sz w:val="24"/>
          <w:highlight w:val="none"/>
          <w:u w:val="single"/>
          <w:lang w:val="en-US" w:eastAsia="zh-CN"/>
        </w:rPr>
        <w:t>21</w:t>
      </w:r>
      <w:r>
        <w:rPr>
          <w:rFonts w:hint="eastAsia" w:asciiTheme="minorEastAsia" w:hAnsiTheme="minorEastAsia" w:eastAsiaTheme="minorEastAsia" w:cstheme="minorEastAsia"/>
          <w:bCs/>
          <w:color w:val="auto"/>
          <w:sz w:val="24"/>
          <w:highlight w:val="none"/>
          <w:u w:val="single"/>
        </w:rPr>
        <w:t>日9点30分</w:t>
      </w:r>
    </w:p>
    <w:p>
      <w:pPr>
        <w:widowControl/>
        <w:spacing w:line="360" w:lineRule="auto"/>
        <w:ind w:firstLine="480" w:firstLineChars="200"/>
        <w:jc w:val="left"/>
        <w:rPr>
          <w:rFonts w:ascii="宋体" w:hAnsi="宋体"/>
          <w:color w:val="auto"/>
          <w:sz w:val="24"/>
          <w:highlight w:val="none"/>
        </w:rPr>
      </w:pPr>
      <w:r>
        <w:rPr>
          <w:rFonts w:hint="eastAsia" w:ascii="仿宋" w:hAnsi="仿宋" w:eastAsia="仿宋" w:cs="宋体"/>
          <w:color w:val="auto"/>
          <w:sz w:val="24"/>
          <w:highlight w:val="none"/>
        </w:rPr>
        <w:t>2、</w:t>
      </w:r>
      <w:r>
        <w:rPr>
          <w:rFonts w:hint="eastAsia" w:ascii="宋体" w:hAnsi="宋体"/>
          <w:color w:val="auto"/>
          <w:sz w:val="24"/>
          <w:highlight w:val="none"/>
        </w:rPr>
        <w:t>递交方式：</w:t>
      </w:r>
      <w:r>
        <w:rPr>
          <w:rFonts w:hint="eastAsia"/>
          <w:color w:val="auto"/>
          <w:sz w:val="24"/>
          <w:highlight w:val="none"/>
        </w:rPr>
        <w:t>根据南宁市财政局《关于做好疫情防控期间政府采购工作有关事项的通知》（南财采〔2020〕12号）要求，</w:t>
      </w:r>
      <w:r>
        <w:rPr>
          <w:rFonts w:hint="eastAsia" w:ascii="宋体" w:hAnsi="宋体"/>
          <w:color w:val="auto"/>
          <w:sz w:val="24"/>
          <w:highlight w:val="none"/>
        </w:rPr>
        <w:t>本项目实行“不见面”开标方式，</w:t>
      </w:r>
      <w:r>
        <w:rPr>
          <w:rFonts w:hint="eastAsia" w:ascii="宋体" w:hAnsi="宋体"/>
          <w:b/>
          <w:color w:val="auto"/>
          <w:sz w:val="24"/>
          <w:highlight w:val="none"/>
        </w:rPr>
        <w:t>本项目的投标文件原则上应通过邮寄快递的方式送达</w:t>
      </w:r>
      <w:r>
        <w:rPr>
          <w:rFonts w:hint="eastAsia" w:ascii="宋体" w:hAnsi="宋体"/>
          <w:color w:val="auto"/>
          <w:sz w:val="24"/>
          <w:highlight w:val="none"/>
        </w:rPr>
        <w:t>。</w:t>
      </w:r>
    </w:p>
    <w:p>
      <w:pPr>
        <w:widowControl/>
        <w:spacing w:line="360" w:lineRule="auto"/>
        <w:ind w:firstLine="360" w:firstLineChars="150"/>
        <w:jc w:val="left"/>
        <w:rPr>
          <w:color w:val="auto"/>
          <w:sz w:val="24"/>
          <w:highlight w:val="none"/>
        </w:rPr>
      </w:pPr>
      <w:r>
        <w:rPr>
          <w:rFonts w:hint="eastAsia" w:ascii="宋体" w:hAnsi="宋体"/>
          <w:color w:val="auto"/>
          <w:sz w:val="24"/>
          <w:highlight w:val="none"/>
        </w:rPr>
        <w:t>（1）</w:t>
      </w:r>
      <w:r>
        <w:rPr>
          <w:rFonts w:hint="eastAsia"/>
          <w:color w:val="auto"/>
          <w:sz w:val="24"/>
          <w:highlight w:val="none"/>
        </w:rPr>
        <w:t>接收邮寄快递包裹的时间为工作日8：</w:t>
      </w:r>
      <w:r>
        <w:rPr>
          <w:color w:val="auto"/>
          <w:sz w:val="24"/>
          <w:highlight w:val="none"/>
        </w:rPr>
        <w:t>00</w:t>
      </w:r>
      <w:r>
        <w:rPr>
          <w:rFonts w:hint="eastAsia"/>
          <w:color w:val="auto"/>
          <w:sz w:val="24"/>
          <w:highlight w:val="none"/>
        </w:rPr>
        <w:t>～</w:t>
      </w:r>
      <w:r>
        <w:rPr>
          <w:color w:val="auto"/>
          <w:sz w:val="24"/>
          <w:highlight w:val="none"/>
        </w:rPr>
        <w:t>1</w:t>
      </w:r>
      <w:r>
        <w:rPr>
          <w:rFonts w:hint="eastAsia"/>
          <w:color w:val="auto"/>
          <w:sz w:val="24"/>
          <w:highlight w:val="none"/>
        </w:rPr>
        <w:t>8：</w:t>
      </w:r>
      <w:r>
        <w:rPr>
          <w:color w:val="auto"/>
          <w:sz w:val="24"/>
          <w:highlight w:val="none"/>
        </w:rPr>
        <w:t>00</w:t>
      </w:r>
      <w:r>
        <w:rPr>
          <w:rFonts w:hint="eastAsia"/>
          <w:color w:val="auto"/>
          <w:sz w:val="24"/>
          <w:highlight w:val="none"/>
        </w:rPr>
        <w:t>。投标文件必须在投标截止时间前送达。采购代理机构签收邮寄包裹的时间即为投标人投标文件的送达时间，逾期送达的投标文件无效，后果由投标人自行承担。</w:t>
      </w:r>
    </w:p>
    <w:p>
      <w:pPr>
        <w:widowControl/>
        <w:spacing w:line="360" w:lineRule="auto"/>
        <w:ind w:firstLine="360" w:firstLineChars="150"/>
        <w:jc w:val="left"/>
        <w:rPr>
          <w:color w:val="auto"/>
          <w:sz w:val="24"/>
          <w:highlight w:val="none"/>
        </w:rPr>
      </w:pPr>
      <w:r>
        <w:rPr>
          <w:rFonts w:hint="eastAsia"/>
          <w:color w:val="auto"/>
          <w:sz w:val="24"/>
          <w:highlight w:val="none"/>
        </w:rPr>
        <w:t>（2）采购代理机构将在投标截止时间前二小时统一将收到的投标文件运送至南宁市公共资源交易中心，以确保本项目能在投标截止（开标）时间准时开标。投标人应充分预留投标文件邮寄、送达所需要的时间。为确保疫情防控期间邮寄包裹能及时送达，应选择邮寄运送时间有保障的快递公司寄送投标文件，并尽量在投标截止日期</w:t>
      </w:r>
      <w:r>
        <w:rPr>
          <w:color w:val="auto"/>
          <w:sz w:val="24"/>
          <w:highlight w:val="none"/>
        </w:rPr>
        <w:t>1</w:t>
      </w:r>
      <w:r>
        <w:rPr>
          <w:rFonts w:hint="eastAsia"/>
          <w:color w:val="auto"/>
          <w:sz w:val="24"/>
          <w:highlight w:val="none"/>
        </w:rPr>
        <w:t>日前送达。</w:t>
      </w:r>
    </w:p>
    <w:p>
      <w:pPr>
        <w:widowControl/>
        <w:spacing w:line="360" w:lineRule="auto"/>
        <w:ind w:firstLine="360" w:firstLineChars="150"/>
        <w:jc w:val="left"/>
        <w:rPr>
          <w:color w:val="auto"/>
          <w:sz w:val="24"/>
          <w:highlight w:val="none"/>
        </w:rPr>
      </w:pPr>
      <w:r>
        <w:rPr>
          <w:rFonts w:hint="eastAsia"/>
          <w:color w:val="auto"/>
          <w:sz w:val="24"/>
          <w:highlight w:val="none"/>
        </w:rPr>
        <w:t>（3）投标人在按照招标文件的要求装订、密封好投标文件后，应使用不透明、防水的邮寄袋（或箱）再次包裹已密封好的投标文件，并在邮寄袋（或箱）上粘牢</w:t>
      </w:r>
      <w:r>
        <w:rPr>
          <w:rFonts w:hint="eastAsia"/>
          <w:b/>
          <w:color w:val="auto"/>
          <w:sz w:val="24"/>
          <w:highlight w:val="none"/>
        </w:rPr>
        <w:t>注明项目名称、项目编号、有效的电子邮箱</w:t>
      </w:r>
      <w:r>
        <w:rPr>
          <w:rFonts w:hint="eastAsia"/>
          <w:color w:val="auto"/>
          <w:sz w:val="24"/>
          <w:highlight w:val="none"/>
        </w:rPr>
        <w:t>等内容的纸质表格，如投标文件在运送过程中发生破损、受潮等情况，后果由投标人自行承担。</w:t>
      </w:r>
    </w:p>
    <w:p>
      <w:pPr>
        <w:widowControl/>
        <w:spacing w:line="360" w:lineRule="auto"/>
        <w:ind w:firstLine="360" w:firstLineChars="150"/>
        <w:jc w:val="left"/>
        <w:rPr>
          <w:color w:val="auto"/>
          <w:sz w:val="24"/>
          <w:highlight w:val="none"/>
        </w:rPr>
      </w:pPr>
      <w:r>
        <w:rPr>
          <w:rFonts w:hint="eastAsia"/>
          <w:color w:val="auto"/>
          <w:sz w:val="24"/>
          <w:highlight w:val="none"/>
        </w:rPr>
        <w:t>（4）采购代理机构工作人员在收到投标文件的邮寄包裹后，第一时间按照投标人在邮寄包裹上所预留的电子邮箱告知投标文件收件情况，请投标人务必确保所预留的电子邮箱的有效性，并注意查收邮件。</w:t>
      </w:r>
    </w:p>
    <w:p>
      <w:pPr>
        <w:widowControl/>
        <w:spacing w:line="360" w:lineRule="auto"/>
        <w:ind w:firstLine="240" w:firstLineChars="100"/>
        <w:jc w:val="left"/>
        <w:rPr>
          <w:color w:val="auto"/>
          <w:sz w:val="24"/>
          <w:highlight w:val="none"/>
        </w:rPr>
      </w:pPr>
      <w:r>
        <w:rPr>
          <w:rFonts w:hint="eastAsia"/>
          <w:color w:val="auto"/>
          <w:sz w:val="24"/>
          <w:highlight w:val="none"/>
        </w:rPr>
        <w:t>（5）投标文件邮寄地址：南宁市纬武路165号206办公室</w:t>
      </w:r>
    </w:p>
    <w:p>
      <w:pPr>
        <w:widowControl/>
        <w:spacing w:line="360" w:lineRule="auto"/>
        <w:ind w:firstLine="1200" w:firstLineChars="500"/>
        <w:jc w:val="left"/>
        <w:rPr>
          <w:rFonts w:ascii="宋体" w:hAnsi="宋体" w:cs="Arial"/>
          <w:color w:val="auto"/>
          <w:sz w:val="24"/>
          <w:highlight w:val="none"/>
        </w:rPr>
      </w:pPr>
      <w:r>
        <w:rPr>
          <w:rFonts w:hint="eastAsia" w:ascii="宋体" w:hAnsi="宋体" w:cs="Arial"/>
          <w:color w:val="auto"/>
          <w:sz w:val="24"/>
          <w:highlight w:val="none"/>
        </w:rPr>
        <w:t>收件人：周剑</w:t>
      </w:r>
    </w:p>
    <w:p>
      <w:pPr>
        <w:widowControl/>
        <w:spacing w:line="360" w:lineRule="auto"/>
        <w:ind w:firstLine="1080" w:firstLineChars="450"/>
        <w:jc w:val="left"/>
        <w:rPr>
          <w:rFonts w:ascii="宋体" w:hAnsi="宋体" w:cs="Arial"/>
          <w:color w:val="auto"/>
          <w:sz w:val="24"/>
          <w:highlight w:val="none"/>
        </w:rPr>
      </w:pPr>
      <w:r>
        <w:rPr>
          <w:rFonts w:hint="eastAsia" w:ascii="宋体" w:hAnsi="宋体" w:cs="Arial"/>
          <w:color w:val="auto"/>
          <w:sz w:val="24"/>
          <w:highlight w:val="none"/>
        </w:rPr>
        <w:t>联系电话：</w:t>
      </w:r>
      <w:r>
        <w:rPr>
          <w:rFonts w:ascii="宋体" w:hAnsi="宋体" w:cs="Arial"/>
          <w:color w:val="auto"/>
          <w:sz w:val="24"/>
          <w:highlight w:val="none"/>
        </w:rPr>
        <w:t>0771-</w:t>
      </w:r>
      <w:r>
        <w:rPr>
          <w:rFonts w:hint="eastAsia" w:ascii="宋体" w:hAnsi="宋体" w:cs="Arial"/>
          <w:color w:val="auto"/>
          <w:sz w:val="24"/>
          <w:highlight w:val="none"/>
        </w:rPr>
        <w:t>2807659</w:t>
      </w:r>
    </w:p>
    <w:p>
      <w:pPr>
        <w:widowControl/>
        <w:spacing w:line="360" w:lineRule="auto"/>
        <w:ind w:firstLine="360" w:firstLineChars="150"/>
        <w:jc w:val="left"/>
        <w:rPr>
          <w:color w:val="auto"/>
          <w:sz w:val="24"/>
          <w:highlight w:val="none"/>
        </w:rPr>
      </w:pPr>
      <w:r>
        <w:rPr>
          <w:rFonts w:hint="eastAsia"/>
          <w:color w:val="auto"/>
          <w:sz w:val="24"/>
          <w:highlight w:val="none"/>
        </w:rPr>
        <w:t>3、开标地点:南宁市良庆区玉洞大道33号（青少年活动中心旁）市民中心9楼南宁市公共资源交易中心开标厅（具体安排详见9楼电子大屏幕场地安排表）)</w:t>
      </w:r>
    </w:p>
    <w:p>
      <w:pP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五、公告期限</w:t>
      </w:r>
      <w:bookmarkEnd w:id="22"/>
      <w:bookmarkEnd w:id="23"/>
      <w:bookmarkEnd w:id="24"/>
      <w:bookmarkEnd w:id="25"/>
    </w:p>
    <w:p>
      <w:pPr>
        <w:ind w:firstLine="480" w:firstLineChars="200"/>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自本公告发布之日起5个工作日。</w:t>
      </w:r>
    </w:p>
    <w:p>
      <w:pPr>
        <w:rPr>
          <w:rFonts w:asciiTheme="minorEastAsia" w:hAnsiTheme="minorEastAsia" w:eastAsiaTheme="minorEastAsia" w:cstheme="minorEastAsia"/>
          <w:color w:val="auto"/>
          <w:sz w:val="24"/>
          <w:highlight w:val="none"/>
        </w:rPr>
      </w:pPr>
      <w:bookmarkStart w:id="26" w:name="_Toc35393626"/>
      <w:bookmarkStart w:id="27" w:name="_Toc35393795"/>
      <w:r>
        <w:rPr>
          <w:rFonts w:hint="eastAsia" w:asciiTheme="minorEastAsia" w:hAnsiTheme="minorEastAsia" w:eastAsiaTheme="minorEastAsia" w:cstheme="minorEastAsia"/>
          <w:color w:val="auto"/>
          <w:sz w:val="24"/>
          <w:highlight w:val="none"/>
        </w:rPr>
        <w:t>六、其他补充事宜</w:t>
      </w:r>
      <w:bookmarkEnd w:id="26"/>
      <w:bookmarkEnd w:id="27"/>
    </w:p>
    <w:p>
      <w:pPr>
        <w:pStyle w:val="100"/>
        <w:ind w:left="495" w:firstLine="0" w:firstLineChars="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1.投标保证金：</w:t>
      </w:r>
    </w:p>
    <w:p>
      <w:pPr>
        <w:pStyle w:val="100"/>
        <w:ind w:left="495" w:firstLine="0" w:firstLineChars="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根据《南宁市财政局关于推进政府采购“放管服”工作和深化改革有关内容的通知》（南财采[2019]27号）规定，本项目不需要提交投标保证金。</w:t>
      </w:r>
    </w:p>
    <w:p>
      <w:pPr>
        <w:pStyle w:val="100"/>
        <w:ind w:left="495" w:firstLine="0" w:firstLineChars="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2.网上查询地址</w:t>
      </w:r>
    </w:p>
    <w:p>
      <w:pPr>
        <w:pStyle w:val="100"/>
        <w:ind w:left="495" w:firstLine="0" w:firstLineChars="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中国政府采购网、广西壮族自治区政府采购网、南宁政府采购网、南宁市公共资源交易中心网、广西招标网</w:t>
      </w:r>
    </w:p>
    <w:p>
      <w:pPr>
        <w:pStyle w:val="100"/>
        <w:ind w:left="495" w:firstLine="0" w:firstLineChars="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3.本项目需要落实的政府采购政策：</w:t>
      </w:r>
    </w:p>
    <w:p>
      <w:pPr>
        <w:snapToGrid w:val="0"/>
        <w:spacing w:line="386" w:lineRule="exact"/>
        <w:ind w:firstLine="480" w:firstLineChars="200"/>
        <w:jc w:val="left"/>
        <w:rPr>
          <w:rFonts w:asciiTheme="minorEastAsia" w:hAnsiTheme="minorEastAsia" w:eastAsiaTheme="minorEastAsia"/>
          <w:color w:val="auto"/>
          <w:sz w:val="24"/>
          <w:highlight w:val="none"/>
        </w:rPr>
      </w:pPr>
      <w:bookmarkStart w:id="28" w:name="_Toc28359085"/>
      <w:bookmarkStart w:id="29" w:name="_Toc35393796"/>
      <w:bookmarkStart w:id="30" w:name="_Toc35393627"/>
      <w:bookmarkStart w:id="31" w:name="_Toc28359008"/>
      <w:r>
        <w:rPr>
          <w:rFonts w:hint="eastAsia" w:asciiTheme="minorEastAsia" w:hAnsiTheme="minorEastAsia" w:eastAsiaTheme="minorEastAsia"/>
          <w:color w:val="auto"/>
          <w:sz w:val="24"/>
          <w:highlight w:val="none"/>
        </w:rPr>
        <w:t>本项目需要落实的政府采购政策：《政府采购促进中小企业发展暂行办法》（财库[2011]181号）、《关于政府采购支持监狱企业发展有关问题的通知》(财库[2014]68号)、《关于促进残疾人就业政府采购政策的通知》(财库〔2017〕141号)，评审时残疾人福利性单位、小型和微型企业产品的价格给予10%的扣除。监狱企业视同小型和微型企业，其产品在评审时给予相同的价格扣除。残疾人福利性单位属于小型、微型企业的，不重复享受政策。节能产品、环境标志产品依据品目清单和认证证书实施政府优先采购和强制采购。（财库〔2019〕9号）</w:t>
      </w:r>
    </w:p>
    <w:p>
      <w:pPr>
        <w:snapToGrid w:val="0"/>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为帮助中小微企业解决资金周转或融资困难问题，南宁市政府采购试行政府采购信用融资制度，为中小企业参与政府采购活动提供金融服务。中标供应商可凭政府采购合同申请政府采购信用融资，具体办理要求与办理方式，详见南宁市公共资源交易中心网“政府采购信用融资”专栏。</w:t>
      </w:r>
    </w:p>
    <w:p>
      <w:pP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七、对本次招标提出询问，请按以下方式联系。</w:t>
      </w:r>
      <w:bookmarkEnd w:id="28"/>
      <w:bookmarkEnd w:id="29"/>
      <w:bookmarkEnd w:id="30"/>
      <w:bookmarkEnd w:id="31"/>
    </w:p>
    <w:p>
      <w:pPr>
        <w:widowControl/>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1.采购人信息</w:t>
      </w:r>
    </w:p>
    <w:p>
      <w:pPr>
        <w:spacing w:line="360" w:lineRule="auto"/>
        <w:ind w:left="1079" w:leftChars="371" w:hanging="300" w:hangingChars="125"/>
        <w:jc w:val="left"/>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u w:val="single"/>
        </w:rPr>
        <w:t>名</w:t>
      </w:r>
      <w:r>
        <w:rPr>
          <w:rFonts w:asciiTheme="minorEastAsia" w:hAnsiTheme="minorEastAsia" w:eastAsiaTheme="minorEastAsia"/>
          <w:color w:val="auto"/>
          <w:sz w:val="24"/>
          <w:highlight w:val="none"/>
          <w:u w:val="single"/>
        </w:rPr>
        <w:t xml:space="preserve"> 称：　南宁市信息网络管理中心　</w:t>
      </w:r>
    </w:p>
    <w:p>
      <w:pPr>
        <w:spacing w:line="360" w:lineRule="auto"/>
        <w:ind w:left="1079" w:leftChars="371" w:hanging="300" w:hangingChars="125"/>
        <w:jc w:val="left"/>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u w:val="single"/>
        </w:rPr>
        <w:t>地址：南宁市</w:t>
      </w:r>
      <w:r>
        <w:rPr>
          <w:rFonts w:asciiTheme="minorEastAsia" w:hAnsiTheme="minorEastAsia" w:eastAsiaTheme="minorEastAsia"/>
          <w:color w:val="auto"/>
          <w:sz w:val="24"/>
          <w:highlight w:val="none"/>
          <w:u w:val="single"/>
        </w:rPr>
        <w:t>青秀区桂春路</w:t>
      </w:r>
      <w:r>
        <w:rPr>
          <w:rFonts w:hint="eastAsia" w:asciiTheme="minorEastAsia" w:hAnsiTheme="minorEastAsia" w:eastAsiaTheme="minorEastAsia"/>
          <w:color w:val="auto"/>
          <w:sz w:val="24"/>
          <w:highlight w:val="none"/>
          <w:u w:val="single"/>
        </w:rPr>
        <w:t>南</w:t>
      </w:r>
      <w:r>
        <w:rPr>
          <w:rFonts w:asciiTheme="minorEastAsia" w:hAnsiTheme="minorEastAsia" w:eastAsiaTheme="minorEastAsia"/>
          <w:color w:val="auto"/>
          <w:sz w:val="24"/>
          <w:highlight w:val="none"/>
          <w:u w:val="single"/>
        </w:rPr>
        <w:t>一里1号　</w:t>
      </w:r>
    </w:p>
    <w:p>
      <w:pPr>
        <w:spacing w:line="360" w:lineRule="auto"/>
        <w:ind w:firstLine="720" w:firstLineChars="300"/>
        <w:jc w:val="left"/>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u w:val="single"/>
        </w:rPr>
        <w:t>联系人：</w:t>
      </w:r>
      <w:r>
        <w:rPr>
          <w:rFonts w:hint="eastAsia" w:asciiTheme="minorEastAsia" w:hAnsiTheme="minorEastAsia" w:eastAsiaTheme="minorEastAsia" w:cstheme="minorEastAsia"/>
          <w:color w:val="auto"/>
          <w:sz w:val="24"/>
          <w:highlight w:val="none"/>
          <w:u w:val="single"/>
          <w:lang w:val="en-US" w:eastAsia="zh-CN"/>
        </w:rPr>
        <w:t>黄承科</w:t>
      </w:r>
      <w:r>
        <w:rPr>
          <w:rFonts w:asciiTheme="minorEastAsia" w:hAnsiTheme="minorEastAsia" w:eastAsiaTheme="minorEastAsia"/>
          <w:color w:val="auto"/>
          <w:sz w:val="24"/>
          <w:highlight w:val="none"/>
          <w:u w:val="single"/>
        </w:rPr>
        <w:t xml:space="preserve"> </w:t>
      </w:r>
    </w:p>
    <w:p>
      <w:pPr>
        <w:spacing w:line="360" w:lineRule="auto"/>
        <w:ind w:firstLine="720" w:firstLineChars="300"/>
        <w:jc w:val="left"/>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u w:val="single"/>
        </w:rPr>
        <w:t>联系方式：</w:t>
      </w:r>
      <w:r>
        <w:rPr>
          <w:rFonts w:hint="eastAsia" w:asciiTheme="minorEastAsia" w:hAnsiTheme="minorEastAsia" w:eastAsiaTheme="minorEastAsia"/>
          <w:color w:val="auto"/>
          <w:sz w:val="24"/>
          <w:highlight w:val="none"/>
          <w:u w:val="single"/>
          <w:lang w:val="en-US" w:eastAsia="zh-CN"/>
        </w:rPr>
        <w:t>0771-5561370</w:t>
      </w:r>
      <w:r>
        <w:rPr>
          <w:rFonts w:asciiTheme="minorEastAsia" w:hAnsiTheme="minorEastAsia" w:eastAsiaTheme="minorEastAsia"/>
          <w:color w:val="auto"/>
          <w:sz w:val="24"/>
          <w:highlight w:val="none"/>
          <w:u w:val="single"/>
        </w:rPr>
        <w:t xml:space="preserve"> </w:t>
      </w:r>
      <w:bookmarkStart w:id="32" w:name="_Toc28359086"/>
      <w:bookmarkStart w:id="33" w:name="_Toc28359009"/>
    </w:p>
    <w:p>
      <w:pPr>
        <w:spacing w:line="360" w:lineRule="auto"/>
        <w:ind w:left="1079" w:leftChars="371" w:hanging="300" w:hangingChars="125"/>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2.采购代理机构信息</w:t>
      </w:r>
      <w:bookmarkEnd w:id="32"/>
      <w:bookmarkEnd w:id="33"/>
    </w:p>
    <w:p>
      <w:pPr>
        <w:spacing w:line="360" w:lineRule="auto"/>
        <w:ind w:firstLine="720" w:firstLineChars="3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名 称：</w:t>
      </w:r>
      <w:r>
        <w:rPr>
          <w:rFonts w:hint="eastAsia" w:asciiTheme="minorEastAsia" w:hAnsiTheme="minorEastAsia" w:eastAsiaTheme="minorEastAsia" w:cstheme="minorEastAsia"/>
          <w:color w:val="auto"/>
          <w:sz w:val="24"/>
          <w:highlight w:val="none"/>
          <w:u w:val="single"/>
        </w:rPr>
        <w:t>广西建设工程机电设备招标中心有限公司　</w:t>
      </w:r>
    </w:p>
    <w:p>
      <w:pPr>
        <w:spacing w:line="360" w:lineRule="auto"/>
        <w:ind w:firstLine="720" w:firstLineChars="3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地　址：</w:t>
      </w:r>
      <w:r>
        <w:rPr>
          <w:rFonts w:hint="eastAsia" w:asciiTheme="minorEastAsia" w:hAnsiTheme="minorEastAsia" w:eastAsiaTheme="minorEastAsia"/>
          <w:color w:val="auto"/>
          <w:sz w:val="24"/>
          <w:highlight w:val="none"/>
          <w:u w:val="single"/>
        </w:rPr>
        <w:t>南宁市纬武路165号</w:t>
      </w:r>
      <w:r>
        <w:rPr>
          <w:rFonts w:hint="eastAsia" w:asciiTheme="minorEastAsia" w:hAnsiTheme="minorEastAsia" w:eastAsiaTheme="minorEastAsia" w:cstheme="minorEastAsia"/>
          <w:color w:val="auto"/>
          <w:sz w:val="24"/>
          <w:highlight w:val="none"/>
          <w:u w:val="single"/>
        </w:rPr>
        <w:t>　</w:t>
      </w:r>
    </w:p>
    <w:p>
      <w:pPr>
        <w:spacing w:line="360" w:lineRule="auto"/>
        <w:ind w:firstLine="720" w:firstLineChars="3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联系方式：</w:t>
      </w:r>
      <w:bookmarkStart w:id="34" w:name="_Toc28359010"/>
      <w:bookmarkStart w:id="35" w:name="_Toc28359087"/>
      <w:r>
        <w:rPr>
          <w:rFonts w:hint="eastAsia" w:asciiTheme="minorEastAsia" w:hAnsiTheme="minorEastAsia" w:eastAsiaTheme="minorEastAsia" w:cstheme="minorEastAsia"/>
          <w:color w:val="auto"/>
          <w:sz w:val="24"/>
          <w:highlight w:val="none"/>
          <w:u w:val="single"/>
        </w:rPr>
        <w:t>　0771-2807659　</w:t>
      </w:r>
    </w:p>
    <w:p>
      <w:pPr>
        <w:spacing w:line="360" w:lineRule="auto"/>
        <w:ind w:firstLine="720" w:firstLineChars="300"/>
        <w:rPr>
          <w:rFonts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3.项目联系方式</w:t>
      </w:r>
      <w:bookmarkEnd w:id="34"/>
      <w:bookmarkEnd w:id="35"/>
    </w:p>
    <w:p>
      <w:pPr>
        <w:pStyle w:val="22"/>
        <w:spacing w:line="360" w:lineRule="auto"/>
        <w:ind w:firstLine="720" w:firstLineChars="3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项目联系人：</w:t>
      </w:r>
      <w:r>
        <w:rPr>
          <w:rFonts w:hint="eastAsia" w:asciiTheme="minorEastAsia" w:hAnsiTheme="minorEastAsia" w:eastAsiaTheme="minorEastAsia"/>
          <w:color w:val="auto"/>
          <w:sz w:val="24"/>
          <w:highlight w:val="none"/>
          <w:u w:val="single"/>
        </w:rPr>
        <w:t>周剑</w:t>
      </w:r>
    </w:p>
    <w:p>
      <w:pPr>
        <w:snapToGrid w:val="0"/>
        <w:ind w:firstLine="720" w:firstLineChars="300"/>
        <w:rPr>
          <w:rFonts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电　话：</w:t>
      </w:r>
      <w:r>
        <w:rPr>
          <w:rFonts w:hint="eastAsia" w:asciiTheme="minorEastAsia" w:hAnsiTheme="minorEastAsia" w:eastAsiaTheme="minorEastAsia"/>
          <w:color w:val="auto"/>
          <w:sz w:val="24"/>
          <w:highlight w:val="none"/>
          <w:u w:val="single"/>
        </w:rPr>
        <w:t>0771-2807659</w:t>
      </w:r>
      <w:r>
        <w:rPr>
          <w:rFonts w:hint="eastAsia" w:asciiTheme="minorEastAsia" w:hAnsiTheme="minorEastAsia" w:eastAsiaTheme="minorEastAsia" w:cstheme="minorEastAsia"/>
          <w:color w:val="auto"/>
          <w:sz w:val="24"/>
          <w:highlight w:val="none"/>
          <w:u w:val="single"/>
        </w:rPr>
        <w:t>　</w:t>
      </w:r>
    </w:p>
    <w:p>
      <w:pPr>
        <w:rPr>
          <w:color w:val="auto"/>
          <w:highlight w:val="none"/>
        </w:rPr>
      </w:pPr>
      <w:r>
        <w:rPr>
          <w:rFonts w:hint="eastAsia" w:asciiTheme="minorEastAsia" w:hAnsiTheme="minorEastAsia" w:eastAsiaTheme="minorEastAsia" w:cstheme="minorEastAsia"/>
          <w:color w:val="auto"/>
          <w:sz w:val="24"/>
          <w:highlight w:val="none"/>
          <w:u w:val="single"/>
        </w:rPr>
        <w:br w:type="page"/>
      </w:r>
    </w:p>
    <w:p>
      <w:pPr>
        <w:snapToGrid w:val="0"/>
        <w:jc w:val="center"/>
        <w:rPr>
          <w:rFonts w:ascii="宋体" w:hAnsi="宋体"/>
          <w:color w:val="auto"/>
          <w:highlight w:val="none"/>
        </w:rPr>
      </w:pPr>
    </w:p>
    <w:p>
      <w:pPr>
        <w:widowControl/>
        <w:jc w:val="left"/>
        <w:rPr>
          <w:rFonts w:ascii="宋体" w:hAnsi="宋体"/>
          <w:color w:val="auto"/>
          <w:highlight w:val="none"/>
        </w:rPr>
      </w:pPr>
    </w:p>
    <w:p>
      <w:pPr>
        <w:snapToGrid w:val="0"/>
        <w:jc w:val="center"/>
        <w:rPr>
          <w:rFonts w:ascii="宋体" w:hAnsi="宋体"/>
          <w:color w:val="auto"/>
          <w:highlight w:val="none"/>
        </w:rPr>
      </w:pPr>
    </w:p>
    <w:p>
      <w:pPr>
        <w:snapToGrid w:val="0"/>
        <w:jc w:val="center"/>
        <w:outlineLvl w:val="0"/>
        <w:rPr>
          <w:rFonts w:ascii="宋体" w:hAnsi="宋体"/>
          <w:b/>
          <w:color w:val="auto"/>
          <w:sz w:val="44"/>
          <w:szCs w:val="44"/>
          <w:highlight w:val="none"/>
        </w:rPr>
      </w:pPr>
      <w:r>
        <w:rPr>
          <w:rFonts w:hint="eastAsia" w:ascii="宋体" w:hAnsi="宋体"/>
          <w:b/>
          <w:color w:val="auto"/>
          <w:sz w:val="44"/>
          <w:szCs w:val="44"/>
          <w:highlight w:val="none"/>
        </w:rPr>
        <w:t xml:space="preserve">   </w:t>
      </w:r>
      <w:bookmarkStart w:id="36" w:name="_Toc28706"/>
      <w:bookmarkStart w:id="37" w:name="_Toc6367"/>
      <w:bookmarkStart w:id="38" w:name="_Toc19532"/>
      <w:r>
        <w:rPr>
          <w:rFonts w:hint="eastAsia" w:ascii="宋体" w:hAnsi="宋体"/>
          <w:b/>
          <w:color w:val="auto"/>
          <w:sz w:val="44"/>
          <w:szCs w:val="44"/>
          <w:highlight w:val="none"/>
        </w:rPr>
        <w:t xml:space="preserve">第二章 </w:t>
      </w:r>
      <w:r>
        <w:rPr>
          <w:rFonts w:hint="eastAsia" w:ascii="宋体" w:hAnsi="宋体"/>
          <w:b/>
          <w:bCs/>
          <w:color w:val="auto"/>
          <w:sz w:val="44"/>
          <w:szCs w:val="44"/>
          <w:highlight w:val="none"/>
        </w:rPr>
        <w:t>招</w:t>
      </w:r>
      <w:r>
        <w:rPr>
          <w:rFonts w:hint="eastAsia" w:ascii="宋体" w:hAnsi="宋体"/>
          <w:b/>
          <w:color w:val="auto"/>
          <w:sz w:val="44"/>
          <w:szCs w:val="44"/>
          <w:highlight w:val="none"/>
        </w:rPr>
        <w:t>标项目采购需求</w:t>
      </w:r>
      <w:bookmarkEnd w:id="36"/>
      <w:bookmarkEnd w:id="37"/>
      <w:bookmarkEnd w:id="38"/>
    </w:p>
    <w:p>
      <w:pPr>
        <w:adjustRightInd w:val="0"/>
        <w:spacing w:line="340" w:lineRule="exact"/>
        <w:rPr>
          <w:rFonts w:ascii="宋体" w:hAnsi="宋体" w:cs="宋体"/>
          <w:b/>
          <w:color w:val="auto"/>
          <w:sz w:val="24"/>
          <w:highlight w:val="none"/>
        </w:rPr>
      </w:pPr>
      <w:r>
        <w:rPr>
          <w:rFonts w:hint="eastAsia" w:ascii="宋体" w:hAnsi="宋体" w:cs="宋体"/>
          <w:b/>
          <w:color w:val="auto"/>
          <w:sz w:val="24"/>
          <w:highlight w:val="none"/>
        </w:rPr>
        <w:t>说明：</w:t>
      </w:r>
    </w:p>
    <w:p>
      <w:pPr>
        <w:numPr>
          <w:ilvl w:val="0"/>
          <w:numId w:val="1"/>
        </w:numPr>
        <w:spacing w:line="400" w:lineRule="exact"/>
        <w:ind w:left="6" w:firstLine="414" w:firstLineChars="172"/>
        <w:rPr>
          <w:rFonts w:ascii="宋体" w:hAnsi="宋体" w:cs="宋体"/>
          <w:b/>
          <w:color w:val="auto"/>
          <w:sz w:val="24"/>
          <w:szCs w:val="21"/>
          <w:highlight w:val="none"/>
        </w:rPr>
      </w:pPr>
      <w:r>
        <w:rPr>
          <w:rFonts w:hint="eastAsia" w:ascii="宋体" w:hAnsi="宋体" w:cs="宋体"/>
          <w:b/>
          <w:color w:val="auto"/>
          <w:sz w:val="24"/>
          <w:szCs w:val="21"/>
          <w:highlight w:val="none"/>
        </w:rPr>
        <w:t>本服务需求一览表中标注★号的部分为实质性要求和条件，供应商必须</w:t>
      </w:r>
      <w:r>
        <w:rPr>
          <w:rFonts w:hint="eastAsia" w:ascii="宋体" w:hAnsi="宋体" w:cs="宋体"/>
          <w:b/>
          <w:color w:val="auto"/>
          <w:sz w:val="24"/>
          <w:szCs w:val="21"/>
          <w:highlight w:val="none"/>
          <w:lang w:eastAsia="zh-CN"/>
        </w:rPr>
        <w:t>满足，若无法完全满足，将会被认定为无效投标</w:t>
      </w:r>
      <w:r>
        <w:rPr>
          <w:rFonts w:hint="eastAsia" w:ascii="宋体" w:hAnsi="宋体" w:cs="宋体"/>
          <w:b/>
          <w:color w:val="auto"/>
          <w:sz w:val="24"/>
          <w:szCs w:val="21"/>
          <w:highlight w:val="none"/>
        </w:rPr>
        <w:t>。</w:t>
      </w:r>
    </w:p>
    <w:p>
      <w:pPr>
        <w:pStyle w:val="22"/>
        <w:numPr>
          <w:ilvl w:val="0"/>
          <w:numId w:val="1"/>
        </w:numPr>
        <w:spacing w:line="440" w:lineRule="exact"/>
        <w:ind w:left="6" w:firstLine="414" w:firstLineChars="172"/>
        <w:rPr>
          <w:rFonts w:hAnsi="宋体" w:cs="宋体"/>
          <w:b/>
          <w:color w:val="auto"/>
          <w:sz w:val="24"/>
          <w:highlight w:val="none"/>
        </w:rPr>
      </w:pPr>
      <w:r>
        <w:rPr>
          <w:rFonts w:hint="eastAsia" w:hAnsi="宋体" w:cs="宋体"/>
          <w:b/>
          <w:color w:val="auto"/>
          <w:sz w:val="24"/>
          <w:highlight w:val="none"/>
        </w:rPr>
        <w:t>本服务需求一览表中内容如与第五章《合同主要条款格式》相关条款不一致的，以本表为准。</w:t>
      </w:r>
    </w:p>
    <w:p>
      <w:pPr>
        <w:pStyle w:val="22"/>
        <w:numPr>
          <w:ilvl w:val="0"/>
          <w:numId w:val="1"/>
        </w:numPr>
        <w:spacing w:line="440" w:lineRule="exact"/>
        <w:ind w:left="6" w:firstLine="414" w:firstLineChars="172"/>
        <w:rPr>
          <w:rFonts w:hAnsi="宋体" w:cs="宋体"/>
          <w:b/>
          <w:color w:val="auto"/>
          <w:sz w:val="24"/>
          <w:highlight w:val="none"/>
        </w:rPr>
      </w:pPr>
      <w:r>
        <w:rPr>
          <w:rFonts w:hAnsi="宋体" w:cs="宋体"/>
          <w:b/>
          <w:color w:val="auto"/>
          <w:sz w:val="24"/>
          <w:highlight w:val="none"/>
        </w:rPr>
        <w:t>本次服务采购最高限价为：人民币</w:t>
      </w:r>
      <w:r>
        <w:rPr>
          <w:rFonts w:hint="eastAsia" w:hAnsi="宋体" w:cs="宋体"/>
          <w:b/>
          <w:color w:val="auto"/>
          <w:sz w:val="24"/>
          <w:highlight w:val="none"/>
        </w:rPr>
        <w:t>863800</w:t>
      </w:r>
      <w:r>
        <w:rPr>
          <w:rFonts w:hAnsi="宋体" w:cs="宋体"/>
          <w:b/>
          <w:color w:val="auto"/>
          <w:sz w:val="24"/>
          <w:highlight w:val="none"/>
        </w:rPr>
        <w:t>元</w:t>
      </w:r>
    </w:p>
    <w:p>
      <w:pPr>
        <w:pStyle w:val="22"/>
        <w:spacing w:line="440" w:lineRule="exact"/>
        <w:ind w:firstLine="460" w:firstLineChars="191"/>
        <w:rPr>
          <w:rFonts w:hAnsi="宋体" w:cs="宋体"/>
          <w:b/>
          <w:color w:val="auto"/>
          <w:sz w:val="24"/>
          <w:highlight w:val="none"/>
        </w:rPr>
      </w:pPr>
      <w:r>
        <w:rPr>
          <w:rFonts w:hAnsi="宋体" w:cs="宋体"/>
          <w:b/>
          <w:color w:val="auto"/>
          <w:sz w:val="24"/>
          <w:highlight w:val="none"/>
        </w:rPr>
        <w:t>4、供应商应对投标内容所涉及的专利承担法律责任，并负责保护甲方的利益不受任何损害。一切由于文字、商标、技术和软件专利授权引起的法律裁决、诉讼和赔偿费用均由中标人负责。同时，具有产品专利的供应商应在其投标文件中提供与其自有产品专利相关的有效证明材料，否则，不能就其产品的专利在本项目招标过程中被侵权问题而提出异议。</w:t>
      </w:r>
    </w:p>
    <w:p>
      <w:pPr>
        <w:pStyle w:val="22"/>
        <w:numPr>
          <w:ilvl w:val="255"/>
          <w:numId w:val="0"/>
        </w:numPr>
        <w:spacing w:line="440" w:lineRule="exact"/>
        <w:ind w:firstLine="482" w:firstLineChars="200"/>
        <w:rPr>
          <w:rFonts w:hAnsi="宋体" w:cs="宋体"/>
          <w:b/>
          <w:color w:val="auto"/>
          <w:sz w:val="24"/>
          <w:highlight w:val="none"/>
        </w:rPr>
      </w:pPr>
      <w:r>
        <w:rPr>
          <w:rFonts w:hAnsi="宋体" w:cs="宋体"/>
          <w:b/>
          <w:color w:val="auto"/>
          <w:sz w:val="24"/>
          <w:highlight w:val="none"/>
        </w:rPr>
        <w:t>5、供应商应承诺投标文件中提供的证明材料和资质文件真实，如出现虚假应标情况，供应商除了应接受有关部门的处罚外，还应依据《中华人民共和国合同法》的相关条款来确定赔偿金额。</w:t>
      </w:r>
    </w:p>
    <w:p>
      <w:pPr>
        <w:pStyle w:val="22"/>
        <w:numPr>
          <w:ilvl w:val="255"/>
          <w:numId w:val="0"/>
        </w:numPr>
        <w:spacing w:line="440" w:lineRule="exact"/>
        <w:ind w:firstLine="482" w:firstLineChars="200"/>
        <w:rPr>
          <w:rFonts w:hAnsi="宋体" w:cs="宋体"/>
          <w:b/>
          <w:color w:val="auto"/>
          <w:sz w:val="24"/>
          <w:highlight w:val="none"/>
        </w:rPr>
      </w:pPr>
      <w:r>
        <w:rPr>
          <w:rFonts w:hint="eastAsia" w:hAnsi="宋体" w:cs="宋体"/>
          <w:b/>
          <w:color w:val="auto"/>
          <w:sz w:val="24"/>
          <w:highlight w:val="none"/>
        </w:rPr>
        <w:t>6、《南宁市公共服务大数据治理与应用平台项目软件开发与集成项目采购需求》作为本次招标的附件，</w:t>
      </w:r>
      <w:r>
        <w:rPr>
          <w:rFonts w:hint="eastAsia" w:hAnsi="宋体" w:cs="宋体"/>
          <w:b/>
          <w:color w:val="auto"/>
          <w:sz w:val="24"/>
          <w:highlight w:val="none"/>
        </w:rPr>
        <w:t>随本次招标的标书一起</w:t>
      </w:r>
      <w:r>
        <w:rPr>
          <w:rFonts w:hint="eastAsia" w:hAnsi="宋体" w:cs="宋体"/>
          <w:b/>
          <w:color w:val="auto"/>
          <w:sz w:val="24"/>
          <w:highlight w:val="none"/>
          <w:lang w:eastAsia="zh-CN"/>
        </w:rPr>
        <w:t>发给投标人</w:t>
      </w:r>
      <w:r>
        <w:rPr>
          <w:rFonts w:hint="eastAsia" w:hAnsi="宋体" w:cs="宋体"/>
          <w:b/>
          <w:color w:val="auto"/>
          <w:sz w:val="24"/>
          <w:highlight w:val="none"/>
        </w:rPr>
        <w:t>。</w:t>
      </w:r>
    </w:p>
    <w:tbl>
      <w:tblPr>
        <w:tblStyle w:val="3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8"/>
        <w:gridCol w:w="975"/>
        <w:gridCol w:w="659"/>
        <w:gridCol w:w="718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5" w:hRule="atLeast"/>
          <w:jc w:val="center"/>
        </w:trPr>
        <w:tc>
          <w:tcPr>
            <w:tcW w:w="578"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spacing w:line="360" w:lineRule="auto"/>
              <w:jc w:val="center"/>
              <w:rPr>
                <w:rFonts w:ascii="宋体" w:hAnsi="宋体" w:cs="宋体"/>
                <w:b/>
                <w:color w:val="auto"/>
                <w:szCs w:val="21"/>
                <w:highlight w:val="none"/>
              </w:rPr>
            </w:pPr>
            <w:r>
              <w:rPr>
                <w:rFonts w:hint="eastAsia" w:ascii="宋体" w:hAnsi="宋体" w:cs="宋体"/>
                <w:b/>
                <w:color w:val="auto"/>
                <w:szCs w:val="21"/>
                <w:highlight w:val="none"/>
              </w:rPr>
              <w:t>项号</w:t>
            </w:r>
          </w:p>
        </w:tc>
        <w:tc>
          <w:tcPr>
            <w:tcW w:w="9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Cs w:val="21"/>
                <w:highlight w:val="none"/>
              </w:rPr>
            </w:pPr>
            <w:r>
              <w:rPr>
                <w:rFonts w:hint="eastAsia" w:ascii="宋体" w:hAnsi="宋体" w:cs="宋体"/>
                <w:b/>
                <w:color w:val="auto"/>
                <w:szCs w:val="21"/>
                <w:highlight w:val="none"/>
              </w:rPr>
              <w:t>服务名称</w:t>
            </w:r>
          </w:p>
        </w:tc>
        <w:tc>
          <w:tcPr>
            <w:tcW w:w="6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Cs w:val="21"/>
                <w:highlight w:val="none"/>
              </w:rPr>
            </w:pPr>
            <w:r>
              <w:rPr>
                <w:rFonts w:hint="eastAsia" w:ascii="宋体" w:hAnsi="宋体" w:cs="宋体"/>
                <w:b/>
                <w:color w:val="auto"/>
                <w:szCs w:val="21"/>
                <w:highlight w:val="none"/>
              </w:rPr>
              <w:t>数量</w:t>
            </w:r>
          </w:p>
        </w:tc>
        <w:tc>
          <w:tcPr>
            <w:tcW w:w="718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Cs w:val="21"/>
                <w:highlight w:val="none"/>
              </w:rPr>
            </w:pPr>
            <w:r>
              <w:rPr>
                <w:rFonts w:hint="eastAsia" w:ascii="宋体" w:hAnsi="宋体" w:cs="宋体"/>
                <w:b/>
                <w:color w:val="auto"/>
                <w:szCs w:val="21"/>
                <w:highlight w:val="none"/>
              </w:rPr>
              <w:t>服务内容及要求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6" w:hRule="atLeast"/>
          <w:jc w:val="center"/>
        </w:trPr>
        <w:tc>
          <w:tcPr>
            <w:tcW w:w="9398"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b/>
                <w:bCs/>
                <w:color w:val="auto"/>
                <w:highlight w:val="none"/>
              </w:rPr>
            </w:pPr>
            <w:r>
              <w:rPr>
                <w:rFonts w:hint="eastAsia" w:ascii="宋体" w:hAnsi="宋体" w:cs="宋体"/>
                <w:b/>
                <w:bCs/>
                <w:color w:val="auto"/>
                <w:kern w:val="0"/>
                <w:szCs w:val="21"/>
                <w:highlight w:val="none"/>
                <w:lang w:bidi="ar"/>
              </w:rPr>
              <w:t>一、可信共享（试点）服务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1" w:hRule="atLeast"/>
          <w:jc w:val="center"/>
        </w:trPr>
        <w:tc>
          <w:tcPr>
            <w:tcW w:w="578"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1</w:t>
            </w:r>
          </w:p>
        </w:tc>
        <w:tc>
          <w:tcPr>
            <w:tcW w:w="97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szCs w:val="21"/>
                <w:highlight w:val="none"/>
              </w:rPr>
            </w:pPr>
            <w:r>
              <w:rPr>
                <w:rFonts w:hint="eastAsia" w:ascii="宋体" w:hAnsi="宋体" w:cs="宋体"/>
                <w:color w:val="auto"/>
                <w:kern w:val="0"/>
                <w:szCs w:val="21"/>
                <w:highlight w:val="none"/>
                <w:lang w:bidi="ar"/>
              </w:rPr>
              <w:t>可信共享（试点）服务</w:t>
            </w:r>
          </w:p>
        </w:tc>
        <w:tc>
          <w:tcPr>
            <w:tcW w:w="659"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1项</w:t>
            </w:r>
          </w:p>
        </w:tc>
        <w:tc>
          <w:tcPr>
            <w:tcW w:w="7186" w:type="dxa"/>
            <w:tcBorders>
              <w:top w:val="single" w:color="auto" w:sz="4" w:space="0"/>
              <w:left w:val="single" w:color="auto" w:sz="4" w:space="0"/>
              <w:bottom w:val="single" w:color="auto" w:sz="4" w:space="0"/>
              <w:right w:val="single" w:color="auto" w:sz="4" w:space="0"/>
            </w:tcBorders>
            <w:vAlign w:val="center"/>
          </w:tcPr>
          <w:p>
            <w:pPr>
              <w:spacing w:line="360" w:lineRule="auto"/>
              <w:ind w:firstLine="422" w:firstLineChars="200"/>
              <w:rPr>
                <w:rFonts w:ascii="宋体" w:hAnsi="宋体" w:cs="宋体"/>
                <w:b/>
                <w:bCs/>
                <w:color w:val="auto"/>
                <w:highlight w:val="none"/>
              </w:rPr>
            </w:pPr>
            <w:r>
              <w:rPr>
                <w:rFonts w:hint="eastAsia" w:ascii="宋体" w:hAnsi="宋体" w:cs="宋体"/>
                <w:b/>
                <w:bCs/>
                <w:color w:val="auto"/>
                <w:highlight w:val="none"/>
              </w:rPr>
              <w:t>一、系统概述：</w:t>
            </w:r>
          </w:p>
          <w:p>
            <w:pPr>
              <w:spacing w:line="360" w:lineRule="auto"/>
              <w:ind w:firstLine="420" w:firstLineChars="200"/>
              <w:rPr>
                <w:rFonts w:ascii="宋体" w:hAnsi="宋体" w:cs="宋体"/>
                <w:color w:val="auto"/>
                <w:kern w:val="0"/>
                <w:szCs w:val="21"/>
                <w:highlight w:val="none"/>
                <w:lang w:bidi="ar"/>
              </w:rPr>
            </w:pPr>
            <w:r>
              <w:rPr>
                <w:rFonts w:hint="eastAsia" w:ascii="宋体" w:hAnsi="宋体" w:cs="宋体"/>
                <w:color w:val="auto"/>
                <w:highlight w:val="none"/>
              </w:rPr>
              <w:t>中标人</w:t>
            </w:r>
            <w:r>
              <w:rPr>
                <w:rFonts w:hint="eastAsia" w:ascii="宋体" w:hAnsi="宋体" w:cs="宋体"/>
                <w:color w:val="auto"/>
                <w:kern w:val="0"/>
                <w:szCs w:val="21"/>
                <w:highlight w:val="none"/>
                <w:lang w:bidi="ar"/>
              </w:rPr>
              <w:t>必须根据本项目初步设计方案提供可信共享（试点）平台，可信共享（试点）平台包括可信共享平台和可信共享（试点）服务定制开发两部分内容。系统建设完成后部署在南宁市电子政务云平台。中标人必须配合南宁市公共服务大数据治理与应用平台项目软件开发与集成项目完成数据中台的深化设计方案衔接、测试、联调等相关工作，须与南宁市公共服务大数据治理与应用平台项目软件开发与集成项目的数据中台统一用户中心及服务管理系统进行集成，使项目作为一个有机整体，能够协调、高效地运行。</w:t>
            </w:r>
          </w:p>
          <w:p>
            <w:pPr>
              <w:spacing w:line="360" w:lineRule="auto"/>
              <w:ind w:firstLine="422" w:firstLineChars="200"/>
              <w:rPr>
                <w:rFonts w:ascii="宋体" w:hAnsi="宋体" w:cs="宋体"/>
                <w:b/>
                <w:bCs/>
                <w:color w:val="auto"/>
                <w:highlight w:val="none"/>
              </w:rPr>
            </w:pPr>
            <w:r>
              <w:rPr>
                <w:rFonts w:hint="eastAsia" w:ascii="宋体" w:hAnsi="宋体" w:cs="宋体"/>
                <w:b/>
                <w:bCs/>
                <w:color w:val="auto"/>
                <w:highlight w:val="none"/>
              </w:rPr>
              <w:t>二、建设内容：</w:t>
            </w:r>
          </w:p>
          <w:p>
            <w:pPr>
              <w:spacing w:line="360" w:lineRule="auto"/>
              <w:ind w:firstLine="422" w:firstLineChars="200"/>
              <w:rPr>
                <w:rFonts w:ascii="宋体" w:hAnsi="宋体" w:cs="宋体"/>
                <w:b/>
                <w:bCs/>
                <w:color w:val="auto"/>
                <w:kern w:val="0"/>
                <w:szCs w:val="21"/>
                <w:highlight w:val="none"/>
                <w:lang w:bidi="ar"/>
              </w:rPr>
            </w:pPr>
          </w:p>
          <w:p>
            <w:pPr>
              <w:spacing w:line="360" w:lineRule="auto"/>
              <w:ind w:firstLine="422" w:firstLineChars="200"/>
              <w:rPr>
                <w:rFonts w:ascii="宋体" w:hAnsi="宋体" w:cs="宋体"/>
                <w:b/>
                <w:bCs/>
                <w:color w:val="auto"/>
                <w:kern w:val="0"/>
                <w:szCs w:val="21"/>
                <w:highlight w:val="none"/>
                <w:lang w:bidi="ar"/>
              </w:rPr>
            </w:pPr>
            <w:r>
              <w:rPr>
                <w:rFonts w:hint="eastAsia" w:ascii="宋体" w:hAnsi="宋体" w:cs="宋体"/>
                <w:b/>
                <w:bCs/>
                <w:color w:val="auto"/>
                <w:kern w:val="0"/>
                <w:szCs w:val="21"/>
                <w:highlight w:val="none"/>
                <w:lang w:bidi="ar"/>
              </w:rPr>
              <w:t>（一）可信共享平台</w:t>
            </w:r>
          </w:p>
          <w:p>
            <w:pPr>
              <w:spacing w:line="360" w:lineRule="auto"/>
              <w:ind w:firstLine="482" w:firstLineChars="200"/>
              <w:rPr>
                <w:rFonts w:ascii="宋体" w:hAnsi="宋体" w:cs="宋体"/>
                <w:color w:val="auto"/>
                <w:kern w:val="0"/>
                <w:szCs w:val="21"/>
                <w:highlight w:val="none"/>
                <w:lang w:bidi="ar"/>
              </w:rPr>
            </w:pPr>
            <w:r>
              <w:rPr>
                <w:rFonts w:hint="eastAsia" w:asciiTheme="minorEastAsia" w:hAnsiTheme="minorEastAsia" w:eastAsiaTheme="minorEastAsia"/>
                <w:b/>
                <w:color w:val="auto"/>
                <w:sz w:val="24"/>
                <w:highlight w:val="none"/>
              </w:rPr>
              <w:t>★</w:t>
            </w:r>
            <w:r>
              <w:rPr>
                <w:rFonts w:hint="eastAsia" w:ascii="宋体" w:hAnsi="宋体" w:cs="宋体"/>
                <w:color w:val="auto"/>
                <w:kern w:val="0"/>
                <w:szCs w:val="21"/>
                <w:highlight w:val="none"/>
                <w:lang w:bidi="ar"/>
              </w:rPr>
              <w:t>可信共享平台含图式分布式账本系统、智能合约引擎系统两大核心模块，另外包含国密算法、点对点通信网络等技术模块。要求提供17个节点授权，支撑上层的电子证照上链、资源目录上链及可信共享应用等上层应用。其中预留至少4个节点用于电子证照节点，至少6个节点用于资源目录上链，至少4个节点用于可信共享应用，另外冗余3个节点。</w:t>
            </w:r>
          </w:p>
          <w:p>
            <w:pPr>
              <w:spacing w:line="360" w:lineRule="auto"/>
              <w:ind w:firstLine="422" w:firstLineChars="200"/>
              <w:rPr>
                <w:rFonts w:ascii="宋体" w:hAnsi="宋体" w:cs="宋体"/>
                <w:b/>
                <w:bCs/>
                <w:color w:val="auto"/>
                <w:kern w:val="0"/>
                <w:szCs w:val="21"/>
                <w:highlight w:val="none"/>
                <w:lang w:bidi="ar"/>
              </w:rPr>
            </w:pPr>
            <w:r>
              <w:rPr>
                <w:rFonts w:hint="eastAsia" w:ascii="宋体" w:hAnsi="宋体" w:cs="宋体"/>
                <w:b/>
                <w:bCs/>
                <w:color w:val="auto"/>
                <w:highlight w:val="none"/>
              </w:rPr>
              <w:t>1、</w:t>
            </w:r>
            <w:r>
              <w:rPr>
                <w:rFonts w:hint="eastAsia" w:ascii="宋体" w:hAnsi="宋体" w:cs="宋体"/>
                <w:b/>
                <w:bCs/>
                <w:color w:val="auto"/>
                <w:kern w:val="0"/>
                <w:szCs w:val="21"/>
                <w:highlight w:val="none"/>
                <w:lang w:bidi="ar"/>
              </w:rPr>
              <w:t>图式分布式账本</w:t>
            </w:r>
          </w:p>
          <w:p>
            <w:pPr>
              <w:spacing w:line="360" w:lineRule="auto"/>
              <w:ind w:firstLine="420" w:firstLineChars="200"/>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图式分布式账本为可信共享平台提供数据防篡改的可信存证功能。系统包括底层技术模块和可信存证服务模块两大核心模块，其中底层技术模块是在大数据场景下实现数据防篡改的技术基础。</w:t>
            </w:r>
            <w:r>
              <w:rPr>
                <w:rFonts w:hint="eastAsia" w:ascii="宋体" w:hAnsi="宋体" w:cs="宋体"/>
                <w:color w:val="auto"/>
                <w:highlight w:val="none"/>
              </w:rPr>
              <w:t>可信存证服务模块是支持上层区块链BaaS管理平台及其他业务系统的技术服务接口。</w:t>
            </w:r>
          </w:p>
          <w:p>
            <w:pPr>
              <w:spacing w:line="360" w:lineRule="auto"/>
              <w:ind w:firstLine="482" w:firstLineChars="200"/>
              <w:rPr>
                <w:rFonts w:ascii="宋体" w:hAnsi="宋体" w:cs="宋体"/>
                <w:color w:val="auto"/>
                <w:kern w:val="0"/>
                <w:szCs w:val="21"/>
                <w:highlight w:val="none"/>
                <w:lang w:bidi="ar"/>
              </w:rPr>
            </w:pPr>
            <w:r>
              <w:rPr>
                <w:rFonts w:hint="eastAsia" w:asciiTheme="minorEastAsia" w:hAnsiTheme="minorEastAsia" w:eastAsiaTheme="minorEastAsia"/>
                <w:b/>
                <w:color w:val="auto"/>
                <w:sz w:val="24"/>
                <w:highlight w:val="none"/>
              </w:rPr>
              <w:t>★</w:t>
            </w:r>
            <w:r>
              <w:rPr>
                <w:rFonts w:hint="eastAsia" w:ascii="宋体" w:hAnsi="宋体" w:cs="宋体"/>
                <w:color w:val="auto"/>
                <w:kern w:val="0"/>
                <w:szCs w:val="21"/>
                <w:highlight w:val="none"/>
                <w:lang w:bidi="ar"/>
              </w:rPr>
              <w:t>（1）底层技术模块</w:t>
            </w:r>
          </w:p>
          <w:p>
            <w:pPr>
              <w:spacing w:line="360" w:lineRule="auto"/>
              <w:ind w:firstLine="420" w:firstLineChars="200"/>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要求包括功能模块：图式账本结构、 随机共识机制、分布式账本高效查询机制。</w:t>
            </w:r>
          </w:p>
          <w:p>
            <w:pPr>
              <w:spacing w:line="360" w:lineRule="auto"/>
              <w:ind w:firstLine="482" w:firstLineChars="200"/>
              <w:rPr>
                <w:rFonts w:ascii="宋体" w:hAnsi="宋体" w:cs="宋体"/>
                <w:color w:val="auto"/>
                <w:kern w:val="0"/>
                <w:szCs w:val="21"/>
                <w:highlight w:val="none"/>
                <w:lang w:bidi="ar"/>
              </w:rPr>
            </w:pPr>
            <w:r>
              <w:rPr>
                <w:rFonts w:hint="eastAsia" w:asciiTheme="minorEastAsia" w:hAnsiTheme="minorEastAsia" w:eastAsiaTheme="minorEastAsia"/>
                <w:b/>
                <w:color w:val="auto"/>
                <w:sz w:val="24"/>
                <w:highlight w:val="none"/>
              </w:rPr>
              <w:t>★</w:t>
            </w:r>
            <w:r>
              <w:rPr>
                <w:rFonts w:hint="eastAsia" w:ascii="宋体" w:hAnsi="宋体" w:cs="宋体"/>
                <w:color w:val="auto"/>
                <w:kern w:val="0"/>
                <w:szCs w:val="21"/>
                <w:highlight w:val="none"/>
                <w:lang w:bidi="ar"/>
              </w:rPr>
              <w:t>（2）可信存证服务模块</w:t>
            </w:r>
          </w:p>
          <w:p>
            <w:pPr>
              <w:spacing w:line="360" w:lineRule="auto"/>
              <w:ind w:firstLine="420" w:firstLineChars="200"/>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可信存证服务模块为智能合约引擎、区块链BaaS管理平台和其他可信数据平台及应用提供可信存证基础服务，提供可信存证与查询溯源接口。能通过接口封装，方便用户使用分布式账本。</w:t>
            </w:r>
          </w:p>
          <w:p>
            <w:pPr>
              <w:spacing w:line="360" w:lineRule="auto"/>
              <w:ind w:firstLine="422" w:firstLineChars="200"/>
              <w:rPr>
                <w:rFonts w:ascii="宋体" w:hAnsi="宋体" w:cs="宋体"/>
                <w:b/>
                <w:bCs/>
                <w:color w:val="auto"/>
                <w:highlight w:val="none"/>
              </w:rPr>
            </w:pPr>
            <w:r>
              <w:rPr>
                <w:rFonts w:hint="eastAsia" w:ascii="宋体" w:hAnsi="宋体" w:cs="宋体"/>
                <w:b/>
                <w:bCs/>
                <w:color w:val="auto"/>
                <w:kern w:val="0"/>
                <w:szCs w:val="21"/>
                <w:highlight w:val="none"/>
                <w:lang w:bidi="ar"/>
              </w:rPr>
              <w:t>2、</w:t>
            </w:r>
            <w:r>
              <w:rPr>
                <w:rFonts w:hint="eastAsia" w:ascii="宋体" w:hAnsi="宋体" w:cs="宋体"/>
                <w:b/>
                <w:bCs/>
                <w:color w:val="auto"/>
                <w:highlight w:val="none"/>
              </w:rPr>
              <w:t>智能合约引擎</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智能合约引擎为可信共享平台提供数据可信计算功能。系统包括底层技术模块和可信服务计算服务模块两大核心模块，其中底层技术模块是在大数据场景下实现数据可信计算的技术基础；可信计算服务模块是为了实现智能合约引擎与大数据场景结合。</w:t>
            </w:r>
          </w:p>
          <w:p>
            <w:pPr>
              <w:spacing w:line="360" w:lineRule="auto"/>
              <w:ind w:firstLine="482" w:firstLineChars="200"/>
              <w:rPr>
                <w:rFonts w:ascii="宋体" w:hAnsi="宋体" w:cs="宋体"/>
                <w:color w:val="auto"/>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highlight w:val="none"/>
              </w:rPr>
              <w:t>（1）底层技术模块</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包括基于内存的智能合约、智能合约元信息资源索引与查询、智能合约执行器。</w:t>
            </w:r>
          </w:p>
          <w:p>
            <w:pPr>
              <w:spacing w:line="360" w:lineRule="auto"/>
              <w:ind w:firstLine="482" w:firstLineChars="200"/>
              <w:rPr>
                <w:rFonts w:ascii="宋体" w:hAnsi="宋体" w:cs="宋体"/>
                <w:color w:val="auto"/>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highlight w:val="none"/>
              </w:rPr>
              <w:t>（2）可信服务计算服务模块</w:t>
            </w:r>
          </w:p>
          <w:p>
            <w:pPr>
              <w:spacing w:line="360" w:lineRule="auto"/>
              <w:ind w:firstLine="420" w:firstLineChars="200"/>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包括跨语言的第三方库调用、智能合约全生命周期管理。</w:t>
            </w:r>
          </w:p>
          <w:p>
            <w:pPr>
              <w:spacing w:line="360" w:lineRule="auto"/>
              <w:ind w:firstLine="420" w:firstLineChars="200"/>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跨语言的第三方库调用：智能合约引擎通过建立编程语言间的模型映射实现跨语言的方法调用解决跨语言第三方库复用的方式，进而实现了对第三方库的调用。</w:t>
            </w:r>
          </w:p>
          <w:p>
            <w:pPr>
              <w:spacing w:line="360" w:lineRule="auto"/>
              <w:ind w:firstLine="420" w:firstLineChars="200"/>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智能合约全生命周期管理：实现智能合约全生命周期管理，包括编译、部署、停止、调用、日志自动上链等功能。</w:t>
            </w:r>
          </w:p>
          <w:p>
            <w:pPr>
              <w:spacing w:line="360" w:lineRule="auto"/>
              <w:ind w:firstLine="422" w:firstLineChars="200"/>
              <w:rPr>
                <w:rFonts w:ascii="宋体" w:hAnsi="宋体" w:cs="宋体"/>
                <w:b/>
                <w:bCs/>
                <w:color w:val="auto"/>
                <w:kern w:val="0"/>
                <w:szCs w:val="21"/>
                <w:highlight w:val="none"/>
                <w:lang w:bidi="ar"/>
              </w:rPr>
            </w:pPr>
            <w:r>
              <w:rPr>
                <w:rFonts w:hint="eastAsia" w:ascii="宋体" w:hAnsi="宋体" w:cs="宋体"/>
                <w:b/>
                <w:bCs/>
                <w:color w:val="auto"/>
                <w:kern w:val="0"/>
                <w:szCs w:val="21"/>
                <w:highlight w:val="none"/>
                <w:lang w:bidi="ar"/>
              </w:rPr>
              <w:t>3、区块链BaaS管理</w:t>
            </w:r>
          </w:p>
          <w:p>
            <w:pPr>
              <w:spacing w:line="360" w:lineRule="auto"/>
              <w:ind w:firstLine="482" w:firstLineChars="200"/>
              <w:rPr>
                <w:rFonts w:ascii="宋体" w:hAnsi="宋体" w:cs="宋体"/>
                <w:color w:val="auto"/>
                <w:kern w:val="0"/>
                <w:szCs w:val="21"/>
                <w:highlight w:val="none"/>
                <w:lang w:bidi="ar"/>
              </w:rPr>
            </w:pPr>
            <w:r>
              <w:rPr>
                <w:rFonts w:hint="eastAsia" w:asciiTheme="minorEastAsia" w:hAnsiTheme="minorEastAsia" w:eastAsiaTheme="minorEastAsia"/>
                <w:b/>
                <w:color w:val="auto"/>
                <w:sz w:val="24"/>
                <w:highlight w:val="none"/>
              </w:rPr>
              <w:t>★</w:t>
            </w:r>
            <w:r>
              <w:rPr>
                <w:rFonts w:hint="eastAsia" w:ascii="宋体" w:hAnsi="宋体" w:cs="宋体"/>
                <w:color w:val="auto"/>
                <w:kern w:val="0"/>
                <w:szCs w:val="21"/>
                <w:highlight w:val="none"/>
                <w:lang w:bidi="ar"/>
              </w:rPr>
              <w:t>（1）基础运维管理</w:t>
            </w:r>
          </w:p>
          <w:p>
            <w:pPr>
              <w:spacing w:line="360" w:lineRule="auto"/>
              <w:ind w:firstLine="420" w:firstLineChars="200"/>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通过基础运维管理模块，可以在不了解区块链组网等工作原理的情况下实现节点的安装和管理，并可以实时监控区块链的运行情况、硬件资源情况、合约部署等。</w:t>
            </w:r>
          </w:p>
          <w:p>
            <w:pPr>
              <w:spacing w:line="360" w:lineRule="auto"/>
              <w:ind w:firstLine="420" w:firstLineChars="200"/>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包括新建区块链网络、区块链网络管理、区块链网络监管、智能合约监管、用户公私钥管理。</w:t>
            </w:r>
          </w:p>
          <w:p>
            <w:pPr>
              <w:spacing w:line="360" w:lineRule="auto"/>
              <w:ind w:firstLine="482" w:firstLineChars="200"/>
              <w:rPr>
                <w:rFonts w:ascii="宋体" w:hAnsi="宋体" w:cs="宋体"/>
                <w:color w:val="auto"/>
                <w:kern w:val="0"/>
                <w:szCs w:val="21"/>
                <w:highlight w:val="none"/>
                <w:lang w:bidi="ar"/>
              </w:rPr>
            </w:pPr>
            <w:r>
              <w:rPr>
                <w:rFonts w:hint="eastAsia" w:asciiTheme="minorEastAsia" w:hAnsiTheme="minorEastAsia" w:eastAsiaTheme="minorEastAsia"/>
                <w:b/>
                <w:color w:val="auto"/>
                <w:sz w:val="24"/>
                <w:highlight w:val="none"/>
              </w:rPr>
              <w:t>★</w:t>
            </w:r>
            <w:r>
              <w:rPr>
                <w:rFonts w:hint="eastAsia" w:ascii="宋体" w:hAnsi="宋体" w:cs="宋体"/>
                <w:color w:val="auto"/>
                <w:kern w:val="0"/>
                <w:szCs w:val="21"/>
                <w:highlight w:val="none"/>
                <w:lang w:bidi="ar"/>
              </w:rPr>
              <w:t>（2）开发者平台</w:t>
            </w:r>
          </w:p>
          <w:p>
            <w:pPr>
              <w:spacing w:line="360" w:lineRule="auto"/>
              <w:ind w:firstLine="420" w:firstLineChars="200"/>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使用南宁市数据中台提供的政务数据以及可信共享平台提供的智能合约进行可信数据应用，通过平台的技术能力实现“数据可用不可得”、“数据不动算法动”。</w:t>
            </w:r>
          </w:p>
          <w:p>
            <w:pPr>
              <w:spacing w:line="360" w:lineRule="auto"/>
              <w:ind w:firstLine="420" w:firstLineChars="200"/>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包括合约管理、合约开发编辑器、合约详情模块。</w:t>
            </w:r>
          </w:p>
          <w:p>
            <w:pPr>
              <w:spacing w:line="360" w:lineRule="auto"/>
              <w:ind w:firstLine="422" w:firstLineChars="200"/>
              <w:rPr>
                <w:rFonts w:asciiTheme="minorEastAsia" w:hAnsiTheme="minorEastAsia" w:eastAsiaTheme="minorEastAsia"/>
                <w:b/>
                <w:color w:val="auto"/>
                <w:sz w:val="24"/>
                <w:highlight w:val="none"/>
              </w:rPr>
            </w:pPr>
            <w:r>
              <w:rPr>
                <w:rFonts w:hint="eastAsia" w:ascii="宋体" w:hAnsi="宋体" w:cs="宋体"/>
                <w:b/>
                <w:bCs/>
                <w:color w:val="auto"/>
                <w:kern w:val="0"/>
                <w:szCs w:val="21"/>
                <w:highlight w:val="none"/>
                <w:lang w:bidi="ar"/>
              </w:rPr>
              <w:t>（二）可信共享（试点）服务定制开发</w:t>
            </w:r>
          </w:p>
          <w:p>
            <w:pPr>
              <w:spacing w:line="360" w:lineRule="auto"/>
              <w:ind w:firstLine="420" w:firstLineChars="200"/>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包括目录上链服务、数据合约目录服务、创建数据合约服务、数据合约申请审批服务、统一服务管理等内容。</w:t>
            </w:r>
          </w:p>
          <w:p>
            <w:pPr>
              <w:spacing w:line="360" w:lineRule="auto"/>
              <w:ind w:firstLine="422" w:firstLineChars="200"/>
              <w:rPr>
                <w:rFonts w:ascii="宋体" w:hAnsi="宋体" w:cs="宋体"/>
                <w:b/>
                <w:bCs/>
                <w:color w:val="auto"/>
                <w:kern w:val="0"/>
                <w:szCs w:val="21"/>
                <w:highlight w:val="none"/>
                <w:lang w:bidi="ar"/>
              </w:rPr>
            </w:pPr>
            <w:r>
              <w:rPr>
                <w:rFonts w:hint="eastAsia" w:ascii="宋体" w:hAnsi="宋体" w:cs="宋体"/>
                <w:b/>
                <w:bCs/>
                <w:color w:val="auto"/>
                <w:kern w:val="0"/>
                <w:szCs w:val="21"/>
                <w:highlight w:val="none"/>
                <w:lang w:bidi="ar"/>
              </w:rPr>
              <w:t>1、目录上链服务</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（1）已有数据目录批量上链</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对于已有的数据目录，支持将这些数据批量逐个上链，对于每条数据目录，返回一个哈希值供日后进行查验。</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（2）新建数据目录上链</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可信共享平台提供可信存证接口，供目录系统进行调用。</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当新建数据目录的时候，调用接口将数据目录存证到可信共享平台上，平台返回哈希值给目录系统，由目录系统在数据库存储，方便日后的查证。</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（3）数据目录更新、删除上链</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可信共享平台提供可信存证接口，供目录系统调用。</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当数据目录进行更新或删除操作的时候，调用接口将更新后的数据资源目录或删除操作存证到可信共享平台上，平台返回哈希值给目录系统，由目录系统在数据库存储，并进行不同时间哈希值的版本维护，方便日后的查证。</w:t>
            </w:r>
          </w:p>
          <w:p>
            <w:pPr>
              <w:spacing w:line="360" w:lineRule="auto"/>
              <w:ind w:firstLine="482" w:firstLineChars="200"/>
              <w:rPr>
                <w:rFonts w:ascii="宋体" w:hAnsi="宋体" w:cs="宋体"/>
                <w:b/>
                <w:bCs/>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b/>
                <w:bCs/>
                <w:color w:val="auto"/>
                <w:szCs w:val="21"/>
                <w:highlight w:val="none"/>
              </w:rPr>
              <w:t>2、数据合约目录服务</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支持每个数据目录对应一个数据合约，由目录系统调用可信共享平台相关接口实现在数据库中维护数据目录与数据合约访问地址之间的关系。</w:t>
            </w:r>
          </w:p>
          <w:p>
            <w:pPr>
              <w:spacing w:line="360" w:lineRule="auto"/>
              <w:ind w:firstLine="482" w:firstLineChars="200"/>
              <w:rPr>
                <w:rFonts w:ascii="宋体" w:hAnsi="宋体" w:cs="宋体"/>
                <w:b/>
                <w:bCs/>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b/>
                <w:bCs/>
                <w:color w:val="auto"/>
                <w:szCs w:val="21"/>
                <w:highlight w:val="none"/>
              </w:rPr>
              <w:t>3、创建数据合约服务</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支持通过简单的界面操作将需要进行有条件共享的数据以数据合约的形式挂接到数据合约目录中。支持数据库、接口、文件三种形式的数据合约创建操作。</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对于数据库、接口、文件三种类型的数据，目录系统各开发一个表单界面，由委办局工作人员填写数据接入的相关信息。完成填写后，调用可信共享平台合约创建接口。可信共享平台按照表单信息创建合约后返回合约地址，由目录系统进行合约地址与数据资源目录的关系维护。</w:t>
            </w:r>
          </w:p>
          <w:p>
            <w:pPr>
              <w:spacing w:line="360" w:lineRule="auto"/>
              <w:ind w:firstLine="482" w:firstLineChars="200"/>
              <w:rPr>
                <w:rFonts w:ascii="宋体" w:hAnsi="宋体" w:cs="宋体"/>
                <w:b/>
                <w:bCs/>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b/>
                <w:bCs/>
                <w:color w:val="auto"/>
                <w:szCs w:val="21"/>
                <w:highlight w:val="none"/>
              </w:rPr>
              <w:t>4、数据合约申请审批服务</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可信共享平台提供申请审核所需要的数据，触发申请审核流程。</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在区块链的开发者平台中创建应用合约，选择管理数据合约并且完成开发测试流程后，可信共享平台自动触发相应数据合约的审核流程。</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可信共享平台自动根据数据合约的格式信息生成模拟数据，调用相应的应用合约，得到合约执行模拟数据的返回结果。将应用合约代码、模拟数据、模拟返回结果提交给数据提供方的工作人员进行审核。</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所有数据源审核通过，则代码上链，应用合约可以调用真实数据进行数据分析；若数据源审核不通过，通知开发者审核结果，开发者可以对应用合约代码进行修改后重新提交。</w:t>
            </w:r>
          </w:p>
          <w:p>
            <w:pPr>
              <w:spacing w:line="360" w:lineRule="auto"/>
              <w:ind w:firstLine="482" w:firstLineChars="200"/>
              <w:rPr>
                <w:rFonts w:ascii="宋体" w:hAnsi="宋体" w:cs="宋体"/>
                <w:b/>
                <w:bCs/>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b/>
                <w:bCs/>
                <w:color w:val="auto"/>
                <w:szCs w:val="21"/>
                <w:highlight w:val="none"/>
              </w:rPr>
              <w:t>5、统一服务管理对接</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数据中台需实现对所有服务进行统一管理，可信共享平台提供的可信共享服务也在统一管理的范围之内，需要跟数据中台的统一用户中心进行对接，实现统一用户、统一认证、统一审计、统一消息、单点登录等功能。</w:t>
            </w:r>
          </w:p>
          <w:p>
            <w:pPr>
              <w:spacing w:line="360" w:lineRule="auto"/>
              <w:ind w:firstLine="422" w:firstLineChars="200"/>
              <w:rPr>
                <w:rFonts w:ascii="宋体" w:hAnsi="宋体" w:cs="宋体"/>
                <w:b/>
                <w:bCs/>
                <w:color w:val="auto"/>
                <w:kern w:val="0"/>
                <w:szCs w:val="21"/>
                <w:highlight w:val="none"/>
                <w:lang w:bidi="ar"/>
              </w:rPr>
            </w:pPr>
            <w:r>
              <w:rPr>
                <w:rFonts w:hint="eastAsia" w:ascii="宋体" w:hAnsi="宋体" w:cs="宋体"/>
                <w:b/>
                <w:bCs/>
                <w:color w:val="auto"/>
                <w:kern w:val="0"/>
                <w:szCs w:val="21"/>
                <w:highlight w:val="none"/>
                <w:lang w:bidi="ar"/>
              </w:rPr>
              <w:t>三、技术要求：</w:t>
            </w:r>
          </w:p>
          <w:p>
            <w:pPr>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（一）可信共享平台功能要求</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1.可信图式分布式账本</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部署在政务外网中，选取重点委办局，每单位提供一个节点共同组成分布式账本网络。通过账本网络成员之间共享、复制和同步数据，提供一个共享数据库。基于其内生的信任机制，分布式账本为存证的数据提供“难以篡改”、“不可伪造”、“全程留痕”、“可以追溯”、“公开透明”、“集体维护”等特征。为上层智能合约引擎、数据中台等其他系统和可信共享服务应用提供可信存证基础设施，为了支撑未来数据资产运行的功能和性能需求，分布式账本应具有数据高吞吐率、存储开销可控、系统高可扩展性的技术能力，并满足以下技术参数：</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（1）图式账本结构：为了提升平台的可扩展性，应采用图式账本，账本由多个区块以有向无环图结构连接而成，区块由事务构成。</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（2）共识机制：考虑性能，要求采用非全网共识机制的共识机制。</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（3）存储成本可控：为控制数据上链所带来的存储资源开销，应具备仅在数目有限的节点之上存储上链数据拷贝，而无需全网同步，即可实现区块中的数据难以篡改。</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（4）数据可信存证：向账本网络发送一笔事务，将可信存证的数据经过打包产块、共识机制、备份机制后，在账本上形成难以篡改的记录。对于每一条存证记录，返回一个哈希值。</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（5）数据核验查询:可以通过数据存证过程中返回的哈希值到账本上查询数据，并进行数据的核验与溯源。支持多种查询方式。</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（6）管理功能：支持面向不同可信应用，创建多个数据相互隔离的独立账本；支持查询当前存在的账本列表。</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（7）开发工具：为了方便项目的后续开发和集成，要求提供多种开发工具，包括编程语言SDK、API接口、CLI工具、UI工具等。</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2.智能合约引擎</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智能合约引擎运行于政务外网中多个政府委办局共同提供的虚拟机之上，针对政府中多源异构的数据资源，提供一套计算逻辑不可篡改的计算基础设施。合约引擎须针对有条件开放的数据，依托政务外网中可信的节点，通过对计算逻辑的“随机分发”和“多方签名”机制来实现数据使用逻辑的如约执行，实现“数据可用不可得”，保证这些数据资源按申请时的逻辑使用，避免数据泄漏和滥用。为了满足数据可信共享应用的相关需求，合约引擎应满足以下技术参数：</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（1）基于内存的智能合约：支持自适应切换智能合约状态的内存持久化与硬盘持久化策略，大幅度缩短智能合约的执行确认时间、响应时间。</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（2）智能合约元信息资源索引与查询：支持在大规模网络环境下，实现对智能合约元信息的高效索引与查询。</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（3）跨语言调用：通过建立编程语言间的模型映射实现跨语言的方法调用解决跨语言第三方库复用的方式，实现对第三方库的调用。</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（4）计算过程可信存证：支持配置合约执行过程中可信记录的类型和粒度，在合约执行过程中，自动将相应类型和级别的过程记录到图式分布式账本上，保证数据来源的可信性。</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（5）支持智能合约生命周期管理：包括编译、部署、停止、调用、日志自动上链等功能。</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3.区块链BaaS管理平台</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（1）基础运维管理</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基础运维管理的主要定位是面向系统管理者及运维者，方便管理者了解区块链平台整体的运行情况。管理运维平台应支持以下功能：</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（1）节点管理：支持对区块链网络中节点进行查看、新增等功能。</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（2）网络管理：支持区块浏览器、网络监控两个基本功能。</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（3）智能合约管理：支持查看网络中所有的应用智能合约列表，查看合约的详情、日志等信息。支持管理员强制停止合约等功能。</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（4）用户管理：支持用户登录、用户权限管理、用户公私钥管理等功能。</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 开发者平台</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开发者平台面向智能合约的开发人员，主要包含合约开发编辑器、合约管理、合约详情等模块。提供完整的平台使用说明、合约语言说明，并内置智能合约模板，大大降低合约开发人员的开发成本。</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（1）合约开发编辑器：支持合约开发项目的管理，及合约代码的浏览、编辑功能。支持合约测试及合约生命周期界面化操作。</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（2）合约管理：支持合约创建、合约模板选择、上传合约、合约配置等功能。</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（3）合约详情：支持合约基本信息查询、合约升级、合约编辑、提交审核、部署合约的功能。</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4.可信共享服务及上链应用支撑服务</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为南宁市聚通用中的其他系统提供可信存证与可信计算服务。支撑数据库的数据目录上链可信存证，实现“数据可用不可得”的数据使用方式。</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（1）图式分布式账本写入服务:提供图式分布式账本写入接口，供数据共享服务系统调用，支持数据目录上链功能。</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（2）可信图式账本读取服务:提供图式分布式账本读取接口，供数据共享服务系统调用，支持审核监管等功能。</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（3）智能合约相关服务:提供智能合约引擎及开发者平台相关接口，供数据共享服务系统调用，支持创建数据合约、查看数据合约目录、数据合约申请审批等功能。</w:t>
            </w:r>
          </w:p>
          <w:p>
            <w:pPr>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（二）可信共享平台性能要求</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1.图式分布式账本须提供在互联网（非局域网）环境下，80节点及以上网络规模的测试报告，要求机器配置及网络带宽为普通配置</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提供不低于</w:t>
            </w:r>
            <w:r>
              <w:rPr>
                <w:rFonts w:hint="eastAsia" w:ascii="宋体" w:hAnsi="宋体" w:cs="宋体"/>
                <w:color w:val="auto"/>
                <w:szCs w:val="21"/>
                <w:highlight w:val="none"/>
              </w:rPr>
              <w:t>双核CPU、4G内存、20M带宽），性能超过10万TPS。</w:t>
            </w:r>
          </w:p>
          <w:p>
            <w:pPr>
              <w:spacing w:line="360" w:lineRule="auto"/>
              <w:ind w:firstLine="482" w:firstLineChars="200"/>
              <w:rPr>
                <w:rFonts w:ascii="宋体" w:hAnsi="宋体" w:cs="宋体"/>
                <w:color w:val="auto"/>
                <w:szCs w:val="21"/>
                <w:highlight w:val="none"/>
              </w:rPr>
            </w:pPr>
            <w:r>
              <w:rPr>
                <w:rFonts w:hint="eastAsia" w:asciiTheme="minorEastAsia" w:hAnsiTheme="minorEastAsia" w:eastAsiaTheme="minorEastAsia"/>
                <w:b/>
                <w:color w:val="auto"/>
                <w:sz w:val="24"/>
                <w:highlight w:val="none"/>
              </w:rPr>
              <w:t>★</w:t>
            </w:r>
            <w:r>
              <w:rPr>
                <w:rFonts w:hint="eastAsia" w:ascii="宋体" w:hAnsi="宋体" w:cs="宋体"/>
                <w:color w:val="auto"/>
                <w:szCs w:val="21"/>
                <w:highlight w:val="none"/>
              </w:rPr>
              <w:t>2.要求平台具有良好的可扩展性，须提供测试报告证明，随着节点数的增多，图式分布式账本的TPS要增大。</w:t>
            </w:r>
          </w:p>
          <w:p>
            <w:pPr>
              <w:spacing w:line="360" w:lineRule="auto"/>
              <w:ind w:firstLine="482" w:firstLineChars="200"/>
              <w:rPr>
                <w:rFonts w:ascii="宋体" w:hAnsi="宋体" w:cs="宋体"/>
                <w:b/>
                <w:bCs/>
                <w:color w:val="auto"/>
                <w:kern w:val="0"/>
                <w:szCs w:val="21"/>
                <w:highlight w:val="none"/>
                <w:lang w:bidi="ar"/>
              </w:rPr>
            </w:pPr>
            <w:r>
              <w:rPr>
                <w:rFonts w:hint="eastAsia" w:asciiTheme="minorEastAsia" w:hAnsiTheme="minorEastAsia" w:eastAsiaTheme="minorEastAsia"/>
                <w:b/>
                <w:color w:val="auto"/>
                <w:sz w:val="24"/>
                <w:highlight w:val="none"/>
              </w:rPr>
              <w:t>★</w:t>
            </w:r>
            <w:r>
              <w:rPr>
                <w:rFonts w:hint="eastAsia" w:ascii="宋体" w:hAnsi="宋体" w:cs="宋体"/>
                <w:b/>
                <w:bCs/>
                <w:color w:val="auto"/>
                <w:kern w:val="0"/>
                <w:szCs w:val="21"/>
                <w:highlight w:val="none"/>
                <w:lang w:bidi="ar"/>
              </w:rPr>
              <w:t>四、后续服务要求：</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项目可信共享（试点）服务完成后，所部署的工具、工具接入的政务数据、以及经过工具运行后的数据资产都归属于建设单位，服务商将移交平台工具以及相关数据资产给建设单位，并保证所有移交资产不存在任何知识产权纠纷。为保障可信共享服务持续运行生效，建设单位可根据运行成效通过招投标选定运维方开展后续运维服务，选定的服务商将继续提供包括平台安装部署、调试和调优、版本升级实施、紧急响应、远程维护、现场技术支持、使用培训等内容服务。本项目可信共享（试点）服务完成后，所部署的软件版权归招标人，著作权为中标人所有。</w:t>
            </w:r>
          </w:p>
        </w:tc>
      </w:tr>
    </w:tbl>
    <w:tbl>
      <w:tblPr>
        <w:tblStyle w:val="37"/>
        <w:tblpPr w:leftFromText="180" w:rightFromText="180" w:vertAnchor="text" w:horzAnchor="page" w:tblpX="1084" w:tblpY="578"/>
        <w:tblOverlap w:val="never"/>
        <w:tblW w:w="98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95"/>
        <w:gridCol w:w="90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64" w:hRule="atLeast"/>
        </w:trPr>
        <w:tc>
          <w:tcPr>
            <w:tcW w:w="795" w:type="dxa"/>
            <w:tcMar>
              <w:top w:w="0" w:type="dxa"/>
              <w:left w:w="108" w:type="dxa"/>
              <w:bottom w:w="0" w:type="dxa"/>
              <w:right w:w="108" w:type="dxa"/>
            </w:tcMar>
            <w:vAlign w:val="center"/>
          </w:tcPr>
          <w:p>
            <w:pPr>
              <w:widowControl/>
              <w:spacing w:line="360" w:lineRule="auto"/>
              <w:jc w:val="center"/>
              <w:rPr>
                <w:rFonts w:ascii="宋体" w:hAnsi="宋体" w:cs="宋体"/>
                <w:b/>
                <w:color w:val="auto"/>
                <w:kern w:val="0"/>
                <w:sz w:val="24"/>
                <w:highlight w:val="none"/>
              </w:rPr>
            </w:pPr>
            <w:r>
              <w:rPr>
                <w:rFonts w:hint="eastAsia" w:ascii="宋体" w:hAnsi="宋体" w:cs="宋体"/>
                <w:b/>
                <w:color w:val="auto"/>
                <w:kern w:val="0"/>
                <w:sz w:val="24"/>
                <w:highlight w:val="none"/>
              </w:rPr>
              <w:t>商</w:t>
            </w:r>
          </w:p>
          <w:p>
            <w:pPr>
              <w:widowControl/>
              <w:spacing w:line="360" w:lineRule="auto"/>
              <w:jc w:val="center"/>
              <w:rPr>
                <w:rFonts w:ascii="宋体" w:hAnsi="宋体" w:cs="宋体"/>
                <w:b/>
                <w:color w:val="auto"/>
                <w:kern w:val="0"/>
                <w:sz w:val="24"/>
                <w:highlight w:val="none"/>
              </w:rPr>
            </w:pPr>
            <w:r>
              <w:rPr>
                <w:rFonts w:hint="eastAsia" w:ascii="宋体" w:hAnsi="宋体" w:cs="宋体"/>
                <w:b/>
                <w:color w:val="auto"/>
                <w:kern w:val="0"/>
                <w:sz w:val="24"/>
                <w:highlight w:val="none"/>
              </w:rPr>
              <w:t>务</w:t>
            </w:r>
          </w:p>
          <w:p>
            <w:pPr>
              <w:widowControl/>
              <w:spacing w:line="360" w:lineRule="auto"/>
              <w:jc w:val="center"/>
              <w:rPr>
                <w:rFonts w:ascii="宋体" w:hAnsi="宋体" w:cs="宋体"/>
                <w:b/>
                <w:color w:val="auto"/>
                <w:kern w:val="0"/>
                <w:sz w:val="24"/>
                <w:highlight w:val="none"/>
              </w:rPr>
            </w:pPr>
            <w:r>
              <w:rPr>
                <w:rFonts w:hint="eastAsia" w:ascii="宋体" w:hAnsi="宋体" w:cs="宋体"/>
                <w:b/>
                <w:color w:val="auto"/>
                <w:kern w:val="0"/>
                <w:sz w:val="24"/>
                <w:highlight w:val="none"/>
              </w:rPr>
              <w:t>条</w:t>
            </w:r>
          </w:p>
          <w:p>
            <w:pPr>
              <w:widowControl/>
              <w:spacing w:line="360" w:lineRule="auto"/>
              <w:jc w:val="center"/>
              <w:rPr>
                <w:rFonts w:ascii="宋体" w:hAnsi="宋体" w:cs="宋体"/>
                <w:b/>
                <w:color w:val="auto"/>
                <w:kern w:val="0"/>
                <w:sz w:val="24"/>
                <w:highlight w:val="none"/>
              </w:rPr>
            </w:pPr>
            <w:r>
              <w:rPr>
                <w:rFonts w:hint="eastAsia" w:ascii="宋体" w:hAnsi="宋体" w:cs="宋体"/>
                <w:b/>
                <w:color w:val="auto"/>
                <w:kern w:val="0"/>
                <w:sz w:val="24"/>
                <w:highlight w:val="none"/>
              </w:rPr>
              <w:t>款</w:t>
            </w:r>
          </w:p>
        </w:tc>
        <w:tc>
          <w:tcPr>
            <w:tcW w:w="9022" w:type="dxa"/>
            <w:tcMar>
              <w:top w:w="0" w:type="dxa"/>
              <w:left w:w="108" w:type="dxa"/>
              <w:bottom w:w="0" w:type="dxa"/>
              <w:right w:w="108" w:type="dxa"/>
            </w:tcMar>
          </w:tcPr>
          <w:p>
            <w:pPr>
              <w:spacing w:line="360" w:lineRule="auto"/>
              <w:rPr>
                <w:rFonts w:ascii="宋体" w:hAnsi="宋体" w:cs="宋体"/>
                <w:color w:val="auto"/>
                <w:sz w:val="24"/>
                <w:highlight w:val="none"/>
              </w:rPr>
            </w:pPr>
            <w:r>
              <w:rPr>
                <w:rFonts w:hint="eastAsia" w:ascii="宋体" w:hAnsi="宋体" w:cs="宋体"/>
                <w:color w:val="auto"/>
                <w:sz w:val="24"/>
                <w:highlight w:val="none"/>
              </w:rPr>
              <w:t>★一、合同签订期：自中标通知书发出之日起</w:t>
            </w:r>
            <w:r>
              <w:rPr>
                <w:rFonts w:hint="eastAsia" w:ascii="宋体" w:hAnsi="宋体" w:cs="宋体"/>
                <w:color w:val="auto"/>
                <w:sz w:val="24"/>
                <w:highlight w:val="none"/>
                <w:lang w:val="en-US" w:eastAsia="zh-CN"/>
              </w:rPr>
              <w:t>25</w:t>
            </w:r>
            <w:r>
              <w:rPr>
                <w:rFonts w:hint="eastAsia" w:ascii="宋体" w:hAnsi="宋体" w:cs="宋体"/>
                <w:color w:val="auto"/>
                <w:sz w:val="24"/>
                <w:highlight w:val="none"/>
              </w:rPr>
              <w:t>日历日内。</w:t>
            </w:r>
          </w:p>
          <w:p>
            <w:pPr>
              <w:spacing w:line="360" w:lineRule="auto"/>
              <w:rPr>
                <w:rFonts w:ascii="宋体" w:hAnsi="宋体" w:cs="宋体"/>
                <w:color w:val="auto"/>
                <w:sz w:val="24"/>
                <w:highlight w:val="none"/>
              </w:rPr>
            </w:pPr>
            <w:r>
              <w:rPr>
                <w:rFonts w:hint="eastAsia" w:ascii="宋体" w:hAnsi="宋体" w:cs="宋体"/>
                <w:color w:val="auto"/>
                <w:sz w:val="24"/>
                <w:highlight w:val="none"/>
              </w:rPr>
              <w:t>★二、提交服务成果时间：自签订合同日算起，在 120</w:t>
            </w:r>
            <w:r>
              <w:rPr>
                <w:rFonts w:ascii="宋体" w:hAnsi="宋体" w:cs="宋体"/>
                <w:color w:val="auto"/>
                <w:sz w:val="24"/>
                <w:highlight w:val="none"/>
              </w:rPr>
              <w:t>日历日内完成建设，达到终验标准</w:t>
            </w:r>
            <w:r>
              <w:rPr>
                <w:rFonts w:hint="eastAsia" w:ascii="宋体" w:hAnsi="宋体" w:cs="宋体"/>
                <w:color w:val="auto"/>
                <w:sz w:val="24"/>
                <w:highlight w:val="none"/>
              </w:rPr>
              <w:t>。</w:t>
            </w:r>
          </w:p>
          <w:p>
            <w:pPr>
              <w:numPr>
                <w:ilvl w:val="0"/>
                <w:numId w:val="2"/>
              </w:numPr>
              <w:spacing w:line="360" w:lineRule="auto"/>
              <w:rPr>
                <w:rFonts w:ascii="宋体" w:hAnsi="宋体" w:cs="宋体"/>
                <w:color w:val="auto"/>
                <w:sz w:val="24"/>
                <w:highlight w:val="none"/>
              </w:rPr>
            </w:pPr>
            <w:r>
              <w:rPr>
                <w:rFonts w:hint="eastAsia" w:ascii="宋体" w:hAnsi="宋体" w:cs="宋体"/>
                <w:color w:val="auto"/>
                <w:sz w:val="24"/>
                <w:highlight w:val="none"/>
              </w:rPr>
              <w:t>提交服务成果地点：南宁市，采购人指定地点。</w:t>
            </w:r>
          </w:p>
          <w:p>
            <w:pPr>
              <w:autoSpaceDE w:val="0"/>
              <w:autoSpaceDN w:val="0"/>
              <w:adjustRightInd w:val="0"/>
              <w:spacing w:line="360" w:lineRule="auto"/>
              <w:rPr>
                <w:rFonts w:ascii="宋体" w:hAnsi="宋体" w:cs="宋体"/>
                <w:color w:val="auto"/>
                <w:sz w:val="24"/>
                <w:highlight w:val="none"/>
                <w:lang w:val="zh-CN"/>
              </w:rPr>
            </w:pPr>
            <w:r>
              <w:rPr>
                <w:rFonts w:hint="eastAsia" w:ascii="宋体" w:hAnsi="宋体" w:cs="宋体"/>
                <w:color w:val="auto"/>
                <w:sz w:val="24"/>
                <w:highlight w:val="none"/>
              </w:rPr>
              <w:t>★</w:t>
            </w:r>
            <w:r>
              <w:rPr>
                <w:rFonts w:hint="eastAsia" w:ascii="宋体" w:hAnsi="宋体" w:cs="宋体"/>
                <w:color w:val="auto"/>
                <w:sz w:val="24"/>
                <w:highlight w:val="none"/>
                <w:lang w:val="zh-CN"/>
              </w:rPr>
              <w:t>四、售后服务要求：</w:t>
            </w:r>
          </w:p>
          <w:p>
            <w:pPr>
              <w:spacing w:line="360" w:lineRule="auto"/>
              <w:rPr>
                <w:rFonts w:ascii="宋体" w:hAnsi="宋体" w:cs="宋体"/>
                <w:color w:val="auto"/>
                <w:sz w:val="24"/>
                <w:highlight w:val="none"/>
              </w:rPr>
            </w:pPr>
            <w:r>
              <w:rPr>
                <w:rFonts w:hint="eastAsia" w:ascii="宋体" w:hAnsi="宋体" w:cs="宋体"/>
                <w:color w:val="auto"/>
                <w:sz w:val="24"/>
                <w:highlight w:val="none"/>
              </w:rPr>
              <w:t>1、售后服务期为终验日起</w:t>
            </w:r>
            <w:r>
              <w:rPr>
                <w:rFonts w:ascii="宋体" w:hAnsi="宋体" w:cs="宋体"/>
                <w:color w:val="auto"/>
                <w:sz w:val="24"/>
                <w:highlight w:val="none"/>
              </w:rPr>
              <w:t>365</w:t>
            </w:r>
            <w:r>
              <w:rPr>
                <w:rFonts w:hint="eastAsia" w:ascii="宋体" w:hAnsi="宋体" w:cs="宋体"/>
                <w:color w:val="auto"/>
                <w:sz w:val="24"/>
                <w:highlight w:val="none"/>
              </w:rPr>
              <w:t>日历日。</w:t>
            </w:r>
          </w:p>
          <w:p>
            <w:pPr>
              <w:spacing w:line="360" w:lineRule="auto"/>
              <w:rPr>
                <w:rFonts w:ascii="宋体" w:hAnsi="宋体" w:cs="宋体"/>
                <w:color w:val="auto"/>
                <w:sz w:val="24"/>
                <w:highlight w:val="none"/>
              </w:rPr>
            </w:pPr>
            <w:r>
              <w:rPr>
                <w:rFonts w:hint="eastAsia" w:ascii="宋体" w:hAnsi="宋体" w:cs="宋体"/>
                <w:color w:val="auto"/>
                <w:sz w:val="24"/>
                <w:highlight w:val="none"/>
              </w:rPr>
              <w:t>2、处理问题响应时间：由中标人对系统的运行、维护提供7×24小时实时技术支持。中标人有责任在保证期内提供24小时电话、远程在线诊断和故障排除以及Email和传真支持服务，对于接到的用户技术咨询，负责制定故障响应机制，故障响应时间不能高于30分钟，一般故障排除时间不能高于30分钟，重大故障排除时间不能高于1小时，如不能排除，需采用备用方案使系统能够使用。应业主要求，重要节假日和重大活动期间，须派1名技术人员现场技术支持。</w:t>
            </w:r>
          </w:p>
          <w:p>
            <w:pP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、售后服务期期内，中标人须安排1名技术人员驻场提供5*8小时技术支持。</w:t>
            </w:r>
          </w:p>
          <w:p>
            <w:pP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、投</w:t>
            </w:r>
            <w:r>
              <w:rPr>
                <w:rFonts w:ascii="宋体" w:hAnsi="宋体" w:cs="宋体"/>
                <w:color w:val="auto"/>
                <w:sz w:val="24"/>
                <w:highlight w:val="none"/>
              </w:rPr>
              <w:t>标人须严格遵守有关系统保密规定，相关人员必须签订保密协议和安全责任书后才能上岗，未经采购人同意，不得将</w:t>
            </w:r>
            <w:r>
              <w:rPr>
                <w:rFonts w:hint="eastAsia" w:ascii="宋体" w:hAnsi="宋体" w:cs="宋体"/>
                <w:color w:val="auto"/>
                <w:sz w:val="24"/>
                <w:highlight w:val="none"/>
              </w:rPr>
              <w:t>南宁市公共服务大数据治理与应用平台项目可信共享（试点）平台建设相关</w:t>
            </w:r>
            <w:r>
              <w:rPr>
                <w:rFonts w:ascii="宋体" w:hAnsi="宋体" w:cs="宋体"/>
                <w:color w:val="auto"/>
                <w:sz w:val="24"/>
                <w:highlight w:val="none"/>
              </w:rPr>
              <w:t>资料、文档、数据等向外泄露，因信息泄露造成影响的由投标人承担全部责任。</w:t>
            </w:r>
          </w:p>
          <w:p>
            <w:pPr>
              <w:spacing w:line="360" w:lineRule="auto"/>
              <w:rPr>
                <w:rFonts w:ascii="宋体" w:hAnsi="宋体" w:cs="宋体"/>
                <w:color w:val="auto"/>
                <w:sz w:val="24"/>
                <w:highlight w:val="none"/>
              </w:rPr>
            </w:pPr>
            <w:r>
              <w:rPr>
                <w:rFonts w:hint="eastAsia" w:ascii="宋体" w:hAnsi="宋体" w:cs="宋体"/>
                <w:color w:val="auto"/>
                <w:sz w:val="24"/>
                <w:highlight w:val="none"/>
              </w:rPr>
              <w:t>★五、其他要求</w:t>
            </w:r>
          </w:p>
          <w:p>
            <w:pPr>
              <w:widowControl/>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 xml:space="preserve">1、报价为总价包干，包括但不限于：  </w:t>
            </w:r>
            <w:r>
              <w:rPr>
                <w:rFonts w:hint="eastAsia" w:ascii="宋体" w:hAnsi="宋体" w:cs="宋体"/>
                <w:color w:val="auto"/>
                <w:sz w:val="24"/>
                <w:highlight w:val="none"/>
              </w:rPr>
              <w:br w:type="textWrapping"/>
            </w:r>
            <w:r>
              <w:rPr>
                <w:rFonts w:hint="eastAsia" w:ascii="宋体" w:hAnsi="宋体" w:cs="宋体"/>
                <w:color w:val="auto"/>
                <w:sz w:val="24"/>
                <w:highlight w:val="none"/>
              </w:rPr>
              <w:t xml:space="preserve">（1）服务的价格；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（2）必要的保险费用和各项税金。 </w:t>
            </w:r>
          </w:p>
          <w:p>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）该项目所产生的代理服务费。</w:t>
            </w:r>
          </w:p>
          <w:p>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）其他（如技术支持、后续服务等费用）。</w:t>
            </w:r>
          </w:p>
          <w:p>
            <w:pPr>
              <w:spacing w:line="360" w:lineRule="auto"/>
              <w:ind w:firstLine="240" w:firstLineChars="100"/>
              <w:rPr>
                <w:color w:val="auto"/>
                <w:highlight w:val="none"/>
              </w:rPr>
            </w:pPr>
            <w:r>
              <w:rPr>
                <w:rFonts w:ascii="宋体" w:hAnsi="宋体" w:cs="宋体"/>
                <w:color w:val="auto"/>
                <w:sz w:val="24"/>
                <w:highlight w:val="none"/>
              </w:rPr>
              <w:t>2、付款方式：合同签定后，</w:t>
            </w:r>
            <w:r>
              <w:rPr>
                <w:rFonts w:hint="eastAsia" w:ascii="宋体" w:hAnsi="宋体" w:cs="宋体"/>
                <w:color w:val="auto"/>
                <w:sz w:val="24"/>
                <w:highlight w:val="none"/>
              </w:rPr>
              <w:t>完成项目深化设计支付4</w:t>
            </w:r>
            <w:r>
              <w:rPr>
                <w:rFonts w:ascii="宋体" w:hAnsi="宋体" w:cs="宋体"/>
                <w:color w:val="auto"/>
                <w:sz w:val="24"/>
                <w:highlight w:val="none"/>
              </w:rPr>
              <w:t>0%，项目建设完成</w:t>
            </w:r>
            <w:r>
              <w:rPr>
                <w:rFonts w:hint="eastAsia" w:ascii="宋体" w:hAnsi="宋体" w:cs="宋体"/>
                <w:color w:val="auto"/>
                <w:sz w:val="24"/>
                <w:highlight w:val="none"/>
              </w:rPr>
              <w:t>初验后支付4</w:t>
            </w:r>
            <w:r>
              <w:rPr>
                <w:rFonts w:ascii="宋体" w:hAnsi="宋体" w:cs="宋体"/>
                <w:color w:val="auto"/>
                <w:sz w:val="24"/>
                <w:highlight w:val="none"/>
              </w:rPr>
              <w:t>0%，项目</w:t>
            </w:r>
            <w:r>
              <w:rPr>
                <w:rFonts w:hint="eastAsia" w:ascii="宋体" w:hAnsi="宋体" w:cs="宋体"/>
                <w:color w:val="auto"/>
                <w:sz w:val="24"/>
                <w:highlight w:val="none"/>
              </w:rPr>
              <w:t>终验后支付</w:t>
            </w:r>
            <w:r>
              <w:rPr>
                <w:rFonts w:ascii="宋体" w:hAnsi="宋体" w:cs="宋体"/>
                <w:color w:val="auto"/>
                <w:sz w:val="24"/>
                <w:highlight w:val="none"/>
              </w:rPr>
              <w:t>20%。</w:t>
            </w:r>
          </w:p>
        </w:tc>
      </w:tr>
    </w:tbl>
    <w:p>
      <w:pPr>
        <w:pStyle w:val="22"/>
        <w:numPr>
          <w:ilvl w:val="255"/>
          <w:numId w:val="0"/>
        </w:numPr>
        <w:spacing w:line="440" w:lineRule="exact"/>
        <w:ind w:firstLine="482" w:firstLineChars="200"/>
        <w:rPr>
          <w:rFonts w:hAnsi="宋体" w:cs="宋体"/>
          <w:b/>
          <w:color w:val="auto"/>
          <w:sz w:val="24"/>
          <w:highlight w:val="none"/>
        </w:rPr>
      </w:pPr>
    </w:p>
    <w:p>
      <w:pPr>
        <w:rPr>
          <w:color w:val="auto"/>
          <w:highlight w:val="none"/>
        </w:rPr>
      </w:pPr>
    </w:p>
    <w:p>
      <w:pPr>
        <w:snapToGrid w:val="0"/>
        <w:jc w:val="center"/>
        <w:outlineLvl w:val="0"/>
        <w:rPr>
          <w:rFonts w:ascii="宋体" w:hAnsi="宋体"/>
          <w:b/>
          <w:color w:val="auto"/>
          <w:sz w:val="44"/>
          <w:szCs w:val="44"/>
          <w:highlight w:val="none"/>
        </w:rPr>
      </w:pPr>
    </w:p>
    <w:p>
      <w:pPr>
        <w:snapToGrid w:val="0"/>
        <w:jc w:val="center"/>
        <w:outlineLvl w:val="0"/>
        <w:rPr>
          <w:rFonts w:ascii="宋体" w:hAnsi="宋体"/>
          <w:b/>
          <w:color w:val="auto"/>
          <w:sz w:val="44"/>
          <w:szCs w:val="44"/>
          <w:highlight w:val="none"/>
        </w:rPr>
      </w:pPr>
    </w:p>
    <w:p>
      <w:pPr>
        <w:snapToGrid w:val="0"/>
        <w:jc w:val="center"/>
        <w:outlineLvl w:val="0"/>
        <w:rPr>
          <w:rFonts w:ascii="宋体" w:hAnsi="宋体"/>
          <w:b/>
          <w:color w:val="auto"/>
          <w:sz w:val="44"/>
          <w:szCs w:val="44"/>
          <w:highlight w:val="none"/>
        </w:rPr>
      </w:pPr>
    </w:p>
    <w:p>
      <w:pPr>
        <w:snapToGrid w:val="0"/>
        <w:jc w:val="center"/>
        <w:outlineLvl w:val="0"/>
        <w:rPr>
          <w:rFonts w:ascii="宋体" w:hAnsi="宋体"/>
          <w:b/>
          <w:color w:val="auto"/>
          <w:sz w:val="44"/>
          <w:szCs w:val="44"/>
          <w:highlight w:val="none"/>
        </w:rPr>
      </w:pPr>
    </w:p>
    <w:p>
      <w:pPr>
        <w:snapToGrid w:val="0"/>
        <w:jc w:val="center"/>
        <w:outlineLvl w:val="0"/>
        <w:rPr>
          <w:rFonts w:ascii="宋体" w:hAnsi="宋体"/>
          <w:b/>
          <w:color w:val="auto"/>
          <w:sz w:val="44"/>
          <w:szCs w:val="44"/>
          <w:highlight w:val="none"/>
        </w:rPr>
      </w:pPr>
    </w:p>
    <w:p>
      <w:pPr>
        <w:snapToGrid w:val="0"/>
        <w:jc w:val="center"/>
        <w:outlineLvl w:val="0"/>
        <w:rPr>
          <w:rFonts w:ascii="宋体" w:hAnsi="宋体"/>
          <w:b/>
          <w:color w:val="auto"/>
          <w:sz w:val="44"/>
          <w:szCs w:val="44"/>
          <w:highlight w:val="none"/>
        </w:rPr>
      </w:pPr>
    </w:p>
    <w:p>
      <w:pPr>
        <w:snapToGrid w:val="0"/>
        <w:jc w:val="center"/>
        <w:outlineLvl w:val="0"/>
        <w:rPr>
          <w:rFonts w:ascii="宋体" w:hAnsi="宋体"/>
          <w:b/>
          <w:color w:val="auto"/>
          <w:sz w:val="44"/>
          <w:szCs w:val="44"/>
          <w:highlight w:val="none"/>
        </w:rPr>
      </w:pPr>
    </w:p>
    <w:p>
      <w:pPr>
        <w:snapToGrid w:val="0"/>
        <w:jc w:val="center"/>
        <w:outlineLvl w:val="0"/>
        <w:rPr>
          <w:rFonts w:ascii="宋体" w:hAnsi="宋体"/>
          <w:b/>
          <w:color w:val="auto"/>
          <w:sz w:val="44"/>
          <w:szCs w:val="44"/>
          <w:highlight w:val="none"/>
        </w:rPr>
      </w:pPr>
      <w:bookmarkStart w:id="39" w:name="_Toc28684"/>
      <w:bookmarkStart w:id="40" w:name="_Toc10393"/>
      <w:bookmarkStart w:id="41" w:name="_Toc3476"/>
      <w:r>
        <w:rPr>
          <w:rFonts w:hint="eastAsia" w:ascii="宋体" w:hAnsi="宋体"/>
          <w:b/>
          <w:color w:val="auto"/>
          <w:sz w:val="44"/>
          <w:szCs w:val="44"/>
          <w:highlight w:val="none"/>
        </w:rPr>
        <w:t>第三章  投标人须知</w:t>
      </w:r>
      <w:bookmarkEnd w:id="39"/>
      <w:bookmarkEnd w:id="40"/>
      <w:bookmarkEnd w:id="41"/>
    </w:p>
    <w:p>
      <w:pPr>
        <w:snapToGrid w:val="0"/>
        <w:jc w:val="center"/>
        <w:rPr>
          <w:rFonts w:ascii="宋体" w:hAnsi="宋体"/>
          <w:b/>
          <w:color w:val="auto"/>
          <w:sz w:val="32"/>
          <w:szCs w:val="32"/>
          <w:highlight w:val="none"/>
        </w:rPr>
      </w:pPr>
      <w:bookmarkStart w:id="42" w:name="_Toc254970526"/>
      <w:bookmarkStart w:id="43" w:name="_Toc254970667"/>
      <w:r>
        <w:rPr>
          <w:rFonts w:ascii="宋体" w:hAnsi="宋体"/>
          <w:b/>
          <w:color w:val="auto"/>
          <w:szCs w:val="28"/>
          <w:highlight w:val="none"/>
        </w:rPr>
        <w:br w:type="page"/>
      </w:r>
      <w:r>
        <w:rPr>
          <w:rFonts w:hint="eastAsia" w:ascii="宋体" w:hAnsi="宋体"/>
          <w:b/>
          <w:color w:val="auto"/>
          <w:sz w:val="32"/>
          <w:szCs w:val="32"/>
          <w:highlight w:val="none"/>
        </w:rPr>
        <w:t>前附表</w:t>
      </w:r>
      <w:bookmarkEnd w:id="42"/>
      <w:bookmarkEnd w:id="43"/>
    </w:p>
    <w:tbl>
      <w:tblPr>
        <w:tblStyle w:val="37"/>
        <w:tblW w:w="928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48"/>
        <w:gridCol w:w="86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序号</w:t>
            </w:r>
          </w:p>
        </w:tc>
        <w:tc>
          <w:tcPr>
            <w:tcW w:w="8640"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p>
        </w:tc>
        <w:tc>
          <w:tcPr>
            <w:tcW w:w="8640" w:type="dxa"/>
            <w:tcBorders>
              <w:top w:val="single" w:color="auto" w:sz="4" w:space="0"/>
              <w:left w:val="single" w:color="auto" w:sz="4" w:space="0"/>
              <w:bottom w:val="single" w:color="auto" w:sz="4" w:space="0"/>
              <w:right w:val="single" w:color="auto" w:sz="4" w:space="0"/>
            </w:tcBorders>
            <w:vAlign w:val="center"/>
          </w:tcPr>
          <w:p>
            <w:pPr>
              <w:snapToGrid w:val="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项目名称： 南宁市公共服务大数据治理与应用平台项目可信共享（试点）平台建设</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w:t>
            </w:r>
          </w:p>
        </w:tc>
        <w:tc>
          <w:tcPr>
            <w:tcW w:w="8640" w:type="dxa"/>
            <w:tcBorders>
              <w:top w:val="single" w:color="auto" w:sz="4" w:space="0"/>
              <w:left w:val="single" w:color="auto" w:sz="4" w:space="0"/>
              <w:bottom w:val="single" w:color="auto" w:sz="4" w:space="0"/>
              <w:right w:val="single" w:color="auto" w:sz="4" w:space="0"/>
            </w:tcBorders>
            <w:vAlign w:val="center"/>
          </w:tcPr>
          <w:p>
            <w:pPr>
              <w:snapToGrid w:val="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总采购预算：863800元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w:t>
            </w:r>
          </w:p>
        </w:tc>
        <w:tc>
          <w:tcPr>
            <w:tcW w:w="8640" w:type="dxa"/>
            <w:tcBorders>
              <w:top w:val="single" w:color="auto" w:sz="4" w:space="0"/>
              <w:left w:val="single" w:color="auto" w:sz="4" w:space="0"/>
              <w:bottom w:val="single" w:color="auto" w:sz="4" w:space="0"/>
              <w:right w:val="single" w:color="auto" w:sz="4" w:space="0"/>
            </w:tcBorders>
            <w:vAlign w:val="center"/>
          </w:tcPr>
          <w:p>
            <w:pPr>
              <w:snapToGrid w:val="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投标报价及费用：</w:t>
            </w:r>
            <w:r>
              <w:rPr>
                <w:rFonts w:hint="eastAsia" w:asciiTheme="minorEastAsia" w:hAnsiTheme="minorEastAsia" w:eastAsiaTheme="minorEastAsia"/>
                <w:color w:val="auto"/>
                <w:sz w:val="24"/>
                <w:highlight w:val="none"/>
              </w:rPr>
              <w:t>1、本项目投标应以人民币报价；2、不论投标结果如何，投标人均应自行承担所有与投标有关的全部费用；3、本项目代理服务费参照“国家发展计划委员会文件关于印发《招标代理服务收费管理暂行办法》的通知（计价格【2002】1980号）”规定标准向中标人收取，中标人领取中标通知书时,应向采购代理机构以转账形式一次付清招标代理服务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9"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p>
        </w:tc>
        <w:tc>
          <w:tcPr>
            <w:tcW w:w="8640" w:type="dxa"/>
            <w:tcBorders>
              <w:top w:val="single" w:color="auto" w:sz="4" w:space="0"/>
              <w:left w:val="single" w:color="auto" w:sz="4" w:space="0"/>
              <w:bottom w:val="single" w:color="auto" w:sz="4" w:space="0"/>
              <w:right w:val="single" w:color="auto" w:sz="4" w:space="0"/>
            </w:tcBorders>
            <w:vAlign w:val="center"/>
          </w:tcPr>
          <w:p>
            <w:pPr>
              <w:snapToGrid w:val="0"/>
              <w:rPr>
                <w:rFonts w:asciiTheme="minorEastAsia" w:hAnsiTheme="minorEastAsia" w:eastAsiaTheme="minorEastAsia"/>
                <w:color w:val="auto"/>
                <w:sz w:val="24"/>
                <w:highlight w:val="none"/>
              </w:rPr>
            </w:pPr>
            <w:r>
              <w:rPr>
                <w:rFonts w:asciiTheme="minorEastAsia" w:hAnsiTheme="minorEastAsia" w:eastAsiaTheme="minorEastAsia"/>
                <w:b/>
                <w:color w:val="auto"/>
                <w:sz w:val="24"/>
                <w:highlight w:val="none"/>
              </w:rPr>
              <w:t>投标有效期</w:t>
            </w:r>
            <w:r>
              <w:rPr>
                <w:rFonts w:hint="eastAsia" w:asciiTheme="minorEastAsia" w:hAnsiTheme="minorEastAsia" w:eastAsiaTheme="minorEastAsia"/>
                <w:b/>
                <w:color w:val="auto"/>
                <w:sz w:val="24"/>
                <w:highlight w:val="none"/>
              </w:rPr>
              <w:t>：</w:t>
            </w: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rPr>
              <w:t xml:space="preserve">45天    </w:t>
            </w: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rPr>
              <w:t xml:space="preserve">60天    </w:t>
            </w:r>
            <w:r>
              <w:rPr>
                <w:rFonts w:hint="eastAsia" w:asciiTheme="minorEastAsia" w:hAnsiTheme="minorEastAsia" w:eastAsiaTheme="minorEastAsia"/>
                <w:color w:val="auto"/>
                <w:sz w:val="24"/>
                <w:highlight w:val="none"/>
              </w:rPr>
              <w:sym w:font="Wingdings 2" w:char="0052"/>
            </w:r>
            <w:r>
              <w:rPr>
                <w:rFonts w:asciiTheme="minorEastAsia" w:hAnsiTheme="minorEastAsia" w:eastAsiaTheme="minorEastAsia"/>
                <w:color w:val="auto"/>
                <w:sz w:val="24"/>
                <w:highlight w:val="none"/>
              </w:rPr>
              <w:t>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2"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w:t>
            </w:r>
          </w:p>
        </w:tc>
        <w:tc>
          <w:tcPr>
            <w:tcW w:w="8640" w:type="dxa"/>
            <w:tcBorders>
              <w:top w:val="single" w:color="auto" w:sz="4" w:space="0"/>
              <w:left w:val="single" w:color="auto" w:sz="4" w:space="0"/>
              <w:bottom w:val="single" w:color="auto" w:sz="4" w:space="0"/>
              <w:right w:val="single" w:color="auto" w:sz="4" w:space="0"/>
            </w:tcBorders>
            <w:vAlign w:val="center"/>
          </w:tcPr>
          <w:p>
            <w:pPr>
              <w:snapToGrid w:val="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现场踏勘（</w:t>
            </w:r>
            <w:r>
              <w:rPr>
                <w:rFonts w:hint="eastAsia" w:asciiTheme="minorEastAsia" w:hAnsiTheme="minorEastAsia" w:eastAsiaTheme="minorEastAsia"/>
                <w:color w:val="auto"/>
                <w:sz w:val="24"/>
                <w:highlight w:val="none"/>
              </w:rPr>
              <w:t>如有）：</w:t>
            </w:r>
            <w:r>
              <w:rPr>
                <w:rFonts w:hint="eastAsia" w:cs="Arial" w:asciiTheme="minorEastAsia" w:hAnsiTheme="minorEastAsia" w:eastAsiaTheme="minorEastAsia"/>
                <w:color w:val="auto"/>
                <w:sz w:val="24"/>
                <w:highlight w:val="none"/>
              </w:rPr>
              <w:t xml:space="preserve"> 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6</w:t>
            </w:r>
          </w:p>
        </w:tc>
        <w:tc>
          <w:tcPr>
            <w:tcW w:w="8640" w:type="dxa"/>
            <w:tcBorders>
              <w:top w:val="single" w:color="auto" w:sz="4" w:space="0"/>
              <w:left w:val="single" w:color="auto" w:sz="4" w:space="0"/>
              <w:bottom w:val="single" w:color="auto" w:sz="4" w:space="0"/>
              <w:right w:val="single" w:color="auto" w:sz="4" w:space="0"/>
            </w:tcBorders>
            <w:vAlign w:val="center"/>
          </w:tcPr>
          <w:p>
            <w:pPr>
              <w:spacing w:line="360" w:lineRule="auto"/>
              <w:rPr>
                <w:rFonts w:hAnsi="宋体"/>
                <w:color w:val="auto"/>
                <w:sz w:val="24"/>
                <w:highlight w:val="none"/>
              </w:rPr>
            </w:pPr>
            <w:r>
              <w:rPr>
                <w:rFonts w:hint="eastAsia" w:asciiTheme="minorEastAsia" w:hAnsiTheme="minorEastAsia" w:eastAsiaTheme="minorEastAsia"/>
                <w:b/>
                <w:color w:val="auto"/>
                <w:sz w:val="24"/>
                <w:highlight w:val="none"/>
              </w:rPr>
              <w:t>答疑、澄清</w:t>
            </w:r>
            <w:r>
              <w:rPr>
                <w:rFonts w:hint="eastAsia" w:asciiTheme="minorEastAsia" w:hAnsiTheme="minorEastAsia" w:eastAsiaTheme="minorEastAsia"/>
                <w:color w:val="auto"/>
                <w:sz w:val="24"/>
                <w:highlight w:val="none"/>
              </w:rPr>
              <w:t>：</w:t>
            </w:r>
            <w:r>
              <w:rPr>
                <w:rFonts w:hint="eastAsia" w:hAnsi="宋体"/>
                <w:bCs/>
                <w:color w:val="auto"/>
                <w:sz w:val="24"/>
                <w:highlight w:val="none"/>
              </w:rPr>
              <w:t>投标人应认真阅读本招标文件，发现其中有误或有不合理要求的，投标人应当于</w:t>
            </w:r>
            <w:r>
              <w:rPr>
                <w:rFonts w:hint="eastAsia" w:hAnsi="宋体"/>
                <w:color w:val="auto"/>
                <w:sz w:val="24"/>
                <w:highlight w:val="none"/>
              </w:rPr>
              <w:t>公告届满之日起7个工作日</w:t>
            </w:r>
            <w:r>
              <w:rPr>
                <w:rFonts w:hint="eastAsia" w:hAnsi="宋体"/>
                <w:bCs/>
                <w:color w:val="auto"/>
                <w:sz w:val="24"/>
                <w:highlight w:val="none"/>
              </w:rPr>
              <w:t>，以书面形式要求招标采购单位澄清</w:t>
            </w:r>
            <w:r>
              <w:rPr>
                <w:rFonts w:hint="eastAsia" w:hAnsi="宋体"/>
                <w:color w:val="auto"/>
                <w:sz w:val="24"/>
                <w:highlight w:val="none"/>
              </w:rPr>
              <w:t>。如果澄清、答复、修改或补充的</w:t>
            </w:r>
            <w:r>
              <w:rPr>
                <w:color w:val="auto"/>
                <w:sz w:val="24"/>
                <w:highlight w:val="none"/>
              </w:rPr>
              <w:t>内容可能影响投标文件编制的，采购人或者采购代理机构应当在投标截止时间至少15日前</w:t>
            </w:r>
            <w:r>
              <w:rPr>
                <w:rFonts w:hint="eastAsia"/>
                <w:color w:val="auto"/>
                <w:sz w:val="24"/>
                <w:highlight w:val="none"/>
              </w:rPr>
              <w:t>发出</w:t>
            </w:r>
            <w:r>
              <w:rPr>
                <w:color w:val="auto"/>
                <w:sz w:val="24"/>
                <w:highlight w:val="none"/>
              </w:rPr>
              <w:t>；不足15日的，采购人或者采购代理机构应当顺延提交投标文件的截止时间。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7</w:t>
            </w:r>
          </w:p>
        </w:tc>
        <w:tc>
          <w:tcPr>
            <w:tcW w:w="864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投标文件份数</w:t>
            </w: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rPr>
              <w:t>资格审查</w:t>
            </w:r>
            <w:r>
              <w:rPr>
                <w:rFonts w:hint="eastAsia" w:asciiTheme="minorEastAsia" w:hAnsiTheme="minorEastAsia" w:eastAsiaTheme="minorEastAsia"/>
                <w:color w:val="auto"/>
                <w:sz w:val="24"/>
                <w:highlight w:val="none"/>
              </w:rPr>
              <w:t>文件</w:t>
            </w:r>
            <w:r>
              <w:rPr>
                <w:rFonts w:hint="eastAsia" w:asciiTheme="minorEastAsia" w:hAnsiTheme="minorEastAsia" w:eastAsiaTheme="minorEastAsia"/>
                <w:color w:val="auto"/>
                <w:sz w:val="24"/>
                <w:highlight w:val="none"/>
                <w:u w:val="single"/>
              </w:rPr>
              <w:t xml:space="preserve"> 3</w:t>
            </w:r>
            <w:r>
              <w:rPr>
                <w:rFonts w:hint="eastAsia" w:cs="Arial" w:asciiTheme="minorEastAsia" w:hAnsiTheme="minorEastAsia" w:eastAsiaTheme="minorEastAsia"/>
                <w:color w:val="auto"/>
                <w:sz w:val="24"/>
                <w:highlight w:val="none"/>
                <w:u w:val="single"/>
              </w:rPr>
              <w:t xml:space="preserve"> </w:t>
            </w:r>
            <w:r>
              <w:rPr>
                <w:rFonts w:hint="eastAsia" w:cs="Arial" w:asciiTheme="minorEastAsia" w:hAnsiTheme="minorEastAsia" w:eastAsiaTheme="minorEastAsia"/>
                <w:color w:val="auto"/>
                <w:sz w:val="24"/>
                <w:highlight w:val="none"/>
              </w:rPr>
              <w:t>份；投标文件（包括商务文件、技术文件和报价文件）</w:t>
            </w:r>
            <w:r>
              <w:rPr>
                <w:rFonts w:hint="eastAsia" w:asciiTheme="minorEastAsia" w:hAnsiTheme="minorEastAsia" w:eastAsiaTheme="minorEastAsia"/>
                <w:color w:val="auto"/>
                <w:sz w:val="24"/>
                <w:highlight w:val="none"/>
              </w:rPr>
              <w:t>正本</w:t>
            </w:r>
            <w:r>
              <w:rPr>
                <w:rFonts w:hint="eastAsia" w:asciiTheme="minorEastAsia" w:hAnsiTheme="minorEastAsia" w:eastAsiaTheme="minorEastAsia"/>
                <w:color w:val="auto"/>
                <w:sz w:val="24"/>
                <w:highlight w:val="none"/>
                <w:u w:val="single"/>
              </w:rPr>
              <w:t xml:space="preserve"> </w:t>
            </w:r>
            <w:r>
              <w:rPr>
                <w:rFonts w:hint="eastAsia" w:cs="Arial" w:asciiTheme="minorEastAsia" w:hAnsiTheme="minorEastAsia" w:eastAsiaTheme="minorEastAsia"/>
                <w:color w:val="auto"/>
                <w:sz w:val="24"/>
                <w:highlight w:val="none"/>
                <w:u w:val="single"/>
              </w:rPr>
              <w:t>1</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份；副本</w:t>
            </w:r>
            <w:r>
              <w:rPr>
                <w:rFonts w:hint="eastAsia" w:asciiTheme="minorEastAsia" w:hAnsiTheme="minorEastAsia" w:eastAsiaTheme="minorEastAsia"/>
                <w:color w:val="auto"/>
                <w:sz w:val="24"/>
                <w:highlight w:val="none"/>
                <w:u w:val="single"/>
              </w:rPr>
              <w:t xml:space="preserve"> </w:t>
            </w:r>
            <w:r>
              <w:rPr>
                <w:rFonts w:hint="eastAsia" w:cs="Arial" w:asciiTheme="minorEastAsia" w:hAnsiTheme="minorEastAsia" w:eastAsiaTheme="minorEastAsia"/>
                <w:color w:val="auto"/>
                <w:sz w:val="24"/>
                <w:highlight w:val="none"/>
                <w:u w:val="single"/>
              </w:rPr>
              <w:t xml:space="preserve">4 </w:t>
            </w:r>
            <w:r>
              <w:rPr>
                <w:rFonts w:hint="eastAsia" w:asciiTheme="minorEastAsia" w:hAnsiTheme="minorEastAsia" w:eastAsiaTheme="minorEastAsia"/>
                <w:color w:val="auto"/>
                <w:sz w:val="24"/>
                <w:highlight w:val="none"/>
              </w:rPr>
              <w:t>份；开标一览表</w:t>
            </w:r>
            <w:r>
              <w:rPr>
                <w:rFonts w:hint="eastAsia" w:asciiTheme="minorEastAsia" w:hAnsiTheme="minorEastAsia" w:eastAsiaTheme="minorEastAsia"/>
                <w:color w:val="auto"/>
                <w:sz w:val="24"/>
                <w:highlight w:val="none"/>
                <w:u w:val="single"/>
              </w:rPr>
              <w:t xml:space="preserve"> </w:t>
            </w:r>
            <w:r>
              <w:rPr>
                <w:rFonts w:hint="eastAsia" w:cs="Arial" w:asciiTheme="minorEastAsia" w:hAnsiTheme="minorEastAsia" w:eastAsiaTheme="minorEastAsia"/>
                <w:color w:val="auto"/>
                <w:sz w:val="24"/>
                <w:highlight w:val="none"/>
                <w:u w:val="single"/>
              </w:rPr>
              <w:t xml:space="preserve">2 </w:t>
            </w:r>
            <w:r>
              <w:rPr>
                <w:rFonts w:hint="eastAsia" w:cs="Arial" w:asciiTheme="minorEastAsia" w:hAnsiTheme="minorEastAsia" w:eastAsiaTheme="minorEastAsia"/>
                <w:color w:val="auto"/>
                <w:sz w:val="24"/>
                <w:highlight w:val="none"/>
              </w:rPr>
              <w:t>份；</w:t>
            </w:r>
            <w:r>
              <w:rPr>
                <w:rFonts w:hint="eastAsia" w:asciiTheme="minorEastAsia" w:hAnsiTheme="minorEastAsia" w:eastAsiaTheme="minorEastAsia"/>
                <w:color w:val="auto"/>
                <w:sz w:val="24"/>
                <w:highlight w:val="none"/>
              </w:rPr>
              <w:t>投标文件电子版</w:t>
            </w:r>
            <w:r>
              <w:rPr>
                <w:rFonts w:hint="eastAsia" w:cs="Arial" w:asciiTheme="minorEastAsia" w:hAnsiTheme="minorEastAsia" w:eastAsiaTheme="minorEastAsia"/>
                <w:color w:val="auto"/>
                <w:sz w:val="24"/>
                <w:highlight w:val="none"/>
                <w:u w:val="single"/>
              </w:rPr>
              <w:t>壹</w:t>
            </w:r>
            <w:r>
              <w:rPr>
                <w:rFonts w:hint="eastAsia" w:asciiTheme="minorEastAsia" w:hAnsiTheme="minorEastAsia" w:eastAsiaTheme="minorEastAsia"/>
                <w:color w:val="auto"/>
                <w:sz w:val="24"/>
                <w:highlight w:val="none"/>
              </w:rPr>
              <w:t>份（光盘）；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8</w:t>
            </w:r>
          </w:p>
        </w:tc>
        <w:tc>
          <w:tcPr>
            <w:tcW w:w="8640"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ind w:left="60" w:hanging="60" w:hangingChars="25"/>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投标文件签署：</w:t>
            </w:r>
            <w:r>
              <w:rPr>
                <w:rFonts w:asciiTheme="minorEastAsia" w:hAnsiTheme="minorEastAsia" w:eastAsiaTheme="minorEastAsia"/>
                <w:color w:val="auto"/>
                <w:sz w:val="24"/>
                <w:highlight w:val="none"/>
              </w:rPr>
              <w:t>投标文件正本与副本均</w:t>
            </w:r>
            <w:r>
              <w:rPr>
                <w:rFonts w:hint="eastAsia" w:asciiTheme="minorEastAsia" w:hAnsiTheme="minorEastAsia" w:eastAsiaTheme="minorEastAsia"/>
                <w:color w:val="auto"/>
                <w:sz w:val="24"/>
                <w:highlight w:val="none"/>
              </w:rPr>
              <w:t>应</w:t>
            </w:r>
            <w:r>
              <w:rPr>
                <w:rFonts w:asciiTheme="minorEastAsia" w:hAnsiTheme="minorEastAsia" w:eastAsiaTheme="minorEastAsia"/>
                <w:color w:val="auto"/>
                <w:sz w:val="24"/>
                <w:highlight w:val="none"/>
              </w:rPr>
              <w:t>由投标人在招标文件规定的相关位置加盖投标人法人单位公章，且经法定代表</w:t>
            </w:r>
            <w:r>
              <w:rPr>
                <w:rFonts w:hint="eastAsia" w:asciiTheme="minorEastAsia" w:hAnsiTheme="minorEastAsia" w:eastAsiaTheme="minorEastAsia"/>
                <w:color w:val="auto"/>
                <w:sz w:val="24"/>
                <w:highlight w:val="none"/>
              </w:rPr>
              <w:t>人签字（</w:t>
            </w:r>
            <w:r>
              <w:rPr>
                <w:rFonts w:asciiTheme="minorEastAsia" w:hAnsiTheme="minorEastAsia" w:eastAsiaTheme="minorEastAsia"/>
                <w:color w:val="auto"/>
                <w:sz w:val="24"/>
                <w:highlight w:val="none"/>
              </w:rPr>
              <w:t>或</w:t>
            </w:r>
            <w:r>
              <w:rPr>
                <w:rFonts w:hint="eastAsia" w:asciiTheme="minorEastAsia" w:hAnsiTheme="minorEastAsia" w:eastAsiaTheme="minorEastAsia"/>
                <w:color w:val="auto"/>
                <w:sz w:val="24"/>
                <w:highlight w:val="none"/>
              </w:rPr>
              <w:t>盖章</w:t>
            </w:r>
            <w:r>
              <w:rPr>
                <w:rFonts w:asciiTheme="minorEastAsia" w:hAnsiTheme="minorEastAsia" w:eastAsiaTheme="minorEastAsia"/>
                <w:color w:val="auto"/>
                <w:sz w:val="24"/>
                <w:highlight w:val="none"/>
              </w:rPr>
              <w:t>）或其委托代理人本人签</w:t>
            </w:r>
            <w:r>
              <w:rPr>
                <w:rFonts w:hint="eastAsia" w:asciiTheme="minorEastAsia" w:hAnsiTheme="minorEastAsia" w:eastAsiaTheme="minorEastAsia"/>
                <w:color w:val="auto"/>
                <w:sz w:val="24"/>
                <w:highlight w:val="none"/>
              </w:rPr>
              <w:t>字，否则作否决投标处理。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9</w:t>
            </w:r>
          </w:p>
        </w:tc>
        <w:tc>
          <w:tcPr>
            <w:tcW w:w="864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Theme="minorEastAsia" w:hAnsiTheme="minorEastAsia" w:eastAsiaTheme="minorEastAsia"/>
                <w:color w:val="auto"/>
                <w:sz w:val="24"/>
                <w:highlight w:val="none"/>
                <w:u w:val="single"/>
              </w:rPr>
            </w:pPr>
            <w:r>
              <w:rPr>
                <w:rFonts w:hint="eastAsia" w:asciiTheme="minorEastAsia" w:hAnsiTheme="minorEastAsia" w:eastAsiaTheme="minorEastAsia"/>
                <w:b/>
                <w:color w:val="auto"/>
                <w:sz w:val="24"/>
                <w:highlight w:val="none"/>
              </w:rPr>
              <w:t>装订要求：</w:t>
            </w:r>
            <w:r>
              <w:rPr>
                <w:rFonts w:asciiTheme="minorEastAsia" w:hAnsiTheme="minorEastAsia" w:eastAsiaTheme="minorEastAsia"/>
                <w:color w:val="auto"/>
                <w:sz w:val="24"/>
                <w:highlight w:val="none"/>
              </w:rPr>
              <w:t>按照投标人须知第</w:t>
            </w:r>
            <w:r>
              <w:rPr>
                <w:rFonts w:hint="eastAsia" w:asciiTheme="minorEastAsia" w:hAnsiTheme="minorEastAsia" w:eastAsiaTheme="minorEastAsia"/>
                <w:color w:val="auto"/>
                <w:sz w:val="24"/>
                <w:highlight w:val="none"/>
              </w:rPr>
              <w:t>三部分第（一）项</w:t>
            </w:r>
            <w:r>
              <w:rPr>
                <w:rFonts w:asciiTheme="minorEastAsia" w:hAnsiTheme="minorEastAsia" w:eastAsiaTheme="minorEastAsia"/>
                <w:color w:val="auto"/>
                <w:sz w:val="24"/>
                <w:highlight w:val="none"/>
              </w:rPr>
              <w:t>规定的投标文件组成内容，投标文件应按以下要求装订：分册装订，共分</w:t>
            </w:r>
            <w:r>
              <w:rPr>
                <w:rFonts w:hint="eastAsia" w:asciiTheme="minorEastAsia" w:hAnsiTheme="minorEastAsia" w:eastAsiaTheme="minorEastAsia"/>
                <w:color w:val="auto"/>
                <w:sz w:val="24"/>
                <w:highlight w:val="none"/>
                <w:u w:val="single"/>
              </w:rPr>
              <w:t>三</w:t>
            </w:r>
            <w:r>
              <w:rPr>
                <w:rFonts w:asciiTheme="minorEastAsia" w:hAnsiTheme="minorEastAsia" w:eastAsiaTheme="minorEastAsia"/>
                <w:color w:val="auto"/>
                <w:sz w:val="24"/>
                <w:highlight w:val="none"/>
              </w:rPr>
              <w:t>册，分别为：</w:t>
            </w:r>
            <w:r>
              <w:rPr>
                <w:rFonts w:asciiTheme="minorEastAsia" w:hAnsiTheme="minorEastAsia" w:eastAsiaTheme="minorEastAsia"/>
                <w:color w:val="auto"/>
                <w:sz w:val="24"/>
                <w:highlight w:val="none"/>
                <w:u w:val="single"/>
              </w:rPr>
              <w:t>资格审查</w:t>
            </w:r>
            <w:r>
              <w:rPr>
                <w:rFonts w:hint="eastAsia" w:asciiTheme="minorEastAsia" w:hAnsiTheme="minorEastAsia" w:eastAsiaTheme="minorEastAsia"/>
                <w:color w:val="auto"/>
                <w:sz w:val="24"/>
                <w:highlight w:val="none"/>
                <w:u w:val="single"/>
              </w:rPr>
              <w:t>文件为一册；商务文件</w:t>
            </w:r>
            <w:r>
              <w:rPr>
                <w:rFonts w:asciiTheme="minorEastAsia" w:hAnsiTheme="minorEastAsia" w:eastAsiaTheme="minorEastAsia"/>
                <w:color w:val="auto"/>
                <w:sz w:val="24"/>
                <w:highlight w:val="none"/>
                <w:u w:val="single"/>
              </w:rPr>
              <w:t>、技术</w:t>
            </w:r>
            <w:r>
              <w:rPr>
                <w:rFonts w:hint="eastAsia" w:asciiTheme="minorEastAsia" w:hAnsiTheme="minorEastAsia" w:eastAsiaTheme="minorEastAsia"/>
                <w:color w:val="auto"/>
                <w:sz w:val="24"/>
                <w:highlight w:val="none"/>
                <w:u w:val="single"/>
              </w:rPr>
              <w:t>文件</w:t>
            </w:r>
            <w:r>
              <w:rPr>
                <w:rFonts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u w:val="single"/>
              </w:rPr>
              <w:t>报价文件（开标一览表除外）为一册</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u w:val="single"/>
              </w:rPr>
              <w:t>开标一览表为一册</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u w:val="single"/>
              </w:rPr>
              <w:t>同时提供投标文件电子版（光盘）。</w:t>
            </w:r>
          </w:p>
          <w:p>
            <w:pPr>
              <w:snapToGrid w:val="0"/>
              <w:spacing w:line="320" w:lineRule="exact"/>
              <w:ind w:left="60" w:hanging="60" w:hangingChars="2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投标文件每册装订应牢固、不易拆散和换页，不得采用活页装订。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10</w:t>
            </w:r>
          </w:p>
        </w:tc>
        <w:tc>
          <w:tcPr>
            <w:tcW w:w="864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包装、密封：</w:t>
            </w:r>
            <w:r>
              <w:rPr>
                <w:rFonts w:asciiTheme="minorEastAsia" w:hAnsiTheme="minorEastAsia" w:eastAsiaTheme="minorEastAsia"/>
                <w:color w:val="auto"/>
                <w:sz w:val="24"/>
                <w:highlight w:val="none"/>
              </w:rPr>
              <w:t>投标人应将所有投标文件的</w:t>
            </w:r>
            <w:r>
              <w:rPr>
                <w:rFonts w:asciiTheme="minorEastAsia" w:hAnsiTheme="minorEastAsia" w:eastAsiaTheme="minorEastAsia"/>
                <w:color w:val="auto"/>
                <w:sz w:val="24"/>
                <w:highlight w:val="none"/>
                <w:u w:val="single"/>
              </w:rPr>
              <w:t>资格审查</w:t>
            </w:r>
            <w:r>
              <w:rPr>
                <w:rFonts w:hint="eastAsia" w:asciiTheme="minorEastAsia" w:hAnsiTheme="minorEastAsia" w:eastAsiaTheme="minorEastAsia"/>
                <w:color w:val="auto"/>
                <w:sz w:val="24"/>
                <w:highlight w:val="none"/>
                <w:u w:val="single"/>
              </w:rPr>
              <w:t>文件</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u w:val="single"/>
              </w:rPr>
              <w:t>商务及</w:t>
            </w:r>
            <w:r>
              <w:rPr>
                <w:rFonts w:asciiTheme="minorEastAsia" w:hAnsiTheme="minorEastAsia" w:eastAsiaTheme="minorEastAsia"/>
                <w:color w:val="auto"/>
                <w:sz w:val="24"/>
                <w:highlight w:val="none"/>
                <w:u w:val="single"/>
              </w:rPr>
              <w:t>技术</w:t>
            </w:r>
            <w:r>
              <w:rPr>
                <w:rFonts w:hint="eastAsia" w:asciiTheme="minorEastAsia" w:hAnsiTheme="minorEastAsia" w:eastAsiaTheme="minorEastAsia"/>
                <w:color w:val="auto"/>
                <w:sz w:val="24"/>
                <w:highlight w:val="none"/>
                <w:u w:val="single"/>
              </w:rPr>
              <w:t>文件</w:t>
            </w:r>
            <w:r>
              <w:rPr>
                <w:rFonts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u w:val="single"/>
              </w:rPr>
              <w:t>报价文件</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u w:val="single"/>
              </w:rPr>
              <w:t>开标一览表</w:t>
            </w:r>
            <w:r>
              <w:rPr>
                <w:rFonts w:hint="eastAsia" w:ascii="宋体" w:hAnsi="宋体" w:cs="宋体"/>
                <w:b/>
                <w:color w:val="auto"/>
                <w:szCs w:val="21"/>
                <w:highlight w:val="none"/>
              </w:rPr>
              <w:t>、</w:t>
            </w:r>
            <w:r>
              <w:rPr>
                <w:rFonts w:hint="eastAsia" w:asciiTheme="minorEastAsia" w:hAnsiTheme="minorEastAsia" w:eastAsiaTheme="minorEastAsia"/>
                <w:color w:val="auto"/>
                <w:sz w:val="24"/>
                <w:highlight w:val="none"/>
                <w:u w:val="single"/>
              </w:rPr>
              <w:t>投标文件电子版</w:t>
            </w:r>
            <w:r>
              <w:rPr>
                <w:rFonts w:asciiTheme="minorEastAsia" w:hAnsiTheme="minorEastAsia" w:eastAsiaTheme="minorEastAsia"/>
                <w:color w:val="auto"/>
                <w:sz w:val="24"/>
                <w:highlight w:val="none"/>
              </w:rPr>
              <w:t>分别密封在</w:t>
            </w:r>
            <w:r>
              <w:rPr>
                <w:rFonts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u w:val="single"/>
              </w:rPr>
              <w:t>四</w:t>
            </w:r>
            <w:r>
              <w:rPr>
                <w:rFonts w:asciiTheme="minorEastAsia" w:hAnsiTheme="minorEastAsia" w:eastAsiaTheme="minorEastAsia"/>
                <w:color w:val="auto"/>
                <w:sz w:val="24"/>
                <w:highlight w:val="none"/>
                <w:u w:val="single"/>
              </w:rPr>
              <w:t xml:space="preserve"> </w:t>
            </w:r>
            <w:r>
              <w:rPr>
                <w:rFonts w:asciiTheme="minorEastAsia" w:hAnsiTheme="minorEastAsia" w:eastAsiaTheme="minorEastAsia"/>
                <w:color w:val="auto"/>
                <w:sz w:val="24"/>
                <w:highlight w:val="none"/>
              </w:rPr>
              <w:t>个密封袋内，密封袋上清楚地标明“资格审查</w:t>
            </w:r>
            <w:r>
              <w:rPr>
                <w:rFonts w:hint="eastAsia" w:asciiTheme="minorEastAsia" w:hAnsiTheme="minorEastAsia" w:eastAsiaTheme="minorEastAsia"/>
                <w:color w:val="auto"/>
                <w:sz w:val="24"/>
                <w:highlight w:val="none"/>
              </w:rPr>
              <w:t>文件</w:t>
            </w:r>
            <w:r>
              <w:rPr>
                <w:rFonts w:asciiTheme="minorEastAsia" w:hAnsiTheme="minorEastAsia" w:eastAsiaTheme="minorEastAsia"/>
                <w:color w:val="auto"/>
                <w:sz w:val="24"/>
                <w:highlight w:val="none"/>
              </w:rPr>
              <w:t>”或“</w:t>
            </w:r>
            <w:r>
              <w:rPr>
                <w:rFonts w:hint="eastAsia" w:asciiTheme="minorEastAsia" w:hAnsiTheme="minorEastAsia" w:eastAsiaTheme="minorEastAsia"/>
                <w:color w:val="auto"/>
                <w:sz w:val="24"/>
                <w:highlight w:val="none"/>
              </w:rPr>
              <w:t>商务及</w:t>
            </w:r>
            <w:r>
              <w:rPr>
                <w:rFonts w:asciiTheme="minorEastAsia" w:hAnsiTheme="minorEastAsia" w:eastAsiaTheme="minorEastAsia"/>
                <w:color w:val="auto"/>
                <w:sz w:val="24"/>
                <w:highlight w:val="none"/>
              </w:rPr>
              <w:t>技术</w:t>
            </w:r>
            <w:r>
              <w:rPr>
                <w:rFonts w:hint="eastAsia" w:asciiTheme="minorEastAsia" w:hAnsiTheme="minorEastAsia" w:eastAsiaTheme="minorEastAsia"/>
                <w:color w:val="auto"/>
                <w:sz w:val="24"/>
                <w:highlight w:val="none"/>
              </w:rPr>
              <w:t>文件、报价文件</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或“开标一览表”或“</w:t>
            </w:r>
            <w:r>
              <w:rPr>
                <w:rFonts w:hint="eastAsia" w:asciiTheme="minorEastAsia" w:hAnsiTheme="minorEastAsia" w:eastAsiaTheme="minorEastAsia"/>
                <w:color w:val="auto"/>
                <w:sz w:val="24"/>
                <w:highlight w:val="none"/>
                <w:u w:val="single"/>
              </w:rPr>
              <w:t>投标文件电子版</w:t>
            </w: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rPr>
              <w:t>。</w:t>
            </w:r>
          </w:p>
          <w:p>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提交投标文件时应为</w:t>
            </w:r>
            <w:r>
              <w:rPr>
                <w:rFonts w:hint="eastAsia" w:asciiTheme="minorEastAsia" w:hAnsiTheme="minorEastAsia" w:eastAsiaTheme="minorEastAsia"/>
                <w:color w:val="auto"/>
                <w:sz w:val="24"/>
                <w:highlight w:val="none"/>
                <w:u w:val="single"/>
              </w:rPr>
              <w:t xml:space="preserve"> 一 </w:t>
            </w:r>
            <w:r>
              <w:rPr>
                <w:rFonts w:hint="eastAsia" w:asciiTheme="minorEastAsia" w:hAnsiTheme="minorEastAsia" w:eastAsiaTheme="minorEastAsia"/>
                <w:color w:val="auto"/>
                <w:sz w:val="24"/>
                <w:highlight w:val="none"/>
              </w:rPr>
              <w:t>个密封袋。</w:t>
            </w:r>
          </w:p>
          <w:p>
            <w:pPr>
              <w:spacing w:line="360" w:lineRule="auto"/>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投标文件密封袋的封口处应加贴封条并</w:t>
            </w:r>
            <w:r>
              <w:rPr>
                <w:rFonts w:hint="eastAsia" w:asciiTheme="minorEastAsia" w:hAnsiTheme="minorEastAsia" w:eastAsiaTheme="minorEastAsia"/>
                <w:color w:val="auto"/>
                <w:sz w:val="24"/>
                <w:highlight w:val="none"/>
              </w:rPr>
              <w:t>签章（公章、密封章、法定代表人或其委托代理人签名均可）</w:t>
            </w:r>
            <w:r>
              <w:rPr>
                <w:rFonts w:asciiTheme="minorEastAsia" w:hAnsiTheme="minorEastAsia" w:eastAsiaTheme="minorEastAsia"/>
                <w:color w:val="auto"/>
                <w:sz w:val="24"/>
                <w:highlight w:val="none"/>
              </w:rPr>
              <w:t>以示密封</w:t>
            </w:r>
            <w:r>
              <w:rPr>
                <w:rFonts w:hint="eastAsia" w:asciiTheme="minorEastAsia" w:hAnsiTheme="minorEastAsia" w:eastAsiaTheme="minorEastAsia"/>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11</w:t>
            </w:r>
          </w:p>
        </w:tc>
        <w:tc>
          <w:tcPr>
            <w:tcW w:w="864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封套上写明：</w:t>
            </w:r>
          </w:p>
          <w:p>
            <w:pPr>
              <w:autoSpaceDE w:val="0"/>
              <w:autoSpaceDN w:val="0"/>
              <w:snapToGrid w:val="0"/>
              <w:ind w:firstLine="1320" w:firstLineChars="550"/>
              <w:textAlignment w:val="bottom"/>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投标文件</w:t>
            </w:r>
          </w:p>
          <w:p>
            <w:pPr>
              <w:autoSpaceDE w:val="0"/>
              <w:autoSpaceDN w:val="0"/>
              <w:snapToGrid w:val="0"/>
              <w:textAlignment w:val="bottom"/>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项目名称：</w:t>
            </w:r>
          </w:p>
          <w:p>
            <w:pPr>
              <w:autoSpaceDE w:val="0"/>
              <w:autoSpaceDN w:val="0"/>
              <w:snapToGrid w:val="0"/>
              <w:textAlignment w:val="bottom"/>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项目编号：</w:t>
            </w:r>
          </w:p>
          <w:p>
            <w:pPr>
              <w:autoSpaceDE w:val="0"/>
              <w:autoSpaceDN w:val="0"/>
              <w:snapToGrid w:val="0"/>
              <w:textAlignment w:val="bottom"/>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标项（如有）：</w:t>
            </w:r>
          </w:p>
          <w:p>
            <w:pPr>
              <w:autoSpaceDE w:val="0"/>
              <w:autoSpaceDN w:val="0"/>
              <w:snapToGrid w:val="0"/>
              <w:textAlignment w:val="bottom"/>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投标人名称：</w:t>
            </w:r>
          </w:p>
          <w:p>
            <w:pPr>
              <w:autoSpaceDE w:val="0"/>
              <w:autoSpaceDN w:val="0"/>
              <w:snapToGrid w:val="0"/>
              <w:textAlignment w:val="bottom"/>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投标人地址：</w:t>
            </w:r>
          </w:p>
          <w:p>
            <w:pPr>
              <w:autoSpaceDE w:val="0"/>
              <w:autoSpaceDN w:val="0"/>
              <w:snapToGrid w:val="0"/>
              <w:jc w:val="right"/>
              <w:textAlignment w:val="bottom"/>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在    年   月  日  时  分前不得开启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6"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12</w:t>
            </w:r>
          </w:p>
        </w:tc>
        <w:tc>
          <w:tcPr>
            <w:tcW w:w="8640" w:type="dxa"/>
            <w:tcBorders>
              <w:top w:val="single" w:color="auto" w:sz="4" w:space="0"/>
              <w:left w:val="single" w:color="auto" w:sz="4" w:space="0"/>
              <w:bottom w:val="single" w:color="auto" w:sz="4" w:space="0"/>
              <w:right w:val="single" w:color="auto" w:sz="4" w:space="0"/>
            </w:tcBorders>
            <w:vAlign w:val="center"/>
          </w:tcPr>
          <w:p>
            <w:pPr>
              <w:snapToGrid w:val="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投标文件递交截止时间</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rPr>
              <w:t>202</w:t>
            </w:r>
            <w:r>
              <w:rPr>
                <w:rFonts w:hint="eastAsia" w:asciiTheme="minorEastAsia" w:hAnsiTheme="minorEastAsia" w:eastAsiaTheme="minorEastAsia" w:cstheme="minorEastAsia"/>
                <w:color w:val="auto"/>
                <w:sz w:val="24"/>
                <w:highlight w:val="none"/>
                <w:u w:val="single"/>
                <w:lang w:val="en-US" w:eastAsia="zh-CN"/>
              </w:rPr>
              <w:t>1</w:t>
            </w:r>
            <w:r>
              <w:rPr>
                <w:rFonts w:hint="eastAsia" w:asciiTheme="minorEastAsia" w:hAnsiTheme="minorEastAsia" w:eastAsiaTheme="minorEastAsia" w:cstheme="minorEastAsia"/>
                <w:bCs/>
                <w:color w:val="auto"/>
                <w:sz w:val="24"/>
                <w:highlight w:val="none"/>
                <w:u w:val="single"/>
              </w:rPr>
              <w:t>年</w:t>
            </w:r>
            <w:r>
              <w:rPr>
                <w:rFonts w:hint="eastAsia" w:asciiTheme="minorEastAsia" w:hAnsiTheme="minorEastAsia" w:eastAsiaTheme="minorEastAsia" w:cstheme="minorEastAsia"/>
                <w:bCs/>
                <w:color w:val="auto"/>
                <w:sz w:val="24"/>
                <w:highlight w:val="none"/>
                <w:u w:val="single"/>
                <w:lang w:val="en-US" w:eastAsia="zh-CN"/>
              </w:rPr>
              <w:t>1</w:t>
            </w:r>
            <w:r>
              <w:rPr>
                <w:rFonts w:hint="eastAsia" w:asciiTheme="minorEastAsia" w:hAnsiTheme="minorEastAsia" w:eastAsiaTheme="minorEastAsia" w:cstheme="minorEastAsia"/>
                <w:bCs/>
                <w:color w:val="auto"/>
                <w:sz w:val="24"/>
                <w:highlight w:val="none"/>
                <w:u w:val="single"/>
              </w:rPr>
              <w:t>月</w:t>
            </w:r>
            <w:r>
              <w:rPr>
                <w:rFonts w:hint="eastAsia" w:asciiTheme="minorEastAsia" w:hAnsiTheme="minorEastAsia" w:eastAsiaTheme="minorEastAsia" w:cstheme="minorEastAsia"/>
                <w:bCs/>
                <w:color w:val="auto"/>
                <w:sz w:val="24"/>
                <w:highlight w:val="none"/>
                <w:u w:val="single"/>
                <w:lang w:val="en-US" w:eastAsia="zh-CN"/>
              </w:rPr>
              <w:t>21</w:t>
            </w:r>
            <w:r>
              <w:rPr>
                <w:rFonts w:hint="eastAsia" w:asciiTheme="minorEastAsia" w:hAnsiTheme="minorEastAsia" w:eastAsiaTheme="minorEastAsia" w:cstheme="minorEastAsia"/>
                <w:bCs/>
                <w:color w:val="auto"/>
                <w:sz w:val="24"/>
                <w:highlight w:val="none"/>
                <w:u w:val="single"/>
              </w:rPr>
              <w:t>日9点30分</w:t>
            </w:r>
          </w:p>
          <w:p>
            <w:pPr>
              <w:snapToGrid w:val="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投标文件递交地点</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u w:val="single"/>
              </w:rPr>
              <w:t xml:space="preserve"> 详见招标公告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9"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13</w:t>
            </w:r>
          </w:p>
        </w:tc>
        <w:tc>
          <w:tcPr>
            <w:tcW w:w="8640" w:type="dxa"/>
            <w:tcBorders>
              <w:top w:val="single" w:color="auto" w:sz="4" w:space="0"/>
              <w:left w:val="single" w:color="auto" w:sz="4" w:space="0"/>
              <w:bottom w:val="single" w:color="auto" w:sz="4" w:space="0"/>
              <w:right w:val="single" w:color="auto" w:sz="4" w:space="0"/>
            </w:tcBorders>
            <w:vAlign w:val="center"/>
          </w:tcPr>
          <w:p>
            <w:pPr>
              <w:snapToGrid w:val="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开标时间：</w:t>
            </w:r>
            <w:r>
              <w:rPr>
                <w:rFonts w:hint="eastAsia" w:asciiTheme="minorEastAsia" w:hAnsiTheme="minorEastAsia" w:eastAsiaTheme="minorEastAsia" w:cstheme="minorEastAsia"/>
                <w:color w:val="auto"/>
                <w:sz w:val="24"/>
                <w:highlight w:val="none"/>
                <w:u w:val="single"/>
              </w:rPr>
              <w:t>202</w:t>
            </w:r>
            <w:r>
              <w:rPr>
                <w:rFonts w:hint="eastAsia" w:asciiTheme="minorEastAsia" w:hAnsiTheme="minorEastAsia" w:eastAsiaTheme="minorEastAsia" w:cstheme="minorEastAsia"/>
                <w:color w:val="auto"/>
                <w:sz w:val="24"/>
                <w:highlight w:val="none"/>
                <w:u w:val="single"/>
                <w:lang w:val="en-US" w:eastAsia="zh-CN"/>
              </w:rPr>
              <w:t>1</w:t>
            </w:r>
            <w:r>
              <w:rPr>
                <w:rFonts w:hint="eastAsia" w:asciiTheme="minorEastAsia" w:hAnsiTheme="minorEastAsia" w:eastAsiaTheme="minorEastAsia" w:cstheme="minorEastAsia"/>
                <w:bCs/>
                <w:color w:val="auto"/>
                <w:sz w:val="24"/>
                <w:highlight w:val="none"/>
                <w:u w:val="single"/>
              </w:rPr>
              <w:t>年</w:t>
            </w:r>
            <w:r>
              <w:rPr>
                <w:rFonts w:hint="eastAsia" w:asciiTheme="minorEastAsia" w:hAnsiTheme="minorEastAsia" w:eastAsiaTheme="minorEastAsia" w:cstheme="minorEastAsia"/>
                <w:bCs/>
                <w:color w:val="auto"/>
                <w:sz w:val="24"/>
                <w:highlight w:val="none"/>
                <w:u w:val="single"/>
                <w:lang w:val="en-US" w:eastAsia="zh-CN"/>
              </w:rPr>
              <w:t>1</w:t>
            </w:r>
            <w:r>
              <w:rPr>
                <w:rFonts w:hint="eastAsia" w:asciiTheme="minorEastAsia" w:hAnsiTheme="minorEastAsia" w:eastAsiaTheme="minorEastAsia" w:cstheme="minorEastAsia"/>
                <w:bCs/>
                <w:color w:val="auto"/>
                <w:sz w:val="24"/>
                <w:highlight w:val="none"/>
                <w:u w:val="single"/>
              </w:rPr>
              <w:t>月</w:t>
            </w:r>
            <w:r>
              <w:rPr>
                <w:rFonts w:hint="eastAsia" w:asciiTheme="minorEastAsia" w:hAnsiTheme="minorEastAsia" w:eastAsiaTheme="minorEastAsia" w:cstheme="minorEastAsia"/>
                <w:bCs/>
                <w:color w:val="auto"/>
                <w:sz w:val="24"/>
                <w:highlight w:val="none"/>
                <w:u w:val="single"/>
                <w:lang w:val="en-US" w:eastAsia="zh-CN"/>
              </w:rPr>
              <w:t>21</w:t>
            </w:r>
            <w:r>
              <w:rPr>
                <w:rFonts w:hint="eastAsia" w:asciiTheme="minorEastAsia" w:hAnsiTheme="minorEastAsia" w:eastAsiaTheme="minorEastAsia" w:cstheme="minorEastAsia"/>
                <w:bCs/>
                <w:color w:val="auto"/>
                <w:sz w:val="24"/>
                <w:highlight w:val="none"/>
                <w:u w:val="single"/>
              </w:rPr>
              <w:t>日9点30分</w:t>
            </w:r>
            <w:r>
              <w:rPr>
                <w:rFonts w:hint="eastAsia" w:asciiTheme="minorEastAsia" w:hAnsiTheme="minorEastAsia" w:eastAsiaTheme="minorEastAsia"/>
                <w:color w:val="auto"/>
                <w:sz w:val="24"/>
                <w:highlight w:val="none"/>
              </w:rPr>
              <w:t xml:space="preserve"> </w:t>
            </w:r>
          </w:p>
          <w:p>
            <w:pPr>
              <w:snapToGrid w:val="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地点：</w:t>
            </w:r>
            <w:r>
              <w:rPr>
                <w:rFonts w:hint="eastAsia" w:asciiTheme="minorEastAsia" w:hAnsiTheme="minorEastAsia" w:eastAsiaTheme="minorEastAsia"/>
                <w:b/>
                <w:color w:val="auto"/>
                <w:sz w:val="24"/>
                <w:highlight w:val="none"/>
                <w:u w:val="single"/>
              </w:rPr>
              <w:t xml:space="preserve"> 南宁市良庆区玉洞大道33号（青少年活动中心旁）市民中心9楼（具体安排详见电子大屏幕场地安排表）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14</w:t>
            </w:r>
          </w:p>
        </w:tc>
        <w:tc>
          <w:tcPr>
            <w:tcW w:w="864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评标办法及评分标准：详见第四章评标办法及评分标准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15</w:t>
            </w:r>
          </w:p>
        </w:tc>
        <w:tc>
          <w:tcPr>
            <w:tcW w:w="864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440" w:lineRule="exact"/>
              <w:textAlignment w:val="bottom"/>
              <w:rPr>
                <w:rFonts w:ascii="宋体" w:hAnsi="宋体"/>
                <w:color w:val="auto"/>
                <w:sz w:val="24"/>
                <w:highlight w:val="none"/>
              </w:rPr>
            </w:pPr>
            <w:r>
              <w:rPr>
                <w:rFonts w:hint="eastAsia" w:hAnsi="宋体"/>
                <w:b/>
                <w:color w:val="auto"/>
                <w:sz w:val="24"/>
                <w:highlight w:val="none"/>
              </w:rPr>
              <w:t>信用查询：</w:t>
            </w:r>
            <w:r>
              <w:rPr>
                <w:rFonts w:hint="eastAsia" w:ascii="宋体" w:hAnsi="宋体"/>
                <w:color w:val="auto"/>
                <w:sz w:val="24"/>
                <w:highlight w:val="none"/>
              </w:rPr>
              <w:t>根据《关于做好政府采购有关信用主体标识码登记及在政府采购活动中查询使用信用记录有关问题的通知》桂财采〔2016〕37号的通知，中标通知书发出前，由采购代理机构对第一中标候选人进行信用查询：</w:t>
            </w:r>
          </w:p>
          <w:p>
            <w:pPr>
              <w:autoSpaceDE w:val="0"/>
              <w:autoSpaceDN w:val="0"/>
              <w:snapToGrid w:val="0"/>
              <w:spacing w:line="440" w:lineRule="exact"/>
              <w:ind w:firstLine="480" w:firstLineChars="200"/>
              <w:textAlignment w:val="bottom"/>
              <w:rPr>
                <w:rFonts w:ascii="宋体" w:hAnsi="宋体"/>
                <w:color w:val="auto"/>
                <w:sz w:val="24"/>
                <w:highlight w:val="none"/>
              </w:rPr>
            </w:pPr>
            <w:r>
              <w:rPr>
                <w:rFonts w:hint="eastAsia" w:ascii="宋体" w:hAnsi="宋体"/>
                <w:color w:val="auto"/>
                <w:sz w:val="24"/>
                <w:highlight w:val="none"/>
              </w:rPr>
              <w:t>⑴查询渠道：“信用中国”网站(www.creditchina.gov.cn)、中国政府采购网(www.ccgp.gov.cn)等；</w:t>
            </w:r>
          </w:p>
          <w:p>
            <w:pPr>
              <w:autoSpaceDE w:val="0"/>
              <w:autoSpaceDN w:val="0"/>
              <w:snapToGrid w:val="0"/>
              <w:spacing w:line="440" w:lineRule="exact"/>
              <w:ind w:firstLine="480" w:firstLineChars="200"/>
              <w:textAlignment w:val="bottom"/>
              <w:rPr>
                <w:rFonts w:ascii="宋体" w:hAnsi="宋体"/>
                <w:color w:val="auto"/>
                <w:sz w:val="24"/>
                <w:highlight w:val="none"/>
              </w:rPr>
            </w:pPr>
            <w:r>
              <w:rPr>
                <w:rFonts w:hint="eastAsia" w:ascii="宋体" w:hAnsi="宋体"/>
                <w:color w:val="auto"/>
                <w:sz w:val="24"/>
                <w:highlight w:val="none"/>
              </w:rPr>
              <w:t>⑵查询截止时点：中标通知书发出前；</w:t>
            </w:r>
          </w:p>
          <w:p>
            <w:pPr>
              <w:autoSpaceDE w:val="0"/>
              <w:autoSpaceDN w:val="0"/>
              <w:snapToGrid w:val="0"/>
              <w:spacing w:line="440" w:lineRule="exact"/>
              <w:ind w:firstLine="480" w:firstLineChars="200"/>
              <w:textAlignment w:val="bottom"/>
              <w:rPr>
                <w:rFonts w:ascii="宋体" w:hAnsi="宋体"/>
                <w:color w:val="auto"/>
                <w:sz w:val="24"/>
                <w:highlight w:val="none"/>
              </w:rPr>
            </w:pPr>
            <w:r>
              <w:rPr>
                <w:rFonts w:hint="eastAsia" w:ascii="宋体" w:hAnsi="宋体"/>
                <w:color w:val="auto"/>
                <w:sz w:val="24"/>
                <w:highlight w:val="none"/>
              </w:rPr>
              <w:t>⑶信用信息查询记录和证据留存方式：在查询网站中直接打印查询记录，打印材料作为采购活动资料保存。</w:t>
            </w:r>
          </w:p>
          <w:p>
            <w:pPr>
              <w:pStyle w:val="114"/>
              <w:spacing w:line="440" w:lineRule="exact"/>
              <w:ind w:firstLine="480" w:firstLineChars="200"/>
              <w:rPr>
                <w:rFonts w:hAnsi="宋体"/>
                <w:color w:val="auto"/>
                <w:sz w:val="24"/>
                <w:szCs w:val="24"/>
                <w:highlight w:val="none"/>
              </w:rPr>
            </w:pPr>
            <w:r>
              <w:rPr>
                <w:rFonts w:hint="eastAsia" w:hAnsi="宋体"/>
                <w:color w:val="auto"/>
                <w:sz w:val="24"/>
                <w:szCs w:val="24"/>
                <w:highlight w:val="none"/>
              </w:rPr>
              <w:t>⑷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中标候选人资格。</w:t>
            </w:r>
          </w:p>
          <w:p>
            <w:pPr>
              <w:pStyle w:val="22"/>
              <w:spacing w:line="380" w:lineRule="exact"/>
              <w:ind w:firstLine="470" w:firstLineChars="196"/>
              <w:rPr>
                <w:rFonts w:hAnsi="宋体"/>
                <w:b/>
                <w:color w:val="auto"/>
                <w:sz w:val="24"/>
                <w:szCs w:val="24"/>
                <w:highlight w:val="none"/>
              </w:rPr>
            </w:pPr>
            <w:r>
              <w:rPr>
                <w:rFonts w:hint="eastAsia"/>
                <w:color w:val="auto"/>
                <w:sz w:val="24"/>
                <w:szCs w:val="24"/>
                <w:highlight w:val="none"/>
              </w:rPr>
              <w:t>两个以上的自然人、法人或者其他组织组成一个联合体，以一个供应商的身份共同参加政府采购活动的，对所有联合体成员进行信用记录查询，联合体成员存在不良信用记录的，视同联合体存在不良信用记录。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16</w:t>
            </w:r>
          </w:p>
        </w:tc>
        <w:tc>
          <w:tcPr>
            <w:tcW w:w="864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jc w:val="left"/>
              <w:textAlignment w:val="bottom"/>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中标公告及中标通知书：</w:t>
            </w:r>
            <w:r>
              <w:rPr>
                <w:rFonts w:hint="eastAsia" w:asciiTheme="minorEastAsia" w:hAnsiTheme="minorEastAsia" w:eastAsiaTheme="minorEastAsia"/>
                <w:color w:val="auto"/>
                <w:sz w:val="24"/>
                <w:highlight w:val="none"/>
              </w:rPr>
              <w:t>本中心在采购人依法确认中标人后2个工作日内发布中标公告和中标通知书，中标公告发布于上述媒体（详细见公告中公布的网站）。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9"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17</w:t>
            </w:r>
          </w:p>
        </w:tc>
        <w:tc>
          <w:tcPr>
            <w:tcW w:w="864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签订合同时间：</w:t>
            </w:r>
            <w:r>
              <w:rPr>
                <w:rFonts w:hint="eastAsia" w:ascii="宋体" w:hAnsi="宋体" w:cs="宋体"/>
                <w:color w:val="auto"/>
                <w:sz w:val="24"/>
                <w:highlight w:val="none"/>
              </w:rPr>
              <w:t>自中标通知书发出之日起</w:t>
            </w:r>
            <w:r>
              <w:rPr>
                <w:rFonts w:hint="eastAsia" w:ascii="宋体" w:hAnsi="宋体" w:cs="宋体"/>
                <w:color w:val="auto"/>
                <w:sz w:val="24"/>
                <w:highlight w:val="none"/>
                <w:lang w:val="en-US" w:eastAsia="zh-CN"/>
              </w:rPr>
              <w:t>25</w:t>
            </w:r>
            <w:r>
              <w:rPr>
                <w:rFonts w:hint="eastAsia" w:ascii="宋体" w:hAnsi="宋体" w:cs="宋体"/>
                <w:color w:val="auto"/>
                <w:sz w:val="24"/>
                <w:highlight w:val="none"/>
              </w:rPr>
              <w:t>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18</w:t>
            </w:r>
          </w:p>
        </w:tc>
        <w:tc>
          <w:tcPr>
            <w:tcW w:w="8640" w:type="dxa"/>
            <w:tcBorders>
              <w:top w:val="single" w:color="auto" w:sz="4" w:space="0"/>
              <w:left w:val="single" w:color="auto" w:sz="4" w:space="0"/>
              <w:bottom w:val="single" w:color="auto" w:sz="4" w:space="0"/>
              <w:right w:val="single" w:color="auto" w:sz="4" w:space="0"/>
            </w:tcBorders>
          </w:tcPr>
          <w:p>
            <w:pPr>
              <w:spacing w:line="45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采购资金来源：预算资金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19</w:t>
            </w:r>
          </w:p>
        </w:tc>
        <w:tc>
          <w:tcPr>
            <w:tcW w:w="8640" w:type="dxa"/>
            <w:tcBorders>
              <w:top w:val="single" w:color="auto" w:sz="4" w:space="0"/>
              <w:left w:val="single" w:color="auto" w:sz="4" w:space="0"/>
              <w:bottom w:val="single" w:color="auto" w:sz="4" w:space="0"/>
              <w:right w:val="single" w:color="auto" w:sz="4" w:space="0"/>
            </w:tcBorders>
          </w:tcPr>
          <w:p>
            <w:pPr>
              <w:spacing w:line="45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付款方式：采购人自行支付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20</w:t>
            </w:r>
          </w:p>
        </w:tc>
        <w:tc>
          <w:tcPr>
            <w:tcW w:w="8640" w:type="dxa"/>
            <w:tcBorders>
              <w:top w:val="single" w:color="auto" w:sz="4" w:space="0"/>
              <w:left w:val="single" w:color="auto" w:sz="4" w:space="0"/>
              <w:bottom w:val="single" w:color="auto" w:sz="4" w:space="0"/>
              <w:right w:val="single" w:color="auto" w:sz="4" w:space="0"/>
            </w:tcBorders>
            <w:vAlign w:val="center"/>
          </w:tcPr>
          <w:p>
            <w:pPr>
              <w:snapToGrid w:val="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解释：本招标文件的解释权属于招标采购代理机构。</w:t>
            </w:r>
          </w:p>
        </w:tc>
      </w:tr>
    </w:tbl>
    <w:p>
      <w:pPr>
        <w:pStyle w:val="22"/>
        <w:tabs>
          <w:tab w:val="left" w:pos="426"/>
        </w:tabs>
        <w:snapToGrid w:val="0"/>
        <w:jc w:val="center"/>
        <w:rPr>
          <w:rFonts w:hAnsi="宋体"/>
          <w:b/>
          <w:color w:val="auto"/>
          <w:sz w:val="32"/>
          <w:szCs w:val="32"/>
          <w:highlight w:val="none"/>
        </w:rPr>
      </w:pPr>
      <w:r>
        <w:rPr>
          <w:rFonts w:hAnsi="宋体"/>
          <w:b/>
          <w:color w:val="auto"/>
          <w:highlight w:val="none"/>
        </w:rPr>
        <w:br w:type="page"/>
      </w:r>
      <w:r>
        <w:rPr>
          <w:rFonts w:hint="eastAsia" w:hAnsi="宋体"/>
          <w:b/>
          <w:color w:val="auto"/>
          <w:sz w:val="32"/>
          <w:szCs w:val="32"/>
          <w:highlight w:val="none"/>
        </w:rPr>
        <w:t>一、总  则</w:t>
      </w:r>
    </w:p>
    <w:p>
      <w:pPr>
        <w:snapToGrid w:val="0"/>
        <w:spacing w:line="360" w:lineRule="exact"/>
        <w:jc w:val="left"/>
        <w:rPr>
          <w:rFonts w:asciiTheme="minorEastAsia" w:hAnsiTheme="minorEastAsia" w:eastAsiaTheme="minorEastAsia"/>
          <w:b/>
          <w:color w:val="auto"/>
          <w:sz w:val="24"/>
          <w:highlight w:val="none"/>
        </w:rPr>
      </w:pPr>
      <w:bookmarkStart w:id="44" w:name="_Toc254970668"/>
      <w:bookmarkStart w:id="45" w:name="_Toc254970527"/>
      <w:r>
        <w:rPr>
          <w:rFonts w:hint="eastAsia" w:asciiTheme="minorEastAsia" w:hAnsiTheme="minorEastAsia" w:eastAsiaTheme="minorEastAsia"/>
          <w:b/>
          <w:color w:val="auto"/>
          <w:sz w:val="24"/>
          <w:highlight w:val="none"/>
        </w:rPr>
        <w:t>（一） 适用范围</w:t>
      </w:r>
      <w:bookmarkEnd w:id="44"/>
      <w:bookmarkEnd w:id="45"/>
    </w:p>
    <w:p>
      <w:pPr>
        <w:snapToGrid w:val="0"/>
        <w:spacing w:line="360" w:lineRule="exact"/>
        <w:ind w:firstLine="360" w:firstLineChars="150"/>
        <w:jc w:val="left"/>
        <w:rPr>
          <w:rFonts w:asciiTheme="minorEastAsia" w:hAnsiTheme="minorEastAsia" w:eastAsiaTheme="minorEastAsia"/>
          <w:color w:val="auto"/>
          <w:sz w:val="24"/>
          <w:highlight w:val="none"/>
        </w:rPr>
      </w:pPr>
      <w:bookmarkStart w:id="46" w:name="_Toc254970528"/>
      <w:bookmarkStart w:id="47" w:name="_Toc254970669"/>
      <w:r>
        <w:rPr>
          <w:rFonts w:hint="eastAsia" w:asciiTheme="minorEastAsia" w:hAnsiTheme="minorEastAsia" w:eastAsiaTheme="minorEastAsia"/>
          <w:color w:val="auto"/>
          <w:sz w:val="24"/>
          <w:highlight w:val="none"/>
        </w:rPr>
        <w:t>本招标文件适用于</w:t>
      </w:r>
      <w:r>
        <w:rPr>
          <w:rFonts w:hint="eastAsia" w:ascii="宋体" w:hAnsi="宋体" w:cs="宋体"/>
          <w:color w:val="auto"/>
          <w:sz w:val="24"/>
          <w:highlight w:val="none"/>
        </w:rPr>
        <w:t>南宁市信息网络管理中心</w:t>
      </w:r>
      <w:r>
        <w:rPr>
          <w:rFonts w:hint="eastAsia" w:asciiTheme="minorEastAsia" w:hAnsiTheme="minorEastAsia" w:eastAsiaTheme="minorEastAsia"/>
          <w:color w:val="auto"/>
          <w:sz w:val="24"/>
          <w:highlight w:val="none"/>
        </w:rPr>
        <w:t>的</w:t>
      </w:r>
      <w:r>
        <w:rPr>
          <w:rFonts w:hint="eastAsia" w:ascii="宋体" w:hAnsi="宋体" w:eastAsiaTheme="minorEastAsia"/>
          <w:color w:val="auto"/>
          <w:spacing w:val="-6"/>
          <w:sz w:val="24"/>
          <w:highlight w:val="none"/>
          <w:u w:val="single"/>
        </w:rPr>
        <w:t>南宁市公共服务大数据治理与应用平台项目可信共享（试点）平台建设</w:t>
      </w:r>
      <w:r>
        <w:rPr>
          <w:rFonts w:hint="eastAsia" w:asciiTheme="minorEastAsia" w:hAnsiTheme="minorEastAsia" w:eastAsiaTheme="minorEastAsia"/>
          <w:color w:val="auto"/>
          <w:sz w:val="24"/>
          <w:highlight w:val="none"/>
        </w:rPr>
        <w:t>项目的招标、投标、评标、定标、验收、合同履约、付款等行为（法律、法规另有规定的，从其规定）。</w:t>
      </w:r>
    </w:p>
    <w:p>
      <w:pPr>
        <w:snapToGrid w:val="0"/>
        <w:spacing w:line="360" w:lineRule="exact"/>
        <w:jc w:val="left"/>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（二）定义</w:t>
      </w:r>
      <w:bookmarkEnd w:id="46"/>
      <w:bookmarkEnd w:id="47"/>
    </w:p>
    <w:p>
      <w:pPr>
        <w:widowControl/>
        <w:adjustRightInd w:val="0"/>
        <w:spacing w:line="360" w:lineRule="exact"/>
        <w:ind w:firstLine="360" w:firstLineChars="15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1.招标采购单位系指组织本次招标的采购人和代理机构。</w:t>
      </w:r>
    </w:p>
    <w:p>
      <w:pPr>
        <w:widowControl/>
        <w:adjustRightInd w:val="0"/>
        <w:spacing w:line="360" w:lineRule="exact"/>
        <w:ind w:firstLine="360" w:firstLineChars="15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2.“投标人”系指向招标方提交投标文件的单位或自然人。</w:t>
      </w:r>
    </w:p>
    <w:p>
      <w:pPr>
        <w:widowControl/>
        <w:adjustRightInd w:val="0"/>
        <w:spacing w:line="360" w:lineRule="exact"/>
        <w:ind w:firstLine="360" w:firstLineChars="15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3.“产品”系指供方按招标文件规定，须向采购人提供的一切设备、保险、税金、备品备件、工具、手册及其它有关技术资料和材料。</w:t>
      </w:r>
    </w:p>
    <w:p>
      <w:pPr>
        <w:widowControl/>
        <w:adjustRightInd w:val="0"/>
        <w:spacing w:line="360" w:lineRule="exact"/>
        <w:ind w:firstLine="360" w:firstLineChars="15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4.“服务”系指招标文件规定投标人须承担的安装、调试、技术协助、校准、培训、技术指导以及其他类似的义务。</w:t>
      </w:r>
    </w:p>
    <w:p>
      <w:pPr>
        <w:widowControl/>
        <w:adjustRightInd w:val="0"/>
        <w:spacing w:line="360" w:lineRule="exact"/>
        <w:ind w:firstLine="360" w:firstLineChars="15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5.“项目”系指投标人按招标文件规定向采购人提供的产品和服务。</w:t>
      </w:r>
    </w:p>
    <w:p>
      <w:pPr>
        <w:widowControl/>
        <w:adjustRightInd w:val="0"/>
        <w:spacing w:line="360" w:lineRule="exact"/>
        <w:ind w:firstLine="360" w:firstLineChars="15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6.“书面形式”包括信函、传真、电子邮件等。</w:t>
      </w:r>
    </w:p>
    <w:p>
      <w:pPr>
        <w:snapToGrid w:val="0"/>
        <w:spacing w:line="360" w:lineRule="exact"/>
        <w:jc w:val="left"/>
        <w:rPr>
          <w:rFonts w:asciiTheme="minorEastAsia" w:hAnsiTheme="minorEastAsia" w:eastAsiaTheme="minorEastAsia"/>
          <w:b/>
          <w:color w:val="auto"/>
          <w:sz w:val="24"/>
          <w:highlight w:val="none"/>
        </w:rPr>
      </w:pPr>
      <w:bookmarkStart w:id="48" w:name="_Toc254970670"/>
      <w:bookmarkStart w:id="49" w:name="_Toc254970529"/>
      <w:r>
        <w:rPr>
          <w:rFonts w:hint="eastAsia" w:asciiTheme="minorEastAsia" w:hAnsiTheme="minorEastAsia" w:eastAsiaTheme="minorEastAsia"/>
          <w:b/>
          <w:color w:val="auto"/>
          <w:sz w:val="24"/>
          <w:highlight w:val="none"/>
        </w:rPr>
        <w:t>（三）招标方式</w:t>
      </w:r>
      <w:bookmarkEnd w:id="48"/>
      <w:bookmarkEnd w:id="49"/>
    </w:p>
    <w:p>
      <w:pPr>
        <w:snapToGrid w:val="0"/>
        <w:spacing w:line="360" w:lineRule="exact"/>
        <w:ind w:firstLine="360" w:firstLineChars="15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公开招标方式。</w:t>
      </w:r>
    </w:p>
    <w:p>
      <w:pPr>
        <w:tabs>
          <w:tab w:val="left" w:pos="426"/>
        </w:tabs>
        <w:snapToGrid w:val="0"/>
        <w:spacing w:line="360" w:lineRule="exact"/>
        <w:jc w:val="left"/>
        <w:rPr>
          <w:rFonts w:asciiTheme="minorEastAsia" w:hAnsiTheme="minorEastAsia" w:eastAsiaTheme="minorEastAsia"/>
          <w:b/>
          <w:color w:val="auto"/>
          <w:sz w:val="24"/>
          <w:highlight w:val="none"/>
        </w:rPr>
      </w:pPr>
      <w:bookmarkStart w:id="50" w:name="_Toc254970530"/>
      <w:bookmarkStart w:id="51" w:name="_Toc254970671"/>
      <w:r>
        <w:rPr>
          <w:rFonts w:hint="eastAsia" w:asciiTheme="minorEastAsia" w:hAnsiTheme="minorEastAsia" w:eastAsiaTheme="minorEastAsia"/>
          <w:b/>
          <w:color w:val="auto"/>
          <w:sz w:val="24"/>
          <w:highlight w:val="none"/>
        </w:rPr>
        <w:t>（四）投标委托</w:t>
      </w:r>
      <w:bookmarkEnd w:id="50"/>
      <w:bookmarkEnd w:id="51"/>
    </w:p>
    <w:p>
      <w:pPr>
        <w:pStyle w:val="18"/>
        <w:snapToGrid w:val="0"/>
        <w:spacing w:line="360" w:lineRule="exact"/>
        <w:ind w:firstLine="360" w:firstLineChars="150"/>
        <w:jc w:val="lef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投标人代表须携带法定代表人身份证明书及有效身份证件。如投标人代表不是法定代表人，须有法定代表人出具的授权委托书（正本用原件，副本用复印件，格式见第四部分）。</w:t>
      </w:r>
    </w:p>
    <w:p>
      <w:pPr>
        <w:snapToGrid w:val="0"/>
        <w:spacing w:line="360" w:lineRule="exact"/>
        <w:jc w:val="left"/>
        <w:rPr>
          <w:rFonts w:asciiTheme="minorEastAsia" w:hAnsiTheme="minorEastAsia" w:eastAsiaTheme="minorEastAsia"/>
          <w:b/>
          <w:color w:val="auto"/>
          <w:sz w:val="24"/>
          <w:highlight w:val="none"/>
        </w:rPr>
      </w:pPr>
      <w:bookmarkStart w:id="52" w:name="_Toc254970672"/>
      <w:bookmarkStart w:id="53" w:name="_Toc254970531"/>
      <w:r>
        <w:rPr>
          <w:rFonts w:hint="eastAsia" w:asciiTheme="minorEastAsia" w:hAnsiTheme="minorEastAsia" w:eastAsiaTheme="minorEastAsia"/>
          <w:b/>
          <w:color w:val="auto"/>
          <w:sz w:val="24"/>
          <w:highlight w:val="none"/>
        </w:rPr>
        <w:t>（五）投标费用</w:t>
      </w:r>
      <w:bookmarkEnd w:id="52"/>
      <w:bookmarkEnd w:id="53"/>
    </w:p>
    <w:p>
      <w:pPr>
        <w:snapToGrid w:val="0"/>
        <w:spacing w:line="360" w:lineRule="exact"/>
        <w:ind w:firstLine="360" w:firstLineChars="15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不论投标结果如何，投标人均应自行承担所有与投标有关的全部费用（招标文件有相关的规定除外）。</w:t>
      </w:r>
    </w:p>
    <w:p>
      <w:pPr>
        <w:snapToGrid w:val="0"/>
        <w:spacing w:before="156" w:beforeLines="50" w:line="360" w:lineRule="exact"/>
        <w:jc w:val="left"/>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（六）联合体投标</w:t>
      </w:r>
    </w:p>
    <w:p>
      <w:pPr>
        <w:widowControl/>
        <w:shd w:val="clear" w:color="auto" w:fill="FFFFFF"/>
        <w:tabs>
          <w:tab w:val="left" w:pos="851"/>
        </w:tabs>
        <w:spacing w:line="360" w:lineRule="exact"/>
        <w:ind w:firstLine="360" w:firstLineChars="150"/>
        <w:jc w:val="left"/>
        <w:rPr>
          <w:rFonts w:cs="Tahoma" w:asciiTheme="minorEastAsia" w:hAnsiTheme="minorEastAsia" w:eastAsiaTheme="minorEastAsia"/>
          <w:color w:val="auto"/>
          <w:kern w:val="0"/>
          <w:sz w:val="24"/>
          <w:highlight w:val="none"/>
        </w:rPr>
      </w:pPr>
      <w:r>
        <w:rPr>
          <w:rFonts w:hint="eastAsia" w:cs="Tahoma" w:asciiTheme="minorEastAsia" w:hAnsiTheme="minorEastAsia" w:eastAsiaTheme="minorEastAsia"/>
          <w:color w:val="auto"/>
          <w:kern w:val="0"/>
          <w:sz w:val="24"/>
          <w:highlight w:val="none"/>
        </w:rPr>
        <w:t>联合体投标要求:</w:t>
      </w:r>
    </w:p>
    <w:p>
      <w:pPr>
        <w:snapToGrid w:val="0"/>
        <w:spacing w:line="360" w:lineRule="exact"/>
        <w:ind w:firstLine="480" w:firstLineChars="200"/>
        <w:rPr>
          <w:rFonts w:cs="Tahoma" w:asciiTheme="minorEastAsia" w:hAnsiTheme="minorEastAsia" w:eastAsiaTheme="minorEastAsia"/>
          <w:color w:val="auto"/>
          <w:kern w:val="0"/>
          <w:sz w:val="24"/>
          <w:highlight w:val="none"/>
        </w:rPr>
      </w:pPr>
      <w:r>
        <w:rPr>
          <w:rFonts w:hint="eastAsia" w:cs="Tahoma" w:asciiTheme="minorEastAsia" w:hAnsiTheme="minorEastAsia" w:eastAsiaTheme="minorEastAsia"/>
          <w:color w:val="auto"/>
          <w:kern w:val="0"/>
          <w:sz w:val="24"/>
          <w:highlight w:val="none"/>
        </w:rPr>
        <w:t>本项目不接受联合体投标</w:t>
      </w:r>
    </w:p>
    <w:p>
      <w:pPr>
        <w:snapToGrid w:val="0"/>
        <w:spacing w:line="360" w:lineRule="exact"/>
        <w:rPr>
          <w:rFonts w:cs="宋体" w:asciiTheme="minorEastAsia" w:hAnsiTheme="minorEastAsia" w:eastAsiaTheme="minorEastAsia"/>
          <w:b/>
          <w:color w:val="auto"/>
          <w:kern w:val="0"/>
          <w:sz w:val="24"/>
          <w:highlight w:val="none"/>
        </w:rPr>
      </w:pPr>
      <w:r>
        <w:rPr>
          <w:rFonts w:hint="eastAsia" w:asciiTheme="minorEastAsia" w:hAnsiTheme="minorEastAsia" w:eastAsiaTheme="minorEastAsia"/>
          <w:b/>
          <w:color w:val="auto"/>
          <w:sz w:val="24"/>
          <w:highlight w:val="none"/>
        </w:rPr>
        <w:t>（七）</w:t>
      </w:r>
      <w:r>
        <w:rPr>
          <w:rFonts w:hint="eastAsia" w:cs="宋体" w:asciiTheme="minorEastAsia" w:hAnsiTheme="minorEastAsia" w:eastAsiaTheme="minorEastAsia"/>
          <w:b/>
          <w:color w:val="auto"/>
          <w:kern w:val="0"/>
          <w:sz w:val="24"/>
          <w:highlight w:val="none"/>
        </w:rPr>
        <w:t>专业分包 ：</w:t>
      </w:r>
    </w:p>
    <w:p>
      <w:pPr>
        <w:snapToGrid w:val="0"/>
        <w:spacing w:line="360" w:lineRule="exact"/>
        <w:ind w:firstLine="602" w:firstLineChars="250"/>
        <w:rPr>
          <w:rFonts w:cs="宋体" w:asciiTheme="minorEastAsia" w:hAnsiTheme="minorEastAsia" w:eastAsiaTheme="minorEastAsia"/>
          <w:b/>
          <w:color w:val="auto"/>
          <w:kern w:val="0"/>
          <w:sz w:val="24"/>
          <w:highlight w:val="none"/>
        </w:rPr>
      </w:pPr>
      <w:r>
        <w:rPr>
          <w:rFonts w:hint="eastAsia" w:cs="宋体" w:asciiTheme="minorEastAsia" w:hAnsiTheme="minorEastAsia" w:eastAsiaTheme="minorEastAsia"/>
          <w:b/>
          <w:color w:val="auto"/>
          <w:kern w:val="0"/>
          <w:sz w:val="24"/>
          <w:highlight w:val="none"/>
        </w:rPr>
        <w:t>本项目</w:t>
      </w:r>
      <w:r>
        <w:rPr>
          <w:rFonts w:hint="eastAsia" w:cs="宋体" w:asciiTheme="minorEastAsia" w:hAnsiTheme="minorEastAsia" w:eastAsiaTheme="minorEastAsia"/>
          <w:b/>
          <w:color w:val="auto"/>
          <w:kern w:val="0"/>
          <w:sz w:val="24"/>
          <w:highlight w:val="none"/>
          <w:u w:val="single"/>
        </w:rPr>
        <w:t>不可以</w:t>
      </w:r>
      <w:r>
        <w:rPr>
          <w:rFonts w:hint="eastAsia" w:cs="宋体" w:asciiTheme="minorEastAsia" w:hAnsiTheme="minorEastAsia" w:eastAsiaTheme="minorEastAsia"/>
          <w:b/>
          <w:color w:val="auto"/>
          <w:kern w:val="0"/>
          <w:sz w:val="24"/>
          <w:highlight w:val="none"/>
        </w:rPr>
        <w:t>将</w:t>
      </w:r>
      <w:r>
        <w:rPr>
          <w:rFonts w:hint="eastAsia" w:cs="宋体" w:asciiTheme="minorEastAsia" w:hAnsiTheme="minorEastAsia" w:eastAsiaTheme="minorEastAsia"/>
          <w:color w:val="auto"/>
          <w:kern w:val="0"/>
          <w:sz w:val="24"/>
          <w:highlight w:val="none"/>
        </w:rPr>
        <w:t>非主体、非关键性工作分包。可以分包的内容是：</w:t>
      </w:r>
      <w:r>
        <w:rPr>
          <w:rFonts w:hint="eastAsia" w:cs="宋体" w:asciiTheme="minorEastAsia" w:hAnsiTheme="minorEastAsia" w:eastAsiaTheme="minorEastAsia"/>
          <w:color w:val="auto"/>
          <w:kern w:val="0"/>
          <w:sz w:val="24"/>
          <w:highlight w:val="none"/>
          <w:u w:val="single"/>
        </w:rPr>
        <w:t xml:space="preserve"> / </w:t>
      </w:r>
      <w:r>
        <w:rPr>
          <w:rFonts w:hint="eastAsia" w:cs="宋体" w:asciiTheme="minorEastAsia" w:hAnsiTheme="minorEastAsia" w:eastAsiaTheme="minorEastAsia"/>
          <w:color w:val="auto"/>
          <w:kern w:val="0"/>
          <w:sz w:val="24"/>
          <w:highlight w:val="none"/>
        </w:rPr>
        <w:t>。（可以分包的，投标人应当在投标文件中载明分包承担主体，分包承担主体应当具备相应资质条件且不得再次分包。）</w:t>
      </w:r>
      <w:r>
        <w:rPr>
          <w:rFonts w:hint="eastAsia" w:cs="宋体" w:asciiTheme="minorEastAsia" w:hAnsiTheme="minorEastAsia" w:eastAsiaTheme="minorEastAsia"/>
          <w:b/>
          <w:color w:val="auto"/>
          <w:kern w:val="0"/>
          <w:sz w:val="24"/>
          <w:highlight w:val="none"/>
        </w:rPr>
        <w:t xml:space="preserve">            </w:t>
      </w:r>
    </w:p>
    <w:p>
      <w:pPr>
        <w:tabs>
          <w:tab w:val="left" w:pos="426"/>
        </w:tabs>
        <w:snapToGrid w:val="0"/>
        <w:spacing w:line="360" w:lineRule="exact"/>
        <w:jc w:val="left"/>
        <w:rPr>
          <w:rFonts w:asciiTheme="minorEastAsia" w:hAnsiTheme="minorEastAsia" w:eastAsiaTheme="minorEastAsia"/>
          <w:b/>
          <w:color w:val="auto"/>
          <w:sz w:val="24"/>
          <w:highlight w:val="none"/>
        </w:rPr>
      </w:pPr>
      <w:bookmarkStart w:id="54" w:name="_Toc254970673"/>
      <w:bookmarkStart w:id="55" w:name="_Toc254970532"/>
      <w:r>
        <w:rPr>
          <w:rFonts w:hint="eastAsia" w:asciiTheme="minorEastAsia" w:hAnsiTheme="minorEastAsia" w:eastAsiaTheme="minorEastAsia"/>
          <w:b/>
          <w:color w:val="auto"/>
          <w:sz w:val="24"/>
          <w:highlight w:val="none"/>
        </w:rPr>
        <w:t>（八）特别说明：</w:t>
      </w:r>
      <w:bookmarkEnd w:id="54"/>
      <w:bookmarkEnd w:id="55"/>
    </w:p>
    <w:p>
      <w:pPr>
        <w:snapToGrid w:val="0"/>
        <w:spacing w:line="360" w:lineRule="exact"/>
        <w:ind w:firstLine="600" w:firstLineChars="250"/>
        <w:rPr>
          <w:rFonts w:cs="宋体" w:asciiTheme="minorEastAsia" w:hAnsiTheme="minorEastAsia" w:eastAsiaTheme="minorEastAsia"/>
          <w:color w:val="auto"/>
          <w:kern w:val="0"/>
          <w:sz w:val="24"/>
          <w:highlight w:val="none"/>
        </w:rPr>
      </w:pPr>
      <w:bookmarkStart w:id="56" w:name="_Toc254970674"/>
      <w:bookmarkStart w:id="57" w:name="_Toc254970533"/>
      <w:r>
        <w:rPr>
          <w:rFonts w:hint="eastAsia" w:cs="宋体" w:asciiTheme="minorEastAsia" w:hAnsiTheme="minorEastAsia" w:eastAsiaTheme="minorEastAsia"/>
          <w:color w:val="auto"/>
          <w:kern w:val="0"/>
          <w:sz w:val="24"/>
          <w:highlight w:val="none"/>
        </w:rPr>
        <w:t xml:space="preserve">1、投标人投标所使用的资格、信誉、荣誉、业绩与企业认证必须为本法人或提供服务的服务商所拥有。投标人投标所使用的采购项目实施人员必须为本法人员工（或必须为本法人或控股公司正式员工）。 </w:t>
      </w:r>
    </w:p>
    <w:p>
      <w:pPr>
        <w:snapToGrid w:val="0"/>
        <w:spacing w:line="360" w:lineRule="exact"/>
        <w:ind w:firstLine="600" w:firstLineChars="25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 投标人应仔细阅读招标文件的所有内容，按照招标文件的要求提交投标文件，并对所提供的全部资料的真实性承担法律责任。</w:t>
      </w:r>
    </w:p>
    <w:p>
      <w:pPr>
        <w:snapToGrid w:val="0"/>
        <w:spacing w:line="360" w:lineRule="exact"/>
        <w:ind w:firstLine="600" w:firstLineChars="250"/>
        <w:rPr>
          <w:rFonts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0"/>
          <w:sz w:val="24"/>
          <w:highlight w:val="none"/>
        </w:rPr>
        <w:t>3.投标人在投标活动中提供任何虚假材料,其投标无效，并报监管部门查处；中标后发现的,中标人须依照《中华人民共和国消费者权益保护法》第49条之规定双倍赔偿采购人，且民事赔偿并不免除违法投标</w:t>
      </w:r>
      <w:r>
        <w:rPr>
          <w:rFonts w:hint="eastAsia" w:asciiTheme="minorEastAsia" w:hAnsiTheme="minorEastAsia" w:eastAsiaTheme="minorEastAsia"/>
          <w:color w:val="auto"/>
          <w:sz w:val="24"/>
          <w:highlight w:val="none"/>
        </w:rPr>
        <w:t>人的行政与刑事责任。</w:t>
      </w:r>
    </w:p>
    <w:p>
      <w:pPr>
        <w:pStyle w:val="22"/>
        <w:spacing w:line="360" w:lineRule="exact"/>
        <w:ind w:firstLine="360" w:firstLineChars="15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4.投标截止时间结束后参加投标的供应商不足三家的,不予开标，此时将按《政府采购货物和服务招标投标管理办法》（中华人民共和国财政部第87号令）第43条的有关规定进行办理。</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kern w:val="0"/>
          <w:sz w:val="24"/>
          <w:szCs w:val="24"/>
          <w:highlight w:val="none"/>
        </w:rPr>
        <w:t>通过资格审查或符合性审查的投标人不足3家的</w:t>
      </w:r>
      <w:r>
        <w:rPr>
          <w:rFonts w:hint="eastAsia" w:asciiTheme="minorEastAsia" w:hAnsiTheme="minorEastAsia" w:eastAsiaTheme="minorEastAsia"/>
          <w:color w:val="auto"/>
          <w:sz w:val="24"/>
          <w:szCs w:val="24"/>
          <w:highlight w:val="none"/>
        </w:rPr>
        <w:t>将按《政府采购货物和服务招标投标管理办法》（中华人民共和国财政部第87号令）第43条的有关规定执行。</w:t>
      </w:r>
    </w:p>
    <w:p>
      <w:pPr>
        <w:widowControl/>
        <w:adjustRightInd w:val="0"/>
        <w:spacing w:line="360" w:lineRule="exact"/>
        <w:ind w:firstLine="360" w:firstLineChars="15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5.有下列情形之一的视为</w:t>
      </w:r>
      <w:r>
        <w:rPr>
          <w:rFonts w:cs="仿宋_GB2312" w:asciiTheme="minorEastAsia" w:hAnsiTheme="minorEastAsia" w:eastAsiaTheme="minorEastAsia"/>
          <w:color w:val="auto"/>
          <w:kern w:val="0"/>
          <w:sz w:val="24"/>
          <w:highlight w:val="none"/>
          <w:lang w:val="zh-CN"/>
        </w:rPr>
        <w:t>投标人相互串通</w:t>
      </w:r>
      <w:r>
        <w:rPr>
          <w:rFonts w:hint="eastAsia" w:cs="仿宋_GB2312" w:asciiTheme="minorEastAsia" w:hAnsiTheme="minorEastAsia" w:eastAsiaTheme="minorEastAsia"/>
          <w:color w:val="auto"/>
          <w:kern w:val="0"/>
          <w:sz w:val="24"/>
          <w:highlight w:val="none"/>
          <w:lang w:val="zh-CN"/>
        </w:rPr>
        <w:t>，投标文件将视为无效：</w:t>
      </w:r>
    </w:p>
    <w:p>
      <w:pPr>
        <w:widowControl/>
        <w:shd w:val="clear" w:color="auto" w:fill="FFFFFF"/>
        <w:spacing w:line="360" w:lineRule="exact"/>
        <w:ind w:firstLine="640"/>
        <w:jc w:val="left"/>
        <w:rPr>
          <w:rFonts w:cs="Tahoma" w:asciiTheme="minorEastAsia" w:hAnsiTheme="minorEastAsia" w:eastAsiaTheme="minorEastAsia"/>
          <w:color w:val="auto"/>
          <w:kern w:val="0"/>
          <w:sz w:val="24"/>
          <w:highlight w:val="none"/>
        </w:rPr>
      </w:pPr>
      <w:r>
        <w:rPr>
          <w:rFonts w:cs="Tahoma" w:asciiTheme="minorEastAsia" w:hAnsiTheme="minorEastAsia" w:eastAsiaTheme="minorEastAsia"/>
          <w:color w:val="auto"/>
          <w:kern w:val="0"/>
          <w:sz w:val="24"/>
          <w:highlight w:val="none"/>
        </w:rPr>
        <w:t>（</w:t>
      </w:r>
      <w:r>
        <w:rPr>
          <w:rFonts w:hint="eastAsia" w:cs="Tahoma" w:asciiTheme="minorEastAsia" w:hAnsiTheme="minorEastAsia" w:eastAsiaTheme="minorEastAsia"/>
          <w:color w:val="auto"/>
          <w:kern w:val="0"/>
          <w:sz w:val="24"/>
          <w:highlight w:val="none"/>
        </w:rPr>
        <w:t>1</w:t>
      </w:r>
      <w:r>
        <w:rPr>
          <w:rFonts w:cs="Tahoma" w:asciiTheme="minorEastAsia" w:hAnsiTheme="minorEastAsia" w:eastAsiaTheme="minorEastAsia"/>
          <w:color w:val="auto"/>
          <w:kern w:val="0"/>
          <w:sz w:val="24"/>
          <w:highlight w:val="none"/>
        </w:rPr>
        <w:t>）不同投标人的投标文件由同一单位或者个人编制；</w:t>
      </w:r>
    </w:p>
    <w:p>
      <w:pPr>
        <w:widowControl/>
        <w:shd w:val="clear" w:color="auto" w:fill="FFFFFF"/>
        <w:spacing w:line="360" w:lineRule="exact"/>
        <w:ind w:firstLine="640"/>
        <w:jc w:val="left"/>
        <w:rPr>
          <w:rFonts w:cs="宋体" w:asciiTheme="minorEastAsia" w:hAnsiTheme="minorEastAsia" w:eastAsiaTheme="minorEastAsia"/>
          <w:color w:val="auto"/>
          <w:kern w:val="0"/>
          <w:sz w:val="24"/>
          <w:highlight w:val="none"/>
        </w:rPr>
      </w:pPr>
      <w:r>
        <w:rPr>
          <w:rFonts w:cs="Tahoma" w:asciiTheme="minorEastAsia" w:hAnsiTheme="minorEastAsia" w:eastAsiaTheme="minorEastAsia"/>
          <w:color w:val="auto"/>
          <w:kern w:val="0"/>
          <w:sz w:val="24"/>
          <w:highlight w:val="none"/>
        </w:rPr>
        <w:t>（</w:t>
      </w:r>
      <w:r>
        <w:rPr>
          <w:rFonts w:hint="eastAsia" w:cs="Tahoma" w:asciiTheme="minorEastAsia" w:hAnsiTheme="minorEastAsia" w:eastAsiaTheme="minorEastAsia"/>
          <w:color w:val="auto"/>
          <w:kern w:val="0"/>
          <w:sz w:val="24"/>
          <w:highlight w:val="none"/>
        </w:rPr>
        <w:t>2</w:t>
      </w:r>
      <w:r>
        <w:rPr>
          <w:rFonts w:cs="Tahoma" w:asciiTheme="minorEastAsia" w:hAnsiTheme="minorEastAsia" w:eastAsiaTheme="minorEastAsia"/>
          <w:color w:val="auto"/>
          <w:kern w:val="0"/>
          <w:sz w:val="24"/>
          <w:highlight w:val="none"/>
        </w:rPr>
        <w:t>）不同投标人委托同一单位或者个人办理投标事宜;</w:t>
      </w:r>
    </w:p>
    <w:p>
      <w:pPr>
        <w:widowControl/>
        <w:shd w:val="clear" w:color="auto" w:fill="FFFFFF"/>
        <w:spacing w:line="360" w:lineRule="exact"/>
        <w:ind w:firstLine="640"/>
        <w:jc w:val="left"/>
        <w:rPr>
          <w:rFonts w:cs="宋体" w:asciiTheme="minorEastAsia" w:hAnsiTheme="minorEastAsia" w:eastAsiaTheme="minorEastAsia"/>
          <w:color w:val="auto"/>
          <w:kern w:val="0"/>
          <w:sz w:val="24"/>
          <w:highlight w:val="none"/>
        </w:rPr>
      </w:pPr>
      <w:r>
        <w:rPr>
          <w:rFonts w:cs="Tahoma" w:asciiTheme="minorEastAsia" w:hAnsiTheme="minorEastAsia" w:eastAsiaTheme="minorEastAsia"/>
          <w:color w:val="auto"/>
          <w:kern w:val="0"/>
          <w:sz w:val="24"/>
          <w:highlight w:val="none"/>
        </w:rPr>
        <w:t>（</w:t>
      </w:r>
      <w:r>
        <w:rPr>
          <w:rFonts w:hint="eastAsia" w:cs="Tahoma" w:asciiTheme="minorEastAsia" w:hAnsiTheme="minorEastAsia" w:eastAsiaTheme="minorEastAsia"/>
          <w:color w:val="auto"/>
          <w:kern w:val="0"/>
          <w:sz w:val="24"/>
          <w:highlight w:val="none"/>
        </w:rPr>
        <w:t>3</w:t>
      </w:r>
      <w:r>
        <w:rPr>
          <w:rFonts w:cs="Tahoma" w:asciiTheme="minorEastAsia" w:hAnsiTheme="minorEastAsia" w:eastAsiaTheme="minorEastAsia"/>
          <w:color w:val="auto"/>
          <w:kern w:val="0"/>
          <w:sz w:val="24"/>
          <w:highlight w:val="none"/>
        </w:rPr>
        <w:t>）不同的投标人的投标文件载明的项目管理员为同一个人;</w:t>
      </w:r>
    </w:p>
    <w:p>
      <w:pPr>
        <w:widowControl/>
        <w:shd w:val="clear" w:color="auto" w:fill="FFFFFF"/>
        <w:spacing w:line="360" w:lineRule="exact"/>
        <w:ind w:firstLine="640"/>
        <w:jc w:val="left"/>
        <w:rPr>
          <w:rFonts w:cs="宋体" w:asciiTheme="minorEastAsia" w:hAnsiTheme="minorEastAsia" w:eastAsiaTheme="minorEastAsia"/>
          <w:color w:val="auto"/>
          <w:kern w:val="0"/>
          <w:sz w:val="24"/>
          <w:highlight w:val="none"/>
        </w:rPr>
      </w:pPr>
      <w:r>
        <w:rPr>
          <w:rFonts w:cs="Tahoma" w:asciiTheme="minorEastAsia" w:hAnsiTheme="minorEastAsia" w:eastAsiaTheme="minorEastAsia"/>
          <w:color w:val="auto"/>
          <w:kern w:val="0"/>
          <w:sz w:val="24"/>
          <w:highlight w:val="none"/>
        </w:rPr>
        <w:t>（</w:t>
      </w:r>
      <w:r>
        <w:rPr>
          <w:rFonts w:hint="eastAsia" w:cs="Tahoma" w:asciiTheme="minorEastAsia" w:hAnsiTheme="minorEastAsia" w:eastAsiaTheme="minorEastAsia"/>
          <w:color w:val="auto"/>
          <w:kern w:val="0"/>
          <w:sz w:val="24"/>
          <w:highlight w:val="none"/>
        </w:rPr>
        <w:t>4</w:t>
      </w:r>
      <w:r>
        <w:rPr>
          <w:rFonts w:cs="Tahoma" w:asciiTheme="minorEastAsia" w:hAnsiTheme="minorEastAsia" w:eastAsiaTheme="minorEastAsia"/>
          <w:color w:val="auto"/>
          <w:kern w:val="0"/>
          <w:sz w:val="24"/>
          <w:highlight w:val="none"/>
        </w:rPr>
        <w:t>）不同投标人的投标文件异常一致或投标报价呈规律性差异;</w:t>
      </w:r>
    </w:p>
    <w:p>
      <w:pPr>
        <w:widowControl/>
        <w:shd w:val="clear" w:color="auto" w:fill="FFFFFF"/>
        <w:spacing w:line="360" w:lineRule="exact"/>
        <w:ind w:firstLine="640"/>
        <w:jc w:val="left"/>
        <w:rPr>
          <w:rFonts w:cs="宋体" w:asciiTheme="minorEastAsia" w:hAnsiTheme="minorEastAsia" w:eastAsiaTheme="minorEastAsia"/>
          <w:color w:val="auto"/>
          <w:kern w:val="0"/>
          <w:sz w:val="24"/>
          <w:highlight w:val="none"/>
        </w:rPr>
      </w:pPr>
      <w:r>
        <w:rPr>
          <w:rFonts w:cs="Tahoma" w:asciiTheme="minorEastAsia" w:hAnsiTheme="minorEastAsia" w:eastAsiaTheme="minorEastAsia"/>
          <w:color w:val="auto"/>
          <w:kern w:val="0"/>
          <w:sz w:val="24"/>
          <w:highlight w:val="none"/>
        </w:rPr>
        <w:t>（</w:t>
      </w:r>
      <w:r>
        <w:rPr>
          <w:rFonts w:hint="eastAsia" w:cs="Tahoma" w:asciiTheme="minorEastAsia" w:hAnsiTheme="minorEastAsia" w:eastAsiaTheme="minorEastAsia"/>
          <w:color w:val="auto"/>
          <w:kern w:val="0"/>
          <w:sz w:val="24"/>
          <w:highlight w:val="none"/>
        </w:rPr>
        <w:t>5</w:t>
      </w:r>
      <w:r>
        <w:rPr>
          <w:rFonts w:cs="Tahoma" w:asciiTheme="minorEastAsia" w:hAnsiTheme="minorEastAsia" w:eastAsiaTheme="minorEastAsia"/>
          <w:color w:val="auto"/>
          <w:kern w:val="0"/>
          <w:sz w:val="24"/>
          <w:highlight w:val="none"/>
        </w:rPr>
        <w:t>）不同投标人的投标文件相互混装;</w:t>
      </w:r>
    </w:p>
    <w:p>
      <w:pPr>
        <w:pStyle w:val="22"/>
        <w:snapToGrid w:val="0"/>
        <w:spacing w:line="360" w:lineRule="exact"/>
        <w:rPr>
          <w:rFonts w:asciiTheme="minorEastAsia" w:hAnsiTheme="minorEastAsia" w:eastAsiaTheme="minorEastAsia"/>
          <w:b/>
          <w:bCs/>
          <w:color w:val="auto"/>
          <w:sz w:val="24"/>
          <w:szCs w:val="24"/>
          <w:highlight w:val="none"/>
        </w:rPr>
      </w:pPr>
      <w:r>
        <w:rPr>
          <w:rFonts w:hint="eastAsia" w:asciiTheme="minorEastAsia" w:hAnsiTheme="minorEastAsia" w:eastAsiaTheme="minorEastAsia"/>
          <w:b/>
          <w:bCs/>
          <w:color w:val="auto"/>
          <w:sz w:val="24"/>
          <w:szCs w:val="24"/>
          <w:highlight w:val="none"/>
        </w:rPr>
        <w:t>（九）质疑和投诉</w:t>
      </w:r>
      <w:bookmarkEnd w:id="56"/>
      <w:bookmarkEnd w:id="57"/>
    </w:p>
    <w:p>
      <w:pPr>
        <w:pStyle w:val="22"/>
        <w:snapToGrid w:val="0"/>
        <w:spacing w:line="360" w:lineRule="exact"/>
        <w:ind w:firstLine="480" w:firstLineChars="200"/>
        <w:rPr>
          <w:rFonts w:asciiTheme="minorEastAsia" w:hAnsiTheme="minorEastAsia" w:eastAsiaTheme="minorEastAsia"/>
          <w:bCs/>
          <w:color w:val="auto"/>
          <w:sz w:val="24"/>
          <w:szCs w:val="24"/>
          <w:highlight w:val="none"/>
        </w:rPr>
      </w:pPr>
      <w:r>
        <w:rPr>
          <w:rFonts w:hint="eastAsia" w:asciiTheme="minorEastAsia" w:hAnsiTheme="minorEastAsia" w:eastAsiaTheme="minorEastAsia"/>
          <w:bCs/>
          <w:color w:val="auto"/>
          <w:sz w:val="24"/>
          <w:szCs w:val="24"/>
          <w:highlight w:val="none"/>
        </w:rPr>
        <w:t>1.投标人认为招标文件、招标过程或中标结果使自己的合法权益受到损害的，应当在知道或者应知其权益受到损害之日起七个工作日内，以书面形式向采购人、采购代理机构提出质疑。应当在知道或者应知其权益受到损害之日具体计算时间如下：</w:t>
      </w:r>
    </w:p>
    <w:p>
      <w:pPr>
        <w:pStyle w:val="22"/>
        <w:snapToGrid w:val="0"/>
        <w:spacing w:line="360" w:lineRule="exact"/>
        <w:ind w:firstLine="352" w:firstLineChars="147"/>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w:t>
      </w:r>
      <w:r>
        <w:rPr>
          <w:rFonts w:hint="eastAsia" w:asciiTheme="minorEastAsia" w:hAnsiTheme="minorEastAsia" w:eastAsiaTheme="minorEastAsia"/>
          <w:bCs/>
          <w:color w:val="auto"/>
          <w:sz w:val="24"/>
          <w:szCs w:val="24"/>
          <w:highlight w:val="none"/>
        </w:rPr>
        <w:t>1</w:t>
      </w:r>
      <w:r>
        <w:rPr>
          <w:rFonts w:asciiTheme="minorEastAsia" w:hAnsiTheme="minorEastAsia" w:eastAsiaTheme="minorEastAsia"/>
          <w:bCs/>
          <w:color w:val="auto"/>
          <w:sz w:val="24"/>
          <w:szCs w:val="24"/>
          <w:highlight w:val="none"/>
        </w:rPr>
        <w:t>）对可以质疑的</w:t>
      </w:r>
      <w:r>
        <w:rPr>
          <w:rFonts w:hint="eastAsia" w:asciiTheme="minorEastAsia" w:hAnsiTheme="minorEastAsia" w:eastAsiaTheme="minorEastAsia"/>
          <w:bCs/>
          <w:color w:val="auto"/>
          <w:sz w:val="24"/>
          <w:szCs w:val="24"/>
          <w:highlight w:val="none"/>
        </w:rPr>
        <w:t>招标采购</w:t>
      </w:r>
      <w:r>
        <w:rPr>
          <w:rFonts w:asciiTheme="minorEastAsia" w:hAnsiTheme="minorEastAsia" w:eastAsiaTheme="minorEastAsia"/>
          <w:bCs/>
          <w:color w:val="auto"/>
          <w:sz w:val="24"/>
          <w:szCs w:val="24"/>
          <w:highlight w:val="none"/>
        </w:rPr>
        <w:t>文件提出质疑的，为</w:t>
      </w:r>
      <w:r>
        <w:rPr>
          <w:rFonts w:hint="eastAsia" w:hAnsi="宋体"/>
          <w:color w:val="auto"/>
          <w:sz w:val="24"/>
          <w:highlight w:val="none"/>
        </w:rPr>
        <w:t>公告届满之日</w:t>
      </w:r>
      <w:r>
        <w:rPr>
          <w:rFonts w:asciiTheme="minorEastAsia" w:hAnsiTheme="minorEastAsia" w:eastAsiaTheme="minorEastAsia"/>
          <w:bCs/>
          <w:color w:val="auto"/>
          <w:sz w:val="24"/>
          <w:szCs w:val="24"/>
          <w:highlight w:val="none"/>
        </w:rPr>
        <w:t>；</w:t>
      </w:r>
      <w:r>
        <w:rPr>
          <w:rFonts w:hint="eastAsia" w:asciiTheme="minorEastAsia" w:hAnsiTheme="minorEastAsia" w:eastAsiaTheme="minorEastAsia"/>
          <w:bCs/>
          <w:color w:val="auto"/>
          <w:sz w:val="24"/>
          <w:szCs w:val="24"/>
          <w:highlight w:val="none"/>
        </w:rPr>
        <w:t xml:space="preserve"> </w:t>
      </w:r>
    </w:p>
    <w:p>
      <w:pPr>
        <w:pStyle w:val="22"/>
        <w:snapToGrid w:val="0"/>
        <w:spacing w:line="360" w:lineRule="exact"/>
        <w:ind w:firstLine="352" w:firstLineChars="147"/>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w:t>
      </w:r>
      <w:r>
        <w:rPr>
          <w:rFonts w:hint="eastAsia" w:asciiTheme="minorEastAsia" w:hAnsiTheme="minorEastAsia" w:eastAsiaTheme="minorEastAsia"/>
          <w:bCs/>
          <w:color w:val="auto"/>
          <w:sz w:val="24"/>
          <w:szCs w:val="24"/>
          <w:highlight w:val="none"/>
        </w:rPr>
        <w:t>2</w:t>
      </w:r>
      <w:r>
        <w:rPr>
          <w:rFonts w:asciiTheme="minorEastAsia" w:hAnsiTheme="minorEastAsia" w:eastAsiaTheme="minorEastAsia"/>
          <w:bCs/>
          <w:color w:val="auto"/>
          <w:sz w:val="24"/>
          <w:szCs w:val="24"/>
          <w:highlight w:val="none"/>
        </w:rPr>
        <w:t>）对</w:t>
      </w:r>
      <w:r>
        <w:rPr>
          <w:rFonts w:hint="eastAsia" w:asciiTheme="minorEastAsia" w:hAnsiTheme="minorEastAsia" w:eastAsiaTheme="minorEastAsia"/>
          <w:bCs/>
          <w:color w:val="auto"/>
          <w:sz w:val="24"/>
          <w:szCs w:val="24"/>
          <w:highlight w:val="none"/>
        </w:rPr>
        <w:t>招标采购</w:t>
      </w:r>
      <w:r>
        <w:rPr>
          <w:rFonts w:asciiTheme="minorEastAsia" w:hAnsiTheme="minorEastAsia" w:eastAsiaTheme="minorEastAsia"/>
          <w:bCs/>
          <w:color w:val="auto"/>
          <w:sz w:val="24"/>
          <w:szCs w:val="24"/>
          <w:highlight w:val="none"/>
        </w:rPr>
        <w:t>过程提出质疑的，为各采购程序环节结束之日；</w:t>
      </w:r>
    </w:p>
    <w:p>
      <w:pPr>
        <w:pStyle w:val="22"/>
        <w:snapToGrid w:val="0"/>
        <w:spacing w:line="360" w:lineRule="exact"/>
        <w:ind w:firstLine="352" w:firstLineChars="147"/>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w:t>
      </w:r>
      <w:r>
        <w:rPr>
          <w:rFonts w:hint="eastAsia" w:asciiTheme="minorEastAsia" w:hAnsiTheme="minorEastAsia" w:eastAsiaTheme="minorEastAsia"/>
          <w:bCs/>
          <w:color w:val="auto"/>
          <w:sz w:val="24"/>
          <w:szCs w:val="24"/>
          <w:highlight w:val="none"/>
        </w:rPr>
        <w:t>3</w:t>
      </w:r>
      <w:r>
        <w:rPr>
          <w:rFonts w:asciiTheme="minorEastAsia" w:hAnsiTheme="minorEastAsia" w:eastAsiaTheme="minorEastAsia"/>
          <w:bCs/>
          <w:color w:val="auto"/>
          <w:sz w:val="24"/>
          <w:szCs w:val="24"/>
          <w:highlight w:val="none"/>
        </w:rPr>
        <w:t>）对中标结果提出质疑的，为中标结果公告期限届满之日。</w:t>
      </w:r>
    </w:p>
    <w:p>
      <w:pPr>
        <w:adjustRightInd w:val="0"/>
        <w:spacing w:line="360" w:lineRule="exact"/>
        <w:ind w:firstLine="480" w:firstLineChars="200"/>
        <w:rPr>
          <w:rFonts w:cs="仿宋_GB2312" w:asciiTheme="minorEastAsia" w:hAnsiTheme="minorEastAsia" w:eastAsiaTheme="minorEastAsia"/>
          <w:color w:val="auto"/>
          <w:kern w:val="0"/>
          <w:sz w:val="24"/>
          <w:highlight w:val="none"/>
        </w:rPr>
      </w:pPr>
      <w:r>
        <w:rPr>
          <w:rFonts w:hint="eastAsia" w:asciiTheme="minorEastAsia" w:hAnsiTheme="minorEastAsia" w:eastAsiaTheme="minorEastAsia"/>
          <w:bCs/>
          <w:color w:val="auto"/>
          <w:sz w:val="24"/>
          <w:highlight w:val="none"/>
        </w:rPr>
        <w:t>2.</w:t>
      </w:r>
      <w:r>
        <w:rPr>
          <w:rFonts w:hint="eastAsia" w:cs="仿宋_GB2312" w:asciiTheme="minorEastAsia" w:hAnsiTheme="minorEastAsia" w:eastAsiaTheme="minorEastAsia"/>
          <w:color w:val="auto"/>
          <w:kern w:val="0"/>
          <w:sz w:val="24"/>
          <w:highlight w:val="none"/>
          <w:lang w:val="zh-CN"/>
        </w:rPr>
        <w:t>供应商</w:t>
      </w:r>
      <w:r>
        <w:rPr>
          <w:rFonts w:hint="eastAsia" w:cs="仿宋_GB2312" w:asciiTheme="minorEastAsia" w:hAnsiTheme="minorEastAsia" w:eastAsiaTheme="minorEastAsia"/>
          <w:color w:val="auto"/>
          <w:kern w:val="0"/>
          <w:sz w:val="24"/>
          <w:highlight w:val="none"/>
        </w:rPr>
        <w:t>质疑</w:t>
      </w:r>
      <w:r>
        <w:rPr>
          <w:rFonts w:hint="eastAsia" w:cs="仿宋_GB2312" w:asciiTheme="minorEastAsia" w:hAnsiTheme="minorEastAsia" w:eastAsiaTheme="minorEastAsia"/>
          <w:color w:val="auto"/>
          <w:kern w:val="0"/>
          <w:sz w:val="24"/>
          <w:highlight w:val="none"/>
          <w:lang w:val="zh-CN"/>
        </w:rPr>
        <w:t>时，应当提交</w:t>
      </w:r>
      <w:r>
        <w:rPr>
          <w:rFonts w:hint="eastAsia" w:cs="仿宋_GB2312" w:asciiTheme="minorEastAsia" w:hAnsiTheme="minorEastAsia" w:eastAsiaTheme="minorEastAsia"/>
          <w:color w:val="auto"/>
          <w:kern w:val="0"/>
          <w:sz w:val="24"/>
          <w:highlight w:val="none"/>
        </w:rPr>
        <w:t>质疑</w:t>
      </w:r>
      <w:r>
        <w:rPr>
          <w:rFonts w:hint="eastAsia" w:cs="仿宋_GB2312" w:asciiTheme="minorEastAsia" w:hAnsiTheme="minorEastAsia" w:eastAsiaTheme="minorEastAsia"/>
          <w:color w:val="auto"/>
          <w:kern w:val="0"/>
          <w:sz w:val="24"/>
          <w:highlight w:val="none"/>
          <w:lang w:val="zh-CN"/>
        </w:rPr>
        <w:t>函和必要的证明材料，</w:t>
      </w:r>
      <w:r>
        <w:rPr>
          <w:rFonts w:hint="eastAsia" w:cs="仿宋_GB2312" w:asciiTheme="minorEastAsia" w:hAnsiTheme="minorEastAsia" w:eastAsiaTheme="minorEastAsia"/>
          <w:color w:val="auto"/>
          <w:kern w:val="0"/>
          <w:sz w:val="24"/>
          <w:highlight w:val="none"/>
        </w:rPr>
        <w:t>质疑</w:t>
      </w:r>
      <w:r>
        <w:rPr>
          <w:rFonts w:hint="eastAsia" w:cs="仿宋_GB2312" w:asciiTheme="minorEastAsia" w:hAnsiTheme="minorEastAsia" w:eastAsiaTheme="minorEastAsia"/>
          <w:color w:val="auto"/>
          <w:kern w:val="0"/>
          <w:sz w:val="24"/>
          <w:highlight w:val="none"/>
          <w:lang w:val="zh-CN"/>
        </w:rPr>
        <w:t>函应当包括下列主要内容：</w:t>
      </w:r>
    </w:p>
    <w:p>
      <w:pPr>
        <w:pStyle w:val="22"/>
        <w:snapToGrid w:val="0"/>
        <w:spacing w:line="360" w:lineRule="exact"/>
        <w:ind w:firstLine="352" w:firstLineChars="147"/>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w:t>
      </w:r>
      <w:r>
        <w:rPr>
          <w:rFonts w:hint="eastAsia" w:asciiTheme="minorEastAsia" w:hAnsiTheme="minorEastAsia" w:eastAsiaTheme="minorEastAsia"/>
          <w:bCs/>
          <w:color w:val="auto"/>
          <w:sz w:val="24"/>
          <w:szCs w:val="24"/>
          <w:highlight w:val="none"/>
        </w:rPr>
        <w:t>1</w:t>
      </w:r>
      <w:r>
        <w:rPr>
          <w:rFonts w:asciiTheme="minorEastAsia" w:hAnsiTheme="minorEastAsia" w:eastAsiaTheme="minorEastAsia"/>
          <w:bCs/>
          <w:color w:val="auto"/>
          <w:sz w:val="24"/>
          <w:szCs w:val="24"/>
          <w:highlight w:val="none"/>
        </w:rPr>
        <w:t>）供应商的姓名或者名称、地址、邮编、联系人及联系电话；</w:t>
      </w:r>
    </w:p>
    <w:p>
      <w:pPr>
        <w:pStyle w:val="22"/>
        <w:snapToGrid w:val="0"/>
        <w:spacing w:line="360" w:lineRule="exact"/>
        <w:ind w:firstLine="352" w:firstLineChars="147"/>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w:t>
      </w:r>
      <w:r>
        <w:rPr>
          <w:rFonts w:hint="eastAsia" w:asciiTheme="minorEastAsia" w:hAnsiTheme="minorEastAsia" w:eastAsiaTheme="minorEastAsia"/>
          <w:bCs/>
          <w:color w:val="auto"/>
          <w:sz w:val="24"/>
          <w:szCs w:val="24"/>
          <w:highlight w:val="none"/>
        </w:rPr>
        <w:t>2</w:t>
      </w:r>
      <w:r>
        <w:rPr>
          <w:rFonts w:asciiTheme="minorEastAsia" w:hAnsiTheme="minorEastAsia" w:eastAsiaTheme="minorEastAsia"/>
          <w:bCs/>
          <w:color w:val="auto"/>
          <w:sz w:val="24"/>
          <w:szCs w:val="24"/>
          <w:highlight w:val="none"/>
        </w:rPr>
        <w:t>）质疑项目的名称、编号；</w:t>
      </w:r>
    </w:p>
    <w:p>
      <w:pPr>
        <w:pStyle w:val="22"/>
        <w:snapToGrid w:val="0"/>
        <w:spacing w:line="360" w:lineRule="exact"/>
        <w:ind w:firstLine="352" w:firstLineChars="147"/>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w:t>
      </w:r>
      <w:r>
        <w:rPr>
          <w:rFonts w:hint="eastAsia" w:asciiTheme="minorEastAsia" w:hAnsiTheme="minorEastAsia" w:eastAsiaTheme="minorEastAsia"/>
          <w:bCs/>
          <w:color w:val="auto"/>
          <w:sz w:val="24"/>
          <w:szCs w:val="24"/>
          <w:highlight w:val="none"/>
        </w:rPr>
        <w:t>3</w:t>
      </w:r>
      <w:r>
        <w:rPr>
          <w:rFonts w:asciiTheme="minorEastAsia" w:hAnsiTheme="minorEastAsia" w:eastAsiaTheme="minorEastAsia"/>
          <w:bCs/>
          <w:color w:val="auto"/>
          <w:sz w:val="24"/>
          <w:szCs w:val="24"/>
          <w:highlight w:val="none"/>
        </w:rPr>
        <w:t>）具体、明确的质疑事项和与质疑事项相关的请求；</w:t>
      </w:r>
    </w:p>
    <w:p>
      <w:pPr>
        <w:pStyle w:val="22"/>
        <w:snapToGrid w:val="0"/>
        <w:spacing w:line="360" w:lineRule="exact"/>
        <w:ind w:firstLine="352" w:firstLineChars="147"/>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w:t>
      </w:r>
      <w:r>
        <w:rPr>
          <w:rFonts w:hint="eastAsia" w:asciiTheme="minorEastAsia" w:hAnsiTheme="minorEastAsia" w:eastAsiaTheme="minorEastAsia"/>
          <w:bCs/>
          <w:color w:val="auto"/>
          <w:sz w:val="24"/>
          <w:szCs w:val="24"/>
          <w:highlight w:val="none"/>
        </w:rPr>
        <w:t>4</w:t>
      </w:r>
      <w:r>
        <w:rPr>
          <w:rFonts w:asciiTheme="minorEastAsia" w:hAnsiTheme="minorEastAsia" w:eastAsiaTheme="minorEastAsia"/>
          <w:bCs/>
          <w:color w:val="auto"/>
          <w:sz w:val="24"/>
          <w:szCs w:val="24"/>
          <w:highlight w:val="none"/>
        </w:rPr>
        <w:t>）事实依据；</w:t>
      </w:r>
    </w:p>
    <w:p>
      <w:pPr>
        <w:pStyle w:val="22"/>
        <w:snapToGrid w:val="0"/>
        <w:spacing w:line="360" w:lineRule="exact"/>
        <w:ind w:firstLine="352" w:firstLineChars="147"/>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w:t>
      </w:r>
      <w:r>
        <w:rPr>
          <w:rFonts w:hint="eastAsia" w:asciiTheme="minorEastAsia" w:hAnsiTheme="minorEastAsia" w:eastAsiaTheme="minorEastAsia"/>
          <w:bCs/>
          <w:color w:val="auto"/>
          <w:sz w:val="24"/>
          <w:szCs w:val="24"/>
          <w:highlight w:val="none"/>
        </w:rPr>
        <w:t>5</w:t>
      </w:r>
      <w:r>
        <w:rPr>
          <w:rFonts w:asciiTheme="minorEastAsia" w:hAnsiTheme="minorEastAsia" w:eastAsiaTheme="minorEastAsia"/>
          <w:bCs/>
          <w:color w:val="auto"/>
          <w:sz w:val="24"/>
          <w:szCs w:val="24"/>
          <w:highlight w:val="none"/>
        </w:rPr>
        <w:t>）必要的法律依据；</w:t>
      </w:r>
    </w:p>
    <w:p>
      <w:pPr>
        <w:pStyle w:val="22"/>
        <w:snapToGrid w:val="0"/>
        <w:spacing w:line="360" w:lineRule="exact"/>
        <w:ind w:firstLine="352" w:firstLineChars="147"/>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w:t>
      </w:r>
      <w:r>
        <w:rPr>
          <w:rFonts w:hint="eastAsia" w:asciiTheme="minorEastAsia" w:hAnsiTheme="minorEastAsia" w:eastAsiaTheme="minorEastAsia"/>
          <w:bCs/>
          <w:color w:val="auto"/>
          <w:sz w:val="24"/>
          <w:szCs w:val="24"/>
          <w:highlight w:val="none"/>
        </w:rPr>
        <w:t>6</w:t>
      </w:r>
      <w:r>
        <w:rPr>
          <w:rFonts w:asciiTheme="minorEastAsia" w:hAnsiTheme="minorEastAsia" w:eastAsiaTheme="minorEastAsia"/>
          <w:bCs/>
          <w:color w:val="auto"/>
          <w:sz w:val="24"/>
          <w:szCs w:val="24"/>
          <w:highlight w:val="none"/>
        </w:rPr>
        <w:t>）提出质疑的日期。</w:t>
      </w:r>
    </w:p>
    <w:p>
      <w:pPr>
        <w:spacing w:line="360" w:lineRule="exact"/>
        <w:ind w:firstLine="480" w:firstLineChars="200"/>
        <w:rPr>
          <w:rFonts w:cs="宋体"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质疑</w:t>
      </w:r>
      <w:r>
        <w:rPr>
          <w:rFonts w:hint="eastAsia" w:cs="仿宋_GB2312" w:asciiTheme="minorEastAsia" w:hAnsiTheme="minorEastAsia" w:eastAsiaTheme="minorEastAsia"/>
          <w:color w:val="auto"/>
          <w:kern w:val="0"/>
          <w:sz w:val="24"/>
          <w:highlight w:val="none"/>
          <w:lang w:val="zh-CN"/>
        </w:rPr>
        <w:t>函应当署名。</w:t>
      </w:r>
      <w:r>
        <w:rPr>
          <w:rFonts w:hint="eastAsia" w:cs="仿宋_GB2312" w:asciiTheme="minorEastAsia" w:hAnsiTheme="minorEastAsia" w:eastAsiaTheme="minorEastAsia"/>
          <w:color w:val="auto"/>
          <w:kern w:val="0"/>
          <w:sz w:val="24"/>
          <w:highlight w:val="none"/>
        </w:rPr>
        <w:t>质疑</w:t>
      </w:r>
      <w:r>
        <w:rPr>
          <w:rFonts w:hint="eastAsia" w:cs="仿宋_GB2312" w:asciiTheme="minorEastAsia" w:hAnsiTheme="minorEastAsia" w:eastAsiaTheme="minorEastAsia"/>
          <w:color w:val="auto"/>
          <w:kern w:val="0"/>
          <w:sz w:val="24"/>
          <w:highlight w:val="none"/>
          <w:lang w:val="zh-CN"/>
        </w:rPr>
        <w:t>供应商为自然人的，应当由本人签字；</w:t>
      </w:r>
      <w:r>
        <w:rPr>
          <w:rFonts w:hint="eastAsia" w:cs="仿宋_GB2312" w:asciiTheme="minorEastAsia" w:hAnsiTheme="minorEastAsia" w:eastAsiaTheme="minorEastAsia"/>
          <w:color w:val="auto"/>
          <w:kern w:val="0"/>
          <w:sz w:val="24"/>
          <w:highlight w:val="none"/>
        </w:rPr>
        <w:t>质疑</w:t>
      </w:r>
      <w:r>
        <w:rPr>
          <w:rFonts w:hint="eastAsia" w:cs="仿宋_GB2312" w:asciiTheme="minorEastAsia" w:hAnsiTheme="minorEastAsia" w:eastAsiaTheme="minorEastAsia"/>
          <w:color w:val="auto"/>
          <w:kern w:val="0"/>
          <w:sz w:val="24"/>
          <w:highlight w:val="none"/>
          <w:lang w:val="zh-CN"/>
        </w:rPr>
        <w:t>供应商为法人或者其他组织的，应当由法定代表人、主要负责人或者其授权代表签字或者盖章，并加盖公章。</w:t>
      </w:r>
      <w:r>
        <w:rPr>
          <w:rFonts w:hint="eastAsia" w:cs="仿宋_GB2312" w:asciiTheme="minorEastAsia" w:hAnsiTheme="minorEastAsia" w:eastAsiaTheme="minorEastAsia"/>
          <w:color w:val="auto"/>
          <w:kern w:val="0"/>
          <w:sz w:val="24"/>
          <w:highlight w:val="none"/>
        </w:rPr>
        <w:t>质疑</w:t>
      </w:r>
      <w:r>
        <w:rPr>
          <w:rFonts w:hint="eastAsia" w:cs="仿宋_GB2312" w:asciiTheme="minorEastAsia" w:hAnsiTheme="minorEastAsia" w:eastAsiaTheme="minorEastAsia"/>
          <w:color w:val="auto"/>
          <w:kern w:val="0"/>
          <w:sz w:val="24"/>
          <w:highlight w:val="none"/>
          <w:lang w:val="zh-CN"/>
        </w:rPr>
        <w:t>供应商可以委托代理人办理</w:t>
      </w:r>
      <w:r>
        <w:rPr>
          <w:rFonts w:hint="eastAsia" w:cs="仿宋_GB2312" w:asciiTheme="minorEastAsia" w:hAnsiTheme="minorEastAsia" w:eastAsiaTheme="minorEastAsia"/>
          <w:color w:val="auto"/>
          <w:kern w:val="0"/>
          <w:sz w:val="24"/>
          <w:highlight w:val="none"/>
        </w:rPr>
        <w:t>质疑</w:t>
      </w:r>
      <w:r>
        <w:rPr>
          <w:rFonts w:hint="eastAsia" w:cs="仿宋_GB2312" w:asciiTheme="minorEastAsia" w:hAnsiTheme="minorEastAsia" w:eastAsiaTheme="minorEastAsia"/>
          <w:color w:val="auto"/>
          <w:kern w:val="0"/>
          <w:sz w:val="24"/>
          <w:highlight w:val="none"/>
          <w:lang w:val="zh-CN"/>
        </w:rPr>
        <w:t>事务。代理人办理</w:t>
      </w:r>
      <w:r>
        <w:rPr>
          <w:rFonts w:hint="eastAsia" w:cs="仿宋_GB2312" w:asciiTheme="minorEastAsia" w:hAnsiTheme="minorEastAsia" w:eastAsiaTheme="minorEastAsia"/>
          <w:color w:val="auto"/>
          <w:kern w:val="0"/>
          <w:sz w:val="24"/>
          <w:highlight w:val="none"/>
        </w:rPr>
        <w:t>质疑</w:t>
      </w:r>
      <w:r>
        <w:rPr>
          <w:rFonts w:hint="eastAsia" w:cs="仿宋_GB2312" w:asciiTheme="minorEastAsia" w:hAnsiTheme="minorEastAsia" w:eastAsiaTheme="minorEastAsia"/>
          <w:color w:val="auto"/>
          <w:kern w:val="0"/>
          <w:sz w:val="24"/>
          <w:highlight w:val="none"/>
          <w:lang w:val="zh-CN"/>
        </w:rPr>
        <w:t>事务时，除提交</w:t>
      </w:r>
      <w:r>
        <w:rPr>
          <w:rFonts w:hint="eastAsia" w:cs="仿宋_GB2312" w:asciiTheme="minorEastAsia" w:hAnsiTheme="minorEastAsia" w:eastAsiaTheme="minorEastAsia"/>
          <w:color w:val="auto"/>
          <w:kern w:val="0"/>
          <w:sz w:val="24"/>
          <w:highlight w:val="none"/>
        </w:rPr>
        <w:t>质疑</w:t>
      </w:r>
      <w:r>
        <w:rPr>
          <w:rFonts w:hint="eastAsia" w:cs="仿宋_GB2312" w:asciiTheme="minorEastAsia" w:hAnsiTheme="minorEastAsia" w:eastAsiaTheme="minorEastAsia"/>
          <w:color w:val="auto"/>
          <w:kern w:val="0"/>
          <w:sz w:val="24"/>
          <w:highlight w:val="none"/>
          <w:lang w:val="zh-CN"/>
        </w:rPr>
        <w:t>函外，还应当提交</w:t>
      </w:r>
      <w:r>
        <w:rPr>
          <w:rFonts w:hint="eastAsia" w:cs="仿宋_GB2312" w:asciiTheme="minorEastAsia" w:hAnsiTheme="minorEastAsia" w:eastAsiaTheme="minorEastAsia"/>
          <w:color w:val="auto"/>
          <w:kern w:val="0"/>
          <w:sz w:val="24"/>
          <w:highlight w:val="none"/>
        </w:rPr>
        <w:t>质疑</w:t>
      </w:r>
      <w:r>
        <w:rPr>
          <w:rFonts w:hint="eastAsia" w:cs="仿宋_GB2312" w:asciiTheme="minorEastAsia" w:hAnsiTheme="minorEastAsia" w:eastAsiaTheme="minorEastAsia"/>
          <w:color w:val="auto"/>
          <w:kern w:val="0"/>
          <w:sz w:val="24"/>
          <w:highlight w:val="none"/>
          <w:lang w:val="zh-CN"/>
        </w:rPr>
        <w:t>供应商的授权委托书原件，</w:t>
      </w:r>
      <w:r>
        <w:rPr>
          <w:rFonts w:hint="eastAsia" w:cs="宋体" w:asciiTheme="minorEastAsia" w:hAnsiTheme="minorEastAsia" w:eastAsiaTheme="minorEastAsia"/>
          <w:color w:val="auto"/>
          <w:kern w:val="0"/>
          <w:sz w:val="24"/>
          <w:highlight w:val="none"/>
        </w:rPr>
        <w:t>授权委托书应载明代理人的姓名或者名称、代理事项、具体权限、期限和相关事项。</w:t>
      </w:r>
    </w:p>
    <w:p>
      <w:pPr>
        <w:spacing w:line="360" w:lineRule="exact"/>
        <w:ind w:firstLine="480" w:firstLineChars="2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rPr>
        <w:t>3.</w:t>
      </w:r>
      <w:r>
        <w:rPr>
          <w:rFonts w:hint="eastAsia" w:asciiTheme="minorEastAsia" w:hAnsiTheme="minorEastAsia" w:eastAsiaTheme="minorEastAsia"/>
          <w:color w:val="auto"/>
          <w:sz w:val="24"/>
          <w:highlight w:val="none"/>
        </w:rPr>
        <w:t xml:space="preserve"> 投标人对招标采购单位的质疑答复不满意或者招标采购单位未在规定时间内做出答复的，可以在答复期满后十五个工作日内向</w:t>
      </w:r>
      <w:r>
        <w:rPr>
          <w:rFonts w:hint="eastAsia" w:asciiTheme="minorEastAsia" w:hAnsiTheme="minorEastAsia" w:eastAsiaTheme="minorEastAsia"/>
          <w:bCs/>
          <w:color w:val="auto"/>
          <w:sz w:val="24"/>
          <w:highlight w:val="none"/>
        </w:rPr>
        <w:t>同级采购监管部门投诉。</w:t>
      </w:r>
    </w:p>
    <w:p>
      <w:pPr>
        <w:pStyle w:val="22"/>
        <w:snapToGrid w:val="0"/>
        <w:spacing w:line="360" w:lineRule="exact"/>
        <w:ind w:firstLine="472" w:firstLineChars="196"/>
        <w:jc w:val="center"/>
        <w:rPr>
          <w:rFonts w:asciiTheme="minorEastAsia" w:hAnsiTheme="minorEastAsia" w:eastAsiaTheme="minorEastAsia"/>
          <w:b/>
          <w:color w:val="auto"/>
          <w:sz w:val="24"/>
          <w:szCs w:val="24"/>
          <w:highlight w:val="none"/>
        </w:rPr>
      </w:pPr>
      <w:bookmarkStart w:id="58" w:name="_Toc254970534"/>
      <w:bookmarkStart w:id="59" w:name="_Toc254970675"/>
    </w:p>
    <w:p>
      <w:pPr>
        <w:pStyle w:val="22"/>
        <w:snapToGrid w:val="0"/>
        <w:spacing w:line="360" w:lineRule="exact"/>
        <w:ind w:firstLine="472" w:firstLineChars="196"/>
        <w:jc w:val="center"/>
        <w:rPr>
          <w:rFonts w:asciiTheme="minorEastAsia" w:hAnsiTheme="minorEastAsia" w:eastAsiaTheme="minorEastAsia"/>
          <w:b/>
          <w:color w:val="auto"/>
          <w:sz w:val="24"/>
          <w:szCs w:val="24"/>
          <w:highlight w:val="none"/>
        </w:rPr>
      </w:pPr>
    </w:p>
    <w:p>
      <w:pPr>
        <w:pStyle w:val="22"/>
        <w:snapToGrid w:val="0"/>
        <w:spacing w:line="360" w:lineRule="exact"/>
        <w:ind w:firstLine="472" w:firstLineChars="196"/>
        <w:jc w:val="center"/>
        <w:rPr>
          <w:rFonts w:asciiTheme="minorEastAsia" w:hAnsiTheme="minorEastAsia" w:eastAsiaTheme="minorEastAsia"/>
          <w:b/>
          <w:color w:val="auto"/>
          <w:sz w:val="24"/>
          <w:szCs w:val="24"/>
          <w:highlight w:val="none"/>
        </w:rPr>
      </w:pPr>
    </w:p>
    <w:p>
      <w:pPr>
        <w:pStyle w:val="22"/>
        <w:snapToGrid w:val="0"/>
        <w:spacing w:line="360" w:lineRule="exact"/>
        <w:ind w:firstLine="472" w:firstLineChars="196"/>
        <w:jc w:val="center"/>
        <w:rPr>
          <w:rFonts w:asciiTheme="minorEastAsia" w:hAnsiTheme="minorEastAsia" w:eastAsiaTheme="minorEastAsia"/>
          <w:b/>
          <w:color w:val="auto"/>
          <w:sz w:val="24"/>
          <w:szCs w:val="24"/>
          <w:highlight w:val="none"/>
        </w:rPr>
      </w:pPr>
    </w:p>
    <w:p>
      <w:pPr>
        <w:pStyle w:val="22"/>
        <w:snapToGrid w:val="0"/>
        <w:spacing w:line="360" w:lineRule="exact"/>
        <w:ind w:firstLine="472" w:firstLineChars="196"/>
        <w:jc w:val="center"/>
        <w:rPr>
          <w:rFonts w:asciiTheme="minorEastAsia" w:hAnsiTheme="minorEastAsia" w:eastAsiaTheme="minorEastAsia"/>
          <w:b/>
          <w:color w:val="auto"/>
          <w:sz w:val="24"/>
          <w:szCs w:val="24"/>
          <w:highlight w:val="none"/>
        </w:rPr>
      </w:pPr>
    </w:p>
    <w:p>
      <w:pPr>
        <w:pStyle w:val="22"/>
        <w:snapToGrid w:val="0"/>
        <w:spacing w:line="360" w:lineRule="exact"/>
        <w:ind w:firstLine="472" w:firstLineChars="196"/>
        <w:jc w:val="center"/>
        <w:rPr>
          <w:rFonts w:asciiTheme="minorEastAsia" w:hAnsiTheme="minorEastAsia" w:eastAsiaTheme="minorEastAsia"/>
          <w:b/>
          <w:color w:val="auto"/>
          <w:sz w:val="24"/>
          <w:szCs w:val="24"/>
          <w:highlight w:val="none"/>
        </w:rPr>
      </w:pPr>
    </w:p>
    <w:p>
      <w:pPr>
        <w:pStyle w:val="22"/>
        <w:snapToGrid w:val="0"/>
        <w:spacing w:line="360" w:lineRule="exact"/>
        <w:ind w:firstLine="472" w:firstLineChars="196"/>
        <w:jc w:val="center"/>
        <w:rPr>
          <w:rFonts w:asciiTheme="minorEastAsia" w:hAnsiTheme="minorEastAsia" w:eastAsiaTheme="minorEastAsia"/>
          <w:b/>
          <w:color w:val="auto"/>
          <w:sz w:val="24"/>
          <w:szCs w:val="24"/>
          <w:highlight w:val="none"/>
        </w:rPr>
      </w:pPr>
    </w:p>
    <w:p>
      <w:pPr>
        <w:pStyle w:val="22"/>
        <w:snapToGrid w:val="0"/>
        <w:spacing w:line="360" w:lineRule="exact"/>
        <w:ind w:firstLine="630" w:firstLineChars="196"/>
        <w:jc w:val="center"/>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二、招标文件</w:t>
      </w:r>
      <w:bookmarkEnd w:id="58"/>
      <w:bookmarkEnd w:id="59"/>
    </w:p>
    <w:p>
      <w:pPr>
        <w:snapToGrid w:val="0"/>
        <w:spacing w:line="360" w:lineRule="exact"/>
        <w:jc w:val="left"/>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（一）招标文件的组成：</w:t>
      </w:r>
    </w:p>
    <w:p>
      <w:pPr>
        <w:widowControl/>
        <w:adjustRightInd w:val="0"/>
        <w:spacing w:line="360" w:lineRule="exact"/>
        <w:ind w:firstLine="360" w:firstLineChars="15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1、公开招标公告</w:t>
      </w:r>
    </w:p>
    <w:p>
      <w:pPr>
        <w:widowControl/>
        <w:adjustRightInd w:val="0"/>
        <w:spacing w:line="360" w:lineRule="exact"/>
        <w:ind w:firstLine="360" w:firstLineChars="15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2、招标项目采购需求</w:t>
      </w:r>
    </w:p>
    <w:p>
      <w:pPr>
        <w:widowControl/>
        <w:adjustRightInd w:val="0"/>
        <w:spacing w:line="360" w:lineRule="exact"/>
        <w:ind w:firstLine="360" w:firstLineChars="15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3、投标人须知</w:t>
      </w:r>
    </w:p>
    <w:p>
      <w:pPr>
        <w:widowControl/>
        <w:adjustRightInd w:val="0"/>
        <w:spacing w:line="360" w:lineRule="exact"/>
        <w:ind w:firstLine="360" w:firstLineChars="15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4、评标办法及评分标准</w:t>
      </w:r>
    </w:p>
    <w:p>
      <w:pPr>
        <w:widowControl/>
        <w:adjustRightInd w:val="0"/>
        <w:spacing w:line="360" w:lineRule="exact"/>
        <w:ind w:firstLine="360" w:firstLineChars="15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5、合同主要条款格式</w:t>
      </w:r>
    </w:p>
    <w:p>
      <w:pPr>
        <w:widowControl/>
        <w:adjustRightInd w:val="0"/>
        <w:spacing w:line="360" w:lineRule="exact"/>
        <w:ind w:firstLine="360" w:firstLineChars="15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6、投标文件格式</w:t>
      </w:r>
    </w:p>
    <w:p>
      <w:pPr>
        <w:widowControl/>
        <w:adjustRightInd w:val="0"/>
        <w:spacing w:line="360" w:lineRule="exact"/>
        <w:ind w:firstLine="360" w:firstLineChars="15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7、《南宁市公共服务大数据治理与应用平台项目软件开发与集成项目采购需求》作为本次招标的附件，随本次招标的标书一起交付用户。</w:t>
      </w:r>
    </w:p>
    <w:p>
      <w:pPr>
        <w:snapToGrid w:val="0"/>
        <w:spacing w:line="360" w:lineRule="exact"/>
        <w:jc w:val="left"/>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（二）投标人的风险</w:t>
      </w:r>
    </w:p>
    <w:p>
      <w:pPr>
        <w:pStyle w:val="30"/>
        <w:spacing w:after="0" w:line="360" w:lineRule="exact"/>
        <w:ind w:left="0" w:leftChars="0"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投标人没有按照招标文件要求提供全部资料，或者投标人没有对招标文件在各方面做出实质性响应是投标人的风险，并可能导致其投标被拒绝。</w:t>
      </w:r>
    </w:p>
    <w:p>
      <w:pPr>
        <w:pStyle w:val="13"/>
        <w:widowControl w:val="0"/>
        <w:tabs>
          <w:tab w:val="clear" w:pos="840"/>
          <w:tab w:val="clear" w:pos="900"/>
        </w:tabs>
        <w:snapToGrid w:val="0"/>
        <w:spacing w:afterLines="0" w:line="360" w:lineRule="exact"/>
        <w:ind w:left="0" w:firstLine="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 xml:space="preserve">（三）招标文件的澄清与修改 </w:t>
      </w:r>
    </w:p>
    <w:p>
      <w:pPr>
        <w:spacing w:line="360" w:lineRule="exact"/>
        <w:ind w:firstLine="480" w:firstLineChars="200"/>
        <w:rPr>
          <w:rFonts w:asciiTheme="minorEastAsia" w:hAnsiTheme="minorEastAsia" w:eastAsiaTheme="minorEastAsia"/>
          <w:color w:val="auto"/>
          <w:sz w:val="24"/>
          <w:highlight w:val="none"/>
        </w:rPr>
      </w:pPr>
      <w:bookmarkStart w:id="60" w:name="_Toc254970535"/>
      <w:bookmarkStart w:id="61" w:name="_Toc254970676"/>
      <w:r>
        <w:rPr>
          <w:rFonts w:hint="eastAsia" w:asciiTheme="minorEastAsia" w:hAnsiTheme="minorEastAsia" w:eastAsiaTheme="minorEastAsia"/>
          <w:color w:val="auto"/>
          <w:sz w:val="24"/>
          <w:highlight w:val="none"/>
        </w:rPr>
        <w:t>1.</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bCs/>
          <w:color w:val="auto"/>
          <w:sz w:val="24"/>
          <w:highlight w:val="none"/>
        </w:rPr>
        <w:t>投</w:t>
      </w:r>
      <w:r>
        <w:rPr>
          <w:rFonts w:hint="eastAsia" w:asciiTheme="minorEastAsia" w:hAnsiTheme="minorEastAsia" w:eastAsiaTheme="minorEastAsia"/>
          <w:color w:val="auto"/>
          <w:sz w:val="24"/>
          <w:highlight w:val="none"/>
        </w:rPr>
        <w:t>标人应认真阅读本招标文件，发现其中有误或有不合理要求的，</w:t>
      </w:r>
      <w:r>
        <w:rPr>
          <w:rFonts w:hint="eastAsia" w:hAnsi="宋体"/>
          <w:bCs/>
          <w:color w:val="auto"/>
          <w:sz w:val="24"/>
          <w:highlight w:val="none"/>
        </w:rPr>
        <w:t>投标人应当于</w:t>
      </w:r>
      <w:r>
        <w:rPr>
          <w:rFonts w:hint="eastAsia" w:hAnsi="宋体"/>
          <w:color w:val="auto"/>
          <w:sz w:val="24"/>
          <w:highlight w:val="none"/>
        </w:rPr>
        <w:t>公告届满之日起7个工作日</w:t>
      </w:r>
      <w:r>
        <w:rPr>
          <w:rFonts w:hint="eastAsia" w:asciiTheme="minorEastAsia" w:hAnsiTheme="minorEastAsia" w:eastAsiaTheme="minorEastAsia"/>
          <w:color w:val="auto"/>
          <w:sz w:val="24"/>
          <w:highlight w:val="none"/>
        </w:rPr>
        <w:t>，以书面形式要求招标采购单位澄清。采购代理机构对已发出的招标文件进行必要澄清、答复、修改或补充的，澄清或者修改应当在原公告发布媒体上发布澄清公告。该澄清或者修改的内容为招标文件的组成部分。如果澄清、答复、修改或补充的</w:t>
      </w:r>
      <w:r>
        <w:rPr>
          <w:rFonts w:asciiTheme="minorEastAsia" w:hAnsiTheme="minorEastAsia" w:eastAsiaTheme="minorEastAsia"/>
          <w:color w:val="auto"/>
          <w:sz w:val="24"/>
          <w:highlight w:val="none"/>
        </w:rPr>
        <w:t>内容可能影响投标文件编制的，采购人或者采购代理机构应当在投标截止时间至少15日前</w:t>
      </w:r>
      <w:r>
        <w:rPr>
          <w:rFonts w:hint="eastAsia" w:asciiTheme="minorEastAsia" w:hAnsiTheme="minorEastAsia" w:eastAsiaTheme="minorEastAsia"/>
          <w:color w:val="auto"/>
          <w:sz w:val="24"/>
          <w:highlight w:val="none"/>
        </w:rPr>
        <w:t>发出</w:t>
      </w:r>
      <w:r>
        <w:rPr>
          <w:rFonts w:asciiTheme="minorEastAsia" w:hAnsiTheme="minorEastAsia" w:eastAsiaTheme="minorEastAsia"/>
          <w:color w:val="auto"/>
          <w:sz w:val="24"/>
          <w:highlight w:val="none"/>
        </w:rPr>
        <w:t>；不足15日的，采购人或者采购代理机构应当顺延提交投标文件的截止时间。</w:t>
      </w:r>
    </w:p>
    <w:p>
      <w:pPr>
        <w:pStyle w:val="22"/>
        <w:snapToGrid w:val="0"/>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2.招标文件澄清、答复、修改、补充的内容为招标文件的组成部分。当招标文件与招标文件的答复、澄清、修改、补充通知就同一内容的表述不一致时，以最后发出的文件为准。</w:t>
      </w:r>
    </w:p>
    <w:p>
      <w:pPr>
        <w:pStyle w:val="22"/>
        <w:snapToGrid w:val="0"/>
        <w:spacing w:line="360" w:lineRule="exact"/>
        <w:ind w:firstLine="480" w:firstLineChars="200"/>
        <w:rPr>
          <w:rFonts w:asciiTheme="minorEastAsia" w:hAnsiTheme="minorEastAsia" w:eastAsiaTheme="minorEastAsia"/>
          <w:color w:val="auto"/>
          <w:sz w:val="24"/>
          <w:szCs w:val="24"/>
          <w:highlight w:val="none"/>
        </w:rPr>
      </w:pPr>
    </w:p>
    <w:p>
      <w:pPr>
        <w:pStyle w:val="22"/>
        <w:snapToGrid w:val="0"/>
        <w:spacing w:line="360" w:lineRule="exact"/>
        <w:ind w:firstLine="630" w:firstLineChars="196"/>
        <w:jc w:val="center"/>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三、投标文件</w:t>
      </w:r>
      <w:bookmarkEnd w:id="60"/>
      <w:bookmarkEnd w:id="61"/>
    </w:p>
    <w:p>
      <w:pPr>
        <w:snapToGrid w:val="0"/>
        <w:spacing w:line="360" w:lineRule="exact"/>
        <w:jc w:val="left"/>
        <w:rPr>
          <w:rFonts w:asciiTheme="minorEastAsia" w:hAnsiTheme="minorEastAsia" w:eastAsiaTheme="minorEastAsia"/>
          <w:b/>
          <w:color w:val="auto"/>
          <w:sz w:val="24"/>
          <w:highlight w:val="none"/>
        </w:rPr>
      </w:pPr>
      <w:bookmarkStart w:id="62" w:name="_Toc254970677"/>
      <w:bookmarkStart w:id="63" w:name="_Toc254970536"/>
      <w:r>
        <w:rPr>
          <w:rFonts w:hint="eastAsia" w:asciiTheme="minorEastAsia" w:hAnsiTheme="minorEastAsia" w:eastAsiaTheme="minorEastAsia"/>
          <w:b/>
          <w:color w:val="auto"/>
          <w:sz w:val="24"/>
          <w:highlight w:val="none"/>
        </w:rPr>
        <w:t>（一）投标文件的组成</w:t>
      </w:r>
      <w:bookmarkEnd w:id="62"/>
      <w:bookmarkEnd w:id="63"/>
      <w:r>
        <w:rPr>
          <w:rFonts w:hint="eastAsia" w:hAnsi="宋体"/>
          <w:b/>
          <w:color w:val="auto"/>
          <w:sz w:val="24"/>
          <w:highlight w:val="none"/>
        </w:rPr>
        <w:t>（可以根据需要进行增减）</w:t>
      </w:r>
    </w:p>
    <w:p>
      <w:pPr>
        <w:tabs>
          <w:tab w:val="left" w:pos="3870"/>
          <w:tab w:val="left" w:pos="4085"/>
        </w:tabs>
        <w:snapToGrid w:val="0"/>
        <w:spacing w:line="360" w:lineRule="exact"/>
        <w:ind w:firstLine="480" w:firstLineChars="200"/>
        <w:jc w:val="left"/>
        <w:rPr>
          <w:rFonts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rPr>
        <w:t>投标文件由</w:t>
      </w:r>
      <w:r>
        <w:rPr>
          <w:rFonts w:hint="eastAsia" w:asciiTheme="minorEastAsia" w:hAnsiTheme="minorEastAsia" w:eastAsiaTheme="minorEastAsia"/>
          <w:color w:val="auto"/>
          <w:sz w:val="24"/>
          <w:highlight w:val="none"/>
          <w:u w:val="single"/>
        </w:rPr>
        <w:t>资格审查文件</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u w:val="single"/>
        </w:rPr>
        <w:t>商务文件、技术文件、报价文件</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u w:val="single"/>
        </w:rPr>
        <w:t>开标一览表</w:t>
      </w:r>
      <w:r>
        <w:rPr>
          <w:rFonts w:hint="eastAsia" w:ascii="宋体" w:hAnsi="宋体" w:cs="宋体"/>
          <w:b/>
          <w:color w:val="auto"/>
          <w:szCs w:val="21"/>
          <w:highlight w:val="none"/>
        </w:rPr>
        <w:t>、</w:t>
      </w:r>
      <w:r>
        <w:rPr>
          <w:rFonts w:hint="eastAsia" w:asciiTheme="minorEastAsia" w:hAnsiTheme="minorEastAsia" w:eastAsiaTheme="minorEastAsia"/>
          <w:color w:val="auto"/>
          <w:sz w:val="24"/>
          <w:highlight w:val="none"/>
          <w:u w:val="single"/>
        </w:rPr>
        <w:t>投标文件电子版组成。</w:t>
      </w:r>
    </w:p>
    <w:p>
      <w:pPr>
        <w:spacing w:line="360" w:lineRule="exact"/>
        <w:ind w:left="141" w:leftChars="67"/>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1.资格审查文件</w:t>
      </w:r>
    </w:p>
    <w:p>
      <w:pPr>
        <w:pStyle w:val="22"/>
        <w:snapToGrid w:val="0"/>
        <w:spacing w:line="360" w:lineRule="exact"/>
        <w:ind w:firstLine="354" w:firstLineChars="147"/>
        <w:rPr>
          <w:rFonts w:asciiTheme="minorEastAsia" w:hAnsiTheme="minorEastAsia" w:eastAsiaTheme="minorEastAsia"/>
          <w:bCs/>
          <w:color w:val="auto"/>
          <w:sz w:val="24"/>
          <w:szCs w:val="24"/>
          <w:highlight w:val="none"/>
        </w:rPr>
      </w:pPr>
      <w:r>
        <w:rPr>
          <w:rFonts w:hint="eastAsia" w:asciiTheme="minorEastAsia" w:hAnsiTheme="minorEastAsia" w:eastAsiaTheme="minorEastAsia"/>
          <w:b/>
          <w:color w:val="auto"/>
          <w:sz w:val="24"/>
          <w:highlight w:val="none"/>
        </w:rPr>
        <w:t>★</w:t>
      </w:r>
      <w:r>
        <w:rPr>
          <w:rFonts w:hint="eastAsia" w:asciiTheme="minorEastAsia" w:hAnsiTheme="minorEastAsia" w:eastAsiaTheme="minorEastAsia"/>
          <w:bCs/>
          <w:color w:val="auto"/>
          <w:sz w:val="24"/>
          <w:szCs w:val="24"/>
          <w:highlight w:val="none"/>
        </w:rPr>
        <w:t>（1）法人或者其他组织的营业执照等证明文件复印件，（投标人属自然人的提供自然人的身份证明）。</w:t>
      </w:r>
    </w:p>
    <w:p>
      <w:pPr>
        <w:pStyle w:val="22"/>
        <w:snapToGrid w:val="0"/>
        <w:spacing w:line="360" w:lineRule="exact"/>
        <w:ind w:firstLine="354" w:firstLineChars="147"/>
        <w:rPr>
          <w:rFonts w:asciiTheme="minorEastAsia" w:hAnsiTheme="minorEastAsia" w:eastAsiaTheme="minorEastAsia"/>
          <w:b/>
          <w:bCs/>
          <w:color w:val="auto"/>
          <w:sz w:val="24"/>
          <w:szCs w:val="24"/>
          <w:highlight w:val="none"/>
        </w:rPr>
      </w:pPr>
      <w:r>
        <w:rPr>
          <w:rFonts w:hint="eastAsia" w:asciiTheme="minorEastAsia" w:hAnsiTheme="minorEastAsia" w:eastAsiaTheme="minorEastAsia"/>
          <w:b/>
          <w:bCs/>
          <w:color w:val="auto"/>
          <w:sz w:val="24"/>
          <w:szCs w:val="24"/>
          <w:highlight w:val="none"/>
        </w:rPr>
        <w:t>注：</w:t>
      </w:r>
      <w:r>
        <w:rPr>
          <w:rFonts w:asciiTheme="minorEastAsia" w:hAnsiTheme="minorEastAsia" w:eastAsiaTheme="minorEastAsia"/>
          <w:b/>
          <w:bCs/>
          <w:color w:val="auto"/>
          <w:sz w:val="24"/>
          <w:szCs w:val="24"/>
          <w:highlight w:val="none"/>
        </w:rPr>
        <w:fldChar w:fldCharType="begin"/>
      </w:r>
      <w:r>
        <w:rPr>
          <w:rFonts w:asciiTheme="minorEastAsia" w:hAnsiTheme="minorEastAsia" w:eastAsiaTheme="minorEastAsia"/>
          <w:b/>
          <w:bCs/>
          <w:color w:val="auto"/>
          <w:sz w:val="24"/>
          <w:szCs w:val="24"/>
          <w:highlight w:val="none"/>
        </w:rPr>
        <w:instrText xml:space="preserve"> </w:instrText>
      </w:r>
      <w:r>
        <w:rPr>
          <w:rFonts w:hint="eastAsia" w:asciiTheme="minorEastAsia" w:hAnsiTheme="minorEastAsia" w:eastAsiaTheme="minorEastAsia"/>
          <w:b/>
          <w:bCs/>
          <w:color w:val="auto"/>
          <w:sz w:val="24"/>
          <w:szCs w:val="24"/>
          <w:highlight w:val="none"/>
        </w:rPr>
        <w:instrText xml:space="preserve">eq \o\ac(○,</w:instrText>
      </w:r>
      <w:r>
        <w:rPr>
          <w:rFonts w:hint="eastAsia" w:hAnsiTheme="minorEastAsia" w:eastAsiaTheme="minorEastAsia"/>
          <w:b/>
          <w:bCs/>
          <w:color w:val="auto"/>
          <w:position w:val="3"/>
          <w:sz w:val="16"/>
          <w:szCs w:val="24"/>
          <w:highlight w:val="none"/>
        </w:rPr>
        <w:instrText xml:space="preserve">1</w:instrText>
      </w:r>
      <w:r>
        <w:rPr>
          <w:rFonts w:hint="eastAsia" w:asciiTheme="minorEastAsia" w:hAnsiTheme="minorEastAsia" w:eastAsiaTheme="minorEastAsia"/>
          <w:b/>
          <w:bCs/>
          <w:color w:val="auto"/>
          <w:sz w:val="24"/>
          <w:szCs w:val="24"/>
          <w:highlight w:val="none"/>
        </w:rPr>
        <w:instrText xml:space="preserve">)</w:instrText>
      </w:r>
      <w:r>
        <w:rPr>
          <w:rFonts w:asciiTheme="minorEastAsia" w:hAnsiTheme="minorEastAsia" w:eastAsiaTheme="minorEastAsia"/>
          <w:b/>
          <w:bCs/>
          <w:color w:val="auto"/>
          <w:sz w:val="24"/>
          <w:szCs w:val="24"/>
          <w:highlight w:val="none"/>
        </w:rPr>
        <w:fldChar w:fldCharType="end"/>
      </w:r>
      <w:r>
        <w:rPr>
          <w:rFonts w:hint="eastAsia" w:asciiTheme="minorEastAsia" w:hAnsiTheme="minorEastAsia" w:eastAsiaTheme="minorEastAsia"/>
          <w:b/>
          <w:bCs/>
          <w:color w:val="auto"/>
          <w:sz w:val="24"/>
          <w:szCs w:val="24"/>
          <w:highlight w:val="none"/>
        </w:rPr>
        <w:t>法人包括企业法人、机关法人和社会团体法人；其他组织主要包括合伙企业、非企业专业服务机构、个体工商户、农村承包经营户。</w:t>
      </w:r>
      <w:r>
        <w:rPr>
          <w:rFonts w:asciiTheme="minorEastAsia" w:hAnsiTheme="minorEastAsia" w:eastAsiaTheme="minorEastAsia"/>
          <w:b/>
          <w:bCs/>
          <w:color w:val="auto"/>
          <w:sz w:val="24"/>
          <w:szCs w:val="24"/>
          <w:highlight w:val="none"/>
        </w:rPr>
        <w:fldChar w:fldCharType="begin"/>
      </w:r>
      <w:r>
        <w:rPr>
          <w:rFonts w:asciiTheme="minorEastAsia" w:hAnsiTheme="minorEastAsia" w:eastAsiaTheme="minorEastAsia"/>
          <w:b/>
          <w:bCs/>
          <w:color w:val="auto"/>
          <w:sz w:val="24"/>
          <w:szCs w:val="24"/>
          <w:highlight w:val="none"/>
        </w:rPr>
        <w:instrText xml:space="preserve"> </w:instrText>
      </w:r>
      <w:r>
        <w:rPr>
          <w:rFonts w:hint="eastAsia" w:asciiTheme="minorEastAsia" w:hAnsiTheme="minorEastAsia" w:eastAsiaTheme="minorEastAsia"/>
          <w:b/>
          <w:bCs/>
          <w:color w:val="auto"/>
          <w:sz w:val="24"/>
          <w:szCs w:val="24"/>
          <w:highlight w:val="none"/>
        </w:rPr>
        <w:instrText xml:space="preserve">eq \o\ac(○,</w:instrText>
      </w:r>
      <w:r>
        <w:rPr>
          <w:rFonts w:hint="eastAsia" w:hAnsiTheme="minorEastAsia" w:eastAsiaTheme="minorEastAsia"/>
          <w:b/>
          <w:bCs/>
          <w:color w:val="auto"/>
          <w:position w:val="3"/>
          <w:sz w:val="16"/>
          <w:szCs w:val="24"/>
          <w:highlight w:val="none"/>
        </w:rPr>
        <w:instrText xml:space="preserve">2</w:instrText>
      </w:r>
      <w:r>
        <w:rPr>
          <w:rFonts w:hint="eastAsia" w:asciiTheme="minorEastAsia" w:hAnsiTheme="minorEastAsia" w:eastAsiaTheme="minorEastAsia"/>
          <w:b/>
          <w:bCs/>
          <w:color w:val="auto"/>
          <w:sz w:val="24"/>
          <w:szCs w:val="24"/>
          <w:highlight w:val="none"/>
        </w:rPr>
        <w:instrText xml:space="preserve">)</w:instrText>
      </w:r>
      <w:r>
        <w:rPr>
          <w:rFonts w:asciiTheme="minorEastAsia" w:hAnsiTheme="minorEastAsia" w:eastAsiaTheme="minorEastAsia"/>
          <w:b/>
          <w:bCs/>
          <w:color w:val="auto"/>
          <w:sz w:val="24"/>
          <w:szCs w:val="24"/>
          <w:highlight w:val="none"/>
        </w:rPr>
        <w:fldChar w:fldCharType="end"/>
      </w:r>
      <w:r>
        <w:rPr>
          <w:rFonts w:hint="eastAsia" w:asciiTheme="minorEastAsia" w:hAnsiTheme="minorEastAsia" w:eastAsiaTheme="minorEastAsia"/>
          <w:b/>
          <w:bCs/>
          <w:color w:val="auto"/>
          <w:sz w:val="24"/>
          <w:szCs w:val="24"/>
          <w:highlight w:val="none"/>
        </w:rPr>
        <w:t>如供应商为企业（包括合伙企业，应提供工商部门注册的有效“企业法人营业执照”或“营业执照”；如供应商为事业单位，应提供有效的“事业单位法人证书”；如供应商为非企业专业服务机构的，应提供执业许可证等证明文件；如供应商为个体工商户，应提供有效的“个体工商户营业执照”。</w:t>
      </w:r>
    </w:p>
    <w:p>
      <w:pPr>
        <w:pStyle w:val="22"/>
        <w:snapToGrid w:val="0"/>
        <w:spacing w:line="360" w:lineRule="exact"/>
        <w:ind w:firstLine="354" w:firstLineChars="147"/>
        <w:rPr>
          <w:rFonts w:asciiTheme="minorEastAsia" w:hAnsiTheme="minorEastAsia" w:eastAsiaTheme="minorEastAsia"/>
          <w:bCs/>
          <w:color w:val="auto"/>
          <w:sz w:val="24"/>
          <w:szCs w:val="24"/>
          <w:highlight w:val="none"/>
        </w:rPr>
      </w:pPr>
      <w:r>
        <w:rPr>
          <w:rFonts w:hint="eastAsia" w:asciiTheme="minorEastAsia" w:hAnsiTheme="minorEastAsia" w:eastAsiaTheme="minorEastAsia"/>
          <w:b/>
          <w:color w:val="auto"/>
          <w:sz w:val="24"/>
          <w:highlight w:val="none"/>
        </w:rPr>
        <w:t>★</w:t>
      </w:r>
      <w:r>
        <w:rPr>
          <w:rFonts w:hint="eastAsia" w:asciiTheme="minorEastAsia" w:hAnsiTheme="minorEastAsia" w:eastAsiaTheme="minorEastAsia"/>
          <w:bCs/>
          <w:color w:val="auto"/>
          <w:sz w:val="24"/>
          <w:szCs w:val="24"/>
          <w:highlight w:val="none"/>
        </w:rPr>
        <w:t>（2）投标人近半年内连续三个月的依法缴纳税收证明（税费凭证复印件，或者依法缴纳税费或免缴税费的证明，格式自拟）；无纳税记录的，应提供由投标人所在地主管国税或地税部门出具的《依法纳税或依法免税证明》（格式自拟，复印件）。</w:t>
      </w:r>
    </w:p>
    <w:p>
      <w:pPr>
        <w:pStyle w:val="22"/>
        <w:snapToGrid w:val="0"/>
        <w:spacing w:line="360" w:lineRule="exact"/>
        <w:ind w:firstLine="354" w:firstLineChars="147"/>
        <w:rPr>
          <w:rFonts w:asciiTheme="minorEastAsia" w:hAnsiTheme="minorEastAsia" w:eastAsiaTheme="minorEastAsia"/>
          <w:bCs/>
          <w:color w:val="auto"/>
          <w:sz w:val="24"/>
          <w:szCs w:val="24"/>
          <w:highlight w:val="none"/>
        </w:rPr>
      </w:pPr>
      <w:r>
        <w:rPr>
          <w:rFonts w:hint="eastAsia" w:asciiTheme="minorEastAsia" w:hAnsiTheme="minorEastAsia" w:eastAsiaTheme="minorEastAsia"/>
          <w:b/>
          <w:color w:val="auto"/>
          <w:sz w:val="24"/>
          <w:highlight w:val="none"/>
        </w:rPr>
        <w:t>★</w:t>
      </w:r>
      <w:r>
        <w:rPr>
          <w:rFonts w:hint="eastAsia" w:asciiTheme="minorEastAsia" w:hAnsiTheme="minorEastAsia" w:eastAsiaTheme="minorEastAsia"/>
          <w:bCs/>
          <w:color w:val="auto"/>
          <w:sz w:val="24"/>
          <w:szCs w:val="24"/>
          <w:highlight w:val="none"/>
        </w:rPr>
        <w:t>（3）投标人近半年内连续三个月的依法缴纳社保费的缴费凭证（复印件，原件备查，格式自拟）（必须提供）；无缴费记录的，应提供由投标人所在地社保部门出具的《依法缴纳或依法免缴社保费证明》（格式自拟，复印件）。</w:t>
      </w:r>
    </w:p>
    <w:p>
      <w:pPr>
        <w:pStyle w:val="22"/>
        <w:snapToGrid w:val="0"/>
        <w:spacing w:line="360" w:lineRule="exact"/>
        <w:ind w:firstLine="354" w:firstLineChars="147"/>
        <w:rPr>
          <w:rFonts w:asciiTheme="minorEastAsia" w:hAnsiTheme="minorEastAsia" w:eastAsiaTheme="minorEastAsia"/>
          <w:bCs/>
          <w:color w:val="auto"/>
          <w:sz w:val="24"/>
          <w:szCs w:val="24"/>
          <w:highlight w:val="none"/>
        </w:rPr>
      </w:pPr>
      <w:r>
        <w:rPr>
          <w:rFonts w:hint="eastAsia" w:asciiTheme="minorEastAsia" w:hAnsiTheme="minorEastAsia" w:eastAsiaTheme="minorEastAsia"/>
          <w:b/>
          <w:color w:val="auto"/>
          <w:sz w:val="24"/>
          <w:highlight w:val="none"/>
        </w:rPr>
        <w:t>★</w:t>
      </w:r>
      <w:r>
        <w:rPr>
          <w:rFonts w:hint="eastAsia" w:asciiTheme="minorEastAsia" w:hAnsiTheme="minorEastAsia" w:eastAsiaTheme="minorEastAsia"/>
          <w:bCs/>
          <w:color w:val="auto"/>
          <w:sz w:val="24"/>
          <w:szCs w:val="24"/>
          <w:highlight w:val="none"/>
        </w:rPr>
        <w:t>（4）</w:t>
      </w:r>
      <w:r>
        <w:rPr>
          <w:rFonts w:asciiTheme="minorEastAsia" w:hAnsiTheme="minorEastAsia" w:eastAsiaTheme="minorEastAsia"/>
          <w:bCs/>
          <w:color w:val="auto"/>
          <w:sz w:val="24"/>
          <w:szCs w:val="24"/>
          <w:highlight w:val="none"/>
        </w:rPr>
        <w:t>财务状况报告</w:t>
      </w:r>
      <w:r>
        <w:rPr>
          <w:rFonts w:hint="eastAsia" w:asciiTheme="minorEastAsia" w:hAnsiTheme="minorEastAsia" w:eastAsiaTheme="minorEastAsia"/>
          <w:bCs/>
          <w:color w:val="auto"/>
          <w:sz w:val="24"/>
          <w:szCs w:val="24"/>
          <w:highlight w:val="none"/>
        </w:rPr>
        <w:t>（</w:t>
      </w:r>
      <w:r>
        <w:rPr>
          <w:rFonts w:hint="eastAsia" w:hAnsi="宋体"/>
          <w:color w:val="auto"/>
          <w:sz w:val="24"/>
          <w:highlight w:val="none"/>
          <w:u w:val="single"/>
        </w:rPr>
        <w:t>可以是投标人编制的财务报表或第三方审计报告等证明材料，若为新成立的企业，可根据实际情况提供月度财务报表，或投标人开户行2018 年以来出具的银行资信证明文件复印件，格式自拟，如有请提供</w:t>
      </w:r>
      <w:r>
        <w:rPr>
          <w:rFonts w:hint="eastAsia" w:asciiTheme="minorEastAsia" w:hAnsiTheme="minorEastAsia" w:eastAsiaTheme="minorEastAsia"/>
          <w:bCs/>
          <w:color w:val="auto"/>
          <w:sz w:val="24"/>
          <w:szCs w:val="24"/>
          <w:highlight w:val="none"/>
        </w:rPr>
        <w:t>）。</w:t>
      </w:r>
    </w:p>
    <w:p>
      <w:pPr>
        <w:pStyle w:val="22"/>
        <w:snapToGrid w:val="0"/>
        <w:spacing w:line="360" w:lineRule="exact"/>
        <w:ind w:firstLine="354" w:firstLineChars="147"/>
        <w:rPr>
          <w:rFonts w:hAnsi="宋体"/>
          <w:bCs/>
          <w:color w:val="auto"/>
          <w:sz w:val="24"/>
          <w:szCs w:val="24"/>
          <w:highlight w:val="none"/>
        </w:rPr>
      </w:pPr>
      <w:r>
        <w:rPr>
          <w:rFonts w:hint="eastAsia" w:asciiTheme="minorEastAsia" w:hAnsiTheme="minorEastAsia" w:eastAsiaTheme="minorEastAsia"/>
          <w:b/>
          <w:color w:val="auto"/>
          <w:sz w:val="24"/>
          <w:highlight w:val="none"/>
        </w:rPr>
        <w:t>★</w:t>
      </w:r>
      <w:r>
        <w:rPr>
          <w:rFonts w:hint="eastAsia" w:asciiTheme="minorEastAsia" w:hAnsiTheme="minorEastAsia" w:eastAsiaTheme="minorEastAsia"/>
          <w:bCs/>
          <w:color w:val="auto"/>
          <w:sz w:val="24"/>
          <w:szCs w:val="24"/>
          <w:highlight w:val="none"/>
        </w:rPr>
        <w:t>（5）具备履行合同所必需的设备和专业技术能力的证明材料（提供投标人基本情况表，格式自拟，须反映投标人履行合同所必需的设备和专业技术能力情况）</w:t>
      </w:r>
      <w:r>
        <w:rPr>
          <w:rFonts w:hint="eastAsia" w:hAnsi="宋体"/>
          <w:bCs/>
          <w:color w:val="auto"/>
          <w:sz w:val="24"/>
          <w:szCs w:val="24"/>
          <w:highlight w:val="none"/>
          <w:u w:val="single"/>
        </w:rPr>
        <w:t>或承诺函（投标人须明确承诺具有履行合同所必需的设备和专业技术能力情况，格式自拟）。</w:t>
      </w:r>
    </w:p>
    <w:p>
      <w:pPr>
        <w:pStyle w:val="22"/>
        <w:snapToGrid w:val="0"/>
        <w:spacing w:line="360" w:lineRule="exact"/>
        <w:ind w:firstLine="354" w:firstLineChars="147"/>
        <w:rPr>
          <w:rFonts w:asciiTheme="minorEastAsia" w:hAnsiTheme="minorEastAsia" w:eastAsiaTheme="minorEastAsia"/>
          <w:bCs/>
          <w:color w:val="auto"/>
          <w:sz w:val="24"/>
          <w:szCs w:val="24"/>
          <w:highlight w:val="none"/>
        </w:rPr>
      </w:pPr>
      <w:r>
        <w:rPr>
          <w:rFonts w:hint="eastAsia" w:asciiTheme="minorEastAsia" w:hAnsiTheme="minorEastAsia" w:eastAsiaTheme="minorEastAsia"/>
          <w:b/>
          <w:color w:val="auto"/>
          <w:sz w:val="24"/>
          <w:highlight w:val="none"/>
        </w:rPr>
        <w:t>★</w:t>
      </w:r>
      <w:r>
        <w:rPr>
          <w:rFonts w:hint="eastAsia" w:asciiTheme="minorEastAsia" w:hAnsiTheme="minorEastAsia" w:eastAsiaTheme="minorEastAsia"/>
          <w:bCs/>
          <w:color w:val="auto"/>
          <w:sz w:val="24"/>
          <w:szCs w:val="24"/>
          <w:highlight w:val="none"/>
        </w:rPr>
        <w:t>（6）投标人参加政府采购活动前3年内在经营活动中没有重大违法记录的书面声明。</w:t>
      </w:r>
    </w:p>
    <w:p>
      <w:pPr>
        <w:pStyle w:val="22"/>
        <w:snapToGrid w:val="0"/>
        <w:spacing w:line="360" w:lineRule="exact"/>
        <w:ind w:firstLine="352" w:firstLineChars="147"/>
        <w:rPr>
          <w:rFonts w:asciiTheme="minorEastAsia" w:hAnsiTheme="minorEastAsia" w:eastAsiaTheme="minorEastAsia"/>
          <w:bCs/>
          <w:color w:val="auto"/>
          <w:sz w:val="24"/>
          <w:szCs w:val="24"/>
          <w:highlight w:val="none"/>
        </w:rPr>
      </w:pPr>
      <w:r>
        <w:rPr>
          <w:rFonts w:hint="eastAsia" w:asciiTheme="minorEastAsia" w:hAnsiTheme="minorEastAsia" w:eastAsiaTheme="minorEastAsia"/>
          <w:bCs/>
          <w:color w:val="auto"/>
          <w:sz w:val="24"/>
          <w:szCs w:val="24"/>
          <w:highlight w:val="none"/>
        </w:rPr>
        <w:t>（7）供应商可在“信用中国”网站（www.creditchina.gov.cn）或中国政府采购网（www.ccgp.gov.cn）查询相关供应商主体信用记录，并提供有关查询结果截图。</w:t>
      </w:r>
    </w:p>
    <w:p>
      <w:pPr>
        <w:spacing w:line="360" w:lineRule="exact"/>
        <w:ind w:left="141" w:leftChars="67"/>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2.商务文件</w:t>
      </w:r>
    </w:p>
    <w:p>
      <w:pPr>
        <w:spacing w:line="360" w:lineRule="exact"/>
        <w:ind w:left="141" w:leftChars="67"/>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★必须提供项目:</w:t>
      </w:r>
    </w:p>
    <w:p>
      <w:pPr>
        <w:tabs>
          <w:tab w:val="left" w:pos="1305"/>
        </w:tabs>
        <w:spacing w:line="330" w:lineRule="exact"/>
        <w:ind w:firstLine="240" w:firstLineChars="1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（1）投标声明书</w:t>
      </w:r>
    </w:p>
    <w:p>
      <w:pPr>
        <w:tabs>
          <w:tab w:val="left" w:pos="1305"/>
        </w:tabs>
        <w:spacing w:line="330" w:lineRule="exact"/>
        <w:ind w:firstLine="240" w:firstLineChars="100"/>
        <w:rPr>
          <w:rFonts w:ascii="宋体" w:hAnsi="宋体"/>
          <w:color w:val="auto"/>
          <w:sz w:val="24"/>
          <w:highlight w:val="none"/>
        </w:rPr>
      </w:pPr>
      <w:r>
        <w:rPr>
          <w:rFonts w:hint="eastAsia" w:asciiTheme="minorEastAsia" w:hAnsiTheme="minorEastAsia" w:eastAsiaTheme="minorEastAsia"/>
          <w:color w:val="auto"/>
          <w:sz w:val="24"/>
          <w:highlight w:val="none"/>
        </w:rPr>
        <w:t>（2）</w:t>
      </w:r>
      <w:r>
        <w:rPr>
          <w:rFonts w:hint="eastAsia" w:ascii="宋体" w:hAnsi="宋体"/>
          <w:color w:val="auto"/>
          <w:sz w:val="24"/>
          <w:highlight w:val="none"/>
        </w:rPr>
        <w:t>法定代表人身份证明书、相应的法定代表人身份证正反两面复印件</w:t>
      </w:r>
      <w:r>
        <w:rPr>
          <w:rFonts w:hint="eastAsia" w:ascii="宋体" w:hAnsi="宋体"/>
          <w:b/>
          <w:color w:val="auto"/>
          <w:sz w:val="24"/>
          <w:highlight w:val="none"/>
        </w:rPr>
        <w:t>（必须提供；</w:t>
      </w:r>
      <w:r>
        <w:rPr>
          <w:rFonts w:hint="eastAsia" w:ascii="宋体" w:hAnsi="宋体"/>
          <w:color w:val="auto"/>
          <w:sz w:val="24"/>
          <w:highlight w:val="none"/>
        </w:rPr>
        <w:t>投标人若为自然人的提供自然人身份证正反两面复印件，投标人若为其他组织形式无法定代表人的提供负责人身份证正反两面复印件）；</w:t>
      </w:r>
    </w:p>
    <w:p>
      <w:pPr>
        <w:spacing w:line="360" w:lineRule="exact"/>
        <w:ind w:firstLine="240" w:firstLineChars="100"/>
        <w:rPr>
          <w:rFonts w:asciiTheme="minorEastAsia" w:hAnsiTheme="minorEastAsia" w:eastAsiaTheme="minorEastAsia"/>
          <w:color w:val="auto"/>
          <w:sz w:val="24"/>
          <w:highlight w:val="none"/>
        </w:rPr>
      </w:pPr>
      <w:r>
        <w:rPr>
          <w:rFonts w:hint="eastAsia" w:ascii="宋体" w:hAnsi="宋体"/>
          <w:color w:val="auto"/>
          <w:sz w:val="24"/>
          <w:highlight w:val="none"/>
        </w:rPr>
        <w:t>（3）授权委托书原件、委托代理人身份证正反面复印件</w:t>
      </w:r>
      <w:r>
        <w:rPr>
          <w:rFonts w:hint="eastAsia" w:ascii="宋体" w:hAnsi="宋体"/>
          <w:b/>
          <w:color w:val="auto"/>
          <w:sz w:val="24"/>
          <w:highlight w:val="none"/>
        </w:rPr>
        <w:t>（委托代理时必须提供）；</w:t>
      </w:r>
    </w:p>
    <w:p>
      <w:pPr>
        <w:spacing w:line="360" w:lineRule="exact"/>
        <w:ind w:left="141" w:leftChars="67" w:firstLine="120" w:firstLineChars="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（4）商务条款偏离表(格式见附件) ；</w:t>
      </w:r>
    </w:p>
    <w:p>
      <w:pPr>
        <w:spacing w:line="360" w:lineRule="exact"/>
        <w:ind w:firstLine="240" w:firstLineChars="1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（5）招标文件要求投标人必须提供的其他资料（如有要求，必须提供）；</w:t>
      </w:r>
    </w:p>
    <w:p>
      <w:pPr>
        <w:spacing w:line="360" w:lineRule="exact"/>
        <w:ind w:left="141" w:leftChars="67"/>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可作为投标人资信评分的资质证明材料(可选):</w:t>
      </w:r>
    </w:p>
    <w:p>
      <w:pPr>
        <w:spacing w:line="360" w:lineRule="exact"/>
        <w:ind w:firstLine="240" w:firstLineChars="1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（6）类似案例成功的业绩(投标入同类项目实施情况一览表、合同或中标通知书复印件等);</w:t>
      </w:r>
    </w:p>
    <w:p>
      <w:pPr>
        <w:spacing w:line="360" w:lineRule="exact"/>
        <w:ind w:firstLine="240" w:firstLineChars="1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（7）质量管理和质量保证体系等方面的认证证书</w:t>
      </w:r>
    </w:p>
    <w:p>
      <w:pPr>
        <w:spacing w:line="360" w:lineRule="exact"/>
        <w:ind w:firstLine="240" w:firstLineChars="1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（8）投标人认为可以提供的其他材料;</w:t>
      </w:r>
    </w:p>
    <w:p>
      <w:pPr>
        <w:spacing w:line="360" w:lineRule="exact"/>
        <w:ind w:left="141" w:leftChars="67"/>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3.技术文件</w:t>
      </w:r>
    </w:p>
    <w:p>
      <w:pPr>
        <w:spacing w:line="360" w:lineRule="exact"/>
        <w:ind w:left="141" w:leftChars="67"/>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w:t>
      </w:r>
      <w:r>
        <w:rPr>
          <w:rFonts w:hint="eastAsia" w:asciiTheme="minorEastAsia" w:hAnsiTheme="minorEastAsia" w:eastAsiaTheme="minorEastAsia"/>
          <w:color w:val="auto"/>
          <w:sz w:val="24"/>
          <w:highlight w:val="none"/>
        </w:rPr>
        <w:t>（1）技术资料表；（必须提供）</w:t>
      </w:r>
    </w:p>
    <w:p>
      <w:pPr>
        <w:spacing w:line="360" w:lineRule="exact"/>
        <w:ind w:left="141" w:leftChars="67"/>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w:t>
      </w:r>
      <w:r>
        <w:rPr>
          <w:rFonts w:hint="eastAsia" w:asciiTheme="minorEastAsia" w:hAnsiTheme="minorEastAsia" w:eastAsiaTheme="minorEastAsia"/>
          <w:color w:val="auto"/>
          <w:sz w:val="24"/>
          <w:highlight w:val="none"/>
        </w:rPr>
        <w:t>（2）服务承诺书（应据项目实际要求描述,格式自拟，必须提供）</w:t>
      </w:r>
    </w:p>
    <w:p>
      <w:pPr>
        <w:spacing w:line="360" w:lineRule="exact"/>
        <w:ind w:left="141" w:leftChars="67"/>
        <w:rPr>
          <w:rFonts w:ascii="宋体" w:hAnsi="宋体" w:cs="宋体"/>
          <w:color w:val="auto"/>
          <w:sz w:val="24"/>
          <w:highlight w:val="none"/>
        </w:rPr>
      </w:pPr>
      <w:r>
        <w:rPr>
          <w:rFonts w:hint="eastAsia" w:asciiTheme="minorEastAsia" w:hAnsiTheme="minorEastAsia" w:eastAsiaTheme="minorEastAsia"/>
          <w:color w:val="auto"/>
          <w:sz w:val="24"/>
          <w:highlight w:val="none"/>
        </w:rPr>
        <w:t>（3）</w:t>
      </w:r>
      <w:r>
        <w:rPr>
          <w:rFonts w:hint="eastAsia" w:ascii="宋体" w:hAnsi="宋体" w:cs="宋体"/>
          <w:color w:val="auto"/>
          <w:sz w:val="24"/>
          <w:highlight w:val="none"/>
        </w:rPr>
        <w:t>项目技术方案</w:t>
      </w:r>
      <w:r>
        <w:rPr>
          <w:rFonts w:ascii="宋体" w:hAnsi="宋体" w:cs="宋体"/>
          <w:color w:val="auto"/>
          <w:sz w:val="24"/>
          <w:highlight w:val="none"/>
        </w:rPr>
        <w:t>(如有，请提供)</w:t>
      </w:r>
    </w:p>
    <w:p>
      <w:pPr>
        <w:spacing w:line="360" w:lineRule="exact"/>
        <w:ind w:left="141" w:leftChars="67"/>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（4）项目实施人员一览表； </w:t>
      </w:r>
    </w:p>
    <w:p>
      <w:pPr>
        <w:spacing w:line="360" w:lineRule="exact"/>
        <w:ind w:left="141" w:leftChars="67"/>
        <w:rPr>
          <w:rFonts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rPr>
        <w:t>（5）投标人需要说明的其他文件和说明（格式略，如有请提供）；</w:t>
      </w:r>
    </w:p>
    <w:p>
      <w:pPr>
        <w:spacing w:line="360" w:lineRule="exact"/>
        <w:ind w:left="141" w:leftChars="67"/>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★4.报价文件</w:t>
      </w:r>
    </w:p>
    <w:p>
      <w:pPr>
        <w:spacing w:line="360" w:lineRule="exact"/>
        <w:ind w:left="141" w:leftChars="67"/>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(1)投标函(格式见附件);</w:t>
      </w:r>
    </w:p>
    <w:p>
      <w:pPr>
        <w:spacing w:line="360" w:lineRule="exact"/>
        <w:ind w:left="141" w:leftChars="67"/>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(2)投标报价明细表(格式见附件);</w:t>
      </w:r>
    </w:p>
    <w:p>
      <w:pPr>
        <w:spacing w:line="360" w:lineRule="exact"/>
        <w:ind w:left="141" w:leftChars="67"/>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(3)投标人针对报价需要说明的其他文件和说明(格式自拟，如有请提供);</w:t>
      </w:r>
    </w:p>
    <w:p>
      <w:pPr>
        <w:spacing w:line="360" w:lineRule="exact"/>
        <w:ind w:left="141" w:leftChars="67"/>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(4)开标一览表(单独分册,格式见附件)。</w:t>
      </w:r>
    </w:p>
    <w:p>
      <w:pPr>
        <w:spacing w:line="360" w:lineRule="exact"/>
        <w:ind w:left="141" w:leftChars="67"/>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★注:法定代表人授权委托书必须由法定代表人签名并加盖单位公章；投标声明书、投标函、开标一览表必须由法定代表人或授权代表签名并加盖单位公章。</w:t>
      </w:r>
    </w:p>
    <w:p>
      <w:pPr>
        <w:spacing w:line="360" w:lineRule="exact"/>
        <w:ind w:left="141" w:leftChars="67"/>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5.投标文件电子版（光盘）</w:t>
      </w:r>
      <w:r>
        <w:rPr>
          <w:rFonts w:hint="eastAsia" w:ascii="宋体" w:hAnsi="宋体" w:cs="宋体"/>
          <w:color w:val="auto"/>
          <w:sz w:val="24"/>
          <w:highlight w:val="none"/>
        </w:rPr>
        <w:t>。</w:t>
      </w:r>
    </w:p>
    <w:p>
      <w:pPr>
        <w:snapToGrid w:val="0"/>
        <w:spacing w:line="360" w:lineRule="exact"/>
        <w:jc w:val="left"/>
        <w:rPr>
          <w:rFonts w:asciiTheme="minorEastAsia" w:hAnsiTheme="minorEastAsia" w:eastAsiaTheme="minorEastAsia"/>
          <w:b/>
          <w:color w:val="auto"/>
          <w:sz w:val="24"/>
          <w:highlight w:val="none"/>
        </w:rPr>
      </w:pPr>
      <w:bookmarkStart w:id="64" w:name="_Toc254970537"/>
      <w:bookmarkStart w:id="65" w:name="_Toc254970678"/>
      <w:r>
        <w:rPr>
          <w:rFonts w:hint="eastAsia" w:asciiTheme="minorEastAsia" w:hAnsiTheme="minorEastAsia" w:eastAsiaTheme="minorEastAsia"/>
          <w:b/>
          <w:color w:val="auto"/>
          <w:sz w:val="24"/>
          <w:highlight w:val="none"/>
        </w:rPr>
        <w:t>（二）投标文件的语言及计量</w:t>
      </w:r>
      <w:bookmarkEnd w:id="64"/>
      <w:bookmarkEnd w:id="65"/>
    </w:p>
    <w:p>
      <w:pPr>
        <w:snapToGrid w:val="0"/>
        <w:spacing w:line="360" w:lineRule="exact"/>
        <w:ind w:firstLine="480" w:firstLineChars="20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1.投标文件以及投标方与招标方就有关投标事宜的所有来往函电，均应以中文汉语书写。除签名、盖章、专用名称等特殊情形外，以中文汉语以外的文字表述的投标文件视同未提供。</w:t>
      </w:r>
    </w:p>
    <w:p>
      <w:pPr>
        <w:snapToGrid w:val="0"/>
        <w:spacing w:line="360" w:lineRule="exact"/>
        <w:ind w:firstLine="480" w:firstLineChars="20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2.投标计量单位，招标文件已有明确规定的，使用招标文件规定的计量单位；招标文件没有规定的，应采用中华人民共和国法定计量单位（货币单位：人民币元），否则视同未响应。</w:t>
      </w:r>
    </w:p>
    <w:p>
      <w:pPr>
        <w:snapToGrid w:val="0"/>
        <w:spacing w:line="360" w:lineRule="exact"/>
        <w:jc w:val="left"/>
        <w:rPr>
          <w:rFonts w:asciiTheme="minorEastAsia" w:hAnsiTheme="minorEastAsia" w:eastAsiaTheme="minorEastAsia"/>
          <w:b/>
          <w:color w:val="auto"/>
          <w:sz w:val="24"/>
          <w:highlight w:val="none"/>
        </w:rPr>
      </w:pPr>
      <w:bookmarkStart w:id="66" w:name="_Toc254970538"/>
      <w:bookmarkStart w:id="67" w:name="_Toc254970679"/>
      <w:r>
        <w:rPr>
          <w:rFonts w:hint="eastAsia" w:asciiTheme="minorEastAsia" w:hAnsiTheme="minorEastAsia" w:eastAsiaTheme="minorEastAsia"/>
          <w:b/>
          <w:color w:val="auto"/>
          <w:sz w:val="24"/>
          <w:highlight w:val="none"/>
        </w:rPr>
        <w:t>（三）投标报价</w:t>
      </w:r>
      <w:bookmarkEnd w:id="66"/>
      <w:bookmarkEnd w:id="67"/>
    </w:p>
    <w:p>
      <w:pPr>
        <w:pStyle w:val="22"/>
        <w:snapToGrid w:val="0"/>
        <w:spacing w:line="360" w:lineRule="exact"/>
        <w:ind w:firstLine="480" w:firstLineChars="200"/>
        <w:jc w:val="lef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1.投标报价应按招标文件中相关附表格式填写。</w:t>
      </w:r>
    </w:p>
    <w:p>
      <w:pPr>
        <w:pStyle w:val="22"/>
        <w:snapToGrid w:val="0"/>
        <w:spacing w:line="360" w:lineRule="exact"/>
        <w:ind w:firstLine="480" w:firstLineChars="200"/>
        <w:jc w:val="lef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 投标报价是履行合同的最终价格，应包括服务、以及培训等一切税金和费用。</w:t>
      </w:r>
    </w:p>
    <w:p>
      <w:pPr>
        <w:pStyle w:val="22"/>
        <w:snapToGrid w:val="0"/>
        <w:spacing w:line="360" w:lineRule="exact"/>
        <w:ind w:firstLine="480" w:firstLineChars="200"/>
        <w:jc w:val="lef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3. 投标文件只允许有一个报价，有选择的或有条件的报价将不予接受。</w:t>
      </w:r>
    </w:p>
    <w:p>
      <w:pPr>
        <w:pStyle w:val="13"/>
        <w:widowControl w:val="0"/>
        <w:tabs>
          <w:tab w:val="clear" w:pos="840"/>
          <w:tab w:val="clear" w:pos="900"/>
        </w:tabs>
        <w:snapToGrid w:val="0"/>
        <w:spacing w:afterLines="0" w:line="360" w:lineRule="exact"/>
        <w:ind w:left="0" w:firstLine="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（四）投标文件的有效期</w:t>
      </w:r>
    </w:p>
    <w:p>
      <w:pPr>
        <w:pStyle w:val="13"/>
        <w:widowControl w:val="0"/>
        <w:tabs>
          <w:tab w:val="clear" w:pos="454"/>
        </w:tabs>
        <w:snapToGrid w:val="0"/>
        <w:spacing w:afterLines="0" w:line="360" w:lineRule="exact"/>
        <w:ind w:left="0" w:firstLine="480" w:firstLineChars="20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1.投标文件有效期按投标人须知前附表规定的时间。有效期不足的投标文件将被拒绝。</w:t>
      </w:r>
    </w:p>
    <w:p>
      <w:pPr>
        <w:pStyle w:val="13"/>
        <w:widowControl w:val="0"/>
        <w:tabs>
          <w:tab w:val="clear" w:pos="454"/>
        </w:tabs>
        <w:snapToGrid w:val="0"/>
        <w:spacing w:afterLines="0" w:line="360" w:lineRule="exact"/>
        <w:ind w:left="0" w:firstLine="480" w:firstLineChars="20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2.在特殊情况下，招标人可与投标人协商延长投标书的有效期，这种要求和答复均以书面形式进行。</w:t>
      </w:r>
    </w:p>
    <w:p>
      <w:pPr>
        <w:snapToGrid w:val="0"/>
        <w:spacing w:line="360" w:lineRule="exact"/>
        <w:ind w:firstLine="480" w:firstLineChars="200"/>
        <w:jc w:val="left"/>
        <w:rPr>
          <w:rFonts w:asciiTheme="minorEastAsia" w:hAnsiTheme="minorEastAsia" w:eastAsiaTheme="minorEastAsia"/>
          <w:b/>
          <w:color w:val="auto"/>
          <w:sz w:val="24"/>
          <w:highlight w:val="none"/>
        </w:rPr>
      </w:pPr>
      <w:bookmarkStart w:id="68" w:name="_Toc254970539"/>
      <w:bookmarkStart w:id="69" w:name="_Toc254970680"/>
      <w:r>
        <w:rPr>
          <w:rFonts w:hint="eastAsia" w:asciiTheme="minorEastAsia" w:hAnsiTheme="minorEastAsia" w:eastAsiaTheme="minorEastAsia"/>
          <w:color w:val="auto"/>
          <w:sz w:val="24"/>
          <w:highlight w:val="none"/>
        </w:rPr>
        <w:t>3.投标人可拒绝接受延期要求，但不能修改投标文件。</w:t>
      </w:r>
      <w:bookmarkEnd w:id="68"/>
      <w:bookmarkEnd w:id="69"/>
      <w:r>
        <w:rPr>
          <w:rFonts w:hint="eastAsia" w:asciiTheme="minorEastAsia" w:hAnsiTheme="minorEastAsia" w:eastAsiaTheme="minorEastAsia"/>
          <w:b/>
          <w:color w:val="auto"/>
          <w:sz w:val="24"/>
          <w:highlight w:val="none"/>
        </w:rPr>
        <w:t xml:space="preserve"> </w:t>
      </w:r>
    </w:p>
    <w:p>
      <w:pPr>
        <w:snapToGrid w:val="0"/>
        <w:spacing w:line="360" w:lineRule="exact"/>
        <w:ind w:firstLine="480" w:firstLineChars="200"/>
        <w:jc w:val="left"/>
        <w:rPr>
          <w:rFonts w:asciiTheme="minorEastAsia" w:hAnsiTheme="minorEastAsia" w:eastAsiaTheme="minorEastAsia"/>
          <w:b/>
          <w:color w:val="auto"/>
          <w:sz w:val="24"/>
          <w:highlight w:val="none"/>
        </w:rPr>
      </w:pPr>
      <w:bookmarkStart w:id="70" w:name="_Toc254970681"/>
      <w:bookmarkStart w:id="71" w:name="_Toc254970540"/>
      <w:r>
        <w:rPr>
          <w:rFonts w:hint="eastAsia" w:asciiTheme="minorEastAsia" w:hAnsiTheme="minorEastAsia" w:eastAsiaTheme="minorEastAsia"/>
          <w:color w:val="auto"/>
          <w:sz w:val="24"/>
          <w:highlight w:val="none"/>
        </w:rPr>
        <w:t>4.中标人的投标文件自开标之日起至合同履行完毕止均应保持有效。</w:t>
      </w:r>
      <w:bookmarkEnd w:id="70"/>
      <w:bookmarkEnd w:id="71"/>
    </w:p>
    <w:p>
      <w:pPr>
        <w:snapToGrid w:val="0"/>
        <w:spacing w:line="360" w:lineRule="exact"/>
        <w:jc w:val="left"/>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（五）投标文件的编制</w:t>
      </w:r>
    </w:p>
    <w:p>
      <w:pPr>
        <w:snapToGrid w:val="0"/>
        <w:spacing w:line="360" w:lineRule="exact"/>
        <w:ind w:firstLine="480" w:firstLineChars="200"/>
        <w:jc w:val="left"/>
        <w:rPr>
          <w:rFonts w:asciiTheme="minorEastAsia" w:hAnsiTheme="minorEastAsia" w:eastAsiaTheme="minorEastAsia"/>
          <w:color w:val="auto"/>
          <w:sz w:val="24"/>
          <w:highlight w:val="none"/>
        </w:rPr>
      </w:pPr>
      <w:bookmarkStart w:id="72" w:name="_Toc254970543"/>
      <w:bookmarkStart w:id="73" w:name="_Toc254970684"/>
      <w:r>
        <w:rPr>
          <w:rFonts w:hint="eastAsia" w:asciiTheme="minorEastAsia" w:hAnsiTheme="minorEastAsia" w:eastAsiaTheme="minorEastAsia"/>
          <w:color w:val="auto"/>
          <w:sz w:val="24"/>
          <w:highlight w:val="none"/>
        </w:rPr>
        <w:t>1. 投标人应按本招标文件规定的格式和顺序编制、装订投标文件并标注页码，具体装订要求见“投标人须知前附表”规定。投标文件内容不完整、编排混乱导致投标文件被误读、漏读或者查找不到相关内容的，是投标人的责任。</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w:t>
      </w:r>
      <w:r>
        <w:rPr>
          <w:rFonts w:asciiTheme="minorEastAsia" w:hAnsiTheme="minorEastAsia" w:eastAsiaTheme="minorEastAsia"/>
          <w:color w:val="auto"/>
          <w:sz w:val="24"/>
          <w:szCs w:val="24"/>
          <w:highlight w:val="none"/>
        </w:rPr>
        <w:t xml:space="preserve"> 投标文件正本一份，副本份数见“投标人须知前附表”。正本和副本的封面上应清楚地标记“正本”或“副本”的字样</w:t>
      </w:r>
      <w:r>
        <w:rPr>
          <w:rFonts w:hint="eastAsia" w:asciiTheme="minorEastAsia" w:hAnsiTheme="minorEastAsia" w:eastAsiaTheme="minorEastAsia"/>
          <w:color w:val="auto"/>
          <w:sz w:val="24"/>
          <w:szCs w:val="24"/>
          <w:highlight w:val="none"/>
        </w:rPr>
        <w:t>。书面投标文件副本与书面投标文件正本不符，以投标文件正本为准。</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3.投标文件的正本需打印或用不褪色的墨水填写，投标文件正本除本投标人须知中规定的可提供复印件外均须提供原件。副本可为正本的复印件。</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4.</w:t>
      </w:r>
      <w:r>
        <w:rPr>
          <w:rFonts w:asciiTheme="minorEastAsia" w:hAnsiTheme="minorEastAsia" w:eastAsiaTheme="minorEastAsia"/>
          <w:color w:val="auto"/>
          <w:sz w:val="24"/>
          <w:szCs w:val="24"/>
          <w:highlight w:val="none"/>
        </w:rPr>
        <w:t xml:space="preserve"> 投标文件正本与副本均</w:t>
      </w:r>
      <w:r>
        <w:rPr>
          <w:rFonts w:hint="eastAsia" w:asciiTheme="minorEastAsia" w:hAnsiTheme="minorEastAsia" w:eastAsiaTheme="minorEastAsia"/>
          <w:color w:val="auto"/>
          <w:sz w:val="24"/>
          <w:szCs w:val="24"/>
          <w:highlight w:val="none"/>
        </w:rPr>
        <w:t>应</w:t>
      </w:r>
      <w:r>
        <w:rPr>
          <w:rFonts w:asciiTheme="minorEastAsia" w:hAnsiTheme="minorEastAsia" w:eastAsiaTheme="minorEastAsia"/>
          <w:color w:val="auto"/>
          <w:sz w:val="24"/>
          <w:szCs w:val="24"/>
          <w:highlight w:val="none"/>
        </w:rPr>
        <w:t>由投标人在招标文件规定的相关位置加盖投标人法人单位公章，且经法定代表</w:t>
      </w:r>
      <w:r>
        <w:rPr>
          <w:rFonts w:hint="eastAsia" w:asciiTheme="minorEastAsia" w:hAnsiTheme="minorEastAsia" w:eastAsiaTheme="minorEastAsia"/>
          <w:color w:val="auto"/>
          <w:sz w:val="24"/>
          <w:szCs w:val="24"/>
          <w:highlight w:val="none"/>
        </w:rPr>
        <w:t>人签字（</w:t>
      </w:r>
      <w:r>
        <w:rPr>
          <w:rFonts w:asciiTheme="minorEastAsia" w:hAnsiTheme="minorEastAsia" w:eastAsiaTheme="minorEastAsia"/>
          <w:color w:val="auto"/>
          <w:sz w:val="24"/>
          <w:szCs w:val="24"/>
          <w:highlight w:val="none"/>
        </w:rPr>
        <w:t>或</w:t>
      </w:r>
      <w:r>
        <w:rPr>
          <w:rFonts w:hint="eastAsia" w:asciiTheme="minorEastAsia" w:hAnsiTheme="minorEastAsia" w:eastAsiaTheme="minorEastAsia"/>
          <w:color w:val="auto"/>
          <w:sz w:val="24"/>
          <w:szCs w:val="24"/>
          <w:highlight w:val="none"/>
        </w:rPr>
        <w:t>盖章</w:t>
      </w:r>
      <w:r>
        <w:rPr>
          <w:rFonts w:asciiTheme="minorEastAsia" w:hAnsiTheme="minorEastAsia" w:eastAsiaTheme="minorEastAsia"/>
          <w:color w:val="auto"/>
          <w:sz w:val="24"/>
          <w:szCs w:val="24"/>
          <w:highlight w:val="none"/>
        </w:rPr>
        <w:t>）或其委托代理人本人签</w:t>
      </w:r>
      <w:r>
        <w:rPr>
          <w:rFonts w:hint="eastAsia" w:asciiTheme="minorEastAsia" w:hAnsiTheme="minorEastAsia" w:eastAsiaTheme="minorEastAsia"/>
          <w:color w:val="auto"/>
          <w:sz w:val="24"/>
          <w:szCs w:val="24"/>
          <w:highlight w:val="none"/>
        </w:rPr>
        <w:t>字，否则作否决投标处理。</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5.投标文件不得涂改，若有修改错漏处，须加盖单位公章或者法定代表人或授权委托人签字或盖章。投标文件因字迹潦草或表达不清或提供的资料模糊不清所引起的后果由投标人负责。</w:t>
      </w:r>
    </w:p>
    <w:p>
      <w:pPr>
        <w:pStyle w:val="22"/>
        <w:snapToGrid w:val="0"/>
        <w:spacing w:line="360" w:lineRule="exact"/>
        <w:ind w:firstLine="630" w:firstLineChars="196"/>
        <w:jc w:val="center"/>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四、投标</w:t>
      </w:r>
    </w:p>
    <w:p>
      <w:pPr>
        <w:snapToGrid w:val="0"/>
        <w:spacing w:line="360" w:lineRule="exact"/>
        <w:ind w:firstLine="354" w:firstLineChars="147"/>
        <w:jc w:val="left"/>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（一）投标文件的密封</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w:t>
      </w:r>
      <w:r>
        <w:rPr>
          <w:rFonts w:asciiTheme="minorEastAsia" w:hAnsiTheme="minorEastAsia" w:eastAsiaTheme="minorEastAsia"/>
          <w:color w:val="auto"/>
          <w:sz w:val="24"/>
          <w:szCs w:val="24"/>
          <w:highlight w:val="none"/>
        </w:rPr>
        <w:t>投标文件应按“投标人须知前附表”的要求进行包装</w:t>
      </w:r>
      <w:r>
        <w:rPr>
          <w:rFonts w:hint="eastAsia" w:asciiTheme="minorEastAsia" w:hAnsiTheme="minorEastAsia" w:eastAsiaTheme="minorEastAsia"/>
          <w:color w:val="auto"/>
          <w:sz w:val="24"/>
          <w:szCs w:val="24"/>
          <w:highlight w:val="none"/>
        </w:rPr>
        <w:t>。</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w:t>
      </w:r>
      <w:r>
        <w:rPr>
          <w:rFonts w:asciiTheme="minorEastAsia" w:hAnsiTheme="minorEastAsia" w:eastAsiaTheme="minorEastAsia"/>
          <w:color w:val="auto"/>
          <w:sz w:val="24"/>
          <w:szCs w:val="24"/>
          <w:highlight w:val="none"/>
        </w:rPr>
        <w:t>投标文件封套上应写明的其他内容见“投标人须知前附表”。</w:t>
      </w:r>
    </w:p>
    <w:p>
      <w:pPr>
        <w:snapToGrid w:val="0"/>
        <w:spacing w:line="360" w:lineRule="exact"/>
        <w:ind w:firstLine="354" w:firstLineChars="147"/>
        <w:jc w:val="left"/>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（二）投标文件的递交</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 xml:space="preserve"> 投标人应在“投标人须知前附表”规定的投标</w:t>
      </w:r>
      <w:r>
        <w:rPr>
          <w:rFonts w:hint="eastAsia" w:asciiTheme="minorEastAsia" w:hAnsiTheme="minorEastAsia" w:eastAsiaTheme="minorEastAsia"/>
          <w:color w:val="auto"/>
          <w:sz w:val="24"/>
          <w:szCs w:val="24"/>
          <w:highlight w:val="none"/>
        </w:rPr>
        <w:t>文件递交</w:t>
      </w:r>
      <w:r>
        <w:rPr>
          <w:rFonts w:asciiTheme="minorEastAsia" w:hAnsiTheme="minorEastAsia" w:eastAsiaTheme="minorEastAsia"/>
          <w:color w:val="auto"/>
          <w:sz w:val="24"/>
          <w:szCs w:val="24"/>
          <w:highlight w:val="none"/>
        </w:rPr>
        <w:t>截止时间前递交投标文件。</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2</w:t>
      </w: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 xml:space="preserve"> 投标人递交投标文件的地点：见</w:t>
      </w: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投标人须知前附表</w:t>
      </w: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3</w:t>
      </w: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除</w:t>
      </w: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投标人须知前附表</w:t>
      </w: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另有规定外，投标人所递交的投标文件不予退还。</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4</w:t>
      </w: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招标人收到投标文件后，向投标人出具签收凭证。</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5</w:t>
      </w: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逾期送达的或者未送达指定地点的投标文件，招标人不予受理。</w:t>
      </w:r>
    </w:p>
    <w:p>
      <w:pPr>
        <w:snapToGrid w:val="0"/>
        <w:spacing w:line="360" w:lineRule="exact"/>
        <w:ind w:firstLine="354" w:firstLineChars="147"/>
        <w:jc w:val="left"/>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（三）投标文件的修改与撤回</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在“投标人须知前附表”规定的投标</w:t>
      </w:r>
      <w:r>
        <w:rPr>
          <w:rFonts w:hint="eastAsia" w:asciiTheme="minorEastAsia" w:hAnsiTheme="minorEastAsia" w:eastAsiaTheme="minorEastAsia"/>
          <w:color w:val="auto"/>
          <w:sz w:val="24"/>
          <w:szCs w:val="24"/>
          <w:highlight w:val="none"/>
        </w:rPr>
        <w:t>文件递交</w:t>
      </w:r>
      <w:r>
        <w:rPr>
          <w:rFonts w:asciiTheme="minorEastAsia" w:hAnsiTheme="minorEastAsia" w:eastAsiaTheme="minorEastAsia"/>
          <w:color w:val="auto"/>
          <w:sz w:val="24"/>
          <w:szCs w:val="24"/>
          <w:highlight w:val="none"/>
        </w:rPr>
        <w:t>截止时间前，投标人可以</w:t>
      </w:r>
      <w:r>
        <w:rPr>
          <w:rFonts w:hint="eastAsia" w:asciiTheme="minorEastAsia" w:hAnsiTheme="minorEastAsia" w:eastAsiaTheme="minorEastAsia"/>
          <w:color w:val="auto"/>
          <w:sz w:val="24"/>
          <w:szCs w:val="24"/>
          <w:highlight w:val="none"/>
        </w:rPr>
        <w:t>补充、</w:t>
      </w:r>
      <w:r>
        <w:rPr>
          <w:rFonts w:asciiTheme="minorEastAsia" w:hAnsiTheme="minorEastAsia" w:eastAsiaTheme="minorEastAsia"/>
          <w:color w:val="auto"/>
          <w:sz w:val="24"/>
          <w:szCs w:val="24"/>
          <w:highlight w:val="none"/>
        </w:rPr>
        <w:t>修改或撤回已递交的投标文件，但应以书面形式通知招标人</w:t>
      </w:r>
      <w:r>
        <w:rPr>
          <w:rFonts w:hint="eastAsia" w:asciiTheme="minorEastAsia" w:hAnsiTheme="minorEastAsia" w:eastAsiaTheme="minorEastAsia"/>
          <w:color w:val="auto"/>
          <w:sz w:val="24"/>
          <w:szCs w:val="24"/>
          <w:highlight w:val="none"/>
        </w:rPr>
        <w:t>或者招标代理机构</w:t>
      </w:r>
      <w:r>
        <w:rPr>
          <w:rFonts w:asciiTheme="minorEastAsia" w:hAnsiTheme="minorEastAsia" w:eastAsiaTheme="minorEastAsia"/>
          <w:color w:val="auto"/>
          <w:sz w:val="24"/>
          <w:szCs w:val="24"/>
          <w:highlight w:val="none"/>
        </w:rPr>
        <w:t>。</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2</w:t>
      </w: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投标人</w:t>
      </w:r>
      <w:r>
        <w:rPr>
          <w:rFonts w:hint="eastAsia" w:asciiTheme="minorEastAsia" w:hAnsiTheme="minorEastAsia" w:eastAsiaTheme="minorEastAsia"/>
          <w:color w:val="auto"/>
          <w:sz w:val="24"/>
          <w:szCs w:val="24"/>
          <w:highlight w:val="none"/>
        </w:rPr>
        <w:t>补充、</w:t>
      </w:r>
      <w:r>
        <w:rPr>
          <w:rFonts w:asciiTheme="minorEastAsia" w:hAnsiTheme="minorEastAsia" w:eastAsiaTheme="minorEastAsia"/>
          <w:color w:val="auto"/>
          <w:sz w:val="24"/>
          <w:szCs w:val="24"/>
          <w:highlight w:val="none"/>
        </w:rPr>
        <w:t>修改或撤回已递交投标文件的书面通知，应按照本章第</w:t>
      </w:r>
      <w:r>
        <w:rPr>
          <w:rFonts w:hint="eastAsia" w:asciiTheme="minorEastAsia" w:hAnsiTheme="minorEastAsia" w:eastAsiaTheme="minorEastAsia"/>
          <w:color w:val="auto"/>
          <w:sz w:val="24"/>
          <w:szCs w:val="24"/>
          <w:highlight w:val="none"/>
        </w:rPr>
        <w:t>三、投标文件第（六）、投标文件第4款</w:t>
      </w:r>
      <w:r>
        <w:rPr>
          <w:rFonts w:asciiTheme="minorEastAsia" w:hAnsiTheme="minorEastAsia" w:eastAsiaTheme="minorEastAsia"/>
          <w:color w:val="auto"/>
          <w:sz w:val="24"/>
          <w:szCs w:val="24"/>
          <w:highlight w:val="none"/>
        </w:rPr>
        <w:t>的要求签字和盖章。招标人</w:t>
      </w:r>
      <w:r>
        <w:rPr>
          <w:rFonts w:hint="eastAsia" w:asciiTheme="minorEastAsia" w:hAnsiTheme="minorEastAsia" w:eastAsiaTheme="minorEastAsia"/>
          <w:color w:val="auto"/>
          <w:sz w:val="24"/>
          <w:szCs w:val="24"/>
          <w:highlight w:val="none"/>
        </w:rPr>
        <w:t>或招标代理机构</w:t>
      </w:r>
      <w:r>
        <w:rPr>
          <w:rFonts w:asciiTheme="minorEastAsia" w:hAnsiTheme="minorEastAsia" w:eastAsiaTheme="minorEastAsia"/>
          <w:color w:val="auto"/>
          <w:sz w:val="24"/>
          <w:szCs w:val="24"/>
          <w:highlight w:val="none"/>
        </w:rPr>
        <w:t>收到书面通知后，向投标人出具签收凭证。</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3</w:t>
      </w: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修改的内容为投标文件的组成部分。修改的投标文件应按照本章第</w:t>
      </w:r>
      <w:r>
        <w:rPr>
          <w:rFonts w:hint="eastAsia" w:asciiTheme="minorEastAsia" w:hAnsiTheme="minorEastAsia" w:eastAsiaTheme="minorEastAsia"/>
          <w:color w:val="auto"/>
          <w:sz w:val="24"/>
          <w:szCs w:val="24"/>
          <w:highlight w:val="none"/>
        </w:rPr>
        <w:t>三、投标文件</w:t>
      </w:r>
      <w:r>
        <w:rPr>
          <w:rFonts w:asciiTheme="minorEastAsia" w:hAnsiTheme="minorEastAsia" w:eastAsiaTheme="minorEastAsia"/>
          <w:color w:val="auto"/>
          <w:sz w:val="24"/>
          <w:szCs w:val="24"/>
          <w:highlight w:val="none"/>
        </w:rPr>
        <w:t>和第</w:t>
      </w:r>
      <w:r>
        <w:rPr>
          <w:rFonts w:hint="eastAsia" w:asciiTheme="minorEastAsia" w:hAnsiTheme="minorEastAsia" w:eastAsiaTheme="minorEastAsia"/>
          <w:color w:val="auto"/>
          <w:sz w:val="24"/>
          <w:szCs w:val="24"/>
          <w:highlight w:val="none"/>
        </w:rPr>
        <w:t>四、投标第（一）投标文件密封</w:t>
      </w:r>
      <w:r>
        <w:rPr>
          <w:rFonts w:asciiTheme="minorEastAsia" w:hAnsiTheme="minorEastAsia" w:eastAsiaTheme="minorEastAsia"/>
          <w:color w:val="auto"/>
          <w:sz w:val="24"/>
          <w:szCs w:val="24"/>
          <w:highlight w:val="none"/>
        </w:rPr>
        <w:t>规定进行编制、密封、标记和递交，并标明“修改”字样。</w:t>
      </w:r>
    </w:p>
    <w:p>
      <w:pPr>
        <w:pStyle w:val="22"/>
        <w:spacing w:line="360" w:lineRule="exact"/>
        <w:ind w:firstLine="480" w:firstLineChars="200"/>
        <w:rPr>
          <w:rFonts w:asciiTheme="minorEastAsia" w:hAnsiTheme="minorEastAsia" w:eastAsiaTheme="minorEastAsia"/>
          <w:color w:val="auto"/>
          <w:sz w:val="24"/>
          <w:szCs w:val="24"/>
          <w:highlight w:val="none"/>
        </w:rPr>
      </w:pPr>
    </w:p>
    <w:bookmarkEnd w:id="72"/>
    <w:bookmarkEnd w:id="73"/>
    <w:p>
      <w:pPr>
        <w:pStyle w:val="18"/>
        <w:snapToGrid w:val="0"/>
        <w:spacing w:line="360" w:lineRule="exact"/>
        <w:ind w:firstLine="630" w:firstLineChars="196"/>
        <w:jc w:val="center"/>
        <w:rPr>
          <w:rFonts w:asciiTheme="minorEastAsia" w:hAnsiTheme="minorEastAsia" w:eastAsiaTheme="minorEastAsia"/>
          <w:b/>
          <w:snapToGrid w:val="0"/>
          <w:color w:val="auto"/>
          <w:szCs w:val="32"/>
          <w:highlight w:val="none"/>
        </w:rPr>
      </w:pPr>
      <w:bookmarkStart w:id="74" w:name="_Toc254970685"/>
      <w:bookmarkStart w:id="75" w:name="_Toc254970544"/>
      <w:r>
        <w:rPr>
          <w:rFonts w:hint="eastAsia" w:asciiTheme="minorEastAsia" w:hAnsiTheme="minorEastAsia" w:eastAsiaTheme="minorEastAsia"/>
          <w:b/>
          <w:color w:val="auto"/>
          <w:szCs w:val="32"/>
          <w:highlight w:val="none"/>
        </w:rPr>
        <w:t>五、开标</w:t>
      </w:r>
      <w:bookmarkEnd w:id="74"/>
      <w:bookmarkEnd w:id="75"/>
    </w:p>
    <w:p>
      <w:pPr>
        <w:pStyle w:val="22"/>
        <w:snapToGrid w:val="0"/>
        <w:spacing w:line="360" w:lineRule="exact"/>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（一）开标准备</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招标代理机构将在规定的时间和地点进行开标。采购代理机构在开标会现场登陆开标系统并输入投标供应商全称、社会统一信用代码、联系电话等信息，完成投标签到。</w:t>
      </w:r>
    </w:p>
    <w:p>
      <w:pPr>
        <w:pStyle w:val="22"/>
        <w:snapToGrid w:val="0"/>
        <w:spacing w:line="360" w:lineRule="exact"/>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（二） 开标程序：</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1.开标会由招标人人或其委托的招标代理机构主持，主持人宣布开标会议开始；</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 xml:space="preserve">2. 宣布在提交投标文件截止时间前收到的投标文件数量； </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3. 宣布开标纪律，</w:t>
      </w:r>
      <w:r>
        <w:rPr>
          <w:rFonts w:asciiTheme="minorEastAsia" w:hAnsiTheme="minorEastAsia" w:eastAsiaTheme="minorEastAsia"/>
          <w:color w:val="auto"/>
          <w:sz w:val="24"/>
          <w:szCs w:val="24"/>
          <w:highlight w:val="none"/>
        </w:rPr>
        <w:t>开标人、唱标人、记录人、</w:t>
      </w:r>
      <w:r>
        <w:rPr>
          <w:rFonts w:hint="eastAsia" w:asciiTheme="minorEastAsia" w:hAnsiTheme="minorEastAsia" w:eastAsiaTheme="minorEastAsia"/>
          <w:color w:val="auto"/>
          <w:sz w:val="24"/>
          <w:szCs w:val="24"/>
          <w:highlight w:val="none"/>
        </w:rPr>
        <w:t>监督</w:t>
      </w:r>
      <w:r>
        <w:rPr>
          <w:rFonts w:asciiTheme="minorEastAsia" w:hAnsiTheme="minorEastAsia" w:eastAsiaTheme="minorEastAsia"/>
          <w:color w:val="auto"/>
          <w:sz w:val="24"/>
          <w:szCs w:val="24"/>
          <w:highlight w:val="none"/>
        </w:rPr>
        <w:t>人等有关人员</w:t>
      </w:r>
      <w:r>
        <w:rPr>
          <w:rFonts w:hint="eastAsia" w:asciiTheme="minorEastAsia" w:hAnsiTheme="minorEastAsia" w:eastAsiaTheme="minorEastAsia"/>
          <w:color w:val="auto"/>
          <w:sz w:val="24"/>
          <w:szCs w:val="24"/>
          <w:highlight w:val="none"/>
        </w:rPr>
        <w:t>名单</w:t>
      </w:r>
      <w:r>
        <w:rPr>
          <w:rFonts w:asciiTheme="minorEastAsia" w:hAnsiTheme="minorEastAsia" w:eastAsiaTheme="minorEastAsia"/>
          <w:color w:val="auto"/>
          <w:sz w:val="24"/>
          <w:szCs w:val="24"/>
          <w:highlight w:val="none"/>
        </w:rPr>
        <w:t>；</w:t>
      </w:r>
      <w:r>
        <w:rPr>
          <w:rFonts w:hint="eastAsia" w:asciiTheme="minorEastAsia" w:hAnsiTheme="minorEastAsia" w:eastAsiaTheme="minorEastAsia"/>
          <w:color w:val="auto"/>
          <w:sz w:val="24"/>
          <w:szCs w:val="24"/>
          <w:highlight w:val="none"/>
        </w:rPr>
        <w:t>；</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4.招标人代表检查投标文件的密封情况并签字确认；</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5.由招标人或招标代理机构工作人员当众拆封投标文件，宣布投标人名称、投标价格和其他需要宣布的其他内容；</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6.招标人或招标代理机构做开标记录, 由参加开标的相关工作人员签字确认后随采购文件一并存档。</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7.开标会议结束。</w:t>
      </w:r>
    </w:p>
    <w:p>
      <w:pPr>
        <w:pStyle w:val="22"/>
        <w:snapToGrid w:val="0"/>
        <w:spacing w:line="360" w:lineRule="exact"/>
        <w:ind w:left="241" w:hanging="241" w:hangingChars="100"/>
        <w:rPr>
          <w:rFonts w:asciiTheme="minorEastAsia" w:hAnsiTheme="minorEastAsia" w:eastAsiaTheme="minorEastAsia"/>
          <w:b/>
          <w:color w:val="auto"/>
          <w:sz w:val="24"/>
          <w:szCs w:val="24"/>
          <w:highlight w:val="none"/>
        </w:rPr>
      </w:pPr>
      <w:bookmarkStart w:id="76" w:name="_Toc254970686"/>
      <w:bookmarkStart w:id="77" w:name="_Toc254970545"/>
    </w:p>
    <w:p>
      <w:pPr>
        <w:pStyle w:val="22"/>
        <w:snapToGrid w:val="0"/>
        <w:spacing w:line="360" w:lineRule="exact"/>
        <w:ind w:left="321" w:hanging="321" w:hangingChars="100"/>
        <w:jc w:val="center"/>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六、评标</w:t>
      </w:r>
    </w:p>
    <w:bookmarkEnd w:id="76"/>
    <w:bookmarkEnd w:id="77"/>
    <w:p>
      <w:pPr>
        <w:pStyle w:val="22"/>
        <w:snapToGrid w:val="0"/>
        <w:spacing w:line="360" w:lineRule="exact"/>
        <w:ind w:left="241" w:hanging="241" w:hangingChars="1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（一）组建评标委员会</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评标委员会由采购人代表和评审专家组成，成员人数应当为5人以上单数，其中评审专家不得少于成员总数的三分之二。</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采购项目符合下列情形之一的，评标委员会成员人数应当为7人以上单数：</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1．采购预算金额在1000万元以上；</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2．技术复杂；</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3．社会影响较大。</w:t>
      </w:r>
    </w:p>
    <w:p>
      <w:pPr>
        <w:pStyle w:val="22"/>
        <w:snapToGrid w:val="0"/>
        <w:spacing w:line="360" w:lineRule="exact"/>
        <w:ind w:left="241" w:hanging="241" w:hangingChars="1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（二）评标的方式</w:t>
      </w:r>
    </w:p>
    <w:p>
      <w:pPr>
        <w:pStyle w:val="22"/>
        <w:snapToGrid w:val="0"/>
        <w:spacing w:line="360" w:lineRule="exact"/>
        <w:ind w:left="210" w:leftChars="100" w:firstLine="240" w:firstLineChars="1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本项目采用不公开方式评标，评标的依据为招标文件和投标文件。</w:t>
      </w:r>
    </w:p>
    <w:p>
      <w:pPr>
        <w:snapToGrid w:val="0"/>
        <w:spacing w:line="360" w:lineRule="exact"/>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（三）资格审查</w:t>
      </w:r>
    </w:p>
    <w:p>
      <w:pPr>
        <w:pStyle w:val="22"/>
        <w:snapToGrid w:val="0"/>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采购人代表对投标人的资格进行审查。合格投标人不足3家的，不得评标。</w:t>
      </w:r>
    </w:p>
    <w:p>
      <w:pPr>
        <w:pStyle w:val="22"/>
        <w:snapToGrid w:val="0"/>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评标委员会仅对通过资格审查的投标人进行评审。</w:t>
      </w:r>
    </w:p>
    <w:p>
      <w:pPr>
        <w:pStyle w:val="22"/>
        <w:snapToGrid w:val="0"/>
        <w:spacing w:line="360" w:lineRule="exact"/>
        <w:ind w:left="241" w:hanging="241" w:hangingChars="1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（四）</w:t>
      </w:r>
      <w:r>
        <w:rPr>
          <w:rFonts w:hint="eastAsia" w:asciiTheme="minorEastAsia" w:hAnsiTheme="minorEastAsia" w:eastAsiaTheme="minorEastAsia"/>
          <w:b/>
          <w:bCs/>
          <w:color w:val="auto"/>
          <w:sz w:val="24"/>
          <w:szCs w:val="24"/>
          <w:highlight w:val="none"/>
        </w:rPr>
        <w:t>评标程序</w:t>
      </w:r>
    </w:p>
    <w:p>
      <w:pPr>
        <w:snapToGrid w:val="0"/>
        <w:spacing w:line="360" w:lineRule="exact"/>
        <w:ind w:firstLine="472" w:firstLineChars="196"/>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1.实质审查与比较</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（1）评标委员会对通过资格审查的投标文件进行符合性审查。</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（2）评标委员会审查投标文件的实质性内容是否符合招标文件的实质性要求。</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（3）评标委员会将根据投标人的投标文件进行审查、核对,如有疑问,将对投标人进行询标,投标人要向评标委员会澄清有关问题,并最终以书面形式进行答复。</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投标人代表未到场或者拒绝澄清或者澄清的内容改变了投标文件的实质性内容的，评标委员会有权视该投标文件无效。</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（4）各投标人的技术得分为所有评委的有效评分的算术平均数，由指定专人进行计算复核。</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（5）代理机构工作人员协助评标委员会根据本项目的评分标准计算各投标人的商务报价得分。</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（6）评标委员会完成评标后,评委对各部分得分汇总,计算出本项目最终得分。评标委员会按评标原则推荐中标候选人同时起草评标报告。</w:t>
      </w:r>
    </w:p>
    <w:p>
      <w:pPr>
        <w:snapToGrid w:val="0"/>
        <w:spacing w:line="360" w:lineRule="exact"/>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（五）澄清问题的形式</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投标文件中含义不明确、同类问题表述不一致或者有明显文字和计算错误的内容，评标委员会可要求投标人做出必要的澄清、说明或者纠正。投标人的澄清、说明或者补正应当采用书面形式，由其授权代表签字或盖章确认，并不得超出投标文件的范围或者改变投标文件的实质性内容。</w:t>
      </w:r>
    </w:p>
    <w:p>
      <w:pPr>
        <w:pStyle w:val="22"/>
        <w:snapToGrid w:val="0"/>
        <w:spacing w:line="360" w:lineRule="exact"/>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（六）错误修正</w:t>
      </w:r>
    </w:p>
    <w:p>
      <w:pPr>
        <w:pStyle w:val="22"/>
        <w:snapToGrid w:val="0"/>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投标文件如果出现计算或表达上的错误，修正错误的原则如下：</w:t>
      </w:r>
    </w:p>
    <w:p>
      <w:pPr>
        <w:pStyle w:val="34"/>
        <w:spacing w:before="0" w:beforeAutospacing="0" w:after="0" w:afterAutospacing="0" w:line="360" w:lineRule="exact"/>
        <w:ind w:firstLine="480" w:firstLineChars="200"/>
        <w:rPr>
          <w:rFonts w:cs="Courier New" w:asciiTheme="minorEastAsia" w:hAnsiTheme="minorEastAsia" w:eastAsiaTheme="minorEastAsia"/>
          <w:color w:val="auto"/>
          <w:kern w:val="2"/>
          <w:highlight w:val="none"/>
        </w:rPr>
      </w:pPr>
      <w:r>
        <w:rPr>
          <w:rFonts w:hint="eastAsia" w:cs="Courier New" w:asciiTheme="minorEastAsia" w:hAnsiTheme="minorEastAsia" w:eastAsiaTheme="minorEastAsia"/>
          <w:color w:val="auto"/>
          <w:kern w:val="2"/>
          <w:highlight w:val="none"/>
        </w:rPr>
        <w:t>1、投标文件中开标一览表（报价表）内容与投标文件中相应内容不一致的，以开标一览表（报价表）为准；</w:t>
      </w:r>
    </w:p>
    <w:p>
      <w:pPr>
        <w:pStyle w:val="34"/>
        <w:spacing w:before="0" w:beforeAutospacing="0" w:after="0" w:afterAutospacing="0" w:line="360" w:lineRule="exact"/>
        <w:rPr>
          <w:rFonts w:cs="Courier New" w:asciiTheme="minorEastAsia" w:hAnsiTheme="minorEastAsia" w:eastAsiaTheme="minorEastAsia"/>
          <w:color w:val="auto"/>
          <w:kern w:val="2"/>
          <w:highlight w:val="none"/>
        </w:rPr>
      </w:pPr>
      <w:r>
        <w:rPr>
          <w:rFonts w:hint="eastAsia" w:cs="Courier New" w:asciiTheme="minorEastAsia" w:hAnsiTheme="minorEastAsia" w:eastAsiaTheme="minorEastAsia"/>
          <w:color w:val="auto"/>
          <w:kern w:val="2"/>
          <w:highlight w:val="none"/>
        </w:rPr>
        <w:t>　　2、大写金额和小写金额不一致的，以大写金额为准；</w:t>
      </w:r>
    </w:p>
    <w:p>
      <w:pPr>
        <w:pStyle w:val="34"/>
        <w:spacing w:before="0" w:beforeAutospacing="0" w:after="0" w:afterAutospacing="0" w:line="360" w:lineRule="exact"/>
        <w:rPr>
          <w:rFonts w:cs="Courier New" w:asciiTheme="minorEastAsia" w:hAnsiTheme="minorEastAsia" w:eastAsiaTheme="minorEastAsia"/>
          <w:color w:val="auto"/>
          <w:kern w:val="2"/>
          <w:highlight w:val="none"/>
        </w:rPr>
      </w:pPr>
      <w:r>
        <w:rPr>
          <w:rFonts w:hint="eastAsia" w:cs="Courier New" w:asciiTheme="minorEastAsia" w:hAnsiTheme="minorEastAsia" w:eastAsiaTheme="minorEastAsia"/>
          <w:color w:val="auto"/>
          <w:kern w:val="2"/>
          <w:highlight w:val="none"/>
        </w:rPr>
        <w:t>　　3、单价金额小数点或者百分比有明显错位的，以开标一览表的总价为准，并修改单价；</w:t>
      </w:r>
    </w:p>
    <w:p>
      <w:pPr>
        <w:pStyle w:val="34"/>
        <w:spacing w:before="0" w:beforeAutospacing="0" w:after="0" w:afterAutospacing="0" w:line="360" w:lineRule="exact"/>
        <w:rPr>
          <w:rFonts w:cs="Courier New" w:asciiTheme="minorEastAsia" w:hAnsiTheme="minorEastAsia" w:eastAsiaTheme="minorEastAsia"/>
          <w:color w:val="auto"/>
          <w:kern w:val="2"/>
          <w:highlight w:val="none"/>
        </w:rPr>
      </w:pPr>
      <w:r>
        <w:rPr>
          <w:rFonts w:hint="eastAsia" w:cs="Courier New" w:asciiTheme="minorEastAsia" w:hAnsiTheme="minorEastAsia" w:eastAsiaTheme="minorEastAsia"/>
          <w:color w:val="auto"/>
          <w:kern w:val="2"/>
          <w:highlight w:val="none"/>
        </w:rPr>
        <w:t>　　4、总价金额与按单价汇总金额不一致的，以单价金额计算结果为准。</w:t>
      </w:r>
    </w:p>
    <w:p>
      <w:pPr>
        <w:pStyle w:val="22"/>
        <w:tabs>
          <w:tab w:val="left" w:pos="567"/>
        </w:tabs>
        <w:snapToGrid w:val="0"/>
        <w:spacing w:line="360" w:lineRule="exact"/>
        <w:ind w:firstLine="482" w:firstLineChars="200"/>
        <w:rPr>
          <w:rFonts w:asciiTheme="minorEastAsia" w:hAnsiTheme="minorEastAsia" w:eastAsiaTheme="minorEastAsia"/>
          <w:b/>
          <w:bCs/>
          <w:color w:val="auto"/>
          <w:sz w:val="24"/>
          <w:szCs w:val="24"/>
          <w:highlight w:val="none"/>
        </w:rPr>
      </w:pPr>
      <w:r>
        <w:rPr>
          <w:rFonts w:hint="eastAsia" w:asciiTheme="minorEastAsia" w:hAnsiTheme="minorEastAsia" w:eastAsiaTheme="minorEastAsia"/>
          <w:b/>
          <w:bCs/>
          <w:color w:val="auto"/>
          <w:sz w:val="24"/>
          <w:szCs w:val="24"/>
          <w:highlight w:val="none"/>
        </w:rPr>
        <w:t>同时出现两种以上不一致的，按照前款规定的顺序修正。按上述修正错误的原则及方法调整或修正投标文件的投标报价，投标人同意并签字确认后，调整后的投标报价对投标人具有约束作用。如果投标人不接受修正后的报价，则其投标将作为无效投标处理。</w:t>
      </w:r>
    </w:p>
    <w:p>
      <w:pPr>
        <w:pStyle w:val="22"/>
        <w:tabs>
          <w:tab w:val="left" w:pos="630"/>
        </w:tabs>
        <w:snapToGrid w:val="0"/>
        <w:spacing w:line="360" w:lineRule="exact"/>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（七）评标原则和评标办法</w:t>
      </w:r>
    </w:p>
    <w:p>
      <w:pPr>
        <w:pStyle w:val="22"/>
        <w:snapToGrid w:val="0"/>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pPr>
        <w:pStyle w:val="22"/>
        <w:snapToGrid w:val="0"/>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2.评标办法。本项目评标办法是</w:t>
      </w:r>
      <w:r>
        <w:rPr>
          <w:rFonts w:hint="eastAsia" w:asciiTheme="minorEastAsia" w:hAnsiTheme="minorEastAsia" w:eastAsiaTheme="minorEastAsia"/>
          <w:color w:val="auto"/>
          <w:sz w:val="24"/>
          <w:szCs w:val="24"/>
          <w:highlight w:val="none"/>
          <w:u w:val="single"/>
        </w:rPr>
        <w:t xml:space="preserve"> 综合评分法 </w:t>
      </w:r>
      <w:r>
        <w:rPr>
          <w:rFonts w:hint="eastAsia" w:asciiTheme="minorEastAsia" w:hAnsiTheme="minorEastAsia" w:eastAsiaTheme="minorEastAsia"/>
          <w:color w:val="auto"/>
          <w:sz w:val="24"/>
          <w:szCs w:val="24"/>
          <w:highlight w:val="none"/>
        </w:rPr>
        <w:t>，具体评标内容及评分标准等详见《第四章：评标办法及评分标准》。</w:t>
      </w:r>
    </w:p>
    <w:p>
      <w:pPr>
        <w:snapToGrid w:val="0"/>
        <w:spacing w:line="400" w:lineRule="exact"/>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8"/>
          <w:szCs w:val="28"/>
          <w:highlight w:val="none"/>
        </w:rPr>
        <w:t>（八）</w:t>
      </w:r>
      <w:r>
        <w:rPr>
          <w:rFonts w:hint="eastAsia" w:asciiTheme="minorEastAsia" w:hAnsiTheme="minorEastAsia" w:eastAsiaTheme="minorEastAsia"/>
          <w:b/>
          <w:color w:val="auto"/>
          <w:sz w:val="24"/>
          <w:highlight w:val="none"/>
        </w:rPr>
        <w:t>投标无效的情形</w:t>
      </w:r>
    </w:p>
    <w:p>
      <w:pPr>
        <w:spacing w:line="400" w:lineRule="exact"/>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实质上没有响应招标文件要求的投标将被视为无效投标。投标人不得通过修正或撤销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在中标结果公告之前核查原件。限期内不补正或经补正后仍不符合招标文件要求的,应认定其投标无效。投标人修改、补正投标文件后,不影响评标委员会对其投标文件所作的评价和评分结果。</w:t>
      </w:r>
    </w:p>
    <w:p>
      <w:pPr>
        <w:snapToGrid w:val="0"/>
        <w:spacing w:line="400" w:lineRule="exact"/>
        <w:ind w:firstLine="472" w:firstLineChars="196"/>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1.在资格性审查时，如发现下列情形之一的，投标文件将被视为无效：</w:t>
      </w:r>
    </w:p>
    <w:p>
      <w:pPr>
        <w:snapToGrid w:val="0"/>
        <w:spacing w:line="400" w:lineRule="exact"/>
        <w:ind w:firstLine="472" w:firstLineChars="196"/>
        <w:rPr>
          <w:rFonts w:cs="Tahoma" w:asciiTheme="minorEastAsia" w:hAnsiTheme="minorEastAsia" w:eastAsiaTheme="minorEastAsia"/>
          <w:b/>
          <w:color w:val="auto"/>
          <w:kern w:val="0"/>
          <w:sz w:val="24"/>
          <w:highlight w:val="none"/>
        </w:rPr>
      </w:pPr>
      <w:r>
        <w:rPr>
          <w:rFonts w:hint="eastAsia" w:cs="Tahoma" w:asciiTheme="minorEastAsia" w:hAnsiTheme="minorEastAsia" w:eastAsiaTheme="minorEastAsia"/>
          <w:b/>
          <w:color w:val="auto"/>
          <w:kern w:val="0"/>
          <w:sz w:val="24"/>
          <w:highlight w:val="none"/>
        </w:rPr>
        <w:t>（1）不符合招标公告中对投标人的资格要求的（包括超越了按照法律法规规定必须获得行政许可证或者行政审批的经营范围的）；</w:t>
      </w:r>
    </w:p>
    <w:p>
      <w:pPr>
        <w:snapToGrid w:val="0"/>
        <w:spacing w:line="400" w:lineRule="exact"/>
        <w:ind w:firstLine="472" w:firstLineChars="196"/>
        <w:rPr>
          <w:rFonts w:cs="Tahoma" w:asciiTheme="minorEastAsia" w:hAnsiTheme="minorEastAsia" w:eastAsiaTheme="minorEastAsia"/>
          <w:b/>
          <w:color w:val="auto"/>
          <w:kern w:val="0"/>
          <w:sz w:val="24"/>
          <w:highlight w:val="none"/>
        </w:rPr>
      </w:pPr>
      <w:r>
        <w:rPr>
          <w:rFonts w:hint="eastAsia" w:cs="Tahoma" w:asciiTheme="minorEastAsia" w:hAnsiTheme="minorEastAsia" w:eastAsiaTheme="minorEastAsia"/>
          <w:b/>
          <w:color w:val="auto"/>
          <w:kern w:val="0"/>
          <w:sz w:val="24"/>
          <w:highlight w:val="none"/>
        </w:rPr>
        <w:t>（2）资格证明文件不全或不符合招标文件表明的资格要求的。</w:t>
      </w:r>
    </w:p>
    <w:p>
      <w:pPr>
        <w:snapToGrid w:val="0"/>
        <w:spacing w:line="400" w:lineRule="exact"/>
        <w:ind w:firstLine="472" w:firstLineChars="196"/>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2.在符合性审查时，如发现下列情形之一的，投标文件将被视为无效：</w:t>
      </w:r>
    </w:p>
    <w:p>
      <w:pPr>
        <w:snapToGrid w:val="0"/>
        <w:spacing w:line="400" w:lineRule="exact"/>
        <w:ind w:firstLine="472" w:firstLineChars="196"/>
        <w:rPr>
          <w:rFonts w:asciiTheme="minorEastAsia" w:hAnsiTheme="minorEastAsia" w:eastAsiaTheme="minorEastAsia"/>
          <w:b/>
          <w:bCs/>
          <w:color w:val="auto"/>
          <w:kern w:val="0"/>
          <w:sz w:val="24"/>
          <w:highlight w:val="none"/>
        </w:rPr>
      </w:pPr>
      <w:r>
        <w:rPr>
          <w:rFonts w:hint="eastAsia" w:asciiTheme="minorEastAsia" w:hAnsiTheme="minorEastAsia" w:eastAsiaTheme="minorEastAsia"/>
          <w:b/>
          <w:color w:val="auto"/>
          <w:sz w:val="24"/>
          <w:highlight w:val="none"/>
        </w:rPr>
        <w:t>（1）投标文件无法定代表人或其授权委托代理人签字,或未</w:t>
      </w:r>
      <w:r>
        <w:rPr>
          <w:rFonts w:hint="eastAsia" w:asciiTheme="minorEastAsia" w:hAnsiTheme="minorEastAsia" w:eastAsiaTheme="minorEastAsia"/>
          <w:b/>
          <w:bCs/>
          <w:color w:val="auto"/>
          <w:kern w:val="0"/>
          <w:sz w:val="24"/>
          <w:highlight w:val="none"/>
        </w:rPr>
        <w:t>提供法定代表人授权委托书、声明书或者填写项目不齐全的；</w:t>
      </w:r>
    </w:p>
    <w:p>
      <w:pPr>
        <w:snapToGrid w:val="0"/>
        <w:spacing w:line="400" w:lineRule="exact"/>
        <w:ind w:firstLine="472" w:firstLineChars="196"/>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 xml:space="preserve">（2）投标代表人未能出具身份证明或与法定代表人授权委托人身份不符的； </w:t>
      </w:r>
    </w:p>
    <w:p>
      <w:pPr>
        <w:pStyle w:val="18"/>
        <w:snapToGrid w:val="0"/>
        <w:spacing w:line="400" w:lineRule="exact"/>
        <w:ind w:firstLine="472" w:firstLineChars="196"/>
        <w:rPr>
          <w:rFonts w:asciiTheme="minorEastAsia" w:hAnsiTheme="minorEastAsia" w:eastAsiaTheme="minorEastAsia"/>
          <w:b/>
          <w:snapToGrid w:val="0"/>
          <w:color w:val="auto"/>
          <w:sz w:val="24"/>
          <w:szCs w:val="24"/>
          <w:highlight w:val="none"/>
        </w:rPr>
      </w:pPr>
      <w:r>
        <w:rPr>
          <w:rFonts w:hint="eastAsia" w:asciiTheme="minorEastAsia" w:hAnsiTheme="minorEastAsia" w:eastAsiaTheme="minorEastAsia"/>
          <w:b/>
          <w:color w:val="auto"/>
          <w:sz w:val="24"/>
          <w:szCs w:val="24"/>
          <w:highlight w:val="none"/>
        </w:rPr>
        <w:t>（</w:t>
      </w:r>
      <w:r>
        <w:rPr>
          <w:rFonts w:hint="eastAsia" w:asciiTheme="minorEastAsia" w:hAnsiTheme="minorEastAsia" w:eastAsiaTheme="minorEastAsia"/>
          <w:b/>
          <w:snapToGrid w:val="0"/>
          <w:color w:val="auto"/>
          <w:sz w:val="24"/>
          <w:szCs w:val="24"/>
          <w:highlight w:val="none"/>
        </w:rPr>
        <w:t>3）</w:t>
      </w:r>
      <w:r>
        <w:rPr>
          <w:rFonts w:hint="eastAsia" w:asciiTheme="minorEastAsia" w:hAnsiTheme="minorEastAsia" w:eastAsiaTheme="minorEastAsia"/>
          <w:b/>
          <w:color w:val="auto"/>
          <w:sz w:val="24"/>
          <w:szCs w:val="24"/>
          <w:highlight w:val="none"/>
        </w:rPr>
        <w:t>项目不齐全或者内容虚假的；</w:t>
      </w:r>
    </w:p>
    <w:p>
      <w:pPr>
        <w:pStyle w:val="18"/>
        <w:snapToGrid w:val="0"/>
        <w:spacing w:line="400" w:lineRule="exact"/>
        <w:ind w:firstLine="472" w:firstLineChars="196"/>
        <w:rPr>
          <w:rFonts w:asciiTheme="minorEastAsia" w:hAnsiTheme="minorEastAsia" w:eastAsiaTheme="minorEastAsia"/>
          <w:b/>
          <w:snapToGrid w:val="0"/>
          <w:color w:val="auto"/>
          <w:sz w:val="24"/>
          <w:szCs w:val="24"/>
          <w:highlight w:val="none"/>
        </w:rPr>
      </w:pPr>
      <w:r>
        <w:rPr>
          <w:rFonts w:hint="eastAsia" w:asciiTheme="minorEastAsia" w:hAnsiTheme="minorEastAsia" w:eastAsiaTheme="minorEastAsia"/>
          <w:b/>
          <w:color w:val="auto"/>
          <w:sz w:val="24"/>
          <w:szCs w:val="24"/>
          <w:highlight w:val="none"/>
        </w:rPr>
        <w:t>（4）投标文件的实质性内容未使用中文表述、意思表述不明确、前后矛盾或者使用计量单位不符合招标文件要求的（经评标委员会认定并允许其当场更正的笔误除外）</w:t>
      </w:r>
    </w:p>
    <w:p>
      <w:pPr>
        <w:pStyle w:val="18"/>
        <w:snapToGrid w:val="0"/>
        <w:spacing w:line="400" w:lineRule="exact"/>
        <w:ind w:firstLine="472" w:firstLineChars="196"/>
        <w:rPr>
          <w:rFonts w:asciiTheme="minorEastAsia" w:hAnsiTheme="minorEastAsia" w:eastAsiaTheme="minorEastAsia"/>
          <w:b/>
          <w:snapToGrid w:val="0"/>
          <w:color w:val="auto"/>
          <w:sz w:val="24"/>
          <w:szCs w:val="24"/>
          <w:highlight w:val="none"/>
        </w:rPr>
      </w:pPr>
      <w:r>
        <w:rPr>
          <w:rFonts w:hint="eastAsia" w:asciiTheme="minorEastAsia" w:hAnsiTheme="minorEastAsia" w:eastAsiaTheme="minorEastAsia"/>
          <w:b/>
          <w:color w:val="auto"/>
          <w:sz w:val="24"/>
          <w:szCs w:val="24"/>
          <w:highlight w:val="none"/>
        </w:rPr>
        <w:t>（</w:t>
      </w:r>
      <w:r>
        <w:rPr>
          <w:rFonts w:hint="eastAsia" w:asciiTheme="minorEastAsia" w:hAnsiTheme="minorEastAsia" w:eastAsiaTheme="minorEastAsia"/>
          <w:b/>
          <w:snapToGrid w:val="0"/>
          <w:color w:val="auto"/>
          <w:sz w:val="24"/>
          <w:szCs w:val="24"/>
          <w:highlight w:val="none"/>
        </w:rPr>
        <w:t>5）投标有效期、服务期限等商务条款不能满足招标文件要求的；</w:t>
      </w:r>
    </w:p>
    <w:p>
      <w:pPr>
        <w:pStyle w:val="18"/>
        <w:snapToGrid w:val="0"/>
        <w:spacing w:line="400" w:lineRule="exact"/>
        <w:ind w:firstLine="472" w:firstLineChars="196"/>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（6）未实质性响应招标文件要求或者投标文件有招标方不能接受的附加条件或者</w:t>
      </w:r>
      <w:r>
        <w:rPr>
          <w:rFonts w:cs="Tahoma" w:asciiTheme="minorEastAsia" w:hAnsiTheme="minorEastAsia" w:eastAsiaTheme="minorEastAsia"/>
          <w:b/>
          <w:color w:val="auto"/>
          <w:kern w:val="0"/>
          <w:sz w:val="24"/>
          <w:szCs w:val="24"/>
          <w:highlight w:val="none"/>
        </w:rPr>
        <w:t>投标人</w:t>
      </w:r>
      <w:r>
        <w:rPr>
          <w:rFonts w:hint="eastAsia" w:cs="Tahoma" w:asciiTheme="minorEastAsia" w:hAnsiTheme="minorEastAsia" w:eastAsiaTheme="minorEastAsia"/>
          <w:b/>
          <w:color w:val="auto"/>
          <w:kern w:val="0"/>
          <w:sz w:val="24"/>
          <w:szCs w:val="24"/>
          <w:highlight w:val="none"/>
        </w:rPr>
        <w:t>有</w:t>
      </w:r>
      <w:r>
        <w:rPr>
          <w:rFonts w:cs="Tahoma" w:asciiTheme="minorEastAsia" w:hAnsiTheme="minorEastAsia" w:eastAsiaTheme="minorEastAsia"/>
          <w:b/>
          <w:color w:val="auto"/>
          <w:kern w:val="0"/>
          <w:sz w:val="24"/>
          <w:szCs w:val="24"/>
          <w:highlight w:val="none"/>
        </w:rPr>
        <w:t>相互串通</w:t>
      </w:r>
      <w:r>
        <w:rPr>
          <w:rFonts w:hint="eastAsia" w:cs="Tahoma" w:asciiTheme="minorEastAsia" w:hAnsiTheme="minorEastAsia" w:eastAsiaTheme="minorEastAsia"/>
          <w:b/>
          <w:color w:val="auto"/>
          <w:kern w:val="0"/>
          <w:sz w:val="24"/>
          <w:szCs w:val="24"/>
          <w:highlight w:val="none"/>
        </w:rPr>
        <w:t>行为</w:t>
      </w:r>
      <w:r>
        <w:rPr>
          <w:rFonts w:hint="eastAsia" w:asciiTheme="minorEastAsia" w:hAnsiTheme="minorEastAsia" w:eastAsiaTheme="minorEastAsia"/>
          <w:b/>
          <w:color w:val="auto"/>
          <w:sz w:val="24"/>
          <w:szCs w:val="24"/>
          <w:highlight w:val="none"/>
        </w:rPr>
        <w:t>的；</w:t>
      </w:r>
    </w:p>
    <w:p>
      <w:pPr>
        <w:pStyle w:val="18"/>
        <w:snapToGrid w:val="0"/>
        <w:spacing w:line="400" w:lineRule="exact"/>
        <w:ind w:firstLine="593" w:firstLineChars="246"/>
        <w:rPr>
          <w:rFonts w:asciiTheme="minorEastAsia" w:hAnsiTheme="minorEastAsia" w:eastAsiaTheme="minorEastAsia"/>
          <w:b/>
          <w:color w:val="auto"/>
          <w:sz w:val="24"/>
          <w:szCs w:val="24"/>
          <w:highlight w:val="none"/>
        </w:rPr>
      </w:pPr>
      <w:r>
        <w:rPr>
          <w:rFonts w:hint="eastAsia" w:asciiTheme="minorEastAsia" w:hAnsiTheme="minorEastAsia" w:eastAsiaTheme="minorEastAsia"/>
          <w:b/>
          <w:snapToGrid w:val="0"/>
          <w:color w:val="auto"/>
          <w:sz w:val="24"/>
          <w:szCs w:val="24"/>
          <w:highlight w:val="none"/>
        </w:rPr>
        <w:t>（8）</w:t>
      </w:r>
      <w:r>
        <w:rPr>
          <w:rFonts w:hint="eastAsia" w:ascii="宋体" w:hAnsi="宋体" w:eastAsia="宋体"/>
          <w:b/>
          <w:color w:val="auto"/>
          <w:sz w:val="24"/>
          <w:szCs w:val="24"/>
          <w:highlight w:val="none"/>
        </w:rPr>
        <w:t>法律、法规规定“投标无效”或招标文件规定的其他“投标无效”的情形的。</w:t>
      </w:r>
    </w:p>
    <w:p>
      <w:pPr>
        <w:pStyle w:val="18"/>
        <w:snapToGrid w:val="0"/>
        <w:spacing w:line="400" w:lineRule="exact"/>
        <w:ind w:firstLine="472" w:firstLineChars="196"/>
        <w:rPr>
          <w:rFonts w:asciiTheme="minorEastAsia" w:hAnsiTheme="minorEastAsia" w:eastAsiaTheme="minorEastAsia"/>
          <w:b/>
          <w:bCs/>
          <w:color w:val="auto"/>
          <w:sz w:val="24"/>
          <w:szCs w:val="24"/>
          <w:highlight w:val="none"/>
        </w:rPr>
      </w:pPr>
      <w:r>
        <w:rPr>
          <w:rFonts w:hint="eastAsia" w:asciiTheme="minorEastAsia" w:hAnsiTheme="minorEastAsia" w:eastAsiaTheme="minorEastAsia"/>
          <w:b/>
          <w:bCs/>
          <w:color w:val="auto"/>
          <w:sz w:val="24"/>
          <w:szCs w:val="24"/>
          <w:highlight w:val="none"/>
        </w:rPr>
        <w:t>3.在技术评审时，如发现下列情形之一的，投标文件将被视为无效：</w:t>
      </w:r>
    </w:p>
    <w:p>
      <w:pPr>
        <w:pStyle w:val="18"/>
        <w:snapToGrid w:val="0"/>
        <w:spacing w:line="400" w:lineRule="exact"/>
        <w:ind w:firstLine="472" w:firstLineChars="196"/>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（1）未提供或未如实提供投标服务的技术参数，或者投标文件标明的响应或偏离与事实不符或虚假投标的；</w:t>
      </w:r>
    </w:p>
    <w:p>
      <w:pPr>
        <w:pStyle w:val="18"/>
        <w:snapToGrid w:val="0"/>
        <w:spacing w:line="400" w:lineRule="exact"/>
        <w:ind w:firstLine="472" w:firstLineChars="196"/>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w:t>
      </w:r>
      <w:r>
        <w:rPr>
          <w:rFonts w:hint="eastAsia" w:asciiTheme="minorEastAsia" w:hAnsiTheme="minorEastAsia" w:eastAsiaTheme="minorEastAsia"/>
          <w:b/>
          <w:snapToGrid w:val="0"/>
          <w:color w:val="auto"/>
          <w:sz w:val="24"/>
          <w:szCs w:val="24"/>
          <w:highlight w:val="none"/>
        </w:rPr>
        <w:t>明显不符合招标文件要求的质量标准，或者与</w:t>
      </w:r>
      <w:r>
        <w:rPr>
          <w:rFonts w:hint="eastAsia" w:asciiTheme="minorEastAsia" w:hAnsiTheme="minorEastAsia" w:eastAsiaTheme="minorEastAsia"/>
          <w:b/>
          <w:color w:val="auto"/>
          <w:sz w:val="24"/>
          <w:szCs w:val="24"/>
          <w:highlight w:val="none"/>
        </w:rPr>
        <w:t>招标文件中标“★”的任何一项技术指标、主要功能项目或技术要求发生实质性负偏离的；</w:t>
      </w:r>
    </w:p>
    <w:p>
      <w:pPr>
        <w:pStyle w:val="18"/>
        <w:snapToGrid w:val="0"/>
        <w:spacing w:line="400" w:lineRule="exact"/>
        <w:ind w:firstLine="472" w:firstLineChars="196"/>
        <w:rPr>
          <w:rFonts w:asciiTheme="minorEastAsia" w:hAnsiTheme="minorEastAsia" w:eastAsiaTheme="minorEastAsia"/>
          <w:b/>
          <w:snapToGrid w:val="0"/>
          <w:color w:val="auto"/>
          <w:sz w:val="24"/>
          <w:szCs w:val="24"/>
          <w:highlight w:val="none"/>
        </w:rPr>
      </w:pPr>
      <w:r>
        <w:rPr>
          <w:rFonts w:hint="eastAsia" w:asciiTheme="minorEastAsia" w:hAnsiTheme="minorEastAsia" w:eastAsiaTheme="minorEastAsia"/>
          <w:b/>
          <w:snapToGrid w:val="0"/>
          <w:color w:val="auto"/>
          <w:sz w:val="24"/>
          <w:szCs w:val="24"/>
          <w:highlight w:val="none"/>
        </w:rPr>
        <w:t>（</w:t>
      </w:r>
      <w:r>
        <w:rPr>
          <w:rFonts w:hint="eastAsia" w:asciiTheme="minorEastAsia" w:hAnsiTheme="minorEastAsia" w:eastAsiaTheme="minorEastAsia"/>
          <w:b/>
          <w:snapToGrid w:val="0"/>
          <w:color w:val="auto"/>
          <w:sz w:val="24"/>
          <w:szCs w:val="24"/>
          <w:highlight w:val="none"/>
        </w:rPr>
        <w:t>3）允许偏离的技术、性能指标或者辅助功能项目负偏离总数达</w:t>
      </w:r>
      <w:r>
        <w:rPr>
          <w:rFonts w:hint="eastAsia" w:asciiTheme="minorEastAsia" w:hAnsiTheme="minorEastAsia" w:eastAsiaTheme="minorEastAsia"/>
          <w:b/>
          <w:snapToGrid w:val="0"/>
          <w:color w:val="auto"/>
          <w:sz w:val="24"/>
          <w:szCs w:val="24"/>
          <w:highlight w:val="none"/>
          <w:u w:val="single"/>
          <w:lang w:val="en-US" w:eastAsia="zh-CN"/>
        </w:rPr>
        <w:t>/</w:t>
      </w:r>
      <w:r>
        <w:rPr>
          <w:rFonts w:hint="eastAsia" w:asciiTheme="minorEastAsia" w:hAnsiTheme="minorEastAsia" w:eastAsiaTheme="minorEastAsia"/>
          <w:b/>
          <w:snapToGrid w:val="0"/>
          <w:color w:val="auto"/>
          <w:sz w:val="24"/>
          <w:szCs w:val="24"/>
          <w:highlight w:val="none"/>
        </w:rPr>
        <w:t>项以上（含</w:t>
      </w:r>
      <w:r>
        <w:rPr>
          <w:rFonts w:hint="eastAsia" w:asciiTheme="minorEastAsia" w:hAnsiTheme="minorEastAsia" w:eastAsiaTheme="minorEastAsia"/>
          <w:b/>
          <w:snapToGrid w:val="0"/>
          <w:color w:val="auto"/>
          <w:sz w:val="24"/>
          <w:szCs w:val="24"/>
          <w:highlight w:val="none"/>
          <w:lang w:val="en-US" w:eastAsia="zh-CN"/>
        </w:rPr>
        <w:t>/</w:t>
      </w:r>
      <w:r>
        <w:rPr>
          <w:rFonts w:hint="eastAsia" w:asciiTheme="minorEastAsia" w:hAnsiTheme="minorEastAsia" w:eastAsiaTheme="minorEastAsia"/>
          <w:b/>
          <w:snapToGrid w:val="0"/>
          <w:color w:val="auto"/>
          <w:sz w:val="24"/>
          <w:szCs w:val="24"/>
          <w:highlight w:val="none"/>
        </w:rPr>
        <w:t>项）的</w:t>
      </w:r>
      <w:r>
        <w:rPr>
          <w:rFonts w:hint="eastAsia" w:asciiTheme="minorEastAsia" w:hAnsiTheme="minorEastAsia" w:eastAsiaTheme="minorEastAsia"/>
          <w:b/>
          <w:snapToGrid w:val="0"/>
          <w:color w:val="auto"/>
          <w:sz w:val="24"/>
          <w:szCs w:val="24"/>
          <w:highlight w:val="none"/>
        </w:rPr>
        <w:t xml:space="preserve">； </w:t>
      </w:r>
    </w:p>
    <w:p>
      <w:pPr>
        <w:pStyle w:val="18"/>
        <w:snapToGrid w:val="0"/>
        <w:spacing w:line="400" w:lineRule="exact"/>
        <w:ind w:firstLine="472" w:firstLineChars="196"/>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（4）投标技术方案不明确，存在一个或一个以上备选（替代）投标方案的；</w:t>
      </w:r>
    </w:p>
    <w:p>
      <w:pPr>
        <w:pStyle w:val="18"/>
        <w:snapToGrid w:val="0"/>
        <w:spacing w:line="400" w:lineRule="exact"/>
        <w:ind w:firstLine="472" w:firstLineChars="196"/>
        <w:rPr>
          <w:rFonts w:asciiTheme="minorEastAsia" w:hAnsiTheme="minorEastAsia" w:eastAsiaTheme="minorEastAsia"/>
          <w:b/>
          <w:bCs/>
          <w:color w:val="auto"/>
          <w:sz w:val="24"/>
          <w:szCs w:val="24"/>
          <w:highlight w:val="none"/>
        </w:rPr>
      </w:pPr>
      <w:r>
        <w:rPr>
          <w:rFonts w:hint="eastAsia" w:asciiTheme="minorEastAsia" w:hAnsiTheme="minorEastAsia" w:eastAsiaTheme="minorEastAsia"/>
          <w:b/>
          <w:bCs/>
          <w:color w:val="auto"/>
          <w:sz w:val="24"/>
          <w:szCs w:val="24"/>
          <w:highlight w:val="none"/>
        </w:rPr>
        <w:t>4.在报价评审时，如发现下列情形之一的，投标文件将被视为无效：</w:t>
      </w:r>
    </w:p>
    <w:p>
      <w:pPr>
        <w:pStyle w:val="18"/>
        <w:snapToGrid w:val="0"/>
        <w:spacing w:line="400" w:lineRule="exact"/>
        <w:ind w:firstLine="472" w:firstLineChars="196"/>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（1）未采用人民币报价或者未按照招标文件标明的币种报价的；</w:t>
      </w:r>
    </w:p>
    <w:p>
      <w:pPr>
        <w:pStyle w:val="18"/>
        <w:snapToGrid w:val="0"/>
        <w:spacing w:line="400" w:lineRule="exact"/>
        <w:ind w:firstLine="472" w:firstLineChars="196"/>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（2）报价超出最高限价，或者超出总采购预算金额或分项采购预算（根据项目增减），采购人不能支付的；</w:t>
      </w:r>
    </w:p>
    <w:p>
      <w:pPr>
        <w:pStyle w:val="18"/>
        <w:snapToGrid w:val="0"/>
        <w:spacing w:line="400" w:lineRule="exact"/>
        <w:ind w:firstLine="472" w:firstLineChars="196"/>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（3）投标报价具有选择性，或者开标价格与投标文件承诺的优惠（折扣）价格不一致的；</w:t>
      </w:r>
    </w:p>
    <w:p>
      <w:pPr>
        <w:pStyle w:val="18"/>
        <w:snapToGrid w:val="0"/>
        <w:spacing w:line="400" w:lineRule="exact"/>
        <w:ind w:firstLine="482" w:firstLineChars="2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（4）</w:t>
      </w:r>
      <w:r>
        <w:rPr>
          <w:rFonts w:hint="eastAsia" w:cs="宋体" w:asciiTheme="minorEastAsia" w:hAnsiTheme="minorEastAsia" w:eastAsiaTheme="minorEastAsia"/>
          <w:b/>
          <w:color w:val="auto"/>
          <w:kern w:val="0"/>
          <w:sz w:val="24"/>
          <w:szCs w:val="24"/>
          <w:highlight w:val="none"/>
        </w:rPr>
        <w:t>评标委员会认为投标人的报价明显低于其他通过符合性审查投标人的报价，有可能影响服务质量或者不能诚信履约的，应当要求其在评标现场合理的时间内提供书面说明，必要时提交相关证明材料；投标人不能证明其报价合理性的，评标委员会应当将其作为无效投标处理。</w:t>
      </w:r>
    </w:p>
    <w:p>
      <w:pPr>
        <w:pStyle w:val="18"/>
        <w:snapToGrid w:val="0"/>
        <w:spacing w:line="400" w:lineRule="exact"/>
        <w:ind w:firstLine="472" w:firstLineChars="196"/>
        <w:outlineLvl w:val="0"/>
        <w:rPr>
          <w:rFonts w:asciiTheme="minorEastAsia" w:hAnsiTheme="minorEastAsia" w:eastAsiaTheme="minorEastAsia"/>
          <w:b/>
          <w:color w:val="auto"/>
          <w:sz w:val="24"/>
          <w:szCs w:val="24"/>
          <w:highlight w:val="none"/>
        </w:rPr>
      </w:pPr>
      <w:bookmarkStart w:id="78" w:name="_Toc31485"/>
      <w:bookmarkStart w:id="79" w:name="_Toc22379"/>
      <w:bookmarkStart w:id="80" w:name="_Toc24042"/>
      <w:r>
        <w:rPr>
          <w:rFonts w:hint="eastAsia" w:asciiTheme="minorEastAsia" w:hAnsiTheme="minorEastAsia" w:eastAsiaTheme="minorEastAsia"/>
          <w:b/>
          <w:color w:val="auto"/>
          <w:sz w:val="24"/>
          <w:szCs w:val="24"/>
          <w:highlight w:val="none"/>
        </w:rPr>
        <w:t>5.有下列情形之一的视为关联供应商参加同一合同项下政府采购活动，投标文件将被视为无效:</w:t>
      </w:r>
      <w:bookmarkEnd w:id="78"/>
      <w:bookmarkEnd w:id="79"/>
      <w:bookmarkEnd w:id="80"/>
    </w:p>
    <w:p>
      <w:pPr>
        <w:pStyle w:val="18"/>
        <w:snapToGrid w:val="0"/>
        <w:spacing w:line="400" w:lineRule="exact"/>
        <w:ind w:firstLine="472" w:firstLineChars="196"/>
        <w:outlineLvl w:val="0"/>
        <w:rPr>
          <w:rFonts w:asciiTheme="minorEastAsia" w:hAnsiTheme="minorEastAsia" w:eastAsiaTheme="minorEastAsia"/>
          <w:b/>
          <w:bCs/>
          <w:color w:val="auto"/>
          <w:sz w:val="24"/>
          <w:szCs w:val="24"/>
          <w:highlight w:val="none"/>
        </w:rPr>
      </w:pPr>
      <w:bookmarkStart w:id="81" w:name="_Toc1082"/>
      <w:bookmarkStart w:id="82" w:name="_Toc31038"/>
      <w:bookmarkStart w:id="83" w:name="_Toc10318"/>
      <w:r>
        <w:rPr>
          <w:rFonts w:hint="eastAsia" w:asciiTheme="minorEastAsia" w:hAnsiTheme="minorEastAsia" w:eastAsiaTheme="minorEastAsia"/>
          <w:b/>
          <w:bCs/>
          <w:color w:val="auto"/>
          <w:sz w:val="24"/>
          <w:szCs w:val="24"/>
          <w:highlight w:val="none"/>
        </w:rPr>
        <w:t>单位负责人为同一人或者存在直接控股、管理关系的不同供应商，参加同一合同项下的政府采购活动。除单一来源采购项目外，为采购项目提供整体设计、规范编制或者项目管理、监理、检测等服务的供应商，不得再参加该采购项目的其他采购活动。</w:t>
      </w:r>
      <w:bookmarkEnd w:id="81"/>
      <w:bookmarkEnd w:id="82"/>
      <w:bookmarkEnd w:id="83"/>
    </w:p>
    <w:p>
      <w:pPr>
        <w:pStyle w:val="18"/>
        <w:snapToGrid w:val="0"/>
        <w:spacing w:line="400" w:lineRule="exact"/>
        <w:ind w:firstLine="472" w:firstLineChars="196"/>
        <w:outlineLvl w:val="0"/>
        <w:rPr>
          <w:rFonts w:asciiTheme="minorEastAsia" w:hAnsiTheme="minorEastAsia" w:eastAsiaTheme="minorEastAsia"/>
          <w:b/>
          <w:color w:val="auto"/>
          <w:sz w:val="24"/>
          <w:szCs w:val="24"/>
          <w:highlight w:val="none"/>
        </w:rPr>
      </w:pPr>
      <w:bookmarkStart w:id="84" w:name="_Toc663"/>
      <w:bookmarkStart w:id="85" w:name="_Toc32632"/>
      <w:bookmarkStart w:id="86" w:name="_Toc15410"/>
      <w:r>
        <w:rPr>
          <w:rFonts w:hint="eastAsia" w:asciiTheme="minorEastAsia" w:hAnsiTheme="minorEastAsia" w:eastAsiaTheme="minorEastAsia"/>
          <w:b/>
          <w:color w:val="auto"/>
          <w:sz w:val="24"/>
          <w:szCs w:val="24"/>
          <w:highlight w:val="none"/>
        </w:rPr>
        <w:t>6. 有本须知总则特别说明（八）第5款情形之一的视为</w:t>
      </w:r>
      <w:r>
        <w:rPr>
          <w:rFonts w:asciiTheme="minorEastAsia" w:hAnsiTheme="minorEastAsia" w:eastAsiaTheme="minorEastAsia"/>
          <w:b/>
          <w:color w:val="auto"/>
          <w:sz w:val="24"/>
          <w:szCs w:val="24"/>
          <w:highlight w:val="none"/>
        </w:rPr>
        <w:t>投标人相互串通</w:t>
      </w:r>
      <w:r>
        <w:rPr>
          <w:rFonts w:hint="eastAsia" w:asciiTheme="minorEastAsia" w:hAnsiTheme="minorEastAsia" w:eastAsiaTheme="minorEastAsia"/>
          <w:b/>
          <w:color w:val="auto"/>
          <w:sz w:val="24"/>
          <w:szCs w:val="24"/>
          <w:highlight w:val="none"/>
        </w:rPr>
        <w:t>，投标文件将视为无效。</w:t>
      </w:r>
      <w:bookmarkEnd w:id="84"/>
      <w:bookmarkEnd w:id="85"/>
      <w:bookmarkEnd w:id="86"/>
    </w:p>
    <w:p>
      <w:pPr>
        <w:pStyle w:val="22"/>
        <w:snapToGrid w:val="0"/>
        <w:spacing w:line="360" w:lineRule="exact"/>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（九）评标过程的监控</w:t>
      </w:r>
    </w:p>
    <w:p>
      <w:pPr>
        <w:pStyle w:val="22"/>
        <w:snapToGrid w:val="0"/>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本项目评标过程实行全程录音、录像监控，投标人在评标过程中所进行的试图影响评标结果的不公正活动，可能导致其投标被拒绝。</w:t>
      </w:r>
    </w:p>
    <w:p>
      <w:pPr>
        <w:pStyle w:val="22"/>
        <w:snapToGrid w:val="0"/>
        <w:spacing w:line="360" w:lineRule="exact"/>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（十） 信用查询</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根据《关于做好政府采购有关信用主体标识码登记及在政府采购活动中查询使用信用记录有关问题的通知》桂财采〔2016〕37号的通知，中标通知书发出前，由采购代理机构对第一中标候选人进行信用查询：</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⑴查询渠道：“信用中国”网站(www.creditchina.gov.cn)、中国政府采购网(www.ccgp.gov.cn)等；</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⑵查询截止时点：中标通知书发出前；</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⑶信用信息查询记录和证据留存方式：在查询网站中直接打印查询记录，打印材料作为采购活动资料保存。</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⑷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中标候选人资格。</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两个以上的自然人、法人或者其他组织组成一个联合体，以一个供应商的身份共同参加政府采购活动的，对所有联合体成员进行信用记录查询，联合体成员存在不良信用记录的，视同联合体存在不良信用记录。</w:t>
      </w:r>
    </w:p>
    <w:p>
      <w:pPr>
        <w:pStyle w:val="22"/>
        <w:snapToGrid w:val="0"/>
        <w:spacing w:line="360" w:lineRule="exact"/>
        <w:rPr>
          <w:rFonts w:asciiTheme="minorEastAsia" w:hAnsiTheme="minorEastAsia" w:eastAsiaTheme="minorEastAsia"/>
          <w:b/>
          <w:color w:val="auto"/>
          <w:sz w:val="24"/>
          <w:szCs w:val="24"/>
          <w:highlight w:val="none"/>
        </w:rPr>
      </w:pPr>
      <w:bookmarkStart w:id="87" w:name="_Toc254970546"/>
      <w:bookmarkStart w:id="88" w:name="_Toc254970687"/>
      <w:r>
        <w:rPr>
          <w:rFonts w:hint="eastAsia" w:asciiTheme="minorEastAsia" w:hAnsiTheme="minorEastAsia" w:eastAsiaTheme="minorEastAsia"/>
          <w:b/>
          <w:color w:val="auto"/>
          <w:sz w:val="24"/>
          <w:szCs w:val="24"/>
          <w:highlight w:val="none"/>
        </w:rPr>
        <w:t>（十一）、评标结果</w:t>
      </w:r>
    </w:p>
    <w:bookmarkEnd w:id="87"/>
    <w:bookmarkEnd w:id="88"/>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bCs/>
          <w:color w:val="auto"/>
          <w:sz w:val="24"/>
          <w:highlight w:val="none"/>
        </w:rPr>
        <w:t>1.</w:t>
      </w:r>
      <w:r>
        <w:rPr>
          <w:rFonts w:hint="eastAsia" w:asciiTheme="minorEastAsia" w:hAnsiTheme="minorEastAsia" w:eastAsiaTheme="minorEastAsia"/>
          <w:color w:val="auto"/>
          <w:sz w:val="24"/>
          <w:highlight w:val="none"/>
        </w:rPr>
        <w:t>采购代理机构在评标结束后二个工作日内将评标报告送采购人，采购人在五个工作日内按照评标报告中推荐的中标候选供应商顺序确定中标供应商。采购人也可以事先授权评标委员会直接确定中标供应商。</w:t>
      </w:r>
    </w:p>
    <w:p>
      <w:pPr>
        <w:snapToGrid w:val="0"/>
        <w:spacing w:line="360" w:lineRule="exact"/>
        <w:ind w:firstLine="480" w:firstLineChars="200"/>
        <w:rPr>
          <w:rFonts w:asciiTheme="minorEastAsia" w:hAnsiTheme="minorEastAsia" w:eastAsiaTheme="minorEastAsia"/>
          <w:bCs/>
          <w:color w:val="auto"/>
          <w:sz w:val="24"/>
          <w:highlight w:val="none"/>
        </w:rPr>
      </w:pPr>
      <w:r>
        <w:rPr>
          <w:rFonts w:hint="eastAsia" w:asciiTheme="minorEastAsia" w:hAnsiTheme="minorEastAsia" w:eastAsiaTheme="minorEastAsia"/>
          <w:color w:val="auto"/>
          <w:sz w:val="24"/>
          <w:highlight w:val="none"/>
        </w:rPr>
        <w:t>2.中标供应商确定后，采购代理机构二个工作日内在原发布招标公告的</w:t>
      </w:r>
      <w:r>
        <w:rPr>
          <w:rFonts w:hint="eastAsia" w:cs="Arial" w:asciiTheme="minorEastAsia" w:hAnsiTheme="minorEastAsia" w:eastAsiaTheme="minorEastAsia"/>
          <w:color w:val="auto"/>
          <w:sz w:val="24"/>
          <w:highlight w:val="none"/>
        </w:rPr>
        <w:t>网</w:t>
      </w:r>
      <w:r>
        <w:rPr>
          <w:rFonts w:hint="eastAsia" w:asciiTheme="minorEastAsia" w:hAnsiTheme="minorEastAsia" w:eastAsiaTheme="minorEastAsia"/>
          <w:bCs/>
          <w:color w:val="auto"/>
          <w:sz w:val="24"/>
          <w:highlight w:val="none"/>
        </w:rPr>
        <w:t>上发布中标公告。</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3.发布中标公告的同时，采购代理机构向中标供应商发出中标通知书（格式详见附件）。</w:t>
      </w:r>
    </w:p>
    <w:p>
      <w:pPr>
        <w:pStyle w:val="22"/>
        <w:snapToGrid w:val="0"/>
        <w:spacing w:line="360" w:lineRule="exact"/>
        <w:ind w:firstLine="470" w:firstLineChars="196"/>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4.投标人认为招标文件、招标过程或中标结果使自己的权益受到损害的，可以在规定的期限内，以书面形式向采购代理机构提出质疑。并及时索要书面回执。</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5.采购代理机构应当按照有关规定就采购人委托授权范围内的事项</w:t>
      </w:r>
      <w:r>
        <w:rPr>
          <w:rFonts w:hint="eastAsia" w:asciiTheme="minorEastAsia" w:hAnsiTheme="minorEastAsia" w:eastAsiaTheme="minorEastAsia"/>
          <w:bCs/>
          <w:color w:val="auto"/>
          <w:sz w:val="24"/>
          <w:szCs w:val="24"/>
          <w:highlight w:val="none"/>
        </w:rPr>
        <w:t>在收到投标人的书面质疑后七个工作日内做出答复，但答复的内容不得涉及商业秘密。</w:t>
      </w:r>
    </w:p>
    <w:p>
      <w:pPr>
        <w:snapToGrid w:val="0"/>
        <w:spacing w:line="360" w:lineRule="exact"/>
        <w:ind w:firstLine="470" w:firstLineChars="196"/>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6.采购代理机构无义务向未中标人退还其投标文件。</w:t>
      </w:r>
    </w:p>
    <w:p>
      <w:pPr>
        <w:pStyle w:val="22"/>
        <w:snapToGrid w:val="0"/>
        <w:spacing w:line="360" w:lineRule="exact"/>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（十二）废标和重新招标</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1.在招标过程中，出现下列情形之一的，予以废标：</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(1)符合专业条件的供应商或者对招标文件作实质响应的供应商不足三家的；</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(2)出现影响采购公正的违法、违规行为的；</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(3)投标人的报价均超过了总采购预算或分项采购预算(</w:t>
      </w:r>
      <w:r>
        <w:rPr>
          <w:rFonts w:hint="eastAsia" w:ascii="宋体" w:hAnsi="宋体"/>
          <w:color w:val="auto"/>
          <w:sz w:val="24"/>
          <w:highlight w:val="none"/>
        </w:rPr>
        <w:t>根据项目增减</w:t>
      </w:r>
      <w:r>
        <w:rPr>
          <w:rFonts w:hint="eastAsia" w:asciiTheme="minorEastAsia" w:hAnsiTheme="minorEastAsia" w:eastAsiaTheme="minorEastAsia"/>
          <w:color w:val="auto"/>
          <w:sz w:val="24"/>
          <w:highlight w:val="none"/>
        </w:rPr>
        <w:t>)，采购人不能支付的；</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(4)因重大变故，采购任务取消的。</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 废标后，采购代理机构将在原政府采购信息发布媒体上公告废标理由，不再另行通知。</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3.重新招标</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公开招标数额标准以上的采购项目，投标截止后投标人不足3家或者通过资格审查或符合性审查的投标人不足3家的，除采购任务取消情形外，按照以下方式处理：</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(1)招标文件存在不合理条款或者招标程序不符合规定的，采购人、采购代理机构改正后依法重新招标；</w:t>
      </w:r>
    </w:p>
    <w:p>
      <w:pPr>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(2)招标文件没有不合理条款、招标程序符合规定，需要采用其他采购方式采购的，采购人应当依法报同级财政部门批准。</w:t>
      </w:r>
    </w:p>
    <w:p>
      <w:pPr>
        <w:snapToGrid w:val="0"/>
        <w:spacing w:line="360" w:lineRule="exact"/>
        <w:ind w:firstLine="470" w:firstLineChars="196"/>
        <w:rPr>
          <w:rFonts w:asciiTheme="minorEastAsia" w:hAnsiTheme="minorEastAsia" w:eastAsiaTheme="minorEastAsia"/>
          <w:color w:val="auto"/>
          <w:sz w:val="24"/>
          <w:highlight w:val="none"/>
        </w:rPr>
      </w:pPr>
    </w:p>
    <w:p>
      <w:pPr>
        <w:snapToGrid w:val="0"/>
        <w:spacing w:line="360" w:lineRule="exact"/>
        <w:ind w:firstLine="470" w:firstLineChars="196"/>
        <w:rPr>
          <w:rFonts w:asciiTheme="minorEastAsia" w:hAnsiTheme="minorEastAsia" w:eastAsiaTheme="minorEastAsia"/>
          <w:color w:val="auto"/>
          <w:sz w:val="24"/>
          <w:highlight w:val="none"/>
        </w:rPr>
      </w:pPr>
    </w:p>
    <w:p>
      <w:pPr>
        <w:snapToGrid w:val="0"/>
        <w:spacing w:line="360" w:lineRule="exact"/>
        <w:ind w:firstLine="630" w:firstLineChars="196"/>
        <w:jc w:val="center"/>
        <w:rPr>
          <w:rFonts w:asciiTheme="minorEastAsia" w:hAnsiTheme="minorEastAsia" w:eastAsiaTheme="minorEastAsia"/>
          <w:b/>
          <w:bCs/>
          <w:color w:val="auto"/>
          <w:sz w:val="32"/>
          <w:szCs w:val="32"/>
          <w:highlight w:val="none"/>
        </w:rPr>
      </w:pPr>
      <w:r>
        <w:rPr>
          <w:rFonts w:hint="eastAsia" w:asciiTheme="minorEastAsia" w:hAnsiTheme="minorEastAsia" w:eastAsiaTheme="minorEastAsia"/>
          <w:b/>
          <w:bCs/>
          <w:color w:val="auto"/>
          <w:sz w:val="32"/>
          <w:szCs w:val="32"/>
          <w:highlight w:val="none"/>
        </w:rPr>
        <w:t>七、签订合同</w:t>
      </w:r>
    </w:p>
    <w:p>
      <w:pPr>
        <w:snapToGrid w:val="0"/>
        <w:spacing w:line="360" w:lineRule="exact"/>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（一）</w:t>
      </w:r>
      <w:r>
        <w:rPr>
          <w:rFonts w:hint="eastAsia" w:asciiTheme="minorEastAsia" w:hAnsiTheme="minorEastAsia" w:eastAsiaTheme="minorEastAsia"/>
          <w:b/>
          <w:color w:val="auto"/>
          <w:sz w:val="24"/>
          <w:highlight w:val="none"/>
        </w:rPr>
        <w:t>合同授予标准</w:t>
      </w:r>
    </w:p>
    <w:p>
      <w:pPr>
        <w:pStyle w:val="22"/>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合同将授予被确定为实质上响应招标文件要求，具备履行合同能力，综合评分排名第一的投标人。</w:t>
      </w:r>
    </w:p>
    <w:p>
      <w:pPr>
        <w:pStyle w:val="22"/>
        <w:snapToGrid w:val="0"/>
        <w:spacing w:line="360" w:lineRule="exact"/>
        <w:rPr>
          <w:rFonts w:asciiTheme="minorEastAsia" w:hAnsiTheme="minorEastAsia" w:eastAsiaTheme="minorEastAsia"/>
          <w:b/>
          <w:bCs/>
          <w:color w:val="auto"/>
          <w:sz w:val="24"/>
          <w:szCs w:val="24"/>
          <w:highlight w:val="none"/>
        </w:rPr>
      </w:pPr>
      <w:r>
        <w:rPr>
          <w:rFonts w:hint="eastAsia" w:asciiTheme="minorEastAsia" w:hAnsiTheme="minorEastAsia" w:eastAsiaTheme="minorEastAsia"/>
          <w:b/>
          <w:color w:val="auto"/>
          <w:sz w:val="24"/>
          <w:szCs w:val="24"/>
          <w:highlight w:val="none"/>
        </w:rPr>
        <w:t>（二）</w:t>
      </w:r>
      <w:r>
        <w:rPr>
          <w:rFonts w:hint="eastAsia" w:asciiTheme="minorEastAsia" w:hAnsiTheme="minorEastAsia" w:eastAsiaTheme="minorEastAsia"/>
          <w:b/>
          <w:bCs/>
          <w:color w:val="auto"/>
          <w:sz w:val="24"/>
          <w:szCs w:val="24"/>
          <w:highlight w:val="none"/>
        </w:rPr>
        <w:t>签订合同</w:t>
      </w:r>
    </w:p>
    <w:p>
      <w:pPr>
        <w:pStyle w:val="22"/>
        <w:spacing w:line="360" w:lineRule="exact"/>
        <w:ind w:firstLine="42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1.投标人收到中标通知书后，应按中标通知书中规定的时间、地点与采购人签订合同。</w:t>
      </w:r>
    </w:p>
    <w:p>
      <w:pPr>
        <w:pStyle w:val="22"/>
        <w:spacing w:line="360" w:lineRule="exact"/>
        <w:ind w:firstLine="425"/>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2.如果中标供应商不按中标通知书中规定签订合同，则按中标供应商违约处理。</w:t>
      </w:r>
    </w:p>
    <w:p>
      <w:pPr>
        <w:pStyle w:val="22"/>
        <w:spacing w:line="360" w:lineRule="exact"/>
        <w:ind w:firstLine="420"/>
        <w:rPr>
          <w:rFonts w:asciiTheme="minorEastAsia" w:hAnsiTheme="minorEastAsia" w:eastAsiaTheme="minorEastAsia"/>
          <w:bCs/>
          <w:color w:val="auto"/>
          <w:sz w:val="24"/>
          <w:szCs w:val="24"/>
          <w:highlight w:val="none"/>
        </w:rPr>
      </w:pPr>
      <w:r>
        <w:rPr>
          <w:rFonts w:hint="eastAsia" w:asciiTheme="minorEastAsia" w:hAnsiTheme="minorEastAsia" w:eastAsiaTheme="minorEastAsia"/>
          <w:color w:val="auto"/>
          <w:sz w:val="24"/>
          <w:szCs w:val="24"/>
          <w:highlight w:val="none"/>
        </w:rPr>
        <w:t>3.中标供应商因不可抗力或者自身原因不能履行政府采购合同的，采购人可以与中标供应商之后排名第一的中标候选供应商签订采购合同，以此类推。</w:t>
      </w:r>
      <w:r>
        <w:rPr>
          <w:rFonts w:hint="eastAsia" w:asciiTheme="minorEastAsia" w:hAnsiTheme="minorEastAsia" w:eastAsiaTheme="minorEastAsia"/>
          <w:bCs/>
          <w:color w:val="auto"/>
          <w:sz w:val="24"/>
          <w:szCs w:val="24"/>
          <w:highlight w:val="none"/>
        </w:rPr>
        <w:t>采购人也可以重新开展采购活动。</w:t>
      </w:r>
    </w:p>
    <w:p>
      <w:pPr>
        <w:pStyle w:val="22"/>
        <w:spacing w:line="360" w:lineRule="exact"/>
        <w:ind w:firstLine="420"/>
        <w:rPr>
          <w:rFonts w:asciiTheme="minorEastAsia" w:hAnsiTheme="minorEastAsia" w:eastAsiaTheme="minorEastAsia"/>
          <w:b/>
          <w:color w:val="auto"/>
          <w:sz w:val="24"/>
          <w:szCs w:val="24"/>
          <w:highlight w:val="none"/>
        </w:rPr>
      </w:pPr>
    </w:p>
    <w:p>
      <w:pPr>
        <w:pStyle w:val="22"/>
        <w:snapToGrid w:val="0"/>
        <w:spacing w:line="360" w:lineRule="exact"/>
        <w:ind w:firstLine="315" w:firstLineChars="98"/>
        <w:jc w:val="center"/>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八、其他事项</w:t>
      </w:r>
    </w:p>
    <w:p>
      <w:pPr>
        <w:pStyle w:val="22"/>
        <w:snapToGrid w:val="0"/>
        <w:spacing w:line="360" w:lineRule="exact"/>
        <w:outlineLvl w:val="0"/>
        <w:rPr>
          <w:rFonts w:asciiTheme="minorEastAsia" w:hAnsiTheme="minorEastAsia" w:eastAsiaTheme="minorEastAsia"/>
          <w:color w:val="auto"/>
          <w:sz w:val="24"/>
          <w:szCs w:val="24"/>
          <w:highlight w:val="none"/>
        </w:rPr>
      </w:pPr>
      <w:bookmarkStart w:id="89" w:name="_Toc9999"/>
      <w:bookmarkStart w:id="90" w:name="_Toc16457"/>
      <w:bookmarkStart w:id="91" w:name="_Toc18115"/>
      <w:r>
        <w:rPr>
          <w:rFonts w:hint="eastAsia" w:cs="Times New Roman" w:asciiTheme="minorEastAsia" w:hAnsiTheme="minorEastAsia" w:eastAsiaTheme="minorEastAsia"/>
          <w:color w:val="auto"/>
          <w:sz w:val="24"/>
          <w:szCs w:val="24"/>
          <w:highlight w:val="none"/>
        </w:rPr>
        <w:t>（一）</w:t>
      </w:r>
      <w:bookmarkEnd w:id="89"/>
      <w:bookmarkStart w:id="92" w:name="_Toc254970689"/>
      <w:bookmarkStart w:id="93" w:name="_Toc254970548"/>
      <w:r>
        <w:rPr>
          <w:rFonts w:hint="eastAsia" w:cs="Times New Roman" w:asciiTheme="minorEastAsia" w:hAnsiTheme="minorEastAsia" w:eastAsiaTheme="minorEastAsia"/>
          <w:color w:val="auto"/>
          <w:sz w:val="24"/>
          <w:szCs w:val="24"/>
          <w:highlight w:val="none"/>
        </w:rPr>
        <w:t>本项目代理服务费参照“国家发展计划委员会文件关于印发《招标代理服务收费管理暂行办法》的通知（计价格【2002】1980号）”规定标准向中标人收取，中标人领取中标通知书时,应向采购代理机构以转账形式一次付清招标代理服务费。</w:t>
      </w:r>
      <w:bookmarkEnd w:id="90"/>
      <w:bookmarkEnd w:id="91"/>
    </w:p>
    <w:p>
      <w:pPr>
        <w:snapToGrid w:val="0"/>
        <w:spacing w:line="386" w:lineRule="exact"/>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二）为帮助中小微企业解决资金周转或融资困难问题，南宁市政府采购试行政府采购信用融资制度，为中小企业参与政府采购活动提供金融服务。中标供应商可凭政府采购合同申请政府采购信用融资，具体办理要求与办理方式，详见南宁市公共资源交易中心网“政府采购信用融资”专栏。</w:t>
      </w:r>
    </w:p>
    <w:p>
      <w:pPr>
        <w:pStyle w:val="22"/>
        <w:snapToGrid w:val="0"/>
        <w:jc w:val="center"/>
        <w:outlineLvl w:val="0"/>
        <w:rPr>
          <w:rFonts w:hAnsi="宋体"/>
          <w:b/>
          <w:color w:val="auto"/>
          <w:sz w:val="30"/>
          <w:szCs w:val="30"/>
          <w:highlight w:val="none"/>
        </w:rPr>
      </w:pPr>
    </w:p>
    <w:p>
      <w:pPr>
        <w:pStyle w:val="22"/>
        <w:snapToGrid w:val="0"/>
        <w:jc w:val="center"/>
        <w:outlineLvl w:val="0"/>
        <w:rPr>
          <w:rFonts w:hAnsi="宋体"/>
          <w:b/>
          <w:color w:val="auto"/>
          <w:sz w:val="30"/>
          <w:szCs w:val="30"/>
          <w:highlight w:val="none"/>
        </w:rPr>
      </w:pPr>
    </w:p>
    <w:p>
      <w:pPr>
        <w:pStyle w:val="22"/>
        <w:snapToGrid w:val="0"/>
        <w:jc w:val="center"/>
        <w:outlineLvl w:val="0"/>
        <w:rPr>
          <w:rFonts w:hAnsi="宋体"/>
          <w:b/>
          <w:color w:val="auto"/>
          <w:sz w:val="30"/>
          <w:szCs w:val="30"/>
          <w:highlight w:val="none"/>
        </w:rPr>
      </w:pPr>
    </w:p>
    <w:p>
      <w:pPr>
        <w:pStyle w:val="22"/>
        <w:snapToGrid w:val="0"/>
        <w:jc w:val="center"/>
        <w:outlineLvl w:val="0"/>
        <w:rPr>
          <w:rFonts w:hAnsi="宋体"/>
          <w:b/>
          <w:color w:val="auto"/>
          <w:sz w:val="30"/>
          <w:szCs w:val="30"/>
          <w:highlight w:val="none"/>
        </w:rPr>
      </w:pPr>
    </w:p>
    <w:p>
      <w:pPr>
        <w:pStyle w:val="22"/>
        <w:snapToGrid w:val="0"/>
        <w:jc w:val="center"/>
        <w:outlineLvl w:val="0"/>
        <w:rPr>
          <w:rFonts w:hAnsi="宋体"/>
          <w:b/>
          <w:color w:val="auto"/>
          <w:sz w:val="30"/>
          <w:szCs w:val="30"/>
          <w:highlight w:val="none"/>
        </w:rPr>
      </w:pPr>
    </w:p>
    <w:p>
      <w:pPr>
        <w:pStyle w:val="22"/>
        <w:snapToGrid w:val="0"/>
        <w:jc w:val="center"/>
        <w:outlineLvl w:val="0"/>
        <w:rPr>
          <w:rFonts w:hAnsi="宋体"/>
          <w:b/>
          <w:color w:val="auto"/>
          <w:sz w:val="30"/>
          <w:szCs w:val="30"/>
          <w:highlight w:val="none"/>
        </w:rPr>
      </w:pPr>
    </w:p>
    <w:p>
      <w:pPr>
        <w:rPr>
          <w:rFonts w:hint="eastAsia" w:hAnsi="宋体"/>
          <w:b/>
          <w:color w:val="auto"/>
          <w:sz w:val="44"/>
          <w:szCs w:val="44"/>
          <w:highlight w:val="none"/>
        </w:rPr>
      </w:pPr>
      <w:bookmarkStart w:id="94" w:name="_Toc1718"/>
      <w:bookmarkStart w:id="95" w:name="_Toc16542"/>
      <w:bookmarkStart w:id="96" w:name="_Toc16358"/>
      <w:r>
        <w:rPr>
          <w:rFonts w:hint="eastAsia" w:hAnsi="宋体"/>
          <w:b/>
          <w:color w:val="auto"/>
          <w:sz w:val="44"/>
          <w:szCs w:val="44"/>
          <w:highlight w:val="none"/>
        </w:rPr>
        <w:br w:type="page"/>
      </w:r>
    </w:p>
    <w:p>
      <w:pPr>
        <w:pStyle w:val="22"/>
        <w:snapToGrid w:val="0"/>
        <w:jc w:val="center"/>
        <w:outlineLvl w:val="0"/>
        <w:rPr>
          <w:rFonts w:hAnsi="宋体"/>
          <w:b/>
          <w:color w:val="auto"/>
          <w:sz w:val="44"/>
          <w:szCs w:val="44"/>
          <w:highlight w:val="none"/>
        </w:rPr>
      </w:pPr>
      <w:r>
        <w:rPr>
          <w:rFonts w:hint="eastAsia" w:hAnsi="宋体"/>
          <w:b/>
          <w:color w:val="auto"/>
          <w:sz w:val="44"/>
          <w:szCs w:val="44"/>
          <w:highlight w:val="none"/>
        </w:rPr>
        <w:t>第四章  评标办法及评分标准</w:t>
      </w:r>
      <w:bookmarkEnd w:id="92"/>
      <w:bookmarkEnd w:id="93"/>
      <w:bookmarkEnd w:id="94"/>
      <w:bookmarkEnd w:id="95"/>
      <w:bookmarkEnd w:id="96"/>
    </w:p>
    <w:p>
      <w:pPr>
        <w:pStyle w:val="22"/>
        <w:outlineLvl w:val="0"/>
        <w:rPr>
          <w:rFonts w:hAnsi="宋体"/>
          <w:b/>
          <w:color w:val="auto"/>
          <w:highlight w:val="none"/>
        </w:rPr>
      </w:pPr>
      <w:bookmarkStart w:id="97" w:name="_Toc254970690"/>
      <w:bookmarkStart w:id="98" w:name="_Toc254970549"/>
    </w:p>
    <w:p>
      <w:pPr>
        <w:ind w:firstLine="420" w:firstLineChars="200"/>
        <w:jc w:val="center"/>
        <w:rPr>
          <w:rFonts w:ascii="宋体" w:hAnsi="宋体"/>
          <w:b/>
          <w:color w:val="auto"/>
          <w:sz w:val="32"/>
          <w:highlight w:val="none"/>
        </w:rPr>
      </w:pPr>
      <w:r>
        <w:rPr>
          <w:rFonts w:ascii="宋体" w:hAnsi="宋体"/>
          <w:color w:val="auto"/>
          <w:highlight w:val="none"/>
        </w:rPr>
        <w:br w:type="page"/>
      </w:r>
      <w:bookmarkEnd w:id="97"/>
      <w:bookmarkEnd w:id="98"/>
      <w:r>
        <w:rPr>
          <w:rFonts w:hint="eastAsia" w:ascii="宋体" w:hAnsi="宋体"/>
          <w:b/>
          <w:color w:val="auto"/>
          <w:sz w:val="32"/>
          <w:highlight w:val="none"/>
        </w:rPr>
        <w:t>评标方法和评标标准（综合评分法）</w:t>
      </w:r>
    </w:p>
    <w:p>
      <w:pPr>
        <w:numPr>
          <w:ilvl w:val="0"/>
          <w:numId w:val="3"/>
        </w:numPr>
        <w:spacing w:line="460" w:lineRule="atLeast"/>
        <w:ind w:firstLine="480" w:firstLineChars="200"/>
        <w:rPr>
          <w:rFonts w:ascii="宋体" w:hAnsi="宋体" w:cs="宋体"/>
          <w:color w:val="auto"/>
          <w:sz w:val="24"/>
          <w:highlight w:val="none"/>
        </w:rPr>
      </w:pPr>
      <w:r>
        <w:rPr>
          <w:rFonts w:hint="eastAsia" w:ascii="宋体" w:hAnsi="宋体" w:cs="宋体"/>
          <w:color w:val="auto"/>
          <w:sz w:val="24"/>
          <w:highlight w:val="none"/>
        </w:rPr>
        <w:t>评标委员会以招标文件为依据，对投标文件进行评审，对投标人的投标报价、技术文件及商务文件等三部分内容打分，其中价格分</w:t>
      </w:r>
      <w:r>
        <w:rPr>
          <w:rFonts w:ascii="宋体" w:hAnsi="宋体" w:cs="宋体"/>
          <w:color w:val="auto"/>
          <w:sz w:val="24"/>
          <w:highlight w:val="none"/>
        </w:rPr>
        <w:t>1</w:t>
      </w:r>
      <w:r>
        <w:rPr>
          <w:rFonts w:hint="eastAsia" w:ascii="宋体" w:hAnsi="宋体" w:cs="宋体"/>
          <w:color w:val="auto"/>
          <w:sz w:val="24"/>
          <w:highlight w:val="none"/>
        </w:rPr>
        <w:t>0分，技术分</w:t>
      </w:r>
      <w:r>
        <w:rPr>
          <w:rFonts w:ascii="宋体" w:hAnsi="宋体" w:cs="宋体"/>
          <w:color w:val="auto"/>
          <w:sz w:val="24"/>
          <w:highlight w:val="none"/>
        </w:rPr>
        <w:t>48</w:t>
      </w:r>
      <w:r>
        <w:rPr>
          <w:rFonts w:hint="eastAsia" w:ascii="宋体" w:hAnsi="宋体" w:cs="宋体"/>
          <w:color w:val="auto"/>
          <w:sz w:val="24"/>
          <w:highlight w:val="none"/>
        </w:rPr>
        <w:t>分，综合实力分3</w:t>
      </w:r>
      <w:r>
        <w:rPr>
          <w:rFonts w:ascii="宋体" w:hAnsi="宋体" w:cs="宋体"/>
          <w:color w:val="auto"/>
          <w:sz w:val="24"/>
          <w:highlight w:val="none"/>
        </w:rPr>
        <w:t>3</w:t>
      </w:r>
      <w:r>
        <w:rPr>
          <w:rFonts w:hint="eastAsia" w:ascii="宋体" w:hAnsi="宋体" w:cs="宋体"/>
          <w:color w:val="auto"/>
          <w:sz w:val="24"/>
          <w:highlight w:val="none"/>
        </w:rPr>
        <w:t xml:space="preserve">分，售后分9分，诚信分6分（诚信分为扣分）。      </w:t>
      </w:r>
    </w:p>
    <w:p>
      <w:pPr>
        <w:numPr>
          <w:ilvl w:val="0"/>
          <w:numId w:val="3"/>
        </w:numPr>
        <w:spacing w:line="460" w:lineRule="atLeast"/>
        <w:ind w:firstLine="480" w:firstLineChars="200"/>
        <w:rPr>
          <w:rFonts w:ascii="宋体" w:hAnsi="宋体" w:cs="宋体"/>
          <w:color w:val="auto"/>
          <w:sz w:val="24"/>
          <w:highlight w:val="none"/>
        </w:rPr>
      </w:pPr>
      <w:r>
        <w:rPr>
          <w:rFonts w:hint="eastAsia" w:ascii="宋体" w:hAnsi="宋体" w:cs="宋体"/>
          <w:color w:val="auto"/>
          <w:sz w:val="24"/>
          <w:highlight w:val="none"/>
        </w:rPr>
        <w:t>评分细则：</w:t>
      </w:r>
      <w:r>
        <w:rPr>
          <w:rFonts w:ascii="宋体" w:hAnsi="宋体" w:cs="宋体"/>
          <w:color w:val="auto"/>
          <w:sz w:val="24"/>
          <w:highlight w:val="none"/>
        </w:rPr>
        <w:t>综合评分法</w:t>
      </w:r>
      <w:r>
        <w:rPr>
          <w:rFonts w:hint="eastAsia" w:ascii="宋体" w:hAnsi="宋体" w:cs="宋体"/>
          <w:color w:val="auto"/>
          <w:sz w:val="24"/>
          <w:highlight w:val="none"/>
        </w:rPr>
        <w:t>（按四舍五入取至百分位）</w:t>
      </w:r>
    </w:p>
    <w:p>
      <w:pPr>
        <w:spacing w:line="460" w:lineRule="atLeast"/>
        <w:jc w:val="left"/>
        <w:rPr>
          <w:rFonts w:ascii="宋体" w:hAnsi="宋体" w:cs="宋体"/>
          <w:b/>
          <w:color w:val="auto"/>
          <w:sz w:val="24"/>
          <w:highlight w:val="none"/>
        </w:rPr>
      </w:pPr>
      <w:r>
        <w:rPr>
          <w:rFonts w:hint="eastAsia" w:ascii="宋体" w:hAnsi="宋体" w:cs="宋体"/>
          <w:b/>
          <w:color w:val="auto"/>
          <w:sz w:val="24"/>
          <w:highlight w:val="none"/>
        </w:rPr>
        <w:t xml:space="preserve">1、价格分……………………………………………………………………… </w:t>
      </w:r>
      <w:r>
        <w:rPr>
          <w:rFonts w:ascii="宋体" w:hAnsi="宋体" w:cs="宋体"/>
          <w:b/>
          <w:color w:val="auto"/>
          <w:sz w:val="24"/>
          <w:highlight w:val="none"/>
        </w:rPr>
        <w:t>1</w:t>
      </w:r>
      <w:r>
        <w:rPr>
          <w:rFonts w:hint="eastAsia" w:ascii="宋体" w:hAnsi="宋体" w:cs="宋体"/>
          <w:b/>
          <w:color w:val="auto"/>
          <w:sz w:val="24"/>
          <w:highlight w:val="none"/>
        </w:rPr>
        <w:t>0分</w:t>
      </w:r>
    </w:p>
    <w:p>
      <w:pPr>
        <w:pStyle w:val="22"/>
        <w:spacing w:line="460" w:lineRule="atLeast"/>
        <w:ind w:firstLine="480" w:firstLineChars="200"/>
        <w:rPr>
          <w:rFonts w:hAnsi="宋体" w:cs="宋体"/>
          <w:color w:val="auto"/>
          <w:sz w:val="24"/>
          <w:szCs w:val="24"/>
          <w:highlight w:val="none"/>
        </w:rPr>
      </w:pPr>
      <w:r>
        <w:rPr>
          <w:rFonts w:hAnsi="宋体" w:cs="宋体"/>
          <w:color w:val="auto"/>
          <w:sz w:val="24"/>
          <w:szCs w:val="24"/>
          <w:highlight w:val="none"/>
        </w:rPr>
        <w:t>（1）对于非专门面向中小企业的项目，对小型和微型企业产品的价格给予</w:t>
      </w:r>
      <w:r>
        <w:rPr>
          <w:rFonts w:hint="eastAsia" w:hAnsi="宋体" w:cs="宋体"/>
          <w:color w:val="auto"/>
          <w:sz w:val="24"/>
          <w:szCs w:val="24"/>
          <w:highlight w:val="none"/>
        </w:rPr>
        <w:t>10</w:t>
      </w:r>
      <w:r>
        <w:rPr>
          <w:rFonts w:hAnsi="宋体" w:cs="宋体"/>
          <w:color w:val="auto"/>
          <w:sz w:val="24"/>
          <w:szCs w:val="24"/>
          <w:highlight w:val="none"/>
        </w:rPr>
        <w:t>%的价格扣除，扣除后的价格为评标价，即评标价＝投标报价×（1-</w:t>
      </w:r>
      <w:r>
        <w:rPr>
          <w:rFonts w:hint="eastAsia" w:hAnsi="宋体" w:cs="宋体"/>
          <w:color w:val="auto"/>
          <w:sz w:val="24"/>
          <w:szCs w:val="24"/>
          <w:highlight w:val="none"/>
        </w:rPr>
        <w:t>10</w:t>
      </w:r>
      <w:r>
        <w:rPr>
          <w:rFonts w:hAnsi="宋体" w:cs="宋体"/>
          <w:color w:val="auto"/>
          <w:sz w:val="24"/>
          <w:szCs w:val="24"/>
          <w:highlight w:val="none"/>
        </w:rPr>
        <w:t>%）；（以投标人按第</w:t>
      </w:r>
      <w:r>
        <w:rPr>
          <w:rFonts w:hint="eastAsia"/>
          <w:color w:val="auto"/>
          <w:szCs w:val="44"/>
          <w:highlight w:val="none"/>
        </w:rPr>
        <w:t>六</w:t>
      </w:r>
      <w:r>
        <w:rPr>
          <w:rFonts w:hAnsi="宋体" w:cs="宋体"/>
          <w:color w:val="auto"/>
          <w:sz w:val="24"/>
          <w:szCs w:val="24"/>
          <w:highlight w:val="none"/>
        </w:rPr>
        <w:t>章“投标文件格式”要求提供的《报价表》和《中小企业声明函》为评分依据）</w:t>
      </w:r>
    </w:p>
    <w:p>
      <w:pPr>
        <w:pStyle w:val="22"/>
        <w:spacing w:line="460" w:lineRule="atLeast"/>
        <w:ind w:firstLine="480" w:firstLineChars="200"/>
        <w:rPr>
          <w:rFonts w:hAnsi="宋体" w:cs="宋体"/>
          <w:color w:val="auto"/>
          <w:sz w:val="24"/>
          <w:szCs w:val="24"/>
          <w:highlight w:val="none"/>
        </w:rPr>
      </w:pPr>
      <w:r>
        <w:rPr>
          <w:rFonts w:hAnsi="宋体" w:cs="宋体"/>
          <w:color w:val="auto"/>
          <w:sz w:val="24"/>
          <w:szCs w:val="24"/>
          <w:highlight w:val="none"/>
        </w:rPr>
        <w:t>（2）对大中型企业和其他自然人、法人或者其他组织与小型、微型企业组成联合体，且联合体协议中约定小型、微型企业的协议合同金额占到联合体协议合同总金额30%以上的，给予2%的价格扣除，扣除后的价格为评标价，即评标价＝投标报价×（1-2%）；</w:t>
      </w:r>
      <w:r>
        <w:rPr>
          <w:rFonts w:hAnsi="宋体" w:cs="宋体"/>
          <w:bCs/>
          <w:color w:val="auto"/>
          <w:sz w:val="24"/>
          <w:szCs w:val="24"/>
          <w:highlight w:val="none"/>
        </w:rPr>
        <w:t>（以投标人按</w:t>
      </w:r>
      <w:r>
        <w:rPr>
          <w:rFonts w:hAnsi="宋体" w:cs="宋体"/>
          <w:color w:val="auto"/>
          <w:sz w:val="24"/>
          <w:szCs w:val="24"/>
          <w:highlight w:val="none"/>
        </w:rPr>
        <w:t>第六章“</w:t>
      </w:r>
      <w:r>
        <w:rPr>
          <w:rFonts w:hAnsi="宋体" w:cs="宋体"/>
          <w:bCs/>
          <w:color w:val="auto"/>
          <w:sz w:val="24"/>
          <w:szCs w:val="24"/>
          <w:highlight w:val="none"/>
        </w:rPr>
        <w:t>投标文件格式”要求提供的《报价表》、《中小企业声明函》和《联合体协议书》为评分依据）</w:t>
      </w:r>
    </w:p>
    <w:p>
      <w:pPr>
        <w:pStyle w:val="22"/>
        <w:spacing w:line="460" w:lineRule="atLeast"/>
        <w:ind w:firstLine="480" w:firstLineChars="200"/>
        <w:rPr>
          <w:rFonts w:hAnsi="宋体" w:cs="宋体"/>
          <w:color w:val="auto"/>
          <w:sz w:val="24"/>
          <w:szCs w:val="24"/>
          <w:highlight w:val="none"/>
        </w:rPr>
      </w:pPr>
      <w:r>
        <w:rPr>
          <w:rFonts w:hAnsi="宋体" w:cs="宋体"/>
          <w:color w:val="auto"/>
          <w:sz w:val="24"/>
          <w:szCs w:val="24"/>
          <w:highlight w:val="none"/>
        </w:rPr>
        <w:t>（3）投标产品提供企业按《关于政府采购支持监狱企业发展有关问题的通知》(财库[2014]68号)认定为监狱企业的，在政府采购活动中，监狱企业视同小型、微型企业。（以投标人按第</w:t>
      </w:r>
      <w:r>
        <w:rPr>
          <w:rFonts w:hint="eastAsia" w:hAnsi="宋体" w:cs="宋体"/>
          <w:color w:val="auto"/>
          <w:sz w:val="24"/>
          <w:szCs w:val="24"/>
          <w:highlight w:val="none"/>
        </w:rPr>
        <w:t>六</w:t>
      </w:r>
      <w:r>
        <w:rPr>
          <w:rFonts w:hAnsi="宋体" w:cs="宋体"/>
          <w:color w:val="auto"/>
          <w:sz w:val="24"/>
          <w:szCs w:val="24"/>
          <w:highlight w:val="none"/>
        </w:rPr>
        <w:t>章“投标文件格式”要求提供的《报价表》和由省级以上监狱管理局、戒毒管理局(含新疆生产建设兵团)出具的属于监狱企业的证明文件为评分依据。</w:t>
      </w:r>
    </w:p>
    <w:p>
      <w:pPr>
        <w:pStyle w:val="22"/>
        <w:spacing w:line="460" w:lineRule="atLeast"/>
        <w:ind w:firstLine="480" w:firstLineChars="200"/>
        <w:rPr>
          <w:rFonts w:hAnsi="宋体" w:cs="宋体"/>
          <w:color w:val="auto"/>
          <w:sz w:val="24"/>
          <w:szCs w:val="24"/>
          <w:highlight w:val="none"/>
        </w:rPr>
      </w:pPr>
      <w:r>
        <w:rPr>
          <w:rFonts w:hAnsi="宋体" w:cs="宋体"/>
          <w:color w:val="auto"/>
          <w:sz w:val="24"/>
          <w:szCs w:val="24"/>
          <w:highlight w:val="none"/>
        </w:rPr>
        <w:t>（4）投标产品提供企业按《关于促进残疾人就业政府采购政策的通知》(财库〔2017〕141号)认定为残疾人福利性单位的，在政府采购活动中，残疾人福利性单位视同小型、微型企业。残疾人福利性单位参加政府采购活动时，应当提供该通知规定的《残疾人福利性单位声明函》，并对声明的真实性负责。声明函应随成交结果同时公告，接受社会监督。（以投标人按第</w:t>
      </w:r>
      <w:r>
        <w:rPr>
          <w:rFonts w:hint="eastAsia" w:hAnsi="宋体" w:cs="宋体"/>
          <w:color w:val="auto"/>
          <w:sz w:val="24"/>
          <w:szCs w:val="24"/>
          <w:highlight w:val="none"/>
        </w:rPr>
        <w:t>六</w:t>
      </w:r>
      <w:r>
        <w:rPr>
          <w:rFonts w:hAnsi="宋体" w:cs="宋体"/>
          <w:color w:val="auto"/>
          <w:sz w:val="24"/>
          <w:szCs w:val="24"/>
          <w:highlight w:val="none"/>
        </w:rPr>
        <w:t>章“投标文件格式”要求提供的《报价表》和《残疾人福利性单位声明函》为评分依据）</w:t>
      </w:r>
    </w:p>
    <w:p>
      <w:pPr>
        <w:pStyle w:val="22"/>
        <w:spacing w:line="460" w:lineRule="atLeast"/>
        <w:ind w:firstLine="480" w:firstLineChars="200"/>
        <w:rPr>
          <w:rFonts w:hAnsi="宋体" w:cs="宋体"/>
          <w:color w:val="auto"/>
          <w:sz w:val="24"/>
          <w:szCs w:val="24"/>
          <w:highlight w:val="none"/>
        </w:rPr>
      </w:pPr>
      <w:r>
        <w:rPr>
          <w:rFonts w:hAnsi="宋体" w:cs="宋体"/>
          <w:color w:val="auto"/>
          <w:sz w:val="24"/>
          <w:szCs w:val="24"/>
          <w:highlight w:val="none"/>
        </w:rPr>
        <w:t>（5）除上述情况外，评标价＝投标报价；</w:t>
      </w:r>
    </w:p>
    <w:p>
      <w:pPr>
        <w:spacing w:line="460" w:lineRule="atLeast"/>
        <w:ind w:firstLine="480" w:firstLineChars="200"/>
        <w:rPr>
          <w:rFonts w:ascii="宋体" w:hAnsi="宋体" w:cs="宋体"/>
          <w:color w:val="auto"/>
          <w:sz w:val="24"/>
          <w:highlight w:val="none"/>
        </w:rPr>
      </w:pPr>
      <w:r>
        <w:rPr>
          <w:rFonts w:hint="eastAsia" w:ascii="宋体" w:hAnsi="宋体" w:cs="宋体"/>
          <w:color w:val="auto"/>
          <w:sz w:val="24"/>
          <w:highlight w:val="none"/>
        </w:rPr>
        <w:t>（6）</w:t>
      </w:r>
      <w:r>
        <w:rPr>
          <w:rFonts w:hint="eastAsia" w:ascii="宋体" w:hAnsi="宋体" w:cs="宋体"/>
          <w:b/>
          <w:color w:val="auto"/>
          <w:sz w:val="24"/>
          <w:highlight w:val="none"/>
        </w:rPr>
        <w:t>评委委员会认为投标人的报价明显低于其他通过符合性审查投标人的报价，有可能影响产品质量或者不能诚信履约的，应当要求其在评标现场合理的时间内提供书面说明，必要时提交相关证明材料；投标人不能证明其报价合理的，评标委员会应当将其作无效投标处理</w:t>
      </w:r>
      <w:r>
        <w:rPr>
          <w:rStyle w:val="44"/>
          <w:rFonts w:hint="eastAsia"/>
          <w:color w:val="auto"/>
          <w:highlight w:val="none"/>
        </w:rPr>
        <w:t>。</w:t>
      </w:r>
    </w:p>
    <w:p>
      <w:pPr>
        <w:spacing w:line="460" w:lineRule="atLeast"/>
        <w:ind w:firstLine="480" w:firstLineChars="200"/>
        <w:rPr>
          <w:rFonts w:ascii="宋体" w:hAnsi="宋体" w:cs="宋体"/>
          <w:color w:val="auto"/>
          <w:sz w:val="24"/>
          <w:highlight w:val="none"/>
        </w:rPr>
      </w:pPr>
      <w:r>
        <w:rPr>
          <w:rFonts w:ascii="宋体" w:hAnsi="宋体" w:cs="宋体"/>
          <w:color w:val="auto"/>
          <w:sz w:val="24"/>
          <w:highlight w:val="none"/>
        </w:rPr>
        <w:t>（7）</w:t>
      </w:r>
      <w:r>
        <w:rPr>
          <w:rFonts w:hint="eastAsia" w:ascii="宋体" w:hAnsi="宋体" w:cs="宋体"/>
          <w:color w:val="auto"/>
          <w:sz w:val="24"/>
          <w:highlight w:val="none"/>
        </w:rPr>
        <w:t>价格分计算公式：</w:t>
      </w:r>
    </w:p>
    <w:p>
      <w:pPr>
        <w:pStyle w:val="22"/>
        <w:spacing w:line="360" w:lineRule="exact"/>
        <w:ind w:firstLine="200"/>
        <w:rPr>
          <w:rFonts w:hAnsi="宋体"/>
          <w:color w:val="auto"/>
          <w:sz w:val="24"/>
          <w:szCs w:val="24"/>
          <w:highlight w:val="none"/>
        </w:rPr>
      </w:pPr>
      <w:r>
        <w:rPr>
          <w:rFonts w:hint="eastAsia" w:hAnsi="宋体"/>
          <w:color w:val="auto"/>
          <w:sz w:val="24"/>
          <w:szCs w:val="24"/>
          <w:highlight w:val="none"/>
        </w:rPr>
        <w:t xml:space="preserve">                         投标人最低评标价金额</w:t>
      </w:r>
    </w:p>
    <w:p>
      <w:pPr>
        <w:pStyle w:val="22"/>
        <w:spacing w:line="320" w:lineRule="exact"/>
        <w:ind w:firstLine="720" w:firstLineChars="300"/>
        <w:rPr>
          <w:rFonts w:hAnsi="宋体"/>
          <w:color w:val="auto"/>
          <w:sz w:val="24"/>
          <w:szCs w:val="24"/>
          <w:highlight w:val="none"/>
        </w:rPr>
      </w:pPr>
      <w:r>
        <w:rPr>
          <w:rFonts w:hint="eastAsia" w:hAnsi="宋体"/>
          <w:color w:val="auto"/>
          <w:sz w:val="24"/>
          <w:szCs w:val="24"/>
          <w:highlight w:val="none"/>
        </w:rPr>
        <w:t>某投标人价格分 ＝</w:t>
      </w:r>
      <w:r>
        <w:rPr>
          <w:rFonts w:hint="eastAsia" w:hAnsi="宋体"/>
          <w:b/>
          <w:strike/>
          <w:color w:val="auto"/>
          <w:sz w:val="24"/>
          <w:szCs w:val="24"/>
          <w:highlight w:val="none"/>
        </w:rPr>
        <w:t xml:space="preserve">                           </w:t>
      </w:r>
      <w:r>
        <w:rPr>
          <w:rFonts w:hint="eastAsia" w:hAnsi="宋体"/>
          <w:color w:val="auto"/>
          <w:sz w:val="24"/>
          <w:szCs w:val="24"/>
          <w:highlight w:val="none"/>
        </w:rPr>
        <w:t>×</w:t>
      </w:r>
      <w:r>
        <w:rPr>
          <w:rFonts w:hAnsi="宋体"/>
          <w:color w:val="auto"/>
          <w:sz w:val="24"/>
          <w:szCs w:val="24"/>
          <w:highlight w:val="none"/>
        </w:rPr>
        <w:t>1</w:t>
      </w:r>
      <w:r>
        <w:rPr>
          <w:rFonts w:hint="eastAsia" w:hAnsi="宋体"/>
          <w:color w:val="auto"/>
          <w:sz w:val="24"/>
          <w:szCs w:val="24"/>
          <w:highlight w:val="none"/>
        </w:rPr>
        <w:t>0分</w:t>
      </w:r>
    </w:p>
    <w:p>
      <w:pPr>
        <w:pStyle w:val="22"/>
        <w:spacing w:line="360" w:lineRule="exact"/>
        <w:ind w:firstLine="200"/>
        <w:rPr>
          <w:rFonts w:hAnsi="宋体"/>
          <w:color w:val="auto"/>
          <w:sz w:val="24"/>
          <w:szCs w:val="24"/>
          <w:highlight w:val="none"/>
        </w:rPr>
      </w:pPr>
      <w:r>
        <w:rPr>
          <w:rFonts w:hint="eastAsia" w:hAnsi="宋体"/>
          <w:color w:val="auto"/>
          <w:sz w:val="24"/>
          <w:szCs w:val="24"/>
          <w:highlight w:val="none"/>
        </w:rPr>
        <w:t xml:space="preserve">                           某投标人评标价金额</w:t>
      </w:r>
    </w:p>
    <w:p>
      <w:pPr>
        <w:spacing w:line="460" w:lineRule="atLeast"/>
        <w:ind w:firstLine="480" w:firstLineChars="200"/>
        <w:rPr>
          <w:rFonts w:ascii="宋体" w:hAnsi="宋体" w:cs="宋体"/>
          <w:b/>
          <w:color w:val="auto"/>
          <w:sz w:val="24"/>
          <w:highlight w:val="none"/>
        </w:rPr>
      </w:pPr>
      <w:r>
        <w:rPr>
          <w:rFonts w:hint="eastAsia" w:ascii="宋体" w:hAnsi="宋体" w:cs="宋体"/>
          <w:color w:val="auto"/>
          <w:sz w:val="24"/>
          <w:highlight w:val="none"/>
        </w:rPr>
        <w:t xml:space="preserve">                   </w:t>
      </w:r>
    </w:p>
    <w:p>
      <w:pPr>
        <w:pStyle w:val="33"/>
        <w:spacing w:line="360" w:lineRule="auto"/>
        <w:ind w:left="101" w:leftChars="48" w:firstLine="354" w:firstLineChars="147"/>
        <w:rPr>
          <w:rFonts w:ascii="宋体" w:hAnsi="宋体" w:cs="宋体"/>
          <w:b/>
          <w:bCs/>
          <w:color w:val="auto"/>
          <w:sz w:val="24"/>
          <w:highlight w:val="none"/>
        </w:rPr>
      </w:pPr>
      <w:r>
        <w:rPr>
          <w:rFonts w:hint="eastAsia" w:ascii="宋体" w:hAnsi="宋体" w:cs="宋体"/>
          <w:b/>
          <w:bCs/>
          <w:color w:val="auto"/>
          <w:sz w:val="24"/>
          <w:highlight w:val="none"/>
        </w:rPr>
        <w:t>2、</w:t>
      </w:r>
      <w:r>
        <w:rPr>
          <w:rFonts w:ascii="宋体" w:hAnsi="宋体" w:cs="宋体"/>
          <w:b/>
          <w:bCs/>
          <w:color w:val="auto"/>
          <w:sz w:val="24"/>
          <w:highlight w:val="none"/>
        </w:rPr>
        <w:t>技术分</w:t>
      </w:r>
      <w:r>
        <w:rPr>
          <w:rFonts w:hint="eastAsia" w:ascii="宋体" w:hAnsi="宋体" w:cs="宋体"/>
          <w:b/>
          <w:color w:val="auto"/>
          <w:sz w:val="24"/>
          <w:highlight w:val="none"/>
        </w:rPr>
        <w:t>……………………………………………………</w:t>
      </w:r>
      <w:r>
        <w:rPr>
          <w:rFonts w:hint="eastAsia" w:ascii="宋体" w:hAnsi="宋体" w:cs="宋体"/>
          <w:b/>
          <w:bCs/>
          <w:color w:val="auto"/>
          <w:sz w:val="24"/>
          <w:highlight w:val="none"/>
        </w:rPr>
        <w:t>…………</w:t>
      </w:r>
      <w:r>
        <w:rPr>
          <w:rFonts w:hint="eastAsia" w:ascii="宋体" w:hAnsi="宋体" w:cs="宋体"/>
          <w:b/>
          <w:color w:val="auto"/>
          <w:sz w:val="24"/>
          <w:highlight w:val="none"/>
        </w:rPr>
        <w:t>…满分</w:t>
      </w:r>
      <w:r>
        <w:rPr>
          <w:rFonts w:ascii="宋体" w:hAnsi="宋体" w:cs="宋体"/>
          <w:b/>
          <w:color w:val="auto"/>
          <w:sz w:val="24"/>
          <w:highlight w:val="none"/>
        </w:rPr>
        <w:t>48</w:t>
      </w:r>
      <w:r>
        <w:rPr>
          <w:rFonts w:hint="eastAsia" w:ascii="宋体" w:hAnsi="宋体" w:cs="宋体"/>
          <w:b/>
          <w:color w:val="auto"/>
          <w:sz w:val="24"/>
          <w:highlight w:val="none"/>
        </w:rPr>
        <w:t>分</w:t>
      </w:r>
    </w:p>
    <w:p>
      <w:pPr>
        <w:pStyle w:val="33"/>
        <w:spacing w:line="360" w:lineRule="auto"/>
        <w:ind w:left="0" w:leftChars="0" w:firstLine="480" w:firstLineChars="200"/>
        <w:rPr>
          <w:rFonts w:ascii="宋体" w:hAnsi="宋体" w:cs="宋体"/>
          <w:color w:val="auto"/>
          <w:sz w:val="24"/>
          <w:highlight w:val="none"/>
          <w:lang w:eastAsia="zh-Hans"/>
        </w:rPr>
      </w:pPr>
      <w:r>
        <w:rPr>
          <w:rFonts w:hint="eastAsia" w:ascii="宋体" w:hAnsi="宋体" w:cs="宋体"/>
          <w:color w:val="auto"/>
          <w:sz w:val="24"/>
          <w:highlight w:val="none"/>
          <w:lang w:eastAsia="zh-Hans"/>
        </w:rPr>
        <w:t>（</w:t>
      </w:r>
      <w:r>
        <w:rPr>
          <w:rFonts w:ascii="宋体" w:hAnsi="宋体" w:cs="宋体"/>
          <w:color w:val="auto"/>
          <w:sz w:val="24"/>
          <w:highlight w:val="none"/>
          <w:lang w:eastAsia="zh-Hans"/>
        </w:rPr>
        <w:t>1</w:t>
      </w:r>
      <w:r>
        <w:rPr>
          <w:rFonts w:hint="eastAsia" w:ascii="宋体" w:hAnsi="宋体" w:cs="宋体"/>
          <w:color w:val="auto"/>
          <w:sz w:val="24"/>
          <w:highlight w:val="none"/>
          <w:lang w:eastAsia="zh-Hans"/>
        </w:rPr>
        <w:t>）整体</w:t>
      </w:r>
      <w:r>
        <w:rPr>
          <w:rFonts w:ascii="宋体" w:hAnsi="宋体" w:cs="宋体"/>
          <w:color w:val="auto"/>
          <w:sz w:val="24"/>
          <w:highlight w:val="none"/>
          <w:lang w:eastAsia="zh-Hans"/>
        </w:rPr>
        <w:t>技术</w:t>
      </w:r>
      <w:r>
        <w:rPr>
          <w:rFonts w:hint="eastAsia" w:ascii="宋体" w:hAnsi="宋体" w:cs="宋体"/>
          <w:color w:val="auto"/>
          <w:sz w:val="24"/>
          <w:highlight w:val="none"/>
          <w:lang w:eastAsia="zh-Hans"/>
        </w:rPr>
        <w:t>方案</w:t>
      </w:r>
    </w:p>
    <w:p>
      <w:pPr>
        <w:pStyle w:val="33"/>
        <w:spacing w:line="360" w:lineRule="auto"/>
        <w:ind w:left="0" w:leftChars="0" w:firstLine="480" w:firstLineChars="200"/>
        <w:rPr>
          <w:rFonts w:ascii="宋体" w:hAnsi="宋体" w:cs="宋体"/>
          <w:color w:val="auto"/>
          <w:sz w:val="24"/>
          <w:highlight w:val="none"/>
          <w:lang w:eastAsia="zh-Hans"/>
        </w:rPr>
      </w:pPr>
      <w:r>
        <w:rPr>
          <w:rFonts w:hint="eastAsia" w:ascii="宋体" w:hAnsi="宋体" w:cs="宋体"/>
          <w:color w:val="auto"/>
          <w:sz w:val="24"/>
          <w:highlight w:val="none"/>
          <w:lang w:eastAsia="zh-Hans"/>
        </w:rPr>
        <w:t>要求投标人提供项目整体设计方案,</w:t>
      </w:r>
      <w:r>
        <w:rPr>
          <w:rFonts w:ascii="宋体" w:hAnsi="宋体" w:cs="宋体"/>
          <w:color w:val="auto"/>
          <w:sz w:val="24"/>
          <w:highlight w:val="none"/>
          <w:lang w:eastAsia="zh-Hans"/>
        </w:rPr>
        <w:t>设计方案按专家意见，分为以下三档：</w:t>
      </w:r>
    </w:p>
    <w:p>
      <w:pPr>
        <w:spacing w:line="360" w:lineRule="auto"/>
        <w:ind w:firstLine="420"/>
        <w:rPr>
          <w:rFonts w:ascii="宋体" w:hAnsi="宋体" w:cs="宋体"/>
          <w:color w:val="auto"/>
          <w:sz w:val="24"/>
          <w:highlight w:val="none"/>
          <w:lang w:eastAsia="zh-Hans"/>
        </w:rPr>
      </w:pPr>
      <w:r>
        <w:rPr>
          <w:rFonts w:hint="eastAsia" w:ascii="宋体" w:hAnsi="宋体" w:cs="宋体"/>
          <w:color w:val="auto"/>
          <w:sz w:val="24"/>
          <w:highlight w:val="none"/>
          <w:lang w:eastAsia="zh-Hans"/>
        </w:rPr>
        <w:t>一档（</w:t>
      </w:r>
      <w:r>
        <w:rPr>
          <w:rFonts w:hint="eastAsia" w:ascii="宋体" w:hAnsi="宋体" w:cs="宋体"/>
          <w:color w:val="auto"/>
          <w:sz w:val="24"/>
          <w:highlight w:val="none"/>
        </w:rPr>
        <w:t>3</w:t>
      </w:r>
      <w:r>
        <w:rPr>
          <w:rFonts w:hint="eastAsia" w:ascii="宋体" w:hAnsi="宋体" w:cs="宋体"/>
          <w:color w:val="auto"/>
          <w:sz w:val="24"/>
          <w:highlight w:val="none"/>
          <w:lang w:eastAsia="zh-Hans"/>
        </w:rPr>
        <w:t>分）：投标人基本理解本项目的建设背景、目标、范围，能阐述项目服务需求，</w:t>
      </w:r>
      <w:r>
        <w:rPr>
          <w:rFonts w:ascii="宋体" w:hAnsi="宋体" w:cs="宋体"/>
          <w:color w:val="auto"/>
          <w:sz w:val="24"/>
          <w:highlight w:val="none"/>
          <w:lang w:eastAsia="zh-Hans"/>
        </w:rPr>
        <w:t>基本</w:t>
      </w:r>
      <w:r>
        <w:rPr>
          <w:rFonts w:hint="eastAsia" w:ascii="宋体" w:hAnsi="宋体" w:cs="宋体"/>
          <w:color w:val="auto"/>
          <w:sz w:val="24"/>
          <w:highlight w:val="none"/>
          <w:lang w:eastAsia="zh-Hans"/>
        </w:rPr>
        <w:t>把握</w:t>
      </w:r>
      <w:r>
        <w:rPr>
          <w:rFonts w:ascii="宋体" w:hAnsi="宋体" w:cs="宋体"/>
          <w:color w:val="auto"/>
          <w:sz w:val="24"/>
          <w:highlight w:val="none"/>
          <w:lang w:eastAsia="zh-Hans"/>
        </w:rPr>
        <w:t>了</w:t>
      </w:r>
      <w:r>
        <w:rPr>
          <w:rFonts w:hint="eastAsia" w:ascii="宋体" w:hAnsi="宋体" w:cs="宋体"/>
          <w:color w:val="auto"/>
          <w:sz w:val="24"/>
          <w:highlight w:val="none"/>
          <w:lang w:eastAsia="zh-Hans"/>
        </w:rPr>
        <w:t>本项目的技术重点、难点，</w:t>
      </w:r>
      <w:r>
        <w:rPr>
          <w:rFonts w:ascii="宋体" w:hAnsi="宋体" w:cs="宋体"/>
          <w:color w:val="auto"/>
          <w:sz w:val="24"/>
          <w:highlight w:val="none"/>
          <w:lang w:eastAsia="zh-Hans"/>
        </w:rPr>
        <w:t>技术</w:t>
      </w:r>
      <w:r>
        <w:rPr>
          <w:rFonts w:hint="eastAsia" w:ascii="宋体" w:hAnsi="宋体" w:cs="宋体"/>
          <w:color w:val="auto"/>
          <w:sz w:val="24"/>
          <w:highlight w:val="none"/>
          <w:lang w:eastAsia="zh-Hans"/>
        </w:rPr>
        <w:t>方案方案</w:t>
      </w:r>
      <w:r>
        <w:rPr>
          <w:rFonts w:ascii="宋体" w:hAnsi="宋体" w:cs="宋体"/>
          <w:color w:val="auto"/>
          <w:sz w:val="24"/>
          <w:highlight w:val="none"/>
          <w:lang w:eastAsia="zh-Hans"/>
        </w:rPr>
        <w:t>基本可行</w:t>
      </w:r>
      <w:r>
        <w:rPr>
          <w:rFonts w:hint="eastAsia" w:ascii="宋体" w:hAnsi="宋体" w:cs="宋体"/>
          <w:color w:val="auto"/>
          <w:sz w:val="24"/>
          <w:highlight w:val="none"/>
          <w:lang w:eastAsia="zh-Hans"/>
        </w:rPr>
        <w:t>，设计方案简单但可用，无明显错误。</w:t>
      </w:r>
    </w:p>
    <w:p>
      <w:pPr>
        <w:spacing w:line="360" w:lineRule="auto"/>
        <w:ind w:firstLine="420"/>
        <w:rPr>
          <w:rFonts w:ascii="宋体" w:hAnsi="宋体" w:cs="宋体"/>
          <w:color w:val="auto"/>
          <w:sz w:val="24"/>
          <w:highlight w:val="none"/>
          <w:lang w:eastAsia="zh-Hans"/>
        </w:rPr>
      </w:pPr>
      <w:r>
        <w:rPr>
          <w:rFonts w:hint="eastAsia" w:ascii="宋体" w:hAnsi="宋体" w:cs="宋体"/>
          <w:color w:val="auto"/>
          <w:sz w:val="24"/>
          <w:highlight w:val="none"/>
          <w:lang w:eastAsia="zh-Hans"/>
        </w:rPr>
        <w:t>二档（</w:t>
      </w:r>
      <w:r>
        <w:rPr>
          <w:rFonts w:hint="eastAsia" w:ascii="宋体" w:hAnsi="宋体" w:cs="宋体"/>
          <w:color w:val="auto"/>
          <w:sz w:val="24"/>
          <w:highlight w:val="none"/>
        </w:rPr>
        <w:t>7</w:t>
      </w:r>
      <w:r>
        <w:rPr>
          <w:rFonts w:hint="eastAsia" w:ascii="宋体" w:hAnsi="宋体" w:cs="宋体"/>
          <w:color w:val="auto"/>
          <w:sz w:val="24"/>
          <w:highlight w:val="none"/>
          <w:lang w:eastAsia="zh-Hans"/>
        </w:rPr>
        <w:t>分）：投标人能较为准确</w:t>
      </w:r>
      <w:r>
        <w:rPr>
          <w:rFonts w:ascii="宋体" w:hAnsi="宋体" w:cs="宋体"/>
          <w:color w:val="auto"/>
          <w:sz w:val="24"/>
          <w:highlight w:val="none"/>
          <w:lang w:eastAsia="zh-Hans"/>
        </w:rPr>
        <w:t>的</w:t>
      </w:r>
      <w:r>
        <w:rPr>
          <w:rFonts w:hint="eastAsia" w:ascii="宋体" w:hAnsi="宋体" w:cs="宋体"/>
          <w:color w:val="auto"/>
          <w:sz w:val="24"/>
          <w:highlight w:val="none"/>
          <w:lang w:eastAsia="zh-Hans"/>
        </w:rPr>
        <w:t>理解本项目的建设背景、目标、范围，能阐述项目服务需求，能较好</w:t>
      </w:r>
      <w:r>
        <w:rPr>
          <w:rFonts w:ascii="宋体" w:hAnsi="宋体" w:cs="宋体"/>
          <w:color w:val="auto"/>
          <w:sz w:val="24"/>
          <w:highlight w:val="none"/>
          <w:lang w:eastAsia="zh-Hans"/>
        </w:rPr>
        <w:t>的</w:t>
      </w:r>
      <w:r>
        <w:rPr>
          <w:rFonts w:hint="eastAsia" w:ascii="宋体" w:hAnsi="宋体" w:cs="宋体"/>
          <w:color w:val="auto"/>
          <w:sz w:val="24"/>
          <w:highlight w:val="none"/>
          <w:lang w:eastAsia="zh-Hans"/>
        </w:rPr>
        <w:t>把握本项目的技术重点、难点，提出</w:t>
      </w:r>
      <w:r>
        <w:rPr>
          <w:rFonts w:ascii="宋体" w:hAnsi="宋体" w:cs="宋体"/>
          <w:color w:val="auto"/>
          <w:sz w:val="24"/>
          <w:highlight w:val="none"/>
          <w:lang w:eastAsia="zh-Hans"/>
        </w:rPr>
        <w:t>整体技术</w:t>
      </w:r>
      <w:r>
        <w:rPr>
          <w:rFonts w:hint="eastAsia" w:ascii="宋体" w:hAnsi="宋体" w:cs="宋体"/>
          <w:color w:val="auto"/>
          <w:sz w:val="24"/>
          <w:highlight w:val="none"/>
          <w:lang w:eastAsia="zh-Hans"/>
        </w:rPr>
        <w:t>方案比较详细，可行</w:t>
      </w:r>
      <w:r>
        <w:rPr>
          <w:rFonts w:ascii="宋体" w:hAnsi="宋体" w:cs="宋体"/>
          <w:color w:val="auto"/>
          <w:sz w:val="24"/>
          <w:highlight w:val="none"/>
          <w:lang w:eastAsia="zh-Hans"/>
        </w:rPr>
        <w:t>性</w:t>
      </w:r>
      <w:r>
        <w:rPr>
          <w:rFonts w:hint="eastAsia" w:ascii="宋体" w:hAnsi="宋体" w:cs="宋体"/>
          <w:color w:val="auto"/>
          <w:sz w:val="24"/>
          <w:highlight w:val="none"/>
          <w:lang w:eastAsia="zh-Hans"/>
        </w:rPr>
        <w:t>较好，技术</w:t>
      </w:r>
      <w:r>
        <w:rPr>
          <w:rFonts w:ascii="宋体" w:hAnsi="宋体" w:cs="宋体"/>
          <w:color w:val="auto"/>
          <w:sz w:val="24"/>
          <w:highlight w:val="none"/>
          <w:lang w:eastAsia="zh-Hans"/>
        </w:rPr>
        <w:t>较为</w:t>
      </w:r>
      <w:r>
        <w:rPr>
          <w:rFonts w:hint="eastAsia" w:ascii="宋体" w:hAnsi="宋体" w:cs="宋体"/>
          <w:color w:val="auto"/>
          <w:sz w:val="24"/>
          <w:highlight w:val="none"/>
          <w:lang w:eastAsia="zh-Hans"/>
        </w:rPr>
        <w:t>先进。</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eastAsia="zh-Hans"/>
        </w:rPr>
        <w:t>三档（1</w:t>
      </w:r>
      <w:r>
        <w:rPr>
          <w:rFonts w:ascii="宋体" w:hAnsi="宋体" w:cs="宋体"/>
          <w:color w:val="auto"/>
          <w:sz w:val="24"/>
          <w:highlight w:val="none"/>
          <w:lang w:eastAsia="zh-Hans"/>
        </w:rPr>
        <w:t>0</w:t>
      </w:r>
      <w:r>
        <w:rPr>
          <w:rFonts w:hint="eastAsia" w:ascii="宋体" w:hAnsi="宋体" w:cs="宋体"/>
          <w:color w:val="auto"/>
          <w:sz w:val="24"/>
          <w:highlight w:val="none"/>
          <w:lang w:eastAsia="zh-Hans"/>
        </w:rPr>
        <w:t>分）：投标人完全准确理解本项目的建设背景、目标、范围，能阐述项目服务需求，对需求能进行详细分析，可以准确把握本项目的技术重点、难点，提出了先进、详细、完善、全面可行</w:t>
      </w:r>
      <w:r>
        <w:rPr>
          <w:rFonts w:ascii="宋体" w:hAnsi="宋体" w:cs="宋体"/>
          <w:color w:val="auto"/>
          <w:sz w:val="24"/>
          <w:highlight w:val="none"/>
          <w:lang w:eastAsia="zh-Hans"/>
        </w:rPr>
        <w:t>的整体技术</w:t>
      </w:r>
      <w:r>
        <w:rPr>
          <w:rFonts w:hint="eastAsia" w:ascii="宋体" w:hAnsi="宋体" w:cs="宋体"/>
          <w:color w:val="auto"/>
          <w:sz w:val="24"/>
          <w:highlight w:val="none"/>
          <w:lang w:eastAsia="zh-Hans"/>
        </w:rPr>
        <w:t>方案，能够完全满足</w:t>
      </w:r>
      <w:r>
        <w:rPr>
          <w:rFonts w:hint="eastAsia" w:ascii="宋体" w:hAnsi="宋体" w:cs="宋体"/>
          <w:color w:val="auto"/>
          <w:sz w:val="24"/>
          <w:highlight w:val="none"/>
        </w:rPr>
        <w:t>数据</w:t>
      </w:r>
      <w:r>
        <w:rPr>
          <w:rFonts w:hint="eastAsia" w:ascii="宋体" w:hAnsi="宋体" w:cs="宋体"/>
          <w:color w:val="auto"/>
          <w:sz w:val="24"/>
          <w:highlight w:val="none"/>
          <w:lang w:eastAsia="zh-Hans"/>
        </w:rPr>
        <w:t>中台的可信共享需求</w:t>
      </w:r>
      <w:r>
        <w:rPr>
          <w:rFonts w:hint="eastAsia" w:ascii="宋体" w:hAnsi="宋体" w:cs="宋体"/>
          <w:color w:val="auto"/>
          <w:sz w:val="24"/>
          <w:highlight w:val="none"/>
        </w:rPr>
        <w:t>，</w:t>
      </w:r>
      <w:r>
        <w:rPr>
          <w:rFonts w:hint="eastAsia" w:ascii="宋体" w:hAnsi="宋体" w:cs="宋体"/>
          <w:color w:val="auto"/>
          <w:sz w:val="24"/>
          <w:highlight w:val="none"/>
          <w:lang w:eastAsia="zh-Hans"/>
        </w:rPr>
        <w:t>且思路清晰，设计合理</w:t>
      </w:r>
      <w:r>
        <w:rPr>
          <w:rFonts w:hint="eastAsia" w:ascii="宋体" w:hAnsi="宋体" w:cs="宋体"/>
          <w:color w:val="auto"/>
          <w:sz w:val="24"/>
          <w:highlight w:val="none"/>
        </w:rPr>
        <w:t>。</w:t>
      </w:r>
    </w:p>
    <w:p>
      <w:pPr>
        <w:pStyle w:val="33"/>
        <w:spacing w:line="360" w:lineRule="auto"/>
        <w:ind w:left="0" w:leftChars="0" w:firstLine="480" w:firstLineChars="200"/>
        <w:rPr>
          <w:rFonts w:ascii="宋体" w:hAnsi="宋体" w:cs="宋体"/>
          <w:color w:val="auto"/>
          <w:highlight w:val="none"/>
        </w:rPr>
      </w:pPr>
      <w:r>
        <w:rPr>
          <w:rFonts w:hint="eastAsia" w:ascii="宋体" w:hAnsi="宋体" w:cs="宋体"/>
          <w:color w:val="auto"/>
          <w:sz w:val="24"/>
          <w:highlight w:val="none"/>
        </w:rPr>
        <w:t>未提供相关内容或者不满足进档要求的不得分。本项最多可得</w:t>
      </w:r>
      <w:r>
        <w:rPr>
          <w:rFonts w:ascii="宋体" w:hAnsi="宋体" w:cs="宋体"/>
          <w:color w:val="auto"/>
          <w:sz w:val="24"/>
          <w:highlight w:val="none"/>
        </w:rPr>
        <w:t>10</w:t>
      </w:r>
      <w:r>
        <w:rPr>
          <w:rFonts w:hint="eastAsia" w:ascii="宋体" w:hAnsi="宋体" w:cs="宋体"/>
          <w:color w:val="auto"/>
          <w:sz w:val="24"/>
          <w:highlight w:val="none"/>
        </w:rPr>
        <w:t>分</w:t>
      </w:r>
      <w:r>
        <w:rPr>
          <w:rFonts w:hint="eastAsia" w:ascii="宋体" w:hAnsi="宋体" w:cs="宋体"/>
          <w:color w:val="auto"/>
          <w:highlight w:val="none"/>
        </w:rPr>
        <w:t>。</w:t>
      </w:r>
    </w:p>
    <w:p>
      <w:pPr>
        <w:pStyle w:val="33"/>
        <w:spacing w:line="360" w:lineRule="auto"/>
        <w:ind w:left="0" w:leftChars="0" w:firstLine="480" w:firstLineChars="200"/>
        <w:rPr>
          <w:rFonts w:ascii="宋体" w:hAnsi="宋体" w:cs="宋体"/>
          <w:color w:val="auto"/>
          <w:sz w:val="24"/>
          <w:highlight w:val="none"/>
          <w:lang w:eastAsia="zh-Hans"/>
        </w:rPr>
      </w:pPr>
      <w:r>
        <w:rPr>
          <w:rFonts w:hint="eastAsia" w:ascii="宋体" w:hAnsi="宋体" w:cs="宋体"/>
          <w:color w:val="auto"/>
          <w:sz w:val="24"/>
          <w:highlight w:val="none"/>
          <w:lang w:eastAsia="zh-Hans"/>
        </w:rPr>
        <w:t>（</w:t>
      </w:r>
      <w:r>
        <w:rPr>
          <w:rFonts w:ascii="宋体" w:hAnsi="宋体" w:cs="宋体"/>
          <w:color w:val="auto"/>
          <w:sz w:val="24"/>
          <w:highlight w:val="none"/>
          <w:lang w:eastAsia="zh-Hans"/>
        </w:rPr>
        <w:t>2</w:t>
      </w:r>
      <w:r>
        <w:rPr>
          <w:rFonts w:hint="eastAsia" w:ascii="宋体" w:hAnsi="宋体" w:cs="宋体"/>
          <w:color w:val="auto"/>
          <w:sz w:val="24"/>
          <w:highlight w:val="none"/>
          <w:lang w:eastAsia="zh-Hans"/>
        </w:rPr>
        <w:t>）配置及功能</w:t>
      </w:r>
    </w:p>
    <w:p>
      <w:pPr>
        <w:pStyle w:val="33"/>
        <w:spacing w:line="360" w:lineRule="auto"/>
        <w:ind w:left="0" w:leftChars="0" w:firstLine="480" w:firstLineChars="200"/>
        <w:rPr>
          <w:rFonts w:ascii="宋体" w:hAnsi="宋体" w:cs="宋体"/>
          <w:color w:val="auto"/>
          <w:sz w:val="24"/>
          <w:highlight w:val="none"/>
          <w:lang w:eastAsia="zh-Hans"/>
        </w:rPr>
      </w:pPr>
      <w:r>
        <w:rPr>
          <w:rFonts w:hint="eastAsia" w:ascii="宋体" w:hAnsi="宋体" w:cs="宋体"/>
          <w:color w:val="auto"/>
          <w:sz w:val="24"/>
          <w:highlight w:val="none"/>
        </w:rPr>
        <w:t>根据投标人针对本项目提供的软件产品配置，以及将开发的应用软件产品的功能情况，由评委会进行对比评定，</w:t>
      </w:r>
      <w:r>
        <w:rPr>
          <w:rFonts w:ascii="宋体" w:hAnsi="宋体" w:cs="宋体"/>
          <w:color w:val="auto"/>
          <w:sz w:val="24"/>
          <w:highlight w:val="none"/>
          <w:lang w:eastAsia="zh-Hans"/>
        </w:rPr>
        <w:t>分为以下三档：</w:t>
      </w:r>
    </w:p>
    <w:p>
      <w:pPr>
        <w:spacing w:line="360" w:lineRule="auto"/>
        <w:ind w:firstLine="420"/>
        <w:rPr>
          <w:rFonts w:ascii="宋体" w:hAnsi="宋体" w:cs="宋体"/>
          <w:color w:val="auto"/>
          <w:sz w:val="24"/>
          <w:highlight w:val="none"/>
          <w:lang w:eastAsia="zh-Hans"/>
        </w:rPr>
      </w:pPr>
      <w:r>
        <w:rPr>
          <w:rFonts w:hint="eastAsia" w:ascii="宋体" w:hAnsi="宋体" w:cs="宋体"/>
          <w:color w:val="auto"/>
          <w:sz w:val="24"/>
          <w:highlight w:val="none"/>
          <w:lang w:eastAsia="zh-Hans"/>
        </w:rPr>
        <w:t>一档（</w:t>
      </w:r>
      <w:r>
        <w:rPr>
          <w:rFonts w:hint="eastAsia" w:ascii="宋体" w:hAnsi="宋体" w:cs="宋体"/>
          <w:color w:val="auto"/>
          <w:sz w:val="24"/>
          <w:highlight w:val="none"/>
        </w:rPr>
        <w:t>3</w:t>
      </w:r>
      <w:r>
        <w:rPr>
          <w:rFonts w:hint="eastAsia" w:ascii="宋体" w:hAnsi="宋体" w:cs="宋体"/>
          <w:color w:val="auto"/>
          <w:sz w:val="24"/>
          <w:highlight w:val="none"/>
          <w:lang w:eastAsia="zh-Hans"/>
        </w:rPr>
        <w:t>分）：投标人基本理解本项目</w:t>
      </w:r>
      <w:r>
        <w:rPr>
          <w:rFonts w:hint="eastAsia" w:ascii="宋体" w:hAnsi="宋体" w:cs="宋体"/>
          <w:color w:val="auto"/>
          <w:sz w:val="24"/>
          <w:highlight w:val="none"/>
        </w:rPr>
        <w:t>软件</w:t>
      </w:r>
      <w:r>
        <w:rPr>
          <w:rFonts w:hint="eastAsia" w:ascii="宋体" w:hAnsi="宋体" w:cs="宋体"/>
          <w:color w:val="auto"/>
          <w:sz w:val="24"/>
          <w:highlight w:val="none"/>
          <w:lang w:eastAsia="zh-Hans"/>
        </w:rPr>
        <w:t>产品配置需求，</w:t>
      </w:r>
      <w:r>
        <w:rPr>
          <w:rFonts w:ascii="宋体" w:hAnsi="宋体" w:cs="宋体"/>
          <w:color w:val="auto"/>
          <w:sz w:val="24"/>
          <w:highlight w:val="none"/>
          <w:lang w:eastAsia="zh-Hans"/>
        </w:rPr>
        <w:t>基本</w:t>
      </w:r>
      <w:r>
        <w:rPr>
          <w:rFonts w:hint="eastAsia" w:ascii="宋体" w:hAnsi="宋体" w:cs="宋体"/>
          <w:color w:val="auto"/>
          <w:sz w:val="24"/>
          <w:highlight w:val="none"/>
          <w:lang w:eastAsia="zh-Hans"/>
        </w:rPr>
        <w:t>把握</w:t>
      </w:r>
      <w:r>
        <w:rPr>
          <w:rFonts w:ascii="宋体" w:hAnsi="宋体" w:cs="宋体"/>
          <w:color w:val="auto"/>
          <w:sz w:val="24"/>
          <w:highlight w:val="none"/>
          <w:lang w:eastAsia="zh-Hans"/>
        </w:rPr>
        <w:t>了配置</w:t>
      </w:r>
      <w:r>
        <w:rPr>
          <w:rFonts w:hint="eastAsia" w:ascii="宋体" w:hAnsi="宋体" w:cs="宋体"/>
          <w:color w:val="auto"/>
          <w:sz w:val="24"/>
          <w:highlight w:val="none"/>
          <w:lang w:eastAsia="zh-Hans"/>
        </w:rPr>
        <w:t>技术的重点、难点，</w:t>
      </w:r>
      <w:r>
        <w:rPr>
          <w:rFonts w:hint="eastAsia" w:ascii="宋体" w:hAnsi="宋体" w:cs="宋体"/>
          <w:color w:val="auto"/>
          <w:sz w:val="24"/>
          <w:highlight w:val="none"/>
        </w:rPr>
        <w:t>配置</w:t>
      </w:r>
      <w:r>
        <w:rPr>
          <w:rFonts w:hint="eastAsia" w:ascii="宋体" w:hAnsi="宋体" w:cs="宋体"/>
          <w:color w:val="auto"/>
          <w:sz w:val="24"/>
          <w:highlight w:val="none"/>
          <w:lang w:eastAsia="zh-Hans"/>
        </w:rPr>
        <w:t>方案</w:t>
      </w:r>
      <w:r>
        <w:rPr>
          <w:rFonts w:ascii="宋体" w:hAnsi="宋体" w:cs="宋体"/>
          <w:color w:val="auto"/>
          <w:sz w:val="24"/>
          <w:highlight w:val="none"/>
          <w:lang w:eastAsia="zh-Hans"/>
        </w:rPr>
        <w:t>基本可行，功能能够满足</w:t>
      </w:r>
      <w:r>
        <w:rPr>
          <w:rFonts w:hint="eastAsia" w:ascii="宋体" w:hAnsi="宋体" w:cs="宋体"/>
          <w:color w:val="auto"/>
          <w:sz w:val="24"/>
          <w:highlight w:val="none"/>
        </w:rPr>
        <w:t>可信</w:t>
      </w:r>
      <w:r>
        <w:rPr>
          <w:rFonts w:ascii="宋体" w:hAnsi="宋体" w:cs="宋体"/>
          <w:color w:val="auto"/>
          <w:sz w:val="24"/>
          <w:highlight w:val="none"/>
          <w:lang w:eastAsia="zh-Hans"/>
        </w:rPr>
        <w:t>共享的需求，</w:t>
      </w:r>
      <w:r>
        <w:rPr>
          <w:rFonts w:hint="eastAsia" w:ascii="宋体" w:hAnsi="宋体" w:cs="宋体"/>
          <w:color w:val="auto"/>
          <w:sz w:val="24"/>
          <w:highlight w:val="none"/>
          <w:lang w:eastAsia="zh-Hans"/>
        </w:rPr>
        <w:t>无明显错误。</w:t>
      </w:r>
    </w:p>
    <w:p>
      <w:pPr>
        <w:spacing w:line="360" w:lineRule="auto"/>
        <w:ind w:firstLine="480" w:firstLineChars="200"/>
        <w:rPr>
          <w:rFonts w:ascii="宋体" w:hAnsi="宋体" w:cs="宋体"/>
          <w:color w:val="auto"/>
          <w:sz w:val="24"/>
          <w:highlight w:val="none"/>
          <w:lang w:eastAsia="zh-Hans"/>
        </w:rPr>
      </w:pPr>
      <w:r>
        <w:rPr>
          <w:rFonts w:hint="eastAsia" w:ascii="宋体" w:hAnsi="宋体" w:cs="宋体"/>
          <w:color w:val="auto"/>
          <w:sz w:val="24"/>
          <w:highlight w:val="none"/>
          <w:lang w:eastAsia="zh-Hans"/>
        </w:rPr>
        <w:t>二档（</w:t>
      </w:r>
      <w:r>
        <w:rPr>
          <w:rFonts w:ascii="宋体" w:hAnsi="宋体" w:cs="宋体"/>
          <w:color w:val="auto"/>
          <w:sz w:val="24"/>
          <w:highlight w:val="none"/>
          <w:lang w:eastAsia="zh-Hans"/>
        </w:rPr>
        <w:t>7</w:t>
      </w:r>
      <w:r>
        <w:rPr>
          <w:rFonts w:hint="eastAsia" w:ascii="宋体" w:hAnsi="宋体" w:cs="宋体"/>
          <w:color w:val="auto"/>
          <w:sz w:val="24"/>
          <w:highlight w:val="none"/>
          <w:lang w:eastAsia="zh-Hans"/>
        </w:rPr>
        <w:t>分）：投标人能较为准确</w:t>
      </w:r>
      <w:r>
        <w:rPr>
          <w:rFonts w:ascii="宋体" w:hAnsi="宋体" w:cs="宋体"/>
          <w:color w:val="auto"/>
          <w:sz w:val="24"/>
          <w:highlight w:val="none"/>
          <w:lang w:eastAsia="zh-Hans"/>
        </w:rPr>
        <w:t>的</w:t>
      </w:r>
      <w:r>
        <w:rPr>
          <w:rFonts w:hint="eastAsia" w:ascii="宋体" w:hAnsi="宋体" w:cs="宋体"/>
          <w:color w:val="auto"/>
          <w:sz w:val="24"/>
          <w:highlight w:val="none"/>
          <w:lang w:eastAsia="zh-Hans"/>
        </w:rPr>
        <w:t>理解本项目</w:t>
      </w:r>
      <w:r>
        <w:rPr>
          <w:rFonts w:hint="eastAsia" w:ascii="宋体" w:hAnsi="宋体" w:cs="宋体"/>
          <w:color w:val="auto"/>
          <w:sz w:val="24"/>
          <w:highlight w:val="none"/>
        </w:rPr>
        <w:t>软件</w:t>
      </w:r>
      <w:r>
        <w:rPr>
          <w:rFonts w:hint="eastAsia" w:ascii="宋体" w:hAnsi="宋体" w:cs="宋体"/>
          <w:color w:val="auto"/>
          <w:sz w:val="24"/>
          <w:highlight w:val="none"/>
          <w:lang w:eastAsia="zh-Hans"/>
        </w:rPr>
        <w:t>产品配置需求，对配置服务的技术重点、难点给出了较好的应对方案，配置方案比较详细，功能较为完善，针对可信共享的考虑较为周全，整合度高。</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eastAsia="zh-Hans"/>
        </w:rPr>
        <w:t>三档（1</w:t>
      </w:r>
      <w:r>
        <w:rPr>
          <w:rFonts w:ascii="宋体" w:hAnsi="宋体" w:cs="宋体"/>
          <w:color w:val="auto"/>
          <w:sz w:val="24"/>
          <w:highlight w:val="none"/>
          <w:lang w:eastAsia="zh-Hans"/>
        </w:rPr>
        <w:t>0</w:t>
      </w:r>
      <w:r>
        <w:rPr>
          <w:rFonts w:hint="eastAsia" w:ascii="宋体" w:hAnsi="宋体" w:cs="宋体"/>
          <w:color w:val="auto"/>
          <w:sz w:val="24"/>
          <w:highlight w:val="none"/>
          <w:lang w:eastAsia="zh-Hans"/>
        </w:rPr>
        <w:t>分）：投标人能非常准确地理解本项目</w:t>
      </w:r>
      <w:r>
        <w:rPr>
          <w:rFonts w:hint="eastAsia" w:ascii="宋体" w:hAnsi="宋体" w:cs="宋体"/>
          <w:color w:val="auto"/>
          <w:sz w:val="24"/>
          <w:highlight w:val="none"/>
        </w:rPr>
        <w:t>软件</w:t>
      </w:r>
      <w:r>
        <w:rPr>
          <w:rFonts w:hint="eastAsia" w:ascii="宋体" w:hAnsi="宋体" w:cs="宋体"/>
          <w:color w:val="auto"/>
          <w:sz w:val="24"/>
          <w:highlight w:val="none"/>
          <w:lang w:eastAsia="zh-Hans"/>
        </w:rPr>
        <w:t>产品配置需求，能阐述</w:t>
      </w:r>
      <w:r>
        <w:rPr>
          <w:rFonts w:hint="eastAsia" w:ascii="宋体" w:hAnsi="宋体" w:cs="宋体"/>
          <w:color w:val="auto"/>
          <w:sz w:val="24"/>
          <w:highlight w:val="none"/>
        </w:rPr>
        <w:t>配置</w:t>
      </w:r>
      <w:r>
        <w:rPr>
          <w:rFonts w:hint="eastAsia" w:ascii="宋体" w:hAnsi="宋体" w:cs="宋体"/>
          <w:color w:val="auto"/>
          <w:sz w:val="24"/>
          <w:highlight w:val="none"/>
          <w:lang w:eastAsia="zh-Hans"/>
        </w:rPr>
        <w:t>服务需求，对需求能进行详细分析，</w:t>
      </w:r>
      <w:r>
        <w:rPr>
          <w:rFonts w:hint="eastAsia" w:ascii="宋体" w:hAnsi="宋体" w:cs="宋体"/>
          <w:color w:val="auto"/>
          <w:sz w:val="24"/>
          <w:highlight w:val="none"/>
        </w:rPr>
        <w:t>配置</w:t>
      </w:r>
      <w:r>
        <w:rPr>
          <w:rFonts w:hint="eastAsia" w:ascii="宋体" w:hAnsi="宋体" w:cs="宋体"/>
          <w:color w:val="auto"/>
          <w:sz w:val="24"/>
          <w:highlight w:val="none"/>
          <w:lang w:eastAsia="zh-Hans"/>
        </w:rPr>
        <w:t>方案详细、完善</w:t>
      </w:r>
      <w:r>
        <w:rPr>
          <w:rFonts w:hint="eastAsia" w:ascii="宋体" w:hAnsi="宋体" w:cs="宋体"/>
          <w:color w:val="auto"/>
          <w:sz w:val="24"/>
          <w:highlight w:val="none"/>
        </w:rPr>
        <w:t>，功能上能</w:t>
      </w:r>
      <w:r>
        <w:rPr>
          <w:rFonts w:hint="eastAsia" w:ascii="宋体" w:hAnsi="宋体" w:cs="宋体"/>
          <w:color w:val="auto"/>
          <w:sz w:val="24"/>
          <w:highlight w:val="none"/>
          <w:lang w:eastAsia="zh-Hans"/>
        </w:rPr>
        <w:t>完全满足</w:t>
      </w:r>
      <w:r>
        <w:rPr>
          <w:rFonts w:hint="eastAsia" w:ascii="宋体" w:hAnsi="宋体" w:cs="宋体"/>
          <w:color w:val="auto"/>
          <w:sz w:val="24"/>
          <w:highlight w:val="none"/>
        </w:rPr>
        <w:t>数据</w:t>
      </w:r>
      <w:r>
        <w:rPr>
          <w:rFonts w:hint="eastAsia" w:ascii="宋体" w:hAnsi="宋体" w:cs="宋体"/>
          <w:color w:val="auto"/>
          <w:sz w:val="24"/>
          <w:highlight w:val="none"/>
          <w:lang w:eastAsia="zh-Hans"/>
        </w:rPr>
        <w:t>中台的可信共享需求</w:t>
      </w:r>
      <w:r>
        <w:rPr>
          <w:rFonts w:hint="eastAsia" w:ascii="宋体" w:hAnsi="宋体" w:cs="宋体"/>
          <w:color w:val="auto"/>
          <w:sz w:val="24"/>
          <w:highlight w:val="none"/>
        </w:rPr>
        <w:t>，</w:t>
      </w:r>
      <w:r>
        <w:rPr>
          <w:rFonts w:hint="eastAsia" w:ascii="宋体" w:hAnsi="宋体" w:cs="宋体"/>
          <w:color w:val="auto"/>
          <w:sz w:val="24"/>
          <w:highlight w:val="none"/>
          <w:lang w:eastAsia="zh-Hans"/>
        </w:rPr>
        <w:t>且思路清晰，在整合度高的同时，</w:t>
      </w:r>
      <w:r>
        <w:rPr>
          <w:rFonts w:hint="eastAsia" w:ascii="宋体" w:hAnsi="宋体" w:cs="宋体"/>
          <w:color w:val="auto"/>
          <w:sz w:val="24"/>
          <w:highlight w:val="none"/>
        </w:rPr>
        <w:t>能够</w:t>
      </w:r>
      <w:r>
        <w:rPr>
          <w:rFonts w:hint="eastAsia" w:ascii="宋体" w:hAnsi="宋体" w:cs="宋体"/>
          <w:color w:val="auto"/>
          <w:sz w:val="24"/>
          <w:highlight w:val="none"/>
          <w:lang w:eastAsia="zh-Hans"/>
        </w:rPr>
        <w:t>满足未来数据中台升级后的配置及功能需求</w:t>
      </w:r>
      <w:r>
        <w:rPr>
          <w:rFonts w:hint="eastAsia" w:ascii="宋体" w:hAnsi="宋体" w:cs="宋体"/>
          <w:color w:val="auto"/>
          <w:sz w:val="24"/>
          <w:highlight w:val="none"/>
        </w:rPr>
        <w:t>。</w:t>
      </w:r>
    </w:p>
    <w:p>
      <w:pPr>
        <w:pStyle w:val="33"/>
        <w:spacing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未提供相关内容或者不满足进档要求的不得分。本项最多可得</w:t>
      </w:r>
      <w:r>
        <w:rPr>
          <w:rFonts w:ascii="宋体" w:hAnsi="宋体" w:cs="宋体"/>
          <w:color w:val="auto"/>
          <w:sz w:val="24"/>
          <w:highlight w:val="none"/>
        </w:rPr>
        <w:t>10</w:t>
      </w:r>
      <w:r>
        <w:rPr>
          <w:rFonts w:hint="eastAsia" w:ascii="宋体" w:hAnsi="宋体" w:cs="宋体"/>
          <w:color w:val="auto"/>
          <w:sz w:val="24"/>
          <w:highlight w:val="none"/>
        </w:rPr>
        <w:t>分。</w:t>
      </w:r>
    </w:p>
    <w:p>
      <w:pPr>
        <w:spacing w:line="360" w:lineRule="auto"/>
        <w:ind w:firstLine="480" w:firstLineChars="200"/>
        <w:rPr>
          <w:rFonts w:ascii="宋体" w:hAnsi="宋体" w:cs="宋体"/>
          <w:color w:val="auto"/>
          <w:sz w:val="24"/>
          <w:highlight w:val="none"/>
          <w:lang w:eastAsia="zh-Hans"/>
        </w:rPr>
      </w:pPr>
      <w:r>
        <w:rPr>
          <w:rFonts w:hint="eastAsia" w:ascii="宋体" w:hAnsi="宋体" w:cs="宋体"/>
          <w:color w:val="auto"/>
          <w:sz w:val="24"/>
          <w:highlight w:val="none"/>
          <w:lang w:eastAsia="zh-Hans"/>
        </w:rPr>
        <w:t>（</w:t>
      </w:r>
      <w:r>
        <w:rPr>
          <w:rFonts w:ascii="宋体" w:hAnsi="宋体" w:cs="宋体"/>
          <w:color w:val="auto"/>
          <w:sz w:val="24"/>
          <w:highlight w:val="none"/>
          <w:lang w:eastAsia="zh-Hans"/>
        </w:rPr>
        <w:t>3</w:t>
      </w:r>
      <w:r>
        <w:rPr>
          <w:rFonts w:hint="eastAsia" w:ascii="宋体" w:hAnsi="宋体" w:cs="宋体"/>
          <w:color w:val="auto"/>
          <w:sz w:val="24"/>
          <w:highlight w:val="none"/>
          <w:lang w:eastAsia="zh-Hans"/>
        </w:rPr>
        <w:t>）性能</w:t>
      </w:r>
    </w:p>
    <w:p>
      <w:pPr>
        <w:spacing w:line="360" w:lineRule="auto"/>
        <w:ind w:firstLine="420"/>
        <w:rPr>
          <w:rFonts w:ascii="宋体" w:hAnsi="宋体" w:cs="宋体"/>
          <w:color w:val="auto"/>
          <w:sz w:val="24"/>
          <w:highlight w:val="none"/>
          <w:lang w:eastAsia="zh-Hans"/>
        </w:rPr>
      </w:pPr>
      <w:r>
        <w:rPr>
          <w:rFonts w:hint="eastAsia" w:ascii="宋体" w:hAnsi="宋体" w:cs="宋体"/>
          <w:color w:val="auto"/>
          <w:sz w:val="24"/>
          <w:highlight w:val="none"/>
          <w:lang w:eastAsia="zh-Hans"/>
        </w:rPr>
        <w:t>由于</w:t>
      </w:r>
      <w:r>
        <w:rPr>
          <w:rFonts w:hint="eastAsia" w:ascii="宋体" w:hAnsi="宋体" w:cs="宋体"/>
          <w:color w:val="auto"/>
          <w:sz w:val="24"/>
          <w:highlight w:val="none"/>
        </w:rPr>
        <w:t>采购人</w:t>
      </w:r>
      <w:r>
        <w:rPr>
          <w:rFonts w:hint="eastAsia" w:ascii="宋体" w:hAnsi="宋体" w:cs="宋体"/>
          <w:color w:val="auto"/>
          <w:sz w:val="24"/>
          <w:highlight w:val="none"/>
          <w:lang w:eastAsia="zh-Hans"/>
        </w:rPr>
        <w:t>业务场景须应对跨越上百个部门和机构的高并发可信数据共享的需求，因此数据存证交易的性能是制约本项目成败的关键因素</w:t>
      </w:r>
      <w:r>
        <w:rPr>
          <w:rFonts w:hint="eastAsia" w:ascii="宋体" w:hAnsi="宋体" w:cs="宋体"/>
          <w:color w:val="auto"/>
          <w:sz w:val="24"/>
          <w:highlight w:val="none"/>
        </w:rPr>
        <w:t>。</w:t>
      </w:r>
      <w:r>
        <w:rPr>
          <w:rFonts w:hint="eastAsia" w:ascii="宋体" w:hAnsi="宋体" w:cs="宋体"/>
          <w:color w:val="auto"/>
          <w:sz w:val="24"/>
          <w:highlight w:val="none"/>
          <w:lang w:eastAsia="zh-Hans"/>
        </w:rPr>
        <w:t>据此，如投标人能提供由国家工信部直属科研事业单位下设的第三方权威检测机构（并须同时提供该检测机构拥有的中国国家认证认可监督管理委员会颁发的</w:t>
      </w:r>
      <w:r>
        <w:rPr>
          <w:rFonts w:ascii="宋体" w:hAnsi="宋体" w:cs="宋体"/>
          <w:color w:val="auto"/>
          <w:sz w:val="24"/>
          <w:highlight w:val="none"/>
          <w:lang w:eastAsia="zh-Hans"/>
        </w:rPr>
        <w:t>CMA</w:t>
      </w:r>
      <w:r>
        <w:rPr>
          <w:rFonts w:ascii="宋体" w:hAnsi="宋体" w:cs="宋体"/>
          <w:color w:val="auto"/>
          <w:sz w:val="24"/>
          <w:highlight w:val="none"/>
        </w:rPr>
        <w:t>检验检测机构</w:t>
      </w:r>
      <w:r>
        <w:rPr>
          <w:rFonts w:hint="eastAsia" w:ascii="宋体" w:hAnsi="宋体" w:cs="宋体"/>
          <w:color w:val="auto"/>
          <w:sz w:val="24"/>
          <w:highlight w:val="none"/>
          <w:lang w:eastAsia="zh-Hans"/>
        </w:rPr>
        <w:t>资质</w:t>
      </w:r>
      <w:r>
        <w:rPr>
          <w:rFonts w:ascii="宋体" w:hAnsi="宋体" w:cs="宋体"/>
          <w:color w:val="auto"/>
          <w:sz w:val="24"/>
          <w:highlight w:val="none"/>
        </w:rPr>
        <w:t>认定证书</w:t>
      </w:r>
      <w:r>
        <w:rPr>
          <w:rFonts w:hint="eastAsia" w:ascii="宋体" w:hAnsi="宋体" w:cs="宋体"/>
          <w:color w:val="auto"/>
          <w:sz w:val="24"/>
          <w:highlight w:val="none"/>
          <w:lang w:eastAsia="zh-Hans"/>
        </w:rPr>
        <w:t>复印件，以及中国合格评定国家认可委员会颁发的CNAS 认可实验室证书的复印件，并加盖投标人公章）出具的正式检测报告（须提供该报告的复印件，加盖投标人公章）以证明投标人用于投标的软件产品通过了以下区块链性能基准测试，可获相应得分：</w:t>
      </w:r>
    </w:p>
    <w:p>
      <w:pPr>
        <w:spacing w:line="360" w:lineRule="auto"/>
        <w:ind w:firstLine="420"/>
        <w:rPr>
          <w:rFonts w:ascii="宋体" w:hAnsi="宋体" w:cs="宋体"/>
          <w:color w:val="auto"/>
          <w:sz w:val="24"/>
          <w:highlight w:val="none"/>
          <w:lang w:eastAsia="zh-Hans"/>
        </w:rPr>
      </w:pPr>
      <w:r>
        <w:rPr>
          <w:rFonts w:hint="eastAsia" w:ascii="宋体" w:hAnsi="宋体" w:cs="宋体"/>
          <w:color w:val="auto"/>
          <w:sz w:val="24"/>
          <w:highlight w:val="none"/>
          <w:lang w:eastAsia="zh-Hans"/>
        </w:rPr>
        <w:t>区块链性能基准测试环境要求：在互联网环境下（非局域网）至少部署分别为10、30、50、70、100节点的区块链分布式账本数据存证交易测试网络，不同节点规模的测试中节点均匀分布在不少于10个不同国内城市的云环境中：10节点规模时，每城市1个节点；30节点规模时，每城市3个节点；50节点规模时，每城市5个节点；70节点规模时，每城市7个节点；100节点规模时，每城市10个节点；节点之间通过固定带宽上限通信，每节点的虚拟机（或物理机）配置统一为双核</w:t>
      </w:r>
      <w:r>
        <w:rPr>
          <w:rFonts w:ascii="宋体" w:hAnsi="宋体" w:cs="宋体"/>
          <w:color w:val="auto"/>
          <w:sz w:val="24"/>
          <w:highlight w:val="none"/>
          <w:lang w:eastAsia="zh-Hans"/>
        </w:rPr>
        <w:t>CPU</w:t>
      </w:r>
      <w:r>
        <w:rPr>
          <w:rFonts w:hint="eastAsia" w:ascii="宋体" w:hAnsi="宋体" w:cs="宋体"/>
          <w:color w:val="auto"/>
          <w:sz w:val="24"/>
          <w:highlight w:val="none"/>
          <w:lang w:eastAsia="zh-Hans"/>
        </w:rPr>
        <w:t>（主频</w:t>
      </w:r>
      <w:r>
        <w:rPr>
          <w:rFonts w:ascii="宋体" w:hAnsi="宋体" w:cs="宋体"/>
          <w:color w:val="auto"/>
          <w:sz w:val="24"/>
          <w:highlight w:val="none"/>
          <w:lang w:eastAsia="zh-Hans"/>
        </w:rPr>
        <w:t>2.5GH</w:t>
      </w:r>
      <w:r>
        <w:rPr>
          <w:rFonts w:hint="eastAsia" w:ascii="宋体" w:hAnsi="宋体" w:cs="宋体"/>
          <w:color w:val="auto"/>
          <w:sz w:val="24"/>
          <w:highlight w:val="none"/>
          <w:lang w:eastAsia="zh-Hans"/>
        </w:rPr>
        <w:t>z），</w:t>
      </w:r>
      <w:r>
        <w:rPr>
          <w:rFonts w:ascii="宋体" w:hAnsi="宋体" w:cs="宋体"/>
          <w:color w:val="auto"/>
          <w:sz w:val="24"/>
          <w:highlight w:val="none"/>
          <w:lang w:eastAsia="zh-Hans"/>
        </w:rPr>
        <w:t>4G</w:t>
      </w:r>
      <w:r>
        <w:rPr>
          <w:rFonts w:hint="eastAsia" w:ascii="宋体" w:hAnsi="宋体" w:cs="宋体"/>
          <w:color w:val="auto"/>
          <w:sz w:val="24"/>
          <w:highlight w:val="none"/>
          <w:lang w:eastAsia="zh-Hans"/>
        </w:rPr>
        <w:t>内存，网络带宽上限为20Mbps（即2.5MB/s，单向），每笔存证交易数据大小不低于</w:t>
      </w:r>
      <w:r>
        <w:rPr>
          <w:rFonts w:ascii="宋体" w:hAnsi="宋体" w:cs="宋体"/>
          <w:color w:val="auto"/>
          <w:sz w:val="24"/>
          <w:highlight w:val="none"/>
          <w:lang w:eastAsia="zh-Hans"/>
        </w:rPr>
        <w:t>100B</w:t>
      </w:r>
      <w:r>
        <w:rPr>
          <w:rFonts w:hint="eastAsia" w:ascii="宋体" w:hAnsi="宋体" w:cs="宋体"/>
          <w:color w:val="auto"/>
          <w:sz w:val="24"/>
          <w:highlight w:val="none"/>
          <w:lang w:eastAsia="zh-Hans"/>
        </w:rPr>
        <w:t>；</w:t>
      </w:r>
    </w:p>
    <w:p>
      <w:pPr>
        <w:spacing w:line="360" w:lineRule="auto"/>
        <w:ind w:firstLine="420"/>
        <w:rPr>
          <w:rFonts w:ascii="宋体" w:hAnsi="宋体" w:cs="宋体"/>
          <w:color w:val="auto"/>
          <w:sz w:val="24"/>
          <w:highlight w:val="none"/>
          <w:lang w:eastAsia="zh-Hans"/>
        </w:rPr>
      </w:pPr>
      <w:r>
        <w:rPr>
          <w:rFonts w:hint="eastAsia" w:ascii="宋体" w:hAnsi="宋体" w:cs="宋体"/>
          <w:color w:val="auto"/>
          <w:sz w:val="24"/>
          <w:highlight w:val="none"/>
          <w:lang w:eastAsia="zh-Hans"/>
        </w:rPr>
        <w:t>针对以上测试环境的数据存证交易性能</w:t>
      </w:r>
      <w:r>
        <w:rPr>
          <w:rFonts w:ascii="宋体" w:hAnsi="宋体" w:cs="宋体"/>
          <w:color w:val="auto"/>
          <w:sz w:val="24"/>
          <w:highlight w:val="none"/>
        </w:rPr>
        <w:t>（</w:t>
      </w:r>
      <w:r>
        <w:rPr>
          <w:rFonts w:hint="eastAsia" w:ascii="宋体" w:hAnsi="宋体" w:cs="宋体"/>
          <w:color w:val="auto"/>
          <w:sz w:val="24"/>
          <w:highlight w:val="none"/>
          <w:lang w:eastAsia="zh-Hans"/>
        </w:rPr>
        <w:t>即</w:t>
      </w:r>
      <w:r>
        <w:rPr>
          <w:rFonts w:ascii="宋体" w:hAnsi="宋体" w:cs="宋体"/>
          <w:color w:val="auto"/>
          <w:sz w:val="24"/>
          <w:highlight w:val="none"/>
        </w:rPr>
        <w:t>处理并发交易的吞吐率）</w:t>
      </w:r>
      <w:r>
        <w:rPr>
          <w:rFonts w:hint="eastAsia" w:ascii="宋体" w:hAnsi="宋体" w:cs="宋体"/>
          <w:color w:val="auto"/>
          <w:sz w:val="24"/>
          <w:highlight w:val="none"/>
          <w:lang w:eastAsia="zh-Hans"/>
        </w:rPr>
        <w:t>基准测试的具体评分要求如下：</w:t>
      </w:r>
    </w:p>
    <w:p>
      <w:pPr>
        <w:numPr>
          <w:ilvl w:val="0"/>
          <w:numId w:val="4"/>
        </w:numPr>
        <w:spacing w:line="360" w:lineRule="auto"/>
        <w:ind w:left="840"/>
        <w:rPr>
          <w:rFonts w:ascii="宋体" w:hAnsi="宋体" w:cs="宋体"/>
          <w:color w:val="auto"/>
          <w:sz w:val="24"/>
          <w:highlight w:val="none"/>
          <w:lang w:eastAsia="zh-Hans"/>
        </w:rPr>
      </w:pPr>
      <w:r>
        <w:rPr>
          <w:rFonts w:hint="eastAsia" w:ascii="宋体" w:hAnsi="宋体" w:cs="宋体"/>
          <w:color w:val="auto"/>
          <w:sz w:val="24"/>
          <w:highlight w:val="none"/>
          <w:lang w:eastAsia="zh-Hans"/>
        </w:rPr>
        <w:t>10节点规模下，平均吞吐率TPS不低于18000，且交易正确率不低于</w:t>
      </w:r>
      <w:r>
        <w:rPr>
          <w:rFonts w:ascii="宋体" w:hAnsi="宋体" w:cs="宋体"/>
          <w:color w:val="auto"/>
          <w:sz w:val="24"/>
          <w:highlight w:val="none"/>
          <w:lang w:eastAsia="zh-Hans"/>
        </w:rPr>
        <w:t>99.99%</w:t>
      </w:r>
      <w:r>
        <w:rPr>
          <w:rFonts w:hint="eastAsia" w:ascii="宋体" w:hAnsi="宋体" w:cs="宋体"/>
          <w:color w:val="auto"/>
          <w:sz w:val="24"/>
          <w:highlight w:val="none"/>
          <w:lang w:eastAsia="zh-Hans"/>
        </w:rPr>
        <w:t>，可得</w:t>
      </w:r>
      <w:r>
        <w:rPr>
          <w:rFonts w:ascii="宋体" w:hAnsi="宋体" w:cs="宋体"/>
          <w:color w:val="auto"/>
          <w:sz w:val="24"/>
          <w:highlight w:val="none"/>
          <w:lang w:eastAsia="zh-Hans"/>
        </w:rPr>
        <w:t>1</w:t>
      </w:r>
      <w:r>
        <w:rPr>
          <w:rFonts w:hint="eastAsia" w:ascii="宋体" w:hAnsi="宋体" w:cs="宋体"/>
          <w:color w:val="auto"/>
          <w:sz w:val="24"/>
          <w:highlight w:val="none"/>
          <w:lang w:eastAsia="zh-Hans"/>
        </w:rPr>
        <w:t>分；</w:t>
      </w:r>
    </w:p>
    <w:p>
      <w:pPr>
        <w:numPr>
          <w:ilvl w:val="0"/>
          <w:numId w:val="4"/>
        </w:numPr>
        <w:spacing w:line="360" w:lineRule="auto"/>
        <w:ind w:left="840"/>
        <w:rPr>
          <w:rFonts w:ascii="宋体" w:hAnsi="宋体" w:cs="宋体"/>
          <w:color w:val="auto"/>
          <w:sz w:val="24"/>
          <w:highlight w:val="none"/>
          <w:lang w:eastAsia="zh-Hans"/>
        </w:rPr>
      </w:pPr>
      <w:r>
        <w:rPr>
          <w:rFonts w:hint="eastAsia" w:ascii="宋体" w:hAnsi="宋体" w:cs="宋体"/>
          <w:color w:val="auto"/>
          <w:sz w:val="24"/>
          <w:highlight w:val="none"/>
          <w:lang w:eastAsia="zh-Hans"/>
        </w:rPr>
        <w:t>30节点规模下，平均吞吐率TPS不低于50000，且交易正确率不低于</w:t>
      </w:r>
      <w:r>
        <w:rPr>
          <w:rFonts w:ascii="宋体" w:hAnsi="宋体" w:cs="宋体"/>
          <w:color w:val="auto"/>
          <w:sz w:val="24"/>
          <w:highlight w:val="none"/>
          <w:lang w:eastAsia="zh-Hans"/>
        </w:rPr>
        <w:t>99.99%</w:t>
      </w:r>
      <w:r>
        <w:rPr>
          <w:rFonts w:hint="eastAsia" w:ascii="宋体" w:hAnsi="宋体" w:cs="宋体"/>
          <w:color w:val="auto"/>
          <w:sz w:val="24"/>
          <w:highlight w:val="none"/>
          <w:lang w:eastAsia="zh-Hans"/>
        </w:rPr>
        <w:t>，可再得</w:t>
      </w:r>
      <w:r>
        <w:rPr>
          <w:rFonts w:ascii="宋体" w:hAnsi="宋体" w:cs="宋体"/>
          <w:color w:val="auto"/>
          <w:sz w:val="24"/>
          <w:highlight w:val="none"/>
          <w:lang w:eastAsia="zh-Hans"/>
        </w:rPr>
        <w:t>2</w:t>
      </w:r>
      <w:r>
        <w:rPr>
          <w:rFonts w:hint="eastAsia" w:ascii="宋体" w:hAnsi="宋体" w:cs="宋体"/>
          <w:color w:val="auto"/>
          <w:sz w:val="24"/>
          <w:highlight w:val="none"/>
          <w:lang w:eastAsia="zh-Hans"/>
        </w:rPr>
        <w:t>分；</w:t>
      </w:r>
    </w:p>
    <w:p>
      <w:pPr>
        <w:numPr>
          <w:ilvl w:val="0"/>
          <w:numId w:val="4"/>
        </w:numPr>
        <w:spacing w:line="360" w:lineRule="auto"/>
        <w:ind w:left="840"/>
        <w:rPr>
          <w:rFonts w:ascii="宋体" w:hAnsi="宋体" w:cs="宋体"/>
          <w:color w:val="auto"/>
          <w:sz w:val="24"/>
          <w:highlight w:val="none"/>
          <w:lang w:eastAsia="zh-Hans"/>
        </w:rPr>
      </w:pPr>
      <w:r>
        <w:rPr>
          <w:rFonts w:hint="eastAsia" w:ascii="宋体" w:hAnsi="宋体" w:cs="宋体"/>
          <w:color w:val="auto"/>
          <w:sz w:val="24"/>
          <w:highlight w:val="none"/>
          <w:lang w:eastAsia="zh-Hans"/>
        </w:rPr>
        <w:t>50节点规模下，平均吞吐率TPS不低于80000，且交易正确率不低于</w:t>
      </w:r>
      <w:r>
        <w:rPr>
          <w:rFonts w:ascii="宋体" w:hAnsi="宋体" w:cs="宋体"/>
          <w:color w:val="auto"/>
          <w:sz w:val="24"/>
          <w:highlight w:val="none"/>
          <w:lang w:eastAsia="zh-Hans"/>
        </w:rPr>
        <w:t>99.99%</w:t>
      </w:r>
      <w:r>
        <w:rPr>
          <w:rFonts w:hint="eastAsia" w:ascii="宋体" w:hAnsi="宋体" w:cs="宋体"/>
          <w:color w:val="auto"/>
          <w:sz w:val="24"/>
          <w:highlight w:val="none"/>
          <w:lang w:eastAsia="zh-Hans"/>
        </w:rPr>
        <w:t>，可再得</w:t>
      </w:r>
      <w:r>
        <w:rPr>
          <w:rFonts w:ascii="宋体" w:hAnsi="宋体" w:cs="宋体"/>
          <w:color w:val="auto"/>
          <w:sz w:val="24"/>
          <w:highlight w:val="none"/>
          <w:lang w:eastAsia="zh-Hans"/>
        </w:rPr>
        <w:t>3</w:t>
      </w:r>
      <w:r>
        <w:rPr>
          <w:rFonts w:hint="eastAsia" w:ascii="宋体" w:hAnsi="宋体" w:cs="宋体"/>
          <w:color w:val="auto"/>
          <w:sz w:val="24"/>
          <w:highlight w:val="none"/>
          <w:lang w:eastAsia="zh-Hans"/>
        </w:rPr>
        <w:t>分；</w:t>
      </w:r>
    </w:p>
    <w:p>
      <w:pPr>
        <w:numPr>
          <w:ilvl w:val="0"/>
          <w:numId w:val="4"/>
        </w:numPr>
        <w:spacing w:line="360" w:lineRule="auto"/>
        <w:ind w:left="840"/>
        <w:rPr>
          <w:rFonts w:ascii="宋体" w:hAnsi="宋体" w:cs="宋体"/>
          <w:color w:val="auto"/>
          <w:sz w:val="24"/>
          <w:highlight w:val="none"/>
          <w:lang w:eastAsia="zh-Hans"/>
        </w:rPr>
      </w:pPr>
      <w:r>
        <w:rPr>
          <w:rFonts w:hint="eastAsia" w:ascii="宋体" w:hAnsi="宋体" w:cs="宋体"/>
          <w:color w:val="auto"/>
          <w:sz w:val="24"/>
          <w:highlight w:val="none"/>
          <w:lang w:eastAsia="zh-Hans"/>
        </w:rPr>
        <w:t>70节点规模下TPS，平均吞吐率</w:t>
      </w:r>
      <w:r>
        <w:rPr>
          <w:rFonts w:ascii="宋体" w:hAnsi="宋体" w:cs="宋体"/>
          <w:color w:val="auto"/>
          <w:sz w:val="24"/>
          <w:highlight w:val="none"/>
          <w:lang w:eastAsia="zh-Hans"/>
        </w:rPr>
        <w:t>TPS</w:t>
      </w:r>
      <w:r>
        <w:rPr>
          <w:rFonts w:hint="eastAsia" w:ascii="宋体" w:hAnsi="宋体" w:cs="宋体"/>
          <w:color w:val="auto"/>
          <w:sz w:val="24"/>
          <w:highlight w:val="none"/>
          <w:lang w:eastAsia="zh-Hans"/>
        </w:rPr>
        <w:t>不低于1</w:t>
      </w:r>
      <w:r>
        <w:rPr>
          <w:rFonts w:ascii="宋体" w:hAnsi="宋体" w:cs="宋体"/>
          <w:color w:val="auto"/>
          <w:sz w:val="24"/>
          <w:highlight w:val="none"/>
          <w:lang w:eastAsia="zh-Hans"/>
        </w:rPr>
        <w:t>1</w:t>
      </w:r>
      <w:r>
        <w:rPr>
          <w:rFonts w:hint="eastAsia" w:ascii="宋体" w:hAnsi="宋体" w:cs="宋体"/>
          <w:color w:val="auto"/>
          <w:sz w:val="24"/>
          <w:highlight w:val="none"/>
          <w:lang w:eastAsia="zh-Hans"/>
        </w:rPr>
        <w:t>0000，且交易正确率不低于</w:t>
      </w:r>
      <w:r>
        <w:rPr>
          <w:rFonts w:ascii="宋体" w:hAnsi="宋体" w:cs="宋体"/>
          <w:color w:val="auto"/>
          <w:sz w:val="24"/>
          <w:highlight w:val="none"/>
          <w:lang w:eastAsia="zh-Hans"/>
        </w:rPr>
        <w:t>99.99%</w:t>
      </w:r>
      <w:r>
        <w:rPr>
          <w:rFonts w:hint="eastAsia" w:ascii="宋体" w:hAnsi="宋体" w:cs="宋体"/>
          <w:color w:val="auto"/>
          <w:sz w:val="24"/>
          <w:highlight w:val="none"/>
          <w:lang w:eastAsia="zh-Hans"/>
        </w:rPr>
        <w:t>，可再得</w:t>
      </w:r>
      <w:r>
        <w:rPr>
          <w:rFonts w:ascii="宋体" w:hAnsi="宋体" w:cs="宋体"/>
          <w:color w:val="auto"/>
          <w:sz w:val="24"/>
          <w:highlight w:val="none"/>
          <w:lang w:eastAsia="zh-Hans"/>
        </w:rPr>
        <w:t>3</w:t>
      </w:r>
      <w:r>
        <w:rPr>
          <w:rFonts w:hint="eastAsia" w:ascii="宋体" w:hAnsi="宋体" w:cs="宋体"/>
          <w:color w:val="auto"/>
          <w:sz w:val="24"/>
          <w:highlight w:val="none"/>
          <w:lang w:eastAsia="zh-Hans"/>
        </w:rPr>
        <w:t>分；</w:t>
      </w:r>
    </w:p>
    <w:p>
      <w:pPr>
        <w:numPr>
          <w:ilvl w:val="0"/>
          <w:numId w:val="4"/>
        </w:numPr>
        <w:spacing w:line="360" w:lineRule="auto"/>
        <w:ind w:left="840"/>
        <w:rPr>
          <w:rFonts w:ascii="宋体" w:hAnsi="宋体" w:cs="宋体"/>
          <w:color w:val="auto"/>
          <w:sz w:val="24"/>
          <w:highlight w:val="none"/>
          <w:lang w:eastAsia="zh-Hans"/>
        </w:rPr>
      </w:pPr>
      <w:r>
        <w:rPr>
          <w:rFonts w:hint="eastAsia" w:ascii="宋体" w:hAnsi="宋体" w:cs="宋体"/>
          <w:color w:val="auto"/>
          <w:sz w:val="24"/>
          <w:highlight w:val="none"/>
          <w:lang w:eastAsia="zh-Hans"/>
        </w:rPr>
        <w:t>100节点规模下TPS，平均吞吐率</w:t>
      </w:r>
      <w:r>
        <w:rPr>
          <w:rFonts w:ascii="宋体" w:hAnsi="宋体" w:cs="宋体"/>
          <w:color w:val="auto"/>
          <w:sz w:val="24"/>
          <w:highlight w:val="none"/>
          <w:lang w:eastAsia="zh-Hans"/>
        </w:rPr>
        <w:t>TPS</w:t>
      </w:r>
      <w:r>
        <w:rPr>
          <w:rFonts w:hint="eastAsia" w:ascii="宋体" w:hAnsi="宋体" w:cs="宋体"/>
          <w:color w:val="auto"/>
          <w:sz w:val="24"/>
          <w:highlight w:val="none"/>
          <w:lang w:eastAsia="zh-Hans"/>
        </w:rPr>
        <w:t>不低于160000，且交易正确率不低于</w:t>
      </w:r>
      <w:r>
        <w:rPr>
          <w:rFonts w:ascii="宋体" w:hAnsi="宋体" w:cs="宋体"/>
          <w:color w:val="auto"/>
          <w:sz w:val="24"/>
          <w:highlight w:val="none"/>
          <w:lang w:eastAsia="zh-Hans"/>
        </w:rPr>
        <w:t>99.99%</w:t>
      </w:r>
      <w:r>
        <w:rPr>
          <w:rFonts w:hint="eastAsia" w:ascii="宋体" w:hAnsi="宋体" w:cs="宋体"/>
          <w:color w:val="auto"/>
          <w:sz w:val="24"/>
          <w:highlight w:val="none"/>
          <w:lang w:eastAsia="zh-Hans"/>
        </w:rPr>
        <w:t>，可再得</w:t>
      </w:r>
      <w:r>
        <w:rPr>
          <w:rFonts w:ascii="宋体" w:hAnsi="宋体" w:cs="宋体"/>
          <w:color w:val="auto"/>
          <w:sz w:val="24"/>
          <w:highlight w:val="none"/>
          <w:lang w:eastAsia="zh-Hans"/>
        </w:rPr>
        <w:t>3</w:t>
      </w:r>
      <w:r>
        <w:rPr>
          <w:rFonts w:hint="eastAsia" w:ascii="宋体" w:hAnsi="宋体" w:cs="宋体"/>
          <w:color w:val="auto"/>
          <w:sz w:val="24"/>
          <w:highlight w:val="none"/>
          <w:lang w:eastAsia="zh-Hans"/>
        </w:rPr>
        <w:t>分；</w:t>
      </w:r>
    </w:p>
    <w:p>
      <w:pPr>
        <w:spacing w:line="360" w:lineRule="auto"/>
        <w:ind w:firstLine="420"/>
        <w:rPr>
          <w:rFonts w:ascii="宋体" w:hAnsi="宋体" w:cs="宋体"/>
          <w:color w:val="auto"/>
          <w:sz w:val="24"/>
          <w:highlight w:val="none"/>
          <w:lang w:eastAsia="zh-Hans"/>
        </w:rPr>
      </w:pPr>
      <w:r>
        <w:rPr>
          <w:rFonts w:hint="eastAsia" w:ascii="宋体" w:hAnsi="宋体" w:cs="宋体"/>
          <w:color w:val="auto"/>
          <w:sz w:val="24"/>
          <w:highlight w:val="none"/>
          <w:lang w:eastAsia="zh-Hans"/>
        </w:rPr>
        <w:t>在以上</w:t>
      </w:r>
      <w:r>
        <w:rPr>
          <w:rFonts w:ascii="宋体" w:hAnsi="宋体" w:cs="宋体"/>
          <w:color w:val="auto"/>
          <w:sz w:val="24"/>
          <w:highlight w:val="none"/>
          <w:lang w:eastAsia="zh-Hans"/>
        </w:rPr>
        <w:t>5</w:t>
      </w:r>
      <w:r>
        <w:rPr>
          <w:rFonts w:hint="eastAsia" w:ascii="宋体" w:hAnsi="宋体" w:cs="宋体"/>
          <w:color w:val="auto"/>
          <w:sz w:val="24"/>
          <w:highlight w:val="none"/>
          <w:lang w:eastAsia="zh-Hans"/>
        </w:rPr>
        <w:t>种测试规模的情况下，如平均每节点上的平均吞吐率TPS（平均吞吐率TPS/测试节点数）均不低于1600，可再得</w:t>
      </w:r>
      <w:r>
        <w:rPr>
          <w:rFonts w:ascii="宋体" w:hAnsi="宋体" w:cs="宋体"/>
          <w:color w:val="auto"/>
          <w:sz w:val="24"/>
          <w:highlight w:val="none"/>
          <w:lang w:eastAsia="zh-Hans"/>
        </w:rPr>
        <w:t>3</w:t>
      </w:r>
      <w:r>
        <w:rPr>
          <w:rFonts w:hint="eastAsia" w:ascii="宋体" w:hAnsi="宋体" w:cs="宋体"/>
          <w:color w:val="auto"/>
          <w:sz w:val="24"/>
          <w:highlight w:val="none"/>
          <w:lang w:eastAsia="zh-Hans"/>
        </w:rPr>
        <w:t>分；如随着节点数从10逐渐增加到100，平均吞吐率</w:t>
      </w:r>
      <w:r>
        <w:rPr>
          <w:rFonts w:ascii="宋体" w:hAnsi="宋体" w:cs="宋体"/>
          <w:color w:val="auto"/>
          <w:sz w:val="24"/>
          <w:highlight w:val="none"/>
          <w:lang w:eastAsia="zh-Hans"/>
        </w:rPr>
        <w:t>TPS</w:t>
      </w:r>
      <w:r>
        <w:rPr>
          <w:rFonts w:hint="eastAsia" w:ascii="宋体" w:hAnsi="宋体" w:cs="宋体"/>
          <w:color w:val="auto"/>
          <w:sz w:val="24"/>
          <w:highlight w:val="none"/>
          <w:lang w:eastAsia="zh-Hans"/>
        </w:rPr>
        <w:t>能呈现出线性增长趋势，可再得</w:t>
      </w:r>
      <w:r>
        <w:rPr>
          <w:rFonts w:ascii="宋体" w:hAnsi="宋体" w:cs="宋体"/>
          <w:color w:val="auto"/>
          <w:sz w:val="24"/>
          <w:highlight w:val="none"/>
          <w:lang w:eastAsia="zh-Hans"/>
        </w:rPr>
        <w:t>3</w:t>
      </w:r>
      <w:r>
        <w:rPr>
          <w:rFonts w:hint="eastAsia" w:ascii="宋体" w:hAnsi="宋体" w:cs="宋体"/>
          <w:color w:val="auto"/>
          <w:sz w:val="24"/>
          <w:highlight w:val="none"/>
          <w:lang w:eastAsia="zh-Hans"/>
        </w:rPr>
        <w:t>分。本项合计最多可得</w:t>
      </w:r>
      <w:r>
        <w:rPr>
          <w:rFonts w:ascii="宋体" w:hAnsi="宋体" w:cs="宋体"/>
          <w:color w:val="auto"/>
          <w:sz w:val="24"/>
          <w:highlight w:val="none"/>
          <w:lang w:eastAsia="zh-Hans"/>
        </w:rPr>
        <w:t>18</w:t>
      </w:r>
      <w:r>
        <w:rPr>
          <w:rFonts w:hint="eastAsia" w:ascii="宋体" w:hAnsi="宋体" w:cs="宋体"/>
          <w:color w:val="auto"/>
          <w:sz w:val="24"/>
          <w:highlight w:val="none"/>
          <w:lang w:eastAsia="zh-Hans"/>
        </w:rPr>
        <w:t>分。</w:t>
      </w:r>
    </w:p>
    <w:p>
      <w:pPr>
        <w:pStyle w:val="33"/>
        <w:spacing w:line="360" w:lineRule="auto"/>
        <w:ind w:left="0" w:leftChars="0" w:firstLine="480" w:firstLineChars="200"/>
        <w:rPr>
          <w:rFonts w:ascii="宋体" w:hAnsi="宋体" w:cs="宋体"/>
          <w:color w:val="auto"/>
          <w:sz w:val="24"/>
          <w:highlight w:val="none"/>
          <w:lang w:eastAsia="zh-Hans"/>
        </w:rPr>
      </w:pPr>
      <w:r>
        <w:rPr>
          <w:rFonts w:hint="eastAsia" w:ascii="宋体" w:hAnsi="宋体" w:cs="宋体"/>
          <w:color w:val="auto"/>
          <w:sz w:val="24"/>
          <w:highlight w:val="none"/>
          <w:lang w:eastAsia="zh-Hans"/>
        </w:rPr>
        <w:t>（</w:t>
      </w:r>
      <w:r>
        <w:rPr>
          <w:rFonts w:ascii="宋体" w:hAnsi="宋体" w:cs="宋体"/>
          <w:color w:val="auto"/>
          <w:sz w:val="24"/>
          <w:highlight w:val="none"/>
          <w:lang w:eastAsia="zh-Hans"/>
        </w:rPr>
        <w:t>4</w:t>
      </w:r>
      <w:r>
        <w:rPr>
          <w:rFonts w:hint="eastAsia" w:ascii="宋体" w:hAnsi="宋体" w:cs="宋体"/>
          <w:color w:val="auto"/>
          <w:sz w:val="24"/>
          <w:highlight w:val="none"/>
          <w:lang w:eastAsia="zh-Hans"/>
        </w:rPr>
        <w:t>）实施方案与进度计划</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根据投标人制定的项目实施方案情况（包括项目产品的供应、项目实施人员及相关技术人员的安排、软件安装、调试、验收、咨询、软件系统开发与实施进度计划，及其它相关服务等完成项目的所有实施过程的详细方案），由评委会进行对比评定，分为以下三档：</w:t>
      </w:r>
    </w:p>
    <w:p>
      <w:pPr>
        <w:spacing w:line="360" w:lineRule="auto"/>
        <w:ind w:firstLine="420"/>
        <w:rPr>
          <w:rFonts w:ascii="宋体" w:hAnsi="宋体" w:cs="宋体"/>
          <w:color w:val="auto"/>
          <w:sz w:val="24"/>
          <w:highlight w:val="none"/>
        </w:rPr>
      </w:pPr>
      <w:r>
        <w:rPr>
          <w:rFonts w:hint="eastAsia" w:ascii="宋体" w:hAnsi="宋体" w:cs="宋体"/>
          <w:color w:val="auto"/>
          <w:sz w:val="24"/>
          <w:highlight w:val="none"/>
        </w:rPr>
        <w:t>一档（</w:t>
      </w:r>
      <w:r>
        <w:rPr>
          <w:rFonts w:ascii="宋体" w:hAnsi="宋体" w:cs="宋体"/>
          <w:color w:val="auto"/>
          <w:sz w:val="24"/>
          <w:highlight w:val="none"/>
        </w:rPr>
        <w:t>3</w:t>
      </w:r>
      <w:r>
        <w:rPr>
          <w:rFonts w:hint="eastAsia" w:ascii="宋体" w:hAnsi="宋体" w:cs="宋体"/>
          <w:color w:val="auto"/>
          <w:sz w:val="24"/>
          <w:highlight w:val="none"/>
        </w:rPr>
        <w:t>分）：实施方案中，有涉及项目产品的供应、项目实施人员及相关技术人员的安排、软件安装、调试、验收、咨询、软件系统开发与实施进度计划，及其它相关服务等的内容，简单但合理，无明显错误。</w:t>
      </w:r>
    </w:p>
    <w:p>
      <w:pPr>
        <w:spacing w:line="360" w:lineRule="auto"/>
        <w:ind w:firstLine="420"/>
        <w:rPr>
          <w:rFonts w:ascii="宋体" w:hAnsi="宋体" w:cs="宋体"/>
          <w:color w:val="auto"/>
          <w:sz w:val="24"/>
          <w:highlight w:val="none"/>
        </w:rPr>
      </w:pPr>
      <w:r>
        <w:rPr>
          <w:rFonts w:hint="eastAsia" w:ascii="宋体" w:hAnsi="宋体" w:cs="宋体"/>
          <w:color w:val="auto"/>
          <w:sz w:val="24"/>
          <w:highlight w:val="none"/>
        </w:rPr>
        <w:t>二档（</w:t>
      </w:r>
      <w:r>
        <w:rPr>
          <w:rFonts w:ascii="宋体" w:hAnsi="宋体" w:cs="宋体"/>
          <w:color w:val="auto"/>
          <w:sz w:val="24"/>
          <w:highlight w:val="none"/>
        </w:rPr>
        <w:t>7</w:t>
      </w:r>
      <w:r>
        <w:rPr>
          <w:rFonts w:hint="eastAsia" w:ascii="宋体" w:hAnsi="宋体" w:cs="宋体"/>
          <w:color w:val="auto"/>
          <w:sz w:val="24"/>
          <w:highlight w:val="none"/>
        </w:rPr>
        <w:t>分）：投标人对项目产品的供应、项目实施人员及相关技术人员的安排、软件安装、调试、验收、咨询、软件系统开发与实施进度计划，及其它相关服务等完成项目的所有实施过程编写了详细方案，安排较为全面、合理、可行，无错误。</w:t>
      </w:r>
    </w:p>
    <w:p>
      <w:pPr>
        <w:spacing w:line="360" w:lineRule="auto"/>
        <w:ind w:firstLine="420"/>
        <w:rPr>
          <w:rFonts w:ascii="宋体" w:hAnsi="宋体" w:cs="宋体"/>
          <w:color w:val="auto"/>
          <w:sz w:val="24"/>
          <w:highlight w:val="none"/>
        </w:rPr>
      </w:pPr>
      <w:r>
        <w:rPr>
          <w:rFonts w:hint="eastAsia" w:ascii="宋体" w:hAnsi="宋体" w:cs="宋体"/>
          <w:color w:val="auto"/>
          <w:sz w:val="24"/>
          <w:highlight w:val="none"/>
        </w:rPr>
        <w:t>三档（1</w:t>
      </w:r>
      <w:r>
        <w:rPr>
          <w:rFonts w:ascii="宋体" w:hAnsi="宋体" w:cs="宋体"/>
          <w:color w:val="auto"/>
          <w:sz w:val="24"/>
          <w:highlight w:val="none"/>
        </w:rPr>
        <w:t>0</w:t>
      </w:r>
      <w:r>
        <w:rPr>
          <w:rFonts w:hint="eastAsia" w:ascii="宋体" w:hAnsi="宋体" w:cs="宋体"/>
          <w:color w:val="auto"/>
          <w:sz w:val="24"/>
          <w:highlight w:val="none"/>
        </w:rPr>
        <w:t>分）：投标人对项目产品的供应、项目实施人员及相关技术人员的安排、软件安装、调试、验收、咨询、软件系统开发与实施进度计划，及其它相关服务等完成项目的所有实施过程作出了详细计划及多种应变方案，思路清晰，安排合理，无错误，且与项目整体设计方案高度整合，整体性极高。</w:t>
      </w:r>
    </w:p>
    <w:p>
      <w:pPr>
        <w:spacing w:line="360" w:lineRule="auto"/>
        <w:ind w:firstLine="480" w:firstLineChars="200"/>
        <w:rPr>
          <w:color w:val="auto"/>
          <w:highlight w:val="none"/>
        </w:rPr>
      </w:pPr>
      <w:r>
        <w:rPr>
          <w:rFonts w:hint="eastAsia" w:ascii="宋体" w:hAnsi="宋体" w:cs="宋体"/>
          <w:color w:val="auto"/>
          <w:sz w:val="24"/>
          <w:highlight w:val="none"/>
        </w:rPr>
        <w:t>未提供相关内容或者不满足进档要求的不得分。本项最多可得</w:t>
      </w:r>
      <w:r>
        <w:rPr>
          <w:rFonts w:ascii="宋体" w:hAnsi="宋体" w:cs="宋体"/>
          <w:color w:val="auto"/>
          <w:sz w:val="24"/>
          <w:highlight w:val="none"/>
        </w:rPr>
        <w:t>10</w:t>
      </w:r>
      <w:r>
        <w:rPr>
          <w:rFonts w:hint="eastAsia" w:ascii="宋体" w:hAnsi="宋体" w:cs="宋体"/>
          <w:color w:val="auto"/>
          <w:sz w:val="24"/>
          <w:highlight w:val="none"/>
        </w:rPr>
        <w:t>分</w:t>
      </w:r>
      <w:r>
        <w:rPr>
          <w:rFonts w:hint="eastAsia" w:ascii="宋体" w:hAnsi="宋体" w:cs="宋体"/>
          <w:color w:val="auto"/>
          <w:highlight w:val="none"/>
        </w:rPr>
        <w:t>。</w:t>
      </w:r>
      <w:r>
        <w:rPr>
          <w:color w:val="auto"/>
          <w:highlight w:val="none"/>
        </w:rPr>
        <w:t xml:space="preserve"> </w:t>
      </w:r>
    </w:p>
    <w:p>
      <w:pPr>
        <w:spacing w:line="360" w:lineRule="auto"/>
        <w:ind w:firstLine="420"/>
        <w:rPr>
          <w:rFonts w:ascii="宋体" w:hAnsi="宋体" w:cs="宋体"/>
          <w:b/>
          <w:bCs/>
          <w:color w:val="auto"/>
          <w:sz w:val="24"/>
          <w:highlight w:val="none"/>
        </w:rPr>
      </w:pPr>
      <w:r>
        <w:rPr>
          <w:rFonts w:ascii="宋体" w:hAnsi="宋体" w:cs="宋体"/>
          <w:b/>
          <w:bCs/>
          <w:color w:val="auto"/>
          <w:sz w:val="24"/>
          <w:highlight w:val="none"/>
        </w:rPr>
        <w:t>3</w:t>
      </w:r>
      <w:r>
        <w:rPr>
          <w:rFonts w:hint="eastAsia" w:ascii="宋体" w:hAnsi="宋体" w:cs="宋体"/>
          <w:b/>
          <w:bCs/>
          <w:color w:val="auto"/>
          <w:sz w:val="24"/>
          <w:highlight w:val="none"/>
        </w:rPr>
        <w:t>、综合实力分……………………………………………………………满分33分</w:t>
      </w:r>
    </w:p>
    <w:p>
      <w:pPr>
        <w:spacing w:line="360" w:lineRule="auto"/>
        <w:ind w:firstLine="420"/>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1</w:t>
      </w:r>
      <w:r>
        <w:rPr>
          <w:rFonts w:hint="eastAsia" w:ascii="宋体" w:hAnsi="宋体" w:cs="宋体"/>
          <w:color w:val="auto"/>
          <w:sz w:val="24"/>
          <w:highlight w:val="none"/>
        </w:rPr>
        <w:t>）投标人在投标前两年内承担过大数据、云计算、区块链等项目的项目业绩，每一项得2分</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提供中标通知书或合同复印件，加盖公章</w:t>
      </w:r>
      <w:r>
        <w:rPr>
          <w:rFonts w:hint="eastAsia" w:ascii="宋体" w:hAnsi="宋体" w:cs="宋体"/>
          <w:color w:val="auto"/>
          <w:sz w:val="24"/>
          <w:highlight w:val="none"/>
          <w:lang w:eastAsia="zh-CN"/>
        </w:rPr>
        <w:t>）</w:t>
      </w:r>
      <w:r>
        <w:rPr>
          <w:rFonts w:hint="eastAsia" w:ascii="宋体" w:hAnsi="宋体" w:cs="宋体"/>
          <w:color w:val="auto"/>
          <w:sz w:val="24"/>
          <w:highlight w:val="none"/>
        </w:rPr>
        <w:t>，本项最多得4分。</w:t>
      </w:r>
    </w:p>
    <w:p>
      <w:pPr>
        <w:spacing w:line="360" w:lineRule="auto"/>
        <w:ind w:firstLine="420"/>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2</w:t>
      </w:r>
      <w:r>
        <w:rPr>
          <w:rFonts w:hint="eastAsia" w:ascii="宋体" w:hAnsi="宋体" w:cs="宋体"/>
          <w:color w:val="auto"/>
          <w:sz w:val="24"/>
          <w:highlight w:val="none"/>
        </w:rPr>
        <w:t>）</w:t>
      </w:r>
      <w:r>
        <w:rPr>
          <w:rFonts w:ascii="宋体" w:hAnsi="宋体" w:cs="宋体"/>
          <w:color w:val="auto"/>
          <w:sz w:val="24"/>
          <w:highlight w:val="none"/>
        </w:rPr>
        <w:t>考虑到</w:t>
      </w:r>
      <w:r>
        <w:rPr>
          <w:rFonts w:hint="eastAsia" w:ascii="宋体" w:hAnsi="宋体" w:cs="宋体"/>
          <w:color w:val="auto"/>
          <w:sz w:val="24"/>
          <w:highlight w:val="none"/>
          <w:lang w:eastAsia="zh-Hans"/>
        </w:rPr>
        <w:t>本项目对科技原创能力和先进性的高标准要求，且</w:t>
      </w:r>
      <w:r>
        <w:rPr>
          <w:rFonts w:hint="eastAsia" w:ascii="宋体" w:hAnsi="宋体" w:cs="宋体"/>
          <w:color w:val="auto"/>
          <w:sz w:val="24"/>
          <w:highlight w:val="none"/>
        </w:rPr>
        <w:t>采购人</w:t>
      </w:r>
      <w:r>
        <w:rPr>
          <w:rFonts w:hint="eastAsia" w:ascii="宋体" w:hAnsi="宋体" w:cs="宋体"/>
          <w:color w:val="auto"/>
          <w:sz w:val="24"/>
          <w:highlight w:val="none"/>
          <w:lang w:eastAsia="zh-Hans"/>
        </w:rPr>
        <w:t>拟在南宁市公共服务大数据治理与应用平台项目软件开发与集成</w:t>
      </w:r>
      <w:r>
        <w:rPr>
          <w:rFonts w:hint="eastAsia" w:ascii="宋体" w:hAnsi="宋体" w:cs="宋体"/>
          <w:color w:val="auto"/>
          <w:sz w:val="24"/>
          <w:highlight w:val="none"/>
        </w:rPr>
        <w:t>项目</w:t>
      </w:r>
      <w:r>
        <w:rPr>
          <w:rFonts w:hint="eastAsia" w:ascii="宋体" w:hAnsi="宋体" w:cs="宋体"/>
          <w:color w:val="auto"/>
          <w:sz w:val="24"/>
          <w:highlight w:val="none"/>
          <w:lang w:eastAsia="zh-Hans"/>
        </w:rPr>
        <w:t>的数据中台内，在数据高并发情况下验证区块链技术的先进性、可行性、可靠性，本项目</w:t>
      </w:r>
      <w:r>
        <w:rPr>
          <w:rFonts w:ascii="宋体" w:hAnsi="宋体" w:cs="宋体"/>
          <w:color w:val="auto"/>
          <w:sz w:val="24"/>
          <w:highlight w:val="none"/>
          <w:lang w:eastAsia="zh-Hans"/>
        </w:rPr>
        <w:t>负责人如</w:t>
      </w:r>
      <w:r>
        <w:rPr>
          <w:rFonts w:hint="eastAsia" w:ascii="宋体" w:hAnsi="宋体" w:cs="宋体"/>
          <w:color w:val="auto"/>
          <w:sz w:val="24"/>
          <w:highlight w:val="none"/>
          <w:lang w:eastAsia="zh-Hans"/>
        </w:rPr>
        <w:t>担任过</w:t>
      </w:r>
      <w:r>
        <w:rPr>
          <w:rFonts w:ascii="宋体" w:hAnsi="宋体" w:cs="宋体"/>
          <w:color w:val="auto"/>
          <w:sz w:val="24"/>
          <w:highlight w:val="none"/>
          <w:lang w:eastAsia="zh-Hans"/>
        </w:rPr>
        <w:t>国家</w:t>
      </w:r>
      <w:r>
        <w:rPr>
          <w:rFonts w:hint="eastAsia" w:ascii="宋体" w:hAnsi="宋体" w:cs="宋体"/>
          <w:color w:val="auto"/>
          <w:sz w:val="24"/>
          <w:highlight w:val="none"/>
          <w:lang w:eastAsia="zh-Hans"/>
        </w:rPr>
        <w:t>863</w:t>
      </w:r>
      <w:r>
        <w:rPr>
          <w:rFonts w:ascii="宋体" w:hAnsi="宋体" w:cs="宋体"/>
          <w:color w:val="auto"/>
          <w:sz w:val="24"/>
          <w:highlight w:val="none"/>
          <w:lang w:eastAsia="zh-Hans"/>
        </w:rPr>
        <w:t>计划</w:t>
      </w:r>
      <w:r>
        <w:rPr>
          <w:rFonts w:hint="eastAsia" w:ascii="宋体" w:hAnsi="宋体" w:cs="宋体"/>
          <w:color w:val="auto"/>
          <w:sz w:val="24"/>
          <w:highlight w:val="none"/>
          <w:lang w:eastAsia="zh-Hans"/>
        </w:rPr>
        <w:t>信息</w:t>
      </w:r>
      <w:r>
        <w:rPr>
          <w:rFonts w:ascii="宋体" w:hAnsi="宋体" w:cs="宋体"/>
          <w:color w:val="auto"/>
          <w:sz w:val="24"/>
          <w:highlight w:val="none"/>
          <w:lang w:eastAsia="zh-Hans"/>
        </w:rPr>
        <w:t>技术</w:t>
      </w:r>
      <w:r>
        <w:rPr>
          <w:rFonts w:hint="eastAsia" w:ascii="宋体" w:hAnsi="宋体" w:cs="宋体"/>
          <w:color w:val="auto"/>
          <w:sz w:val="24"/>
          <w:highlight w:val="none"/>
          <w:lang w:eastAsia="zh-Hans"/>
        </w:rPr>
        <w:t>领域项目课题的第一负责人（课题</w:t>
      </w:r>
      <w:r>
        <w:rPr>
          <w:rFonts w:ascii="宋体" w:hAnsi="宋体" w:cs="宋体"/>
          <w:color w:val="auto"/>
          <w:sz w:val="24"/>
          <w:highlight w:val="none"/>
          <w:lang w:eastAsia="zh-Hans"/>
        </w:rPr>
        <w:t>须在近5年内</w:t>
      </w:r>
      <w:r>
        <w:rPr>
          <w:rFonts w:hint="eastAsia" w:ascii="宋体" w:hAnsi="宋体" w:cs="宋体"/>
          <w:color w:val="auto"/>
          <w:sz w:val="24"/>
          <w:highlight w:val="none"/>
          <w:lang w:eastAsia="zh-Hans"/>
        </w:rPr>
        <w:t>通过</w:t>
      </w:r>
      <w:r>
        <w:rPr>
          <w:rFonts w:hint="eastAsia" w:ascii="宋体" w:hAnsi="宋体" w:cs="宋体"/>
          <w:color w:val="auto"/>
          <w:sz w:val="24"/>
          <w:highlight w:val="none"/>
        </w:rPr>
        <w:t>结题验收，以国家科技部</w:t>
      </w:r>
      <w:r>
        <w:rPr>
          <w:rFonts w:ascii="宋体" w:hAnsi="宋体" w:cs="宋体"/>
          <w:color w:val="auto"/>
          <w:sz w:val="24"/>
          <w:highlight w:val="none"/>
        </w:rPr>
        <w:t>下发的立项通知</w:t>
      </w:r>
      <w:r>
        <w:rPr>
          <w:rFonts w:hint="eastAsia" w:ascii="宋体" w:hAnsi="宋体" w:cs="宋体"/>
          <w:color w:val="auto"/>
          <w:sz w:val="24"/>
          <w:highlight w:val="none"/>
          <w:lang w:eastAsia="zh-Hans"/>
        </w:rPr>
        <w:t>的复印件，以及</w:t>
      </w:r>
      <w:r>
        <w:rPr>
          <w:rFonts w:hint="eastAsia" w:ascii="宋体" w:hAnsi="宋体" w:cs="宋体"/>
          <w:color w:val="auto"/>
          <w:sz w:val="24"/>
          <w:highlight w:val="none"/>
        </w:rPr>
        <w:t>近</w:t>
      </w:r>
      <w:r>
        <w:rPr>
          <w:rFonts w:ascii="宋体" w:hAnsi="宋体" w:cs="宋体"/>
          <w:color w:val="auto"/>
          <w:sz w:val="24"/>
          <w:highlight w:val="none"/>
        </w:rPr>
        <w:t>5</w:t>
      </w:r>
      <w:r>
        <w:rPr>
          <w:rFonts w:hint="eastAsia" w:ascii="宋体" w:hAnsi="宋体" w:cs="宋体"/>
          <w:color w:val="auto"/>
          <w:sz w:val="24"/>
          <w:highlight w:val="none"/>
        </w:rPr>
        <w:t>年内</w:t>
      </w:r>
      <w:r>
        <w:rPr>
          <w:rFonts w:hint="eastAsia" w:ascii="宋体" w:hAnsi="宋体" w:cs="宋体"/>
          <w:color w:val="auto"/>
          <w:sz w:val="24"/>
          <w:highlight w:val="none"/>
          <w:lang w:eastAsia="zh-Hans"/>
        </w:rPr>
        <w:t>由</w:t>
      </w:r>
      <w:r>
        <w:rPr>
          <w:rFonts w:hint="eastAsia" w:ascii="宋体" w:hAnsi="宋体" w:cs="宋体"/>
          <w:color w:val="auto"/>
          <w:sz w:val="24"/>
          <w:highlight w:val="none"/>
        </w:rPr>
        <w:t>国家科技部</w:t>
      </w:r>
      <w:r>
        <w:rPr>
          <w:rFonts w:hint="eastAsia" w:ascii="宋体" w:hAnsi="宋体" w:cs="宋体"/>
          <w:color w:val="auto"/>
          <w:sz w:val="24"/>
          <w:highlight w:val="none"/>
          <w:lang w:eastAsia="zh-Hans"/>
        </w:rPr>
        <w:t>签发的</w:t>
      </w:r>
      <w:r>
        <w:rPr>
          <w:rFonts w:hint="eastAsia" w:ascii="宋体" w:hAnsi="宋体" w:cs="宋体"/>
          <w:color w:val="auto"/>
          <w:sz w:val="24"/>
          <w:highlight w:val="none"/>
        </w:rPr>
        <w:t>课题验收结论书的复印件为准，</w:t>
      </w:r>
      <w:r>
        <w:rPr>
          <w:rFonts w:hint="eastAsia" w:ascii="宋体" w:hAnsi="宋体" w:cs="宋体"/>
          <w:color w:val="auto"/>
          <w:sz w:val="24"/>
          <w:highlight w:val="none"/>
          <w:lang w:eastAsia="zh-Hans"/>
        </w:rPr>
        <w:t>复印件均须</w:t>
      </w:r>
      <w:r>
        <w:rPr>
          <w:rFonts w:hint="eastAsia" w:ascii="宋体" w:hAnsi="宋体" w:cs="宋体"/>
          <w:color w:val="auto"/>
          <w:sz w:val="24"/>
          <w:highlight w:val="none"/>
        </w:rPr>
        <w:t>加盖</w:t>
      </w:r>
      <w:r>
        <w:rPr>
          <w:rFonts w:ascii="宋体" w:hAnsi="宋体" w:cs="宋体"/>
          <w:color w:val="auto"/>
          <w:sz w:val="24"/>
          <w:highlight w:val="none"/>
        </w:rPr>
        <w:t>投标人</w:t>
      </w:r>
      <w:r>
        <w:rPr>
          <w:rFonts w:hint="eastAsia" w:ascii="宋体" w:hAnsi="宋体" w:cs="宋体"/>
          <w:color w:val="auto"/>
          <w:sz w:val="24"/>
          <w:highlight w:val="none"/>
        </w:rPr>
        <w:t>公章）</w:t>
      </w:r>
      <w:r>
        <w:rPr>
          <w:rFonts w:ascii="宋体" w:hAnsi="宋体" w:cs="宋体"/>
          <w:color w:val="auto"/>
          <w:sz w:val="24"/>
          <w:highlight w:val="none"/>
        </w:rPr>
        <w:t>，可</w:t>
      </w:r>
      <w:r>
        <w:rPr>
          <w:rFonts w:hint="eastAsia" w:ascii="宋体" w:hAnsi="宋体" w:cs="宋体"/>
          <w:color w:val="auto"/>
          <w:sz w:val="24"/>
          <w:highlight w:val="none"/>
        </w:rPr>
        <w:t>得</w:t>
      </w:r>
      <w:r>
        <w:rPr>
          <w:rFonts w:ascii="宋体" w:hAnsi="宋体" w:cs="宋体"/>
          <w:color w:val="auto"/>
          <w:sz w:val="24"/>
          <w:highlight w:val="none"/>
        </w:rPr>
        <w:t>6</w:t>
      </w:r>
      <w:r>
        <w:rPr>
          <w:rFonts w:hint="eastAsia" w:ascii="宋体" w:hAnsi="宋体" w:cs="宋体"/>
          <w:color w:val="auto"/>
          <w:sz w:val="24"/>
          <w:highlight w:val="none"/>
        </w:rPr>
        <w:t>分</w:t>
      </w:r>
      <w:r>
        <w:rPr>
          <w:rFonts w:ascii="宋体" w:hAnsi="宋体" w:cs="宋体"/>
          <w:color w:val="auto"/>
          <w:sz w:val="24"/>
          <w:highlight w:val="none"/>
        </w:rPr>
        <w:t>；本项最多得6分。</w:t>
      </w:r>
    </w:p>
    <w:p>
      <w:pPr>
        <w:spacing w:line="360" w:lineRule="auto"/>
        <w:ind w:firstLine="420"/>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w:t>
      </w:r>
      <w:r>
        <w:rPr>
          <w:rFonts w:hint="eastAsia" w:ascii="宋体" w:hAnsi="宋体" w:cs="宋体"/>
          <w:color w:val="auto"/>
          <w:sz w:val="24"/>
          <w:highlight w:val="none"/>
          <w:lang w:eastAsia="zh-Hans"/>
        </w:rPr>
        <w:t>考虑到标准化和规范化对本项目建设的可信共享平台的未来扩展及运营所起到的关键基础作用，本</w:t>
      </w:r>
      <w:r>
        <w:rPr>
          <w:rFonts w:hint="eastAsia" w:ascii="宋体" w:hAnsi="宋体" w:cs="宋体"/>
          <w:color w:val="auto"/>
          <w:sz w:val="24"/>
          <w:highlight w:val="none"/>
        </w:rPr>
        <w:t>项目</w:t>
      </w:r>
      <w:r>
        <w:rPr>
          <w:rFonts w:ascii="宋体" w:hAnsi="宋体" w:cs="宋体"/>
          <w:color w:val="auto"/>
          <w:sz w:val="24"/>
          <w:highlight w:val="none"/>
        </w:rPr>
        <w:t>负责人如为</w:t>
      </w:r>
      <w:r>
        <w:rPr>
          <w:rFonts w:hint="eastAsia" w:ascii="宋体" w:hAnsi="宋体" w:cs="宋体"/>
          <w:color w:val="auto"/>
          <w:sz w:val="24"/>
          <w:highlight w:val="none"/>
        </w:rPr>
        <w:t>牵头编写</w:t>
      </w:r>
      <w:r>
        <w:rPr>
          <w:rFonts w:ascii="宋体" w:hAnsi="宋体" w:cs="宋体"/>
          <w:color w:val="auto"/>
          <w:sz w:val="24"/>
          <w:highlight w:val="none"/>
        </w:rPr>
        <w:t>过在近5年内</w:t>
      </w:r>
      <w:r>
        <w:rPr>
          <w:rFonts w:hint="eastAsia" w:ascii="宋体" w:hAnsi="宋体" w:cs="宋体"/>
          <w:color w:val="auto"/>
          <w:sz w:val="24"/>
          <w:highlight w:val="none"/>
        </w:rPr>
        <w:t>正式</w:t>
      </w:r>
      <w:r>
        <w:rPr>
          <w:rFonts w:ascii="宋体" w:hAnsi="宋体" w:cs="宋体"/>
          <w:color w:val="auto"/>
          <w:sz w:val="24"/>
          <w:highlight w:val="none"/>
        </w:rPr>
        <w:t>出版</w:t>
      </w:r>
      <w:r>
        <w:rPr>
          <w:rFonts w:hint="eastAsia" w:ascii="宋体" w:hAnsi="宋体" w:cs="宋体"/>
          <w:color w:val="auto"/>
          <w:sz w:val="24"/>
          <w:highlight w:val="none"/>
        </w:rPr>
        <w:t>的国家</w:t>
      </w:r>
      <w:r>
        <w:rPr>
          <w:rFonts w:ascii="宋体" w:hAnsi="宋体" w:cs="宋体"/>
          <w:color w:val="auto"/>
          <w:sz w:val="24"/>
          <w:highlight w:val="none"/>
        </w:rPr>
        <w:t>信息技术</w:t>
      </w:r>
      <w:r>
        <w:rPr>
          <w:rFonts w:hint="eastAsia" w:ascii="宋体" w:hAnsi="宋体" w:cs="宋体"/>
          <w:color w:val="auto"/>
          <w:sz w:val="24"/>
          <w:highlight w:val="none"/>
        </w:rPr>
        <w:t>标准</w:t>
      </w:r>
      <w:r>
        <w:rPr>
          <w:rFonts w:hint="eastAsia" w:ascii="宋体" w:hAnsi="宋体" w:cs="宋体"/>
          <w:color w:val="auto"/>
          <w:sz w:val="24"/>
          <w:highlight w:val="none"/>
          <w:lang w:eastAsia="zh-Hans"/>
        </w:rPr>
        <w:t>（须为大数据、云计算或区块链领域）</w:t>
      </w:r>
      <w:r>
        <w:rPr>
          <w:rFonts w:ascii="宋体" w:hAnsi="宋体" w:cs="宋体"/>
          <w:color w:val="auto"/>
          <w:sz w:val="24"/>
          <w:highlight w:val="none"/>
        </w:rPr>
        <w:t>的专家（须</w:t>
      </w:r>
      <w:r>
        <w:rPr>
          <w:rFonts w:hint="eastAsia" w:ascii="宋体" w:hAnsi="宋体" w:cs="宋体"/>
          <w:color w:val="auto"/>
          <w:sz w:val="24"/>
          <w:highlight w:val="none"/>
        </w:rPr>
        <w:t>提供</w:t>
      </w:r>
      <w:r>
        <w:rPr>
          <w:rFonts w:ascii="宋体" w:hAnsi="宋体" w:cs="宋体"/>
          <w:color w:val="auto"/>
          <w:sz w:val="24"/>
          <w:highlight w:val="none"/>
        </w:rPr>
        <w:t>带出版号的国家信息技术</w:t>
      </w:r>
      <w:r>
        <w:rPr>
          <w:rFonts w:hint="eastAsia" w:ascii="宋体" w:hAnsi="宋体" w:cs="宋体"/>
          <w:color w:val="auto"/>
          <w:sz w:val="24"/>
          <w:highlight w:val="none"/>
        </w:rPr>
        <w:t>标准</w:t>
      </w:r>
      <w:r>
        <w:rPr>
          <w:rFonts w:ascii="宋体" w:hAnsi="宋体" w:cs="宋体"/>
          <w:color w:val="auto"/>
          <w:sz w:val="24"/>
          <w:highlight w:val="none"/>
        </w:rPr>
        <w:t>原件供查验</w:t>
      </w:r>
      <w:r>
        <w:rPr>
          <w:rFonts w:hint="eastAsia" w:ascii="宋体" w:hAnsi="宋体" w:cs="宋体"/>
          <w:color w:val="auto"/>
          <w:sz w:val="24"/>
          <w:highlight w:val="none"/>
        </w:rPr>
        <w:t>，</w:t>
      </w:r>
      <w:r>
        <w:rPr>
          <w:rFonts w:ascii="宋体" w:hAnsi="宋体" w:cs="宋体"/>
          <w:color w:val="auto"/>
          <w:sz w:val="24"/>
          <w:highlight w:val="none"/>
        </w:rPr>
        <w:t>以及</w:t>
      </w:r>
      <w:r>
        <w:rPr>
          <w:rFonts w:hint="eastAsia" w:ascii="宋体" w:hAnsi="宋体" w:cs="宋体"/>
          <w:color w:val="auto"/>
          <w:sz w:val="24"/>
          <w:highlight w:val="none"/>
        </w:rPr>
        <w:t>加盖</w:t>
      </w:r>
      <w:r>
        <w:rPr>
          <w:rFonts w:ascii="宋体" w:hAnsi="宋体" w:cs="宋体"/>
          <w:color w:val="auto"/>
          <w:sz w:val="24"/>
          <w:highlight w:val="none"/>
        </w:rPr>
        <w:t>投标人公章的可显示起草人的</w:t>
      </w:r>
      <w:r>
        <w:rPr>
          <w:rFonts w:hint="eastAsia" w:ascii="宋体" w:hAnsi="宋体" w:cs="宋体"/>
          <w:color w:val="auto"/>
          <w:sz w:val="24"/>
          <w:highlight w:val="none"/>
        </w:rPr>
        <w:t>署名</w:t>
      </w:r>
      <w:r>
        <w:rPr>
          <w:rFonts w:ascii="宋体" w:hAnsi="宋体" w:cs="宋体"/>
          <w:color w:val="auto"/>
          <w:sz w:val="24"/>
          <w:highlight w:val="none"/>
        </w:rPr>
        <w:t>页</w:t>
      </w:r>
      <w:r>
        <w:rPr>
          <w:rFonts w:hint="eastAsia" w:ascii="宋体" w:hAnsi="宋体" w:cs="宋体"/>
          <w:color w:val="auto"/>
          <w:sz w:val="24"/>
          <w:highlight w:val="none"/>
        </w:rPr>
        <w:t>复印件</w:t>
      </w:r>
      <w:r>
        <w:rPr>
          <w:rFonts w:ascii="宋体" w:hAnsi="宋体" w:cs="宋体"/>
          <w:color w:val="auto"/>
          <w:sz w:val="24"/>
          <w:highlight w:val="none"/>
        </w:rPr>
        <w:t>）</w:t>
      </w:r>
      <w:r>
        <w:rPr>
          <w:rFonts w:hint="eastAsia" w:ascii="宋体" w:hAnsi="宋体" w:cs="宋体"/>
          <w:color w:val="auto"/>
          <w:sz w:val="24"/>
          <w:highlight w:val="none"/>
        </w:rPr>
        <w:t>，</w:t>
      </w:r>
      <w:r>
        <w:rPr>
          <w:rFonts w:hint="eastAsia" w:ascii="宋体" w:hAnsi="宋体" w:cs="宋体"/>
          <w:color w:val="auto"/>
          <w:sz w:val="24"/>
          <w:highlight w:val="none"/>
          <w:lang w:eastAsia="zh-Hans"/>
        </w:rPr>
        <w:t>作为</w:t>
      </w:r>
      <w:r>
        <w:rPr>
          <w:rFonts w:ascii="宋体" w:hAnsi="宋体" w:cs="宋体"/>
          <w:color w:val="auto"/>
          <w:sz w:val="24"/>
          <w:highlight w:val="none"/>
        </w:rPr>
        <w:t>排名第一、第二、第三的起草人，分别可得6、3、1分，之后</w:t>
      </w:r>
      <w:r>
        <w:rPr>
          <w:rFonts w:hint="eastAsia" w:ascii="宋体" w:hAnsi="宋体" w:cs="宋体"/>
          <w:color w:val="auto"/>
          <w:sz w:val="24"/>
          <w:highlight w:val="none"/>
          <w:lang w:eastAsia="zh-Hans"/>
        </w:rPr>
        <w:t>的</w:t>
      </w:r>
      <w:r>
        <w:rPr>
          <w:rFonts w:ascii="宋体" w:hAnsi="宋体" w:cs="宋体"/>
          <w:color w:val="auto"/>
          <w:sz w:val="24"/>
          <w:highlight w:val="none"/>
        </w:rPr>
        <w:t>名次不得分；本项最多得6分。</w:t>
      </w:r>
    </w:p>
    <w:p>
      <w:pPr>
        <w:spacing w:line="360" w:lineRule="auto"/>
        <w:ind w:firstLine="420"/>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w:t>
      </w:r>
      <w:r>
        <w:rPr>
          <w:rFonts w:hint="eastAsia" w:ascii="宋体" w:hAnsi="宋体" w:cs="宋体"/>
          <w:color w:val="auto"/>
          <w:sz w:val="24"/>
          <w:highlight w:val="none"/>
          <w:lang w:eastAsia="zh-Hans"/>
        </w:rPr>
        <w:t>考虑到本项目实施的规范性对后期的扩展性和可集成性的重要影响，且</w:t>
      </w:r>
      <w:r>
        <w:rPr>
          <w:rFonts w:hint="eastAsia" w:ascii="宋体" w:hAnsi="宋体" w:cs="宋体"/>
          <w:color w:val="auto"/>
          <w:sz w:val="24"/>
          <w:highlight w:val="none"/>
        </w:rPr>
        <w:t>采购人</w:t>
      </w:r>
      <w:r>
        <w:rPr>
          <w:rFonts w:hint="eastAsia" w:ascii="宋体" w:hAnsi="宋体" w:cs="宋体"/>
          <w:color w:val="auto"/>
          <w:sz w:val="24"/>
          <w:highlight w:val="none"/>
          <w:lang w:eastAsia="zh-Hans"/>
        </w:rPr>
        <w:t>拟将本建设的可信共享平台与南宁市公共服务大数据治理与应用平台项目软件开发与集成</w:t>
      </w:r>
      <w:r>
        <w:rPr>
          <w:rFonts w:hint="eastAsia" w:ascii="宋体" w:hAnsi="宋体" w:cs="宋体"/>
          <w:color w:val="auto"/>
          <w:sz w:val="24"/>
          <w:highlight w:val="none"/>
        </w:rPr>
        <w:t>项目</w:t>
      </w:r>
      <w:r>
        <w:rPr>
          <w:rFonts w:hint="eastAsia" w:ascii="宋体" w:hAnsi="宋体" w:cs="宋体"/>
          <w:color w:val="auto"/>
          <w:sz w:val="24"/>
          <w:highlight w:val="none"/>
          <w:lang w:eastAsia="zh-Hans"/>
        </w:rPr>
        <w:t>的数据中台统一用户中心及服务管理系统进行集成，本项目拟优先采用</w:t>
      </w:r>
      <w:r>
        <w:rPr>
          <w:rFonts w:hint="eastAsia" w:ascii="宋体" w:hAnsi="宋体" w:cs="宋体"/>
          <w:color w:val="auto"/>
          <w:sz w:val="24"/>
          <w:highlight w:val="none"/>
        </w:rPr>
        <w:t>开放群组The Open Group</w:t>
      </w:r>
      <w:r>
        <w:rPr>
          <w:rFonts w:hint="eastAsia" w:ascii="宋体" w:hAnsi="宋体" w:cs="宋体"/>
          <w:color w:val="auto"/>
          <w:sz w:val="24"/>
          <w:highlight w:val="none"/>
          <w:lang w:eastAsia="zh-Hans"/>
        </w:rPr>
        <w:t>的</w:t>
      </w:r>
      <w:r>
        <w:rPr>
          <w:rFonts w:hint="eastAsia" w:ascii="宋体" w:hAnsi="宋体" w:cs="宋体"/>
          <w:color w:val="auto"/>
          <w:sz w:val="24"/>
          <w:highlight w:val="none"/>
        </w:rPr>
        <w:t>TOGAF</w:t>
      </w:r>
      <w:r>
        <w:rPr>
          <w:rFonts w:ascii="宋体" w:hAnsi="宋体" w:cs="宋体"/>
          <w:color w:val="auto"/>
          <w:sz w:val="24"/>
          <w:highlight w:val="none"/>
        </w:rPr>
        <w:t xml:space="preserve"> 9</w:t>
      </w:r>
      <w:r>
        <w:rPr>
          <w:rFonts w:hint="eastAsia" w:ascii="宋体" w:hAnsi="宋体" w:cs="宋体"/>
          <w:color w:val="auto"/>
          <w:sz w:val="24"/>
          <w:highlight w:val="none"/>
          <w:lang w:eastAsia="zh-Hans"/>
        </w:rPr>
        <w:t>总体架构标准，本</w:t>
      </w:r>
      <w:r>
        <w:rPr>
          <w:rFonts w:hint="eastAsia" w:ascii="宋体" w:hAnsi="宋体" w:cs="宋体"/>
          <w:color w:val="auto"/>
          <w:sz w:val="24"/>
          <w:highlight w:val="none"/>
        </w:rPr>
        <w:t>项目</w:t>
      </w:r>
      <w:r>
        <w:rPr>
          <w:rFonts w:ascii="宋体" w:hAnsi="宋体" w:cs="宋体"/>
          <w:color w:val="auto"/>
          <w:sz w:val="24"/>
          <w:highlight w:val="none"/>
        </w:rPr>
        <w:t>负责人如为具有</w:t>
      </w:r>
      <w:r>
        <w:rPr>
          <w:rFonts w:hint="eastAsia" w:ascii="宋体" w:hAnsi="宋体" w:cs="宋体"/>
          <w:color w:val="auto"/>
          <w:sz w:val="24"/>
          <w:highlight w:val="none"/>
        </w:rPr>
        <w:t>开放群组The Open Group</w:t>
      </w:r>
      <w:r>
        <w:rPr>
          <w:rFonts w:ascii="宋体" w:hAnsi="宋体" w:cs="宋体"/>
          <w:color w:val="auto"/>
          <w:sz w:val="24"/>
          <w:highlight w:val="none"/>
        </w:rPr>
        <w:t>颁发的</w:t>
      </w:r>
      <w:r>
        <w:rPr>
          <w:rFonts w:hint="eastAsia" w:ascii="宋体" w:hAnsi="宋体" w:cs="宋体"/>
          <w:color w:val="auto"/>
          <w:sz w:val="24"/>
          <w:highlight w:val="none"/>
        </w:rPr>
        <w:t>国际TOGAF</w:t>
      </w:r>
      <w:r>
        <w:rPr>
          <w:rFonts w:ascii="宋体" w:hAnsi="宋体" w:cs="宋体"/>
          <w:color w:val="auto"/>
          <w:sz w:val="24"/>
          <w:highlight w:val="none"/>
        </w:rPr>
        <w:t xml:space="preserve"> 9 C</w:t>
      </w:r>
      <w:r>
        <w:rPr>
          <w:rFonts w:hint="eastAsia" w:ascii="宋体" w:hAnsi="宋体" w:cs="宋体"/>
          <w:color w:val="auto"/>
          <w:sz w:val="24"/>
          <w:highlight w:val="none"/>
        </w:rPr>
        <w:t>er</w:t>
      </w:r>
      <w:r>
        <w:rPr>
          <w:rFonts w:ascii="宋体" w:hAnsi="宋体" w:cs="宋体"/>
          <w:color w:val="auto"/>
          <w:sz w:val="24"/>
          <w:highlight w:val="none"/>
        </w:rPr>
        <w:t>tification</w:t>
      </w:r>
      <w:r>
        <w:rPr>
          <w:rFonts w:hint="eastAsia" w:ascii="宋体" w:hAnsi="宋体" w:cs="宋体"/>
          <w:color w:val="auto"/>
          <w:sz w:val="24"/>
          <w:highlight w:val="none"/>
        </w:rPr>
        <w:t>资格</w:t>
      </w:r>
      <w:r>
        <w:rPr>
          <w:rFonts w:ascii="宋体" w:hAnsi="宋体" w:cs="宋体"/>
          <w:color w:val="auto"/>
          <w:sz w:val="24"/>
          <w:highlight w:val="none"/>
        </w:rPr>
        <w:t>认证的项目</w:t>
      </w:r>
      <w:r>
        <w:rPr>
          <w:rFonts w:hint="eastAsia" w:ascii="宋体" w:hAnsi="宋体" w:cs="宋体"/>
          <w:color w:val="auto"/>
          <w:sz w:val="24"/>
          <w:highlight w:val="none"/>
          <w:lang w:eastAsia="zh-Hans"/>
        </w:rPr>
        <w:t>架构</w:t>
      </w:r>
      <w:r>
        <w:rPr>
          <w:rFonts w:ascii="宋体" w:hAnsi="宋体" w:cs="宋体"/>
          <w:color w:val="auto"/>
          <w:sz w:val="24"/>
          <w:highlight w:val="none"/>
        </w:rPr>
        <w:t>专家</w:t>
      </w:r>
      <w:r>
        <w:rPr>
          <w:rFonts w:hint="eastAsia" w:ascii="宋体" w:hAnsi="宋体" w:cs="宋体"/>
          <w:color w:val="auto"/>
          <w:sz w:val="24"/>
          <w:highlight w:val="none"/>
        </w:rPr>
        <w:t>（提供资格</w:t>
      </w:r>
      <w:r>
        <w:rPr>
          <w:rFonts w:ascii="宋体" w:hAnsi="宋体" w:cs="宋体"/>
          <w:color w:val="auto"/>
          <w:sz w:val="24"/>
          <w:highlight w:val="none"/>
        </w:rPr>
        <w:t>证书</w:t>
      </w:r>
      <w:r>
        <w:rPr>
          <w:rFonts w:hint="eastAsia" w:ascii="宋体" w:hAnsi="宋体" w:cs="宋体"/>
          <w:color w:val="auto"/>
          <w:sz w:val="24"/>
          <w:highlight w:val="none"/>
        </w:rPr>
        <w:t>复印件，并加盖</w:t>
      </w:r>
      <w:r>
        <w:rPr>
          <w:rFonts w:ascii="宋体" w:hAnsi="宋体" w:cs="宋体"/>
          <w:color w:val="auto"/>
          <w:sz w:val="24"/>
          <w:highlight w:val="none"/>
        </w:rPr>
        <w:t>投标人</w:t>
      </w:r>
      <w:r>
        <w:rPr>
          <w:rFonts w:hint="eastAsia" w:ascii="宋体" w:hAnsi="宋体" w:cs="宋体"/>
          <w:color w:val="auto"/>
          <w:sz w:val="24"/>
          <w:highlight w:val="none"/>
        </w:rPr>
        <w:t>公章），</w:t>
      </w:r>
      <w:r>
        <w:rPr>
          <w:rFonts w:hint="eastAsia" w:ascii="宋体" w:hAnsi="宋体" w:cs="宋体"/>
          <w:color w:val="auto"/>
          <w:sz w:val="24"/>
          <w:highlight w:val="none"/>
          <w:lang w:eastAsia="zh-Hans"/>
        </w:rPr>
        <w:t>可</w:t>
      </w:r>
      <w:r>
        <w:rPr>
          <w:rFonts w:hint="eastAsia" w:ascii="宋体" w:hAnsi="宋体" w:cs="宋体"/>
          <w:color w:val="auto"/>
          <w:sz w:val="24"/>
          <w:highlight w:val="none"/>
        </w:rPr>
        <w:t>得</w:t>
      </w:r>
      <w:r>
        <w:rPr>
          <w:rFonts w:ascii="宋体" w:hAnsi="宋体" w:cs="宋体"/>
          <w:color w:val="auto"/>
          <w:sz w:val="24"/>
          <w:highlight w:val="none"/>
        </w:rPr>
        <w:t>5</w:t>
      </w:r>
      <w:r>
        <w:rPr>
          <w:rFonts w:hint="eastAsia" w:ascii="宋体" w:hAnsi="宋体" w:cs="宋体"/>
          <w:color w:val="auto"/>
          <w:sz w:val="24"/>
          <w:highlight w:val="none"/>
        </w:rPr>
        <w:t>分</w:t>
      </w:r>
      <w:r>
        <w:rPr>
          <w:rFonts w:ascii="宋体" w:hAnsi="宋体" w:cs="宋体"/>
          <w:color w:val="auto"/>
          <w:sz w:val="24"/>
          <w:highlight w:val="none"/>
        </w:rPr>
        <w:t>；本项最多得5分</w:t>
      </w:r>
      <w:r>
        <w:rPr>
          <w:rFonts w:hint="eastAsia" w:ascii="宋体" w:hAnsi="宋体" w:cs="宋体"/>
          <w:color w:val="auto"/>
          <w:sz w:val="24"/>
          <w:highlight w:val="none"/>
          <w:lang w:eastAsia="zh-Hans"/>
        </w:rPr>
        <w:t>。</w:t>
      </w:r>
    </w:p>
    <w:p>
      <w:pPr>
        <w:spacing w:line="360" w:lineRule="auto"/>
        <w:ind w:firstLine="420"/>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w:t>
      </w:r>
      <w:r>
        <w:rPr>
          <w:rFonts w:hint="eastAsia" w:ascii="宋体" w:hAnsi="宋体" w:cs="宋体"/>
          <w:color w:val="auto"/>
          <w:sz w:val="24"/>
          <w:highlight w:val="none"/>
          <w:lang w:eastAsia="zh-Hans"/>
        </w:rPr>
        <w:t>考虑到本项目对科技原创能力和先进性的高标准要求，且</w:t>
      </w:r>
      <w:r>
        <w:rPr>
          <w:rFonts w:hint="eastAsia" w:ascii="宋体" w:hAnsi="宋体" w:cs="宋体"/>
          <w:color w:val="auto"/>
          <w:sz w:val="24"/>
          <w:highlight w:val="none"/>
        </w:rPr>
        <w:t>采购人</w:t>
      </w:r>
      <w:r>
        <w:rPr>
          <w:rFonts w:hint="eastAsia" w:ascii="宋体" w:hAnsi="宋体" w:cs="宋体"/>
          <w:color w:val="auto"/>
          <w:sz w:val="24"/>
          <w:highlight w:val="none"/>
          <w:lang w:eastAsia="zh-Hans"/>
        </w:rPr>
        <w:t>拟在南宁市公共服务大数据治理与应用平台项目软件开发与集成</w:t>
      </w:r>
      <w:r>
        <w:rPr>
          <w:rFonts w:hint="eastAsia" w:ascii="宋体" w:hAnsi="宋体" w:cs="宋体"/>
          <w:color w:val="auto"/>
          <w:sz w:val="24"/>
          <w:highlight w:val="none"/>
        </w:rPr>
        <w:t>项目</w:t>
      </w:r>
      <w:r>
        <w:rPr>
          <w:rFonts w:hint="eastAsia" w:ascii="宋体" w:hAnsi="宋体" w:cs="宋体"/>
          <w:color w:val="auto"/>
          <w:kern w:val="0"/>
          <w:sz w:val="24"/>
          <w:highlight w:val="none"/>
          <w:lang w:bidi="ar"/>
        </w:rPr>
        <w:t>的数据中台</w:t>
      </w:r>
      <w:r>
        <w:rPr>
          <w:rFonts w:hint="eastAsia" w:ascii="宋体" w:hAnsi="宋体" w:cs="宋体"/>
          <w:color w:val="auto"/>
          <w:kern w:val="0"/>
          <w:sz w:val="24"/>
          <w:highlight w:val="none"/>
          <w:lang w:eastAsia="zh-Hans" w:bidi="ar"/>
        </w:rPr>
        <w:t>内，</w:t>
      </w:r>
      <w:r>
        <w:rPr>
          <w:rFonts w:hint="eastAsia" w:ascii="宋体" w:hAnsi="宋体" w:cs="宋体"/>
          <w:color w:val="auto"/>
          <w:sz w:val="24"/>
          <w:highlight w:val="none"/>
          <w:lang w:eastAsia="zh-Hans"/>
        </w:rPr>
        <w:t>在数据高并发情况下验证区块链技术的先进性、可行性、可靠性，本</w:t>
      </w:r>
      <w:r>
        <w:rPr>
          <w:rFonts w:hint="eastAsia" w:ascii="宋体" w:hAnsi="宋体" w:cs="宋体"/>
          <w:color w:val="auto"/>
          <w:sz w:val="24"/>
          <w:highlight w:val="none"/>
        </w:rPr>
        <w:t>项目团队</w:t>
      </w:r>
      <w:r>
        <w:rPr>
          <w:rFonts w:ascii="宋体" w:hAnsi="宋体" w:cs="宋体"/>
          <w:color w:val="auto"/>
          <w:sz w:val="24"/>
          <w:highlight w:val="none"/>
        </w:rPr>
        <w:t>核心人员中，如有获得过国家技术发明奖的一、二、三等奖（</w:t>
      </w:r>
      <w:r>
        <w:rPr>
          <w:color w:val="auto"/>
          <w:sz w:val="24"/>
          <w:highlight w:val="none"/>
        </w:rPr>
        <w:t>须提供</w:t>
      </w:r>
      <w:r>
        <w:rPr>
          <w:rFonts w:hint="eastAsia"/>
          <w:color w:val="auto"/>
          <w:sz w:val="24"/>
          <w:highlight w:val="none"/>
          <w:lang w:eastAsia="zh-Hans"/>
        </w:rPr>
        <w:t>国务院颁发的</w:t>
      </w:r>
      <w:r>
        <w:rPr>
          <w:color w:val="auto"/>
          <w:sz w:val="24"/>
          <w:highlight w:val="none"/>
        </w:rPr>
        <w:t>获奖证书</w:t>
      </w:r>
      <w:r>
        <w:rPr>
          <w:rFonts w:hint="eastAsia"/>
          <w:color w:val="auto"/>
          <w:sz w:val="24"/>
          <w:highlight w:val="none"/>
          <w:lang w:eastAsia="zh-Hans"/>
        </w:rPr>
        <w:t>的</w:t>
      </w:r>
      <w:r>
        <w:rPr>
          <w:color w:val="auto"/>
          <w:sz w:val="24"/>
          <w:highlight w:val="none"/>
        </w:rPr>
        <w:t>复印件，并加盖投标人公章</w:t>
      </w:r>
      <w:r>
        <w:rPr>
          <w:rFonts w:ascii="宋体" w:hAnsi="宋体" w:cs="宋体"/>
          <w:color w:val="auto"/>
          <w:sz w:val="24"/>
          <w:highlight w:val="none"/>
        </w:rPr>
        <w:t>）的高级专家，</w:t>
      </w:r>
      <w:r>
        <w:rPr>
          <w:rFonts w:hint="eastAsia" w:ascii="宋体" w:hAnsi="宋体" w:cs="宋体"/>
          <w:color w:val="auto"/>
          <w:sz w:val="24"/>
          <w:highlight w:val="none"/>
          <w:lang w:eastAsia="zh-Hans"/>
        </w:rPr>
        <w:t>分别</w:t>
      </w:r>
      <w:r>
        <w:rPr>
          <w:rFonts w:ascii="宋体" w:hAnsi="宋体" w:cs="宋体"/>
          <w:color w:val="auto"/>
          <w:sz w:val="24"/>
          <w:highlight w:val="none"/>
        </w:rPr>
        <w:t>可得5、3、1分；本项最多得5分；</w:t>
      </w:r>
    </w:p>
    <w:p>
      <w:pPr>
        <w:spacing w:line="360" w:lineRule="auto"/>
        <w:ind w:firstLine="420"/>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w:t>
      </w:r>
      <w:r>
        <w:rPr>
          <w:rFonts w:hint="eastAsia" w:ascii="宋体" w:hAnsi="宋体" w:cs="宋体"/>
          <w:color w:val="auto"/>
          <w:sz w:val="24"/>
          <w:highlight w:val="none"/>
          <w:lang w:eastAsia="zh-Hans"/>
        </w:rPr>
        <w:t>考虑到本项目对科技原创能力和先进性的高标准要求，且</w:t>
      </w:r>
      <w:r>
        <w:rPr>
          <w:rFonts w:hint="eastAsia" w:ascii="宋体" w:hAnsi="宋体" w:cs="宋体"/>
          <w:color w:val="auto"/>
          <w:sz w:val="24"/>
          <w:highlight w:val="none"/>
        </w:rPr>
        <w:t>采购人</w:t>
      </w:r>
      <w:r>
        <w:rPr>
          <w:rFonts w:hint="eastAsia" w:ascii="宋体" w:hAnsi="宋体" w:cs="宋体"/>
          <w:color w:val="auto"/>
          <w:sz w:val="24"/>
          <w:highlight w:val="none"/>
          <w:lang w:eastAsia="zh-Hans"/>
        </w:rPr>
        <w:t>拟在南宁市公共服务大数据治理与应用平台项目软件开发与集成</w:t>
      </w:r>
      <w:r>
        <w:rPr>
          <w:rFonts w:hint="eastAsia" w:ascii="宋体" w:hAnsi="宋体" w:cs="宋体"/>
          <w:color w:val="auto"/>
          <w:sz w:val="24"/>
          <w:highlight w:val="none"/>
        </w:rPr>
        <w:t>项目</w:t>
      </w:r>
      <w:r>
        <w:rPr>
          <w:rFonts w:hint="eastAsia" w:ascii="宋体" w:hAnsi="宋体" w:cs="宋体"/>
          <w:color w:val="auto"/>
          <w:kern w:val="0"/>
          <w:sz w:val="24"/>
          <w:highlight w:val="none"/>
          <w:lang w:bidi="ar"/>
        </w:rPr>
        <w:t>的数据中台</w:t>
      </w:r>
      <w:r>
        <w:rPr>
          <w:rFonts w:hint="eastAsia" w:ascii="宋体" w:hAnsi="宋体" w:cs="宋体"/>
          <w:color w:val="auto"/>
          <w:kern w:val="0"/>
          <w:sz w:val="24"/>
          <w:highlight w:val="none"/>
          <w:lang w:eastAsia="zh-Hans" w:bidi="ar"/>
        </w:rPr>
        <w:t>内，</w:t>
      </w:r>
      <w:r>
        <w:rPr>
          <w:rFonts w:hint="eastAsia" w:ascii="宋体" w:hAnsi="宋体" w:cs="宋体"/>
          <w:color w:val="auto"/>
          <w:sz w:val="24"/>
          <w:highlight w:val="none"/>
          <w:lang w:eastAsia="zh-Hans"/>
        </w:rPr>
        <w:t>在数据高并发情况下验证区块链技术的先进性、可行性、可靠性，本</w:t>
      </w:r>
      <w:r>
        <w:rPr>
          <w:rFonts w:hint="eastAsia" w:ascii="宋体" w:hAnsi="宋体" w:cs="宋体"/>
          <w:color w:val="auto"/>
          <w:sz w:val="24"/>
          <w:highlight w:val="none"/>
        </w:rPr>
        <w:t>项目团队</w:t>
      </w:r>
      <w:r>
        <w:rPr>
          <w:rFonts w:ascii="宋体" w:hAnsi="宋体" w:cs="宋体"/>
          <w:color w:val="auto"/>
          <w:sz w:val="24"/>
          <w:highlight w:val="none"/>
        </w:rPr>
        <w:t>核心人员中，如有获得</w:t>
      </w:r>
      <w:r>
        <w:rPr>
          <w:rFonts w:hint="eastAsia"/>
          <w:color w:val="auto"/>
          <w:sz w:val="24"/>
          <w:highlight w:val="none"/>
        </w:rPr>
        <w:t>国家杰青</w:t>
      </w:r>
      <w:r>
        <w:rPr>
          <w:color w:val="auto"/>
          <w:sz w:val="24"/>
          <w:highlight w:val="none"/>
        </w:rPr>
        <w:t>/</w:t>
      </w:r>
      <w:r>
        <w:rPr>
          <w:rFonts w:hint="eastAsia"/>
          <w:color w:val="auto"/>
          <w:sz w:val="24"/>
          <w:highlight w:val="none"/>
        </w:rPr>
        <w:t>教育部长江学者</w:t>
      </w:r>
      <w:r>
        <w:rPr>
          <w:color w:val="auto"/>
          <w:sz w:val="24"/>
          <w:highlight w:val="none"/>
        </w:rPr>
        <w:t>/</w:t>
      </w:r>
      <w:r>
        <w:rPr>
          <w:rFonts w:hint="eastAsia"/>
          <w:color w:val="auto"/>
          <w:sz w:val="24"/>
          <w:highlight w:val="none"/>
        </w:rPr>
        <w:t>国家优青</w:t>
      </w:r>
      <w:r>
        <w:rPr>
          <w:color w:val="auto"/>
          <w:sz w:val="24"/>
          <w:highlight w:val="none"/>
        </w:rPr>
        <w:t>/</w:t>
      </w:r>
      <w:r>
        <w:rPr>
          <w:rFonts w:hint="eastAsia"/>
          <w:color w:val="auto"/>
          <w:sz w:val="24"/>
          <w:highlight w:val="none"/>
        </w:rPr>
        <w:t>青年长江</w:t>
      </w:r>
      <w:r>
        <w:rPr>
          <w:color w:val="auto"/>
          <w:sz w:val="24"/>
          <w:highlight w:val="none"/>
        </w:rPr>
        <w:t>等其中一项资格的高级专家（须提供相关证书的复印件，并加盖投标人公章）</w:t>
      </w:r>
      <w:r>
        <w:rPr>
          <w:rFonts w:ascii="宋体" w:hAnsi="宋体" w:cs="宋体"/>
          <w:color w:val="auto"/>
          <w:sz w:val="24"/>
          <w:highlight w:val="none"/>
        </w:rPr>
        <w:t>，</w:t>
      </w:r>
      <w:r>
        <w:rPr>
          <w:color w:val="auto"/>
          <w:sz w:val="24"/>
          <w:highlight w:val="none"/>
        </w:rPr>
        <w:t>得3分</w:t>
      </w:r>
      <w:r>
        <w:rPr>
          <w:rFonts w:hint="eastAsia" w:ascii="宋体" w:hAnsi="宋体" w:cs="宋体"/>
          <w:color w:val="auto"/>
          <w:sz w:val="24"/>
          <w:highlight w:val="none"/>
        </w:rPr>
        <w:t>；</w:t>
      </w:r>
      <w:r>
        <w:rPr>
          <w:rFonts w:ascii="宋体" w:hAnsi="宋体" w:cs="宋体"/>
          <w:color w:val="auto"/>
          <w:sz w:val="24"/>
          <w:highlight w:val="none"/>
        </w:rPr>
        <w:t>本项最多得3分；</w:t>
      </w:r>
    </w:p>
    <w:p>
      <w:pPr>
        <w:spacing w:line="360" w:lineRule="auto"/>
        <w:ind w:firstLine="420"/>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w:t>
      </w:r>
      <w:r>
        <w:rPr>
          <w:rFonts w:hint="eastAsia" w:ascii="宋体" w:hAnsi="宋体" w:cs="宋体"/>
          <w:color w:val="auto"/>
          <w:sz w:val="24"/>
          <w:highlight w:val="none"/>
          <w:lang w:eastAsia="zh-Hans"/>
        </w:rPr>
        <w:t>考虑到本项目对科技原创能力和先进性的高标准要求，且</w:t>
      </w:r>
      <w:r>
        <w:rPr>
          <w:rFonts w:hint="eastAsia" w:ascii="宋体" w:hAnsi="宋体" w:cs="宋体"/>
          <w:color w:val="auto"/>
          <w:sz w:val="24"/>
          <w:highlight w:val="none"/>
        </w:rPr>
        <w:t>采购人</w:t>
      </w:r>
      <w:r>
        <w:rPr>
          <w:rFonts w:hint="eastAsia" w:ascii="宋体" w:hAnsi="宋体" w:cs="宋体"/>
          <w:color w:val="auto"/>
          <w:sz w:val="24"/>
          <w:highlight w:val="none"/>
          <w:lang w:eastAsia="zh-Hans"/>
        </w:rPr>
        <w:t>拟在南宁市公共服务大数据治理与应用平台项目软件开发与集成</w:t>
      </w:r>
      <w:r>
        <w:rPr>
          <w:rFonts w:hint="eastAsia" w:ascii="宋体" w:hAnsi="宋体" w:cs="宋体"/>
          <w:color w:val="auto"/>
          <w:sz w:val="24"/>
          <w:highlight w:val="none"/>
        </w:rPr>
        <w:t>项目</w:t>
      </w:r>
      <w:r>
        <w:rPr>
          <w:rFonts w:hint="eastAsia" w:ascii="宋体" w:hAnsi="宋体" w:cs="宋体"/>
          <w:color w:val="auto"/>
          <w:kern w:val="0"/>
          <w:sz w:val="24"/>
          <w:highlight w:val="none"/>
          <w:lang w:bidi="ar"/>
        </w:rPr>
        <w:t>的数据中台</w:t>
      </w:r>
      <w:r>
        <w:rPr>
          <w:rFonts w:hint="eastAsia" w:ascii="宋体" w:hAnsi="宋体" w:cs="宋体"/>
          <w:color w:val="auto"/>
          <w:kern w:val="0"/>
          <w:sz w:val="24"/>
          <w:highlight w:val="none"/>
          <w:lang w:eastAsia="zh-Hans" w:bidi="ar"/>
        </w:rPr>
        <w:t>内，</w:t>
      </w:r>
      <w:r>
        <w:rPr>
          <w:rFonts w:hint="eastAsia" w:ascii="宋体" w:hAnsi="宋体" w:cs="宋体"/>
          <w:color w:val="auto"/>
          <w:sz w:val="24"/>
          <w:highlight w:val="none"/>
          <w:lang w:eastAsia="zh-Hans"/>
        </w:rPr>
        <w:t>在数据高并发情况下验证区块链技术的先进性、可行性、可靠性，本</w:t>
      </w:r>
      <w:r>
        <w:rPr>
          <w:rFonts w:hint="eastAsia" w:ascii="宋体" w:hAnsi="宋体" w:cs="宋体"/>
          <w:color w:val="auto"/>
          <w:sz w:val="24"/>
          <w:highlight w:val="none"/>
        </w:rPr>
        <w:t>项目</w:t>
      </w:r>
      <w:r>
        <w:rPr>
          <w:rFonts w:ascii="宋体" w:hAnsi="宋体" w:cs="宋体"/>
          <w:color w:val="auto"/>
          <w:sz w:val="24"/>
          <w:highlight w:val="none"/>
        </w:rPr>
        <w:t>团队核心人员中，如有具备计算机相关专业博士学位的人员（须提供学历和学位证书复印件，</w:t>
      </w:r>
      <w:r>
        <w:rPr>
          <w:color w:val="auto"/>
          <w:sz w:val="24"/>
          <w:highlight w:val="none"/>
        </w:rPr>
        <w:t>并加盖投标人公章</w:t>
      </w:r>
      <w:r>
        <w:rPr>
          <w:rFonts w:ascii="宋体" w:hAnsi="宋体" w:cs="宋体"/>
          <w:color w:val="auto"/>
          <w:sz w:val="24"/>
          <w:highlight w:val="none"/>
        </w:rPr>
        <w:t>），每人可得1分；本项合计最多得</w:t>
      </w:r>
      <w:r>
        <w:rPr>
          <w:rFonts w:hint="eastAsia" w:ascii="宋体" w:hAnsi="宋体" w:cs="宋体"/>
          <w:color w:val="auto"/>
          <w:sz w:val="24"/>
          <w:highlight w:val="none"/>
        </w:rPr>
        <w:t>4</w:t>
      </w:r>
      <w:r>
        <w:rPr>
          <w:rFonts w:ascii="宋体" w:hAnsi="宋体" w:cs="宋体"/>
          <w:color w:val="auto"/>
          <w:sz w:val="24"/>
          <w:highlight w:val="none"/>
        </w:rPr>
        <w:t>分；</w:t>
      </w:r>
    </w:p>
    <w:p>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备注：满足以上第(2)-(7)项条件要求的</w:t>
      </w:r>
      <w:r>
        <w:rPr>
          <w:rFonts w:hint="eastAsia" w:ascii="宋体" w:hAnsi="宋体" w:cs="宋体"/>
          <w:color w:val="auto"/>
          <w:sz w:val="24"/>
          <w:highlight w:val="none"/>
          <w:lang w:eastAsia="zh-Hans"/>
        </w:rPr>
        <w:t>本</w:t>
      </w:r>
      <w:r>
        <w:rPr>
          <w:rFonts w:ascii="宋体" w:hAnsi="宋体" w:cs="宋体"/>
          <w:color w:val="auto"/>
          <w:sz w:val="24"/>
          <w:highlight w:val="none"/>
        </w:rPr>
        <w:t>项目团队核心人员（含项目负责人），在投标时须</w:t>
      </w:r>
      <w:r>
        <w:rPr>
          <w:rFonts w:hint="eastAsia" w:ascii="宋体" w:hAnsi="宋体" w:cs="宋体"/>
          <w:color w:val="auto"/>
          <w:sz w:val="24"/>
          <w:highlight w:val="none"/>
          <w:lang w:eastAsia="zh-Hans"/>
        </w:rPr>
        <w:t>为投标人</w:t>
      </w:r>
      <w:r>
        <w:rPr>
          <w:rFonts w:ascii="宋体" w:hAnsi="宋体" w:cs="宋体"/>
          <w:color w:val="auto"/>
          <w:sz w:val="24"/>
          <w:highlight w:val="none"/>
        </w:rPr>
        <w:t>软件产品（技术）原厂商</w:t>
      </w:r>
      <w:r>
        <w:rPr>
          <w:rFonts w:hint="eastAsia" w:ascii="宋体" w:hAnsi="宋体" w:cs="宋体"/>
          <w:color w:val="auto"/>
          <w:sz w:val="24"/>
          <w:highlight w:val="none"/>
          <w:lang w:eastAsia="zh-Hans"/>
        </w:rPr>
        <w:t>（含分支机构）</w:t>
      </w:r>
      <w:r>
        <w:rPr>
          <w:rFonts w:ascii="宋体" w:hAnsi="宋体" w:cs="宋体"/>
          <w:color w:val="auto"/>
          <w:sz w:val="24"/>
          <w:highlight w:val="none"/>
        </w:rPr>
        <w:t>的正式在职人员（在职时长不少于3个月），方可获得各项相应分数（满足以上第(2)-(7)项条件的</w:t>
      </w:r>
      <w:r>
        <w:rPr>
          <w:rFonts w:hint="eastAsia" w:ascii="宋体" w:hAnsi="宋体" w:cs="宋体"/>
          <w:color w:val="auto"/>
          <w:sz w:val="24"/>
          <w:highlight w:val="none"/>
          <w:lang w:eastAsia="zh-Hans"/>
        </w:rPr>
        <w:t>本</w:t>
      </w:r>
      <w:r>
        <w:rPr>
          <w:rFonts w:ascii="宋体" w:hAnsi="宋体" w:cs="宋体"/>
          <w:color w:val="auto"/>
          <w:sz w:val="24"/>
          <w:highlight w:val="none"/>
        </w:rPr>
        <w:t>项目团队核心人员须提供</w:t>
      </w:r>
      <w:r>
        <w:rPr>
          <w:rFonts w:hint="eastAsia" w:ascii="宋体" w:hAnsi="宋体" w:cs="宋体"/>
          <w:color w:val="auto"/>
          <w:sz w:val="24"/>
          <w:highlight w:val="none"/>
          <w:lang w:eastAsia="zh-Hans"/>
        </w:rPr>
        <w:t>相关证明材料</w:t>
      </w:r>
      <w:r>
        <w:rPr>
          <w:rFonts w:hint="eastAsia" w:ascii="宋体" w:hAnsi="宋体" w:cs="宋体"/>
          <w:color w:val="auto"/>
          <w:sz w:val="24"/>
          <w:highlight w:val="none"/>
        </w:rPr>
        <w:t>）</w:t>
      </w:r>
      <w:r>
        <w:rPr>
          <w:rFonts w:ascii="宋体" w:hAnsi="宋体" w:cs="宋体"/>
          <w:color w:val="auto"/>
          <w:sz w:val="24"/>
          <w:highlight w:val="none"/>
        </w:rPr>
        <w:t>，否则不能得分。</w:t>
      </w:r>
    </w:p>
    <w:p>
      <w:pPr>
        <w:spacing w:line="360" w:lineRule="auto"/>
        <w:ind w:firstLine="482" w:firstLineChars="200"/>
        <w:rPr>
          <w:rFonts w:hAnsi="宋体" w:cs="宋体"/>
          <w:color w:val="auto"/>
          <w:sz w:val="24"/>
          <w:highlight w:val="none"/>
        </w:rPr>
      </w:pPr>
      <w:r>
        <w:rPr>
          <w:rFonts w:ascii="宋体" w:hAnsi="宋体" w:cs="宋体"/>
          <w:b/>
          <w:bCs/>
          <w:color w:val="auto"/>
          <w:sz w:val="24"/>
          <w:highlight w:val="none"/>
        </w:rPr>
        <w:t>4、</w:t>
      </w:r>
      <w:r>
        <w:rPr>
          <w:rFonts w:hint="eastAsia" w:ascii="宋体" w:hAnsi="宋体" w:cs="宋体"/>
          <w:b/>
          <w:bCs/>
          <w:color w:val="auto"/>
          <w:sz w:val="24"/>
          <w:highlight w:val="none"/>
        </w:rPr>
        <w:t>售后服务方案分</w:t>
      </w:r>
      <w:r>
        <w:rPr>
          <w:rFonts w:ascii="宋体" w:hAnsi="宋体" w:cs="宋体"/>
          <w:b/>
          <w:bCs/>
          <w:color w:val="auto"/>
          <w:sz w:val="24"/>
          <w:highlight w:val="none"/>
        </w:rPr>
        <w:t>…………………………………………………………总共</w:t>
      </w:r>
      <w:r>
        <w:rPr>
          <w:rFonts w:hint="eastAsia" w:ascii="宋体" w:hAnsi="宋体" w:cs="宋体"/>
          <w:b/>
          <w:bCs/>
          <w:color w:val="auto"/>
          <w:sz w:val="24"/>
          <w:highlight w:val="none"/>
        </w:rPr>
        <w:t>9</w:t>
      </w:r>
      <w:r>
        <w:rPr>
          <w:rFonts w:ascii="宋体" w:hAnsi="宋体" w:cs="宋体"/>
          <w:b/>
          <w:bCs/>
          <w:color w:val="auto"/>
          <w:sz w:val="24"/>
          <w:highlight w:val="none"/>
        </w:rPr>
        <w:t>分</w:t>
      </w:r>
    </w:p>
    <w:p>
      <w:pPr>
        <w:pStyle w:val="2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由评标委员会在打分前根据投标人提供的售后服务方案进行确定各投标人所属档次：</w:t>
      </w:r>
    </w:p>
    <w:p>
      <w:pPr>
        <w:pStyle w:val="2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一档（3分）：提供有售后服务方案，方案包含有人员培训、运维管理制度、故障处理流程、应急保障方案、售后服务方案，方案一般的。</w:t>
      </w:r>
    </w:p>
    <w:p>
      <w:pPr>
        <w:pStyle w:val="2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二档（6分）：提供有售后服务方案，方案包含有人员培训、运维管理制度、故障处理流程、应急保障方案、售后服务方案，方案可行、较好的</w:t>
      </w:r>
      <w:r>
        <w:rPr>
          <w:rFonts w:hint="eastAsia" w:hAnsi="宋体" w:cs="宋体"/>
          <w:color w:val="auto"/>
          <w:sz w:val="24"/>
          <w:szCs w:val="24"/>
          <w:highlight w:val="none"/>
          <w:lang w:eastAsia="zh-Hans"/>
        </w:rPr>
        <w:t>，</w:t>
      </w:r>
      <w:r>
        <w:rPr>
          <w:rFonts w:hint="eastAsia" w:hAnsi="宋体" w:cs="宋体"/>
          <w:color w:val="auto"/>
          <w:sz w:val="24"/>
          <w:szCs w:val="24"/>
          <w:highlight w:val="none"/>
        </w:rPr>
        <w:t>投标人</w:t>
      </w:r>
      <w:r>
        <w:rPr>
          <w:rFonts w:hint="eastAsia" w:hAnsi="宋体" w:cs="宋体"/>
          <w:color w:val="auto"/>
          <w:sz w:val="24"/>
          <w:szCs w:val="24"/>
          <w:highlight w:val="none"/>
          <w:lang w:eastAsia="zh-Hans"/>
        </w:rPr>
        <w:t>能提供投标软件产品自终验之日起</w:t>
      </w:r>
      <w:r>
        <w:rPr>
          <w:rFonts w:hint="eastAsia" w:hAnsi="宋体" w:cs="宋体"/>
          <w:color w:val="auto"/>
          <w:sz w:val="24"/>
          <w:szCs w:val="24"/>
          <w:highlight w:val="none"/>
        </w:rPr>
        <w:t>一年内的无偿的产品</w:t>
      </w:r>
      <w:r>
        <w:rPr>
          <w:rFonts w:hint="eastAsia" w:hAnsi="宋体" w:cs="宋体"/>
          <w:color w:val="auto"/>
          <w:sz w:val="24"/>
          <w:szCs w:val="24"/>
          <w:highlight w:val="none"/>
          <w:lang w:eastAsia="zh-Hans"/>
        </w:rPr>
        <w:t>版本</w:t>
      </w:r>
      <w:r>
        <w:rPr>
          <w:rFonts w:hint="eastAsia" w:hAnsi="宋体" w:cs="宋体"/>
          <w:color w:val="auto"/>
          <w:sz w:val="24"/>
          <w:szCs w:val="24"/>
          <w:highlight w:val="none"/>
        </w:rPr>
        <w:t>升级</w:t>
      </w:r>
      <w:r>
        <w:rPr>
          <w:rFonts w:hint="eastAsia" w:hAnsi="宋体" w:cs="宋体"/>
          <w:color w:val="auto"/>
          <w:sz w:val="24"/>
          <w:szCs w:val="24"/>
          <w:highlight w:val="none"/>
          <w:lang w:eastAsia="zh-Hans"/>
        </w:rPr>
        <w:t>。</w:t>
      </w:r>
    </w:p>
    <w:p>
      <w:pPr>
        <w:spacing w:line="460" w:lineRule="atLeast"/>
        <w:ind w:firstLine="480" w:firstLineChars="200"/>
        <w:rPr>
          <w:rFonts w:hAnsi="宋体" w:cs="宋体"/>
          <w:color w:val="auto"/>
          <w:sz w:val="24"/>
          <w:highlight w:val="none"/>
        </w:rPr>
      </w:pPr>
      <w:r>
        <w:rPr>
          <w:rFonts w:hint="eastAsia" w:hAnsi="宋体" w:cs="宋体"/>
          <w:color w:val="auto"/>
          <w:sz w:val="24"/>
          <w:highlight w:val="none"/>
        </w:rPr>
        <w:t>三档（9分）：提供有售后服务方案，方案包含有人员培训、运维管理制度、故障处理流程、应急保障方案、售后服务方案，方案有针对性、较完善；投标人能提供投标软件产品自终验之日起两年内的无偿的产品版本升级。投标人或投标人所投产品厂商派出的售后保障驻场人员不少于</w:t>
      </w:r>
      <w:r>
        <w:rPr>
          <w:rFonts w:hAnsi="宋体" w:cs="宋体"/>
          <w:color w:val="auto"/>
          <w:sz w:val="24"/>
          <w:highlight w:val="none"/>
        </w:rPr>
        <w:t>3</w:t>
      </w:r>
      <w:r>
        <w:rPr>
          <w:rFonts w:hint="eastAsia" w:hAnsi="宋体" w:cs="宋体"/>
          <w:color w:val="auto"/>
          <w:sz w:val="24"/>
          <w:highlight w:val="none"/>
        </w:rPr>
        <w:t>人，</w:t>
      </w:r>
      <w:r>
        <w:rPr>
          <w:rFonts w:hint="eastAsia" w:hAnsi="宋体" w:cs="宋体"/>
          <w:color w:val="auto"/>
          <w:sz w:val="24"/>
          <w:highlight w:val="none"/>
        </w:rPr>
        <w:t>售后保障驻场人员须具有信息系统集成等方面的资格证书或计算机专业本科及以上学历（</w:t>
      </w:r>
      <w:r>
        <w:rPr>
          <w:rFonts w:hAnsi="宋体" w:cs="宋体"/>
          <w:color w:val="auto"/>
          <w:sz w:val="24"/>
          <w:highlight w:val="none"/>
        </w:rPr>
        <w:t>须提供</w:t>
      </w:r>
      <w:r>
        <w:rPr>
          <w:rFonts w:hint="eastAsia" w:hAnsi="宋体" w:cs="宋体"/>
          <w:color w:val="auto"/>
          <w:sz w:val="24"/>
          <w:highlight w:val="none"/>
        </w:rPr>
        <w:t>相关证明材料）。</w:t>
      </w:r>
    </w:p>
    <w:p>
      <w:pPr>
        <w:pStyle w:val="33"/>
        <w:spacing w:line="360" w:lineRule="auto"/>
        <w:ind w:left="0" w:leftChars="0" w:firstLine="480" w:firstLineChars="200"/>
        <w:rPr>
          <w:rFonts w:hAnsi="宋体" w:cs="宋体"/>
          <w:color w:val="auto"/>
          <w:sz w:val="24"/>
          <w:highlight w:val="none"/>
        </w:rPr>
      </w:pPr>
      <w:r>
        <w:rPr>
          <w:rFonts w:hint="eastAsia" w:hAnsi="宋体" w:cs="宋体"/>
          <w:color w:val="auto"/>
          <w:sz w:val="24"/>
          <w:highlight w:val="none"/>
        </w:rPr>
        <w:t>未提供相关内容或者不满足进档要求的不得分。本项最多可得</w:t>
      </w:r>
      <w:r>
        <w:rPr>
          <w:rFonts w:hAnsi="宋体" w:cs="宋体"/>
          <w:color w:val="auto"/>
          <w:sz w:val="24"/>
          <w:highlight w:val="none"/>
        </w:rPr>
        <w:t>9</w:t>
      </w:r>
      <w:r>
        <w:rPr>
          <w:rFonts w:hint="eastAsia" w:hAnsi="宋体" w:cs="宋体"/>
          <w:color w:val="auto"/>
          <w:sz w:val="24"/>
          <w:highlight w:val="none"/>
        </w:rPr>
        <w:t>分。</w:t>
      </w:r>
    </w:p>
    <w:p>
      <w:pPr>
        <w:pStyle w:val="22"/>
        <w:spacing w:line="460" w:lineRule="atLeast"/>
        <w:ind w:firstLine="120" w:firstLineChars="50"/>
        <w:rPr>
          <w:rFonts w:hAnsi="宋体" w:cs="宋体"/>
          <w:b/>
          <w:color w:val="auto"/>
          <w:sz w:val="24"/>
          <w:szCs w:val="24"/>
          <w:highlight w:val="none"/>
        </w:rPr>
      </w:pPr>
      <w:r>
        <w:rPr>
          <w:rFonts w:hint="eastAsia" w:hAnsi="宋体" w:cs="宋体"/>
          <w:b/>
          <w:color w:val="auto"/>
          <w:sz w:val="24"/>
          <w:szCs w:val="24"/>
          <w:highlight w:val="none"/>
        </w:rPr>
        <w:t>5</w:t>
      </w:r>
      <w:r>
        <w:rPr>
          <w:rFonts w:hAnsi="宋体" w:cs="宋体"/>
          <w:b/>
          <w:color w:val="auto"/>
          <w:sz w:val="24"/>
          <w:szCs w:val="24"/>
          <w:highlight w:val="none"/>
        </w:rPr>
        <w:t>、诚信分</w:t>
      </w:r>
    </w:p>
    <w:p>
      <w:pPr>
        <w:spacing w:line="460" w:lineRule="atLeast"/>
        <w:ind w:firstLine="480" w:firstLineChars="200"/>
        <w:rPr>
          <w:rFonts w:hAnsi="宋体" w:cs="宋体"/>
          <w:color w:val="auto"/>
          <w:sz w:val="24"/>
          <w:highlight w:val="none"/>
        </w:rPr>
      </w:pPr>
      <w:r>
        <w:rPr>
          <w:rFonts w:hint="eastAsia" w:hAnsi="宋体" w:cs="宋体"/>
          <w:color w:val="auto"/>
          <w:sz w:val="24"/>
          <w:highlight w:val="none"/>
        </w:rPr>
        <w:t>投标人在截标日前一年内在政府采购活动中存在违约情况的，每次扣除3分，最高扣6分。（投标人提供出具书面说明或其他有效证明材料作为评分依据，中标后由采购人进行核查，如核查后发现未如实提供的，按提供虚假材料处理。）</w:t>
      </w:r>
    </w:p>
    <w:p>
      <w:pPr>
        <w:spacing w:line="460" w:lineRule="atLeast"/>
        <w:ind w:firstLine="480" w:firstLineChars="200"/>
        <w:rPr>
          <w:rFonts w:ascii="宋体" w:hAnsi="宋体" w:cs="宋体"/>
          <w:color w:val="auto"/>
          <w:sz w:val="24"/>
          <w:highlight w:val="none"/>
        </w:rPr>
      </w:pPr>
      <w:r>
        <w:rPr>
          <w:rFonts w:hint="eastAsia" w:ascii="宋体" w:hAnsi="宋体" w:cs="宋体"/>
          <w:color w:val="auto"/>
          <w:sz w:val="24"/>
          <w:highlight w:val="none"/>
        </w:rPr>
        <w:t>（三）总得分＝1+2+3+4+5</w:t>
      </w:r>
    </w:p>
    <w:p>
      <w:pPr>
        <w:tabs>
          <w:tab w:val="left" w:pos="6931"/>
        </w:tabs>
        <w:spacing w:line="460" w:lineRule="atLeast"/>
        <w:ind w:firstLine="360" w:firstLineChars="150"/>
        <w:jc w:val="left"/>
        <w:rPr>
          <w:rFonts w:ascii="宋体" w:hAnsi="宋体" w:cs="宋体"/>
          <w:color w:val="auto"/>
          <w:sz w:val="24"/>
          <w:highlight w:val="none"/>
        </w:rPr>
      </w:pPr>
      <w:r>
        <w:rPr>
          <w:rFonts w:hint="eastAsia" w:ascii="宋体" w:hAnsi="宋体" w:cs="宋体"/>
          <w:color w:val="auto"/>
          <w:sz w:val="24"/>
          <w:highlight w:val="none"/>
        </w:rPr>
        <w:t>（四）推荐中标候选供应商原则：</w:t>
      </w:r>
      <w:r>
        <w:rPr>
          <w:rFonts w:hint="eastAsia" w:ascii="宋体" w:hAnsi="宋体" w:cs="宋体"/>
          <w:color w:val="auto"/>
          <w:sz w:val="24"/>
          <w:highlight w:val="none"/>
        </w:rPr>
        <w:tab/>
      </w:r>
    </w:p>
    <w:p>
      <w:pPr>
        <w:spacing w:line="460" w:lineRule="atLeast"/>
        <w:ind w:firstLine="482" w:firstLineChars="200"/>
        <w:rPr>
          <w:rFonts w:ascii="宋体" w:hAnsi="宋体" w:cs="宋体"/>
          <w:b/>
          <w:color w:val="auto"/>
          <w:sz w:val="24"/>
          <w:highlight w:val="none"/>
        </w:rPr>
      </w:pPr>
      <w:r>
        <w:rPr>
          <w:rFonts w:hint="eastAsia" w:ascii="宋体" w:hAnsi="宋体" w:cs="宋体"/>
          <w:b/>
          <w:color w:val="auto"/>
          <w:sz w:val="24"/>
          <w:highlight w:val="none"/>
        </w:rPr>
        <w:t>（1）</w:t>
      </w:r>
      <w:r>
        <w:rPr>
          <w:rFonts w:hint="eastAsia" w:ascii="宋体" w:hAnsi="宋体" w:cs="宋体"/>
          <w:b/>
          <w:bCs/>
          <w:color w:val="auto"/>
          <w:sz w:val="24"/>
          <w:highlight w:val="none"/>
        </w:rPr>
        <w:t>评标委员会</w:t>
      </w:r>
      <w:r>
        <w:rPr>
          <w:rFonts w:hint="eastAsia" w:ascii="宋体" w:hAnsi="宋体" w:cs="宋体"/>
          <w:b/>
          <w:color w:val="auto"/>
          <w:sz w:val="24"/>
          <w:highlight w:val="none"/>
        </w:rPr>
        <w:t>将按总得分由高到低排列中标候选供应商顺序（总得分相同时，依次按技术分高优先、投标报价低优先、质量保证期长优先、交付使用时间短优先、处理问题到达时间短优先的顺序排列，如最终还是相同的由评标委员会记名投票确定），并依照次序确定中标单位。</w:t>
      </w:r>
    </w:p>
    <w:p>
      <w:pPr>
        <w:spacing w:line="460" w:lineRule="atLeast"/>
        <w:ind w:firstLine="482" w:firstLineChars="200"/>
        <w:rPr>
          <w:rFonts w:ascii="宋体" w:hAnsi="宋体" w:cs="宋体"/>
          <w:b/>
          <w:color w:val="auto"/>
          <w:sz w:val="24"/>
          <w:highlight w:val="none"/>
        </w:rPr>
      </w:pPr>
      <w:r>
        <w:rPr>
          <w:rFonts w:hint="eastAsia" w:ascii="宋体" w:hAnsi="宋体" w:cs="宋体"/>
          <w:b/>
          <w:color w:val="auto"/>
          <w:sz w:val="24"/>
          <w:highlight w:val="none"/>
        </w:rPr>
        <w:t>（2）评委委员会认为投标人的报价明显低于其他通过符合性审查投标人的报价，有可能影响产品质量或者不能诚信履约的，应当要求其在评标现场合理的时间内提供书面说明，必要时提交相关证明材料；投标人不能证明其报价合理的，评标委员会应当将其作无效投标处理。</w:t>
      </w:r>
    </w:p>
    <w:p>
      <w:pPr>
        <w:pStyle w:val="22"/>
        <w:ind w:firstLine="420" w:firstLineChars="200"/>
        <w:rPr>
          <w:rFonts w:hAnsi="宋体"/>
          <w:color w:val="auto"/>
          <w:sz w:val="44"/>
          <w:szCs w:val="44"/>
          <w:highlight w:val="none"/>
        </w:rPr>
      </w:pPr>
      <w:r>
        <w:rPr>
          <w:color w:val="auto"/>
          <w:highlight w:val="none"/>
        </w:rPr>
        <w:br w:type="page"/>
      </w:r>
    </w:p>
    <w:p>
      <w:pPr>
        <w:ind w:firstLine="883" w:firstLineChars="200"/>
        <w:jc w:val="center"/>
        <w:rPr>
          <w:rFonts w:ascii="宋体" w:hAnsi="宋体"/>
          <w:b/>
          <w:color w:val="auto"/>
          <w:sz w:val="44"/>
          <w:szCs w:val="44"/>
          <w:highlight w:val="none"/>
        </w:rPr>
      </w:pPr>
    </w:p>
    <w:p>
      <w:pPr>
        <w:ind w:firstLine="883" w:firstLineChars="200"/>
        <w:jc w:val="center"/>
        <w:outlineLvl w:val="0"/>
        <w:rPr>
          <w:rFonts w:ascii="宋体" w:hAnsi="宋体"/>
          <w:b/>
          <w:color w:val="auto"/>
          <w:sz w:val="44"/>
          <w:szCs w:val="44"/>
          <w:highlight w:val="none"/>
        </w:rPr>
      </w:pPr>
    </w:p>
    <w:p>
      <w:pPr>
        <w:ind w:firstLine="883" w:firstLineChars="200"/>
        <w:jc w:val="center"/>
        <w:outlineLvl w:val="0"/>
        <w:rPr>
          <w:rFonts w:ascii="宋体" w:hAnsi="宋体"/>
          <w:b/>
          <w:color w:val="auto"/>
          <w:sz w:val="44"/>
          <w:szCs w:val="44"/>
          <w:highlight w:val="none"/>
        </w:rPr>
      </w:pPr>
    </w:p>
    <w:p>
      <w:pPr>
        <w:ind w:firstLine="883" w:firstLineChars="200"/>
        <w:jc w:val="center"/>
        <w:outlineLvl w:val="0"/>
        <w:rPr>
          <w:rFonts w:ascii="宋体" w:hAnsi="宋体"/>
          <w:b/>
          <w:color w:val="auto"/>
          <w:sz w:val="44"/>
          <w:szCs w:val="44"/>
          <w:highlight w:val="none"/>
        </w:rPr>
      </w:pPr>
    </w:p>
    <w:p>
      <w:pPr>
        <w:ind w:firstLine="883" w:firstLineChars="200"/>
        <w:jc w:val="center"/>
        <w:outlineLvl w:val="0"/>
        <w:rPr>
          <w:rFonts w:ascii="宋体" w:hAnsi="宋体"/>
          <w:b/>
          <w:color w:val="auto"/>
          <w:sz w:val="44"/>
          <w:szCs w:val="44"/>
          <w:highlight w:val="none"/>
        </w:rPr>
      </w:pPr>
    </w:p>
    <w:p>
      <w:pPr>
        <w:ind w:firstLine="883" w:firstLineChars="200"/>
        <w:jc w:val="center"/>
        <w:outlineLvl w:val="0"/>
        <w:rPr>
          <w:rFonts w:ascii="宋体" w:hAnsi="宋体"/>
          <w:b/>
          <w:color w:val="auto"/>
          <w:sz w:val="44"/>
          <w:szCs w:val="44"/>
          <w:highlight w:val="none"/>
        </w:rPr>
      </w:pPr>
    </w:p>
    <w:p>
      <w:pPr>
        <w:ind w:firstLine="883" w:firstLineChars="200"/>
        <w:jc w:val="center"/>
        <w:outlineLvl w:val="0"/>
        <w:rPr>
          <w:rFonts w:ascii="宋体" w:hAnsi="宋体"/>
          <w:b/>
          <w:color w:val="auto"/>
          <w:sz w:val="44"/>
          <w:szCs w:val="44"/>
          <w:highlight w:val="none"/>
        </w:rPr>
      </w:pPr>
    </w:p>
    <w:p>
      <w:pPr>
        <w:ind w:firstLine="883" w:firstLineChars="200"/>
        <w:jc w:val="center"/>
        <w:outlineLvl w:val="0"/>
        <w:rPr>
          <w:rFonts w:ascii="宋体" w:hAnsi="宋体"/>
          <w:b/>
          <w:color w:val="auto"/>
          <w:sz w:val="44"/>
          <w:szCs w:val="44"/>
          <w:highlight w:val="none"/>
        </w:rPr>
      </w:pPr>
    </w:p>
    <w:p>
      <w:pPr>
        <w:ind w:firstLine="883" w:firstLineChars="200"/>
        <w:jc w:val="center"/>
        <w:outlineLvl w:val="0"/>
        <w:rPr>
          <w:rFonts w:ascii="宋体" w:hAnsi="宋体"/>
          <w:b/>
          <w:bCs/>
          <w:color w:val="auto"/>
          <w:sz w:val="44"/>
          <w:szCs w:val="44"/>
          <w:highlight w:val="none"/>
        </w:rPr>
      </w:pPr>
      <w:bookmarkStart w:id="99" w:name="_Toc11727"/>
      <w:bookmarkStart w:id="100" w:name="_Toc6368"/>
      <w:bookmarkStart w:id="101" w:name="_Toc23065"/>
      <w:r>
        <w:rPr>
          <w:rFonts w:hint="eastAsia" w:ascii="宋体" w:hAnsi="宋体"/>
          <w:b/>
          <w:color w:val="auto"/>
          <w:sz w:val="44"/>
          <w:szCs w:val="44"/>
          <w:highlight w:val="none"/>
        </w:rPr>
        <w:t xml:space="preserve">第五章 </w:t>
      </w:r>
      <w:r>
        <w:rPr>
          <w:rFonts w:hint="eastAsia" w:ascii="宋体" w:hAnsi="宋体"/>
          <w:b/>
          <w:bCs/>
          <w:color w:val="auto"/>
          <w:sz w:val="44"/>
          <w:szCs w:val="44"/>
          <w:highlight w:val="none"/>
        </w:rPr>
        <w:t>合同主要条款格式</w:t>
      </w:r>
      <w:bookmarkEnd w:id="99"/>
      <w:bookmarkEnd w:id="100"/>
      <w:bookmarkEnd w:id="101"/>
    </w:p>
    <w:p>
      <w:pPr>
        <w:pStyle w:val="22"/>
        <w:jc w:val="center"/>
        <w:rPr>
          <w:rFonts w:hAnsi="宋体"/>
          <w:b/>
          <w:color w:val="auto"/>
          <w:sz w:val="52"/>
          <w:szCs w:val="52"/>
          <w:highlight w:val="none"/>
        </w:rPr>
      </w:pPr>
      <w:r>
        <w:rPr>
          <w:rFonts w:hAnsi="宋体"/>
          <w:b/>
          <w:bCs/>
          <w:color w:val="auto"/>
          <w:sz w:val="44"/>
          <w:szCs w:val="44"/>
          <w:highlight w:val="none"/>
        </w:rPr>
        <w:br w:type="page"/>
      </w:r>
      <w:r>
        <w:rPr>
          <w:rFonts w:hint="eastAsia" w:hAnsi="宋体"/>
          <w:b/>
          <w:color w:val="auto"/>
          <w:sz w:val="52"/>
          <w:szCs w:val="52"/>
          <w:highlight w:val="none"/>
        </w:rPr>
        <w:t>政府采购合同</w:t>
      </w:r>
    </w:p>
    <w:p>
      <w:pPr>
        <w:pStyle w:val="22"/>
        <w:rPr>
          <w:rFonts w:hAnsi="宋体"/>
          <w:color w:val="auto"/>
          <w:highlight w:val="none"/>
        </w:rPr>
      </w:pPr>
    </w:p>
    <w:p>
      <w:pPr>
        <w:pStyle w:val="22"/>
        <w:rPr>
          <w:rFonts w:hAnsi="宋体"/>
          <w:color w:val="auto"/>
          <w:highlight w:val="none"/>
        </w:rPr>
      </w:pPr>
    </w:p>
    <w:p>
      <w:pPr>
        <w:pStyle w:val="22"/>
        <w:rPr>
          <w:rFonts w:hAnsi="宋体"/>
          <w:color w:val="auto"/>
          <w:highlight w:val="none"/>
        </w:rPr>
      </w:pPr>
    </w:p>
    <w:p>
      <w:pPr>
        <w:pStyle w:val="22"/>
        <w:ind w:firstLine="1590" w:firstLineChars="495"/>
        <w:rPr>
          <w:rFonts w:hAnsi="宋体"/>
          <w:b/>
          <w:color w:val="auto"/>
          <w:sz w:val="32"/>
          <w:szCs w:val="32"/>
          <w:highlight w:val="none"/>
          <w:u w:val="single"/>
        </w:rPr>
      </w:pPr>
      <w:r>
        <w:rPr>
          <w:rFonts w:hint="eastAsia" w:hAnsi="宋体"/>
          <w:b/>
          <w:color w:val="auto"/>
          <w:sz w:val="32"/>
          <w:szCs w:val="32"/>
          <w:highlight w:val="none"/>
        </w:rPr>
        <w:t>合同名称：</w:t>
      </w:r>
      <w:r>
        <w:rPr>
          <w:rFonts w:hint="eastAsia" w:hAnsi="宋体"/>
          <w:b/>
          <w:color w:val="auto"/>
          <w:sz w:val="32"/>
          <w:szCs w:val="32"/>
          <w:highlight w:val="none"/>
          <w:u w:val="single"/>
        </w:rPr>
        <w:t xml:space="preserve">                            </w:t>
      </w:r>
    </w:p>
    <w:p>
      <w:pPr>
        <w:pStyle w:val="22"/>
        <w:ind w:firstLine="1590" w:firstLineChars="495"/>
        <w:rPr>
          <w:rFonts w:hAnsi="宋体"/>
          <w:b/>
          <w:color w:val="auto"/>
          <w:sz w:val="32"/>
          <w:szCs w:val="32"/>
          <w:highlight w:val="none"/>
        </w:rPr>
      </w:pPr>
    </w:p>
    <w:p>
      <w:pPr>
        <w:pStyle w:val="22"/>
        <w:ind w:firstLine="1590" w:firstLineChars="495"/>
        <w:rPr>
          <w:rFonts w:hAnsi="宋体"/>
          <w:b/>
          <w:color w:val="auto"/>
          <w:sz w:val="32"/>
          <w:szCs w:val="32"/>
          <w:highlight w:val="none"/>
          <w:u w:val="single"/>
        </w:rPr>
      </w:pPr>
      <w:r>
        <w:rPr>
          <w:rFonts w:hint="eastAsia" w:hAnsi="宋体"/>
          <w:b/>
          <w:color w:val="auto"/>
          <w:sz w:val="32"/>
          <w:szCs w:val="32"/>
          <w:highlight w:val="none"/>
        </w:rPr>
        <w:t>合同编号：</w:t>
      </w:r>
      <w:r>
        <w:rPr>
          <w:rFonts w:hint="eastAsia" w:hAnsi="宋体"/>
          <w:b/>
          <w:color w:val="auto"/>
          <w:sz w:val="32"/>
          <w:szCs w:val="32"/>
          <w:highlight w:val="none"/>
          <w:u w:val="single"/>
        </w:rPr>
        <w:t xml:space="preserve">                            </w:t>
      </w:r>
    </w:p>
    <w:p>
      <w:pPr>
        <w:pStyle w:val="22"/>
        <w:jc w:val="center"/>
        <w:rPr>
          <w:rFonts w:hAnsi="宋体"/>
          <w:color w:val="auto"/>
          <w:highlight w:val="none"/>
        </w:rPr>
      </w:pPr>
    </w:p>
    <w:p>
      <w:pPr>
        <w:pStyle w:val="22"/>
        <w:jc w:val="center"/>
        <w:rPr>
          <w:rFonts w:hAnsi="宋体"/>
          <w:color w:val="auto"/>
          <w:highlight w:val="none"/>
        </w:rPr>
      </w:pPr>
    </w:p>
    <w:p>
      <w:pPr>
        <w:pStyle w:val="22"/>
        <w:jc w:val="center"/>
        <w:rPr>
          <w:rFonts w:hAnsi="宋体"/>
          <w:color w:val="auto"/>
          <w:highlight w:val="none"/>
        </w:rPr>
      </w:pPr>
    </w:p>
    <w:p>
      <w:pPr>
        <w:pStyle w:val="22"/>
        <w:spacing w:line="340" w:lineRule="exact"/>
        <w:ind w:firstLine="1590" w:firstLineChars="495"/>
        <w:rPr>
          <w:rFonts w:hAnsi="宋体"/>
          <w:b/>
          <w:color w:val="auto"/>
          <w:sz w:val="32"/>
          <w:szCs w:val="32"/>
          <w:highlight w:val="none"/>
        </w:rPr>
      </w:pPr>
      <w:r>
        <w:rPr>
          <w:rFonts w:hint="eastAsia" w:hAnsi="宋体"/>
          <w:b/>
          <w:color w:val="auto"/>
          <w:sz w:val="32"/>
          <w:szCs w:val="32"/>
          <w:highlight w:val="none"/>
        </w:rPr>
        <w:t>采购单位（甲方）</w:t>
      </w:r>
      <w:r>
        <w:rPr>
          <w:rFonts w:hint="eastAsia" w:hAnsi="宋体"/>
          <w:b/>
          <w:color w:val="auto"/>
          <w:sz w:val="32"/>
          <w:szCs w:val="32"/>
          <w:highlight w:val="none"/>
          <w:u w:val="single"/>
        </w:rPr>
        <w:t xml:space="preserve">                      </w:t>
      </w:r>
    </w:p>
    <w:p>
      <w:pPr>
        <w:pStyle w:val="22"/>
        <w:spacing w:line="340" w:lineRule="exact"/>
        <w:ind w:firstLine="1590" w:firstLineChars="495"/>
        <w:rPr>
          <w:rFonts w:hAnsi="宋体"/>
          <w:b/>
          <w:color w:val="auto"/>
          <w:sz w:val="32"/>
          <w:szCs w:val="32"/>
          <w:highlight w:val="none"/>
        </w:rPr>
      </w:pPr>
    </w:p>
    <w:p>
      <w:pPr>
        <w:pStyle w:val="22"/>
        <w:spacing w:line="340" w:lineRule="exact"/>
        <w:ind w:firstLine="1590" w:firstLineChars="495"/>
        <w:rPr>
          <w:rFonts w:hAnsi="宋体"/>
          <w:b/>
          <w:color w:val="auto"/>
          <w:sz w:val="32"/>
          <w:szCs w:val="32"/>
          <w:highlight w:val="none"/>
        </w:rPr>
      </w:pPr>
      <w:r>
        <w:rPr>
          <w:rFonts w:hint="eastAsia" w:hAnsi="宋体"/>
          <w:b/>
          <w:color w:val="auto"/>
          <w:sz w:val="32"/>
          <w:szCs w:val="32"/>
          <w:highlight w:val="none"/>
        </w:rPr>
        <w:t>供 应 商（乙方）</w:t>
      </w:r>
      <w:r>
        <w:rPr>
          <w:rFonts w:hint="eastAsia" w:hAnsi="宋体"/>
          <w:b/>
          <w:color w:val="auto"/>
          <w:sz w:val="32"/>
          <w:szCs w:val="32"/>
          <w:highlight w:val="none"/>
          <w:u w:val="single"/>
        </w:rPr>
        <w:t xml:space="preserve">                      </w:t>
      </w:r>
    </w:p>
    <w:p>
      <w:pPr>
        <w:pStyle w:val="22"/>
        <w:jc w:val="center"/>
        <w:rPr>
          <w:rFonts w:hAnsi="宋体"/>
          <w:color w:val="auto"/>
          <w:highlight w:val="none"/>
        </w:rPr>
      </w:pPr>
      <w:r>
        <w:rPr>
          <w:rFonts w:hint="eastAsia" w:hAnsi="宋体"/>
          <w:color w:val="auto"/>
          <w:highlight w:val="none"/>
        </w:rPr>
        <w:t xml:space="preserve"> </w:t>
      </w:r>
    </w:p>
    <w:p>
      <w:pPr>
        <w:pStyle w:val="22"/>
        <w:jc w:val="center"/>
        <w:rPr>
          <w:rFonts w:hAnsi="宋体"/>
          <w:color w:val="auto"/>
          <w:highlight w:val="none"/>
        </w:rPr>
      </w:pPr>
    </w:p>
    <w:p>
      <w:pPr>
        <w:pStyle w:val="22"/>
        <w:jc w:val="center"/>
        <w:rPr>
          <w:rFonts w:hAnsi="宋体"/>
          <w:color w:val="auto"/>
          <w:highlight w:val="none"/>
        </w:rPr>
      </w:pPr>
    </w:p>
    <w:p>
      <w:pPr>
        <w:pStyle w:val="22"/>
        <w:jc w:val="center"/>
        <w:rPr>
          <w:rFonts w:hAnsi="宋体"/>
          <w:color w:val="auto"/>
          <w:highlight w:val="none"/>
        </w:rPr>
      </w:pPr>
    </w:p>
    <w:p>
      <w:pPr>
        <w:pStyle w:val="22"/>
        <w:ind w:firstLine="1590" w:firstLineChars="495"/>
        <w:rPr>
          <w:rFonts w:hAnsi="宋体"/>
          <w:b/>
          <w:color w:val="auto"/>
          <w:sz w:val="32"/>
          <w:szCs w:val="32"/>
          <w:highlight w:val="none"/>
          <w:u w:val="single"/>
        </w:rPr>
      </w:pPr>
      <w:r>
        <w:rPr>
          <w:rFonts w:hint="eastAsia" w:hAnsi="宋体"/>
          <w:b/>
          <w:color w:val="auto"/>
          <w:sz w:val="32"/>
          <w:szCs w:val="32"/>
          <w:highlight w:val="none"/>
        </w:rPr>
        <w:t>签订合同地点：</w:t>
      </w:r>
      <w:r>
        <w:rPr>
          <w:rFonts w:hint="eastAsia" w:hAnsi="宋体"/>
          <w:b/>
          <w:color w:val="auto"/>
          <w:sz w:val="32"/>
          <w:szCs w:val="32"/>
          <w:highlight w:val="none"/>
          <w:u w:val="single"/>
        </w:rPr>
        <w:t xml:space="preserve">                       </w:t>
      </w:r>
    </w:p>
    <w:p>
      <w:pPr>
        <w:pStyle w:val="22"/>
        <w:ind w:firstLine="1590" w:firstLineChars="495"/>
        <w:rPr>
          <w:rFonts w:hAnsi="宋体"/>
          <w:b/>
          <w:color w:val="auto"/>
          <w:sz w:val="32"/>
          <w:szCs w:val="32"/>
          <w:highlight w:val="none"/>
        </w:rPr>
      </w:pPr>
    </w:p>
    <w:p>
      <w:pPr>
        <w:pStyle w:val="22"/>
        <w:ind w:firstLine="1590" w:firstLineChars="495"/>
        <w:rPr>
          <w:rFonts w:hAnsi="宋体"/>
          <w:b/>
          <w:color w:val="auto"/>
          <w:sz w:val="32"/>
          <w:szCs w:val="32"/>
          <w:highlight w:val="none"/>
        </w:rPr>
      </w:pPr>
      <w:r>
        <w:rPr>
          <w:rFonts w:hint="eastAsia" w:hAnsi="宋体"/>
          <w:b/>
          <w:color w:val="auto"/>
          <w:sz w:val="32"/>
          <w:szCs w:val="32"/>
          <w:highlight w:val="none"/>
        </w:rPr>
        <w:t>签订合同时间：</w:t>
      </w:r>
      <w:r>
        <w:rPr>
          <w:rFonts w:hint="eastAsia" w:hAnsi="宋体"/>
          <w:b/>
          <w:color w:val="auto"/>
          <w:sz w:val="32"/>
          <w:szCs w:val="32"/>
          <w:highlight w:val="none"/>
          <w:u w:val="single"/>
        </w:rPr>
        <w:t xml:space="preserve">                       </w:t>
      </w:r>
    </w:p>
    <w:p>
      <w:pPr>
        <w:pStyle w:val="22"/>
        <w:jc w:val="center"/>
        <w:rPr>
          <w:rFonts w:hAnsi="宋体"/>
          <w:color w:val="auto"/>
          <w:highlight w:val="none"/>
        </w:rPr>
      </w:pPr>
    </w:p>
    <w:p>
      <w:pPr>
        <w:pStyle w:val="22"/>
        <w:rPr>
          <w:rFonts w:hAnsi="宋体"/>
          <w:color w:val="auto"/>
          <w:highlight w:val="none"/>
        </w:rPr>
      </w:pPr>
      <w:r>
        <w:rPr>
          <w:rFonts w:hint="eastAsia" w:hAnsi="宋体"/>
          <w:color w:val="auto"/>
          <w:highlight w:val="none"/>
        </w:rPr>
        <w:t xml:space="preserve">   </w:t>
      </w:r>
    </w:p>
    <w:p>
      <w:pPr>
        <w:rPr>
          <w:b/>
          <w:color w:val="auto"/>
          <w:sz w:val="30"/>
          <w:szCs w:val="30"/>
          <w:highlight w:val="none"/>
        </w:rPr>
      </w:pPr>
      <w:r>
        <w:rPr>
          <w:rFonts w:ascii="黑体" w:hAnsi="宋体" w:eastAsia="黑体"/>
          <w:b/>
          <w:color w:val="auto"/>
          <w:sz w:val="44"/>
          <w:szCs w:val="44"/>
          <w:highlight w:val="none"/>
        </w:rPr>
        <w:br w:type="page"/>
      </w:r>
      <w:r>
        <w:rPr>
          <w:rFonts w:hint="eastAsia"/>
          <w:b/>
          <w:color w:val="auto"/>
          <w:sz w:val="30"/>
          <w:szCs w:val="30"/>
          <w:highlight w:val="none"/>
        </w:rPr>
        <w:t>南宁市政府采购合同书</w:t>
      </w:r>
    </w:p>
    <w:p>
      <w:pPr>
        <w:rPr>
          <w:b/>
          <w:color w:val="auto"/>
          <w:sz w:val="30"/>
          <w:szCs w:val="30"/>
          <w:highlight w:val="none"/>
        </w:rPr>
      </w:pPr>
      <w:r>
        <w:rPr>
          <w:rFonts w:hint="eastAsia"/>
          <w:color w:val="auto"/>
          <w:sz w:val="30"/>
          <w:szCs w:val="30"/>
          <w:highlight w:val="none"/>
        </w:rPr>
        <w:t>二、补充协议（如有请提供）</w:t>
      </w:r>
    </w:p>
    <w:p>
      <w:pPr>
        <w:rPr>
          <w:b/>
          <w:color w:val="auto"/>
          <w:sz w:val="30"/>
          <w:szCs w:val="30"/>
          <w:highlight w:val="none"/>
        </w:rPr>
      </w:pPr>
      <w:r>
        <w:rPr>
          <w:rFonts w:hint="eastAsia"/>
          <w:b/>
          <w:color w:val="auto"/>
          <w:sz w:val="30"/>
          <w:szCs w:val="30"/>
          <w:highlight w:val="none"/>
        </w:rPr>
        <w:t>三、合同附件</w:t>
      </w:r>
    </w:p>
    <w:p>
      <w:pPr>
        <w:rPr>
          <w:rFonts w:ascii="宋体" w:hAnsi="宋体"/>
          <w:color w:val="auto"/>
          <w:sz w:val="32"/>
          <w:szCs w:val="32"/>
          <w:highlight w:val="none"/>
        </w:rPr>
      </w:pPr>
      <w:r>
        <w:rPr>
          <w:rFonts w:hint="eastAsia" w:ascii="宋体" w:hAnsi="宋体"/>
          <w:color w:val="auto"/>
          <w:sz w:val="32"/>
          <w:szCs w:val="32"/>
          <w:highlight w:val="none"/>
        </w:rPr>
        <w:t>1、中标通知书</w:t>
      </w:r>
    </w:p>
    <w:p>
      <w:pPr>
        <w:rPr>
          <w:rFonts w:ascii="宋体" w:hAnsi="宋体"/>
          <w:color w:val="auto"/>
          <w:sz w:val="32"/>
          <w:szCs w:val="32"/>
          <w:highlight w:val="none"/>
        </w:rPr>
      </w:pPr>
      <w:r>
        <w:rPr>
          <w:rFonts w:hint="eastAsia" w:ascii="宋体" w:hAnsi="宋体"/>
          <w:color w:val="auto"/>
          <w:sz w:val="32"/>
          <w:szCs w:val="32"/>
          <w:highlight w:val="none"/>
        </w:rPr>
        <w:t>2、招标文件服务需求一览表</w:t>
      </w:r>
    </w:p>
    <w:p>
      <w:pPr>
        <w:rPr>
          <w:rFonts w:ascii="宋体" w:hAnsi="宋体"/>
          <w:color w:val="auto"/>
          <w:sz w:val="32"/>
          <w:szCs w:val="32"/>
          <w:highlight w:val="none"/>
        </w:rPr>
      </w:pPr>
      <w:r>
        <w:rPr>
          <w:rFonts w:hint="eastAsia" w:ascii="宋体" w:hAnsi="宋体"/>
          <w:color w:val="auto"/>
          <w:sz w:val="32"/>
          <w:szCs w:val="32"/>
          <w:highlight w:val="none"/>
        </w:rPr>
        <w:t>3、招标文件的更改通知（如有）</w:t>
      </w:r>
    </w:p>
    <w:p>
      <w:pPr>
        <w:rPr>
          <w:rFonts w:ascii="宋体" w:hAnsi="宋体"/>
          <w:color w:val="auto"/>
          <w:sz w:val="32"/>
          <w:szCs w:val="32"/>
          <w:highlight w:val="none"/>
        </w:rPr>
      </w:pPr>
      <w:r>
        <w:rPr>
          <w:rFonts w:hint="eastAsia" w:ascii="宋体" w:hAnsi="宋体"/>
          <w:color w:val="auto"/>
          <w:sz w:val="32"/>
          <w:szCs w:val="32"/>
          <w:highlight w:val="none"/>
        </w:rPr>
        <w:t>4、投标函</w:t>
      </w:r>
    </w:p>
    <w:p>
      <w:pPr>
        <w:rPr>
          <w:rFonts w:ascii="宋体" w:hAnsi="宋体"/>
          <w:color w:val="auto"/>
          <w:sz w:val="32"/>
          <w:szCs w:val="32"/>
          <w:highlight w:val="none"/>
        </w:rPr>
      </w:pPr>
      <w:r>
        <w:rPr>
          <w:rFonts w:hint="eastAsia" w:ascii="宋体" w:hAnsi="宋体"/>
          <w:color w:val="auto"/>
          <w:sz w:val="32"/>
          <w:szCs w:val="32"/>
          <w:highlight w:val="none"/>
        </w:rPr>
        <w:t>5、报价表</w:t>
      </w:r>
    </w:p>
    <w:p>
      <w:pPr>
        <w:rPr>
          <w:rFonts w:ascii="宋体" w:hAnsi="宋体"/>
          <w:color w:val="auto"/>
          <w:sz w:val="32"/>
          <w:szCs w:val="32"/>
          <w:highlight w:val="none"/>
        </w:rPr>
      </w:pPr>
      <w:r>
        <w:rPr>
          <w:rFonts w:hint="eastAsia" w:ascii="宋体" w:hAnsi="宋体"/>
          <w:color w:val="auto"/>
          <w:sz w:val="32"/>
          <w:szCs w:val="32"/>
          <w:highlight w:val="none"/>
        </w:rPr>
        <w:t>6、投标服务技术资料表</w:t>
      </w:r>
    </w:p>
    <w:p>
      <w:pPr>
        <w:rPr>
          <w:rFonts w:ascii="宋体" w:hAnsi="宋体"/>
          <w:color w:val="auto"/>
          <w:sz w:val="32"/>
          <w:szCs w:val="32"/>
          <w:highlight w:val="none"/>
        </w:rPr>
      </w:pPr>
      <w:r>
        <w:rPr>
          <w:rFonts w:hint="eastAsia" w:ascii="宋体" w:hAnsi="宋体"/>
          <w:color w:val="auto"/>
          <w:sz w:val="32"/>
          <w:szCs w:val="32"/>
          <w:highlight w:val="none"/>
        </w:rPr>
        <w:t>7、商务条款偏离表</w:t>
      </w:r>
    </w:p>
    <w:p>
      <w:pPr>
        <w:rPr>
          <w:rFonts w:ascii="宋体" w:hAnsi="宋体"/>
          <w:color w:val="auto"/>
          <w:sz w:val="32"/>
          <w:szCs w:val="32"/>
          <w:highlight w:val="none"/>
        </w:rPr>
      </w:pPr>
      <w:r>
        <w:rPr>
          <w:rFonts w:hint="eastAsia" w:ascii="宋体" w:hAnsi="宋体"/>
          <w:color w:val="auto"/>
          <w:sz w:val="32"/>
          <w:szCs w:val="32"/>
          <w:highlight w:val="none"/>
        </w:rPr>
        <w:t>8、中标供应商澄清函（如有请提供）</w:t>
      </w:r>
    </w:p>
    <w:p>
      <w:pPr>
        <w:rPr>
          <w:rFonts w:ascii="宋体" w:hAnsi="宋体"/>
          <w:b/>
          <w:bCs/>
          <w:color w:val="auto"/>
          <w:sz w:val="32"/>
          <w:szCs w:val="32"/>
          <w:highlight w:val="none"/>
        </w:rPr>
      </w:pPr>
      <w:r>
        <w:rPr>
          <w:rFonts w:hint="eastAsia" w:ascii="宋体" w:hAnsi="宋体"/>
          <w:color w:val="auto"/>
          <w:sz w:val="32"/>
          <w:szCs w:val="32"/>
          <w:highlight w:val="none"/>
        </w:rPr>
        <w:t>9、其他与本合同相关的资料（如有请提供）</w:t>
      </w:r>
      <w:r>
        <w:rPr>
          <w:rFonts w:hint="eastAsia" w:ascii="宋体" w:hAnsi="宋体"/>
          <w:b/>
          <w:bCs/>
          <w:color w:val="auto"/>
          <w:sz w:val="32"/>
          <w:szCs w:val="32"/>
          <w:highlight w:val="none"/>
        </w:rPr>
        <w:br w:type="page"/>
      </w:r>
    </w:p>
    <w:p>
      <w:pPr>
        <w:spacing w:line="360" w:lineRule="auto"/>
        <w:jc w:val="center"/>
        <w:rPr>
          <w:rFonts w:ascii="宋体" w:hAnsi="宋体"/>
          <w:b/>
          <w:bCs/>
          <w:color w:val="auto"/>
          <w:sz w:val="30"/>
          <w:szCs w:val="30"/>
          <w:highlight w:val="none"/>
        </w:rPr>
      </w:pPr>
      <w:r>
        <w:rPr>
          <w:rFonts w:hint="eastAsia"/>
          <w:b/>
          <w:color w:val="auto"/>
          <w:sz w:val="30"/>
          <w:szCs w:val="30"/>
          <w:highlight w:val="none"/>
        </w:rPr>
        <w:t>南宁市政府采购合同书</w:t>
      </w:r>
    </w:p>
    <w:p>
      <w:pPr>
        <w:pStyle w:val="22"/>
        <w:spacing w:line="360" w:lineRule="auto"/>
        <w:rPr>
          <w:rFonts w:hAnsi="宋体"/>
          <w:color w:val="auto"/>
          <w:highlight w:val="none"/>
        </w:rPr>
      </w:pPr>
    </w:p>
    <w:p>
      <w:pPr>
        <w:pStyle w:val="22"/>
        <w:spacing w:line="360" w:lineRule="auto"/>
        <w:rPr>
          <w:rFonts w:hAnsi="宋体"/>
          <w:color w:val="auto"/>
          <w:highlight w:val="none"/>
        </w:rPr>
      </w:pPr>
      <w:r>
        <w:rPr>
          <w:rFonts w:hint="eastAsia" w:hAnsi="宋体"/>
          <w:color w:val="auto"/>
          <w:highlight w:val="none"/>
        </w:rPr>
        <w:t>项目名称：</w:t>
      </w:r>
      <w:r>
        <w:rPr>
          <w:rFonts w:hint="eastAsia" w:hAnsi="宋体"/>
          <w:color w:val="auto"/>
          <w:highlight w:val="none"/>
          <w:u w:val="single"/>
        </w:rPr>
        <w:t xml:space="preserve">                                        </w:t>
      </w:r>
    </w:p>
    <w:p>
      <w:pPr>
        <w:pStyle w:val="22"/>
        <w:spacing w:line="360" w:lineRule="auto"/>
        <w:rPr>
          <w:rFonts w:hAnsi="宋体"/>
          <w:color w:val="auto"/>
          <w:highlight w:val="none"/>
        </w:rPr>
      </w:pPr>
      <w:r>
        <w:rPr>
          <w:rFonts w:hint="eastAsia" w:hAnsi="宋体"/>
          <w:color w:val="auto"/>
          <w:highlight w:val="none"/>
        </w:rPr>
        <w:t>项目编号：</w:t>
      </w:r>
      <w:r>
        <w:rPr>
          <w:rFonts w:hint="eastAsia" w:hAnsi="宋体"/>
          <w:color w:val="auto"/>
          <w:highlight w:val="none"/>
          <w:u w:val="single"/>
        </w:rPr>
        <w:t xml:space="preserve">                                        </w:t>
      </w:r>
    </w:p>
    <w:p>
      <w:pPr>
        <w:pStyle w:val="22"/>
        <w:spacing w:line="360" w:lineRule="auto"/>
        <w:rPr>
          <w:rFonts w:hAnsi="宋体"/>
          <w:color w:val="auto"/>
          <w:highlight w:val="none"/>
        </w:rPr>
      </w:pPr>
      <w:r>
        <w:rPr>
          <w:rFonts w:hint="eastAsia" w:hAnsi="宋体"/>
          <w:color w:val="auto"/>
          <w:highlight w:val="none"/>
        </w:rPr>
        <w:t>分标号（有分标时填写）：</w:t>
      </w:r>
      <w:r>
        <w:rPr>
          <w:rFonts w:hint="eastAsia" w:hAnsi="宋体"/>
          <w:color w:val="auto"/>
          <w:highlight w:val="none"/>
          <w:u w:val="single"/>
        </w:rPr>
        <w:t xml:space="preserve">                           </w:t>
      </w:r>
    </w:p>
    <w:p>
      <w:pPr>
        <w:pStyle w:val="22"/>
        <w:spacing w:line="360" w:lineRule="auto"/>
        <w:rPr>
          <w:rFonts w:hAnsi="宋体"/>
          <w:color w:val="auto"/>
          <w:highlight w:val="none"/>
        </w:rPr>
      </w:pPr>
    </w:p>
    <w:p>
      <w:pPr>
        <w:pStyle w:val="22"/>
        <w:spacing w:line="360" w:lineRule="auto"/>
        <w:rPr>
          <w:rFonts w:hAnsi="宋体"/>
          <w:color w:val="auto"/>
          <w:highlight w:val="none"/>
        </w:rPr>
      </w:pPr>
      <w:r>
        <w:rPr>
          <w:rFonts w:hint="eastAsia" w:hAnsi="宋体"/>
          <w:color w:val="auto"/>
          <w:highlight w:val="none"/>
        </w:rPr>
        <w:t>甲方（买方）：</w:t>
      </w:r>
      <w:r>
        <w:rPr>
          <w:rFonts w:hint="eastAsia" w:hAnsi="宋体"/>
          <w:color w:val="auto"/>
          <w:highlight w:val="none"/>
          <w:u w:val="single"/>
        </w:rPr>
        <w:t xml:space="preserve">                                     </w:t>
      </w:r>
    </w:p>
    <w:p>
      <w:pPr>
        <w:pStyle w:val="22"/>
        <w:spacing w:line="360" w:lineRule="auto"/>
        <w:rPr>
          <w:rFonts w:hAnsi="宋体"/>
          <w:color w:val="auto"/>
          <w:highlight w:val="none"/>
        </w:rPr>
      </w:pPr>
      <w:r>
        <w:rPr>
          <w:rFonts w:hint="eastAsia" w:hAnsi="宋体"/>
          <w:color w:val="auto"/>
          <w:highlight w:val="none"/>
        </w:rPr>
        <w:t>乙方（卖方）：</w:t>
      </w:r>
      <w:r>
        <w:rPr>
          <w:rFonts w:hint="eastAsia" w:hAnsi="宋体"/>
          <w:color w:val="auto"/>
          <w:highlight w:val="none"/>
          <w:u w:val="single"/>
        </w:rPr>
        <w:t xml:space="preserve">                                     </w:t>
      </w:r>
    </w:p>
    <w:p>
      <w:pPr>
        <w:pStyle w:val="22"/>
        <w:spacing w:line="360" w:lineRule="auto"/>
        <w:rPr>
          <w:rFonts w:hAnsi="宋体"/>
          <w:b/>
          <w:color w:val="auto"/>
          <w:highlight w:val="none"/>
        </w:rPr>
      </w:pPr>
      <w:r>
        <w:rPr>
          <w:rFonts w:hint="eastAsia" w:hAnsi="宋体"/>
          <w:b/>
          <w:color w:val="auto"/>
          <w:highlight w:val="none"/>
        </w:rPr>
        <w:t xml:space="preserve">    </w:t>
      </w:r>
    </w:p>
    <w:p>
      <w:pPr>
        <w:pStyle w:val="22"/>
        <w:spacing w:line="360" w:lineRule="auto"/>
        <w:ind w:firstLine="420" w:firstLineChars="200"/>
        <w:rPr>
          <w:rFonts w:hAnsi="宋体"/>
          <w:b/>
          <w:color w:val="auto"/>
          <w:highlight w:val="none"/>
        </w:rPr>
      </w:pPr>
      <w:r>
        <w:rPr>
          <w:rFonts w:hint="eastAsia" w:hAnsi="宋体"/>
          <w:color w:val="auto"/>
          <w:highlight w:val="none"/>
        </w:rPr>
        <w:t>根据</w:t>
      </w:r>
      <w:r>
        <w:rPr>
          <w:rFonts w:hint="eastAsia" w:hAnsi="宋体"/>
          <w:color w:val="auto"/>
          <w:highlight w:val="none"/>
          <w:u w:val="single"/>
        </w:rPr>
        <w:t xml:space="preserve">    </w:t>
      </w:r>
      <w:r>
        <w:rPr>
          <w:rFonts w:hint="eastAsia" w:hAnsi="宋体"/>
          <w:color w:val="auto"/>
          <w:highlight w:val="none"/>
        </w:rPr>
        <w:t>年</w:t>
      </w:r>
      <w:r>
        <w:rPr>
          <w:rFonts w:hint="eastAsia" w:hAnsi="宋体"/>
          <w:color w:val="auto"/>
          <w:highlight w:val="none"/>
          <w:u w:val="single"/>
        </w:rPr>
        <w:t xml:space="preserve">    </w:t>
      </w:r>
      <w:r>
        <w:rPr>
          <w:rFonts w:hint="eastAsia" w:hAnsi="宋体"/>
          <w:color w:val="auto"/>
          <w:highlight w:val="none"/>
        </w:rPr>
        <w:t>月</w:t>
      </w:r>
      <w:r>
        <w:rPr>
          <w:rFonts w:hint="eastAsia" w:hAnsi="宋体"/>
          <w:color w:val="auto"/>
          <w:highlight w:val="none"/>
          <w:u w:val="single"/>
        </w:rPr>
        <w:t xml:space="preserve">    </w:t>
      </w:r>
      <w:r>
        <w:rPr>
          <w:rFonts w:hint="eastAsia" w:hAnsi="宋体"/>
          <w:color w:val="auto"/>
          <w:highlight w:val="none"/>
        </w:rPr>
        <w:t>日南宁市政府采购项目的采购结果，甲方接受乙方对本项目的投标，甲、乙双方同意签署本合同（以下简称合同）。</w:t>
      </w:r>
    </w:p>
    <w:p>
      <w:pPr>
        <w:pStyle w:val="22"/>
        <w:spacing w:line="360" w:lineRule="auto"/>
        <w:rPr>
          <w:rFonts w:hAnsi="宋体"/>
          <w:b/>
          <w:color w:val="auto"/>
          <w:highlight w:val="none"/>
        </w:rPr>
      </w:pPr>
    </w:p>
    <w:p>
      <w:pPr>
        <w:pStyle w:val="22"/>
        <w:spacing w:line="360" w:lineRule="auto"/>
        <w:rPr>
          <w:rFonts w:hAnsi="宋体"/>
          <w:b/>
          <w:bCs/>
          <w:color w:val="auto"/>
          <w:sz w:val="24"/>
          <w:highlight w:val="none"/>
        </w:rPr>
      </w:pPr>
      <w:r>
        <w:rPr>
          <w:rFonts w:hint="eastAsia" w:hAnsi="宋体"/>
          <w:b/>
          <w:bCs/>
          <w:color w:val="auto"/>
          <w:sz w:val="24"/>
          <w:highlight w:val="none"/>
        </w:rPr>
        <w:t>1.  采购内容</w:t>
      </w:r>
    </w:p>
    <w:p>
      <w:pPr>
        <w:pStyle w:val="22"/>
        <w:tabs>
          <w:tab w:val="left" w:pos="5220"/>
        </w:tabs>
        <w:spacing w:line="360" w:lineRule="auto"/>
        <w:ind w:firstLine="420" w:firstLineChars="200"/>
        <w:rPr>
          <w:rFonts w:hAnsi="宋体"/>
          <w:color w:val="auto"/>
          <w:highlight w:val="none"/>
          <w:u w:val="single"/>
        </w:rPr>
      </w:pPr>
      <w:r>
        <w:rPr>
          <w:rFonts w:hint="eastAsia" w:hAnsi="宋体"/>
          <w:color w:val="auto"/>
          <w:highlight w:val="none"/>
        </w:rPr>
        <w:t>1.1 服务名称：</w:t>
      </w:r>
      <w:r>
        <w:rPr>
          <w:rFonts w:hint="eastAsia" w:hAnsi="宋体"/>
          <w:color w:val="auto"/>
          <w:highlight w:val="none"/>
          <w:u w:val="single"/>
        </w:rPr>
        <w:t>详见合同附件中报价表</w:t>
      </w:r>
    </w:p>
    <w:p>
      <w:pPr>
        <w:pStyle w:val="22"/>
        <w:tabs>
          <w:tab w:val="left" w:pos="5220"/>
        </w:tabs>
        <w:spacing w:line="360" w:lineRule="auto"/>
        <w:ind w:firstLine="420" w:firstLineChars="200"/>
        <w:rPr>
          <w:rFonts w:hAnsi="宋体"/>
          <w:color w:val="auto"/>
          <w:highlight w:val="none"/>
        </w:rPr>
      </w:pPr>
      <w:r>
        <w:rPr>
          <w:rFonts w:hint="eastAsia" w:hAnsi="宋体"/>
          <w:color w:val="auto"/>
          <w:highlight w:val="none"/>
        </w:rPr>
        <w:t>1.2 数量：</w:t>
      </w:r>
      <w:r>
        <w:rPr>
          <w:rFonts w:hint="eastAsia" w:hAnsi="宋体"/>
          <w:color w:val="auto"/>
          <w:highlight w:val="none"/>
          <w:u w:val="single"/>
        </w:rPr>
        <w:t>详见合同附件中报价表</w:t>
      </w:r>
    </w:p>
    <w:p>
      <w:pPr>
        <w:pStyle w:val="22"/>
        <w:tabs>
          <w:tab w:val="left" w:pos="5220"/>
        </w:tabs>
        <w:spacing w:line="360" w:lineRule="auto"/>
        <w:ind w:firstLine="420" w:firstLineChars="200"/>
        <w:rPr>
          <w:rFonts w:hAnsi="宋体"/>
          <w:color w:val="auto"/>
          <w:highlight w:val="none"/>
        </w:rPr>
      </w:pPr>
      <w:r>
        <w:rPr>
          <w:rFonts w:hint="eastAsia" w:hAnsi="宋体"/>
          <w:color w:val="auto"/>
          <w:highlight w:val="none"/>
        </w:rPr>
        <w:t xml:space="preserve">1.2 </w:t>
      </w:r>
      <w:r>
        <w:rPr>
          <w:rFonts w:hint="eastAsia"/>
          <w:color w:val="auto"/>
          <w:highlight w:val="none"/>
        </w:rPr>
        <w:t>服务内容及要求</w:t>
      </w:r>
      <w:r>
        <w:rPr>
          <w:rFonts w:hint="eastAsia" w:ascii="Times New Roman" w:hAnsi="Times New Roman"/>
          <w:color w:val="auto"/>
          <w:highlight w:val="none"/>
        </w:rPr>
        <w:t>：</w:t>
      </w:r>
      <w:r>
        <w:rPr>
          <w:rFonts w:hint="eastAsia" w:hAnsi="宋体"/>
          <w:color w:val="auto"/>
          <w:highlight w:val="none"/>
          <w:u w:val="single"/>
        </w:rPr>
        <w:t>详见合同附件中投标服务技术资料表</w:t>
      </w:r>
    </w:p>
    <w:p>
      <w:pPr>
        <w:pStyle w:val="22"/>
        <w:tabs>
          <w:tab w:val="left" w:pos="5145"/>
        </w:tabs>
        <w:spacing w:line="360" w:lineRule="auto"/>
        <w:rPr>
          <w:rFonts w:hAnsi="宋体"/>
          <w:b/>
          <w:bCs/>
          <w:color w:val="auto"/>
          <w:sz w:val="24"/>
          <w:highlight w:val="none"/>
        </w:rPr>
      </w:pPr>
      <w:r>
        <w:rPr>
          <w:rFonts w:hint="eastAsia" w:hAnsi="宋体"/>
          <w:b/>
          <w:bCs/>
          <w:color w:val="auto"/>
          <w:sz w:val="24"/>
          <w:highlight w:val="none"/>
        </w:rPr>
        <w:t>2.  合同金额</w:t>
      </w:r>
    </w:p>
    <w:p>
      <w:pPr>
        <w:pStyle w:val="22"/>
        <w:spacing w:line="360" w:lineRule="auto"/>
        <w:ind w:firstLine="411" w:firstLineChars="196"/>
        <w:rPr>
          <w:rFonts w:hAnsi="宋体"/>
          <w:b/>
          <w:bCs/>
          <w:color w:val="auto"/>
          <w:sz w:val="24"/>
          <w:highlight w:val="none"/>
        </w:rPr>
      </w:pPr>
      <w:r>
        <w:rPr>
          <w:rFonts w:hint="eastAsia" w:hAnsi="宋体"/>
          <w:color w:val="auto"/>
          <w:highlight w:val="none"/>
        </w:rPr>
        <w:t>2.1 本合同总金额为（大写）人民币</w:t>
      </w:r>
      <w:r>
        <w:rPr>
          <w:rFonts w:hint="eastAsia" w:hAnsi="宋体"/>
          <w:color w:val="auto"/>
          <w:highlight w:val="none"/>
          <w:u w:val="single"/>
        </w:rPr>
        <w:t xml:space="preserve">　　　　　　    </w:t>
      </w:r>
      <w:r>
        <w:rPr>
          <w:rFonts w:hint="eastAsia" w:hAnsi="宋体"/>
          <w:color w:val="auto"/>
          <w:highlight w:val="none"/>
        </w:rPr>
        <w:t>（￥</w:t>
      </w:r>
      <w:r>
        <w:rPr>
          <w:rFonts w:hint="eastAsia" w:hAnsi="宋体"/>
          <w:color w:val="auto"/>
          <w:highlight w:val="none"/>
          <w:u w:val="single"/>
        </w:rPr>
        <w:t xml:space="preserve">　　　　　　 </w:t>
      </w:r>
      <w:r>
        <w:rPr>
          <w:rFonts w:hint="eastAsia" w:hAnsi="宋体"/>
          <w:color w:val="auto"/>
          <w:highlight w:val="none"/>
        </w:rPr>
        <w:t>元）。（详见报价表）</w:t>
      </w:r>
    </w:p>
    <w:p>
      <w:pPr>
        <w:pStyle w:val="22"/>
        <w:tabs>
          <w:tab w:val="left" w:pos="5940"/>
        </w:tabs>
        <w:spacing w:line="360" w:lineRule="auto"/>
        <w:rPr>
          <w:rFonts w:hAnsi="宋体"/>
          <w:b/>
          <w:bCs/>
          <w:color w:val="auto"/>
          <w:sz w:val="24"/>
          <w:highlight w:val="none"/>
        </w:rPr>
      </w:pPr>
      <w:r>
        <w:rPr>
          <w:rFonts w:hint="eastAsia" w:hAnsi="宋体"/>
          <w:b/>
          <w:bCs/>
          <w:color w:val="auto"/>
          <w:sz w:val="24"/>
          <w:highlight w:val="none"/>
        </w:rPr>
        <w:t>3.  提交服务成果时间和地点</w:t>
      </w:r>
    </w:p>
    <w:p>
      <w:pPr>
        <w:pStyle w:val="22"/>
        <w:tabs>
          <w:tab w:val="left" w:pos="5250"/>
          <w:tab w:val="left" w:pos="5940"/>
        </w:tabs>
        <w:spacing w:line="360" w:lineRule="auto"/>
        <w:ind w:firstLine="411" w:firstLineChars="196"/>
        <w:rPr>
          <w:rFonts w:hAnsi="宋体"/>
          <w:b/>
          <w:bCs/>
          <w:color w:val="auto"/>
          <w:sz w:val="24"/>
          <w:highlight w:val="none"/>
        </w:rPr>
      </w:pPr>
      <w:r>
        <w:rPr>
          <w:rFonts w:hint="eastAsia" w:hAnsi="宋体"/>
          <w:bCs/>
          <w:color w:val="auto"/>
          <w:highlight w:val="none"/>
        </w:rPr>
        <w:t xml:space="preserve">3.1 </w:t>
      </w:r>
      <w:r>
        <w:rPr>
          <w:rFonts w:hint="eastAsia"/>
          <w:bCs/>
          <w:color w:val="auto"/>
          <w:highlight w:val="none"/>
        </w:rPr>
        <w:t>提交服务成果时间</w:t>
      </w:r>
      <w:r>
        <w:rPr>
          <w:rFonts w:hint="eastAsia" w:hAnsi="宋体"/>
          <w:bCs/>
          <w:color w:val="auto"/>
          <w:highlight w:val="none"/>
        </w:rPr>
        <w:t>：</w:t>
      </w:r>
      <w:r>
        <w:rPr>
          <w:rFonts w:hint="eastAsia" w:hAnsi="宋体"/>
          <w:color w:val="auto"/>
          <w:highlight w:val="none"/>
          <w:u w:val="single"/>
        </w:rPr>
        <w:t xml:space="preserve">                        </w:t>
      </w:r>
    </w:p>
    <w:p>
      <w:pPr>
        <w:pStyle w:val="22"/>
        <w:tabs>
          <w:tab w:val="left" w:pos="5940"/>
        </w:tabs>
        <w:spacing w:line="360" w:lineRule="auto"/>
        <w:ind w:firstLine="411" w:firstLineChars="196"/>
        <w:rPr>
          <w:rFonts w:hAnsi="宋体"/>
          <w:b/>
          <w:bCs/>
          <w:color w:val="auto"/>
          <w:sz w:val="24"/>
          <w:highlight w:val="none"/>
        </w:rPr>
      </w:pPr>
      <w:r>
        <w:rPr>
          <w:rFonts w:hint="eastAsia" w:hAnsi="宋体"/>
          <w:bCs/>
          <w:color w:val="auto"/>
          <w:highlight w:val="none"/>
        </w:rPr>
        <w:t xml:space="preserve">3.2 </w:t>
      </w:r>
      <w:r>
        <w:rPr>
          <w:rFonts w:hint="eastAsia"/>
          <w:bCs/>
          <w:color w:val="auto"/>
          <w:highlight w:val="none"/>
        </w:rPr>
        <w:t>提交服务成果</w:t>
      </w:r>
      <w:r>
        <w:rPr>
          <w:rFonts w:hint="eastAsia" w:hAnsi="宋体"/>
          <w:bCs/>
          <w:color w:val="auto"/>
          <w:highlight w:val="none"/>
        </w:rPr>
        <w:t>地点：</w:t>
      </w:r>
      <w:r>
        <w:rPr>
          <w:rFonts w:hint="eastAsia" w:hAnsi="宋体"/>
          <w:color w:val="auto"/>
          <w:highlight w:val="none"/>
          <w:u w:val="single"/>
        </w:rPr>
        <w:t xml:space="preserve">                        </w:t>
      </w:r>
    </w:p>
    <w:p>
      <w:pPr>
        <w:pStyle w:val="22"/>
        <w:tabs>
          <w:tab w:val="left" w:pos="5940"/>
        </w:tabs>
        <w:spacing w:line="360" w:lineRule="auto"/>
        <w:ind w:firstLine="411" w:firstLineChars="196"/>
        <w:rPr>
          <w:rFonts w:hAnsi="宋体"/>
          <w:b/>
          <w:bCs/>
          <w:color w:val="auto"/>
          <w:sz w:val="24"/>
          <w:highlight w:val="none"/>
        </w:rPr>
      </w:pPr>
      <w:r>
        <w:rPr>
          <w:rFonts w:hint="eastAsia" w:hAnsi="宋体"/>
          <w:bCs/>
          <w:color w:val="auto"/>
          <w:highlight w:val="none"/>
        </w:rPr>
        <w:t xml:space="preserve">3.3 </w:t>
      </w:r>
      <w:r>
        <w:rPr>
          <w:rFonts w:hint="eastAsia" w:hAnsi="宋体"/>
          <w:color w:val="auto"/>
          <w:highlight w:val="none"/>
        </w:rPr>
        <w:t>乙方必须按投标文件承诺的服务响应条款向甲方提供服务。</w:t>
      </w:r>
    </w:p>
    <w:p>
      <w:pPr>
        <w:pStyle w:val="22"/>
        <w:spacing w:line="360" w:lineRule="auto"/>
        <w:ind w:left="410" w:hanging="410" w:hangingChars="170"/>
        <w:rPr>
          <w:rFonts w:hAnsi="宋体"/>
          <w:b/>
          <w:color w:val="auto"/>
          <w:highlight w:val="none"/>
        </w:rPr>
      </w:pPr>
      <w:r>
        <w:rPr>
          <w:rFonts w:hint="eastAsia" w:hAnsi="宋体"/>
          <w:b/>
          <w:bCs/>
          <w:color w:val="auto"/>
          <w:sz w:val="24"/>
          <w:highlight w:val="none"/>
        </w:rPr>
        <w:t>4.  履约保证金</w:t>
      </w:r>
    </w:p>
    <w:p>
      <w:pPr>
        <w:pStyle w:val="22"/>
        <w:spacing w:line="360" w:lineRule="auto"/>
        <w:ind w:left="359" w:hanging="359" w:hangingChars="171"/>
        <w:rPr>
          <w:rFonts w:hAnsi="宋体"/>
          <w:color w:val="auto"/>
          <w:highlight w:val="none"/>
        </w:rPr>
      </w:pPr>
      <w:r>
        <w:rPr>
          <w:rFonts w:hint="eastAsia" w:hAnsi="宋体"/>
          <w:color w:val="auto"/>
          <w:highlight w:val="none"/>
        </w:rPr>
        <w:t>本项目无须交纳履约保证金。</w:t>
      </w:r>
    </w:p>
    <w:p>
      <w:pPr>
        <w:pStyle w:val="22"/>
        <w:spacing w:line="360" w:lineRule="auto"/>
        <w:ind w:left="412" w:hanging="412" w:hangingChars="171"/>
        <w:rPr>
          <w:rFonts w:hAnsi="宋体"/>
          <w:b/>
          <w:color w:val="auto"/>
          <w:highlight w:val="none"/>
        </w:rPr>
      </w:pPr>
      <w:r>
        <w:rPr>
          <w:rFonts w:hint="eastAsia" w:hAnsi="宋体"/>
          <w:b/>
          <w:bCs/>
          <w:color w:val="auto"/>
          <w:sz w:val="24"/>
          <w:highlight w:val="none"/>
        </w:rPr>
        <w:t>5.  产权</w:t>
      </w:r>
    </w:p>
    <w:p>
      <w:pPr>
        <w:pStyle w:val="22"/>
        <w:spacing w:line="360" w:lineRule="auto"/>
        <w:ind w:firstLine="420" w:firstLineChars="200"/>
        <w:rPr>
          <w:rFonts w:hAnsi="宋体"/>
          <w:b/>
          <w:color w:val="auto"/>
          <w:highlight w:val="none"/>
        </w:rPr>
      </w:pPr>
      <w:r>
        <w:rPr>
          <w:rFonts w:hint="eastAsia" w:hAnsi="宋体"/>
          <w:color w:val="auto"/>
          <w:highlight w:val="none"/>
        </w:rPr>
        <w:t xml:space="preserve">5.1 </w:t>
      </w:r>
      <w:r>
        <w:rPr>
          <w:rFonts w:hint="eastAsia" w:ascii="Times New Roman" w:hAnsi="Times New Roman"/>
          <w:color w:val="auto"/>
          <w:highlight w:val="none"/>
        </w:rPr>
        <w:t>乙方应保证所提供的服务或其任何一部分均不会侵犯任何第三方的专利权、商标权或著作权</w:t>
      </w:r>
      <w:r>
        <w:rPr>
          <w:rFonts w:hint="eastAsia" w:hAnsi="宋体"/>
          <w:bCs/>
          <w:color w:val="auto"/>
          <w:highlight w:val="none"/>
        </w:rPr>
        <w:t>。</w:t>
      </w:r>
    </w:p>
    <w:p>
      <w:pPr>
        <w:pStyle w:val="22"/>
        <w:spacing w:line="360" w:lineRule="auto"/>
        <w:ind w:firstLine="420" w:firstLineChars="200"/>
        <w:rPr>
          <w:rFonts w:hAnsi="宋体"/>
          <w:b/>
          <w:color w:val="auto"/>
          <w:highlight w:val="none"/>
        </w:rPr>
      </w:pPr>
      <w:r>
        <w:rPr>
          <w:rFonts w:hint="eastAsia" w:hAnsi="宋体"/>
          <w:color w:val="auto"/>
          <w:highlight w:val="none"/>
        </w:rPr>
        <w:t>5.2 乙方保证所交付服务的所有权完全属于乙方且无任何抵押、查封等产权瑕疵。如乙方所交付服务有产权瑕疵的，视为乙方违约，按照本合同第10.3项的约定处理。但在已经全部支付完合同款后才发现有产权瑕疵的，乙方除了支付违约金还应负担甲方由此产生的一切损失。</w:t>
      </w:r>
    </w:p>
    <w:p>
      <w:pPr>
        <w:pStyle w:val="22"/>
        <w:spacing w:line="360" w:lineRule="auto"/>
        <w:rPr>
          <w:rFonts w:hAnsi="宋体"/>
          <w:b/>
          <w:color w:val="auto"/>
          <w:highlight w:val="none"/>
        </w:rPr>
      </w:pPr>
      <w:r>
        <w:rPr>
          <w:rFonts w:hint="eastAsia" w:hAnsi="宋体"/>
          <w:b/>
          <w:bCs/>
          <w:color w:val="auto"/>
          <w:sz w:val="24"/>
          <w:highlight w:val="none"/>
        </w:rPr>
        <w:t>6.  技术资料</w:t>
      </w:r>
    </w:p>
    <w:p>
      <w:pPr>
        <w:pStyle w:val="22"/>
        <w:tabs>
          <w:tab w:val="left" w:pos="0"/>
        </w:tabs>
        <w:spacing w:line="360" w:lineRule="auto"/>
        <w:ind w:firstLine="420" w:firstLineChars="200"/>
        <w:rPr>
          <w:rFonts w:hAnsi="宋体"/>
          <w:color w:val="auto"/>
          <w:highlight w:val="none"/>
        </w:rPr>
      </w:pPr>
      <w:r>
        <w:rPr>
          <w:rFonts w:hint="eastAsia" w:hAnsi="宋体"/>
          <w:color w:val="auto"/>
          <w:highlight w:val="none"/>
        </w:rPr>
        <w:t>6.1 甲方应向乙方提供提交服务成果所必需的有关数据、资料等。</w:t>
      </w:r>
    </w:p>
    <w:p>
      <w:pPr>
        <w:pStyle w:val="22"/>
        <w:tabs>
          <w:tab w:val="left" w:pos="0"/>
        </w:tabs>
        <w:spacing w:line="360" w:lineRule="auto"/>
        <w:ind w:firstLine="420" w:firstLineChars="200"/>
        <w:rPr>
          <w:rFonts w:hAnsi="宋体"/>
          <w:color w:val="auto"/>
          <w:highlight w:val="none"/>
        </w:rPr>
      </w:pPr>
      <w:r>
        <w:rPr>
          <w:rFonts w:hint="eastAsia" w:hAnsi="宋体"/>
          <w:color w:val="auto"/>
          <w:highlight w:val="none"/>
        </w:rPr>
        <w:t>6.2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22"/>
        <w:spacing w:line="360" w:lineRule="auto"/>
        <w:rPr>
          <w:rFonts w:hAnsi="宋体"/>
          <w:b/>
          <w:bCs/>
          <w:color w:val="auto"/>
          <w:sz w:val="24"/>
          <w:highlight w:val="none"/>
        </w:rPr>
      </w:pPr>
      <w:r>
        <w:rPr>
          <w:rFonts w:hint="eastAsia" w:hAnsi="宋体"/>
          <w:b/>
          <w:bCs/>
          <w:color w:val="auto"/>
          <w:sz w:val="24"/>
          <w:highlight w:val="none"/>
        </w:rPr>
        <w:t>7.  验收</w:t>
      </w:r>
    </w:p>
    <w:p>
      <w:pPr>
        <w:pStyle w:val="22"/>
        <w:tabs>
          <w:tab w:val="left" w:pos="0"/>
        </w:tabs>
        <w:spacing w:line="360" w:lineRule="auto"/>
        <w:ind w:firstLine="420" w:firstLineChars="200"/>
        <w:rPr>
          <w:rFonts w:hAnsi="宋体"/>
          <w:color w:val="auto"/>
          <w:highlight w:val="none"/>
        </w:rPr>
      </w:pPr>
      <w:r>
        <w:rPr>
          <w:rFonts w:hint="eastAsia" w:hAnsi="宋体"/>
          <w:color w:val="auto"/>
          <w:highlight w:val="none"/>
        </w:rPr>
        <w:t>7.1 乙方应对提交的服务成果作出全面检查和整理，并列出清单，作为甲方验收和使用的技术条件依据，清单应随提交的服务成果交给甲方。</w:t>
      </w:r>
    </w:p>
    <w:p>
      <w:pPr>
        <w:pStyle w:val="22"/>
        <w:tabs>
          <w:tab w:val="left" w:pos="0"/>
        </w:tabs>
        <w:spacing w:line="360" w:lineRule="auto"/>
        <w:ind w:firstLine="420" w:firstLineChars="200"/>
        <w:rPr>
          <w:rFonts w:hAnsi="宋体"/>
          <w:color w:val="auto"/>
          <w:highlight w:val="none"/>
        </w:rPr>
      </w:pPr>
      <w:r>
        <w:rPr>
          <w:rFonts w:hint="eastAsia" w:hAnsi="宋体"/>
          <w:color w:val="auto"/>
          <w:highlight w:val="none"/>
        </w:rPr>
        <w:t>7.2 乙方在指定地点提交服务成果后，甲方应在5个工作日内依据招标文件、乙方的投标文件等组织验收，验收完毕后作出书面验收报告。验收时乙方必须在现场。</w:t>
      </w:r>
    </w:p>
    <w:p>
      <w:pPr>
        <w:pStyle w:val="22"/>
        <w:tabs>
          <w:tab w:val="left" w:pos="0"/>
        </w:tabs>
        <w:spacing w:line="360" w:lineRule="auto"/>
        <w:ind w:firstLine="420" w:firstLineChars="200"/>
        <w:rPr>
          <w:rFonts w:hAnsi="宋体"/>
          <w:color w:val="auto"/>
          <w:highlight w:val="none"/>
        </w:rPr>
      </w:pPr>
      <w:r>
        <w:rPr>
          <w:rFonts w:hint="eastAsia" w:hAnsi="宋体"/>
          <w:color w:val="auto"/>
          <w:highlight w:val="none"/>
        </w:rPr>
        <w:t>7.3 对复杂的服务，甲方可请国家认可的专业机构参与验收，并由其出具验收报告，相关费用由甲方承担。</w:t>
      </w:r>
    </w:p>
    <w:p>
      <w:pPr>
        <w:pStyle w:val="22"/>
        <w:spacing w:line="360" w:lineRule="auto"/>
        <w:rPr>
          <w:rFonts w:hAnsi="宋体"/>
          <w:b/>
          <w:bCs/>
          <w:color w:val="auto"/>
          <w:sz w:val="24"/>
          <w:highlight w:val="none"/>
        </w:rPr>
      </w:pPr>
      <w:r>
        <w:rPr>
          <w:rFonts w:hint="eastAsia" w:hAnsi="宋体"/>
          <w:b/>
          <w:bCs/>
          <w:color w:val="auto"/>
          <w:sz w:val="24"/>
          <w:highlight w:val="none"/>
        </w:rPr>
        <w:t>8.  合同款支付</w:t>
      </w:r>
    </w:p>
    <w:p>
      <w:pPr>
        <w:pStyle w:val="22"/>
        <w:tabs>
          <w:tab w:val="left" w:pos="5145"/>
          <w:tab w:val="left" w:pos="5355"/>
          <w:tab w:val="left" w:pos="6195"/>
        </w:tabs>
        <w:spacing w:line="360" w:lineRule="auto"/>
        <w:ind w:firstLine="420" w:firstLineChars="200"/>
        <w:rPr>
          <w:rFonts w:hAnsi="宋体"/>
          <w:bCs/>
          <w:color w:val="auto"/>
          <w:highlight w:val="none"/>
          <w:u w:val="single"/>
        </w:rPr>
      </w:pPr>
      <w:r>
        <w:rPr>
          <w:rFonts w:hint="eastAsia" w:hAnsi="宋体"/>
          <w:bCs/>
          <w:color w:val="auto"/>
          <w:highlight w:val="none"/>
        </w:rPr>
        <w:t>8.1 付款方式：</w:t>
      </w:r>
      <w:r>
        <w:rPr>
          <w:rFonts w:hint="eastAsia" w:hAnsi="宋体"/>
          <w:bCs/>
          <w:color w:val="auto"/>
          <w:highlight w:val="none"/>
          <w:u w:val="single"/>
        </w:rPr>
        <w:t xml:space="preserve">                               </w:t>
      </w:r>
    </w:p>
    <w:p>
      <w:pPr>
        <w:pStyle w:val="22"/>
        <w:tabs>
          <w:tab w:val="left" w:pos="5145"/>
          <w:tab w:val="left" w:pos="5355"/>
          <w:tab w:val="left" w:pos="6195"/>
        </w:tabs>
        <w:spacing w:line="360" w:lineRule="auto"/>
        <w:ind w:firstLine="420" w:firstLineChars="200"/>
        <w:rPr>
          <w:rFonts w:hAnsi="宋体"/>
          <w:bCs/>
          <w:color w:val="auto"/>
          <w:highlight w:val="none"/>
          <w:u w:val="single"/>
        </w:rPr>
      </w:pPr>
      <w:r>
        <w:rPr>
          <w:rFonts w:hint="eastAsia" w:hAnsi="宋体"/>
          <w:color w:val="auto"/>
          <w:highlight w:val="none"/>
        </w:rPr>
        <w:t>8.2 支付合同款时，由甲方按照合同约定向南宁市财政局提交《南宁市政府采购履约验收证明和资金支付申请表》等完整且合格的支付申请材料；南宁市财政局按财政国库直接支付程序将款项直接支付给供应商。</w:t>
      </w:r>
    </w:p>
    <w:p>
      <w:pPr>
        <w:pStyle w:val="22"/>
        <w:tabs>
          <w:tab w:val="left" w:pos="5145"/>
          <w:tab w:val="left" w:pos="5355"/>
          <w:tab w:val="left" w:pos="6195"/>
        </w:tabs>
        <w:spacing w:line="360" w:lineRule="auto"/>
        <w:ind w:firstLine="420" w:firstLineChars="200"/>
        <w:rPr>
          <w:rFonts w:hAnsi="宋体"/>
          <w:bCs/>
          <w:color w:val="auto"/>
          <w:highlight w:val="none"/>
          <w:u w:val="single"/>
        </w:rPr>
      </w:pPr>
      <w:r>
        <w:rPr>
          <w:rFonts w:hint="eastAsia" w:hAnsi="宋体"/>
          <w:color w:val="auto"/>
          <w:highlight w:val="none"/>
        </w:rPr>
        <w:t>8.3 政府采购监督管理部门在处理投诉事项期间，可以视具体情况书面通知采购人暂停采购活动</w:t>
      </w:r>
      <w:r>
        <w:rPr>
          <w:rFonts w:hint="eastAsia" w:hAnsi="宋体"/>
          <w:bCs/>
          <w:color w:val="auto"/>
          <w:highlight w:val="none"/>
        </w:rPr>
        <w:t>，并延期支付合同款。</w:t>
      </w:r>
    </w:p>
    <w:p>
      <w:pPr>
        <w:pStyle w:val="22"/>
        <w:spacing w:line="360" w:lineRule="auto"/>
        <w:rPr>
          <w:rFonts w:hAnsi="宋体"/>
          <w:b/>
          <w:bCs/>
          <w:color w:val="auto"/>
          <w:sz w:val="24"/>
          <w:highlight w:val="none"/>
        </w:rPr>
      </w:pPr>
      <w:r>
        <w:rPr>
          <w:rFonts w:hint="eastAsia" w:hAnsi="宋体"/>
          <w:b/>
          <w:bCs/>
          <w:color w:val="auto"/>
          <w:sz w:val="24"/>
          <w:highlight w:val="none"/>
        </w:rPr>
        <w:t>9.  售后服务要求</w:t>
      </w:r>
    </w:p>
    <w:p>
      <w:pPr>
        <w:pStyle w:val="22"/>
        <w:spacing w:line="360" w:lineRule="auto"/>
        <w:ind w:firstLine="420" w:firstLineChars="200"/>
        <w:rPr>
          <w:rFonts w:hAnsi="宋体"/>
          <w:color w:val="auto"/>
          <w:highlight w:val="none"/>
        </w:rPr>
      </w:pPr>
      <w:r>
        <w:rPr>
          <w:rFonts w:hint="eastAsia" w:hAnsi="宋体"/>
          <w:color w:val="auto"/>
          <w:highlight w:val="none"/>
        </w:rPr>
        <w:t>9.1 乙方提供服务的质量保证期为：</w:t>
      </w:r>
      <w:r>
        <w:rPr>
          <w:rFonts w:hint="eastAsia" w:hAnsi="宋体"/>
          <w:color w:val="auto"/>
          <w:highlight w:val="none"/>
          <w:u w:val="single"/>
        </w:rPr>
        <w:t xml:space="preserve">　　　　　　   </w:t>
      </w:r>
      <w:r>
        <w:rPr>
          <w:rFonts w:hint="eastAsia" w:hAnsi="宋体"/>
          <w:color w:val="auto"/>
          <w:highlight w:val="none"/>
        </w:rPr>
        <w:t>（自提交服务验收合格之日起计）</w:t>
      </w:r>
    </w:p>
    <w:p>
      <w:pPr>
        <w:pStyle w:val="22"/>
        <w:spacing w:line="360" w:lineRule="auto"/>
        <w:ind w:firstLine="420" w:firstLineChars="200"/>
        <w:rPr>
          <w:rFonts w:hAnsi="宋体"/>
          <w:color w:val="auto"/>
          <w:highlight w:val="none"/>
        </w:rPr>
      </w:pPr>
      <w:r>
        <w:rPr>
          <w:rFonts w:hint="eastAsia" w:hAnsi="宋体"/>
          <w:color w:val="auto"/>
          <w:highlight w:val="none"/>
        </w:rPr>
        <w:t>9.2 在本合同第9.1项约定的质量保证期内，乙方应对服务出现的问题负责处理解决并承担一切费用。</w:t>
      </w:r>
    </w:p>
    <w:p>
      <w:pPr>
        <w:pStyle w:val="22"/>
        <w:tabs>
          <w:tab w:val="left" w:pos="5250"/>
        </w:tabs>
        <w:spacing w:line="360" w:lineRule="auto"/>
        <w:ind w:firstLine="420" w:firstLineChars="200"/>
        <w:rPr>
          <w:rFonts w:hAnsi="宋体"/>
          <w:color w:val="auto"/>
          <w:highlight w:val="none"/>
          <w:u w:val="single"/>
        </w:rPr>
      </w:pPr>
      <w:r>
        <w:rPr>
          <w:rFonts w:hint="eastAsia" w:hAnsi="宋体"/>
          <w:color w:val="auto"/>
          <w:highlight w:val="none"/>
        </w:rPr>
        <w:t>9.3其他售后服务要求：</w:t>
      </w:r>
      <w:r>
        <w:rPr>
          <w:rFonts w:hint="eastAsia" w:hAnsi="宋体"/>
          <w:color w:val="auto"/>
          <w:highlight w:val="none"/>
          <w:u w:val="single"/>
        </w:rPr>
        <w:t>按投标文件商务条款偏离表内容执行。</w:t>
      </w:r>
    </w:p>
    <w:p>
      <w:pPr>
        <w:pStyle w:val="22"/>
        <w:spacing w:line="360" w:lineRule="auto"/>
        <w:rPr>
          <w:rFonts w:hAnsi="宋体"/>
          <w:b/>
          <w:bCs/>
          <w:color w:val="auto"/>
          <w:sz w:val="24"/>
          <w:highlight w:val="none"/>
        </w:rPr>
      </w:pPr>
      <w:r>
        <w:rPr>
          <w:rFonts w:hint="eastAsia" w:hAnsi="宋体"/>
          <w:b/>
          <w:bCs/>
          <w:color w:val="auto"/>
          <w:sz w:val="24"/>
          <w:highlight w:val="none"/>
        </w:rPr>
        <w:t>10.  违约责任</w:t>
      </w:r>
    </w:p>
    <w:p>
      <w:pPr>
        <w:pStyle w:val="22"/>
        <w:spacing w:line="360" w:lineRule="auto"/>
        <w:ind w:firstLine="420" w:firstLineChars="200"/>
        <w:rPr>
          <w:rFonts w:hAnsi="宋体"/>
          <w:color w:val="auto"/>
          <w:highlight w:val="none"/>
        </w:rPr>
      </w:pPr>
      <w:r>
        <w:rPr>
          <w:rFonts w:hint="eastAsia" w:hAnsi="宋体"/>
          <w:color w:val="auto"/>
          <w:highlight w:val="none"/>
        </w:rPr>
        <w:t>10.1 甲方无正当理由拒收服务的，甲方向乙方偿付合同总金额的百分之五违约金。</w:t>
      </w:r>
    </w:p>
    <w:p>
      <w:pPr>
        <w:pStyle w:val="22"/>
        <w:spacing w:line="360" w:lineRule="auto"/>
        <w:ind w:firstLine="420" w:firstLineChars="200"/>
        <w:rPr>
          <w:rFonts w:hAnsi="宋体"/>
          <w:color w:val="auto"/>
          <w:highlight w:val="none"/>
        </w:rPr>
      </w:pPr>
      <w:r>
        <w:rPr>
          <w:rFonts w:hint="eastAsia" w:hAnsi="宋体"/>
          <w:color w:val="auto"/>
          <w:highlight w:val="none"/>
        </w:rPr>
        <w:t>10.2 甲方无故逾期验收或办理合同款支付手续的，甲方应按合同总金额每日万分之五向乙方支付违约金。</w:t>
      </w:r>
    </w:p>
    <w:p>
      <w:pPr>
        <w:pStyle w:val="22"/>
        <w:spacing w:line="360" w:lineRule="auto"/>
        <w:ind w:firstLine="420" w:firstLineChars="200"/>
        <w:rPr>
          <w:rFonts w:hAnsi="宋体"/>
          <w:color w:val="auto"/>
          <w:highlight w:val="none"/>
        </w:rPr>
      </w:pPr>
      <w:r>
        <w:rPr>
          <w:rFonts w:hint="eastAsia" w:hAnsi="宋体"/>
          <w:color w:val="auto"/>
          <w:highlight w:val="none"/>
        </w:rPr>
        <w:t>10.3 乙方逾期交付服务的，乙方应按逾期提供服务总额每日千分之六向甲方支付违约金，由甲方从待付服务费中扣除。逾期超过约定日期10工作日不能提供服务的，甲方可解除本合同。乙方因逾期提供服务或因其他违约行为导致甲方解除合同的，乙方应向甲方支付合同总金额百分之五的违约金，如造成甲方损失超过违约金的，超出部分由乙方继续承担赔偿责任。</w:t>
      </w:r>
    </w:p>
    <w:p>
      <w:pPr>
        <w:pStyle w:val="22"/>
        <w:spacing w:line="360" w:lineRule="auto"/>
        <w:ind w:firstLine="420" w:firstLineChars="200"/>
        <w:rPr>
          <w:rFonts w:hAnsi="宋体"/>
          <w:color w:val="auto"/>
          <w:highlight w:val="none"/>
        </w:rPr>
      </w:pPr>
      <w:r>
        <w:rPr>
          <w:rFonts w:hint="eastAsia" w:hAnsi="宋体"/>
          <w:color w:val="auto"/>
          <w:highlight w:val="none"/>
        </w:rPr>
        <w:t>10.4乙方应按本合同约定的质量标准提供服务，并经甲方验收合格，如验收不合格的，应无条件进行整改、修正，直至通过甲方验收，如因此造成逾期完成服务的，则按本合同第10.3条约定承担逾期违约责任。</w:t>
      </w:r>
    </w:p>
    <w:p>
      <w:pPr>
        <w:pStyle w:val="22"/>
        <w:spacing w:line="360" w:lineRule="auto"/>
        <w:ind w:firstLine="420" w:firstLineChars="200"/>
        <w:rPr>
          <w:rFonts w:hAnsi="宋体"/>
          <w:color w:val="auto"/>
          <w:highlight w:val="none"/>
        </w:rPr>
      </w:pPr>
      <w:r>
        <w:rPr>
          <w:rFonts w:hint="eastAsia" w:hAnsi="宋体"/>
          <w:color w:val="auto"/>
          <w:highlight w:val="none"/>
        </w:rPr>
        <w:t>10.5 乙方应按国家相关规定及行业有关规范规程、本合同约定完成服务，并对服务的合法性、完整性、有效性负责，由于乙方提供的服务不合格（以第三方具备资质的机构出具证明材料）所造成的损失，乙方应承担责任。</w:t>
      </w:r>
    </w:p>
    <w:p>
      <w:pPr>
        <w:pStyle w:val="22"/>
        <w:spacing w:line="360" w:lineRule="auto"/>
        <w:ind w:firstLine="420" w:firstLineChars="200"/>
        <w:rPr>
          <w:rFonts w:hAnsi="宋体"/>
          <w:color w:val="auto"/>
          <w:highlight w:val="none"/>
        </w:rPr>
      </w:pPr>
      <w:r>
        <w:rPr>
          <w:rFonts w:hint="eastAsia" w:hAnsi="宋体"/>
          <w:color w:val="auto"/>
          <w:highlight w:val="none"/>
        </w:rPr>
        <w:t>10.6乙方提供的服务如侵犯了第三方合法权益而引发的任何纠纷或诉讼，均由乙方负责交涉并承担全部责任。如甲方为解决纠纷先行垫支了费用，乙方须在接到甲方通知之日起5个工作日内向甲方偿还完毕，并赔偿甲方全部经济损失。</w:t>
      </w:r>
    </w:p>
    <w:p>
      <w:pPr>
        <w:pStyle w:val="22"/>
        <w:spacing w:line="360" w:lineRule="auto"/>
        <w:ind w:firstLine="420" w:firstLineChars="200"/>
        <w:rPr>
          <w:rFonts w:hAnsi="宋体"/>
          <w:color w:val="auto"/>
          <w:highlight w:val="none"/>
        </w:rPr>
      </w:pPr>
      <w:r>
        <w:rPr>
          <w:rFonts w:hint="eastAsia" w:hAnsi="宋体"/>
          <w:color w:val="auto"/>
          <w:highlight w:val="none"/>
        </w:rPr>
        <w:t>10.7本合同有效期内，除本合同约定原因外，甲乙双方不得擅自单方提前终止本合同，否则应当赔偿由此给对方造成的损失。</w:t>
      </w:r>
    </w:p>
    <w:p>
      <w:pPr>
        <w:pStyle w:val="22"/>
        <w:spacing w:line="360" w:lineRule="auto"/>
        <w:ind w:firstLine="420" w:firstLineChars="200"/>
        <w:rPr>
          <w:rFonts w:hAnsi="宋体"/>
          <w:color w:val="auto"/>
          <w:highlight w:val="none"/>
        </w:rPr>
      </w:pPr>
      <w:r>
        <w:rPr>
          <w:rFonts w:hint="eastAsia" w:hAnsi="宋体"/>
          <w:color w:val="auto"/>
          <w:highlight w:val="none"/>
        </w:rPr>
        <w:t>10.8乙方未按本合同和投标文件中规定的服务承诺提供售后服务的，乙方应按合同总金额5%向甲方支付违约金。</w:t>
      </w:r>
    </w:p>
    <w:p>
      <w:pPr>
        <w:pStyle w:val="22"/>
        <w:spacing w:line="360" w:lineRule="auto"/>
        <w:ind w:firstLine="420" w:firstLineChars="200"/>
        <w:rPr>
          <w:rFonts w:hAnsi="宋体"/>
          <w:color w:val="auto"/>
          <w:highlight w:val="none"/>
        </w:rPr>
      </w:pPr>
      <w:r>
        <w:rPr>
          <w:rFonts w:hint="eastAsia" w:hAnsi="宋体"/>
          <w:color w:val="auto"/>
          <w:highlight w:val="none"/>
        </w:rPr>
        <w:t>10.9 乙方提供的服务在质量保证期内，因设计、工艺或材料的缺陷和其它质量原因造成的问题，由乙方负责解决并按实际情况赔偿甲方损失。</w:t>
      </w:r>
    </w:p>
    <w:p>
      <w:pPr>
        <w:pStyle w:val="22"/>
        <w:spacing w:line="360" w:lineRule="auto"/>
        <w:ind w:firstLine="420" w:firstLineChars="200"/>
        <w:rPr>
          <w:rFonts w:hAnsi="宋体"/>
          <w:color w:val="auto"/>
          <w:highlight w:val="none"/>
        </w:rPr>
      </w:pPr>
      <w:r>
        <w:rPr>
          <w:rFonts w:hint="eastAsia" w:hAnsi="宋体"/>
          <w:color w:val="auto"/>
          <w:highlight w:val="none"/>
        </w:rPr>
        <w:t>10.10乙方有其它违约行为的，每发生一次按合同总金额5%收取违约金。</w:t>
      </w:r>
    </w:p>
    <w:p>
      <w:pPr>
        <w:pStyle w:val="22"/>
        <w:spacing w:line="360" w:lineRule="auto"/>
        <w:ind w:firstLine="420" w:firstLineChars="200"/>
        <w:rPr>
          <w:rFonts w:hAnsi="宋体"/>
          <w:color w:val="auto"/>
          <w:highlight w:val="none"/>
        </w:rPr>
      </w:pPr>
      <w:r>
        <w:rPr>
          <w:rFonts w:hint="eastAsia" w:hAnsi="宋体"/>
          <w:color w:val="auto"/>
          <w:highlight w:val="none"/>
        </w:rPr>
        <w:t>10.11甲方根据本合同约定而解除合同的，有权不予支付任何款项给乙方，已经支付的，乙方应当自甲方要求返还之日起5日内予以返还，此外乙方还应支付合同总金额5%的违约金给甲方并赔偿甲方经济损失。</w:t>
      </w:r>
    </w:p>
    <w:p>
      <w:pPr>
        <w:pStyle w:val="22"/>
        <w:spacing w:line="360" w:lineRule="auto"/>
        <w:ind w:firstLine="420" w:firstLineChars="200"/>
        <w:rPr>
          <w:rFonts w:hAnsi="宋体"/>
          <w:color w:val="auto"/>
          <w:highlight w:val="none"/>
        </w:rPr>
      </w:pPr>
      <w:r>
        <w:rPr>
          <w:rFonts w:hint="eastAsia" w:hAnsi="宋体"/>
          <w:color w:val="auto"/>
          <w:highlight w:val="none"/>
        </w:rPr>
        <w:t>9.12当以上违约金不足以弥补甲方损失时，乙方还应对甲方超过违约金部分的损失依法承担赔偿责任，甲方有权继续向乙方追偿。乙方应当赔偿因此给甲方造成的所有损失，包括但不限于甲方直接损失、预期利益损失、向第三人承担的违约金、赔偿金、另行委托第三人的成本、为索赔支出的费用、律师费、诉讼费、仲裁费、调查费、公证费、鉴定费等。</w:t>
      </w:r>
    </w:p>
    <w:p>
      <w:pPr>
        <w:pStyle w:val="22"/>
        <w:spacing w:line="360" w:lineRule="auto"/>
        <w:rPr>
          <w:rFonts w:hAnsi="宋体"/>
          <w:b/>
          <w:bCs/>
          <w:color w:val="auto"/>
          <w:sz w:val="24"/>
          <w:highlight w:val="none"/>
        </w:rPr>
      </w:pPr>
      <w:r>
        <w:rPr>
          <w:rFonts w:hint="eastAsia" w:hAnsi="宋体"/>
          <w:b/>
          <w:bCs/>
          <w:color w:val="auto"/>
          <w:sz w:val="24"/>
          <w:highlight w:val="none"/>
        </w:rPr>
        <w:t>11.  不可抗力事件处理</w:t>
      </w:r>
    </w:p>
    <w:p>
      <w:pPr>
        <w:pStyle w:val="22"/>
        <w:spacing w:line="360" w:lineRule="auto"/>
        <w:ind w:firstLine="420" w:firstLineChars="200"/>
        <w:rPr>
          <w:rFonts w:hAnsi="宋体"/>
          <w:color w:val="auto"/>
          <w:highlight w:val="none"/>
        </w:rPr>
      </w:pPr>
      <w:r>
        <w:rPr>
          <w:rFonts w:hint="eastAsia" w:hAnsi="宋体"/>
          <w:color w:val="auto"/>
          <w:highlight w:val="none"/>
        </w:rPr>
        <w:t>11.1 在合同有效期内，任何一方因不可抗力事件导致不能履行合同，则合同履行期可延长，其延长期与不可抗力影响期相同。</w:t>
      </w:r>
    </w:p>
    <w:p>
      <w:pPr>
        <w:pStyle w:val="22"/>
        <w:spacing w:line="360" w:lineRule="auto"/>
        <w:ind w:firstLine="420" w:firstLineChars="200"/>
        <w:rPr>
          <w:rFonts w:hAnsi="宋体"/>
          <w:color w:val="auto"/>
          <w:highlight w:val="none"/>
        </w:rPr>
      </w:pPr>
      <w:r>
        <w:rPr>
          <w:rFonts w:hint="eastAsia" w:hAnsi="宋体"/>
          <w:color w:val="auto"/>
          <w:highlight w:val="none"/>
        </w:rPr>
        <w:t>11.2 不可抗力事件发生后，应立即通知对方，并寄送有关权威机构出具的证明。</w:t>
      </w:r>
    </w:p>
    <w:p>
      <w:pPr>
        <w:pStyle w:val="22"/>
        <w:spacing w:line="360" w:lineRule="auto"/>
        <w:ind w:firstLine="420" w:firstLineChars="200"/>
        <w:rPr>
          <w:rFonts w:hAnsi="宋体"/>
          <w:color w:val="auto"/>
          <w:highlight w:val="none"/>
        </w:rPr>
      </w:pPr>
      <w:r>
        <w:rPr>
          <w:rFonts w:hint="eastAsia" w:hAnsi="宋体"/>
          <w:color w:val="auto"/>
          <w:highlight w:val="none"/>
        </w:rPr>
        <w:t>11.3 不可抗力事件延续120天以上，双方应通过友好协商，确定是否继续履行合同。</w:t>
      </w:r>
    </w:p>
    <w:p>
      <w:pPr>
        <w:pStyle w:val="22"/>
        <w:spacing w:line="360" w:lineRule="auto"/>
        <w:rPr>
          <w:rFonts w:hAnsi="宋体"/>
          <w:b/>
          <w:bCs/>
          <w:color w:val="auto"/>
          <w:sz w:val="24"/>
          <w:highlight w:val="none"/>
        </w:rPr>
      </w:pPr>
      <w:r>
        <w:rPr>
          <w:rFonts w:hint="eastAsia" w:hAnsi="宋体"/>
          <w:b/>
          <w:bCs/>
          <w:color w:val="auto"/>
          <w:sz w:val="24"/>
          <w:highlight w:val="none"/>
        </w:rPr>
        <w:t>12.  诉讼</w:t>
      </w:r>
    </w:p>
    <w:p>
      <w:pPr>
        <w:pStyle w:val="22"/>
        <w:tabs>
          <w:tab w:val="left" w:pos="0"/>
        </w:tabs>
        <w:spacing w:line="360" w:lineRule="auto"/>
        <w:ind w:firstLine="420" w:firstLineChars="200"/>
        <w:rPr>
          <w:rFonts w:hAnsi="宋体"/>
          <w:color w:val="auto"/>
          <w:highlight w:val="none"/>
        </w:rPr>
      </w:pPr>
      <w:r>
        <w:rPr>
          <w:rFonts w:hint="eastAsia" w:hAnsi="宋体"/>
          <w:color w:val="auto"/>
          <w:highlight w:val="none"/>
        </w:rPr>
        <w:t>12.1 双方在执行合同中所发生的一切争议，应通过协商解决。如协商不成，可向合同签订地法院起诉，合同签订地在此约定为广西南宁市。</w:t>
      </w:r>
    </w:p>
    <w:p>
      <w:pPr>
        <w:pStyle w:val="22"/>
        <w:spacing w:line="360" w:lineRule="auto"/>
        <w:rPr>
          <w:rFonts w:hAnsi="宋体"/>
          <w:b/>
          <w:bCs/>
          <w:color w:val="auto"/>
          <w:sz w:val="24"/>
          <w:highlight w:val="none"/>
        </w:rPr>
      </w:pPr>
      <w:r>
        <w:rPr>
          <w:rFonts w:hint="eastAsia" w:hAnsi="宋体"/>
          <w:b/>
          <w:bCs/>
          <w:color w:val="auto"/>
          <w:sz w:val="24"/>
          <w:highlight w:val="none"/>
        </w:rPr>
        <w:t>13.  合同生效及其它</w:t>
      </w:r>
    </w:p>
    <w:p>
      <w:pPr>
        <w:pStyle w:val="22"/>
        <w:spacing w:line="360" w:lineRule="auto"/>
        <w:ind w:firstLine="420" w:firstLineChars="200"/>
        <w:rPr>
          <w:rFonts w:hAnsi="宋体"/>
          <w:color w:val="auto"/>
          <w:highlight w:val="none"/>
        </w:rPr>
      </w:pPr>
      <w:r>
        <w:rPr>
          <w:rFonts w:hint="eastAsia" w:hAnsi="宋体"/>
          <w:color w:val="auto"/>
          <w:highlight w:val="none"/>
        </w:rPr>
        <w:t>13.1 合同经双方法定代表人或授权委托代理人签字并加盖单位公章后生效。</w:t>
      </w:r>
    </w:p>
    <w:p>
      <w:pPr>
        <w:pStyle w:val="22"/>
        <w:spacing w:line="360" w:lineRule="auto"/>
        <w:ind w:firstLine="420" w:firstLineChars="200"/>
        <w:rPr>
          <w:rFonts w:hAnsi="宋体"/>
          <w:color w:val="auto"/>
          <w:highlight w:val="none"/>
        </w:rPr>
      </w:pPr>
      <w:r>
        <w:rPr>
          <w:rFonts w:hint="eastAsia" w:hAnsi="宋体"/>
          <w:color w:val="auto"/>
          <w:highlight w:val="none"/>
        </w:rPr>
        <w:t>13.2 合同执行中涉及采购资金和采购内容修改或补充的，须经市财政部门审批，并签书面补充协议报南宁市政府采购监督管理部门备案，方可作为主合同不可分割的一部分。</w:t>
      </w:r>
    </w:p>
    <w:p>
      <w:pPr>
        <w:pStyle w:val="22"/>
        <w:spacing w:line="360" w:lineRule="auto"/>
        <w:ind w:firstLine="420" w:firstLineChars="200"/>
        <w:rPr>
          <w:rFonts w:hAnsi="宋体"/>
          <w:color w:val="auto"/>
          <w:highlight w:val="none"/>
        </w:rPr>
      </w:pPr>
      <w:r>
        <w:rPr>
          <w:rFonts w:hint="eastAsia" w:hAnsi="宋体"/>
          <w:color w:val="auto"/>
          <w:highlight w:val="none"/>
        </w:rPr>
        <w:t>13.3 下述合同附件为本合同不可分割的部分并与本合同具有同等效力：</w:t>
      </w:r>
    </w:p>
    <w:p>
      <w:pPr>
        <w:pStyle w:val="22"/>
        <w:spacing w:line="360" w:lineRule="auto"/>
        <w:ind w:firstLine="420" w:firstLineChars="200"/>
        <w:rPr>
          <w:rFonts w:hAnsi="宋体"/>
          <w:color w:val="auto"/>
          <w:highlight w:val="none"/>
        </w:rPr>
      </w:pPr>
      <w:r>
        <w:rPr>
          <w:rFonts w:hint="eastAsia" w:hAnsi="宋体"/>
          <w:color w:val="auto"/>
          <w:highlight w:val="none"/>
        </w:rPr>
        <w:t>(1)中标通知书</w:t>
      </w:r>
    </w:p>
    <w:p>
      <w:pPr>
        <w:pStyle w:val="22"/>
        <w:spacing w:line="360" w:lineRule="auto"/>
        <w:ind w:firstLine="420" w:firstLineChars="200"/>
        <w:rPr>
          <w:rFonts w:hAnsi="宋体"/>
          <w:color w:val="auto"/>
          <w:highlight w:val="none"/>
        </w:rPr>
      </w:pPr>
      <w:r>
        <w:rPr>
          <w:rFonts w:hint="eastAsia" w:hAnsi="宋体"/>
          <w:color w:val="auto"/>
          <w:highlight w:val="none"/>
        </w:rPr>
        <w:t>(2)招标文件服务需求一览表</w:t>
      </w:r>
    </w:p>
    <w:p>
      <w:pPr>
        <w:pStyle w:val="22"/>
        <w:spacing w:line="360" w:lineRule="auto"/>
        <w:ind w:firstLine="420" w:firstLineChars="200"/>
        <w:rPr>
          <w:rFonts w:hAnsi="宋体"/>
          <w:color w:val="auto"/>
          <w:highlight w:val="none"/>
        </w:rPr>
      </w:pPr>
      <w:r>
        <w:rPr>
          <w:rFonts w:hint="eastAsia" w:hAnsi="宋体"/>
          <w:color w:val="auto"/>
          <w:highlight w:val="none"/>
        </w:rPr>
        <w:t>(3)招标文件的更改通知（如有）</w:t>
      </w:r>
    </w:p>
    <w:p>
      <w:pPr>
        <w:pStyle w:val="22"/>
        <w:spacing w:line="360" w:lineRule="auto"/>
        <w:ind w:firstLine="420" w:firstLineChars="200"/>
        <w:rPr>
          <w:rFonts w:hAnsi="宋体"/>
          <w:color w:val="auto"/>
          <w:highlight w:val="none"/>
        </w:rPr>
      </w:pPr>
      <w:r>
        <w:rPr>
          <w:rFonts w:hint="eastAsia" w:hAnsi="宋体"/>
          <w:color w:val="auto"/>
          <w:highlight w:val="none"/>
        </w:rPr>
        <w:t>(4)投标函</w:t>
      </w:r>
    </w:p>
    <w:p>
      <w:pPr>
        <w:pStyle w:val="22"/>
        <w:spacing w:line="360" w:lineRule="auto"/>
        <w:ind w:firstLine="420" w:firstLineChars="200"/>
        <w:rPr>
          <w:rFonts w:hAnsi="宋体"/>
          <w:color w:val="auto"/>
          <w:highlight w:val="none"/>
        </w:rPr>
      </w:pPr>
      <w:r>
        <w:rPr>
          <w:rFonts w:hint="eastAsia" w:hAnsi="宋体"/>
          <w:color w:val="auto"/>
          <w:highlight w:val="none"/>
        </w:rPr>
        <w:t>(5)报价表</w:t>
      </w:r>
    </w:p>
    <w:p>
      <w:pPr>
        <w:pStyle w:val="22"/>
        <w:spacing w:line="360" w:lineRule="auto"/>
        <w:ind w:firstLine="420" w:firstLineChars="200"/>
        <w:rPr>
          <w:rFonts w:hAnsi="宋体"/>
          <w:color w:val="auto"/>
          <w:highlight w:val="none"/>
        </w:rPr>
      </w:pPr>
      <w:r>
        <w:rPr>
          <w:rFonts w:hint="eastAsia" w:hAnsi="宋体"/>
          <w:color w:val="auto"/>
          <w:highlight w:val="none"/>
        </w:rPr>
        <w:t>(6)投标服务技术资料表</w:t>
      </w:r>
    </w:p>
    <w:p>
      <w:pPr>
        <w:pStyle w:val="22"/>
        <w:spacing w:line="360" w:lineRule="auto"/>
        <w:ind w:firstLine="420" w:firstLineChars="200"/>
        <w:rPr>
          <w:rFonts w:hAnsi="宋体"/>
          <w:color w:val="auto"/>
          <w:highlight w:val="none"/>
        </w:rPr>
      </w:pPr>
      <w:r>
        <w:rPr>
          <w:rFonts w:hint="eastAsia" w:hAnsi="宋体"/>
          <w:color w:val="auto"/>
          <w:highlight w:val="none"/>
        </w:rPr>
        <w:t>(7)商务条款偏离表</w:t>
      </w:r>
    </w:p>
    <w:p>
      <w:pPr>
        <w:pStyle w:val="22"/>
        <w:spacing w:line="360" w:lineRule="auto"/>
        <w:ind w:firstLine="420" w:firstLineChars="200"/>
        <w:rPr>
          <w:rFonts w:hAnsi="宋体"/>
          <w:color w:val="auto"/>
          <w:highlight w:val="none"/>
        </w:rPr>
      </w:pPr>
      <w:r>
        <w:rPr>
          <w:rFonts w:hint="eastAsia" w:hAnsi="宋体"/>
          <w:color w:val="auto"/>
          <w:highlight w:val="none"/>
        </w:rPr>
        <w:t>(8)中标供应商澄清函（如有请提供）</w:t>
      </w:r>
    </w:p>
    <w:p>
      <w:pPr>
        <w:pStyle w:val="22"/>
        <w:spacing w:line="360" w:lineRule="auto"/>
        <w:ind w:firstLine="420" w:firstLineChars="200"/>
        <w:rPr>
          <w:rFonts w:hAnsi="宋体"/>
          <w:color w:val="auto"/>
          <w:highlight w:val="none"/>
        </w:rPr>
      </w:pPr>
      <w:r>
        <w:rPr>
          <w:rFonts w:hint="eastAsia" w:hAnsi="宋体"/>
          <w:color w:val="auto"/>
          <w:highlight w:val="none"/>
        </w:rPr>
        <w:t>(9)其他与本合同相关的资料（如有请提供）</w:t>
      </w:r>
    </w:p>
    <w:p>
      <w:pPr>
        <w:pStyle w:val="22"/>
        <w:spacing w:line="360" w:lineRule="auto"/>
        <w:ind w:firstLine="420" w:firstLineChars="200"/>
        <w:rPr>
          <w:rFonts w:hAnsi="宋体"/>
          <w:color w:val="auto"/>
          <w:highlight w:val="none"/>
        </w:rPr>
      </w:pPr>
      <w:r>
        <w:rPr>
          <w:rFonts w:hint="eastAsia" w:hAnsi="宋体"/>
          <w:color w:val="auto"/>
          <w:highlight w:val="none"/>
        </w:rPr>
        <w:t>13.4 本合同未尽事宜，遵照《中华人民共和国合同法》有关条文执行。</w:t>
      </w:r>
    </w:p>
    <w:p>
      <w:pPr>
        <w:pStyle w:val="22"/>
        <w:spacing w:line="360" w:lineRule="auto"/>
        <w:ind w:firstLine="420" w:firstLineChars="200"/>
        <w:rPr>
          <w:rFonts w:hAnsi="宋体"/>
          <w:color w:val="auto"/>
          <w:highlight w:val="none"/>
        </w:rPr>
      </w:pPr>
      <w:r>
        <w:rPr>
          <w:rFonts w:hint="eastAsia" w:hAnsi="宋体"/>
          <w:color w:val="auto"/>
          <w:highlight w:val="none"/>
        </w:rPr>
        <w:t>13.5 本合同正本一式两份，具有同等法律效力，甲乙双方各执一份；副本肆份。</w:t>
      </w:r>
    </w:p>
    <w:p>
      <w:pPr>
        <w:pStyle w:val="22"/>
        <w:spacing w:line="360" w:lineRule="auto"/>
        <w:rPr>
          <w:rFonts w:hAnsi="宋体"/>
          <w:color w:val="auto"/>
          <w:highlight w:val="none"/>
          <w:u w:val="single"/>
        </w:rPr>
      </w:pPr>
      <w:r>
        <w:rPr>
          <w:rFonts w:hint="eastAsia" w:hAnsi="宋体"/>
          <w:color w:val="auto"/>
          <w:highlight w:val="none"/>
        </w:rPr>
        <w:t>甲方：</w:t>
      </w:r>
      <w:r>
        <w:rPr>
          <w:rFonts w:hint="eastAsia" w:hAnsi="宋体"/>
          <w:color w:val="auto"/>
          <w:highlight w:val="none"/>
          <w:u w:val="single"/>
        </w:rPr>
        <w:t xml:space="preserve">                                    </w:t>
      </w:r>
      <w:r>
        <w:rPr>
          <w:rFonts w:hint="eastAsia" w:hAnsi="宋体"/>
          <w:color w:val="auto"/>
          <w:highlight w:val="none"/>
        </w:rPr>
        <w:t xml:space="preserve">    乙方：</w:t>
      </w:r>
      <w:r>
        <w:rPr>
          <w:rFonts w:hint="eastAsia" w:hAnsi="宋体"/>
          <w:color w:val="auto"/>
          <w:highlight w:val="none"/>
          <w:u w:val="single"/>
        </w:rPr>
        <w:t xml:space="preserve">                                    </w:t>
      </w:r>
    </w:p>
    <w:p>
      <w:pPr>
        <w:pStyle w:val="22"/>
        <w:spacing w:line="360" w:lineRule="auto"/>
        <w:rPr>
          <w:rFonts w:hAnsi="宋体"/>
          <w:color w:val="auto"/>
          <w:highlight w:val="none"/>
        </w:rPr>
      </w:pPr>
      <w:r>
        <w:rPr>
          <w:rFonts w:hint="eastAsia" w:hAnsi="宋体"/>
          <w:color w:val="auto"/>
          <w:highlight w:val="none"/>
        </w:rPr>
        <w:t>地址：</w:t>
      </w:r>
      <w:r>
        <w:rPr>
          <w:rFonts w:hint="eastAsia" w:hAnsi="宋体"/>
          <w:color w:val="auto"/>
          <w:highlight w:val="none"/>
          <w:u w:val="single"/>
        </w:rPr>
        <w:t xml:space="preserve">                                    </w:t>
      </w:r>
      <w:r>
        <w:rPr>
          <w:rFonts w:hint="eastAsia" w:hAnsi="宋体"/>
          <w:color w:val="auto"/>
          <w:highlight w:val="none"/>
        </w:rPr>
        <w:t xml:space="preserve">    地址：</w:t>
      </w:r>
      <w:r>
        <w:rPr>
          <w:rFonts w:hint="eastAsia" w:hAnsi="宋体"/>
          <w:color w:val="auto"/>
          <w:highlight w:val="none"/>
          <w:u w:val="single"/>
        </w:rPr>
        <w:t xml:space="preserve">                                    </w:t>
      </w:r>
      <w:r>
        <w:rPr>
          <w:rFonts w:hint="eastAsia" w:hAnsi="宋体"/>
          <w:color w:val="auto"/>
          <w:highlight w:val="none"/>
        </w:rPr>
        <w:t xml:space="preserve">     </w:t>
      </w:r>
    </w:p>
    <w:p>
      <w:pPr>
        <w:pStyle w:val="22"/>
        <w:spacing w:line="360" w:lineRule="auto"/>
        <w:rPr>
          <w:rFonts w:hAnsi="宋体"/>
          <w:color w:val="auto"/>
          <w:highlight w:val="none"/>
        </w:rPr>
      </w:pPr>
      <w:r>
        <w:rPr>
          <w:rFonts w:hint="eastAsia" w:hAnsi="宋体"/>
          <w:color w:val="auto"/>
          <w:highlight w:val="none"/>
        </w:rPr>
        <w:t>法定代表人：</w:t>
      </w:r>
      <w:r>
        <w:rPr>
          <w:rFonts w:hint="eastAsia" w:hAnsi="宋体"/>
          <w:color w:val="auto"/>
          <w:highlight w:val="none"/>
          <w:u w:val="single"/>
        </w:rPr>
        <w:t xml:space="preserve">                              </w:t>
      </w:r>
      <w:r>
        <w:rPr>
          <w:rFonts w:hint="eastAsia" w:hAnsi="宋体"/>
          <w:color w:val="auto"/>
          <w:highlight w:val="none"/>
        </w:rPr>
        <w:t xml:space="preserve">    法定代表人：</w:t>
      </w:r>
      <w:r>
        <w:rPr>
          <w:rFonts w:hint="eastAsia" w:hAnsi="宋体"/>
          <w:color w:val="auto"/>
          <w:highlight w:val="none"/>
          <w:u w:val="single"/>
        </w:rPr>
        <w:t xml:space="preserve">                              </w:t>
      </w:r>
    </w:p>
    <w:p>
      <w:pPr>
        <w:pStyle w:val="22"/>
        <w:spacing w:line="360" w:lineRule="auto"/>
        <w:rPr>
          <w:rFonts w:hAnsi="宋体"/>
          <w:color w:val="auto"/>
          <w:highlight w:val="none"/>
        </w:rPr>
      </w:pPr>
      <w:r>
        <w:rPr>
          <w:rFonts w:hint="eastAsia" w:hAnsi="宋体"/>
          <w:color w:val="auto"/>
          <w:highlight w:val="none"/>
        </w:rPr>
        <w:t>委托代理人：</w:t>
      </w:r>
      <w:r>
        <w:rPr>
          <w:rFonts w:hint="eastAsia" w:hAnsi="宋体"/>
          <w:color w:val="auto"/>
          <w:highlight w:val="none"/>
          <w:u w:val="single"/>
        </w:rPr>
        <w:t xml:space="preserve">                              </w:t>
      </w:r>
      <w:r>
        <w:rPr>
          <w:rFonts w:hint="eastAsia" w:hAnsi="宋体"/>
          <w:color w:val="auto"/>
          <w:highlight w:val="none"/>
        </w:rPr>
        <w:t xml:space="preserve">    委托代理人：</w:t>
      </w:r>
      <w:r>
        <w:rPr>
          <w:rFonts w:hint="eastAsia" w:hAnsi="宋体"/>
          <w:color w:val="auto"/>
          <w:highlight w:val="none"/>
          <w:u w:val="single"/>
        </w:rPr>
        <w:t xml:space="preserve">                              </w:t>
      </w:r>
    </w:p>
    <w:p>
      <w:pPr>
        <w:pStyle w:val="22"/>
        <w:spacing w:line="360" w:lineRule="auto"/>
        <w:rPr>
          <w:rFonts w:hAnsi="宋体"/>
          <w:color w:val="auto"/>
          <w:highlight w:val="none"/>
        </w:rPr>
      </w:pPr>
      <w:r>
        <w:rPr>
          <w:rFonts w:hint="eastAsia" w:hAnsi="宋体"/>
          <w:color w:val="auto"/>
          <w:highlight w:val="none"/>
        </w:rPr>
        <w:t>电话：</w:t>
      </w:r>
      <w:r>
        <w:rPr>
          <w:rFonts w:hint="eastAsia" w:hAnsi="宋体"/>
          <w:color w:val="auto"/>
          <w:highlight w:val="none"/>
          <w:u w:val="single"/>
        </w:rPr>
        <w:t xml:space="preserve">                                    </w:t>
      </w:r>
      <w:r>
        <w:rPr>
          <w:rFonts w:hint="eastAsia" w:hAnsi="宋体"/>
          <w:color w:val="auto"/>
          <w:highlight w:val="none"/>
        </w:rPr>
        <w:t xml:space="preserve">    电话：</w:t>
      </w:r>
      <w:r>
        <w:rPr>
          <w:rFonts w:hint="eastAsia" w:hAnsi="宋体"/>
          <w:color w:val="auto"/>
          <w:highlight w:val="none"/>
          <w:u w:val="single"/>
        </w:rPr>
        <w:t xml:space="preserve">                                    </w:t>
      </w:r>
      <w:r>
        <w:rPr>
          <w:rFonts w:hint="eastAsia" w:hAnsi="宋体"/>
          <w:color w:val="auto"/>
          <w:highlight w:val="none"/>
        </w:rPr>
        <w:t xml:space="preserve">       </w:t>
      </w:r>
    </w:p>
    <w:p>
      <w:pPr>
        <w:pStyle w:val="22"/>
        <w:spacing w:line="360" w:lineRule="auto"/>
        <w:rPr>
          <w:rFonts w:hAnsi="宋体"/>
          <w:color w:val="auto"/>
          <w:highlight w:val="none"/>
        </w:rPr>
      </w:pPr>
      <w:r>
        <w:rPr>
          <w:rFonts w:hint="eastAsia" w:hAnsi="宋体"/>
          <w:color w:val="auto"/>
          <w:highlight w:val="none"/>
        </w:rPr>
        <w:t>传真：</w:t>
      </w:r>
      <w:r>
        <w:rPr>
          <w:rFonts w:hint="eastAsia" w:hAnsi="宋体"/>
          <w:color w:val="auto"/>
          <w:highlight w:val="none"/>
          <w:u w:val="single"/>
        </w:rPr>
        <w:t xml:space="preserve">                                    </w:t>
      </w:r>
      <w:r>
        <w:rPr>
          <w:rFonts w:hint="eastAsia" w:hAnsi="宋体"/>
          <w:color w:val="auto"/>
          <w:highlight w:val="none"/>
        </w:rPr>
        <w:t xml:space="preserve">    传真：</w:t>
      </w:r>
      <w:r>
        <w:rPr>
          <w:rFonts w:hint="eastAsia" w:hAnsi="宋体"/>
          <w:color w:val="auto"/>
          <w:highlight w:val="none"/>
          <w:u w:val="single"/>
        </w:rPr>
        <w:t xml:space="preserve">                                    </w:t>
      </w:r>
      <w:r>
        <w:rPr>
          <w:rFonts w:hint="eastAsia" w:hAnsi="宋体"/>
          <w:color w:val="auto"/>
          <w:highlight w:val="none"/>
        </w:rPr>
        <w:t xml:space="preserve">    </w:t>
      </w:r>
    </w:p>
    <w:p>
      <w:pPr>
        <w:pStyle w:val="22"/>
        <w:spacing w:line="360" w:lineRule="auto"/>
        <w:rPr>
          <w:rFonts w:hAnsi="宋体"/>
          <w:color w:val="auto"/>
          <w:highlight w:val="none"/>
          <w:u w:val="single"/>
        </w:rPr>
      </w:pPr>
      <w:r>
        <w:rPr>
          <w:rFonts w:hint="eastAsia" w:hAnsi="宋体"/>
          <w:color w:val="auto"/>
          <w:highlight w:val="none"/>
        </w:rPr>
        <w:t>邮政编码：</w:t>
      </w:r>
      <w:r>
        <w:rPr>
          <w:rFonts w:hint="eastAsia" w:hAnsi="宋体"/>
          <w:color w:val="auto"/>
          <w:highlight w:val="none"/>
          <w:u w:val="single"/>
        </w:rPr>
        <w:t xml:space="preserve">                                </w:t>
      </w:r>
      <w:r>
        <w:rPr>
          <w:rFonts w:hint="eastAsia" w:hAnsi="宋体"/>
          <w:color w:val="auto"/>
          <w:highlight w:val="none"/>
        </w:rPr>
        <w:t xml:space="preserve">    邮政编码：</w:t>
      </w:r>
      <w:r>
        <w:rPr>
          <w:rFonts w:hint="eastAsia" w:hAnsi="宋体"/>
          <w:color w:val="auto"/>
          <w:highlight w:val="none"/>
          <w:u w:val="single"/>
        </w:rPr>
        <w:t xml:space="preserve">                                </w:t>
      </w:r>
    </w:p>
    <w:p>
      <w:pPr>
        <w:pStyle w:val="22"/>
        <w:spacing w:line="360" w:lineRule="auto"/>
        <w:rPr>
          <w:rFonts w:hAnsi="宋体"/>
          <w:color w:val="auto"/>
          <w:highlight w:val="none"/>
        </w:rPr>
      </w:pPr>
      <w:r>
        <w:rPr>
          <w:rFonts w:hint="eastAsia" w:hAnsi="宋体"/>
          <w:color w:val="auto"/>
          <w:highlight w:val="none"/>
          <w:u w:val="single"/>
        </w:rPr>
        <w:t xml:space="preserve">                                              </w:t>
      </w:r>
      <w:r>
        <w:rPr>
          <w:rFonts w:hint="eastAsia" w:hAnsi="宋体"/>
          <w:color w:val="auto"/>
          <w:highlight w:val="none"/>
        </w:rPr>
        <w:t>统一社会代码：</w:t>
      </w:r>
      <w:r>
        <w:rPr>
          <w:rFonts w:hint="eastAsia" w:hAnsi="宋体"/>
          <w:color w:val="auto"/>
          <w:highlight w:val="none"/>
          <w:u w:val="single"/>
        </w:rPr>
        <w:t xml:space="preserve">                            </w:t>
      </w:r>
    </w:p>
    <w:p>
      <w:pPr>
        <w:pStyle w:val="22"/>
        <w:spacing w:line="360" w:lineRule="auto"/>
        <w:rPr>
          <w:rFonts w:hAnsi="宋体"/>
          <w:color w:val="auto"/>
          <w:highlight w:val="none"/>
          <w:u w:val="single"/>
        </w:rPr>
      </w:pPr>
      <w:r>
        <w:rPr>
          <w:rFonts w:hint="eastAsia" w:hAnsi="宋体"/>
          <w:color w:val="auto"/>
          <w:highlight w:val="none"/>
        </w:rPr>
        <w:t xml:space="preserve">                                              开户银行：</w:t>
      </w:r>
      <w:r>
        <w:rPr>
          <w:rFonts w:hint="eastAsia" w:hAnsi="宋体"/>
          <w:color w:val="auto"/>
          <w:highlight w:val="none"/>
          <w:u w:val="single"/>
        </w:rPr>
        <w:t xml:space="preserve">                                </w:t>
      </w:r>
    </w:p>
    <w:p>
      <w:pPr>
        <w:pStyle w:val="22"/>
        <w:spacing w:line="360" w:lineRule="auto"/>
        <w:rPr>
          <w:rFonts w:hAnsi="宋体"/>
          <w:color w:val="auto"/>
          <w:highlight w:val="none"/>
          <w:u w:val="single"/>
        </w:rPr>
      </w:pPr>
      <w:r>
        <w:rPr>
          <w:rFonts w:hint="eastAsia" w:hAnsi="宋体"/>
          <w:color w:val="auto"/>
          <w:highlight w:val="none"/>
        </w:rPr>
        <w:t xml:space="preserve">                                              开户名称：</w:t>
      </w:r>
      <w:r>
        <w:rPr>
          <w:rFonts w:hint="eastAsia" w:hAnsi="宋体"/>
          <w:color w:val="auto"/>
          <w:highlight w:val="none"/>
          <w:u w:val="single"/>
        </w:rPr>
        <w:t xml:space="preserve">                                </w:t>
      </w:r>
    </w:p>
    <w:p>
      <w:pPr>
        <w:pStyle w:val="22"/>
        <w:spacing w:line="360" w:lineRule="auto"/>
        <w:rPr>
          <w:rFonts w:hAnsi="宋体"/>
          <w:color w:val="auto"/>
          <w:highlight w:val="none"/>
        </w:rPr>
      </w:pPr>
      <w:r>
        <w:rPr>
          <w:rFonts w:hint="eastAsia" w:hAnsi="宋体"/>
          <w:color w:val="auto"/>
          <w:highlight w:val="none"/>
        </w:rPr>
        <w:t xml:space="preserve">                                              银行账号：</w:t>
      </w:r>
      <w:r>
        <w:rPr>
          <w:rFonts w:hint="eastAsia" w:hAnsi="宋体"/>
          <w:color w:val="auto"/>
          <w:highlight w:val="none"/>
          <w:u w:val="single"/>
        </w:rPr>
        <w:t xml:space="preserve">                              </w:t>
      </w:r>
    </w:p>
    <w:p>
      <w:pPr>
        <w:pStyle w:val="22"/>
        <w:spacing w:line="360" w:lineRule="auto"/>
        <w:jc w:val="right"/>
        <w:rPr>
          <w:rFonts w:hAnsi="宋体"/>
          <w:color w:val="auto"/>
          <w:highlight w:val="none"/>
        </w:rPr>
      </w:pPr>
      <w:r>
        <w:rPr>
          <w:rFonts w:hint="eastAsia" w:hAnsi="宋体"/>
          <w:color w:val="auto"/>
          <w:highlight w:val="none"/>
        </w:rPr>
        <w:t xml:space="preserve">合同签订地点：广西南宁市 </w:t>
      </w:r>
    </w:p>
    <w:p>
      <w:pPr>
        <w:pStyle w:val="22"/>
        <w:spacing w:line="360" w:lineRule="auto"/>
        <w:jc w:val="right"/>
        <w:rPr>
          <w:rFonts w:hAnsi="宋体"/>
          <w:color w:val="auto"/>
          <w:highlight w:val="none"/>
        </w:rPr>
      </w:pPr>
      <w:r>
        <w:rPr>
          <w:rFonts w:hint="eastAsia" w:hAnsi="宋体"/>
          <w:color w:val="auto"/>
          <w:highlight w:val="none"/>
        </w:rPr>
        <w:t>合同签订日期：</w:t>
      </w:r>
      <w:r>
        <w:rPr>
          <w:rFonts w:hint="eastAsia" w:hAnsi="宋体"/>
          <w:color w:val="auto"/>
          <w:highlight w:val="none"/>
          <w:u w:val="single"/>
        </w:rPr>
        <w:t xml:space="preserve">    </w:t>
      </w:r>
      <w:r>
        <w:rPr>
          <w:rFonts w:hint="eastAsia" w:hAnsi="宋体"/>
          <w:color w:val="auto"/>
          <w:highlight w:val="none"/>
        </w:rPr>
        <w:t>年</w:t>
      </w:r>
      <w:r>
        <w:rPr>
          <w:rFonts w:hint="eastAsia" w:hAnsi="宋体"/>
          <w:color w:val="auto"/>
          <w:highlight w:val="none"/>
          <w:u w:val="single"/>
        </w:rPr>
        <w:t xml:space="preserve">    </w:t>
      </w:r>
      <w:r>
        <w:rPr>
          <w:rFonts w:hint="eastAsia" w:hAnsi="宋体"/>
          <w:color w:val="auto"/>
          <w:highlight w:val="none"/>
        </w:rPr>
        <w:t>月</w:t>
      </w:r>
      <w:r>
        <w:rPr>
          <w:rFonts w:hint="eastAsia" w:hAnsi="宋体"/>
          <w:color w:val="auto"/>
          <w:highlight w:val="none"/>
          <w:u w:val="single"/>
        </w:rPr>
        <w:t xml:space="preserve">    </w:t>
      </w:r>
      <w:r>
        <w:rPr>
          <w:rFonts w:hint="eastAsia" w:hAnsi="宋体"/>
          <w:color w:val="auto"/>
          <w:highlight w:val="none"/>
        </w:rPr>
        <w:t>日</w:t>
      </w:r>
    </w:p>
    <w:p>
      <w:pPr>
        <w:pStyle w:val="22"/>
        <w:tabs>
          <w:tab w:val="left" w:pos="2472"/>
        </w:tabs>
        <w:snapToGrid w:val="0"/>
        <w:jc w:val="center"/>
        <w:rPr>
          <w:rFonts w:hAnsi="宋体"/>
          <w:color w:val="auto"/>
          <w:highlight w:val="none"/>
        </w:rPr>
      </w:pPr>
    </w:p>
    <w:p>
      <w:pPr>
        <w:pStyle w:val="22"/>
        <w:spacing w:line="360" w:lineRule="auto"/>
        <w:jc w:val="center"/>
        <w:rPr>
          <w:rFonts w:hAnsi="宋体" w:cs="宋体"/>
          <w:b/>
          <w:bCs/>
          <w:color w:val="auto"/>
          <w:sz w:val="36"/>
          <w:szCs w:val="36"/>
          <w:highlight w:val="none"/>
        </w:rPr>
      </w:pPr>
      <w:r>
        <w:rPr>
          <w:rFonts w:hint="eastAsia" w:hAnsi="宋体" w:cs="宋体"/>
          <w:color w:val="auto"/>
          <w:sz w:val="36"/>
          <w:szCs w:val="36"/>
          <w:highlight w:val="none"/>
        </w:rPr>
        <w:t>政府采购项目合同验收报告（格式）</w:t>
      </w:r>
    </w:p>
    <w:p>
      <w:pPr>
        <w:widowControl/>
        <w:snapToGrid w:val="0"/>
        <w:spacing w:before="100" w:beforeAutospacing="1" w:after="100" w:afterAutospacing="1" w:line="440" w:lineRule="exact"/>
        <w:ind w:firstLine="659"/>
        <w:jc w:val="left"/>
        <w:rPr>
          <w:rFonts w:ascii="宋体" w:hAnsi="宋体"/>
          <w:color w:val="auto"/>
          <w:kern w:val="0"/>
          <w:szCs w:val="21"/>
          <w:highlight w:val="none"/>
        </w:rPr>
      </w:pPr>
      <w:r>
        <w:rPr>
          <w:rFonts w:hint="eastAsia" w:ascii="宋体" w:hAnsi="宋体"/>
          <w:color w:val="auto"/>
          <w:kern w:val="0"/>
          <w:szCs w:val="21"/>
          <w:highlight w:val="none"/>
        </w:rPr>
        <w:t>根据政府采购合同</w:t>
      </w:r>
      <w:r>
        <w:rPr>
          <w:rFonts w:hint="eastAsia" w:ascii="宋体" w:hAnsi="宋体"/>
          <w:color w:val="auto"/>
          <w:kern w:val="0"/>
          <w:szCs w:val="21"/>
          <w:highlight w:val="none"/>
          <w:u w:val="single"/>
        </w:rPr>
        <w:t xml:space="preserve">（采购合同编号：    ）的约定，我单位对（项目名称）       政府采购项目中标（或成交）供应商（公司名称）       </w:t>
      </w:r>
      <w:r>
        <w:rPr>
          <w:rFonts w:hint="eastAsia" w:ascii="宋体" w:hAnsi="宋体"/>
          <w:color w:val="auto"/>
          <w:kern w:val="0"/>
          <w:szCs w:val="21"/>
          <w:highlight w:val="none"/>
        </w:rPr>
        <w:t>提供的或服务进行了验收，验收情况如下：</w:t>
      </w:r>
    </w:p>
    <w:tbl>
      <w:tblPr>
        <w:tblStyle w:val="37"/>
        <w:tblW w:w="9700"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1519"/>
        <w:gridCol w:w="1963"/>
        <w:gridCol w:w="1579"/>
        <w:gridCol w:w="1862"/>
        <w:gridCol w:w="660"/>
        <w:gridCol w:w="338"/>
        <w:gridCol w:w="1779"/>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97" w:hRule="atLeast"/>
          <w:jc w:val="center"/>
        </w:trPr>
        <w:tc>
          <w:tcPr>
            <w:tcW w:w="3482" w:type="dxa"/>
            <w:gridSpan w:val="2"/>
            <w:vAlign w:val="center"/>
          </w:tcPr>
          <w:p>
            <w:pPr>
              <w:widowControl/>
              <w:snapToGrid w:val="0"/>
              <w:ind w:left="-3"/>
              <w:jc w:val="center"/>
              <w:rPr>
                <w:rFonts w:ascii="宋体" w:hAnsi="宋体"/>
                <w:color w:val="auto"/>
                <w:kern w:val="0"/>
                <w:szCs w:val="21"/>
                <w:highlight w:val="none"/>
              </w:rPr>
            </w:pPr>
            <w:r>
              <w:rPr>
                <w:rFonts w:hint="eastAsia" w:ascii="宋体" w:hAnsi="宋体"/>
                <w:color w:val="auto"/>
                <w:kern w:val="0"/>
                <w:szCs w:val="21"/>
                <w:highlight w:val="none"/>
              </w:rPr>
              <w:t>验收方式：</w:t>
            </w:r>
          </w:p>
        </w:tc>
        <w:tc>
          <w:tcPr>
            <w:tcW w:w="6218" w:type="dxa"/>
            <w:gridSpan w:val="5"/>
            <w:vAlign w:val="center"/>
          </w:tcPr>
          <w:p>
            <w:pPr>
              <w:widowControl/>
              <w:snapToGrid w:val="0"/>
              <w:ind w:left="-3"/>
              <w:jc w:val="center"/>
              <w:rPr>
                <w:rFonts w:ascii="宋体" w:hAnsi="宋体"/>
                <w:color w:val="auto"/>
                <w:kern w:val="0"/>
                <w:szCs w:val="21"/>
                <w:highlight w:val="none"/>
              </w:rPr>
            </w:pPr>
            <w:r>
              <w:rPr>
                <w:rFonts w:hint="eastAsia" w:ascii="宋体" w:hAnsi="宋体"/>
                <w:color w:val="auto"/>
                <w:kern w:val="0"/>
                <w:szCs w:val="21"/>
                <w:highlight w:val="none"/>
              </w:rPr>
              <w:t>□自行验收         □联合验收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92" w:hRule="atLeast"/>
          <w:jc w:val="center"/>
        </w:trPr>
        <w:tc>
          <w:tcPr>
            <w:tcW w:w="1519" w:type="dxa"/>
            <w:vAlign w:val="center"/>
          </w:tcPr>
          <w:p>
            <w:pPr>
              <w:widowControl/>
              <w:snapToGrid w:val="0"/>
              <w:jc w:val="center"/>
              <w:rPr>
                <w:rFonts w:ascii="宋体" w:hAnsi="宋体"/>
                <w:color w:val="auto"/>
                <w:kern w:val="0"/>
                <w:szCs w:val="21"/>
                <w:highlight w:val="none"/>
              </w:rPr>
            </w:pPr>
            <w:r>
              <w:rPr>
                <w:rFonts w:hint="eastAsia" w:ascii="宋体" w:hAnsi="宋体"/>
                <w:color w:val="auto"/>
                <w:kern w:val="0"/>
                <w:szCs w:val="21"/>
                <w:highlight w:val="none"/>
              </w:rPr>
              <w:t>序号</w:t>
            </w:r>
          </w:p>
        </w:tc>
        <w:tc>
          <w:tcPr>
            <w:tcW w:w="1963" w:type="dxa"/>
            <w:vAlign w:val="center"/>
          </w:tcPr>
          <w:p>
            <w:pPr>
              <w:widowControl/>
              <w:snapToGrid w:val="0"/>
              <w:ind w:left="-3"/>
              <w:jc w:val="center"/>
              <w:rPr>
                <w:rFonts w:ascii="宋体" w:hAnsi="宋体"/>
                <w:color w:val="auto"/>
                <w:kern w:val="0"/>
                <w:szCs w:val="21"/>
                <w:highlight w:val="none"/>
              </w:rPr>
            </w:pPr>
            <w:r>
              <w:rPr>
                <w:rFonts w:hint="eastAsia" w:ascii="宋体" w:hAnsi="宋体"/>
                <w:color w:val="auto"/>
                <w:kern w:val="0"/>
                <w:szCs w:val="21"/>
                <w:highlight w:val="none"/>
              </w:rPr>
              <w:t>名  称</w:t>
            </w:r>
          </w:p>
        </w:tc>
        <w:tc>
          <w:tcPr>
            <w:tcW w:w="3441" w:type="dxa"/>
            <w:gridSpan w:val="2"/>
            <w:vAlign w:val="center"/>
          </w:tcPr>
          <w:p>
            <w:pPr>
              <w:widowControl/>
              <w:snapToGrid w:val="0"/>
              <w:jc w:val="center"/>
              <w:rPr>
                <w:rFonts w:ascii="宋体" w:hAnsi="宋体"/>
                <w:color w:val="auto"/>
                <w:kern w:val="0"/>
                <w:szCs w:val="21"/>
                <w:highlight w:val="none"/>
              </w:rPr>
            </w:pPr>
            <w:r>
              <w:rPr>
                <w:rFonts w:hint="eastAsia" w:ascii="宋体" w:hAnsi="宋体"/>
                <w:color w:val="auto"/>
                <w:kern w:val="0"/>
                <w:szCs w:val="21"/>
                <w:highlight w:val="none"/>
              </w:rPr>
              <w:t>服务内容、标准</w:t>
            </w:r>
          </w:p>
        </w:tc>
        <w:tc>
          <w:tcPr>
            <w:tcW w:w="998" w:type="dxa"/>
            <w:gridSpan w:val="2"/>
            <w:vAlign w:val="center"/>
          </w:tcPr>
          <w:p>
            <w:pPr>
              <w:widowControl/>
              <w:snapToGrid w:val="0"/>
              <w:jc w:val="center"/>
              <w:rPr>
                <w:rFonts w:ascii="宋体" w:hAnsi="宋体"/>
                <w:color w:val="auto"/>
                <w:kern w:val="0"/>
                <w:szCs w:val="21"/>
                <w:highlight w:val="none"/>
              </w:rPr>
            </w:pPr>
            <w:r>
              <w:rPr>
                <w:rFonts w:hint="eastAsia" w:ascii="宋体" w:hAnsi="宋体"/>
                <w:color w:val="auto"/>
                <w:kern w:val="0"/>
                <w:szCs w:val="21"/>
                <w:highlight w:val="none"/>
              </w:rPr>
              <w:t>数量</w:t>
            </w:r>
          </w:p>
        </w:tc>
        <w:tc>
          <w:tcPr>
            <w:tcW w:w="1779" w:type="dxa"/>
            <w:vAlign w:val="center"/>
          </w:tcPr>
          <w:p>
            <w:pPr>
              <w:widowControl/>
              <w:snapToGrid w:val="0"/>
              <w:ind w:left="-3"/>
              <w:jc w:val="center"/>
              <w:rPr>
                <w:rFonts w:ascii="宋体" w:hAnsi="宋体"/>
                <w:color w:val="auto"/>
                <w:kern w:val="0"/>
                <w:szCs w:val="21"/>
                <w:highlight w:val="none"/>
              </w:rPr>
            </w:pPr>
            <w:r>
              <w:rPr>
                <w:rFonts w:hint="eastAsia" w:ascii="宋体" w:hAnsi="宋体"/>
                <w:color w:val="auto"/>
                <w:kern w:val="0"/>
                <w:szCs w:val="21"/>
                <w:highlight w:val="none"/>
              </w:rPr>
              <w:t>与合同约定</w:t>
            </w:r>
          </w:p>
          <w:p>
            <w:pPr>
              <w:widowControl/>
              <w:snapToGrid w:val="0"/>
              <w:ind w:left="-3"/>
              <w:jc w:val="center"/>
              <w:rPr>
                <w:rFonts w:ascii="宋体" w:hAnsi="宋体"/>
                <w:color w:val="auto"/>
                <w:kern w:val="0"/>
                <w:szCs w:val="21"/>
                <w:highlight w:val="none"/>
              </w:rPr>
            </w:pPr>
            <w:r>
              <w:rPr>
                <w:rFonts w:hint="eastAsia" w:ascii="宋体" w:hAnsi="宋体"/>
                <w:color w:val="auto"/>
                <w:kern w:val="0"/>
                <w:szCs w:val="21"/>
                <w:highlight w:val="none"/>
              </w:rPr>
              <w:t>是否一致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19" w:type="dxa"/>
            <w:vAlign w:val="center"/>
          </w:tcPr>
          <w:p>
            <w:pPr>
              <w:widowControl/>
              <w:snapToGrid w:val="0"/>
              <w:ind w:left="-3" w:firstLine="576"/>
              <w:jc w:val="left"/>
              <w:rPr>
                <w:rFonts w:ascii="宋体" w:hAnsi="宋体"/>
                <w:color w:val="auto"/>
                <w:kern w:val="0"/>
                <w:szCs w:val="21"/>
                <w:highlight w:val="none"/>
              </w:rPr>
            </w:pPr>
            <w:r>
              <w:rPr>
                <w:rFonts w:hint="eastAsia" w:ascii="宋体" w:hAnsi="宋体"/>
                <w:color w:val="auto"/>
                <w:kern w:val="0"/>
                <w:szCs w:val="21"/>
                <w:highlight w:val="none"/>
              </w:rPr>
              <w:t> </w:t>
            </w:r>
          </w:p>
        </w:tc>
        <w:tc>
          <w:tcPr>
            <w:tcW w:w="1963" w:type="dxa"/>
            <w:vAlign w:val="center"/>
          </w:tcPr>
          <w:p>
            <w:pPr>
              <w:widowControl/>
              <w:snapToGrid w:val="0"/>
              <w:ind w:left="-3" w:firstLine="576"/>
              <w:jc w:val="left"/>
              <w:rPr>
                <w:rFonts w:ascii="宋体" w:hAnsi="宋体"/>
                <w:color w:val="auto"/>
                <w:kern w:val="0"/>
                <w:szCs w:val="21"/>
                <w:highlight w:val="none"/>
              </w:rPr>
            </w:pPr>
            <w:r>
              <w:rPr>
                <w:rFonts w:hint="eastAsia" w:ascii="宋体" w:hAnsi="宋体"/>
                <w:color w:val="auto"/>
                <w:kern w:val="0"/>
                <w:szCs w:val="21"/>
                <w:highlight w:val="none"/>
              </w:rPr>
              <w:t> </w:t>
            </w:r>
          </w:p>
        </w:tc>
        <w:tc>
          <w:tcPr>
            <w:tcW w:w="3441" w:type="dxa"/>
            <w:gridSpan w:val="2"/>
            <w:vAlign w:val="center"/>
          </w:tcPr>
          <w:p>
            <w:pPr>
              <w:widowControl/>
              <w:snapToGrid w:val="0"/>
              <w:ind w:left="-3" w:firstLine="576"/>
              <w:jc w:val="left"/>
              <w:rPr>
                <w:rFonts w:ascii="宋体" w:hAnsi="宋体"/>
                <w:color w:val="auto"/>
                <w:kern w:val="0"/>
                <w:szCs w:val="21"/>
                <w:highlight w:val="none"/>
              </w:rPr>
            </w:pPr>
            <w:r>
              <w:rPr>
                <w:rFonts w:hint="eastAsia" w:ascii="宋体" w:hAnsi="宋体"/>
                <w:color w:val="auto"/>
                <w:kern w:val="0"/>
                <w:szCs w:val="21"/>
                <w:highlight w:val="none"/>
              </w:rPr>
              <w:t> </w:t>
            </w:r>
          </w:p>
        </w:tc>
        <w:tc>
          <w:tcPr>
            <w:tcW w:w="998" w:type="dxa"/>
            <w:gridSpan w:val="2"/>
            <w:vAlign w:val="center"/>
          </w:tcPr>
          <w:p>
            <w:pPr>
              <w:widowControl/>
              <w:snapToGrid w:val="0"/>
              <w:jc w:val="left"/>
              <w:rPr>
                <w:rFonts w:ascii="宋体" w:hAnsi="宋体"/>
                <w:color w:val="auto"/>
                <w:kern w:val="0"/>
                <w:szCs w:val="21"/>
                <w:highlight w:val="none"/>
              </w:rPr>
            </w:pPr>
            <w:r>
              <w:rPr>
                <w:rFonts w:hint="eastAsia" w:ascii="宋体" w:hAnsi="宋体"/>
                <w:color w:val="auto"/>
                <w:kern w:val="0"/>
                <w:szCs w:val="21"/>
                <w:highlight w:val="none"/>
              </w:rPr>
              <w:t> </w:t>
            </w:r>
          </w:p>
        </w:tc>
        <w:tc>
          <w:tcPr>
            <w:tcW w:w="1779" w:type="dxa"/>
            <w:vAlign w:val="center"/>
          </w:tcPr>
          <w:p>
            <w:pPr>
              <w:widowControl/>
              <w:snapToGrid w:val="0"/>
              <w:jc w:val="left"/>
              <w:rPr>
                <w:rFonts w:ascii="宋体" w:hAnsi="宋体"/>
                <w:color w:val="auto"/>
                <w:kern w:val="0"/>
                <w:szCs w:val="21"/>
                <w:highlight w:val="none"/>
              </w:rPr>
            </w:pPr>
            <w:r>
              <w:rPr>
                <w:rFonts w:hint="eastAsia" w:ascii="宋体" w:hAnsi="宋体"/>
                <w:color w:val="auto"/>
                <w:kern w:val="0"/>
                <w:szCs w:val="21"/>
                <w:highlight w:val="none"/>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19" w:type="dxa"/>
            <w:vAlign w:val="center"/>
          </w:tcPr>
          <w:p>
            <w:pPr>
              <w:widowControl/>
              <w:snapToGrid w:val="0"/>
              <w:ind w:left="-3" w:firstLine="576"/>
              <w:jc w:val="left"/>
              <w:rPr>
                <w:rFonts w:ascii="宋体" w:hAnsi="宋体"/>
                <w:color w:val="auto"/>
                <w:kern w:val="0"/>
                <w:szCs w:val="21"/>
                <w:highlight w:val="none"/>
              </w:rPr>
            </w:pPr>
            <w:r>
              <w:rPr>
                <w:rFonts w:hint="eastAsia" w:ascii="宋体" w:hAnsi="宋体"/>
                <w:color w:val="auto"/>
                <w:kern w:val="0"/>
                <w:szCs w:val="21"/>
                <w:highlight w:val="none"/>
              </w:rPr>
              <w:t> </w:t>
            </w:r>
          </w:p>
        </w:tc>
        <w:tc>
          <w:tcPr>
            <w:tcW w:w="1963" w:type="dxa"/>
            <w:vAlign w:val="center"/>
          </w:tcPr>
          <w:p>
            <w:pPr>
              <w:widowControl/>
              <w:snapToGrid w:val="0"/>
              <w:ind w:left="-3" w:firstLine="576"/>
              <w:jc w:val="left"/>
              <w:rPr>
                <w:rFonts w:ascii="宋体" w:hAnsi="宋体"/>
                <w:color w:val="auto"/>
                <w:kern w:val="0"/>
                <w:szCs w:val="21"/>
                <w:highlight w:val="none"/>
              </w:rPr>
            </w:pPr>
            <w:r>
              <w:rPr>
                <w:rFonts w:hint="eastAsia" w:ascii="宋体" w:hAnsi="宋体"/>
                <w:color w:val="auto"/>
                <w:kern w:val="0"/>
                <w:szCs w:val="21"/>
                <w:highlight w:val="none"/>
              </w:rPr>
              <w:t> </w:t>
            </w:r>
          </w:p>
        </w:tc>
        <w:tc>
          <w:tcPr>
            <w:tcW w:w="3441" w:type="dxa"/>
            <w:gridSpan w:val="2"/>
            <w:vAlign w:val="center"/>
          </w:tcPr>
          <w:p>
            <w:pPr>
              <w:widowControl/>
              <w:snapToGrid w:val="0"/>
              <w:ind w:left="-3" w:firstLine="576"/>
              <w:jc w:val="left"/>
              <w:rPr>
                <w:rFonts w:ascii="宋体" w:hAnsi="宋体"/>
                <w:color w:val="auto"/>
                <w:kern w:val="0"/>
                <w:szCs w:val="21"/>
                <w:highlight w:val="none"/>
              </w:rPr>
            </w:pPr>
            <w:r>
              <w:rPr>
                <w:rFonts w:hint="eastAsia" w:ascii="宋体" w:hAnsi="宋体"/>
                <w:color w:val="auto"/>
                <w:kern w:val="0"/>
                <w:szCs w:val="21"/>
                <w:highlight w:val="none"/>
              </w:rPr>
              <w:t> </w:t>
            </w:r>
          </w:p>
        </w:tc>
        <w:tc>
          <w:tcPr>
            <w:tcW w:w="998" w:type="dxa"/>
            <w:gridSpan w:val="2"/>
            <w:vAlign w:val="center"/>
          </w:tcPr>
          <w:p>
            <w:pPr>
              <w:widowControl/>
              <w:snapToGrid w:val="0"/>
              <w:jc w:val="left"/>
              <w:rPr>
                <w:rFonts w:ascii="宋体" w:hAnsi="宋体"/>
                <w:color w:val="auto"/>
                <w:kern w:val="0"/>
                <w:szCs w:val="21"/>
                <w:highlight w:val="none"/>
              </w:rPr>
            </w:pPr>
            <w:r>
              <w:rPr>
                <w:rFonts w:hint="eastAsia" w:ascii="宋体" w:hAnsi="宋体"/>
                <w:color w:val="auto"/>
                <w:kern w:val="0"/>
                <w:szCs w:val="21"/>
                <w:highlight w:val="none"/>
              </w:rPr>
              <w:t> </w:t>
            </w:r>
          </w:p>
        </w:tc>
        <w:tc>
          <w:tcPr>
            <w:tcW w:w="1779" w:type="dxa"/>
            <w:vAlign w:val="center"/>
          </w:tcPr>
          <w:p>
            <w:pPr>
              <w:widowControl/>
              <w:snapToGrid w:val="0"/>
              <w:jc w:val="left"/>
              <w:rPr>
                <w:rFonts w:ascii="宋体" w:hAnsi="宋体"/>
                <w:color w:val="auto"/>
                <w:kern w:val="0"/>
                <w:szCs w:val="21"/>
                <w:highlight w:val="none"/>
              </w:rPr>
            </w:pPr>
            <w:r>
              <w:rPr>
                <w:rFonts w:hint="eastAsia" w:ascii="宋体" w:hAnsi="宋体"/>
                <w:color w:val="auto"/>
                <w:kern w:val="0"/>
                <w:szCs w:val="21"/>
                <w:highlight w:val="none"/>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19" w:type="dxa"/>
            <w:vAlign w:val="center"/>
          </w:tcPr>
          <w:p>
            <w:pPr>
              <w:widowControl/>
              <w:snapToGrid w:val="0"/>
              <w:ind w:left="-3" w:firstLine="576"/>
              <w:jc w:val="left"/>
              <w:rPr>
                <w:rFonts w:ascii="宋体" w:hAnsi="宋体"/>
                <w:color w:val="auto"/>
                <w:kern w:val="0"/>
                <w:szCs w:val="21"/>
                <w:highlight w:val="none"/>
              </w:rPr>
            </w:pPr>
            <w:r>
              <w:rPr>
                <w:rFonts w:hint="eastAsia" w:ascii="宋体" w:hAnsi="宋体"/>
                <w:color w:val="auto"/>
                <w:kern w:val="0"/>
                <w:szCs w:val="21"/>
                <w:highlight w:val="none"/>
              </w:rPr>
              <w:t> </w:t>
            </w:r>
          </w:p>
        </w:tc>
        <w:tc>
          <w:tcPr>
            <w:tcW w:w="1963" w:type="dxa"/>
            <w:vAlign w:val="center"/>
          </w:tcPr>
          <w:p>
            <w:pPr>
              <w:widowControl/>
              <w:snapToGrid w:val="0"/>
              <w:ind w:left="-3" w:firstLine="576"/>
              <w:jc w:val="left"/>
              <w:rPr>
                <w:rFonts w:ascii="宋体" w:hAnsi="宋体"/>
                <w:color w:val="auto"/>
                <w:kern w:val="0"/>
                <w:szCs w:val="21"/>
                <w:highlight w:val="none"/>
              </w:rPr>
            </w:pPr>
            <w:r>
              <w:rPr>
                <w:rFonts w:hint="eastAsia" w:ascii="宋体" w:hAnsi="宋体"/>
                <w:color w:val="auto"/>
                <w:kern w:val="0"/>
                <w:szCs w:val="21"/>
                <w:highlight w:val="none"/>
              </w:rPr>
              <w:t> </w:t>
            </w:r>
          </w:p>
        </w:tc>
        <w:tc>
          <w:tcPr>
            <w:tcW w:w="3441" w:type="dxa"/>
            <w:gridSpan w:val="2"/>
            <w:vAlign w:val="center"/>
          </w:tcPr>
          <w:p>
            <w:pPr>
              <w:widowControl/>
              <w:snapToGrid w:val="0"/>
              <w:ind w:left="-3" w:firstLine="576"/>
              <w:jc w:val="left"/>
              <w:rPr>
                <w:rFonts w:ascii="宋体" w:hAnsi="宋体"/>
                <w:color w:val="auto"/>
                <w:kern w:val="0"/>
                <w:szCs w:val="21"/>
                <w:highlight w:val="none"/>
              </w:rPr>
            </w:pPr>
            <w:r>
              <w:rPr>
                <w:rFonts w:hint="eastAsia" w:ascii="宋体" w:hAnsi="宋体"/>
                <w:color w:val="auto"/>
                <w:kern w:val="0"/>
                <w:szCs w:val="21"/>
                <w:highlight w:val="none"/>
              </w:rPr>
              <w:t> </w:t>
            </w:r>
          </w:p>
        </w:tc>
        <w:tc>
          <w:tcPr>
            <w:tcW w:w="998" w:type="dxa"/>
            <w:gridSpan w:val="2"/>
            <w:vAlign w:val="center"/>
          </w:tcPr>
          <w:p>
            <w:pPr>
              <w:widowControl/>
              <w:snapToGrid w:val="0"/>
              <w:jc w:val="left"/>
              <w:rPr>
                <w:rFonts w:ascii="宋体" w:hAnsi="宋体"/>
                <w:color w:val="auto"/>
                <w:kern w:val="0"/>
                <w:szCs w:val="21"/>
                <w:highlight w:val="none"/>
              </w:rPr>
            </w:pPr>
            <w:r>
              <w:rPr>
                <w:rFonts w:hint="eastAsia" w:ascii="宋体" w:hAnsi="宋体"/>
                <w:color w:val="auto"/>
                <w:kern w:val="0"/>
                <w:szCs w:val="21"/>
                <w:highlight w:val="none"/>
              </w:rPr>
              <w:t> </w:t>
            </w:r>
          </w:p>
        </w:tc>
        <w:tc>
          <w:tcPr>
            <w:tcW w:w="1779" w:type="dxa"/>
            <w:vAlign w:val="center"/>
          </w:tcPr>
          <w:p>
            <w:pPr>
              <w:widowControl/>
              <w:snapToGrid w:val="0"/>
              <w:jc w:val="left"/>
              <w:rPr>
                <w:rFonts w:ascii="宋体" w:hAnsi="宋体"/>
                <w:color w:val="auto"/>
                <w:kern w:val="0"/>
                <w:szCs w:val="21"/>
                <w:highlight w:val="none"/>
              </w:rPr>
            </w:pPr>
            <w:r>
              <w:rPr>
                <w:rFonts w:hint="eastAsia" w:ascii="宋体" w:hAnsi="宋体"/>
                <w:color w:val="auto"/>
                <w:kern w:val="0"/>
                <w:szCs w:val="21"/>
                <w:highlight w:val="none"/>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19" w:type="dxa"/>
            <w:vAlign w:val="center"/>
          </w:tcPr>
          <w:p>
            <w:pPr>
              <w:widowControl/>
              <w:snapToGrid w:val="0"/>
              <w:ind w:left="-3" w:firstLine="576"/>
              <w:jc w:val="left"/>
              <w:rPr>
                <w:rFonts w:ascii="宋体" w:hAnsi="宋体"/>
                <w:color w:val="auto"/>
                <w:kern w:val="0"/>
                <w:szCs w:val="21"/>
                <w:highlight w:val="none"/>
              </w:rPr>
            </w:pPr>
            <w:r>
              <w:rPr>
                <w:rFonts w:hint="eastAsia" w:ascii="宋体" w:hAnsi="宋体"/>
                <w:color w:val="auto"/>
                <w:kern w:val="0"/>
                <w:szCs w:val="21"/>
                <w:highlight w:val="none"/>
              </w:rPr>
              <w:t> </w:t>
            </w:r>
          </w:p>
        </w:tc>
        <w:tc>
          <w:tcPr>
            <w:tcW w:w="1963" w:type="dxa"/>
            <w:vAlign w:val="center"/>
          </w:tcPr>
          <w:p>
            <w:pPr>
              <w:widowControl/>
              <w:snapToGrid w:val="0"/>
              <w:ind w:left="-3" w:firstLine="576"/>
              <w:jc w:val="left"/>
              <w:rPr>
                <w:rFonts w:ascii="宋体" w:hAnsi="宋体"/>
                <w:color w:val="auto"/>
                <w:kern w:val="0"/>
                <w:szCs w:val="21"/>
                <w:highlight w:val="none"/>
              </w:rPr>
            </w:pPr>
            <w:r>
              <w:rPr>
                <w:rFonts w:hint="eastAsia" w:ascii="宋体" w:hAnsi="宋体"/>
                <w:color w:val="auto"/>
                <w:kern w:val="0"/>
                <w:szCs w:val="21"/>
                <w:highlight w:val="none"/>
              </w:rPr>
              <w:t> </w:t>
            </w:r>
          </w:p>
        </w:tc>
        <w:tc>
          <w:tcPr>
            <w:tcW w:w="3441" w:type="dxa"/>
            <w:gridSpan w:val="2"/>
            <w:vAlign w:val="center"/>
          </w:tcPr>
          <w:p>
            <w:pPr>
              <w:widowControl/>
              <w:snapToGrid w:val="0"/>
              <w:ind w:left="-3" w:firstLine="576"/>
              <w:jc w:val="left"/>
              <w:rPr>
                <w:rFonts w:ascii="宋体" w:hAnsi="宋体"/>
                <w:color w:val="auto"/>
                <w:kern w:val="0"/>
                <w:szCs w:val="21"/>
                <w:highlight w:val="none"/>
              </w:rPr>
            </w:pPr>
            <w:r>
              <w:rPr>
                <w:rFonts w:hint="eastAsia" w:ascii="宋体" w:hAnsi="宋体"/>
                <w:color w:val="auto"/>
                <w:kern w:val="0"/>
                <w:szCs w:val="21"/>
                <w:highlight w:val="none"/>
              </w:rPr>
              <w:t> </w:t>
            </w:r>
          </w:p>
        </w:tc>
        <w:tc>
          <w:tcPr>
            <w:tcW w:w="998" w:type="dxa"/>
            <w:gridSpan w:val="2"/>
            <w:vAlign w:val="center"/>
          </w:tcPr>
          <w:p>
            <w:pPr>
              <w:widowControl/>
              <w:snapToGrid w:val="0"/>
              <w:jc w:val="left"/>
              <w:rPr>
                <w:rFonts w:ascii="宋体" w:hAnsi="宋体"/>
                <w:color w:val="auto"/>
                <w:kern w:val="0"/>
                <w:szCs w:val="21"/>
                <w:highlight w:val="none"/>
              </w:rPr>
            </w:pPr>
            <w:r>
              <w:rPr>
                <w:rFonts w:hint="eastAsia" w:ascii="宋体" w:hAnsi="宋体"/>
                <w:color w:val="auto"/>
                <w:kern w:val="0"/>
                <w:szCs w:val="21"/>
                <w:highlight w:val="none"/>
              </w:rPr>
              <w:t> </w:t>
            </w:r>
          </w:p>
        </w:tc>
        <w:tc>
          <w:tcPr>
            <w:tcW w:w="1779" w:type="dxa"/>
            <w:vAlign w:val="center"/>
          </w:tcPr>
          <w:p>
            <w:pPr>
              <w:widowControl/>
              <w:snapToGrid w:val="0"/>
              <w:jc w:val="left"/>
              <w:rPr>
                <w:rFonts w:ascii="宋体" w:hAnsi="宋体"/>
                <w:color w:val="auto"/>
                <w:kern w:val="0"/>
                <w:szCs w:val="21"/>
                <w:highlight w:val="none"/>
              </w:rPr>
            </w:pPr>
            <w:r>
              <w:rPr>
                <w:rFonts w:hint="eastAsia" w:ascii="宋体" w:hAnsi="宋体"/>
                <w:color w:val="auto"/>
                <w:kern w:val="0"/>
                <w:szCs w:val="21"/>
                <w:highlight w:val="none"/>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19" w:type="dxa"/>
            <w:vAlign w:val="center"/>
          </w:tcPr>
          <w:p>
            <w:pPr>
              <w:widowControl/>
              <w:snapToGrid w:val="0"/>
              <w:ind w:left="-3" w:firstLine="576"/>
              <w:jc w:val="left"/>
              <w:rPr>
                <w:rFonts w:ascii="宋体" w:hAnsi="宋体"/>
                <w:color w:val="auto"/>
                <w:kern w:val="0"/>
                <w:szCs w:val="21"/>
                <w:highlight w:val="none"/>
              </w:rPr>
            </w:pPr>
          </w:p>
        </w:tc>
        <w:tc>
          <w:tcPr>
            <w:tcW w:w="1963" w:type="dxa"/>
            <w:vAlign w:val="center"/>
          </w:tcPr>
          <w:p>
            <w:pPr>
              <w:widowControl/>
              <w:snapToGrid w:val="0"/>
              <w:ind w:left="-3" w:firstLine="576"/>
              <w:jc w:val="left"/>
              <w:rPr>
                <w:rFonts w:ascii="宋体" w:hAnsi="宋体"/>
                <w:color w:val="auto"/>
                <w:kern w:val="0"/>
                <w:szCs w:val="21"/>
                <w:highlight w:val="none"/>
              </w:rPr>
            </w:pPr>
          </w:p>
        </w:tc>
        <w:tc>
          <w:tcPr>
            <w:tcW w:w="3441" w:type="dxa"/>
            <w:gridSpan w:val="2"/>
            <w:vAlign w:val="center"/>
          </w:tcPr>
          <w:p>
            <w:pPr>
              <w:widowControl/>
              <w:snapToGrid w:val="0"/>
              <w:ind w:left="-3" w:firstLine="576"/>
              <w:jc w:val="left"/>
              <w:rPr>
                <w:rFonts w:ascii="宋体" w:hAnsi="宋体"/>
                <w:color w:val="auto"/>
                <w:kern w:val="0"/>
                <w:szCs w:val="21"/>
                <w:highlight w:val="none"/>
              </w:rPr>
            </w:pPr>
          </w:p>
        </w:tc>
        <w:tc>
          <w:tcPr>
            <w:tcW w:w="998" w:type="dxa"/>
            <w:gridSpan w:val="2"/>
            <w:vAlign w:val="center"/>
          </w:tcPr>
          <w:p>
            <w:pPr>
              <w:widowControl/>
              <w:snapToGrid w:val="0"/>
              <w:jc w:val="left"/>
              <w:rPr>
                <w:rFonts w:ascii="宋体" w:hAnsi="宋体"/>
                <w:color w:val="auto"/>
                <w:kern w:val="0"/>
                <w:szCs w:val="21"/>
                <w:highlight w:val="none"/>
              </w:rPr>
            </w:pPr>
            <w:r>
              <w:rPr>
                <w:rFonts w:hint="eastAsia" w:ascii="宋体" w:hAnsi="宋体"/>
                <w:color w:val="auto"/>
                <w:kern w:val="0"/>
                <w:szCs w:val="21"/>
                <w:highlight w:val="none"/>
              </w:rPr>
              <w:t xml:space="preserve"> </w:t>
            </w:r>
          </w:p>
        </w:tc>
        <w:tc>
          <w:tcPr>
            <w:tcW w:w="1779" w:type="dxa"/>
            <w:vAlign w:val="center"/>
          </w:tcPr>
          <w:p>
            <w:pPr>
              <w:widowControl/>
              <w:snapToGrid w:val="0"/>
              <w:jc w:val="left"/>
              <w:rPr>
                <w:rFonts w:ascii="宋体" w:hAnsi="宋体"/>
                <w:color w:val="auto"/>
                <w:kern w:val="0"/>
                <w:szCs w:val="21"/>
                <w:highlight w:val="none"/>
              </w:rPr>
            </w:pPr>
            <w:r>
              <w:rPr>
                <w:rFonts w:hint="eastAsia" w:ascii="宋体" w:hAnsi="宋体"/>
                <w:color w:val="auto"/>
                <w:kern w:val="0"/>
                <w:szCs w:val="21"/>
                <w:highlight w:val="none"/>
              </w:rPr>
              <w:t xml:space="preserve">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19" w:type="dxa"/>
            <w:vAlign w:val="center"/>
          </w:tcPr>
          <w:p>
            <w:pPr>
              <w:widowControl/>
              <w:snapToGrid w:val="0"/>
              <w:ind w:left="-3" w:firstLine="576"/>
              <w:jc w:val="left"/>
              <w:rPr>
                <w:rFonts w:ascii="宋体" w:hAnsi="宋体"/>
                <w:color w:val="auto"/>
                <w:kern w:val="0"/>
                <w:szCs w:val="21"/>
                <w:highlight w:val="none"/>
              </w:rPr>
            </w:pPr>
          </w:p>
        </w:tc>
        <w:tc>
          <w:tcPr>
            <w:tcW w:w="1963" w:type="dxa"/>
            <w:vAlign w:val="center"/>
          </w:tcPr>
          <w:p>
            <w:pPr>
              <w:widowControl/>
              <w:snapToGrid w:val="0"/>
              <w:ind w:left="-3" w:firstLine="576"/>
              <w:jc w:val="left"/>
              <w:rPr>
                <w:rFonts w:ascii="宋体" w:hAnsi="宋体"/>
                <w:color w:val="auto"/>
                <w:kern w:val="0"/>
                <w:szCs w:val="21"/>
                <w:highlight w:val="none"/>
              </w:rPr>
            </w:pPr>
          </w:p>
        </w:tc>
        <w:tc>
          <w:tcPr>
            <w:tcW w:w="3441" w:type="dxa"/>
            <w:gridSpan w:val="2"/>
            <w:vAlign w:val="center"/>
          </w:tcPr>
          <w:p>
            <w:pPr>
              <w:widowControl/>
              <w:snapToGrid w:val="0"/>
              <w:ind w:left="-3" w:firstLine="576"/>
              <w:jc w:val="left"/>
              <w:rPr>
                <w:rFonts w:ascii="宋体" w:hAnsi="宋体"/>
                <w:color w:val="auto"/>
                <w:kern w:val="0"/>
                <w:szCs w:val="21"/>
                <w:highlight w:val="none"/>
              </w:rPr>
            </w:pPr>
          </w:p>
        </w:tc>
        <w:tc>
          <w:tcPr>
            <w:tcW w:w="998" w:type="dxa"/>
            <w:gridSpan w:val="2"/>
            <w:vAlign w:val="center"/>
          </w:tcPr>
          <w:p>
            <w:pPr>
              <w:widowControl/>
              <w:snapToGrid w:val="0"/>
              <w:jc w:val="left"/>
              <w:rPr>
                <w:rFonts w:ascii="宋体" w:hAnsi="宋体"/>
                <w:color w:val="auto"/>
                <w:kern w:val="0"/>
                <w:szCs w:val="21"/>
                <w:highlight w:val="none"/>
              </w:rPr>
            </w:pPr>
            <w:r>
              <w:rPr>
                <w:rFonts w:hint="eastAsia" w:ascii="宋体" w:hAnsi="宋体"/>
                <w:color w:val="auto"/>
                <w:kern w:val="0"/>
                <w:szCs w:val="21"/>
                <w:highlight w:val="none"/>
              </w:rPr>
              <w:t xml:space="preserve"> </w:t>
            </w:r>
          </w:p>
        </w:tc>
        <w:tc>
          <w:tcPr>
            <w:tcW w:w="1779" w:type="dxa"/>
            <w:vAlign w:val="center"/>
          </w:tcPr>
          <w:p>
            <w:pPr>
              <w:widowControl/>
              <w:snapToGrid w:val="0"/>
              <w:jc w:val="left"/>
              <w:rPr>
                <w:rFonts w:ascii="宋体" w:hAnsi="宋体"/>
                <w:color w:val="auto"/>
                <w:kern w:val="0"/>
                <w:szCs w:val="21"/>
                <w:highlight w:val="none"/>
              </w:rPr>
            </w:pPr>
            <w:r>
              <w:rPr>
                <w:rFonts w:hint="eastAsia" w:ascii="宋体" w:hAnsi="宋体"/>
                <w:color w:val="auto"/>
                <w:kern w:val="0"/>
                <w:szCs w:val="21"/>
                <w:highlight w:val="none"/>
              </w:rPr>
              <w:t xml:space="preserve">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19" w:type="dxa"/>
            <w:vAlign w:val="center"/>
          </w:tcPr>
          <w:p>
            <w:pPr>
              <w:widowControl/>
              <w:snapToGrid w:val="0"/>
              <w:ind w:left="-3" w:firstLine="576"/>
              <w:jc w:val="left"/>
              <w:rPr>
                <w:rFonts w:ascii="宋体" w:hAnsi="宋体"/>
                <w:color w:val="auto"/>
                <w:kern w:val="0"/>
                <w:szCs w:val="21"/>
                <w:highlight w:val="none"/>
              </w:rPr>
            </w:pPr>
          </w:p>
        </w:tc>
        <w:tc>
          <w:tcPr>
            <w:tcW w:w="1963" w:type="dxa"/>
            <w:vAlign w:val="center"/>
          </w:tcPr>
          <w:p>
            <w:pPr>
              <w:widowControl/>
              <w:snapToGrid w:val="0"/>
              <w:ind w:left="-3" w:firstLine="576"/>
              <w:jc w:val="left"/>
              <w:rPr>
                <w:rFonts w:ascii="宋体" w:hAnsi="宋体"/>
                <w:color w:val="auto"/>
                <w:kern w:val="0"/>
                <w:szCs w:val="21"/>
                <w:highlight w:val="none"/>
              </w:rPr>
            </w:pPr>
          </w:p>
        </w:tc>
        <w:tc>
          <w:tcPr>
            <w:tcW w:w="3441" w:type="dxa"/>
            <w:gridSpan w:val="2"/>
            <w:vAlign w:val="center"/>
          </w:tcPr>
          <w:p>
            <w:pPr>
              <w:widowControl/>
              <w:snapToGrid w:val="0"/>
              <w:ind w:left="-3" w:firstLine="576"/>
              <w:jc w:val="left"/>
              <w:rPr>
                <w:rFonts w:ascii="宋体" w:hAnsi="宋体"/>
                <w:color w:val="auto"/>
                <w:kern w:val="0"/>
                <w:szCs w:val="21"/>
                <w:highlight w:val="none"/>
              </w:rPr>
            </w:pPr>
          </w:p>
        </w:tc>
        <w:tc>
          <w:tcPr>
            <w:tcW w:w="998" w:type="dxa"/>
            <w:gridSpan w:val="2"/>
            <w:vAlign w:val="center"/>
          </w:tcPr>
          <w:p>
            <w:pPr>
              <w:widowControl/>
              <w:snapToGrid w:val="0"/>
              <w:jc w:val="left"/>
              <w:rPr>
                <w:rFonts w:ascii="宋体" w:hAnsi="宋体"/>
                <w:color w:val="auto"/>
                <w:kern w:val="0"/>
                <w:szCs w:val="21"/>
                <w:highlight w:val="none"/>
              </w:rPr>
            </w:pPr>
            <w:r>
              <w:rPr>
                <w:rFonts w:hint="eastAsia" w:ascii="宋体" w:hAnsi="宋体"/>
                <w:color w:val="auto"/>
                <w:kern w:val="0"/>
                <w:szCs w:val="21"/>
                <w:highlight w:val="none"/>
              </w:rPr>
              <w:t xml:space="preserve"> </w:t>
            </w:r>
          </w:p>
        </w:tc>
        <w:tc>
          <w:tcPr>
            <w:tcW w:w="1779" w:type="dxa"/>
            <w:vAlign w:val="center"/>
          </w:tcPr>
          <w:p>
            <w:pPr>
              <w:widowControl/>
              <w:snapToGrid w:val="0"/>
              <w:jc w:val="left"/>
              <w:rPr>
                <w:rFonts w:ascii="宋体" w:hAnsi="宋体"/>
                <w:color w:val="auto"/>
                <w:kern w:val="0"/>
                <w:szCs w:val="21"/>
                <w:highlight w:val="none"/>
              </w:rPr>
            </w:pPr>
            <w:r>
              <w:rPr>
                <w:rFonts w:hint="eastAsia" w:ascii="宋体" w:hAnsi="宋体"/>
                <w:color w:val="auto"/>
                <w:kern w:val="0"/>
                <w:szCs w:val="21"/>
                <w:highlight w:val="none"/>
              </w:rPr>
              <w:t xml:space="preserve">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41" w:hRule="atLeast"/>
          <w:jc w:val="center"/>
        </w:trPr>
        <w:tc>
          <w:tcPr>
            <w:tcW w:w="1519" w:type="dxa"/>
            <w:vAlign w:val="center"/>
          </w:tcPr>
          <w:p>
            <w:pPr>
              <w:widowControl/>
              <w:snapToGrid w:val="0"/>
              <w:jc w:val="left"/>
              <w:rPr>
                <w:rFonts w:ascii="宋体" w:hAnsi="宋体"/>
                <w:color w:val="auto"/>
                <w:kern w:val="0"/>
                <w:szCs w:val="21"/>
                <w:highlight w:val="none"/>
              </w:rPr>
            </w:pPr>
            <w:r>
              <w:rPr>
                <w:rFonts w:hint="eastAsia" w:ascii="宋体" w:hAnsi="宋体"/>
                <w:color w:val="auto"/>
                <w:kern w:val="0"/>
                <w:szCs w:val="21"/>
                <w:highlight w:val="none"/>
              </w:rPr>
              <w:t>实际供货日期</w:t>
            </w:r>
          </w:p>
        </w:tc>
        <w:tc>
          <w:tcPr>
            <w:tcW w:w="3542" w:type="dxa"/>
            <w:gridSpan w:val="2"/>
            <w:vAlign w:val="center"/>
          </w:tcPr>
          <w:p>
            <w:pPr>
              <w:snapToGrid w:val="0"/>
              <w:jc w:val="left"/>
              <w:rPr>
                <w:rFonts w:ascii="宋体" w:hAnsi="宋体"/>
                <w:color w:val="auto"/>
                <w:kern w:val="0"/>
                <w:szCs w:val="21"/>
                <w:highlight w:val="none"/>
              </w:rPr>
            </w:pPr>
            <w:r>
              <w:rPr>
                <w:rFonts w:hint="eastAsia" w:ascii="宋体" w:hAnsi="宋体"/>
                <w:color w:val="auto"/>
                <w:kern w:val="0"/>
                <w:szCs w:val="21"/>
                <w:highlight w:val="none"/>
              </w:rPr>
              <w:t xml:space="preserve"> </w:t>
            </w:r>
          </w:p>
        </w:tc>
        <w:tc>
          <w:tcPr>
            <w:tcW w:w="2522" w:type="dxa"/>
            <w:gridSpan w:val="2"/>
            <w:vAlign w:val="center"/>
          </w:tcPr>
          <w:p>
            <w:pPr>
              <w:snapToGrid w:val="0"/>
              <w:ind w:left="590"/>
              <w:jc w:val="left"/>
              <w:rPr>
                <w:rFonts w:ascii="宋体" w:hAnsi="宋体"/>
                <w:color w:val="auto"/>
                <w:kern w:val="0"/>
                <w:szCs w:val="21"/>
                <w:highlight w:val="none"/>
              </w:rPr>
            </w:pPr>
            <w:r>
              <w:rPr>
                <w:rFonts w:hint="eastAsia" w:ascii="宋体" w:hAnsi="宋体"/>
                <w:color w:val="auto"/>
                <w:kern w:val="0"/>
                <w:szCs w:val="21"/>
                <w:highlight w:val="none"/>
              </w:rPr>
              <w:t>合同交货验收日期</w:t>
            </w:r>
          </w:p>
        </w:tc>
        <w:tc>
          <w:tcPr>
            <w:tcW w:w="2117" w:type="dxa"/>
            <w:gridSpan w:val="2"/>
            <w:vAlign w:val="center"/>
          </w:tcPr>
          <w:p>
            <w:pPr>
              <w:snapToGrid w:val="0"/>
              <w:jc w:val="left"/>
              <w:rPr>
                <w:rFonts w:ascii="宋体" w:hAnsi="宋体"/>
                <w:color w:val="auto"/>
                <w:kern w:val="0"/>
                <w:szCs w:val="21"/>
                <w:highlight w:val="none"/>
              </w:rPr>
            </w:pPr>
            <w:r>
              <w:rPr>
                <w:rFonts w:hint="eastAsia" w:ascii="宋体" w:hAnsi="宋体"/>
                <w:color w:val="auto"/>
                <w:kern w:val="0"/>
                <w:szCs w:val="21"/>
                <w:highlight w:val="none"/>
              </w:rPr>
              <w:t xml:space="preserve">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93" w:hRule="atLeast"/>
          <w:jc w:val="center"/>
        </w:trPr>
        <w:tc>
          <w:tcPr>
            <w:tcW w:w="1519" w:type="dxa"/>
            <w:tcMar>
              <w:top w:w="0" w:type="dxa"/>
              <w:left w:w="108" w:type="dxa"/>
              <w:bottom w:w="0" w:type="dxa"/>
              <w:right w:w="108" w:type="dxa"/>
            </w:tcMar>
            <w:vAlign w:val="center"/>
          </w:tcPr>
          <w:p>
            <w:pPr>
              <w:widowControl/>
              <w:snapToGrid w:val="0"/>
              <w:jc w:val="left"/>
              <w:rPr>
                <w:rFonts w:ascii="宋体" w:hAnsi="宋体"/>
                <w:color w:val="auto"/>
                <w:kern w:val="0"/>
                <w:szCs w:val="21"/>
                <w:highlight w:val="none"/>
              </w:rPr>
            </w:pPr>
            <w:r>
              <w:rPr>
                <w:rFonts w:hint="eastAsia" w:ascii="宋体" w:hAnsi="宋体"/>
                <w:color w:val="auto"/>
                <w:kern w:val="0"/>
                <w:szCs w:val="21"/>
                <w:highlight w:val="none"/>
              </w:rPr>
              <w:t>验收具体内容</w:t>
            </w:r>
          </w:p>
        </w:tc>
        <w:tc>
          <w:tcPr>
            <w:tcW w:w="8181" w:type="dxa"/>
            <w:gridSpan w:val="6"/>
            <w:tcMar>
              <w:top w:w="0" w:type="dxa"/>
              <w:left w:w="108" w:type="dxa"/>
              <w:bottom w:w="0" w:type="dxa"/>
              <w:right w:w="108" w:type="dxa"/>
            </w:tcMar>
            <w:vAlign w:val="center"/>
          </w:tcPr>
          <w:p>
            <w:pPr>
              <w:widowControl/>
              <w:snapToGrid w:val="0"/>
              <w:jc w:val="left"/>
              <w:rPr>
                <w:rFonts w:ascii="宋体" w:hAnsi="宋体"/>
                <w:color w:val="auto"/>
                <w:kern w:val="0"/>
                <w:szCs w:val="21"/>
                <w:highlight w:val="none"/>
              </w:rPr>
            </w:pPr>
            <w:r>
              <w:rPr>
                <w:rFonts w:hint="eastAsia" w:ascii="宋体" w:hAnsi="宋体"/>
                <w:color w:val="auto"/>
                <w:kern w:val="0"/>
                <w:szCs w:val="21"/>
                <w:highlight w:val="none"/>
              </w:rPr>
              <w:t> (按招标采购文件及验收方案等。可附件)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449" w:hRule="atLeast"/>
          <w:jc w:val="center"/>
        </w:trPr>
        <w:tc>
          <w:tcPr>
            <w:tcW w:w="1519" w:type="dxa"/>
            <w:tcMar>
              <w:top w:w="0" w:type="dxa"/>
              <w:left w:w="108" w:type="dxa"/>
              <w:bottom w:w="0" w:type="dxa"/>
              <w:right w:w="108" w:type="dxa"/>
            </w:tcMar>
            <w:vAlign w:val="center"/>
          </w:tcPr>
          <w:p>
            <w:pPr>
              <w:widowControl/>
              <w:jc w:val="left"/>
              <w:rPr>
                <w:rFonts w:ascii="宋体" w:hAnsi="宋体"/>
                <w:color w:val="auto"/>
                <w:kern w:val="0"/>
                <w:szCs w:val="21"/>
                <w:highlight w:val="none"/>
              </w:rPr>
            </w:pPr>
            <w:r>
              <w:rPr>
                <w:rFonts w:hint="eastAsia" w:ascii="宋体" w:hAnsi="宋体"/>
                <w:color w:val="auto"/>
                <w:kern w:val="0"/>
                <w:szCs w:val="21"/>
                <w:highlight w:val="none"/>
              </w:rPr>
              <w:t>验收小组意见</w:t>
            </w:r>
          </w:p>
        </w:tc>
        <w:tc>
          <w:tcPr>
            <w:tcW w:w="8181" w:type="dxa"/>
            <w:gridSpan w:val="6"/>
            <w:vAlign w:val="center"/>
          </w:tcPr>
          <w:p>
            <w:pPr>
              <w:widowControl/>
              <w:jc w:val="left"/>
              <w:rPr>
                <w:rFonts w:ascii="宋体" w:hAnsi="宋体"/>
                <w:color w:val="auto"/>
                <w:kern w:val="0"/>
                <w:szCs w:val="21"/>
                <w:highlight w:val="none"/>
              </w:rPr>
            </w:pPr>
            <w:r>
              <w:rPr>
                <w:rFonts w:hint="eastAsia" w:ascii="宋体" w:hAnsi="宋体"/>
                <w:color w:val="auto"/>
                <w:kern w:val="0"/>
                <w:szCs w:val="21"/>
                <w:highlight w:val="none"/>
              </w:rPr>
              <w:t> </w:t>
            </w:r>
          </w:p>
          <w:p>
            <w:pPr>
              <w:widowControl/>
              <w:jc w:val="left"/>
              <w:rPr>
                <w:rFonts w:ascii="宋体" w:hAnsi="宋体"/>
                <w:color w:val="auto"/>
                <w:kern w:val="0"/>
                <w:szCs w:val="21"/>
                <w:highlight w:val="none"/>
              </w:rPr>
            </w:pPr>
            <w:r>
              <w:rPr>
                <w:rFonts w:hint="eastAsia" w:ascii="宋体" w:hAnsi="宋体"/>
                <w:color w:val="auto"/>
                <w:kern w:val="0"/>
                <w:szCs w:val="21"/>
                <w:highlight w:val="none"/>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11" w:hRule="atLeast"/>
          <w:jc w:val="center"/>
        </w:trPr>
        <w:tc>
          <w:tcPr>
            <w:tcW w:w="9700" w:type="dxa"/>
            <w:gridSpan w:val="7"/>
            <w:tcMar>
              <w:top w:w="0" w:type="dxa"/>
              <w:left w:w="108" w:type="dxa"/>
              <w:bottom w:w="0" w:type="dxa"/>
              <w:right w:w="108" w:type="dxa"/>
            </w:tcMar>
            <w:vAlign w:val="center"/>
          </w:tcPr>
          <w:p>
            <w:pPr>
              <w:widowControl/>
              <w:jc w:val="left"/>
              <w:rPr>
                <w:rFonts w:ascii="宋体" w:hAnsi="宋体"/>
                <w:color w:val="auto"/>
                <w:kern w:val="0"/>
                <w:szCs w:val="21"/>
                <w:highlight w:val="none"/>
              </w:rPr>
            </w:pPr>
            <w:r>
              <w:rPr>
                <w:rFonts w:hint="eastAsia" w:ascii="宋体" w:hAnsi="宋体"/>
                <w:color w:val="auto"/>
                <w:kern w:val="0"/>
                <w:szCs w:val="21"/>
                <w:highlight w:val="none"/>
              </w:rPr>
              <w:t>验收小组成员签字：</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11" w:hRule="atLeast"/>
          <w:jc w:val="center"/>
        </w:trPr>
        <w:tc>
          <w:tcPr>
            <w:tcW w:w="9700" w:type="dxa"/>
            <w:gridSpan w:val="7"/>
            <w:tcMar>
              <w:top w:w="0" w:type="dxa"/>
              <w:left w:w="108" w:type="dxa"/>
              <w:bottom w:w="0" w:type="dxa"/>
              <w:right w:w="108" w:type="dxa"/>
            </w:tcMar>
            <w:vAlign w:val="center"/>
          </w:tcPr>
          <w:p>
            <w:pPr>
              <w:widowControl/>
              <w:jc w:val="left"/>
              <w:rPr>
                <w:rFonts w:ascii="宋体" w:hAnsi="宋体"/>
                <w:color w:val="auto"/>
                <w:kern w:val="0"/>
                <w:szCs w:val="21"/>
                <w:highlight w:val="none"/>
              </w:rPr>
            </w:pPr>
            <w:r>
              <w:rPr>
                <w:rFonts w:hint="eastAsia" w:ascii="宋体" w:hAnsi="宋体"/>
                <w:color w:val="auto"/>
                <w:kern w:val="0"/>
                <w:szCs w:val="21"/>
                <w:highlight w:val="none"/>
              </w:rPr>
              <w:t>参与验收其他或监督人员签字：</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113" w:hRule="atLeast"/>
          <w:jc w:val="center"/>
        </w:trPr>
        <w:tc>
          <w:tcPr>
            <w:tcW w:w="5061" w:type="dxa"/>
            <w:gridSpan w:val="3"/>
            <w:tcMar>
              <w:top w:w="0" w:type="dxa"/>
              <w:left w:w="108" w:type="dxa"/>
              <w:bottom w:w="0" w:type="dxa"/>
              <w:right w:w="108" w:type="dxa"/>
            </w:tcMar>
            <w:vAlign w:val="center"/>
          </w:tcPr>
          <w:p>
            <w:pPr>
              <w:widowControl/>
              <w:jc w:val="left"/>
              <w:rPr>
                <w:rFonts w:ascii="宋体" w:hAnsi="宋体"/>
                <w:color w:val="auto"/>
                <w:kern w:val="0"/>
                <w:szCs w:val="21"/>
                <w:highlight w:val="none"/>
              </w:rPr>
            </w:pPr>
            <w:r>
              <w:rPr>
                <w:rFonts w:hint="eastAsia" w:ascii="宋体" w:hAnsi="宋体"/>
                <w:color w:val="auto"/>
                <w:kern w:val="0"/>
                <w:szCs w:val="21"/>
                <w:highlight w:val="none"/>
              </w:rPr>
              <w:t>供应商签字或盖章：</w:t>
            </w:r>
          </w:p>
          <w:p>
            <w:pPr>
              <w:widowControl/>
              <w:jc w:val="left"/>
              <w:rPr>
                <w:rFonts w:ascii="宋体" w:hAnsi="宋体"/>
                <w:color w:val="auto"/>
                <w:kern w:val="0"/>
                <w:szCs w:val="21"/>
                <w:highlight w:val="none"/>
              </w:rPr>
            </w:pPr>
            <w:r>
              <w:rPr>
                <w:rFonts w:hint="eastAsia" w:ascii="宋体" w:hAnsi="宋体"/>
                <w:color w:val="auto"/>
                <w:kern w:val="0"/>
                <w:szCs w:val="21"/>
                <w:highlight w:val="none"/>
              </w:rPr>
              <w:t>联系方式：         年 月 日</w:t>
            </w:r>
          </w:p>
        </w:tc>
        <w:tc>
          <w:tcPr>
            <w:tcW w:w="4639" w:type="dxa"/>
            <w:gridSpan w:val="4"/>
            <w:vAlign w:val="center"/>
          </w:tcPr>
          <w:p>
            <w:pPr>
              <w:widowControl/>
              <w:jc w:val="left"/>
              <w:rPr>
                <w:rFonts w:ascii="宋体" w:hAnsi="宋体"/>
                <w:color w:val="auto"/>
                <w:kern w:val="0"/>
                <w:szCs w:val="21"/>
                <w:highlight w:val="none"/>
              </w:rPr>
            </w:pPr>
            <w:r>
              <w:rPr>
                <w:rFonts w:hint="eastAsia" w:ascii="宋体" w:hAnsi="宋体"/>
                <w:color w:val="auto"/>
                <w:kern w:val="0"/>
                <w:szCs w:val="21"/>
                <w:highlight w:val="none"/>
              </w:rPr>
              <w:t> 采购单位盖章：</w:t>
            </w:r>
          </w:p>
          <w:p>
            <w:pPr>
              <w:widowControl/>
              <w:ind w:firstLine="2119"/>
              <w:jc w:val="left"/>
              <w:rPr>
                <w:rFonts w:ascii="宋体" w:hAnsi="宋体"/>
                <w:color w:val="auto"/>
                <w:kern w:val="0"/>
                <w:szCs w:val="21"/>
                <w:highlight w:val="none"/>
              </w:rPr>
            </w:pPr>
            <w:r>
              <w:rPr>
                <w:rFonts w:hint="eastAsia" w:ascii="宋体" w:hAnsi="宋体"/>
                <w:color w:val="auto"/>
                <w:kern w:val="0"/>
                <w:szCs w:val="21"/>
                <w:highlight w:val="none"/>
              </w:rPr>
              <w:t>年 月 日</w:t>
            </w:r>
          </w:p>
        </w:tc>
      </w:tr>
    </w:tbl>
    <w:p>
      <w:pPr>
        <w:widowControl/>
        <w:jc w:val="left"/>
        <w:rPr>
          <w:rFonts w:ascii="宋体" w:hAnsi="宋体" w:cs="宋体"/>
          <w:color w:val="auto"/>
          <w:kern w:val="0"/>
          <w:szCs w:val="21"/>
          <w:highlight w:val="none"/>
        </w:rPr>
      </w:pPr>
      <w:r>
        <w:rPr>
          <w:rFonts w:hint="eastAsia" w:ascii="宋体" w:hAnsi="宋体" w:cs="宋体"/>
          <w:color w:val="auto"/>
          <w:spacing w:val="-20"/>
          <w:kern w:val="0"/>
          <w:szCs w:val="21"/>
          <w:highlight w:val="none"/>
        </w:rPr>
        <w:t xml:space="preserve">备注：本 报 告 单 一 式 4 份 （ 采 购 单 位 1 份 、 供 应 商 1 份 、 采 购 监 督 部 门 备 案 1 份 、 采 购 代 理 机 构 1 份 </w:t>
      </w:r>
      <w:r>
        <w:rPr>
          <w:rFonts w:hint="eastAsia" w:ascii="宋体" w:hAnsi="宋体" w:cs="宋体"/>
          <w:color w:val="auto"/>
          <w:kern w:val="0"/>
          <w:szCs w:val="21"/>
          <w:highlight w:val="none"/>
        </w:rPr>
        <w:t>）。</w:t>
      </w:r>
    </w:p>
    <w:p>
      <w:pPr>
        <w:jc w:val="left"/>
        <w:rPr>
          <w:rFonts w:ascii="宋体" w:hAnsi="宋体"/>
          <w:color w:val="auto"/>
          <w:sz w:val="24"/>
          <w:highlight w:val="none"/>
        </w:rPr>
      </w:pPr>
    </w:p>
    <w:p>
      <w:pPr>
        <w:pStyle w:val="22"/>
        <w:tabs>
          <w:tab w:val="left" w:pos="2472"/>
        </w:tabs>
        <w:snapToGrid w:val="0"/>
        <w:jc w:val="center"/>
        <w:rPr>
          <w:rFonts w:hAnsi="宋体"/>
          <w:color w:val="auto"/>
          <w:highlight w:val="none"/>
        </w:rPr>
      </w:pPr>
    </w:p>
    <w:p>
      <w:pPr>
        <w:pStyle w:val="22"/>
        <w:tabs>
          <w:tab w:val="left" w:pos="2472"/>
        </w:tabs>
        <w:snapToGrid w:val="0"/>
        <w:jc w:val="center"/>
        <w:rPr>
          <w:rFonts w:hAnsi="宋体"/>
          <w:color w:val="auto"/>
          <w:highlight w:val="none"/>
        </w:rPr>
      </w:pPr>
    </w:p>
    <w:p>
      <w:pPr>
        <w:pStyle w:val="22"/>
        <w:tabs>
          <w:tab w:val="left" w:pos="2472"/>
        </w:tabs>
        <w:snapToGrid w:val="0"/>
        <w:jc w:val="center"/>
        <w:rPr>
          <w:rFonts w:hAnsi="宋体"/>
          <w:color w:val="auto"/>
          <w:highlight w:val="none"/>
        </w:rPr>
      </w:pPr>
    </w:p>
    <w:p>
      <w:pPr>
        <w:pStyle w:val="22"/>
        <w:tabs>
          <w:tab w:val="left" w:pos="2472"/>
        </w:tabs>
        <w:snapToGrid w:val="0"/>
        <w:jc w:val="center"/>
        <w:rPr>
          <w:rFonts w:hAnsi="宋体"/>
          <w:color w:val="auto"/>
          <w:highlight w:val="none"/>
        </w:rPr>
      </w:pPr>
    </w:p>
    <w:p>
      <w:pPr>
        <w:pStyle w:val="22"/>
        <w:tabs>
          <w:tab w:val="left" w:pos="2472"/>
        </w:tabs>
        <w:snapToGrid w:val="0"/>
        <w:jc w:val="center"/>
        <w:rPr>
          <w:rFonts w:hAnsi="宋体"/>
          <w:color w:val="auto"/>
          <w:highlight w:val="none"/>
        </w:rPr>
      </w:pPr>
    </w:p>
    <w:p>
      <w:pPr>
        <w:pStyle w:val="22"/>
        <w:tabs>
          <w:tab w:val="left" w:pos="2472"/>
        </w:tabs>
        <w:snapToGrid w:val="0"/>
        <w:jc w:val="center"/>
        <w:rPr>
          <w:rFonts w:hAnsi="宋体"/>
          <w:color w:val="auto"/>
          <w:highlight w:val="none"/>
        </w:rPr>
      </w:pPr>
    </w:p>
    <w:p>
      <w:pPr>
        <w:pStyle w:val="22"/>
        <w:tabs>
          <w:tab w:val="left" w:pos="2472"/>
        </w:tabs>
        <w:snapToGrid w:val="0"/>
        <w:jc w:val="center"/>
        <w:rPr>
          <w:rFonts w:hAnsi="宋体"/>
          <w:color w:val="auto"/>
          <w:highlight w:val="none"/>
        </w:rPr>
      </w:pPr>
    </w:p>
    <w:p>
      <w:pPr>
        <w:pStyle w:val="22"/>
        <w:tabs>
          <w:tab w:val="left" w:pos="2472"/>
        </w:tabs>
        <w:snapToGrid w:val="0"/>
        <w:jc w:val="center"/>
        <w:rPr>
          <w:rFonts w:hAnsi="宋体"/>
          <w:color w:val="auto"/>
          <w:highlight w:val="none"/>
        </w:rPr>
      </w:pPr>
    </w:p>
    <w:p>
      <w:pPr>
        <w:pStyle w:val="22"/>
        <w:tabs>
          <w:tab w:val="left" w:pos="2472"/>
        </w:tabs>
        <w:snapToGrid w:val="0"/>
        <w:jc w:val="center"/>
        <w:rPr>
          <w:rFonts w:hAnsi="宋体"/>
          <w:color w:val="auto"/>
          <w:highlight w:val="none"/>
        </w:rPr>
      </w:pPr>
    </w:p>
    <w:p>
      <w:pPr>
        <w:pStyle w:val="22"/>
        <w:tabs>
          <w:tab w:val="left" w:pos="2472"/>
        </w:tabs>
        <w:snapToGrid w:val="0"/>
        <w:jc w:val="center"/>
        <w:rPr>
          <w:rFonts w:hAnsi="宋体"/>
          <w:color w:val="auto"/>
          <w:highlight w:val="none"/>
        </w:rPr>
      </w:pPr>
    </w:p>
    <w:p>
      <w:pPr>
        <w:pStyle w:val="22"/>
        <w:tabs>
          <w:tab w:val="left" w:pos="2472"/>
        </w:tabs>
        <w:snapToGrid w:val="0"/>
        <w:jc w:val="center"/>
        <w:rPr>
          <w:rFonts w:hAnsi="宋体"/>
          <w:color w:val="auto"/>
          <w:highlight w:val="none"/>
        </w:rPr>
      </w:pPr>
    </w:p>
    <w:p>
      <w:pPr>
        <w:pStyle w:val="22"/>
        <w:tabs>
          <w:tab w:val="left" w:pos="2472"/>
        </w:tabs>
        <w:snapToGrid w:val="0"/>
        <w:jc w:val="center"/>
        <w:rPr>
          <w:rFonts w:hAnsi="宋体"/>
          <w:color w:val="auto"/>
          <w:highlight w:val="none"/>
        </w:rPr>
      </w:pPr>
    </w:p>
    <w:p>
      <w:pPr>
        <w:pStyle w:val="22"/>
        <w:tabs>
          <w:tab w:val="left" w:pos="2472"/>
        </w:tabs>
        <w:snapToGrid w:val="0"/>
        <w:jc w:val="center"/>
        <w:rPr>
          <w:rFonts w:hAnsi="宋体"/>
          <w:color w:val="auto"/>
          <w:highlight w:val="none"/>
        </w:rPr>
      </w:pPr>
    </w:p>
    <w:p>
      <w:pPr>
        <w:pStyle w:val="22"/>
        <w:tabs>
          <w:tab w:val="left" w:pos="2472"/>
        </w:tabs>
        <w:snapToGrid w:val="0"/>
        <w:jc w:val="center"/>
        <w:rPr>
          <w:rFonts w:hAnsi="宋体"/>
          <w:color w:val="auto"/>
          <w:highlight w:val="none"/>
        </w:rPr>
      </w:pPr>
    </w:p>
    <w:p>
      <w:pPr>
        <w:pStyle w:val="22"/>
        <w:tabs>
          <w:tab w:val="left" w:pos="2472"/>
        </w:tabs>
        <w:snapToGrid w:val="0"/>
        <w:jc w:val="center"/>
        <w:rPr>
          <w:rFonts w:hAnsi="宋体"/>
          <w:color w:val="auto"/>
          <w:highlight w:val="none"/>
        </w:rPr>
      </w:pPr>
    </w:p>
    <w:p>
      <w:pPr>
        <w:pStyle w:val="22"/>
        <w:tabs>
          <w:tab w:val="left" w:pos="2472"/>
        </w:tabs>
        <w:snapToGrid w:val="0"/>
        <w:jc w:val="center"/>
        <w:rPr>
          <w:rFonts w:hAnsi="宋体"/>
          <w:color w:val="auto"/>
          <w:highlight w:val="none"/>
        </w:rPr>
      </w:pPr>
    </w:p>
    <w:p>
      <w:pPr>
        <w:pStyle w:val="22"/>
        <w:tabs>
          <w:tab w:val="left" w:pos="2472"/>
        </w:tabs>
        <w:snapToGrid w:val="0"/>
        <w:jc w:val="center"/>
        <w:rPr>
          <w:rFonts w:hAnsi="宋体"/>
          <w:color w:val="auto"/>
          <w:highlight w:val="none"/>
        </w:rPr>
      </w:pPr>
    </w:p>
    <w:p>
      <w:pPr>
        <w:pStyle w:val="22"/>
        <w:tabs>
          <w:tab w:val="left" w:pos="2472"/>
        </w:tabs>
        <w:snapToGrid w:val="0"/>
        <w:jc w:val="center"/>
        <w:outlineLvl w:val="0"/>
        <w:rPr>
          <w:rFonts w:hAnsi="宋体"/>
          <w:b/>
          <w:color w:val="auto"/>
          <w:sz w:val="44"/>
          <w:szCs w:val="44"/>
          <w:highlight w:val="none"/>
        </w:rPr>
      </w:pPr>
      <w:bookmarkStart w:id="102" w:name="_Toc20398"/>
      <w:bookmarkStart w:id="103" w:name="_Toc17669"/>
      <w:bookmarkStart w:id="104" w:name="_Toc23334"/>
      <w:r>
        <w:rPr>
          <w:rFonts w:hint="eastAsia" w:hAnsi="宋体"/>
          <w:b/>
          <w:color w:val="auto"/>
          <w:sz w:val="44"/>
          <w:szCs w:val="44"/>
          <w:highlight w:val="none"/>
        </w:rPr>
        <w:t>第六章 投标文件格式</w:t>
      </w:r>
      <w:bookmarkEnd w:id="102"/>
      <w:bookmarkEnd w:id="103"/>
      <w:bookmarkEnd w:id="104"/>
    </w:p>
    <w:p>
      <w:pPr>
        <w:spacing w:line="440" w:lineRule="atLeast"/>
        <w:jc w:val="center"/>
        <w:rPr>
          <w:rFonts w:ascii="宋体" w:hAnsi="宋体"/>
          <w:b/>
          <w:color w:val="auto"/>
          <w:sz w:val="32"/>
          <w:szCs w:val="32"/>
          <w:highlight w:val="none"/>
        </w:rPr>
      </w:pPr>
      <w:r>
        <w:rPr>
          <w:rFonts w:hint="eastAsia" w:ascii="宋体" w:hAnsi="宋体"/>
          <w:b/>
          <w:color w:val="auto"/>
          <w:sz w:val="32"/>
          <w:szCs w:val="32"/>
          <w:highlight w:val="none"/>
        </w:rPr>
        <w:t>（应根据项目的实际要求进行增减）</w:t>
      </w:r>
    </w:p>
    <w:p>
      <w:pPr>
        <w:snapToGrid w:val="0"/>
        <w:rPr>
          <w:rFonts w:ascii="宋体" w:hAnsi="宋体"/>
          <w:b/>
          <w:color w:val="auto"/>
          <w:sz w:val="24"/>
          <w:highlight w:val="none"/>
        </w:rPr>
      </w:pPr>
      <w:r>
        <w:rPr>
          <w:rFonts w:ascii="宋体" w:hAnsi="宋体"/>
          <w:color w:val="auto"/>
          <w:highlight w:val="none"/>
        </w:rPr>
        <w:br w:type="page"/>
      </w:r>
      <w:r>
        <w:rPr>
          <w:rFonts w:hint="eastAsia" w:ascii="宋体" w:hAnsi="宋体"/>
          <w:b/>
          <w:color w:val="auto"/>
          <w:sz w:val="24"/>
          <w:highlight w:val="none"/>
        </w:rPr>
        <w:t>开标一览表信封封面格式（可以手写，密封）：</w:t>
      </w:r>
    </w:p>
    <w:p>
      <w:pPr>
        <w:snapToGrid w:val="0"/>
        <w:rPr>
          <w:rFonts w:ascii="宋体" w:hAnsi="宋体"/>
          <w:color w:val="auto"/>
          <w:sz w:val="24"/>
          <w:highlight w:val="none"/>
        </w:rPr>
      </w:pPr>
    </w:p>
    <w:p>
      <w:pPr>
        <w:snapToGrid w:val="0"/>
        <w:rPr>
          <w:rFonts w:ascii="宋体" w:hAnsi="宋体"/>
          <w:color w:val="auto"/>
          <w:sz w:val="24"/>
          <w:highlight w:val="none"/>
        </w:rPr>
      </w:pPr>
    </w:p>
    <w:p>
      <w:pPr>
        <w:pStyle w:val="22"/>
        <w:snapToGrid w:val="0"/>
        <w:jc w:val="center"/>
        <w:rPr>
          <w:rFonts w:hAnsi="宋体"/>
          <w:color w:val="auto"/>
          <w:sz w:val="24"/>
          <w:szCs w:val="24"/>
          <w:highlight w:val="none"/>
        </w:rPr>
      </w:pPr>
      <w:r>
        <w:rPr>
          <w:rFonts w:hint="eastAsia" w:hAnsi="宋体"/>
          <w:color w:val="auto"/>
          <w:sz w:val="24"/>
          <w:szCs w:val="24"/>
          <w:highlight w:val="none"/>
        </w:rPr>
        <w:t>开标一览表</w:t>
      </w:r>
    </w:p>
    <w:p>
      <w:pPr>
        <w:snapToGrid w:val="0"/>
        <w:rPr>
          <w:rFonts w:ascii="宋体" w:hAnsi="宋体"/>
          <w:color w:val="auto"/>
          <w:sz w:val="24"/>
          <w:highlight w:val="none"/>
        </w:rPr>
      </w:pPr>
    </w:p>
    <w:p>
      <w:pPr>
        <w:snapToGrid w:val="0"/>
        <w:rPr>
          <w:rFonts w:ascii="宋体" w:hAnsi="宋体"/>
          <w:color w:val="auto"/>
          <w:sz w:val="24"/>
          <w:highlight w:val="none"/>
        </w:rPr>
      </w:pPr>
    </w:p>
    <w:p>
      <w:pPr>
        <w:snapToGrid w:val="0"/>
        <w:rPr>
          <w:rFonts w:ascii="宋体" w:hAnsi="宋体"/>
          <w:bCs/>
          <w:color w:val="auto"/>
          <w:sz w:val="24"/>
          <w:highlight w:val="none"/>
        </w:rPr>
      </w:pPr>
      <w:r>
        <w:rPr>
          <w:rFonts w:hint="eastAsia" w:ascii="宋体" w:hAnsi="宋体"/>
          <w:bCs/>
          <w:color w:val="auto"/>
          <w:sz w:val="24"/>
          <w:highlight w:val="none"/>
        </w:rPr>
        <w:t>项目名称：</w:t>
      </w:r>
      <w:r>
        <w:rPr>
          <w:rFonts w:hint="eastAsia" w:ascii="宋体" w:hAnsi="宋体"/>
          <w:color w:val="auto"/>
          <w:sz w:val="24"/>
          <w:highlight w:val="none"/>
          <w:u w:val="single"/>
        </w:rPr>
        <w:t xml:space="preserve">            </w:t>
      </w:r>
    </w:p>
    <w:p>
      <w:pPr>
        <w:snapToGrid w:val="0"/>
        <w:rPr>
          <w:rFonts w:ascii="宋体" w:hAnsi="宋体"/>
          <w:color w:val="auto"/>
          <w:sz w:val="24"/>
          <w:highlight w:val="none"/>
        </w:rPr>
      </w:pPr>
    </w:p>
    <w:p>
      <w:pPr>
        <w:snapToGrid w:val="0"/>
        <w:rPr>
          <w:rFonts w:ascii="宋体" w:hAnsi="宋体"/>
          <w:color w:val="auto"/>
          <w:sz w:val="24"/>
          <w:highlight w:val="none"/>
        </w:rPr>
      </w:pPr>
      <w:r>
        <w:rPr>
          <w:rFonts w:hint="eastAsia" w:ascii="宋体" w:hAnsi="宋体"/>
          <w:bCs/>
          <w:color w:val="auto"/>
          <w:sz w:val="24"/>
          <w:highlight w:val="none"/>
        </w:rPr>
        <w:t>项目</w:t>
      </w:r>
      <w:r>
        <w:rPr>
          <w:rFonts w:hint="eastAsia" w:ascii="宋体" w:hAnsi="宋体"/>
          <w:color w:val="auto"/>
          <w:sz w:val="24"/>
          <w:highlight w:val="none"/>
        </w:rPr>
        <w:t>编号：</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pPr>
        <w:snapToGrid w:val="0"/>
        <w:rPr>
          <w:rFonts w:ascii="宋体" w:hAnsi="宋体"/>
          <w:color w:val="auto"/>
          <w:sz w:val="24"/>
          <w:highlight w:val="none"/>
        </w:rPr>
      </w:pPr>
    </w:p>
    <w:p>
      <w:pPr>
        <w:snapToGrid w:val="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u w:val="single"/>
        </w:rPr>
        <w:t>　　</w:t>
      </w:r>
      <w:r>
        <w:rPr>
          <w:rFonts w:asciiTheme="minorEastAsia" w:hAnsiTheme="minorEastAsia" w:eastAsiaTheme="minorEastAsia"/>
          <w:color w:val="auto"/>
          <w:sz w:val="24"/>
          <w:highlight w:val="none"/>
        </w:rPr>
        <w:t>分标（此处有分标时填写具体分标号，无分标时填写“无”）</w:t>
      </w:r>
    </w:p>
    <w:p>
      <w:pPr>
        <w:snapToGrid w:val="0"/>
        <w:rPr>
          <w:rFonts w:ascii="宋体" w:hAnsi="宋体"/>
          <w:color w:val="auto"/>
          <w:sz w:val="24"/>
          <w:highlight w:val="none"/>
        </w:rPr>
      </w:pPr>
    </w:p>
    <w:p>
      <w:pPr>
        <w:snapToGrid w:val="0"/>
        <w:rPr>
          <w:rFonts w:ascii="宋体" w:hAnsi="宋体"/>
          <w:color w:val="auto"/>
          <w:sz w:val="24"/>
          <w:highlight w:val="none"/>
        </w:rPr>
      </w:pPr>
      <w:r>
        <w:rPr>
          <w:rFonts w:hint="eastAsia" w:ascii="宋体" w:hAnsi="宋体"/>
          <w:color w:val="auto"/>
          <w:sz w:val="24"/>
          <w:highlight w:val="none"/>
        </w:rPr>
        <w:t>投标人名称：</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pPr>
        <w:pStyle w:val="22"/>
        <w:snapToGrid w:val="0"/>
        <w:jc w:val="center"/>
        <w:rPr>
          <w:rFonts w:hAnsi="宋体"/>
          <w:color w:val="auto"/>
          <w:sz w:val="24"/>
          <w:szCs w:val="24"/>
          <w:highlight w:val="none"/>
        </w:rPr>
      </w:pPr>
    </w:p>
    <w:p>
      <w:pPr>
        <w:pStyle w:val="22"/>
        <w:snapToGrid w:val="0"/>
        <w:jc w:val="center"/>
        <w:rPr>
          <w:rFonts w:hAnsi="宋体"/>
          <w:color w:val="auto"/>
          <w:sz w:val="24"/>
          <w:szCs w:val="24"/>
          <w:highlight w:val="none"/>
        </w:rPr>
      </w:pPr>
    </w:p>
    <w:p>
      <w:pPr>
        <w:rPr>
          <w:rFonts w:ascii="宋体" w:hAnsi="宋体"/>
          <w:color w:val="auto"/>
          <w:sz w:val="24"/>
          <w:highlight w:val="none"/>
        </w:rPr>
      </w:pPr>
    </w:p>
    <w:p>
      <w:pPr>
        <w:pStyle w:val="8"/>
        <w:snapToGrid w:val="0"/>
        <w:ind w:firstLine="3960" w:firstLineChars="1650"/>
        <w:rPr>
          <w:rFonts w:ascii="宋体" w:hAnsi="宋体"/>
          <w:color w:val="auto"/>
          <w:sz w:val="24"/>
          <w:szCs w:val="24"/>
          <w:highlight w:val="none"/>
        </w:rPr>
      </w:pPr>
      <w:r>
        <w:rPr>
          <w:rFonts w:hint="eastAsia" w:ascii="宋体" w:hAnsi="宋体"/>
          <w:color w:val="auto"/>
          <w:sz w:val="24"/>
          <w:szCs w:val="24"/>
          <w:highlight w:val="none"/>
        </w:rPr>
        <w:t>在开标时间之前不得启封</w:t>
      </w:r>
    </w:p>
    <w:p>
      <w:pPr>
        <w:pStyle w:val="8"/>
        <w:snapToGrid w:val="0"/>
        <w:ind w:firstLine="998" w:firstLineChars="416"/>
        <w:rPr>
          <w:rFonts w:ascii="宋体" w:hAnsi="宋体"/>
          <w:color w:val="auto"/>
          <w:sz w:val="24"/>
          <w:szCs w:val="24"/>
          <w:highlight w:val="none"/>
        </w:rPr>
      </w:pPr>
    </w:p>
    <w:p>
      <w:pPr>
        <w:snapToGrid w:val="0"/>
        <w:ind w:firstLine="645"/>
        <w:jc w:val="center"/>
        <w:rPr>
          <w:rFonts w:ascii="宋体" w:hAnsi="宋体"/>
          <w:color w:val="auto"/>
          <w:sz w:val="24"/>
          <w:highlight w:val="none"/>
        </w:rPr>
      </w:pPr>
      <w:r>
        <w:rPr>
          <w:rFonts w:hint="eastAsia" w:ascii="宋体" w:hAnsi="宋体"/>
          <w:color w:val="auto"/>
          <w:sz w:val="24"/>
          <w:highlight w:val="none"/>
        </w:rPr>
        <w:t xml:space="preserve">                        年   月   日</w:t>
      </w:r>
    </w:p>
    <w:p>
      <w:pPr>
        <w:snapToGrid w:val="0"/>
        <w:rPr>
          <w:rFonts w:ascii="宋体" w:hAnsi="宋体"/>
          <w:b/>
          <w:color w:val="auto"/>
          <w:sz w:val="24"/>
          <w:highlight w:val="none"/>
        </w:rPr>
      </w:pPr>
      <w:r>
        <w:rPr>
          <w:rFonts w:ascii="宋体" w:hAnsi="宋体"/>
          <w:color w:val="auto"/>
          <w:sz w:val="24"/>
          <w:highlight w:val="none"/>
        </w:rPr>
        <w:br w:type="page"/>
      </w:r>
      <w:r>
        <w:rPr>
          <w:rFonts w:hint="eastAsia" w:ascii="宋体" w:hAnsi="宋体"/>
          <w:b/>
          <w:color w:val="auto"/>
          <w:sz w:val="24"/>
          <w:highlight w:val="none"/>
        </w:rPr>
        <w:t>开标一览表（格式）</w:t>
      </w:r>
    </w:p>
    <w:p>
      <w:pPr>
        <w:snapToGrid w:val="0"/>
        <w:jc w:val="center"/>
        <w:rPr>
          <w:rFonts w:ascii="宋体" w:hAnsi="宋体"/>
          <w:b/>
          <w:color w:val="auto"/>
          <w:sz w:val="32"/>
          <w:szCs w:val="32"/>
          <w:highlight w:val="none"/>
        </w:rPr>
      </w:pPr>
    </w:p>
    <w:p>
      <w:pPr>
        <w:snapToGrid w:val="0"/>
        <w:jc w:val="center"/>
        <w:rPr>
          <w:rFonts w:ascii="宋体" w:hAnsi="宋体"/>
          <w:b/>
          <w:color w:val="auto"/>
          <w:sz w:val="32"/>
          <w:szCs w:val="32"/>
          <w:highlight w:val="none"/>
        </w:rPr>
      </w:pPr>
      <w:r>
        <w:rPr>
          <w:rFonts w:hint="eastAsia" w:ascii="宋体" w:hAnsi="宋体"/>
          <w:b/>
          <w:color w:val="auto"/>
          <w:sz w:val="32"/>
          <w:szCs w:val="32"/>
          <w:highlight w:val="none"/>
        </w:rPr>
        <w:t>开标一览表</w:t>
      </w:r>
    </w:p>
    <w:p>
      <w:pPr>
        <w:snapToGrid w:val="0"/>
        <w:jc w:val="center"/>
        <w:rPr>
          <w:rFonts w:ascii="宋体" w:hAnsi="宋体"/>
          <w:b/>
          <w:color w:val="auto"/>
          <w:sz w:val="24"/>
          <w:highlight w:val="none"/>
        </w:rPr>
      </w:pPr>
    </w:p>
    <w:p>
      <w:pPr>
        <w:snapToGrid w:val="0"/>
        <w:rPr>
          <w:rFonts w:ascii="宋体" w:hAnsi="宋体"/>
          <w:color w:val="auto"/>
          <w:sz w:val="24"/>
          <w:highlight w:val="none"/>
        </w:rPr>
      </w:pPr>
      <w:r>
        <w:rPr>
          <w:rFonts w:hint="eastAsia" w:ascii="宋体" w:hAnsi="宋体"/>
          <w:bCs/>
          <w:color w:val="auto"/>
          <w:sz w:val="24"/>
          <w:highlight w:val="none"/>
        </w:rPr>
        <w:t>项目</w:t>
      </w:r>
      <w:r>
        <w:rPr>
          <w:rFonts w:hint="eastAsia" w:ascii="宋体" w:hAnsi="宋体"/>
          <w:color w:val="auto"/>
          <w:sz w:val="24"/>
          <w:highlight w:val="none"/>
        </w:rPr>
        <w:t xml:space="preserve">编号：                                   </w:t>
      </w:r>
    </w:p>
    <w:p>
      <w:pPr>
        <w:snapToGrid w:val="0"/>
        <w:rPr>
          <w:rFonts w:ascii="仿宋_GB2312" w:eastAsia="仿宋_GB2312"/>
          <w:color w:val="auto"/>
          <w:sz w:val="24"/>
          <w:highlight w:val="none"/>
        </w:rPr>
      </w:pPr>
      <w:r>
        <w:rPr>
          <w:rFonts w:hint="eastAsia" w:ascii="宋体" w:hAnsi="宋体"/>
          <w:color w:val="auto"/>
          <w:sz w:val="24"/>
          <w:highlight w:val="none"/>
        </w:rPr>
        <w:t>投标人名称：</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pPr>
        <w:snapToGrid w:val="0"/>
        <w:ind w:firstLine="480" w:firstLineChars="200"/>
        <w:jc w:val="left"/>
        <w:rPr>
          <w:rFonts w:ascii="仿宋_GB2312" w:eastAsia="仿宋_GB2312"/>
          <w:color w:val="auto"/>
          <w:sz w:val="24"/>
          <w:highlight w:val="none"/>
        </w:rPr>
      </w:pPr>
    </w:p>
    <w:tbl>
      <w:tblPr>
        <w:tblStyle w:val="37"/>
        <w:tblW w:w="8859"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260"/>
        <w:gridCol w:w="2065"/>
        <w:gridCol w:w="1080"/>
        <w:gridCol w:w="1260"/>
        <w:gridCol w:w="1517"/>
        <w:gridCol w:w="9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3" w:hRule="atLeast"/>
          <w:jc w:val="right"/>
        </w:trPr>
        <w:tc>
          <w:tcPr>
            <w:tcW w:w="72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序号</w:t>
            </w: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服务名称</w:t>
            </w:r>
          </w:p>
        </w:tc>
        <w:tc>
          <w:tcPr>
            <w:tcW w:w="2065"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color w:val="auto"/>
                <w:highlight w:val="none"/>
              </w:rPr>
            </w:pPr>
            <w:r>
              <w:rPr>
                <w:rFonts w:eastAsia="仿宋_GB2312"/>
                <w:color w:val="auto"/>
                <w:highlight w:val="none"/>
              </w:rPr>
              <w:t>服务内容</w:t>
            </w: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color w:val="auto"/>
                <w:highlight w:val="none"/>
              </w:rPr>
            </w:pPr>
            <w:r>
              <w:rPr>
                <w:rFonts w:eastAsia="仿宋_GB2312"/>
                <w:color w:val="auto"/>
                <w:highlight w:val="none"/>
              </w:rPr>
              <w:t>数量①</w:t>
            </w: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单价(元)②</w:t>
            </w:r>
          </w:p>
        </w:tc>
        <w:tc>
          <w:tcPr>
            <w:tcW w:w="151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单项合价（元）</w:t>
            </w:r>
          </w:p>
          <w:p>
            <w:pPr>
              <w:rPr>
                <w:rFonts w:eastAsia="仿宋_GB2312"/>
                <w:color w:val="auto"/>
                <w:highlight w:val="none"/>
              </w:rPr>
            </w:pPr>
            <w:r>
              <w:rPr>
                <w:rFonts w:eastAsia="仿宋_GB2312"/>
                <w:color w:val="auto"/>
                <w:highlight w:val="none"/>
              </w:rPr>
              <w:t>③＝①×②</w:t>
            </w:r>
          </w:p>
        </w:tc>
        <w:tc>
          <w:tcPr>
            <w:tcW w:w="95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5" w:hRule="atLeast"/>
          <w:jc w:val="right"/>
        </w:trPr>
        <w:tc>
          <w:tcPr>
            <w:tcW w:w="72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1</w:t>
            </w: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2065"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51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95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1" w:hRule="atLeast"/>
          <w:jc w:val="right"/>
        </w:trPr>
        <w:tc>
          <w:tcPr>
            <w:tcW w:w="72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2</w:t>
            </w: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2065"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51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95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8" w:hRule="atLeast"/>
          <w:jc w:val="right"/>
        </w:trPr>
        <w:tc>
          <w:tcPr>
            <w:tcW w:w="72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w:t>
            </w: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2065"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51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95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8859" w:type="dxa"/>
            <w:gridSpan w:val="7"/>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报价合计（包含税费等所有费用）：（大写）人民币                                       （￥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8859" w:type="dxa"/>
            <w:gridSpan w:val="7"/>
            <w:tcBorders>
              <w:top w:val="single" w:color="auto" w:sz="4" w:space="0"/>
              <w:left w:val="single" w:color="auto" w:sz="4" w:space="0"/>
              <w:bottom w:val="single" w:color="auto" w:sz="4" w:space="0"/>
              <w:right w:val="single" w:color="auto" w:sz="4" w:space="0"/>
            </w:tcBorders>
            <w:vAlign w:val="center"/>
          </w:tcPr>
          <w:p>
            <w:pPr>
              <w:tabs>
                <w:tab w:val="left" w:pos="864"/>
              </w:tabs>
              <w:rPr>
                <w:rFonts w:eastAsia="仿宋_GB2312"/>
                <w:color w:val="auto"/>
                <w:szCs w:val="21"/>
                <w:highlight w:val="none"/>
                <w:u w:val="single"/>
              </w:rPr>
            </w:pPr>
            <w:r>
              <w:rPr>
                <w:rFonts w:eastAsia="仿宋_GB2312"/>
                <w:color w:val="auto"/>
                <w:szCs w:val="21"/>
                <w:highlight w:val="none"/>
              </w:rPr>
              <w:t>提交服务成果时间</w:t>
            </w:r>
            <w:r>
              <w:rPr>
                <w:rFonts w:hint="eastAsia" w:eastAsia="仿宋_GB2312"/>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8859" w:type="dxa"/>
            <w:gridSpan w:val="7"/>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szCs w:val="21"/>
                <w:highlight w:val="none"/>
                <w:u w:val="single"/>
              </w:rPr>
              <w:t>　　</w:t>
            </w:r>
            <w:r>
              <w:rPr>
                <w:rFonts w:eastAsia="仿宋_GB2312"/>
                <w:color w:val="auto"/>
                <w:szCs w:val="21"/>
                <w:highlight w:val="none"/>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8859" w:type="dxa"/>
            <w:gridSpan w:val="7"/>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投标人（盖单位公章</w:t>
            </w:r>
            <w:r>
              <w:rPr>
                <w:rFonts w:hint="eastAsia" w:eastAsia="仿宋_GB2312"/>
                <w:color w:val="auto"/>
                <w:highlight w:val="none"/>
              </w:rPr>
              <w:t>，自然人除外</w:t>
            </w:r>
            <w:r>
              <w:rPr>
                <w:rFonts w:eastAsia="仿宋_GB2312"/>
                <w:color w:val="auto"/>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8859" w:type="dxa"/>
            <w:gridSpan w:val="7"/>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法定代表人或其委托代理人（签字或盖章）：</w:t>
            </w:r>
          </w:p>
          <w:p>
            <w:pPr>
              <w:rPr>
                <w:rFonts w:eastAsia="仿宋_GB2312"/>
                <w:color w:val="auto"/>
                <w:highlight w:val="none"/>
              </w:rPr>
            </w:pPr>
            <w:r>
              <w:rPr>
                <w:rFonts w:hint="eastAsia" w:ascii="宋体" w:hAnsi="宋体"/>
                <w:color w:val="auto"/>
                <w:szCs w:val="21"/>
                <w:highlight w:val="none"/>
              </w:rPr>
              <w:t>（</w:t>
            </w:r>
            <w:r>
              <w:rPr>
                <w:rFonts w:hint="eastAsia" w:eastAsia="仿宋_GB2312"/>
                <w:color w:val="auto"/>
                <w:highlight w:val="none"/>
              </w:rPr>
              <w:t>投标人属自然人的应由自然人签字并加盖指印，投标人若为其他组织形式无法定代表人的应由机构负责人</w:t>
            </w:r>
            <w:r>
              <w:rPr>
                <w:rFonts w:eastAsia="仿宋_GB2312"/>
                <w:color w:val="auto"/>
                <w:highlight w:val="none"/>
              </w:rPr>
              <w:t>签字或盖章</w:t>
            </w:r>
            <w:r>
              <w:rPr>
                <w:rFonts w:hint="eastAsia" w:ascii="宋体" w:hAnsi="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8859" w:type="dxa"/>
            <w:gridSpan w:val="7"/>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hint="eastAsia" w:eastAsia="仿宋_GB2312"/>
                <w:color w:val="auto"/>
                <w:highlight w:val="none"/>
              </w:rPr>
              <w:t>日期：       年   月   日</w:t>
            </w:r>
          </w:p>
        </w:tc>
      </w:tr>
    </w:tbl>
    <w:p>
      <w:pPr>
        <w:snapToGrid w:val="0"/>
        <w:ind w:firstLine="480" w:firstLineChars="200"/>
        <w:jc w:val="left"/>
        <w:rPr>
          <w:rFonts w:ascii="仿宋_GB2312" w:eastAsia="仿宋_GB2312"/>
          <w:color w:val="auto"/>
          <w:sz w:val="24"/>
          <w:highlight w:val="none"/>
        </w:rPr>
      </w:pPr>
    </w:p>
    <w:p>
      <w:pPr>
        <w:snapToGrid w:val="0"/>
        <w:ind w:firstLine="480" w:firstLineChars="200"/>
        <w:jc w:val="left"/>
        <w:rPr>
          <w:rFonts w:ascii="仿宋_GB2312" w:eastAsia="仿宋_GB2312"/>
          <w:color w:val="auto"/>
          <w:sz w:val="24"/>
          <w:highlight w:val="none"/>
        </w:rPr>
      </w:pPr>
      <w:r>
        <w:rPr>
          <w:rFonts w:hint="eastAsia" w:ascii="仿宋_GB2312" w:eastAsia="仿宋_GB2312"/>
          <w:color w:val="auto"/>
          <w:sz w:val="24"/>
          <w:highlight w:val="none"/>
        </w:rPr>
        <w:t>注：1、表格内容均需按要求填写并盖章，不得留空, 否则按投标无效处理。</w:t>
      </w:r>
    </w:p>
    <w:p>
      <w:pPr>
        <w:snapToGrid w:val="0"/>
        <w:ind w:firstLine="480" w:firstLineChars="200"/>
        <w:jc w:val="left"/>
        <w:rPr>
          <w:rFonts w:ascii="仿宋_GB2312" w:eastAsia="仿宋_GB2312"/>
          <w:color w:val="auto"/>
          <w:sz w:val="24"/>
          <w:highlight w:val="none"/>
        </w:rPr>
      </w:pPr>
      <w:r>
        <w:rPr>
          <w:rFonts w:hint="eastAsia" w:ascii="仿宋_GB2312" w:eastAsia="仿宋_GB2312"/>
          <w:color w:val="auto"/>
          <w:sz w:val="24"/>
          <w:highlight w:val="none"/>
        </w:rPr>
        <w:t xml:space="preserve">    2、以上“报价合计”应与“投标报价明细表”中的“报价合计”相一致。</w:t>
      </w:r>
    </w:p>
    <w:p>
      <w:pPr>
        <w:pStyle w:val="8"/>
        <w:snapToGrid w:val="0"/>
        <w:ind w:firstLine="960" w:firstLineChars="400"/>
        <w:jc w:val="left"/>
        <w:rPr>
          <w:rFonts w:ascii="仿宋_GB2312" w:eastAsia="仿宋_GB2312"/>
          <w:color w:val="auto"/>
          <w:sz w:val="24"/>
          <w:szCs w:val="24"/>
          <w:highlight w:val="none"/>
        </w:rPr>
      </w:pPr>
      <w:r>
        <w:rPr>
          <w:rFonts w:hint="eastAsia" w:ascii="仿宋_GB2312" w:eastAsia="仿宋_GB2312"/>
          <w:color w:val="auto"/>
          <w:sz w:val="24"/>
          <w:szCs w:val="24"/>
          <w:highlight w:val="none"/>
        </w:rPr>
        <w:t>3、此表请单独用信封封装，信封封面请注明招标编号、标项、投标人名称及“开标一览表”字样。如有多个标段的，每表须分别单独用信封密封。</w:t>
      </w:r>
    </w:p>
    <w:p>
      <w:pPr>
        <w:snapToGrid w:val="0"/>
        <w:ind w:firstLine="480" w:firstLineChars="200"/>
        <w:jc w:val="left"/>
        <w:rPr>
          <w:rFonts w:ascii="宋体" w:hAnsi="宋体"/>
          <w:color w:val="auto"/>
          <w:sz w:val="24"/>
          <w:highlight w:val="none"/>
        </w:rPr>
      </w:pPr>
      <w:r>
        <w:rPr>
          <w:rFonts w:hint="eastAsia" w:ascii="宋体" w:hAnsi="宋体"/>
          <w:color w:val="auto"/>
          <w:sz w:val="24"/>
          <w:highlight w:val="none"/>
        </w:rPr>
        <w:t xml:space="preserve">   </w:t>
      </w:r>
    </w:p>
    <w:p>
      <w:pPr>
        <w:snapToGrid w:val="0"/>
        <w:rPr>
          <w:rFonts w:ascii="宋体" w:hAnsi="宋体"/>
          <w:color w:val="auto"/>
          <w:sz w:val="24"/>
          <w:highlight w:val="none"/>
        </w:rPr>
      </w:pPr>
    </w:p>
    <w:p>
      <w:pPr>
        <w:snapToGrid w:val="0"/>
        <w:rPr>
          <w:rFonts w:ascii="宋体" w:hAnsi="宋体"/>
          <w:color w:val="auto"/>
          <w:sz w:val="24"/>
          <w:highlight w:val="none"/>
        </w:rPr>
      </w:pPr>
    </w:p>
    <w:p>
      <w:pPr>
        <w:snapToGrid w:val="0"/>
        <w:rPr>
          <w:rFonts w:ascii="宋体" w:hAnsi="宋体"/>
          <w:b/>
          <w:bCs/>
          <w:color w:val="auto"/>
          <w:sz w:val="24"/>
          <w:highlight w:val="none"/>
        </w:rPr>
      </w:pPr>
      <w:r>
        <w:rPr>
          <w:rFonts w:ascii="宋体" w:hAnsi="宋体"/>
          <w:b/>
          <w:bCs/>
          <w:color w:val="auto"/>
          <w:sz w:val="32"/>
          <w:szCs w:val="32"/>
          <w:highlight w:val="none"/>
        </w:rPr>
        <w:br w:type="page"/>
      </w:r>
      <w:r>
        <w:rPr>
          <w:rFonts w:hint="eastAsia" w:ascii="宋体" w:hAnsi="宋体"/>
          <w:b/>
          <w:color w:val="auto"/>
          <w:sz w:val="24"/>
          <w:highlight w:val="none"/>
        </w:rPr>
        <w:t>1.封套</w:t>
      </w:r>
      <w:r>
        <w:rPr>
          <w:rFonts w:hint="eastAsia" w:ascii="宋体" w:hAnsi="宋体"/>
          <w:b/>
          <w:bCs/>
          <w:color w:val="auto"/>
          <w:sz w:val="24"/>
          <w:highlight w:val="none"/>
        </w:rPr>
        <w:t>格式：</w:t>
      </w:r>
    </w:p>
    <w:p>
      <w:pPr>
        <w:snapToGrid w:val="0"/>
        <w:rPr>
          <w:rFonts w:ascii="宋体" w:hAnsi="宋体"/>
          <w:bCs/>
          <w:color w:val="auto"/>
          <w:sz w:val="24"/>
          <w:highlight w:val="none"/>
        </w:rPr>
      </w:pPr>
    </w:p>
    <w:p>
      <w:pPr>
        <w:snapToGrid w:val="0"/>
        <w:jc w:val="center"/>
        <w:rPr>
          <w:rFonts w:ascii="宋体" w:hAnsi="宋体"/>
          <w:b/>
          <w:bCs/>
          <w:color w:val="auto"/>
          <w:sz w:val="44"/>
          <w:szCs w:val="44"/>
          <w:highlight w:val="none"/>
        </w:rPr>
      </w:pPr>
    </w:p>
    <w:p>
      <w:pPr>
        <w:snapToGrid w:val="0"/>
        <w:jc w:val="center"/>
        <w:rPr>
          <w:rFonts w:ascii="宋体" w:hAnsi="宋体"/>
          <w:b/>
          <w:bCs/>
          <w:color w:val="auto"/>
          <w:sz w:val="44"/>
          <w:szCs w:val="44"/>
          <w:highlight w:val="none"/>
        </w:rPr>
      </w:pPr>
    </w:p>
    <w:p>
      <w:pPr>
        <w:snapToGrid w:val="0"/>
        <w:jc w:val="center"/>
        <w:rPr>
          <w:rFonts w:ascii="宋体" w:hAnsi="宋体"/>
          <w:b/>
          <w:bCs/>
          <w:color w:val="auto"/>
          <w:sz w:val="44"/>
          <w:szCs w:val="44"/>
          <w:highlight w:val="none"/>
        </w:rPr>
      </w:pPr>
    </w:p>
    <w:p>
      <w:pPr>
        <w:snapToGrid w:val="0"/>
        <w:jc w:val="center"/>
        <w:rPr>
          <w:rFonts w:ascii="宋体" w:hAnsi="宋体"/>
          <w:b/>
          <w:bCs/>
          <w:color w:val="auto"/>
          <w:sz w:val="44"/>
          <w:szCs w:val="44"/>
          <w:highlight w:val="none"/>
        </w:rPr>
      </w:pPr>
      <w:r>
        <w:rPr>
          <w:rFonts w:hint="eastAsia" w:ascii="宋体" w:hAnsi="宋体"/>
          <w:b/>
          <w:bCs/>
          <w:color w:val="auto"/>
          <w:sz w:val="44"/>
          <w:szCs w:val="44"/>
          <w:highlight w:val="none"/>
        </w:rPr>
        <w:t>投标文件</w:t>
      </w:r>
    </w:p>
    <w:p>
      <w:pPr>
        <w:snapToGrid w:val="0"/>
        <w:ind w:firstLine="1424" w:firstLineChars="445"/>
        <w:rPr>
          <w:rFonts w:ascii="宋体" w:hAnsi="宋体"/>
          <w:bCs/>
          <w:color w:val="auto"/>
          <w:sz w:val="32"/>
          <w:szCs w:val="32"/>
          <w:highlight w:val="none"/>
        </w:rPr>
      </w:pPr>
    </w:p>
    <w:p>
      <w:pPr>
        <w:snapToGrid w:val="0"/>
        <w:ind w:firstLine="1424" w:firstLineChars="445"/>
        <w:rPr>
          <w:rFonts w:ascii="宋体" w:hAnsi="宋体"/>
          <w:bCs/>
          <w:color w:val="auto"/>
          <w:sz w:val="32"/>
          <w:szCs w:val="32"/>
          <w:highlight w:val="none"/>
        </w:rPr>
      </w:pPr>
    </w:p>
    <w:p>
      <w:pPr>
        <w:snapToGrid w:val="0"/>
        <w:ind w:firstLine="1430" w:firstLineChars="445"/>
        <w:rPr>
          <w:rFonts w:ascii="宋体" w:hAnsi="宋体"/>
          <w:b/>
          <w:bCs/>
          <w:color w:val="auto"/>
          <w:sz w:val="32"/>
          <w:szCs w:val="32"/>
          <w:highlight w:val="none"/>
        </w:rPr>
      </w:pPr>
      <w:r>
        <w:rPr>
          <w:rFonts w:hint="eastAsia" w:ascii="宋体" w:hAnsi="宋体"/>
          <w:b/>
          <w:bCs/>
          <w:color w:val="auto"/>
          <w:sz w:val="32"/>
          <w:szCs w:val="32"/>
          <w:highlight w:val="none"/>
        </w:rPr>
        <w:t>项目名称：</w:t>
      </w:r>
    </w:p>
    <w:p>
      <w:pPr>
        <w:snapToGrid w:val="0"/>
        <w:ind w:firstLine="643" w:firstLineChars="200"/>
        <w:rPr>
          <w:rFonts w:ascii="宋体" w:hAnsi="宋体"/>
          <w:b/>
          <w:bCs/>
          <w:color w:val="auto"/>
          <w:sz w:val="32"/>
          <w:szCs w:val="32"/>
          <w:highlight w:val="none"/>
        </w:rPr>
      </w:pPr>
      <w:r>
        <w:rPr>
          <w:rFonts w:hint="eastAsia" w:ascii="宋体" w:hAnsi="宋体"/>
          <w:b/>
          <w:bCs/>
          <w:color w:val="auto"/>
          <w:sz w:val="32"/>
          <w:szCs w:val="32"/>
          <w:highlight w:val="none"/>
        </w:rPr>
        <w:t xml:space="preserve">     项目编号： </w:t>
      </w:r>
    </w:p>
    <w:p>
      <w:pPr>
        <w:snapToGrid w:val="0"/>
        <w:ind w:firstLine="643" w:firstLineChars="200"/>
        <w:rPr>
          <w:rFonts w:ascii="宋体" w:hAnsi="宋体"/>
          <w:b/>
          <w:bCs/>
          <w:color w:val="auto"/>
          <w:sz w:val="32"/>
          <w:szCs w:val="32"/>
          <w:highlight w:val="none"/>
        </w:rPr>
      </w:pPr>
      <w:r>
        <w:rPr>
          <w:rFonts w:hint="eastAsia" w:ascii="宋体" w:hAnsi="宋体"/>
          <w:b/>
          <w:bCs/>
          <w:color w:val="auto"/>
          <w:sz w:val="32"/>
          <w:szCs w:val="32"/>
          <w:highlight w:val="none"/>
        </w:rPr>
        <w:t xml:space="preserve">     标项（如有）：</w:t>
      </w:r>
    </w:p>
    <w:p>
      <w:pPr>
        <w:pStyle w:val="8"/>
        <w:snapToGrid w:val="0"/>
        <w:ind w:firstLine="1336" w:firstLineChars="416"/>
        <w:rPr>
          <w:rFonts w:ascii="宋体" w:hAnsi="宋体"/>
          <w:b/>
          <w:bCs/>
          <w:color w:val="auto"/>
          <w:sz w:val="32"/>
          <w:szCs w:val="32"/>
          <w:highlight w:val="none"/>
        </w:rPr>
      </w:pPr>
    </w:p>
    <w:p>
      <w:pPr>
        <w:pStyle w:val="8"/>
        <w:snapToGrid w:val="0"/>
        <w:ind w:firstLine="1336" w:firstLineChars="416"/>
        <w:rPr>
          <w:rFonts w:ascii="宋体" w:hAnsi="宋体"/>
          <w:b/>
          <w:bCs/>
          <w:color w:val="auto"/>
          <w:sz w:val="32"/>
          <w:szCs w:val="32"/>
          <w:highlight w:val="none"/>
        </w:rPr>
      </w:pPr>
    </w:p>
    <w:p>
      <w:pPr>
        <w:pStyle w:val="8"/>
        <w:snapToGrid w:val="0"/>
        <w:ind w:firstLine="1336" w:firstLineChars="416"/>
        <w:rPr>
          <w:rFonts w:ascii="宋体" w:hAnsi="宋体"/>
          <w:b/>
          <w:bCs/>
          <w:color w:val="auto"/>
          <w:sz w:val="32"/>
          <w:szCs w:val="32"/>
          <w:highlight w:val="none"/>
        </w:rPr>
      </w:pPr>
    </w:p>
    <w:p>
      <w:pPr>
        <w:pStyle w:val="8"/>
        <w:snapToGrid w:val="0"/>
        <w:ind w:firstLine="1336" w:firstLineChars="416"/>
        <w:rPr>
          <w:rFonts w:ascii="宋体" w:hAnsi="宋体"/>
          <w:b/>
          <w:bCs/>
          <w:color w:val="auto"/>
          <w:sz w:val="32"/>
          <w:szCs w:val="32"/>
          <w:highlight w:val="none"/>
        </w:rPr>
      </w:pPr>
    </w:p>
    <w:p>
      <w:pPr>
        <w:pStyle w:val="8"/>
        <w:snapToGrid w:val="0"/>
        <w:ind w:firstLine="1336" w:firstLineChars="416"/>
        <w:rPr>
          <w:rFonts w:ascii="宋体" w:hAnsi="宋体"/>
          <w:b/>
          <w:bCs/>
          <w:color w:val="auto"/>
          <w:sz w:val="32"/>
          <w:szCs w:val="32"/>
          <w:highlight w:val="none"/>
        </w:rPr>
      </w:pPr>
    </w:p>
    <w:p>
      <w:pPr>
        <w:pStyle w:val="8"/>
        <w:snapToGrid w:val="0"/>
        <w:ind w:firstLine="1336" w:firstLineChars="416"/>
        <w:rPr>
          <w:rFonts w:ascii="宋体" w:hAnsi="宋体"/>
          <w:b/>
          <w:bCs/>
          <w:color w:val="auto"/>
          <w:sz w:val="32"/>
          <w:szCs w:val="32"/>
          <w:highlight w:val="none"/>
        </w:rPr>
      </w:pPr>
    </w:p>
    <w:p>
      <w:pPr>
        <w:pStyle w:val="8"/>
        <w:snapToGrid w:val="0"/>
        <w:ind w:firstLine="1336" w:firstLineChars="416"/>
        <w:rPr>
          <w:rFonts w:ascii="宋体" w:hAnsi="宋体"/>
          <w:b/>
          <w:bCs/>
          <w:color w:val="auto"/>
          <w:sz w:val="32"/>
          <w:szCs w:val="32"/>
          <w:highlight w:val="none"/>
        </w:rPr>
      </w:pPr>
    </w:p>
    <w:p>
      <w:pPr>
        <w:pStyle w:val="8"/>
        <w:snapToGrid w:val="0"/>
        <w:ind w:firstLine="1336" w:firstLineChars="416"/>
        <w:rPr>
          <w:rFonts w:ascii="宋体" w:hAnsi="宋体"/>
          <w:b/>
          <w:bCs/>
          <w:color w:val="auto"/>
          <w:sz w:val="32"/>
          <w:szCs w:val="32"/>
          <w:highlight w:val="none"/>
        </w:rPr>
      </w:pPr>
    </w:p>
    <w:p>
      <w:pPr>
        <w:pStyle w:val="8"/>
        <w:snapToGrid w:val="0"/>
        <w:ind w:firstLine="1336" w:firstLineChars="416"/>
        <w:rPr>
          <w:rFonts w:ascii="宋体" w:hAnsi="宋体"/>
          <w:b/>
          <w:bCs/>
          <w:color w:val="auto"/>
          <w:sz w:val="32"/>
          <w:szCs w:val="32"/>
          <w:highlight w:val="none"/>
        </w:rPr>
      </w:pPr>
    </w:p>
    <w:p>
      <w:pPr>
        <w:pStyle w:val="8"/>
        <w:snapToGrid w:val="0"/>
        <w:ind w:firstLine="1336" w:firstLineChars="416"/>
        <w:rPr>
          <w:rFonts w:ascii="宋体" w:hAnsi="宋体"/>
          <w:b/>
          <w:bCs/>
          <w:color w:val="auto"/>
          <w:sz w:val="32"/>
          <w:szCs w:val="32"/>
          <w:highlight w:val="none"/>
        </w:rPr>
      </w:pPr>
    </w:p>
    <w:p>
      <w:pPr>
        <w:pStyle w:val="8"/>
        <w:snapToGrid w:val="0"/>
        <w:ind w:firstLine="1336" w:firstLineChars="416"/>
        <w:rPr>
          <w:rFonts w:ascii="宋体" w:hAnsi="宋体"/>
          <w:b/>
          <w:bCs/>
          <w:color w:val="auto"/>
          <w:sz w:val="32"/>
          <w:szCs w:val="32"/>
          <w:highlight w:val="none"/>
        </w:rPr>
      </w:pPr>
    </w:p>
    <w:p>
      <w:pPr>
        <w:pStyle w:val="8"/>
        <w:snapToGrid w:val="0"/>
        <w:ind w:firstLine="1336" w:firstLineChars="416"/>
        <w:rPr>
          <w:rFonts w:ascii="宋体" w:hAnsi="宋体"/>
          <w:b/>
          <w:bCs/>
          <w:color w:val="auto"/>
          <w:sz w:val="32"/>
          <w:szCs w:val="32"/>
          <w:highlight w:val="none"/>
        </w:rPr>
      </w:pPr>
    </w:p>
    <w:p>
      <w:pPr>
        <w:pStyle w:val="8"/>
        <w:snapToGrid w:val="0"/>
        <w:ind w:firstLine="1336" w:firstLineChars="416"/>
        <w:rPr>
          <w:rFonts w:ascii="宋体" w:hAnsi="宋体"/>
          <w:b/>
          <w:bCs/>
          <w:color w:val="auto"/>
          <w:sz w:val="32"/>
          <w:szCs w:val="32"/>
          <w:highlight w:val="none"/>
        </w:rPr>
      </w:pPr>
    </w:p>
    <w:p>
      <w:pPr>
        <w:pStyle w:val="8"/>
        <w:snapToGrid w:val="0"/>
        <w:ind w:firstLine="1336" w:firstLineChars="416"/>
        <w:rPr>
          <w:rFonts w:ascii="宋体" w:hAnsi="宋体"/>
          <w:b/>
          <w:bCs/>
          <w:color w:val="auto"/>
          <w:sz w:val="32"/>
          <w:szCs w:val="32"/>
          <w:highlight w:val="none"/>
        </w:rPr>
      </w:pPr>
      <w:r>
        <w:rPr>
          <w:rFonts w:hint="eastAsia" w:ascii="宋体" w:hAnsi="宋体"/>
          <w:b/>
          <w:bCs/>
          <w:color w:val="auto"/>
          <w:sz w:val="32"/>
          <w:szCs w:val="32"/>
          <w:highlight w:val="none"/>
        </w:rPr>
        <w:t>投标人名称：</w:t>
      </w:r>
    </w:p>
    <w:p>
      <w:pPr>
        <w:pStyle w:val="8"/>
        <w:snapToGrid w:val="0"/>
        <w:ind w:firstLine="1336" w:firstLineChars="416"/>
        <w:rPr>
          <w:rFonts w:ascii="宋体" w:hAnsi="宋体"/>
          <w:b/>
          <w:bCs/>
          <w:color w:val="auto"/>
          <w:sz w:val="32"/>
          <w:szCs w:val="32"/>
          <w:highlight w:val="none"/>
        </w:rPr>
      </w:pPr>
      <w:r>
        <w:rPr>
          <w:rFonts w:hint="eastAsia" w:ascii="宋体" w:hAnsi="宋体"/>
          <w:b/>
          <w:bCs/>
          <w:color w:val="auto"/>
          <w:sz w:val="32"/>
          <w:szCs w:val="32"/>
          <w:highlight w:val="none"/>
        </w:rPr>
        <w:t>投标人地址：</w:t>
      </w:r>
    </w:p>
    <w:p>
      <w:pPr>
        <w:pStyle w:val="8"/>
        <w:snapToGrid w:val="0"/>
        <w:ind w:firstLine="1336" w:firstLineChars="416"/>
        <w:rPr>
          <w:rFonts w:ascii="宋体" w:hAnsi="宋体"/>
          <w:b/>
          <w:bCs/>
          <w:color w:val="auto"/>
          <w:sz w:val="32"/>
          <w:szCs w:val="32"/>
          <w:highlight w:val="none"/>
        </w:rPr>
      </w:pPr>
    </w:p>
    <w:p>
      <w:pPr>
        <w:pStyle w:val="8"/>
        <w:snapToGrid w:val="0"/>
        <w:ind w:firstLine="1336" w:firstLineChars="416"/>
        <w:rPr>
          <w:rFonts w:ascii="宋体" w:hAnsi="宋体"/>
          <w:b/>
          <w:bCs/>
          <w:color w:val="auto"/>
          <w:sz w:val="32"/>
          <w:szCs w:val="32"/>
          <w:highlight w:val="none"/>
        </w:rPr>
      </w:pPr>
    </w:p>
    <w:p>
      <w:pPr>
        <w:snapToGrid w:val="0"/>
        <w:ind w:firstLine="645"/>
        <w:jc w:val="center"/>
        <w:rPr>
          <w:rFonts w:ascii="宋体" w:hAnsi="宋体"/>
          <w:b/>
          <w:color w:val="auto"/>
          <w:sz w:val="32"/>
          <w:szCs w:val="32"/>
          <w:highlight w:val="none"/>
        </w:rPr>
      </w:pPr>
      <w:r>
        <w:rPr>
          <w:rFonts w:hint="eastAsia" w:ascii="宋体" w:hAnsi="宋体"/>
          <w:b/>
          <w:color w:val="auto"/>
          <w:sz w:val="32"/>
          <w:szCs w:val="32"/>
          <w:highlight w:val="none"/>
        </w:rPr>
        <w:t xml:space="preserve">  在    年   月  日  时  分前不得开启日</w:t>
      </w:r>
    </w:p>
    <w:p>
      <w:pPr>
        <w:snapToGrid w:val="0"/>
        <w:rPr>
          <w:rFonts w:ascii="宋体" w:hAnsi="宋体"/>
          <w:b/>
          <w:color w:val="auto"/>
          <w:sz w:val="24"/>
          <w:highlight w:val="none"/>
        </w:rPr>
      </w:pPr>
    </w:p>
    <w:p>
      <w:pPr>
        <w:snapToGrid w:val="0"/>
        <w:rPr>
          <w:rFonts w:ascii="宋体" w:hAnsi="宋体"/>
          <w:b/>
          <w:color w:val="auto"/>
          <w:sz w:val="24"/>
          <w:highlight w:val="none"/>
        </w:rPr>
      </w:pPr>
      <w:r>
        <w:rPr>
          <w:rFonts w:ascii="宋体" w:hAnsi="宋体"/>
          <w:b/>
          <w:color w:val="auto"/>
          <w:sz w:val="24"/>
          <w:highlight w:val="none"/>
        </w:rPr>
        <w:br w:type="textWrapping"/>
      </w:r>
      <w:r>
        <w:rPr>
          <w:rFonts w:ascii="宋体" w:hAnsi="宋体"/>
          <w:b/>
          <w:color w:val="auto"/>
          <w:sz w:val="24"/>
          <w:highlight w:val="none"/>
        </w:rPr>
        <w:br w:type="page"/>
      </w:r>
      <w:r>
        <w:rPr>
          <w:rFonts w:hint="eastAsia" w:ascii="宋体" w:hAnsi="宋体"/>
          <w:b/>
          <w:color w:val="auto"/>
          <w:sz w:val="24"/>
          <w:highlight w:val="none"/>
        </w:rPr>
        <w:t xml:space="preserve">2.投标文件封面格式： </w:t>
      </w:r>
    </w:p>
    <w:p>
      <w:pPr>
        <w:snapToGrid w:val="0"/>
        <w:rPr>
          <w:rFonts w:ascii="宋体" w:hAnsi="宋体"/>
          <w:b/>
          <w:bCs/>
          <w:color w:val="auto"/>
          <w:sz w:val="44"/>
          <w:szCs w:val="44"/>
          <w:highlight w:val="none"/>
        </w:rPr>
      </w:pPr>
      <w:r>
        <w:rPr>
          <w:rFonts w:hint="eastAsia" w:ascii="宋体" w:hAnsi="宋体"/>
          <w:color w:val="auto"/>
          <w:sz w:val="24"/>
          <w:highlight w:val="none"/>
        </w:rPr>
        <w:t xml:space="preserve">                                              </w:t>
      </w:r>
      <w:r>
        <w:rPr>
          <w:rFonts w:hint="eastAsia" w:ascii="宋体" w:hAnsi="宋体"/>
          <w:b/>
          <w:bCs/>
          <w:color w:val="auto"/>
          <w:sz w:val="44"/>
          <w:szCs w:val="44"/>
          <w:highlight w:val="none"/>
        </w:rPr>
        <w:t>正本/或副本</w:t>
      </w:r>
    </w:p>
    <w:p>
      <w:pPr>
        <w:snapToGrid w:val="0"/>
        <w:rPr>
          <w:rFonts w:ascii="宋体" w:hAnsi="宋体"/>
          <w:b/>
          <w:color w:val="auto"/>
          <w:sz w:val="44"/>
          <w:szCs w:val="44"/>
          <w:highlight w:val="none"/>
        </w:rPr>
      </w:pPr>
    </w:p>
    <w:p>
      <w:pPr>
        <w:snapToGrid w:val="0"/>
        <w:jc w:val="center"/>
        <w:rPr>
          <w:rFonts w:ascii="宋体" w:hAnsi="宋体"/>
          <w:b/>
          <w:bCs/>
          <w:color w:val="auto"/>
          <w:sz w:val="44"/>
          <w:szCs w:val="44"/>
          <w:highlight w:val="none"/>
        </w:rPr>
      </w:pPr>
      <w:r>
        <w:rPr>
          <w:rFonts w:hint="eastAsia" w:ascii="宋体" w:hAnsi="宋体"/>
          <w:b/>
          <w:bCs/>
          <w:color w:val="auto"/>
          <w:sz w:val="44"/>
          <w:szCs w:val="44"/>
          <w:highlight w:val="none"/>
        </w:rPr>
        <w:t>投 标 文 件</w:t>
      </w:r>
    </w:p>
    <w:p>
      <w:pPr>
        <w:snapToGrid w:val="0"/>
        <w:rPr>
          <w:rFonts w:ascii="宋体" w:hAnsi="宋体"/>
          <w:bCs/>
          <w:color w:val="auto"/>
          <w:sz w:val="24"/>
          <w:highlight w:val="none"/>
        </w:rPr>
      </w:pPr>
    </w:p>
    <w:p>
      <w:pPr>
        <w:snapToGrid w:val="0"/>
        <w:ind w:firstLine="1424" w:firstLineChars="445"/>
        <w:rPr>
          <w:rFonts w:ascii="宋体" w:hAnsi="宋体"/>
          <w:bCs/>
          <w:color w:val="auto"/>
          <w:sz w:val="32"/>
          <w:szCs w:val="32"/>
          <w:highlight w:val="none"/>
        </w:rPr>
      </w:pPr>
    </w:p>
    <w:p>
      <w:pPr>
        <w:snapToGrid w:val="0"/>
        <w:ind w:firstLine="1424" w:firstLineChars="445"/>
        <w:rPr>
          <w:rFonts w:ascii="宋体" w:hAnsi="宋体"/>
          <w:bCs/>
          <w:color w:val="auto"/>
          <w:sz w:val="32"/>
          <w:szCs w:val="32"/>
          <w:highlight w:val="none"/>
        </w:rPr>
      </w:pPr>
    </w:p>
    <w:p>
      <w:pPr>
        <w:snapToGrid w:val="0"/>
        <w:ind w:firstLine="1430" w:firstLineChars="445"/>
        <w:rPr>
          <w:rFonts w:ascii="宋体" w:hAnsi="宋体"/>
          <w:b/>
          <w:bCs/>
          <w:color w:val="auto"/>
          <w:sz w:val="32"/>
          <w:szCs w:val="32"/>
          <w:highlight w:val="none"/>
        </w:rPr>
      </w:pPr>
      <w:r>
        <w:rPr>
          <w:rFonts w:hint="eastAsia" w:ascii="宋体" w:hAnsi="宋体"/>
          <w:b/>
          <w:bCs/>
          <w:color w:val="auto"/>
          <w:sz w:val="32"/>
          <w:szCs w:val="32"/>
          <w:highlight w:val="none"/>
        </w:rPr>
        <w:t>项目名称：</w:t>
      </w:r>
    </w:p>
    <w:p>
      <w:pPr>
        <w:snapToGrid w:val="0"/>
        <w:ind w:firstLine="643" w:firstLineChars="200"/>
        <w:rPr>
          <w:rFonts w:ascii="宋体" w:hAnsi="宋体"/>
          <w:b/>
          <w:bCs/>
          <w:color w:val="auto"/>
          <w:sz w:val="32"/>
          <w:szCs w:val="32"/>
          <w:highlight w:val="none"/>
        </w:rPr>
      </w:pPr>
      <w:r>
        <w:rPr>
          <w:rFonts w:hint="eastAsia" w:ascii="宋体" w:hAnsi="宋体"/>
          <w:b/>
          <w:bCs/>
          <w:color w:val="auto"/>
          <w:sz w:val="32"/>
          <w:szCs w:val="32"/>
          <w:highlight w:val="none"/>
        </w:rPr>
        <w:t xml:space="preserve">     </w:t>
      </w:r>
    </w:p>
    <w:p>
      <w:pPr>
        <w:snapToGrid w:val="0"/>
        <w:ind w:firstLine="1446" w:firstLineChars="450"/>
        <w:rPr>
          <w:rFonts w:ascii="宋体" w:hAnsi="宋体"/>
          <w:b/>
          <w:bCs/>
          <w:color w:val="auto"/>
          <w:sz w:val="32"/>
          <w:szCs w:val="32"/>
          <w:highlight w:val="none"/>
        </w:rPr>
      </w:pPr>
      <w:r>
        <w:rPr>
          <w:rFonts w:hint="eastAsia" w:ascii="宋体" w:hAnsi="宋体"/>
          <w:b/>
          <w:bCs/>
          <w:color w:val="auto"/>
          <w:sz w:val="32"/>
          <w:szCs w:val="32"/>
          <w:highlight w:val="none"/>
        </w:rPr>
        <w:t xml:space="preserve">项目编号： </w:t>
      </w:r>
    </w:p>
    <w:p>
      <w:pPr>
        <w:snapToGrid w:val="0"/>
        <w:ind w:firstLine="643" w:firstLineChars="200"/>
        <w:rPr>
          <w:rFonts w:ascii="宋体" w:hAnsi="宋体"/>
          <w:b/>
          <w:bCs/>
          <w:color w:val="auto"/>
          <w:sz w:val="32"/>
          <w:szCs w:val="32"/>
          <w:highlight w:val="none"/>
        </w:rPr>
      </w:pPr>
      <w:r>
        <w:rPr>
          <w:rFonts w:hint="eastAsia" w:ascii="宋体" w:hAnsi="宋体"/>
          <w:b/>
          <w:bCs/>
          <w:color w:val="auto"/>
          <w:sz w:val="32"/>
          <w:szCs w:val="32"/>
          <w:highlight w:val="none"/>
        </w:rPr>
        <w:t xml:space="preserve">     </w:t>
      </w:r>
    </w:p>
    <w:p>
      <w:pPr>
        <w:snapToGrid w:val="0"/>
        <w:ind w:firstLine="1446" w:firstLineChars="450"/>
        <w:rPr>
          <w:rFonts w:ascii="宋体" w:hAnsi="宋体"/>
          <w:b/>
          <w:bCs/>
          <w:color w:val="auto"/>
          <w:sz w:val="32"/>
          <w:szCs w:val="32"/>
          <w:highlight w:val="none"/>
        </w:rPr>
      </w:pPr>
      <w:r>
        <w:rPr>
          <w:rFonts w:hint="eastAsia" w:ascii="宋体" w:hAnsi="宋体"/>
          <w:b/>
          <w:bCs/>
          <w:color w:val="auto"/>
          <w:sz w:val="32"/>
          <w:szCs w:val="32"/>
          <w:highlight w:val="none"/>
        </w:rPr>
        <w:t>标    项：</w:t>
      </w:r>
    </w:p>
    <w:p>
      <w:pPr>
        <w:snapToGrid w:val="0"/>
        <w:ind w:firstLine="643" w:firstLineChars="200"/>
        <w:rPr>
          <w:rFonts w:ascii="宋体" w:hAnsi="宋体"/>
          <w:b/>
          <w:bCs/>
          <w:color w:val="auto"/>
          <w:sz w:val="32"/>
          <w:szCs w:val="32"/>
          <w:highlight w:val="none"/>
        </w:rPr>
      </w:pPr>
    </w:p>
    <w:p>
      <w:pPr>
        <w:pStyle w:val="8"/>
        <w:snapToGrid w:val="0"/>
        <w:ind w:firstLine="1331" w:firstLineChars="416"/>
        <w:rPr>
          <w:rFonts w:ascii="宋体" w:hAnsi="宋体"/>
          <w:bCs/>
          <w:color w:val="auto"/>
          <w:sz w:val="32"/>
          <w:szCs w:val="32"/>
          <w:highlight w:val="none"/>
        </w:rPr>
      </w:pPr>
    </w:p>
    <w:p>
      <w:pPr>
        <w:pStyle w:val="8"/>
        <w:snapToGrid w:val="0"/>
        <w:ind w:firstLine="1331" w:firstLineChars="416"/>
        <w:rPr>
          <w:rFonts w:ascii="宋体" w:hAnsi="宋体"/>
          <w:bCs/>
          <w:color w:val="auto"/>
          <w:sz w:val="32"/>
          <w:szCs w:val="32"/>
          <w:highlight w:val="none"/>
        </w:rPr>
      </w:pPr>
    </w:p>
    <w:p>
      <w:pPr>
        <w:pStyle w:val="8"/>
        <w:snapToGrid w:val="0"/>
        <w:ind w:firstLine="1331" w:firstLineChars="416"/>
        <w:rPr>
          <w:rFonts w:ascii="宋体" w:hAnsi="宋体"/>
          <w:bCs/>
          <w:color w:val="auto"/>
          <w:sz w:val="32"/>
          <w:szCs w:val="32"/>
          <w:highlight w:val="none"/>
        </w:rPr>
      </w:pPr>
    </w:p>
    <w:p>
      <w:pPr>
        <w:pStyle w:val="8"/>
        <w:snapToGrid w:val="0"/>
        <w:ind w:firstLine="1331" w:firstLineChars="416"/>
        <w:rPr>
          <w:rFonts w:ascii="宋体" w:hAnsi="宋体"/>
          <w:bCs/>
          <w:color w:val="auto"/>
          <w:sz w:val="32"/>
          <w:szCs w:val="32"/>
          <w:highlight w:val="none"/>
        </w:rPr>
      </w:pPr>
    </w:p>
    <w:p>
      <w:pPr>
        <w:pStyle w:val="8"/>
        <w:snapToGrid w:val="0"/>
        <w:ind w:firstLine="1331" w:firstLineChars="416"/>
        <w:rPr>
          <w:rFonts w:ascii="宋体" w:hAnsi="宋体"/>
          <w:bCs/>
          <w:color w:val="auto"/>
          <w:sz w:val="32"/>
          <w:szCs w:val="32"/>
          <w:highlight w:val="none"/>
        </w:rPr>
      </w:pPr>
    </w:p>
    <w:p>
      <w:pPr>
        <w:pStyle w:val="8"/>
        <w:snapToGrid w:val="0"/>
        <w:ind w:firstLine="1331" w:firstLineChars="416"/>
        <w:rPr>
          <w:rFonts w:ascii="宋体" w:hAnsi="宋体"/>
          <w:bCs/>
          <w:color w:val="auto"/>
          <w:sz w:val="32"/>
          <w:szCs w:val="32"/>
          <w:highlight w:val="none"/>
        </w:rPr>
      </w:pPr>
    </w:p>
    <w:p>
      <w:pPr>
        <w:pStyle w:val="8"/>
        <w:snapToGrid w:val="0"/>
        <w:ind w:firstLine="1331" w:firstLineChars="416"/>
        <w:rPr>
          <w:rFonts w:ascii="宋体" w:hAnsi="宋体"/>
          <w:bCs/>
          <w:color w:val="auto"/>
          <w:sz w:val="32"/>
          <w:szCs w:val="32"/>
          <w:highlight w:val="none"/>
        </w:rPr>
      </w:pPr>
    </w:p>
    <w:p>
      <w:pPr>
        <w:pStyle w:val="8"/>
        <w:snapToGrid w:val="0"/>
        <w:ind w:firstLine="1331" w:firstLineChars="416"/>
        <w:rPr>
          <w:rFonts w:ascii="宋体" w:hAnsi="宋体"/>
          <w:bCs/>
          <w:color w:val="auto"/>
          <w:sz w:val="32"/>
          <w:szCs w:val="32"/>
          <w:highlight w:val="none"/>
        </w:rPr>
      </w:pPr>
    </w:p>
    <w:p>
      <w:pPr>
        <w:pStyle w:val="8"/>
        <w:snapToGrid w:val="0"/>
        <w:ind w:firstLine="1331" w:firstLineChars="416"/>
        <w:rPr>
          <w:rFonts w:ascii="宋体" w:hAnsi="宋体"/>
          <w:bCs/>
          <w:color w:val="auto"/>
          <w:sz w:val="32"/>
          <w:szCs w:val="32"/>
          <w:highlight w:val="none"/>
        </w:rPr>
      </w:pPr>
    </w:p>
    <w:p>
      <w:pPr>
        <w:pStyle w:val="8"/>
        <w:snapToGrid w:val="0"/>
        <w:ind w:firstLine="1331" w:firstLineChars="416"/>
        <w:rPr>
          <w:rFonts w:ascii="宋体" w:hAnsi="宋体"/>
          <w:bCs/>
          <w:color w:val="auto"/>
          <w:sz w:val="32"/>
          <w:szCs w:val="32"/>
          <w:highlight w:val="none"/>
        </w:rPr>
      </w:pPr>
    </w:p>
    <w:p>
      <w:pPr>
        <w:pStyle w:val="8"/>
        <w:snapToGrid w:val="0"/>
        <w:ind w:firstLine="1331" w:firstLineChars="416"/>
        <w:rPr>
          <w:rFonts w:ascii="宋体" w:hAnsi="宋体"/>
          <w:bCs/>
          <w:color w:val="auto"/>
          <w:sz w:val="32"/>
          <w:szCs w:val="32"/>
          <w:highlight w:val="none"/>
        </w:rPr>
      </w:pPr>
    </w:p>
    <w:p>
      <w:pPr>
        <w:pStyle w:val="8"/>
        <w:snapToGrid w:val="0"/>
        <w:ind w:firstLine="1331" w:firstLineChars="416"/>
        <w:rPr>
          <w:rFonts w:ascii="宋体" w:hAnsi="宋体"/>
          <w:bCs/>
          <w:color w:val="auto"/>
          <w:sz w:val="32"/>
          <w:szCs w:val="32"/>
          <w:highlight w:val="none"/>
        </w:rPr>
      </w:pPr>
    </w:p>
    <w:p>
      <w:pPr>
        <w:pStyle w:val="8"/>
        <w:snapToGrid w:val="0"/>
        <w:ind w:firstLine="1331" w:firstLineChars="416"/>
        <w:rPr>
          <w:rFonts w:ascii="宋体" w:hAnsi="宋体"/>
          <w:bCs/>
          <w:color w:val="auto"/>
          <w:sz w:val="32"/>
          <w:szCs w:val="32"/>
          <w:highlight w:val="none"/>
        </w:rPr>
      </w:pPr>
    </w:p>
    <w:p>
      <w:pPr>
        <w:pStyle w:val="8"/>
        <w:snapToGrid w:val="0"/>
        <w:ind w:firstLine="1331" w:firstLineChars="416"/>
        <w:rPr>
          <w:rFonts w:ascii="宋体" w:hAnsi="宋体"/>
          <w:bCs/>
          <w:color w:val="auto"/>
          <w:sz w:val="32"/>
          <w:szCs w:val="32"/>
          <w:highlight w:val="none"/>
        </w:rPr>
      </w:pPr>
    </w:p>
    <w:p>
      <w:pPr>
        <w:pStyle w:val="8"/>
        <w:snapToGrid w:val="0"/>
        <w:ind w:firstLine="1336" w:firstLineChars="416"/>
        <w:rPr>
          <w:rFonts w:ascii="宋体" w:hAnsi="宋体"/>
          <w:b/>
          <w:bCs/>
          <w:color w:val="auto"/>
          <w:sz w:val="32"/>
          <w:szCs w:val="32"/>
          <w:highlight w:val="none"/>
        </w:rPr>
      </w:pPr>
      <w:r>
        <w:rPr>
          <w:rFonts w:hint="eastAsia" w:ascii="宋体" w:hAnsi="宋体"/>
          <w:b/>
          <w:bCs/>
          <w:color w:val="auto"/>
          <w:sz w:val="32"/>
          <w:szCs w:val="32"/>
          <w:highlight w:val="none"/>
        </w:rPr>
        <w:t>投标人名称：</w:t>
      </w:r>
    </w:p>
    <w:p>
      <w:pPr>
        <w:pStyle w:val="8"/>
        <w:snapToGrid w:val="0"/>
        <w:ind w:firstLine="1336" w:firstLineChars="416"/>
        <w:rPr>
          <w:rFonts w:ascii="宋体" w:hAnsi="宋体"/>
          <w:b/>
          <w:bCs/>
          <w:color w:val="auto"/>
          <w:sz w:val="32"/>
          <w:szCs w:val="32"/>
          <w:highlight w:val="none"/>
        </w:rPr>
      </w:pPr>
      <w:r>
        <w:rPr>
          <w:rFonts w:hint="eastAsia" w:ascii="宋体" w:hAnsi="宋体"/>
          <w:b/>
          <w:bCs/>
          <w:color w:val="auto"/>
          <w:sz w:val="32"/>
          <w:szCs w:val="32"/>
          <w:highlight w:val="none"/>
        </w:rPr>
        <w:t>投标人地址：</w:t>
      </w:r>
    </w:p>
    <w:p>
      <w:pPr>
        <w:pStyle w:val="8"/>
        <w:snapToGrid w:val="0"/>
        <w:ind w:firstLine="1285" w:firstLineChars="400"/>
        <w:rPr>
          <w:rFonts w:ascii="宋体" w:hAnsi="宋体"/>
          <w:b/>
          <w:bCs/>
          <w:color w:val="auto"/>
          <w:sz w:val="32"/>
          <w:szCs w:val="32"/>
          <w:highlight w:val="none"/>
        </w:rPr>
      </w:pPr>
    </w:p>
    <w:p>
      <w:pPr>
        <w:snapToGrid w:val="0"/>
        <w:ind w:firstLine="645"/>
        <w:jc w:val="center"/>
        <w:rPr>
          <w:rFonts w:ascii="宋体" w:hAnsi="宋体"/>
          <w:b/>
          <w:color w:val="auto"/>
          <w:sz w:val="32"/>
          <w:szCs w:val="32"/>
          <w:highlight w:val="none"/>
        </w:rPr>
      </w:pPr>
      <w:r>
        <w:rPr>
          <w:rFonts w:hint="eastAsia" w:ascii="宋体" w:hAnsi="宋体"/>
          <w:b/>
          <w:color w:val="auto"/>
          <w:sz w:val="32"/>
          <w:szCs w:val="32"/>
          <w:highlight w:val="none"/>
        </w:rPr>
        <w:t xml:space="preserve">                        年  月  日</w:t>
      </w:r>
    </w:p>
    <w:p>
      <w:pPr>
        <w:snapToGrid w:val="0"/>
        <w:rPr>
          <w:rFonts w:ascii="宋体" w:hAnsi="宋体"/>
          <w:color w:val="auto"/>
          <w:sz w:val="24"/>
          <w:highlight w:val="none"/>
        </w:rPr>
      </w:pPr>
      <w:r>
        <w:rPr>
          <w:rFonts w:ascii="宋体" w:hAnsi="宋体"/>
          <w:color w:val="auto"/>
          <w:sz w:val="24"/>
          <w:highlight w:val="none"/>
        </w:rPr>
        <w:br w:type="page"/>
      </w:r>
      <w:r>
        <w:rPr>
          <w:rFonts w:hint="eastAsia" w:ascii="宋体" w:hAnsi="宋体"/>
          <w:color w:val="auto"/>
          <w:sz w:val="24"/>
          <w:highlight w:val="none"/>
        </w:rPr>
        <w:t>3.</w:t>
      </w:r>
      <w:r>
        <w:rPr>
          <w:rFonts w:hint="eastAsia" w:ascii="宋体" w:hAnsi="宋体"/>
          <w:b/>
          <w:bCs/>
          <w:color w:val="auto"/>
          <w:sz w:val="24"/>
          <w:highlight w:val="none"/>
        </w:rPr>
        <w:t>投标文件目录</w:t>
      </w:r>
    </w:p>
    <w:p>
      <w:pPr>
        <w:snapToGrid w:val="0"/>
        <w:rPr>
          <w:rFonts w:ascii="宋体" w:hAnsi="宋体"/>
          <w:color w:val="auto"/>
          <w:sz w:val="24"/>
          <w:highlight w:val="none"/>
        </w:rPr>
      </w:pPr>
    </w:p>
    <w:p>
      <w:pPr>
        <w:snapToGrid w:val="0"/>
        <w:jc w:val="left"/>
        <w:rPr>
          <w:rFonts w:ascii="宋体" w:hAnsi="宋体"/>
          <w:color w:val="auto"/>
          <w:sz w:val="24"/>
          <w:highlight w:val="none"/>
        </w:rPr>
      </w:pPr>
      <w:r>
        <w:rPr>
          <w:rFonts w:hint="eastAsia" w:ascii="宋体" w:hAnsi="宋体"/>
          <w:color w:val="auto"/>
          <w:sz w:val="24"/>
          <w:highlight w:val="none"/>
        </w:rPr>
        <w:t>按照招标文件第三章“投标人须知”中“三之（一）投标文件的组成”的顺序编排</w:t>
      </w:r>
    </w:p>
    <w:p>
      <w:pPr>
        <w:snapToGrid w:val="0"/>
        <w:rPr>
          <w:rFonts w:ascii="宋体" w:hAnsi="宋体"/>
          <w:b/>
          <w:color w:val="auto"/>
          <w:sz w:val="24"/>
          <w:highlight w:val="none"/>
        </w:rPr>
      </w:pPr>
      <w:r>
        <w:rPr>
          <w:rFonts w:ascii="宋体" w:hAnsi="宋体"/>
          <w:b/>
          <w:color w:val="auto"/>
          <w:sz w:val="24"/>
          <w:highlight w:val="none"/>
        </w:rPr>
        <w:br w:type="page"/>
      </w:r>
      <w:r>
        <w:rPr>
          <w:rFonts w:hint="eastAsia" w:ascii="宋体" w:hAnsi="宋体"/>
          <w:b/>
          <w:color w:val="auto"/>
          <w:sz w:val="24"/>
          <w:highlight w:val="none"/>
        </w:rPr>
        <w:t>投标函格式：</w:t>
      </w:r>
    </w:p>
    <w:p>
      <w:pPr>
        <w:snapToGrid w:val="0"/>
        <w:jc w:val="center"/>
        <w:rPr>
          <w:rFonts w:ascii="宋体" w:hAnsi="宋体"/>
          <w:b/>
          <w:color w:val="auto"/>
          <w:sz w:val="32"/>
          <w:szCs w:val="32"/>
          <w:highlight w:val="none"/>
        </w:rPr>
      </w:pPr>
      <w:r>
        <w:rPr>
          <w:rFonts w:hint="eastAsia" w:ascii="宋体" w:hAnsi="宋体"/>
          <w:b/>
          <w:color w:val="auto"/>
          <w:sz w:val="32"/>
          <w:szCs w:val="32"/>
          <w:highlight w:val="none"/>
        </w:rPr>
        <w:t>投 标 函</w:t>
      </w:r>
    </w:p>
    <w:p>
      <w:pPr>
        <w:snapToGrid w:val="0"/>
        <w:jc w:val="center"/>
        <w:rPr>
          <w:rFonts w:ascii="宋体" w:hAnsi="宋体"/>
          <w:b/>
          <w:color w:val="auto"/>
          <w:sz w:val="24"/>
          <w:highlight w:val="none"/>
        </w:rPr>
      </w:pPr>
    </w:p>
    <w:p>
      <w:pPr>
        <w:snapToGrid w:val="0"/>
        <w:rPr>
          <w:rFonts w:ascii="宋体" w:hAnsi="宋体"/>
          <w:color w:val="auto"/>
          <w:sz w:val="24"/>
          <w:highlight w:val="none"/>
        </w:rPr>
      </w:pPr>
      <w:r>
        <w:rPr>
          <w:rFonts w:hint="eastAsia" w:ascii="宋体" w:hAnsi="宋体"/>
          <w:color w:val="auto"/>
          <w:sz w:val="24"/>
          <w:highlight w:val="none"/>
        </w:rPr>
        <w:t>致：______</w:t>
      </w:r>
      <w:r>
        <w:rPr>
          <w:rFonts w:hint="eastAsia" w:ascii="宋体" w:hAnsi="宋体"/>
          <w:color w:val="auto"/>
          <w:sz w:val="24"/>
          <w:highlight w:val="none"/>
          <w:u w:val="single"/>
        </w:rPr>
        <w:t>_     _</w:t>
      </w:r>
      <w:r>
        <w:rPr>
          <w:rFonts w:hint="eastAsia" w:ascii="宋体" w:hAnsi="宋体"/>
          <w:color w:val="auto"/>
          <w:sz w:val="24"/>
          <w:highlight w:val="none"/>
        </w:rPr>
        <w:t>_（招标采购单位名称）：</w:t>
      </w:r>
    </w:p>
    <w:p>
      <w:pPr>
        <w:snapToGrid w:val="0"/>
        <w:ind w:firstLine="480"/>
        <w:rPr>
          <w:rFonts w:ascii="宋体" w:hAnsi="宋体"/>
          <w:color w:val="auto"/>
          <w:sz w:val="24"/>
          <w:highlight w:val="none"/>
        </w:rPr>
      </w:pPr>
      <w:r>
        <w:rPr>
          <w:rFonts w:hint="eastAsia" w:ascii="宋体" w:hAnsi="宋体"/>
          <w:color w:val="auto"/>
          <w:sz w:val="24"/>
          <w:highlight w:val="none"/>
        </w:rPr>
        <w:t>根据贵方为</w:t>
      </w:r>
      <w:r>
        <w:rPr>
          <w:rFonts w:hint="eastAsia" w:ascii="宋体" w:hAnsi="宋体"/>
          <w:color w:val="auto"/>
          <w:sz w:val="24"/>
          <w:highlight w:val="none"/>
          <w:u w:val="single"/>
        </w:rPr>
        <w:t xml:space="preserve">                             </w:t>
      </w:r>
      <w:r>
        <w:rPr>
          <w:rFonts w:hint="eastAsia" w:ascii="宋体" w:hAnsi="宋体"/>
          <w:color w:val="auto"/>
          <w:sz w:val="24"/>
          <w:highlight w:val="none"/>
        </w:rPr>
        <w:t>项目的招标公告（项目编号：____），签字代表</w:t>
      </w:r>
      <w:r>
        <w:rPr>
          <w:rFonts w:hint="eastAsia" w:ascii="宋体" w:hAnsi="宋体"/>
          <w:color w:val="auto"/>
          <w:sz w:val="24"/>
          <w:highlight w:val="none"/>
          <w:u w:val="single"/>
        </w:rPr>
        <w:t xml:space="preserve">     </w:t>
      </w:r>
      <w:r>
        <w:rPr>
          <w:rFonts w:hint="eastAsia" w:ascii="宋体" w:hAnsi="宋体"/>
          <w:color w:val="auto"/>
          <w:sz w:val="24"/>
          <w:highlight w:val="none"/>
        </w:rPr>
        <w:t>（全名）经正式授权并代表投标人</w:t>
      </w:r>
      <w:r>
        <w:rPr>
          <w:rFonts w:hint="eastAsia" w:ascii="宋体" w:hAnsi="宋体"/>
          <w:color w:val="auto"/>
          <w:sz w:val="24"/>
          <w:highlight w:val="none"/>
          <w:u w:val="single"/>
        </w:rPr>
        <w:t xml:space="preserve">                   </w:t>
      </w:r>
      <w:r>
        <w:rPr>
          <w:rFonts w:hint="eastAsia" w:ascii="宋体" w:hAnsi="宋体"/>
          <w:color w:val="auto"/>
          <w:sz w:val="24"/>
          <w:highlight w:val="none"/>
        </w:rPr>
        <w:t>（投标人名称）提交投标文件正本</w:t>
      </w:r>
      <w:r>
        <w:rPr>
          <w:rFonts w:hint="eastAsia" w:ascii="宋体" w:hAnsi="宋体"/>
          <w:color w:val="auto"/>
          <w:sz w:val="24"/>
          <w:highlight w:val="none"/>
          <w:u w:val="single"/>
        </w:rPr>
        <w:t xml:space="preserve">    </w:t>
      </w:r>
      <w:r>
        <w:rPr>
          <w:rFonts w:hint="eastAsia" w:ascii="宋体" w:hAnsi="宋体"/>
          <w:color w:val="auto"/>
          <w:sz w:val="24"/>
          <w:highlight w:val="none"/>
        </w:rPr>
        <w:t>份、副本</w:t>
      </w:r>
      <w:r>
        <w:rPr>
          <w:rFonts w:hint="eastAsia" w:ascii="宋体" w:hAnsi="宋体"/>
          <w:color w:val="auto"/>
          <w:sz w:val="24"/>
          <w:highlight w:val="none"/>
          <w:u w:val="single"/>
        </w:rPr>
        <w:t xml:space="preserve">   </w:t>
      </w:r>
      <w:r>
        <w:rPr>
          <w:rFonts w:hint="eastAsia" w:ascii="宋体" w:hAnsi="宋体"/>
          <w:color w:val="auto"/>
          <w:sz w:val="24"/>
          <w:highlight w:val="none"/>
        </w:rPr>
        <w:t>份。</w:t>
      </w:r>
    </w:p>
    <w:p>
      <w:pPr>
        <w:snapToGrid w:val="0"/>
        <w:ind w:firstLine="480" w:firstLineChars="200"/>
        <w:rPr>
          <w:rFonts w:ascii="宋体" w:hAnsi="宋体"/>
          <w:color w:val="auto"/>
          <w:sz w:val="24"/>
          <w:highlight w:val="none"/>
        </w:rPr>
      </w:pPr>
      <w:r>
        <w:rPr>
          <w:rFonts w:hint="eastAsia" w:ascii="宋体" w:hAnsi="宋体"/>
          <w:color w:val="auto"/>
          <w:sz w:val="24"/>
          <w:highlight w:val="none"/>
        </w:rPr>
        <w:t>据此函，签字代表宣布同意如下：</w:t>
      </w:r>
    </w:p>
    <w:p>
      <w:pPr>
        <w:snapToGrid w:val="0"/>
        <w:ind w:firstLine="480" w:firstLineChars="200"/>
        <w:rPr>
          <w:rFonts w:ascii="宋体" w:hAnsi="宋体"/>
          <w:color w:val="auto"/>
          <w:sz w:val="24"/>
          <w:highlight w:val="none"/>
        </w:rPr>
      </w:pPr>
      <w:r>
        <w:rPr>
          <w:rFonts w:hint="eastAsia" w:ascii="宋体" w:hAnsi="宋体"/>
          <w:color w:val="auto"/>
          <w:sz w:val="24"/>
          <w:highlight w:val="none"/>
        </w:rPr>
        <w:t>1.投标人已详细审查全部“招标文件”，包括修改文件（如有的话）以及全部参考资料和有关附件，已经了解我方对于招标文件、采购过程、采购结果有依法进行询问、质疑、投诉的权利及相关渠道和要求。</w:t>
      </w:r>
    </w:p>
    <w:p>
      <w:pPr>
        <w:pStyle w:val="22"/>
        <w:snapToGrid w:val="0"/>
        <w:ind w:firstLine="480" w:firstLineChars="200"/>
        <w:rPr>
          <w:rFonts w:hAnsi="宋体" w:cs="Times New Roman"/>
          <w:color w:val="auto"/>
          <w:sz w:val="24"/>
          <w:szCs w:val="24"/>
          <w:highlight w:val="none"/>
        </w:rPr>
      </w:pPr>
      <w:r>
        <w:rPr>
          <w:rFonts w:hint="eastAsia" w:hAnsi="宋体"/>
          <w:color w:val="auto"/>
          <w:sz w:val="24"/>
          <w:highlight w:val="none"/>
        </w:rPr>
        <w:t>2</w:t>
      </w:r>
      <w:r>
        <w:rPr>
          <w:rFonts w:hint="eastAsia" w:hAnsi="宋体" w:cs="Times New Roman"/>
          <w:color w:val="auto"/>
          <w:sz w:val="24"/>
          <w:szCs w:val="24"/>
          <w:highlight w:val="none"/>
        </w:rPr>
        <w:t>、按投标报价明细表报价。</w:t>
      </w:r>
    </w:p>
    <w:p>
      <w:pPr>
        <w:snapToGrid w:val="0"/>
        <w:ind w:firstLine="480" w:firstLineChars="200"/>
        <w:rPr>
          <w:rFonts w:ascii="宋体" w:hAnsi="宋体"/>
          <w:color w:val="auto"/>
          <w:sz w:val="24"/>
          <w:highlight w:val="none"/>
        </w:rPr>
      </w:pPr>
      <w:r>
        <w:rPr>
          <w:rFonts w:hint="eastAsia" w:ascii="宋体" w:hAnsi="宋体"/>
          <w:color w:val="auto"/>
          <w:sz w:val="24"/>
          <w:highlight w:val="none"/>
        </w:rPr>
        <w:t>3.投标人在投标之前已经与贵方进行了充分的沟通，完全理解并接受招标文件的各项规定和要求，对招标文件的合理性、合法性不再有异议。</w:t>
      </w:r>
    </w:p>
    <w:p>
      <w:pPr>
        <w:snapToGrid w:val="0"/>
        <w:ind w:firstLine="480" w:firstLineChars="200"/>
        <w:rPr>
          <w:rFonts w:ascii="宋体" w:hAnsi="宋体"/>
          <w:color w:val="auto"/>
          <w:sz w:val="24"/>
          <w:highlight w:val="none"/>
        </w:rPr>
      </w:pPr>
      <w:r>
        <w:rPr>
          <w:rFonts w:hint="eastAsia" w:ascii="宋体" w:hAnsi="宋体"/>
          <w:color w:val="auto"/>
          <w:sz w:val="24"/>
          <w:highlight w:val="none"/>
        </w:rPr>
        <w:t>4.本项目投标有效期为</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天</w:t>
      </w:r>
    </w:p>
    <w:p>
      <w:pPr>
        <w:snapToGrid w:val="0"/>
        <w:ind w:firstLine="480" w:firstLineChars="200"/>
        <w:rPr>
          <w:rFonts w:ascii="宋体" w:hAnsi="宋体"/>
          <w:color w:val="auto"/>
          <w:sz w:val="24"/>
          <w:highlight w:val="none"/>
        </w:rPr>
      </w:pPr>
      <w:r>
        <w:rPr>
          <w:rFonts w:hint="eastAsia" w:ascii="宋体" w:hAnsi="宋体"/>
          <w:color w:val="auto"/>
          <w:sz w:val="24"/>
          <w:highlight w:val="none"/>
        </w:rPr>
        <w:t>5.如中标，本投标文件至本项目合同履行完毕止均保持有效，本投标人将按“招标文件”及政府采购法律、法规的规定履行合同责任和义务。</w:t>
      </w:r>
    </w:p>
    <w:p>
      <w:pPr>
        <w:snapToGrid w:val="0"/>
        <w:ind w:firstLine="480" w:firstLineChars="200"/>
        <w:rPr>
          <w:rFonts w:ascii="宋体" w:hAnsi="宋体"/>
          <w:color w:val="auto"/>
          <w:sz w:val="24"/>
          <w:highlight w:val="none"/>
        </w:rPr>
      </w:pPr>
      <w:r>
        <w:rPr>
          <w:rFonts w:hint="eastAsia" w:ascii="宋体" w:hAnsi="宋体"/>
          <w:color w:val="auto"/>
          <w:sz w:val="24"/>
          <w:highlight w:val="none"/>
        </w:rPr>
        <w:t>6.投标人同意按照贵方要求提供与投标有关的一切数据或资料。</w:t>
      </w:r>
    </w:p>
    <w:p>
      <w:pPr>
        <w:snapToGrid w:val="0"/>
        <w:ind w:firstLine="480" w:firstLineChars="200"/>
        <w:rPr>
          <w:rFonts w:ascii="宋体" w:hAnsi="宋体"/>
          <w:color w:val="auto"/>
          <w:sz w:val="24"/>
          <w:highlight w:val="none"/>
        </w:rPr>
      </w:pPr>
      <w:r>
        <w:rPr>
          <w:rFonts w:hint="eastAsia" w:ascii="宋体" w:hAnsi="宋体"/>
          <w:color w:val="auto"/>
          <w:sz w:val="24"/>
          <w:highlight w:val="none"/>
        </w:rPr>
        <w:t>7.与本投标有关的一切正式往来信函请寄：</w:t>
      </w:r>
    </w:p>
    <w:p>
      <w:pPr>
        <w:snapToGrid w:val="0"/>
        <w:ind w:firstLine="480" w:firstLineChars="200"/>
        <w:rPr>
          <w:rFonts w:ascii="宋体" w:hAnsi="宋体"/>
          <w:color w:val="auto"/>
          <w:sz w:val="24"/>
          <w:highlight w:val="none"/>
        </w:rPr>
      </w:pPr>
      <w:r>
        <w:rPr>
          <w:rFonts w:hint="eastAsia" w:ascii="宋体" w:hAnsi="宋体"/>
          <w:color w:val="auto"/>
          <w:sz w:val="24"/>
          <w:highlight w:val="none"/>
        </w:rPr>
        <w:t>地址：__________</w:t>
      </w:r>
      <w:r>
        <w:rPr>
          <w:rFonts w:hint="eastAsia" w:ascii="宋体" w:hAnsi="宋体"/>
          <w:color w:val="auto"/>
          <w:sz w:val="24"/>
          <w:highlight w:val="none"/>
          <w:u w:val="single"/>
        </w:rPr>
        <w:t xml:space="preserve">        </w:t>
      </w:r>
      <w:r>
        <w:rPr>
          <w:rFonts w:hint="eastAsia" w:ascii="宋体" w:hAnsi="宋体"/>
          <w:color w:val="auto"/>
          <w:sz w:val="24"/>
          <w:highlight w:val="none"/>
        </w:rPr>
        <w:t>__邮编：__________   电话：_____________</w:t>
      </w:r>
    </w:p>
    <w:p>
      <w:pPr>
        <w:snapToGrid w:val="0"/>
        <w:ind w:firstLine="480" w:firstLineChars="200"/>
        <w:rPr>
          <w:rFonts w:ascii="宋体" w:hAnsi="宋体"/>
          <w:color w:val="auto"/>
          <w:sz w:val="24"/>
          <w:highlight w:val="none"/>
        </w:rPr>
      </w:pPr>
    </w:p>
    <w:p>
      <w:pPr>
        <w:snapToGrid w:val="0"/>
        <w:ind w:firstLine="480" w:firstLineChars="200"/>
        <w:rPr>
          <w:rFonts w:ascii="宋体" w:hAnsi="宋体"/>
          <w:color w:val="auto"/>
          <w:sz w:val="24"/>
          <w:highlight w:val="none"/>
        </w:rPr>
      </w:pPr>
      <w:r>
        <w:rPr>
          <w:rFonts w:hint="eastAsia" w:ascii="宋体" w:hAnsi="宋体"/>
          <w:color w:val="auto"/>
          <w:sz w:val="24"/>
          <w:highlight w:val="none"/>
        </w:rPr>
        <w:t>传真：___________   投标人代表姓名 _________ 职务：______</w:t>
      </w:r>
      <w:r>
        <w:rPr>
          <w:rFonts w:hint="eastAsia" w:ascii="宋体" w:hAnsi="宋体"/>
          <w:color w:val="auto"/>
          <w:sz w:val="24"/>
          <w:highlight w:val="none"/>
          <w:u w:val="single"/>
        </w:rPr>
        <w:t xml:space="preserve"> </w:t>
      </w:r>
      <w:r>
        <w:rPr>
          <w:rFonts w:hint="eastAsia" w:ascii="宋体" w:hAnsi="宋体"/>
          <w:color w:val="auto"/>
          <w:sz w:val="24"/>
          <w:highlight w:val="none"/>
        </w:rPr>
        <w:t>_______</w:t>
      </w:r>
    </w:p>
    <w:p>
      <w:pPr>
        <w:snapToGrid w:val="0"/>
        <w:rPr>
          <w:rFonts w:ascii="宋体" w:hAnsi="宋体"/>
          <w:color w:val="auto"/>
          <w:sz w:val="24"/>
          <w:highlight w:val="none"/>
        </w:rPr>
      </w:pPr>
      <w:r>
        <w:rPr>
          <w:rFonts w:hint="eastAsia" w:ascii="宋体" w:hAnsi="宋体"/>
          <w:color w:val="auto"/>
          <w:sz w:val="24"/>
          <w:highlight w:val="none"/>
        </w:rPr>
        <w:t xml:space="preserve">  </w:t>
      </w:r>
    </w:p>
    <w:p>
      <w:pPr>
        <w:snapToGrid w:val="0"/>
        <w:ind w:firstLine="360" w:firstLineChars="150"/>
        <w:rPr>
          <w:rFonts w:ascii="宋体" w:hAnsi="宋体"/>
          <w:color w:val="auto"/>
          <w:sz w:val="24"/>
          <w:highlight w:val="none"/>
        </w:rPr>
      </w:pPr>
      <w:r>
        <w:rPr>
          <w:rFonts w:hint="eastAsia" w:ascii="宋体" w:hAnsi="宋体"/>
          <w:color w:val="auto"/>
          <w:sz w:val="24"/>
          <w:highlight w:val="none"/>
        </w:rPr>
        <w:t>投标人名称:_________________</w:t>
      </w:r>
    </w:p>
    <w:p>
      <w:pPr>
        <w:snapToGrid w:val="0"/>
        <w:ind w:firstLine="360" w:firstLineChars="150"/>
        <w:rPr>
          <w:rFonts w:ascii="宋体" w:hAnsi="宋体"/>
          <w:color w:val="auto"/>
          <w:sz w:val="24"/>
          <w:highlight w:val="none"/>
        </w:rPr>
      </w:pPr>
      <w:r>
        <w:rPr>
          <w:rFonts w:hint="eastAsia" w:ascii="宋体" w:hAnsi="宋体"/>
          <w:color w:val="auto"/>
          <w:sz w:val="24"/>
          <w:highlight w:val="none"/>
        </w:rPr>
        <w:t>开户银行：</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银行帐号：</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pPr>
        <w:snapToGrid w:val="0"/>
        <w:jc w:val="center"/>
        <w:rPr>
          <w:rFonts w:ascii="宋体" w:hAnsi="宋体"/>
          <w:color w:val="auto"/>
          <w:sz w:val="24"/>
          <w:highlight w:val="none"/>
        </w:rPr>
      </w:pPr>
    </w:p>
    <w:p>
      <w:pPr>
        <w:snapToGrid w:val="0"/>
        <w:jc w:val="center"/>
        <w:rPr>
          <w:rFonts w:ascii="宋体" w:hAnsi="宋体"/>
          <w:color w:val="auto"/>
          <w:sz w:val="24"/>
          <w:highlight w:val="none"/>
        </w:rPr>
      </w:pPr>
    </w:p>
    <w:p>
      <w:pPr>
        <w:snapToGrid w:val="0"/>
        <w:ind w:firstLine="5040" w:firstLineChars="2100"/>
        <w:rPr>
          <w:rFonts w:ascii="宋体" w:hAnsi="宋体"/>
          <w:color w:val="auto"/>
          <w:sz w:val="24"/>
          <w:highlight w:val="none"/>
        </w:rPr>
      </w:pPr>
    </w:p>
    <w:p>
      <w:pPr>
        <w:snapToGrid w:val="0"/>
        <w:ind w:firstLine="1920" w:firstLineChars="800"/>
        <w:rPr>
          <w:rFonts w:asciiTheme="minorEastAsia" w:hAnsiTheme="minorEastAsia" w:eastAsiaTheme="minorEastAsia"/>
          <w:color w:val="auto"/>
          <w:sz w:val="24"/>
          <w:highlight w:val="none"/>
        </w:rPr>
      </w:pPr>
      <w:r>
        <w:rPr>
          <w:rFonts w:hint="eastAsia" w:ascii="宋体" w:hAnsi="宋体"/>
          <w:color w:val="auto"/>
          <w:sz w:val="24"/>
          <w:highlight w:val="none"/>
        </w:rPr>
        <w:t xml:space="preserve">  </w:t>
      </w:r>
      <w:r>
        <w:rPr>
          <w:rFonts w:hint="eastAsia" w:asciiTheme="minorEastAsia" w:hAnsiTheme="minorEastAsia" w:eastAsiaTheme="minorEastAsia"/>
          <w:color w:val="auto"/>
          <w:sz w:val="24"/>
          <w:highlight w:val="none"/>
        </w:rPr>
        <w:t xml:space="preserve">                  </w:t>
      </w:r>
    </w:p>
    <w:p>
      <w:pPr>
        <w:snapToGrid w:val="0"/>
        <w:ind w:left="149" w:hanging="148" w:hangingChars="62"/>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w:t>
      </w:r>
      <w:r>
        <w:rPr>
          <w:rFonts w:asciiTheme="minorEastAsia" w:hAnsiTheme="minorEastAsia" w:eastAsiaTheme="minorEastAsia"/>
          <w:color w:val="auto"/>
          <w:sz w:val="24"/>
          <w:highlight w:val="none"/>
        </w:rPr>
        <w:t>投标人（盖单位公章</w:t>
      </w:r>
      <w:r>
        <w:rPr>
          <w:rFonts w:hint="eastAsia" w:asciiTheme="minorEastAsia" w:hAnsiTheme="minorEastAsia" w:eastAsiaTheme="minorEastAsia"/>
          <w:color w:val="auto"/>
          <w:sz w:val="24"/>
          <w:highlight w:val="none"/>
        </w:rPr>
        <w:t>，自然人除外</w:t>
      </w:r>
      <w:r>
        <w:rPr>
          <w:rFonts w:asciiTheme="minorEastAsia" w:hAnsiTheme="minorEastAsia" w:eastAsiaTheme="minorEastAsia"/>
          <w:color w:val="auto"/>
          <w:sz w:val="24"/>
          <w:highlight w:val="none"/>
        </w:rPr>
        <w:t>）：</w:t>
      </w:r>
    </w:p>
    <w:p>
      <w:pPr>
        <w:snapToGrid w:val="0"/>
        <w:ind w:firstLine="1920" w:firstLineChars="800"/>
        <w:rPr>
          <w:rFonts w:asciiTheme="minorEastAsia" w:hAnsiTheme="minorEastAsia" w:eastAsiaTheme="minorEastAsia"/>
          <w:color w:val="auto"/>
          <w:sz w:val="24"/>
          <w:highlight w:val="none"/>
        </w:rPr>
      </w:pPr>
    </w:p>
    <w:p>
      <w:pPr>
        <w:snapToGrid w:val="0"/>
        <w:rPr>
          <w:rFonts w:ascii="宋体" w:hAnsi="宋体"/>
          <w:color w:val="auto"/>
          <w:sz w:val="24"/>
          <w:highlight w:val="none"/>
        </w:rPr>
      </w:pPr>
      <w:r>
        <w:rPr>
          <w:rFonts w:ascii="宋体" w:hAnsi="宋体"/>
          <w:color w:val="auto"/>
          <w:sz w:val="24"/>
          <w:highlight w:val="none"/>
        </w:rPr>
        <w:t>法定代表人或其委托代理人（签字或盖章）：</w:t>
      </w:r>
    </w:p>
    <w:p>
      <w:pPr>
        <w:snapToGrid w:val="0"/>
        <w:rPr>
          <w:rFonts w:ascii="宋体" w:hAnsi="宋体"/>
          <w:color w:val="auto"/>
          <w:sz w:val="24"/>
          <w:highlight w:val="none"/>
        </w:rPr>
      </w:pPr>
      <w:r>
        <w:rPr>
          <w:rFonts w:hint="eastAsia" w:ascii="宋体" w:hAnsi="宋体"/>
          <w:color w:val="auto"/>
          <w:sz w:val="24"/>
          <w:highlight w:val="none"/>
        </w:rPr>
        <w:t>（投标人属自然人的应由自然人签字并加盖指印，投标人若为其他组织形式无法定代表人的应由机构负责人</w:t>
      </w:r>
      <w:r>
        <w:rPr>
          <w:rFonts w:ascii="宋体" w:hAnsi="宋体"/>
          <w:color w:val="auto"/>
          <w:sz w:val="24"/>
          <w:highlight w:val="none"/>
        </w:rPr>
        <w:t>签字或盖章</w:t>
      </w:r>
      <w:r>
        <w:rPr>
          <w:rFonts w:hint="eastAsia" w:ascii="宋体" w:hAnsi="宋体"/>
          <w:color w:val="auto"/>
          <w:sz w:val="24"/>
          <w:highlight w:val="none"/>
        </w:rPr>
        <w:t>）</w:t>
      </w:r>
    </w:p>
    <w:p>
      <w:pPr>
        <w:snapToGrid w:val="0"/>
        <w:ind w:firstLine="2280" w:firstLineChars="950"/>
        <w:rPr>
          <w:rFonts w:asciiTheme="minorEastAsia" w:hAnsiTheme="minorEastAsia" w:eastAsiaTheme="minorEastAsia"/>
          <w:color w:val="auto"/>
          <w:sz w:val="24"/>
          <w:highlight w:val="none"/>
        </w:rPr>
      </w:pPr>
    </w:p>
    <w:p>
      <w:pPr>
        <w:snapToGrid w:val="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日期:_____年_____月_____日</w:t>
      </w:r>
    </w:p>
    <w:p>
      <w:pPr>
        <w:widowControl/>
        <w:jc w:val="left"/>
        <w:rPr>
          <w:rFonts w:ascii="宋体" w:hAnsi="宋体"/>
          <w:color w:val="auto"/>
          <w:highlight w:val="none"/>
        </w:rPr>
      </w:pPr>
      <w:r>
        <w:rPr>
          <w:rFonts w:ascii="宋体" w:hAnsi="宋体"/>
          <w:color w:val="auto"/>
          <w:highlight w:val="none"/>
        </w:rPr>
        <w:br w:type="page"/>
      </w:r>
    </w:p>
    <w:p>
      <w:pPr>
        <w:snapToGrid w:val="0"/>
        <w:ind w:firstLine="2289" w:firstLineChars="950"/>
        <w:rPr>
          <w:rFonts w:ascii="宋体" w:hAnsi="宋体"/>
          <w:b/>
          <w:color w:val="auto"/>
          <w:sz w:val="24"/>
          <w:highlight w:val="none"/>
        </w:rPr>
      </w:pPr>
    </w:p>
    <w:p>
      <w:pPr>
        <w:snapToGrid w:val="0"/>
        <w:rPr>
          <w:rFonts w:ascii="宋体" w:hAnsi="宋体"/>
          <w:b/>
          <w:color w:val="auto"/>
          <w:sz w:val="24"/>
          <w:highlight w:val="none"/>
        </w:rPr>
      </w:pPr>
      <w:r>
        <w:rPr>
          <w:rFonts w:hint="eastAsia" w:ascii="宋体" w:hAnsi="宋体"/>
          <w:b/>
          <w:color w:val="auto"/>
          <w:sz w:val="24"/>
          <w:highlight w:val="none"/>
        </w:rPr>
        <w:t xml:space="preserve">投标报价明细表格式： </w:t>
      </w:r>
    </w:p>
    <w:p>
      <w:pPr>
        <w:pStyle w:val="22"/>
        <w:snapToGrid w:val="0"/>
        <w:jc w:val="center"/>
        <w:rPr>
          <w:rFonts w:hAnsi="宋体"/>
          <w:b/>
          <w:color w:val="auto"/>
          <w:sz w:val="32"/>
          <w:szCs w:val="32"/>
          <w:highlight w:val="none"/>
        </w:rPr>
      </w:pPr>
    </w:p>
    <w:p>
      <w:pPr>
        <w:pStyle w:val="22"/>
        <w:snapToGrid w:val="0"/>
        <w:jc w:val="center"/>
        <w:rPr>
          <w:rFonts w:hAnsi="宋体"/>
          <w:b/>
          <w:color w:val="auto"/>
          <w:sz w:val="32"/>
          <w:szCs w:val="32"/>
          <w:highlight w:val="none"/>
        </w:rPr>
      </w:pPr>
      <w:r>
        <w:rPr>
          <w:rFonts w:hint="eastAsia" w:hAnsi="宋体"/>
          <w:b/>
          <w:color w:val="auto"/>
          <w:sz w:val="32"/>
          <w:szCs w:val="32"/>
          <w:highlight w:val="none"/>
        </w:rPr>
        <w:t>投标报价明细表</w:t>
      </w:r>
    </w:p>
    <w:tbl>
      <w:tblPr>
        <w:tblStyle w:val="37"/>
        <w:tblW w:w="8859"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260"/>
        <w:gridCol w:w="2065"/>
        <w:gridCol w:w="1080"/>
        <w:gridCol w:w="1260"/>
        <w:gridCol w:w="1517"/>
        <w:gridCol w:w="9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3" w:hRule="atLeast"/>
          <w:jc w:val="right"/>
        </w:trPr>
        <w:tc>
          <w:tcPr>
            <w:tcW w:w="72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序号</w:t>
            </w: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服务名称</w:t>
            </w:r>
          </w:p>
        </w:tc>
        <w:tc>
          <w:tcPr>
            <w:tcW w:w="2065"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color w:val="auto"/>
                <w:highlight w:val="none"/>
              </w:rPr>
            </w:pPr>
            <w:r>
              <w:rPr>
                <w:rFonts w:eastAsia="仿宋_GB2312"/>
                <w:color w:val="auto"/>
                <w:highlight w:val="none"/>
              </w:rPr>
              <w:t>服务内容</w:t>
            </w: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color w:val="auto"/>
                <w:highlight w:val="none"/>
              </w:rPr>
            </w:pPr>
            <w:r>
              <w:rPr>
                <w:rFonts w:eastAsia="仿宋_GB2312"/>
                <w:color w:val="auto"/>
                <w:highlight w:val="none"/>
              </w:rPr>
              <w:t>数量①</w:t>
            </w: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单价(元)②</w:t>
            </w:r>
          </w:p>
        </w:tc>
        <w:tc>
          <w:tcPr>
            <w:tcW w:w="151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单项合价（元）</w:t>
            </w:r>
          </w:p>
          <w:p>
            <w:pPr>
              <w:rPr>
                <w:rFonts w:eastAsia="仿宋_GB2312"/>
                <w:color w:val="auto"/>
                <w:highlight w:val="none"/>
              </w:rPr>
            </w:pPr>
            <w:r>
              <w:rPr>
                <w:rFonts w:eastAsia="仿宋_GB2312"/>
                <w:color w:val="auto"/>
                <w:highlight w:val="none"/>
              </w:rPr>
              <w:t>③＝①×②</w:t>
            </w:r>
          </w:p>
        </w:tc>
        <w:tc>
          <w:tcPr>
            <w:tcW w:w="95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5" w:hRule="atLeast"/>
          <w:jc w:val="right"/>
        </w:trPr>
        <w:tc>
          <w:tcPr>
            <w:tcW w:w="72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1</w:t>
            </w: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2065"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51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95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1" w:hRule="atLeast"/>
          <w:jc w:val="right"/>
        </w:trPr>
        <w:tc>
          <w:tcPr>
            <w:tcW w:w="72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2</w:t>
            </w: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2065"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51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95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8" w:hRule="atLeast"/>
          <w:jc w:val="right"/>
        </w:trPr>
        <w:tc>
          <w:tcPr>
            <w:tcW w:w="72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w:t>
            </w: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2065"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151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c>
          <w:tcPr>
            <w:tcW w:w="95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8859" w:type="dxa"/>
            <w:gridSpan w:val="7"/>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报价合计（包含税费等所有费用）：（大写）人民币                                       （￥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8859" w:type="dxa"/>
            <w:gridSpan w:val="7"/>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szCs w:val="21"/>
                <w:highlight w:val="none"/>
                <w:u w:val="single"/>
              </w:rPr>
              <w:t>　　</w:t>
            </w:r>
            <w:r>
              <w:rPr>
                <w:rFonts w:eastAsia="仿宋_GB2312"/>
                <w:color w:val="auto"/>
                <w:szCs w:val="21"/>
                <w:highlight w:val="none"/>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8859" w:type="dxa"/>
            <w:gridSpan w:val="7"/>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投标人（盖单位公章</w:t>
            </w:r>
            <w:r>
              <w:rPr>
                <w:rFonts w:hint="eastAsia" w:eastAsia="仿宋_GB2312"/>
                <w:color w:val="auto"/>
                <w:highlight w:val="none"/>
              </w:rPr>
              <w:t>，自然人除外</w:t>
            </w:r>
            <w:r>
              <w:rPr>
                <w:rFonts w:eastAsia="仿宋_GB2312"/>
                <w:color w:val="auto"/>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8859" w:type="dxa"/>
            <w:gridSpan w:val="7"/>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法定代表人或其委托代理人（签字或盖章）：</w:t>
            </w:r>
          </w:p>
          <w:p>
            <w:pPr>
              <w:rPr>
                <w:rFonts w:eastAsia="仿宋_GB2312"/>
                <w:color w:val="auto"/>
                <w:highlight w:val="none"/>
              </w:rPr>
            </w:pPr>
            <w:r>
              <w:rPr>
                <w:rFonts w:hint="eastAsia" w:ascii="宋体" w:hAnsi="宋体"/>
                <w:color w:val="auto"/>
                <w:szCs w:val="21"/>
                <w:highlight w:val="none"/>
              </w:rPr>
              <w:t>（</w:t>
            </w:r>
            <w:r>
              <w:rPr>
                <w:rFonts w:hint="eastAsia" w:eastAsia="仿宋_GB2312"/>
                <w:color w:val="auto"/>
                <w:highlight w:val="none"/>
              </w:rPr>
              <w:t>投标人属自然人的应由自然人签字并加盖指印，投标人若为其他组织形式无法定代表人的应由机构负责人</w:t>
            </w:r>
            <w:r>
              <w:rPr>
                <w:rFonts w:eastAsia="仿宋_GB2312"/>
                <w:color w:val="auto"/>
                <w:highlight w:val="none"/>
              </w:rPr>
              <w:t>签字或盖章</w:t>
            </w:r>
            <w:r>
              <w:rPr>
                <w:rFonts w:hint="eastAsia" w:ascii="宋体" w:hAnsi="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8859" w:type="dxa"/>
            <w:gridSpan w:val="7"/>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hint="eastAsia" w:eastAsia="仿宋_GB2312"/>
                <w:color w:val="auto"/>
                <w:highlight w:val="none"/>
              </w:rPr>
              <w:t>日期：       年   月   日</w:t>
            </w:r>
          </w:p>
        </w:tc>
      </w:tr>
    </w:tbl>
    <w:p>
      <w:pPr>
        <w:ind w:firstLine="480" w:firstLineChars="200"/>
        <w:rPr>
          <w:rFonts w:ascii="仿宋_GB2312" w:eastAsia="仿宋_GB2312"/>
          <w:color w:val="auto"/>
          <w:sz w:val="24"/>
          <w:highlight w:val="none"/>
        </w:rPr>
      </w:pPr>
    </w:p>
    <w:p>
      <w:pPr>
        <w:ind w:firstLine="480" w:firstLineChars="200"/>
        <w:rPr>
          <w:rFonts w:ascii="仿宋_GB2312" w:eastAsia="仿宋_GB2312"/>
          <w:color w:val="auto"/>
          <w:sz w:val="24"/>
          <w:highlight w:val="none"/>
        </w:rPr>
      </w:pPr>
      <w:r>
        <w:rPr>
          <w:rFonts w:hint="eastAsia" w:ascii="仿宋_GB2312" w:eastAsia="仿宋_GB2312"/>
          <w:color w:val="auto"/>
          <w:sz w:val="24"/>
          <w:highlight w:val="none"/>
        </w:rPr>
        <w:t>注：表格内容均需按要求填写并盖章，不得留空,</w:t>
      </w:r>
      <w:r>
        <w:rPr>
          <w:rFonts w:hint="eastAsia" w:ascii="仿宋_GB2312" w:eastAsia="仿宋_GB2312"/>
          <w:bCs/>
          <w:color w:val="auto"/>
          <w:sz w:val="24"/>
          <w:highlight w:val="none"/>
        </w:rPr>
        <w:t xml:space="preserve"> 否则按投标无效处理</w:t>
      </w:r>
      <w:r>
        <w:rPr>
          <w:rFonts w:hint="eastAsia" w:ascii="仿宋_GB2312" w:eastAsia="仿宋_GB2312"/>
          <w:color w:val="auto"/>
          <w:sz w:val="24"/>
          <w:highlight w:val="none"/>
        </w:rPr>
        <w:t>。</w:t>
      </w:r>
    </w:p>
    <w:p>
      <w:pPr>
        <w:snapToGrid w:val="0"/>
        <w:rPr>
          <w:rFonts w:ascii="宋体" w:hAnsi="宋体"/>
          <w:color w:val="auto"/>
          <w:spacing w:val="20"/>
          <w:sz w:val="24"/>
          <w:highlight w:val="none"/>
        </w:rPr>
      </w:pPr>
    </w:p>
    <w:p>
      <w:pPr>
        <w:snapToGrid w:val="0"/>
        <w:rPr>
          <w:rFonts w:ascii="宋体" w:hAnsi="宋体"/>
          <w:color w:val="auto"/>
          <w:spacing w:val="20"/>
          <w:sz w:val="24"/>
          <w:highlight w:val="none"/>
        </w:rPr>
      </w:pPr>
    </w:p>
    <w:p>
      <w:pPr>
        <w:snapToGrid w:val="0"/>
        <w:rPr>
          <w:rFonts w:ascii="宋体" w:hAnsi="宋体"/>
          <w:color w:val="auto"/>
          <w:spacing w:val="20"/>
          <w:sz w:val="24"/>
          <w:highlight w:val="none"/>
        </w:rPr>
      </w:pPr>
    </w:p>
    <w:p>
      <w:pPr>
        <w:pStyle w:val="22"/>
        <w:ind w:firstLine="600" w:firstLineChars="250"/>
        <w:rPr>
          <w:rFonts w:hAnsi="宋体"/>
          <w:b/>
          <w:bCs/>
          <w:color w:val="auto"/>
          <w:sz w:val="24"/>
          <w:szCs w:val="24"/>
          <w:highlight w:val="none"/>
        </w:rPr>
      </w:pPr>
      <w:r>
        <w:rPr>
          <w:rFonts w:hint="eastAsia" w:hAnsi="宋体"/>
          <w:color w:val="auto"/>
          <w:sz w:val="24"/>
          <w:highlight w:val="none"/>
        </w:rPr>
        <w:t xml:space="preserve">     </w:t>
      </w:r>
    </w:p>
    <w:p>
      <w:pPr>
        <w:tabs>
          <w:tab w:val="left" w:pos="3870"/>
          <w:tab w:val="left" w:pos="4085"/>
        </w:tabs>
        <w:snapToGrid w:val="0"/>
        <w:ind w:firstLine="480" w:firstLineChars="200"/>
        <w:rPr>
          <w:rFonts w:ascii="宋体" w:hAnsi="宋体"/>
          <w:color w:val="auto"/>
          <w:highlight w:val="none"/>
        </w:rPr>
      </w:pPr>
      <w:r>
        <w:rPr>
          <w:rFonts w:hAnsi="宋体"/>
          <w:color w:val="auto"/>
          <w:sz w:val="24"/>
          <w:highlight w:val="none"/>
        </w:rPr>
        <w:br w:type="page"/>
      </w:r>
    </w:p>
    <w:p>
      <w:pPr>
        <w:rPr>
          <w:rFonts w:ascii="宋体" w:hAnsi="宋体"/>
          <w:color w:val="auto"/>
          <w:highlight w:val="none"/>
        </w:rPr>
      </w:pPr>
    </w:p>
    <w:p>
      <w:pPr>
        <w:tabs>
          <w:tab w:val="left" w:pos="3870"/>
          <w:tab w:val="left" w:pos="4085"/>
        </w:tabs>
        <w:snapToGrid w:val="0"/>
        <w:ind w:firstLine="482" w:firstLineChars="200"/>
        <w:rPr>
          <w:rFonts w:ascii="宋体" w:hAnsi="宋体"/>
          <w:b/>
          <w:color w:val="auto"/>
          <w:sz w:val="24"/>
          <w:highlight w:val="none"/>
        </w:rPr>
      </w:pPr>
      <w:r>
        <w:rPr>
          <w:rFonts w:hint="eastAsia" w:ascii="宋体" w:hAnsi="宋体"/>
          <w:b/>
          <w:color w:val="auto"/>
          <w:sz w:val="24"/>
          <w:highlight w:val="none"/>
        </w:rPr>
        <w:t>投标声明书格式：</w:t>
      </w:r>
    </w:p>
    <w:p>
      <w:pPr>
        <w:snapToGrid w:val="0"/>
        <w:jc w:val="left"/>
        <w:rPr>
          <w:rFonts w:ascii="宋体" w:hAnsi="宋体"/>
          <w:color w:val="auto"/>
          <w:sz w:val="24"/>
          <w:highlight w:val="none"/>
        </w:rPr>
      </w:pPr>
    </w:p>
    <w:p>
      <w:pPr>
        <w:snapToGrid w:val="0"/>
        <w:jc w:val="center"/>
        <w:rPr>
          <w:rFonts w:ascii="宋体" w:hAnsi="宋体"/>
          <w:b/>
          <w:color w:val="auto"/>
          <w:sz w:val="32"/>
          <w:szCs w:val="32"/>
          <w:highlight w:val="none"/>
        </w:rPr>
      </w:pPr>
      <w:r>
        <w:rPr>
          <w:rFonts w:hint="eastAsia" w:ascii="宋体" w:hAnsi="宋体"/>
          <w:b/>
          <w:color w:val="auto"/>
          <w:sz w:val="32"/>
          <w:szCs w:val="32"/>
          <w:highlight w:val="none"/>
        </w:rPr>
        <w:t>投标声明书</w:t>
      </w:r>
    </w:p>
    <w:p>
      <w:pPr>
        <w:snapToGrid w:val="0"/>
        <w:rPr>
          <w:rFonts w:ascii="宋体" w:hAnsi="宋体"/>
          <w:color w:val="auto"/>
          <w:sz w:val="24"/>
          <w:highlight w:val="none"/>
        </w:rPr>
      </w:pPr>
    </w:p>
    <w:p>
      <w:pPr>
        <w:snapToGrid w:val="0"/>
        <w:rPr>
          <w:rFonts w:ascii="宋体" w:hAnsi="宋体"/>
          <w:color w:val="auto"/>
          <w:sz w:val="24"/>
          <w:highlight w:val="none"/>
        </w:rPr>
      </w:pPr>
    </w:p>
    <w:p>
      <w:pPr>
        <w:snapToGrid w:val="0"/>
        <w:spacing w:line="460" w:lineRule="exact"/>
        <w:rPr>
          <w:rFonts w:ascii="宋体" w:hAnsi="宋体"/>
          <w:color w:val="auto"/>
          <w:szCs w:val="21"/>
          <w:highlight w:val="none"/>
        </w:rPr>
      </w:pPr>
      <w:r>
        <w:rPr>
          <w:rFonts w:hint="eastAsia" w:ascii="宋体" w:hAnsi="宋体"/>
          <w:color w:val="auto"/>
          <w:szCs w:val="21"/>
          <w:highlight w:val="none"/>
        </w:rPr>
        <w:t>致：</w:t>
      </w:r>
      <w:r>
        <w:rPr>
          <w:rFonts w:hint="eastAsia" w:ascii="宋体" w:hAnsi="宋体"/>
          <w:color w:val="auto"/>
          <w:szCs w:val="21"/>
          <w:highlight w:val="none"/>
          <w:u w:val="single"/>
        </w:rPr>
        <w:t xml:space="preserve">         </w:t>
      </w:r>
      <w:r>
        <w:rPr>
          <w:rFonts w:hint="eastAsia" w:ascii="宋体" w:hAnsi="宋体"/>
          <w:color w:val="auto"/>
          <w:szCs w:val="21"/>
          <w:highlight w:val="none"/>
        </w:rPr>
        <w:t>（招标采购单位名称）：</w:t>
      </w:r>
    </w:p>
    <w:p>
      <w:pPr>
        <w:snapToGrid w:val="0"/>
        <w:spacing w:line="460" w:lineRule="exact"/>
        <w:ind w:firstLine="630" w:firstLineChars="300"/>
        <w:rPr>
          <w:rFonts w:ascii="宋体" w:hAnsi="宋体"/>
          <w:color w:val="auto"/>
          <w:szCs w:val="21"/>
          <w:highlight w:val="none"/>
        </w:rPr>
      </w:pPr>
      <w:r>
        <w:rPr>
          <w:rFonts w:hint="eastAsia" w:ascii="宋体" w:hAnsi="宋体"/>
          <w:color w:val="auto"/>
          <w:szCs w:val="21"/>
          <w:highlight w:val="none"/>
        </w:rPr>
        <w:t>______（投标人名称）系中华人民共和国合法企业，经营地址</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pPr>
        <w:snapToGrid w:val="0"/>
        <w:spacing w:line="460" w:lineRule="exact"/>
        <w:ind w:firstLine="645"/>
        <w:rPr>
          <w:rFonts w:ascii="宋体" w:hAnsi="宋体"/>
          <w:color w:val="auto"/>
          <w:szCs w:val="21"/>
          <w:highlight w:val="none"/>
        </w:rPr>
      </w:pPr>
      <w:r>
        <w:rPr>
          <w:rFonts w:hint="eastAsia" w:ascii="宋体" w:hAnsi="宋体"/>
          <w:color w:val="auto"/>
          <w:szCs w:val="21"/>
          <w:highlight w:val="none"/>
        </w:rPr>
        <w:t>我方愿意参加贵方组织的</w:t>
      </w:r>
      <w:r>
        <w:rPr>
          <w:rFonts w:hint="eastAsia" w:ascii="宋体" w:hAnsi="宋体"/>
          <w:color w:val="auto"/>
          <w:szCs w:val="21"/>
          <w:highlight w:val="none"/>
          <w:u w:val="single"/>
        </w:rPr>
        <w:t xml:space="preserve">            </w:t>
      </w:r>
      <w:r>
        <w:rPr>
          <w:rFonts w:hint="eastAsia" w:ascii="宋体" w:hAnsi="宋体"/>
          <w:color w:val="auto"/>
          <w:szCs w:val="21"/>
          <w:highlight w:val="none"/>
        </w:rPr>
        <w:t>项目的投标，为便于贵方公正、择优地确定中标人及其投标产品和服务，我方就本次投标有关事项郑重声明如下：</w:t>
      </w:r>
    </w:p>
    <w:p>
      <w:pPr>
        <w:snapToGrid w:val="0"/>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1.我方向贵方提交的所有投标文件、资料都是准确的和真实的。</w:t>
      </w:r>
    </w:p>
    <w:p>
      <w:pPr>
        <w:snapToGrid w:val="0"/>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2.我方不是采购人的附属机构；在获知本项目采购信息后，与采购人聘请的为此项目提供咨询服务的公司及其附属机构没有任何联系。</w:t>
      </w:r>
    </w:p>
    <w:p>
      <w:pPr>
        <w:snapToGrid w:val="0"/>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3.我方在参加政府采购活动前3年内在经营活动中</w:t>
      </w:r>
      <w:r>
        <w:rPr>
          <w:rFonts w:hint="eastAsia" w:cs="Arial"/>
          <w:bCs/>
          <w:color w:val="auto"/>
          <w:szCs w:val="21"/>
          <w:highlight w:val="none"/>
          <w:u w:val="single"/>
        </w:rPr>
        <w:t xml:space="preserve">        （填</w:t>
      </w:r>
      <w:r>
        <w:rPr>
          <w:rFonts w:hint="eastAsia" w:ascii="宋体" w:hAnsi="宋体"/>
          <w:color w:val="auto"/>
          <w:szCs w:val="21"/>
          <w:highlight w:val="none"/>
          <w:u w:val="single"/>
        </w:rPr>
        <w:t>没有或有</w:t>
      </w:r>
      <w:r>
        <w:rPr>
          <w:rFonts w:hint="eastAsia" w:cs="Arial"/>
          <w:bCs/>
          <w:color w:val="auto"/>
          <w:szCs w:val="21"/>
          <w:highlight w:val="none"/>
          <w:u w:val="single"/>
        </w:rPr>
        <w:t>）</w:t>
      </w:r>
      <w:r>
        <w:rPr>
          <w:rFonts w:hint="eastAsia" w:ascii="宋体" w:hAnsi="宋体"/>
          <w:color w:val="auto"/>
          <w:szCs w:val="21"/>
          <w:highlight w:val="none"/>
        </w:rPr>
        <w:t>重大违法记录（指因违法经营收到刑事处罚或者责令停产停业、吊销许可证或者执照、较大数额罚款等行政处罚）。</w:t>
      </w:r>
    </w:p>
    <w:p>
      <w:pPr>
        <w:snapToGrid w:val="0"/>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4、我方在“信用中国”或“中国政府采购网”的被列为失信被执行人、重大税收违法案件当事人名单、政府采购严重违法失信行为记录名单情况：</w:t>
      </w:r>
      <w:r>
        <w:rPr>
          <w:rFonts w:hint="eastAsia" w:cs="Arial"/>
          <w:bCs/>
          <w:color w:val="auto"/>
          <w:szCs w:val="21"/>
          <w:highlight w:val="none"/>
          <w:u w:val="single"/>
        </w:rPr>
        <w:t xml:space="preserve">            </w:t>
      </w:r>
      <w:r>
        <w:rPr>
          <w:rFonts w:hint="eastAsia" w:cs="Arial"/>
          <w:bCs/>
          <w:color w:val="auto"/>
          <w:szCs w:val="21"/>
          <w:highlight w:val="none"/>
        </w:rPr>
        <w:t xml:space="preserve"> 。</w:t>
      </w:r>
    </w:p>
    <w:p>
      <w:pPr>
        <w:snapToGrid w:val="0"/>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5.以上事项如有虚假或隐瞒，我方愿意承担一切后果，并不再寻求任何旨在减轻或免除法律责任的辩解。</w:t>
      </w:r>
    </w:p>
    <w:p>
      <w:pPr>
        <w:pStyle w:val="20"/>
        <w:tabs>
          <w:tab w:val="left" w:pos="939"/>
        </w:tabs>
        <w:snapToGrid w:val="0"/>
        <w:spacing w:line="460" w:lineRule="exact"/>
        <w:ind w:left="401" w:leftChars="0" w:hanging="401" w:hangingChars="191"/>
        <w:rPr>
          <w:rFonts w:ascii="宋体" w:hAnsi="宋体"/>
          <w:color w:val="auto"/>
          <w:sz w:val="21"/>
          <w:szCs w:val="21"/>
          <w:highlight w:val="none"/>
        </w:rPr>
      </w:pPr>
    </w:p>
    <w:p>
      <w:pPr>
        <w:pStyle w:val="20"/>
        <w:tabs>
          <w:tab w:val="left" w:pos="939"/>
        </w:tabs>
        <w:snapToGrid w:val="0"/>
        <w:spacing w:line="420" w:lineRule="exact"/>
        <w:ind w:left="401" w:leftChars="0" w:hanging="401" w:hangingChars="191"/>
        <w:rPr>
          <w:rFonts w:ascii="宋体" w:hAnsi="宋体"/>
          <w:color w:val="auto"/>
          <w:sz w:val="21"/>
          <w:szCs w:val="21"/>
          <w:highlight w:val="none"/>
        </w:rPr>
      </w:pPr>
    </w:p>
    <w:p>
      <w:pPr>
        <w:pStyle w:val="20"/>
        <w:tabs>
          <w:tab w:val="left" w:pos="939"/>
        </w:tabs>
        <w:snapToGrid w:val="0"/>
        <w:spacing w:line="420" w:lineRule="exact"/>
        <w:ind w:left="401" w:leftChars="0" w:hanging="401" w:hangingChars="191"/>
        <w:rPr>
          <w:rFonts w:ascii="宋体" w:hAnsi="宋体"/>
          <w:color w:val="auto"/>
          <w:sz w:val="21"/>
          <w:szCs w:val="21"/>
          <w:highlight w:val="none"/>
        </w:rPr>
      </w:pPr>
    </w:p>
    <w:p>
      <w:pPr>
        <w:pStyle w:val="20"/>
        <w:tabs>
          <w:tab w:val="left" w:pos="939"/>
        </w:tabs>
        <w:snapToGrid w:val="0"/>
        <w:spacing w:line="420" w:lineRule="exact"/>
        <w:ind w:left="401" w:leftChars="0" w:hanging="401" w:hangingChars="191"/>
        <w:rPr>
          <w:rFonts w:ascii="宋体" w:hAnsi="宋体"/>
          <w:color w:val="auto"/>
          <w:sz w:val="21"/>
          <w:szCs w:val="21"/>
          <w:highlight w:val="none"/>
        </w:rPr>
      </w:pPr>
    </w:p>
    <w:p>
      <w:pPr>
        <w:pStyle w:val="101"/>
        <w:snapToGrid w:val="0"/>
        <w:spacing w:line="420" w:lineRule="exact"/>
        <w:ind w:firstLine="200"/>
        <w:rPr>
          <w:rFonts w:ascii="宋体" w:hAnsi="宋体"/>
          <w:color w:val="auto"/>
          <w:sz w:val="21"/>
          <w:szCs w:val="21"/>
          <w:highlight w:val="none"/>
        </w:rPr>
      </w:pPr>
    </w:p>
    <w:p>
      <w:pPr>
        <w:snapToGrid w:val="0"/>
        <w:ind w:left="149" w:hanging="148" w:hangingChars="62"/>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投标人（盖单位公章</w:t>
      </w:r>
      <w:r>
        <w:rPr>
          <w:rFonts w:hint="eastAsia" w:asciiTheme="minorEastAsia" w:hAnsiTheme="minorEastAsia" w:eastAsiaTheme="minorEastAsia"/>
          <w:color w:val="auto"/>
          <w:sz w:val="24"/>
          <w:highlight w:val="none"/>
        </w:rPr>
        <w:t>，自然人除外</w:t>
      </w:r>
      <w:r>
        <w:rPr>
          <w:rFonts w:asciiTheme="minorEastAsia" w:hAnsiTheme="minorEastAsia" w:eastAsiaTheme="minorEastAsia"/>
          <w:color w:val="auto"/>
          <w:sz w:val="24"/>
          <w:highlight w:val="none"/>
        </w:rPr>
        <w:t>）：</w:t>
      </w:r>
    </w:p>
    <w:p>
      <w:pPr>
        <w:snapToGrid w:val="0"/>
        <w:ind w:firstLine="1920" w:firstLineChars="800"/>
        <w:rPr>
          <w:rFonts w:asciiTheme="minorEastAsia" w:hAnsiTheme="minorEastAsia" w:eastAsiaTheme="minorEastAsia"/>
          <w:color w:val="auto"/>
          <w:sz w:val="24"/>
          <w:highlight w:val="none"/>
        </w:rPr>
      </w:pPr>
    </w:p>
    <w:p>
      <w:pPr>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法定代表人或其委托代理人（签字或盖章）：</w:t>
      </w:r>
    </w:p>
    <w:p>
      <w:pPr>
        <w:snapToGrid w:val="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（投标人属自然人的应由自然人签字并加盖指印，投标人若为其他组织形式无法定代表人的应由机构负责人</w:t>
      </w:r>
      <w:r>
        <w:rPr>
          <w:rFonts w:asciiTheme="minorEastAsia" w:hAnsiTheme="minorEastAsia" w:eastAsiaTheme="minorEastAsia"/>
          <w:color w:val="auto"/>
          <w:sz w:val="24"/>
          <w:highlight w:val="none"/>
        </w:rPr>
        <w:t>签字或盖章</w:t>
      </w:r>
      <w:r>
        <w:rPr>
          <w:rFonts w:hint="eastAsia" w:asciiTheme="minorEastAsia" w:hAnsiTheme="minorEastAsia" w:eastAsiaTheme="minorEastAsia"/>
          <w:color w:val="auto"/>
          <w:sz w:val="24"/>
          <w:highlight w:val="none"/>
        </w:rPr>
        <w:t>）</w:t>
      </w:r>
    </w:p>
    <w:p>
      <w:pPr>
        <w:snapToGrid w:val="0"/>
        <w:ind w:firstLine="2280" w:firstLineChars="950"/>
        <w:rPr>
          <w:rFonts w:asciiTheme="minorEastAsia" w:hAnsiTheme="minorEastAsia" w:eastAsiaTheme="minorEastAsia"/>
          <w:color w:val="auto"/>
          <w:sz w:val="24"/>
          <w:highlight w:val="none"/>
        </w:rPr>
      </w:pPr>
    </w:p>
    <w:p>
      <w:pPr>
        <w:snapToGrid w:val="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日期:_____年_____月_____日</w:t>
      </w:r>
    </w:p>
    <w:p>
      <w:pPr>
        <w:rPr>
          <w:rFonts w:ascii="宋体" w:hAnsi="宋体"/>
          <w:color w:val="auto"/>
          <w:highlight w:val="none"/>
        </w:rPr>
      </w:pPr>
    </w:p>
    <w:p>
      <w:pPr>
        <w:snapToGrid w:val="0"/>
        <w:jc w:val="left"/>
        <w:rPr>
          <w:rFonts w:ascii="宋体" w:hAnsi="宋体"/>
          <w:color w:val="auto"/>
          <w:highlight w:val="none"/>
        </w:rPr>
      </w:pPr>
    </w:p>
    <w:p>
      <w:pPr>
        <w:widowControl/>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pPr>
        <w:widowControl/>
        <w:shd w:val="clear" w:color="auto" w:fill="FFFFFF"/>
        <w:spacing w:line="360" w:lineRule="auto"/>
        <w:ind w:firstLine="480"/>
        <w:jc w:val="center"/>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投标人参加政府采购活动前3年内在经营活动中没有重大违法记录的声明</w:t>
      </w:r>
    </w:p>
    <w:p>
      <w:pPr>
        <w:widowControl/>
        <w:shd w:val="clear" w:color="auto" w:fill="FFFFFF"/>
        <w:spacing w:line="360" w:lineRule="auto"/>
        <w:jc w:val="left"/>
        <w:rPr>
          <w:rFonts w:ascii="宋体" w:hAnsi="宋体" w:cs="宋体"/>
          <w:color w:val="auto"/>
          <w:kern w:val="0"/>
          <w:sz w:val="24"/>
          <w:highlight w:val="none"/>
        </w:rPr>
      </w:pPr>
    </w:p>
    <w:p>
      <w:pPr>
        <w:widowControl/>
        <w:shd w:val="clear" w:color="auto" w:fill="FFFFFF"/>
        <w:spacing w:line="360" w:lineRule="auto"/>
        <w:jc w:val="left"/>
        <w:rPr>
          <w:rFonts w:ascii="宋体" w:hAnsi="宋体" w:cs="宋体"/>
          <w:color w:val="auto"/>
          <w:kern w:val="0"/>
          <w:sz w:val="24"/>
          <w:highlight w:val="none"/>
        </w:rPr>
      </w:pPr>
    </w:p>
    <w:p>
      <w:pPr>
        <w:widowControl/>
        <w:shd w:val="clear" w:color="auto" w:fill="FFFFFF"/>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致：广西建设工程机电设备招标中心有限公司</w:t>
      </w:r>
    </w:p>
    <w:p>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本公司郑重声明，在参加投标人参加政府采购活动前3年内在经营活动中没有重大违法记录（重大违法记录指因违法经营收到刑事处罚或者责令停产停业、吊销许可证或者执照、较大数额罚</w:t>
      </w:r>
      <w:r>
        <w:rPr>
          <w:rFonts w:hint="eastAsia" w:ascii="宋体" w:hAnsi="宋体"/>
          <w:color w:val="auto"/>
          <w:sz w:val="24"/>
          <w:highlight w:val="none"/>
        </w:rPr>
        <w:t>款等行政处</w:t>
      </w:r>
      <w:r>
        <w:rPr>
          <w:rFonts w:hint="eastAsia" w:ascii="宋体" w:hAnsi="宋体" w:cs="宋体"/>
          <w:color w:val="auto"/>
          <w:kern w:val="0"/>
          <w:sz w:val="24"/>
          <w:highlight w:val="none"/>
        </w:rPr>
        <w:t>罚）</w:t>
      </w:r>
    </w:p>
    <w:p>
      <w:pPr>
        <w:widowControl/>
        <w:shd w:val="clear" w:color="auto" w:fill="FFFFFF"/>
        <w:spacing w:line="360" w:lineRule="auto"/>
        <w:ind w:firstLine="480"/>
        <w:jc w:val="left"/>
        <w:rPr>
          <w:rFonts w:ascii="宋体" w:hAnsi="宋体" w:cs="宋体"/>
          <w:color w:val="auto"/>
          <w:kern w:val="0"/>
          <w:sz w:val="24"/>
          <w:highlight w:val="none"/>
        </w:rPr>
      </w:pPr>
    </w:p>
    <w:p>
      <w:pPr>
        <w:widowControl/>
        <w:shd w:val="clear" w:color="auto" w:fill="FFFFFF"/>
        <w:spacing w:line="360" w:lineRule="auto"/>
        <w:ind w:firstLine="480"/>
        <w:jc w:val="left"/>
        <w:rPr>
          <w:rFonts w:ascii="宋体" w:hAnsi="宋体" w:cs="宋体"/>
          <w:color w:val="auto"/>
          <w:kern w:val="0"/>
          <w:sz w:val="24"/>
          <w:highlight w:val="none"/>
        </w:rPr>
      </w:pPr>
    </w:p>
    <w:p>
      <w:pPr>
        <w:widowControl/>
        <w:shd w:val="clear" w:color="auto" w:fill="FFFFFF"/>
        <w:spacing w:line="360" w:lineRule="auto"/>
        <w:ind w:firstLine="480"/>
        <w:jc w:val="left"/>
        <w:rPr>
          <w:rFonts w:ascii="宋体" w:hAnsi="宋体" w:cs="宋体"/>
          <w:color w:val="auto"/>
          <w:kern w:val="0"/>
          <w:sz w:val="24"/>
          <w:highlight w:val="none"/>
        </w:rPr>
      </w:pPr>
    </w:p>
    <w:p>
      <w:pPr>
        <w:snapToGrid w:val="0"/>
        <w:ind w:left="149" w:hanging="148" w:hangingChars="62"/>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投标人（盖单位公章</w:t>
      </w:r>
      <w:r>
        <w:rPr>
          <w:rFonts w:hint="eastAsia" w:asciiTheme="minorEastAsia" w:hAnsiTheme="minorEastAsia" w:eastAsiaTheme="minorEastAsia"/>
          <w:color w:val="auto"/>
          <w:sz w:val="24"/>
          <w:highlight w:val="none"/>
        </w:rPr>
        <w:t>，自然人除外</w:t>
      </w:r>
      <w:r>
        <w:rPr>
          <w:rFonts w:asciiTheme="minorEastAsia" w:hAnsiTheme="minorEastAsia" w:eastAsiaTheme="minorEastAsia"/>
          <w:color w:val="auto"/>
          <w:sz w:val="24"/>
          <w:highlight w:val="none"/>
        </w:rPr>
        <w:t>）：</w:t>
      </w:r>
    </w:p>
    <w:p>
      <w:pPr>
        <w:snapToGrid w:val="0"/>
        <w:ind w:firstLine="1920" w:firstLineChars="800"/>
        <w:rPr>
          <w:rFonts w:asciiTheme="minorEastAsia" w:hAnsiTheme="minorEastAsia" w:eastAsiaTheme="minorEastAsia"/>
          <w:color w:val="auto"/>
          <w:sz w:val="24"/>
          <w:highlight w:val="none"/>
        </w:rPr>
      </w:pPr>
    </w:p>
    <w:p>
      <w:pPr>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法定代表人或其委托代理人（签字或盖章）：</w:t>
      </w:r>
    </w:p>
    <w:p>
      <w:pPr>
        <w:snapToGrid w:val="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（投标人属自然人的应由自然人签字并加盖指印，投标人若为其他组织形式无法定代表人的应由机构负责人</w:t>
      </w:r>
      <w:r>
        <w:rPr>
          <w:rFonts w:asciiTheme="minorEastAsia" w:hAnsiTheme="minorEastAsia" w:eastAsiaTheme="minorEastAsia"/>
          <w:color w:val="auto"/>
          <w:sz w:val="24"/>
          <w:highlight w:val="none"/>
        </w:rPr>
        <w:t>签字或盖章</w:t>
      </w:r>
      <w:r>
        <w:rPr>
          <w:rFonts w:hint="eastAsia" w:asciiTheme="minorEastAsia" w:hAnsiTheme="minorEastAsia" w:eastAsiaTheme="minorEastAsia"/>
          <w:color w:val="auto"/>
          <w:sz w:val="24"/>
          <w:highlight w:val="none"/>
        </w:rPr>
        <w:t>）</w:t>
      </w:r>
    </w:p>
    <w:p>
      <w:pPr>
        <w:snapToGrid w:val="0"/>
        <w:ind w:firstLine="2280" w:firstLineChars="950"/>
        <w:rPr>
          <w:rFonts w:asciiTheme="minorEastAsia" w:hAnsiTheme="minorEastAsia" w:eastAsiaTheme="minorEastAsia"/>
          <w:color w:val="auto"/>
          <w:sz w:val="24"/>
          <w:highlight w:val="none"/>
        </w:rPr>
      </w:pPr>
    </w:p>
    <w:p>
      <w:pPr>
        <w:snapToGrid w:val="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日期:_____年_____月_____日</w:t>
      </w:r>
    </w:p>
    <w:p>
      <w:pPr>
        <w:rPr>
          <w:rFonts w:ascii="宋体" w:hAnsi="宋体"/>
          <w:b/>
          <w:color w:val="auto"/>
          <w:sz w:val="24"/>
          <w:highlight w:val="none"/>
        </w:rPr>
      </w:pPr>
      <w:r>
        <w:rPr>
          <w:rFonts w:ascii="宋体" w:hAnsi="宋体"/>
          <w:b/>
          <w:color w:val="auto"/>
          <w:sz w:val="24"/>
          <w:highlight w:val="none"/>
        </w:rPr>
        <w:br w:type="page"/>
      </w:r>
      <w:r>
        <w:rPr>
          <w:rFonts w:hint="eastAsia" w:ascii="宋体" w:hAnsi="宋体"/>
          <w:b/>
          <w:color w:val="auto"/>
          <w:sz w:val="24"/>
          <w:highlight w:val="none"/>
        </w:rPr>
        <w:t>法定代表人身份证明书格式：</w:t>
      </w:r>
    </w:p>
    <w:p>
      <w:pPr>
        <w:jc w:val="center"/>
        <w:rPr>
          <w:rFonts w:ascii="宋体" w:hAnsi="宋体"/>
          <w:b/>
          <w:color w:val="auto"/>
          <w:sz w:val="32"/>
          <w:highlight w:val="none"/>
        </w:rPr>
      </w:pPr>
      <w:r>
        <w:rPr>
          <w:rFonts w:hint="eastAsia" w:ascii="宋体" w:hAnsi="宋体"/>
          <w:b/>
          <w:color w:val="auto"/>
          <w:sz w:val="32"/>
          <w:highlight w:val="none"/>
        </w:rPr>
        <w:t>法定代表人身份证明书</w:t>
      </w:r>
    </w:p>
    <w:p>
      <w:pPr>
        <w:ind w:firstLine="840" w:firstLineChars="400"/>
        <w:rPr>
          <w:rFonts w:ascii="宋体" w:hAnsi="宋体"/>
          <w:color w:val="auto"/>
          <w:highlight w:val="none"/>
          <w:u w:val="single"/>
        </w:rPr>
      </w:pPr>
    </w:p>
    <w:p>
      <w:pPr>
        <w:ind w:firstLine="960" w:firstLineChars="400"/>
        <w:rPr>
          <w:rFonts w:ascii="宋体" w:hAnsi="宋体"/>
          <w:color w:val="auto"/>
          <w:sz w:val="24"/>
          <w:highlight w:val="none"/>
        </w:rPr>
      </w:pPr>
      <w:r>
        <w:rPr>
          <w:rFonts w:hint="eastAsia" w:ascii="宋体" w:hAnsi="宋体"/>
          <w:color w:val="auto"/>
          <w:sz w:val="24"/>
          <w:highlight w:val="none"/>
          <w:u w:val="single"/>
        </w:rPr>
        <w:t xml:space="preserve">   （法定代表人名字）       </w:t>
      </w:r>
      <w:r>
        <w:rPr>
          <w:rFonts w:hint="eastAsia" w:ascii="宋体" w:hAnsi="宋体"/>
          <w:color w:val="auto"/>
          <w:sz w:val="24"/>
          <w:highlight w:val="none"/>
        </w:rPr>
        <w:t xml:space="preserve"> 在</w:t>
      </w:r>
      <w:r>
        <w:rPr>
          <w:rFonts w:hint="eastAsia" w:ascii="宋体" w:hAnsi="宋体"/>
          <w:color w:val="auto"/>
          <w:sz w:val="24"/>
          <w:highlight w:val="none"/>
          <w:u w:val="single"/>
        </w:rPr>
        <w:t xml:space="preserve">（ 单位名称）     </w:t>
      </w:r>
      <w:r>
        <w:rPr>
          <w:rFonts w:hint="eastAsia" w:ascii="宋体" w:hAnsi="宋体"/>
          <w:color w:val="auto"/>
          <w:sz w:val="24"/>
          <w:highlight w:val="none"/>
        </w:rPr>
        <w:t>任</w:t>
      </w:r>
      <w:r>
        <w:rPr>
          <w:rFonts w:hint="eastAsia" w:ascii="宋体" w:hAnsi="宋体"/>
          <w:color w:val="auto"/>
          <w:sz w:val="24"/>
          <w:highlight w:val="none"/>
          <w:u w:val="single"/>
        </w:rPr>
        <w:t xml:space="preserve">          </w:t>
      </w:r>
      <w:r>
        <w:rPr>
          <w:rFonts w:hint="eastAsia" w:ascii="宋体" w:hAnsi="宋体"/>
          <w:color w:val="auto"/>
          <w:sz w:val="24"/>
          <w:highlight w:val="none"/>
        </w:rPr>
        <w:t>职务，是</w:t>
      </w:r>
      <w:r>
        <w:rPr>
          <w:rFonts w:hint="eastAsia" w:ascii="宋体" w:hAnsi="宋体"/>
          <w:color w:val="auto"/>
          <w:sz w:val="24"/>
          <w:highlight w:val="none"/>
          <w:u w:val="single"/>
        </w:rPr>
        <w:t xml:space="preserve">（ 单位名称）    </w:t>
      </w:r>
      <w:r>
        <w:rPr>
          <w:rFonts w:hint="eastAsia" w:ascii="宋体" w:hAnsi="宋体"/>
          <w:color w:val="auto"/>
          <w:sz w:val="24"/>
          <w:highlight w:val="none"/>
        </w:rPr>
        <w:t>的法定代表人。</w:t>
      </w:r>
    </w:p>
    <w:p>
      <w:pPr>
        <w:ind w:firstLine="840" w:firstLineChars="350"/>
        <w:rPr>
          <w:rFonts w:ascii="宋体" w:hAnsi="宋体"/>
          <w:color w:val="auto"/>
          <w:sz w:val="24"/>
          <w:highlight w:val="none"/>
        </w:rPr>
      </w:pPr>
      <w:r>
        <w:rPr>
          <w:rFonts w:hint="eastAsia" w:ascii="宋体" w:hAnsi="宋体"/>
          <w:color w:val="auto"/>
          <w:sz w:val="24"/>
          <w:highlight w:val="none"/>
        </w:rPr>
        <w:t>特此证明。</w:t>
      </w:r>
    </w:p>
    <w:p>
      <w:pPr>
        <w:rPr>
          <w:rFonts w:ascii="宋体" w:hAnsi="宋体"/>
          <w:color w:val="auto"/>
          <w:sz w:val="24"/>
          <w:highlight w:val="none"/>
        </w:rPr>
      </w:pPr>
    </w:p>
    <w:p>
      <w:pPr>
        <w:rPr>
          <w:rFonts w:ascii="宋体" w:hAnsi="宋体"/>
          <w:color w:val="auto"/>
          <w:sz w:val="24"/>
          <w:highlight w:val="none"/>
        </w:rPr>
      </w:pPr>
    </w:p>
    <w:p>
      <w:pPr>
        <w:rPr>
          <w:rFonts w:ascii="宋体" w:hAnsi="宋体"/>
          <w:color w:val="auto"/>
          <w:sz w:val="24"/>
          <w:highlight w:val="none"/>
          <w:u w:val="single"/>
        </w:rPr>
      </w:pPr>
      <w:r>
        <w:rPr>
          <w:rFonts w:hint="eastAsia" w:ascii="宋体" w:hAnsi="宋体"/>
          <w:color w:val="auto"/>
          <w:sz w:val="24"/>
          <w:highlight w:val="none"/>
        </w:rPr>
        <w:t xml:space="preserve">                                     单位名称：</w:t>
      </w:r>
      <w:r>
        <w:rPr>
          <w:rFonts w:hint="eastAsia" w:ascii="宋体" w:hAnsi="宋体"/>
          <w:color w:val="auto"/>
          <w:sz w:val="24"/>
          <w:highlight w:val="none"/>
          <w:u w:val="single"/>
        </w:rPr>
        <w:t xml:space="preserve">                              </w:t>
      </w:r>
    </w:p>
    <w:p>
      <w:pPr>
        <w:rPr>
          <w:rFonts w:ascii="宋体" w:hAnsi="宋体"/>
          <w:color w:val="auto"/>
          <w:sz w:val="24"/>
          <w:highlight w:val="none"/>
        </w:rPr>
      </w:pPr>
      <w:r>
        <w:rPr>
          <w:rFonts w:hint="eastAsia" w:ascii="宋体" w:hAnsi="宋体"/>
          <w:color w:val="auto"/>
          <w:sz w:val="24"/>
          <w:highlight w:val="none"/>
        </w:rPr>
        <w:t xml:space="preserve">                                                        （单位公章）</w:t>
      </w:r>
    </w:p>
    <w:p>
      <w:pPr>
        <w:rPr>
          <w:rFonts w:ascii="宋体" w:hAnsi="宋体"/>
          <w:color w:val="auto"/>
          <w:sz w:val="24"/>
          <w:highlight w:val="none"/>
        </w:rPr>
      </w:pPr>
      <w:r>
        <w:rPr>
          <w:rFonts w:hint="eastAsia" w:ascii="宋体" w:hAnsi="宋体"/>
          <w:color w:val="auto"/>
          <w:sz w:val="24"/>
          <w:highlight w:val="none"/>
        </w:rPr>
        <w:t xml:space="preserve">                                                     年     月    日</w:t>
      </w:r>
    </w:p>
    <w:p>
      <w:pPr>
        <w:rPr>
          <w:rFonts w:ascii="宋体" w:hAnsi="宋体"/>
          <w:color w:val="auto"/>
          <w:sz w:val="24"/>
          <w:highlight w:val="none"/>
        </w:rPr>
      </w:pPr>
    </w:p>
    <w:p>
      <w:pPr>
        <w:ind w:firstLine="360" w:firstLineChars="150"/>
        <w:rPr>
          <w:rFonts w:ascii="宋体" w:hAnsi="宋体"/>
          <w:color w:val="auto"/>
          <w:sz w:val="24"/>
          <w:highlight w:val="none"/>
        </w:rPr>
      </w:pPr>
      <w:r>
        <w:rPr>
          <w:rFonts w:hint="eastAsia" w:ascii="宋体" w:hAnsi="宋体"/>
          <w:color w:val="auto"/>
          <w:sz w:val="24"/>
          <w:highlight w:val="none"/>
        </w:rPr>
        <w:t>法定代表人身份证号码：</w:t>
      </w:r>
    </w:p>
    <w:p>
      <w:pPr>
        <w:ind w:firstLine="360" w:firstLineChars="150"/>
        <w:rPr>
          <w:rFonts w:ascii="宋体" w:hAnsi="宋体"/>
          <w:color w:val="auto"/>
          <w:sz w:val="24"/>
          <w:highlight w:val="none"/>
        </w:rPr>
      </w:pPr>
    </w:p>
    <w:p>
      <w:pPr>
        <w:ind w:firstLine="360" w:firstLineChars="150"/>
        <w:rPr>
          <w:rFonts w:ascii="宋体" w:hAnsi="宋体"/>
          <w:color w:val="auto"/>
          <w:sz w:val="24"/>
          <w:highlight w:val="none"/>
        </w:rPr>
      </w:pPr>
      <w:r>
        <w:rPr>
          <w:rFonts w:hint="eastAsia" w:ascii="宋体" w:hAnsi="宋体"/>
          <w:color w:val="auto"/>
          <w:sz w:val="24"/>
          <w:highlight w:val="none"/>
        </w:rPr>
        <w:t>住    址：</w:t>
      </w:r>
    </w:p>
    <w:p>
      <w:pPr>
        <w:pStyle w:val="22"/>
        <w:jc w:val="center"/>
        <w:rPr>
          <w:rFonts w:hAnsi="宋体"/>
          <w:color w:val="auto"/>
          <w:sz w:val="24"/>
          <w:szCs w:val="24"/>
          <w:highlight w:val="none"/>
        </w:rPr>
      </w:pPr>
    </w:p>
    <w:p>
      <w:pPr>
        <w:snapToGrid w:val="0"/>
        <w:ind w:firstLine="470" w:firstLineChars="196"/>
        <w:jc w:val="center"/>
        <w:rPr>
          <w:rFonts w:ascii="宋体" w:hAnsi="宋体"/>
          <w:b/>
          <w:color w:val="auto"/>
          <w:sz w:val="24"/>
          <w:highlight w:val="none"/>
        </w:rPr>
      </w:pPr>
      <w:r>
        <w:rPr>
          <w:rFonts w:ascii="宋体" w:hAnsi="宋体"/>
          <w:color w:val="auto"/>
          <w:sz w:val="24"/>
          <w:highlight w:val="none"/>
        </w:rPr>
        <w:br w:type="page"/>
      </w:r>
      <w:r>
        <w:rPr>
          <w:rFonts w:hint="eastAsia" w:ascii="宋体" w:hAnsi="宋体"/>
          <w:b/>
          <w:color w:val="auto"/>
          <w:sz w:val="24"/>
          <w:highlight w:val="none"/>
        </w:rPr>
        <w:t>投标人法定代表人身份证复印件</w:t>
      </w:r>
    </w:p>
    <w:p>
      <w:pPr>
        <w:rPr>
          <w:rFonts w:ascii="宋体" w:hAnsi="宋体"/>
          <w:color w:val="auto"/>
          <w:szCs w:val="21"/>
          <w:highlight w:val="none"/>
        </w:rPr>
      </w:pPr>
    </w:p>
    <w:p>
      <w:pPr>
        <w:rPr>
          <w:rFonts w:ascii="宋体" w:hAnsi="宋体"/>
          <w:color w:val="auto"/>
          <w:szCs w:val="21"/>
          <w:highlight w:val="none"/>
        </w:rPr>
      </w:pPr>
      <w:r>
        <w:rPr>
          <w:rFonts w:hint="eastAsia" w:ascii="宋体" w:hAnsi="宋体"/>
          <w:color w:val="auto"/>
          <w:szCs w:val="21"/>
          <w:highlight w:val="none"/>
        </w:rPr>
        <w:t>投标人法定代表人身份证复印件：</w:t>
      </w:r>
    </w:p>
    <w:p>
      <w:pPr>
        <w:rPr>
          <w:rFonts w:ascii="宋体" w:hAnsi="宋体"/>
          <w:color w:val="auto"/>
          <w:szCs w:val="21"/>
          <w:highlight w:val="none"/>
        </w:rPr>
      </w:pPr>
    </w:p>
    <w:tbl>
      <w:tblPr>
        <w:tblStyle w:val="37"/>
        <w:tblW w:w="6948" w:type="dxa"/>
        <w:tblInd w:w="13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86" w:hRule="atLeast"/>
        </w:trPr>
        <w:tc>
          <w:tcPr>
            <w:tcW w:w="6948" w:type="dxa"/>
            <w:vAlign w:val="center"/>
          </w:tcPr>
          <w:p>
            <w:pPr>
              <w:jc w:val="center"/>
              <w:rPr>
                <w:rFonts w:ascii="宋体" w:hAnsi="宋体"/>
                <w:color w:val="auto"/>
                <w:szCs w:val="21"/>
                <w:highlight w:val="none"/>
              </w:rPr>
            </w:pPr>
            <w:r>
              <w:rPr>
                <w:rFonts w:hint="eastAsia" w:ascii="宋体" w:hAnsi="宋体"/>
                <w:color w:val="auto"/>
                <w:szCs w:val="21"/>
                <w:highlight w:val="none"/>
              </w:rPr>
              <w:t>身份证（正面）</w:t>
            </w:r>
          </w:p>
        </w:tc>
      </w:tr>
    </w:tbl>
    <w:p>
      <w:pPr>
        <w:rPr>
          <w:rFonts w:ascii="宋体" w:hAnsi="宋体"/>
          <w:color w:val="auto"/>
          <w:szCs w:val="21"/>
          <w:highlight w:val="none"/>
        </w:rPr>
      </w:pPr>
    </w:p>
    <w:tbl>
      <w:tblPr>
        <w:tblStyle w:val="37"/>
        <w:tblW w:w="6948" w:type="dxa"/>
        <w:tblInd w:w="13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7" w:hRule="atLeast"/>
        </w:trPr>
        <w:tc>
          <w:tcPr>
            <w:tcW w:w="6948" w:type="dxa"/>
            <w:vAlign w:val="center"/>
          </w:tcPr>
          <w:p>
            <w:pPr>
              <w:jc w:val="center"/>
              <w:rPr>
                <w:rFonts w:ascii="宋体" w:hAnsi="宋体"/>
                <w:color w:val="auto"/>
                <w:szCs w:val="21"/>
                <w:highlight w:val="none"/>
              </w:rPr>
            </w:pPr>
            <w:r>
              <w:rPr>
                <w:rFonts w:hint="eastAsia" w:ascii="宋体" w:hAnsi="宋体"/>
                <w:color w:val="auto"/>
                <w:szCs w:val="21"/>
                <w:highlight w:val="none"/>
              </w:rPr>
              <w:t>身份证（反面）</w:t>
            </w:r>
          </w:p>
          <w:p>
            <w:pPr>
              <w:jc w:val="center"/>
              <w:rPr>
                <w:rFonts w:ascii="宋体" w:hAnsi="宋体"/>
                <w:color w:val="auto"/>
                <w:szCs w:val="21"/>
                <w:highlight w:val="none"/>
              </w:rPr>
            </w:pPr>
          </w:p>
        </w:tc>
      </w:tr>
    </w:tbl>
    <w:p>
      <w:pPr>
        <w:rPr>
          <w:rFonts w:ascii="宋体" w:hAnsi="宋体"/>
          <w:color w:val="auto"/>
          <w:szCs w:val="21"/>
          <w:highlight w:val="none"/>
        </w:rPr>
      </w:pPr>
    </w:p>
    <w:p>
      <w:pPr>
        <w:rPr>
          <w:rFonts w:ascii="宋体" w:hAnsi="宋体"/>
          <w:color w:val="auto"/>
          <w:szCs w:val="21"/>
          <w:highlight w:val="none"/>
        </w:rPr>
      </w:pPr>
    </w:p>
    <w:p>
      <w:pPr>
        <w:rPr>
          <w:rFonts w:ascii="宋体" w:hAnsi="宋体"/>
          <w:color w:val="auto"/>
          <w:szCs w:val="21"/>
          <w:highlight w:val="none"/>
        </w:rPr>
      </w:pPr>
      <w:r>
        <w:rPr>
          <w:rFonts w:hint="eastAsia" w:ascii="宋体" w:hAnsi="宋体"/>
          <w:color w:val="auto"/>
          <w:szCs w:val="21"/>
          <w:highlight w:val="none"/>
        </w:rPr>
        <w:t>法定代表人签名：</w:t>
      </w:r>
    </w:p>
    <w:p>
      <w:pPr>
        <w:rPr>
          <w:rFonts w:ascii="宋体" w:hAnsi="宋体"/>
          <w:color w:val="auto"/>
          <w:szCs w:val="21"/>
          <w:highlight w:val="none"/>
        </w:rPr>
      </w:pPr>
    </w:p>
    <w:p>
      <w:pPr>
        <w:rPr>
          <w:rFonts w:ascii="宋体" w:hAnsi="宋体"/>
          <w:color w:val="auto"/>
          <w:szCs w:val="21"/>
          <w:highlight w:val="none"/>
        </w:rPr>
      </w:pPr>
      <w:r>
        <w:rPr>
          <w:rFonts w:hint="eastAsia" w:ascii="宋体" w:hAnsi="宋体"/>
          <w:color w:val="auto"/>
          <w:szCs w:val="21"/>
          <w:highlight w:val="none"/>
        </w:rPr>
        <w:t>投标单位（公章）：</w:t>
      </w:r>
    </w:p>
    <w:p>
      <w:pPr>
        <w:rPr>
          <w:rFonts w:ascii="宋体" w:hAnsi="宋体"/>
          <w:color w:val="auto"/>
          <w:highlight w:val="none"/>
        </w:rPr>
      </w:pPr>
    </w:p>
    <w:p>
      <w:pPr>
        <w:ind w:firstLine="735" w:firstLineChars="350"/>
        <w:rPr>
          <w:rFonts w:ascii="宋体" w:hAnsi="宋体"/>
          <w:b/>
          <w:color w:val="auto"/>
          <w:sz w:val="24"/>
          <w:highlight w:val="none"/>
        </w:rPr>
      </w:pPr>
      <w:r>
        <w:rPr>
          <w:rFonts w:hint="eastAsia" w:ascii="宋体" w:hAnsi="宋体"/>
          <w:color w:val="auto"/>
          <w:highlight w:val="none"/>
        </w:rPr>
        <w:t>年    月    日</w:t>
      </w:r>
      <w:r>
        <w:rPr>
          <w:rFonts w:ascii="宋体" w:hAnsi="宋体"/>
          <w:color w:val="auto"/>
          <w:highlight w:val="none"/>
        </w:rPr>
        <w:br w:type="page"/>
      </w:r>
      <w:r>
        <w:rPr>
          <w:rFonts w:hint="eastAsia" w:ascii="宋体" w:hAnsi="宋体"/>
          <w:b/>
          <w:color w:val="auto"/>
          <w:sz w:val="24"/>
          <w:highlight w:val="none"/>
        </w:rPr>
        <w:t>授权委托书格式：</w:t>
      </w:r>
    </w:p>
    <w:p>
      <w:pPr>
        <w:jc w:val="center"/>
        <w:rPr>
          <w:rFonts w:ascii="宋体" w:hAnsi="宋体"/>
          <w:b/>
          <w:color w:val="auto"/>
          <w:sz w:val="32"/>
          <w:szCs w:val="32"/>
          <w:highlight w:val="none"/>
        </w:rPr>
      </w:pPr>
      <w:r>
        <w:rPr>
          <w:rFonts w:hint="eastAsia" w:ascii="宋体" w:hAnsi="宋体"/>
          <w:b/>
          <w:color w:val="auto"/>
          <w:sz w:val="32"/>
          <w:szCs w:val="32"/>
          <w:highlight w:val="none"/>
        </w:rPr>
        <w:t>授权委托书（格式一）</w:t>
      </w:r>
    </w:p>
    <w:p>
      <w:pPr>
        <w:snapToGrid w:val="0"/>
        <w:rPr>
          <w:rFonts w:ascii="宋体" w:hAnsi="宋体"/>
          <w:bCs/>
          <w:color w:val="auto"/>
          <w:sz w:val="24"/>
          <w:highlight w:val="none"/>
        </w:rPr>
      </w:pPr>
    </w:p>
    <w:p>
      <w:pPr>
        <w:snapToGrid w:val="0"/>
        <w:rPr>
          <w:rFonts w:ascii="宋体" w:hAnsi="宋体"/>
          <w:b/>
          <w:bCs/>
          <w:color w:val="auto"/>
          <w:sz w:val="24"/>
          <w:highlight w:val="none"/>
        </w:rPr>
      </w:pPr>
      <w:r>
        <w:rPr>
          <w:rFonts w:hint="eastAsia" w:ascii="宋体" w:hAnsi="宋体"/>
          <w:bCs/>
          <w:color w:val="auto"/>
          <w:sz w:val="24"/>
          <w:highlight w:val="none"/>
        </w:rPr>
        <w:t>致：</w:t>
      </w:r>
      <w:r>
        <w:rPr>
          <w:rFonts w:hint="eastAsia" w:ascii="宋体" w:hAnsi="宋体"/>
          <w:color w:val="auto"/>
          <w:sz w:val="24"/>
          <w:highlight w:val="none"/>
          <w:u w:val="single"/>
        </w:rPr>
        <w:t xml:space="preserve">                </w:t>
      </w:r>
      <w:r>
        <w:rPr>
          <w:rFonts w:hint="eastAsia" w:ascii="宋体" w:hAnsi="宋体"/>
          <w:color w:val="auto"/>
          <w:sz w:val="24"/>
          <w:highlight w:val="none"/>
        </w:rPr>
        <w:t>（招标采购单位名称）：</w:t>
      </w:r>
    </w:p>
    <w:p>
      <w:pPr>
        <w:snapToGrid w:val="0"/>
        <w:ind w:firstLine="720" w:firstLineChars="300"/>
        <w:rPr>
          <w:rFonts w:ascii="宋体" w:hAnsi="宋体"/>
          <w:color w:val="auto"/>
          <w:sz w:val="24"/>
          <w:highlight w:val="none"/>
        </w:rPr>
      </w:pPr>
      <w:r>
        <w:rPr>
          <w:rFonts w:hint="eastAsia" w:ascii="宋体" w:hAnsi="宋体"/>
          <w:color w:val="auto"/>
          <w:sz w:val="24"/>
          <w:highlight w:val="none"/>
        </w:rPr>
        <w:t>我</w:t>
      </w:r>
      <w:r>
        <w:rPr>
          <w:rFonts w:hint="eastAsia" w:ascii="宋体" w:hAnsi="宋体"/>
          <w:color w:val="auto"/>
          <w:sz w:val="24"/>
          <w:highlight w:val="none"/>
          <w:u w:val="single"/>
        </w:rPr>
        <w:t xml:space="preserve">             </w:t>
      </w:r>
      <w:r>
        <w:rPr>
          <w:rFonts w:hint="eastAsia" w:ascii="宋体" w:hAnsi="宋体"/>
          <w:color w:val="auto"/>
          <w:sz w:val="24"/>
          <w:highlight w:val="none"/>
        </w:rPr>
        <w:t>（姓名）系</w:t>
      </w:r>
      <w:r>
        <w:rPr>
          <w:rFonts w:hint="eastAsia" w:ascii="宋体" w:hAnsi="宋体"/>
          <w:color w:val="auto"/>
          <w:sz w:val="24"/>
          <w:highlight w:val="none"/>
          <w:u w:val="single"/>
        </w:rPr>
        <w:t xml:space="preserve">                  </w:t>
      </w:r>
      <w:r>
        <w:rPr>
          <w:rFonts w:hint="eastAsia" w:ascii="宋体" w:hAnsi="宋体"/>
          <w:color w:val="auto"/>
          <w:sz w:val="24"/>
          <w:highlight w:val="none"/>
        </w:rPr>
        <w:t>（投标人名称）的法定代表人（</w:t>
      </w:r>
      <w:r>
        <w:rPr>
          <w:rFonts w:hint="eastAsia" w:asciiTheme="minorEastAsia" w:hAnsiTheme="minorEastAsia" w:eastAsiaTheme="minorEastAsia"/>
          <w:color w:val="auto"/>
          <w:sz w:val="24"/>
          <w:highlight w:val="none"/>
        </w:rPr>
        <w:t>投标人若为其他组织形式无法定代表人的应为机构负责人</w:t>
      </w:r>
      <w:r>
        <w:rPr>
          <w:rFonts w:hint="eastAsia" w:ascii="宋体" w:hAnsi="宋体"/>
          <w:color w:val="auto"/>
          <w:sz w:val="24"/>
          <w:highlight w:val="none"/>
        </w:rPr>
        <w:t xml:space="preserve">），现授权委托本单位在职职工 </w:t>
      </w:r>
      <w:r>
        <w:rPr>
          <w:rFonts w:hint="eastAsia" w:ascii="宋体" w:hAnsi="宋体"/>
          <w:color w:val="auto"/>
          <w:sz w:val="24"/>
          <w:highlight w:val="none"/>
          <w:u w:val="single"/>
        </w:rPr>
        <w:t xml:space="preserve">              </w:t>
      </w:r>
      <w:r>
        <w:rPr>
          <w:rFonts w:hint="eastAsia" w:ascii="宋体" w:hAnsi="宋体"/>
          <w:color w:val="auto"/>
          <w:sz w:val="24"/>
          <w:highlight w:val="none"/>
        </w:rPr>
        <w:t>（姓名）以我方的名义参加</w:t>
      </w:r>
      <w:r>
        <w:rPr>
          <w:rFonts w:hint="eastAsia" w:ascii="宋体" w:hAnsi="宋体"/>
          <w:color w:val="auto"/>
          <w:sz w:val="24"/>
          <w:highlight w:val="none"/>
          <w:u w:val="single"/>
        </w:rPr>
        <w:t xml:space="preserve">                    （项目名称和编号）    </w:t>
      </w:r>
      <w:r>
        <w:rPr>
          <w:rFonts w:hint="eastAsia" w:ascii="宋体" w:hAnsi="宋体"/>
          <w:color w:val="auto"/>
          <w:sz w:val="24"/>
          <w:highlight w:val="none"/>
        </w:rPr>
        <w:t>项目的投标活动，并代表我方全权办理针对上述项目的投标、开标、评标、签约等具体事务和签署相关文件。</w:t>
      </w:r>
    </w:p>
    <w:p>
      <w:pPr>
        <w:snapToGrid w:val="0"/>
        <w:rPr>
          <w:rFonts w:ascii="宋体" w:hAnsi="宋体"/>
          <w:color w:val="auto"/>
          <w:sz w:val="24"/>
          <w:highlight w:val="none"/>
        </w:rPr>
      </w:pPr>
      <w:r>
        <w:rPr>
          <w:rFonts w:hint="eastAsia" w:ascii="宋体" w:hAnsi="宋体"/>
          <w:color w:val="auto"/>
          <w:sz w:val="24"/>
          <w:highlight w:val="none"/>
        </w:rPr>
        <w:t xml:space="preserve">    我方对被授权人的签名事项负全部责任。</w:t>
      </w:r>
    </w:p>
    <w:p>
      <w:pPr>
        <w:snapToGrid w:val="0"/>
        <w:ind w:firstLine="480"/>
        <w:rPr>
          <w:rFonts w:ascii="宋体" w:hAnsi="宋体"/>
          <w:color w:val="auto"/>
          <w:sz w:val="24"/>
          <w:highlight w:val="none"/>
        </w:rPr>
      </w:pPr>
      <w:r>
        <w:rPr>
          <w:rFonts w:hint="eastAsia" w:ascii="宋体" w:hAnsi="宋体"/>
          <w:color w:val="auto"/>
          <w:sz w:val="24"/>
          <w:highlight w:val="none"/>
          <w:u w:val="single"/>
        </w:rPr>
        <w:t>在撤销授权的书面通知以前，本授权书一直有效。</w:t>
      </w:r>
      <w:r>
        <w:rPr>
          <w:rFonts w:hint="eastAsia" w:ascii="宋体" w:hAnsi="宋体"/>
          <w:color w:val="auto"/>
          <w:sz w:val="24"/>
          <w:highlight w:val="none"/>
        </w:rPr>
        <w:t>被授权人在授权书有效期内签署的所有文件不因授权的撤销而失效。</w:t>
      </w:r>
    </w:p>
    <w:p>
      <w:pPr>
        <w:snapToGrid w:val="0"/>
        <w:ind w:firstLine="480"/>
        <w:rPr>
          <w:rFonts w:ascii="宋体" w:hAnsi="宋体"/>
          <w:color w:val="auto"/>
          <w:sz w:val="24"/>
          <w:highlight w:val="none"/>
        </w:rPr>
      </w:pPr>
      <w:r>
        <w:rPr>
          <w:rFonts w:hint="eastAsia" w:ascii="宋体" w:hAnsi="宋体"/>
          <w:color w:val="auto"/>
          <w:sz w:val="24"/>
          <w:highlight w:val="none"/>
        </w:rPr>
        <w:t>被授权人无转委托权，特此委托。</w:t>
      </w:r>
    </w:p>
    <w:p>
      <w:pPr>
        <w:snapToGrid w:val="0"/>
        <w:rPr>
          <w:rFonts w:ascii="宋体" w:hAnsi="宋体"/>
          <w:color w:val="auto"/>
          <w:sz w:val="24"/>
          <w:highlight w:val="none"/>
        </w:rPr>
      </w:pPr>
    </w:p>
    <w:p>
      <w:pPr>
        <w:snapToGrid w:val="0"/>
        <w:rPr>
          <w:rFonts w:ascii="宋体" w:hAnsi="宋体"/>
          <w:color w:val="auto"/>
          <w:sz w:val="24"/>
          <w:highlight w:val="none"/>
          <w:u w:val="single"/>
        </w:rPr>
      </w:pPr>
      <w:r>
        <w:rPr>
          <w:rFonts w:hint="eastAsia" w:ascii="宋体" w:hAnsi="宋体"/>
          <w:color w:val="auto"/>
          <w:sz w:val="24"/>
          <w:highlight w:val="none"/>
        </w:rPr>
        <w:t>被授权人签名：</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pPr>
        <w:snapToGrid w:val="0"/>
        <w:rPr>
          <w:rFonts w:ascii="宋体" w:hAnsi="宋体"/>
          <w:color w:val="auto"/>
          <w:sz w:val="24"/>
          <w:highlight w:val="none"/>
        </w:rPr>
      </w:pPr>
      <w:r>
        <w:rPr>
          <w:rFonts w:hint="eastAsia" w:ascii="宋体" w:hAnsi="宋体"/>
          <w:color w:val="auto"/>
          <w:sz w:val="24"/>
          <w:highlight w:val="none"/>
        </w:rPr>
        <w:t>所在部门：</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pPr>
        <w:snapToGrid w:val="0"/>
        <w:rPr>
          <w:rFonts w:ascii="宋体" w:hAnsi="宋体"/>
          <w:color w:val="auto"/>
          <w:sz w:val="24"/>
          <w:highlight w:val="none"/>
        </w:rPr>
      </w:pPr>
      <w:r>
        <w:rPr>
          <w:rFonts w:hint="eastAsia" w:ascii="宋体" w:hAnsi="宋体"/>
          <w:color w:val="auto"/>
          <w:sz w:val="24"/>
          <w:highlight w:val="none"/>
        </w:rPr>
        <w:t>职  务：</w:t>
      </w:r>
      <w:r>
        <w:rPr>
          <w:rFonts w:hint="eastAsia" w:ascii="宋体" w:hAnsi="宋体"/>
          <w:color w:val="auto"/>
          <w:sz w:val="24"/>
          <w:highlight w:val="none"/>
          <w:u w:val="single"/>
        </w:rPr>
        <w:t xml:space="preserve">              </w:t>
      </w:r>
    </w:p>
    <w:p>
      <w:pPr>
        <w:snapToGrid w:val="0"/>
        <w:rPr>
          <w:rFonts w:ascii="宋体" w:hAnsi="宋体"/>
          <w:color w:val="auto"/>
          <w:sz w:val="24"/>
          <w:highlight w:val="none"/>
        </w:rPr>
      </w:pPr>
      <w:r>
        <w:rPr>
          <w:rFonts w:hint="eastAsia" w:ascii="宋体" w:hAnsi="宋体"/>
          <w:color w:val="auto"/>
          <w:sz w:val="24"/>
          <w:highlight w:val="none"/>
        </w:rPr>
        <w:t>被授权人身份证号码：</w:t>
      </w:r>
      <w:r>
        <w:rPr>
          <w:rFonts w:hint="eastAsia" w:ascii="宋体" w:hAnsi="宋体"/>
          <w:color w:val="auto"/>
          <w:sz w:val="24"/>
          <w:highlight w:val="none"/>
          <w:u w:val="single"/>
        </w:rPr>
        <w:t xml:space="preserve">              </w:t>
      </w:r>
    </w:p>
    <w:p>
      <w:pPr>
        <w:snapToGrid w:val="0"/>
        <w:rPr>
          <w:rFonts w:ascii="宋体" w:hAnsi="宋体"/>
          <w:color w:val="auto"/>
          <w:sz w:val="24"/>
          <w:highlight w:val="none"/>
        </w:rPr>
      </w:pPr>
      <w:r>
        <w:rPr>
          <w:rFonts w:hint="eastAsia" w:ascii="宋体" w:hAnsi="宋体"/>
          <w:color w:val="auto"/>
          <w:sz w:val="24"/>
          <w:highlight w:val="none"/>
        </w:rPr>
        <w:t xml:space="preserve">                                                      </w:t>
      </w:r>
    </w:p>
    <w:p>
      <w:pPr>
        <w:snapToGrid w:val="0"/>
        <w:ind w:firstLine="5400" w:firstLineChars="2250"/>
        <w:rPr>
          <w:rFonts w:ascii="宋体" w:hAnsi="宋体"/>
          <w:color w:val="auto"/>
          <w:sz w:val="24"/>
          <w:highlight w:val="none"/>
        </w:rPr>
      </w:pPr>
      <w:r>
        <w:rPr>
          <w:rFonts w:hint="eastAsia" w:ascii="宋体" w:hAnsi="宋体"/>
          <w:color w:val="auto"/>
          <w:sz w:val="24"/>
          <w:highlight w:val="none"/>
        </w:rPr>
        <w:t>法定代表人签名：</w:t>
      </w:r>
      <w:r>
        <w:rPr>
          <w:rFonts w:hint="eastAsia" w:ascii="宋体" w:hAnsi="宋体"/>
          <w:color w:val="auto"/>
          <w:sz w:val="24"/>
          <w:highlight w:val="none"/>
          <w:u w:val="single"/>
        </w:rPr>
        <w:t xml:space="preserve">              </w:t>
      </w:r>
    </w:p>
    <w:p>
      <w:pPr>
        <w:snapToGrid w:val="0"/>
        <w:ind w:left="4845" w:leftChars="2250" w:hanging="120" w:hangingChars="50"/>
        <w:rPr>
          <w:rFonts w:ascii="宋体" w:hAnsi="宋体"/>
          <w:color w:val="auto"/>
          <w:sz w:val="24"/>
          <w:highlight w:val="none"/>
        </w:rPr>
      </w:pPr>
      <w:r>
        <w:rPr>
          <w:rFonts w:hint="eastAsia" w:ascii="宋体" w:hAnsi="宋体"/>
          <w:color w:val="auto"/>
          <w:sz w:val="24"/>
          <w:highlight w:val="none"/>
        </w:rPr>
        <w:t>（投标人若为其他组织形式无法定代表人的应由机构负责人签名）</w:t>
      </w:r>
    </w:p>
    <w:p>
      <w:pPr>
        <w:snapToGrid w:val="0"/>
        <w:ind w:firstLine="5400" w:firstLineChars="2250"/>
        <w:rPr>
          <w:rFonts w:ascii="宋体" w:hAnsi="宋体"/>
          <w:color w:val="auto"/>
          <w:sz w:val="24"/>
          <w:highlight w:val="none"/>
        </w:rPr>
      </w:pPr>
      <w:r>
        <w:rPr>
          <w:rFonts w:hint="eastAsia" w:ascii="宋体" w:hAnsi="宋体"/>
          <w:color w:val="auto"/>
          <w:sz w:val="24"/>
          <w:highlight w:val="none"/>
        </w:rPr>
        <w:t xml:space="preserve"> 投标人公章：</w:t>
      </w:r>
    </w:p>
    <w:p>
      <w:pPr>
        <w:snapToGrid w:val="0"/>
        <w:ind w:firstLine="470" w:firstLineChars="196"/>
        <w:jc w:val="left"/>
        <w:rPr>
          <w:rFonts w:asciiTheme="minorEastAsia" w:hAnsiTheme="minorEastAsia" w:eastAsiaTheme="minorEastAsia"/>
          <w:color w:val="auto"/>
          <w:sz w:val="24"/>
          <w:highlight w:val="none"/>
        </w:rPr>
      </w:pPr>
      <w:r>
        <w:rPr>
          <w:rFonts w:hint="eastAsia" w:ascii="宋体" w:hAnsi="宋体"/>
          <w:color w:val="auto"/>
          <w:sz w:val="24"/>
          <w:highlight w:val="none"/>
        </w:rPr>
        <w:t xml:space="preserve">                                           </w:t>
      </w:r>
      <w:r>
        <w:rPr>
          <w:rFonts w:hint="eastAsia" w:asciiTheme="minorEastAsia" w:hAnsiTheme="minorEastAsia" w:eastAsiaTheme="minorEastAsia"/>
          <w:color w:val="auto"/>
          <w:sz w:val="24"/>
          <w:highlight w:val="none"/>
        </w:rPr>
        <w:t>日期:_____年_____月_____日</w:t>
      </w:r>
    </w:p>
    <w:p>
      <w:pPr>
        <w:rPr>
          <w:rFonts w:ascii="宋体" w:hAnsi="宋体"/>
          <w:color w:val="auto"/>
          <w:szCs w:val="21"/>
          <w:highlight w:val="none"/>
        </w:rPr>
      </w:pPr>
    </w:p>
    <w:p>
      <w:pPr>
        <w:rPr>
          <w:rFonts w:ascii="宋体" w:hAnsi="宋体"/>
          <w:color w:val="auto"/>
          <w:szCs w:val="21"/>
          <w:highlight w:val="none"/>
        </w:rPr>
      </w:pPr>
    </w:p>
    <w:p>
      <w:pPr>
        <w:rPr>
          <w:rFonts w:ascii="宋体" w:hAnsi="宋体"/>
          <w:color w:val="auto"/>
          <w:szCs w:val="21"/>
          <w:highlight w:val="none"/>
        </w:rPr>
      </w:pPr>
    </w:p>
    <w:p>
      <w:pPr>
        <w:jc w:val="center"/>
        <w:rPr>
          <w:rFonts w:ascii="宋体" w:hAnsi="宋体"/>
          <w:b/>
          <w:color w:val="auto"/>
          <w:sz w:val="32"/>
          <w:szCs w:val="32"/>
          <w:highlight w:val="none"/>
        </w:rPr>
      </w:pPr>
      <w:r>
        <w:rPr>
          <w:rFonts w:hint="eastAsia" w:ascii="宋体" w:hAnsi="宋体"/>
          <w:b/>
          <w:color w:val="auto"/>
          <w:sz w:val="32"/>
          <w:szCs w:val="32"/>
          <w:highlight w:val="none"/>
        </w:rPr>
        <w:t>授权委托书（格式二）</w:t>
      </w:r>
    </w:p>
    <w:p>
      <w:pPr>
        <w:snapToGrid w:val="0"/>
        <w:rPr>
          <w:rFonts w:ascii="宋体" w:hAnsi="宋体"/>
          <w:bCs/>
          <w:color w:val="auto"/>
          <w:sz w:val="24"/>
          <w:highlight w:val="none"/>
        </w:rPr>
      </w:pPr>
    </w:p>
    <w:p>
      <w:pPr>
        <w:snapToGrid w:val="0"/>
        <w:rPr>
          <w:rFonts w:ascii="宋体" w:hAnsi="宋体"/>
          <w:b/>
          <w:bCs/>
          <w:color w:val="auto"/>
          <w:sz w:val="24"/>
          <w:highlight w:val="none"/>
        </w:rPr>
      </w:pPr>
      <w:r>
        <w:rPr>
          <w:rFonts w:hint="eastAsia" w:ascii="宋体" w:hAnsi="宋体"/>
          <w:bCs/>
          <w:color w:val="auto"/>
          <w:sz w:val="24"/>
          <w:highlight w:val="none"/>
        </w:rPr>
        <w:t>致：</w:t>
      </w:r>
      <w:r>
        <w:rPr>
          <w:rFonts w:hint="eastAsia" w:ascii="宋体" w:hAnsi="宋体"/>
          <w:color w:val="auto"/>
          <w:sz w:val="24"/>
          <w:highlight w:val="none"/>
          <w:u w:val="single"/>
        </w:rPr>
        <w:t xml:space="preserve">                </w:t>
      </w:r>
      <w:r>
        <w:rPr>
          <w:rFonts w:hint="eastAsia" w:ascii="宋体" w:hAnsi="宋体"/>
          <w:color w:val="auto"/>
          <w:sz w:val="24"/>
          <w:highlight w:val="none"/>
        </w:rPr>
        <w:t>（招标采购单位名称）：</w:t>
      </w:r>
    </w:p>
    <w:p>
      <w:pPr>
        <w:snapToGrid w:val="0"/>
        <w:ind w:firstLine="720" w:firstLineChars="300"/>
        <w:rPr>
          <w:rFonts w:ascii="宋体" w:hAnsi="宋体"/>
          <w:color w:val="auto"/>
          <w:sz w:val="24"/>
          <w:highlight w:val="none"/>
        </w:rPr>
      </w:pPr>
      <w:r>
        <w:rPr>
          <w:rFonts w:hint="eastAsia" w:ascii="宋体" w:hAnsi="宋体"/>
          <w:color w:val="auto"/>
          <w:sz w:val="24"/>
          <w:highlight w:val="none"/>
        </w:rPr>
        <w:t>我</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（姓名）系自然人，现授权委托 </w:t>
      </w:r>
      <w:r>
        <w:rPr>
          <w:rFonts w:hint="eastAsia" w:ascii="宋体" w:hAnsi="宋体"/>
          <w:color w:val="auto"/>
          <w:sz w:val="24"/>
          <w:highlight w:val="none"/>
          <w:u w:val="single"/>
        </w:rPr>
        <w:t xml:space="preserve">              </w:t>
      </w:r>
      <w:r>
        <w:rPr>
          <w:rFonts w:hint="eastAsia" w:ascii="宋体" w:hAnsi="宋体"/>
          <w:color w:val="auto"/>
          <w:sz w:val="24"/>
          <w:highlight w:val="none"/>
        </w:rPr>
        <w:t>（姓名）以本人名义参加</w:t>
      </w:r>
      <w:r>
        <w:rPr>
          <w:rFonts w:hint="eastAsia" w:ascii="宋体" w:hAnsi="宋体"/>
          <w:color w:val="auto"/>
          <w:sz w:val="24"/>
          <w:highlight w:val="none"/>
          <w:u w:val="single"/>
        </w:rPr>
        <w:t xml:space="preserve">                    （项目名称和编号）    </w:t>
      </w:r>
      <w:r>
        <w:rPr>
          <w:rFonts w:hint="eastAsia" w:ascii="宋体" w:hAnsi="宋体"/>
          <w:color w:val="auto"/>
          <w:sz w:val="24"/>
          <w:highlight w:val="none"/>
        </w:rPr>
        <w:t>项目的投标活动，并代表本人全权办理针对上述项目的投标、开标、评标、签约等具体事务和签署相关文件。</w:t>
      </w:r>
    </w:p>
    <w:p>
      <w:pPr>
        <w:snapToGrid w:val="0"/>
        <w:rPr>
          <w:rFonts w:ascii="宋体" w:hAnsi="宋体"/>
          <w:color w:val="auto"/>
          <w:sz w:val="24"/>
          <w:highlight w:val="none"/>
        </w:rPr>
      </w:pPr>
      <w:r>
        <w:rPr>
          <w:rFonts w:hint="eastAsia" w:ascii="宋体" w:hAnsi="宋体"/>
          <w:color w:val="auto"/>
          <w:sz w:val="24"/>
          <w:highlight w:val="none"/>
        </w:rPr>
        <w:t xml:space="preserve">    本人对被授权人的签名事项负全部责任。</w:t>
      </w:r>
    </w:p>
    <w:p>
      <w:pPr>
        <w:snapToGrid w:val="0"/>
        <w:ind w:firstLine="480"/>
        <w:rPr>
          <w:rFonts w:ascii="宋体" w:hAnsi="宋体"/>
          <w:color w:val="auto"/>
          <w:sz w:val="24"/>
          <w:highlight w:val="none"/>
        </w:rPr>
      </w:pPr>
      <w:r>
        <w:rPr>
          <w:rFonts w:hint="eastAsia" w:ascii="宋体" w:hAnsi="宋体"/>
          <w:color w:val="auto"/>
          <w:sz w:val="24"/>
          <w:highlight w:val="none"/>
          <w:u w:val="single"/>
        </w:rPr>
        <w:t>在撤销授权的书面通知以前，本授权书一直有效。</w:t>
      </w:r>
      <w:r>
        <w:rPr>
          <w:rFonts w:hint="eastAsia" w:ascii="宋体" w:hAnsi="宋体"/>
          <w:color w:val="auto"/>
          <w:sz w:val="24"/>
          <w:highlight w:val="none"/>
        </w:rPr>
        <w:t>被授权人在授权书有效期内签署的所有文件不因授权的撤销而失效。</w:t>
      </w:r>
    </w:p>
    <w:p>
      <w:pPr>
        <w:snapToGrid w:val="0"/>
        <w:ind w:firstLine="480"/>
        <w:rPr>
          <w:rFonts w:ascii="宋体" w:hAnsi="宋体"/>
          <w:color w:val="auto"/>
          <w:sz w:val="24"/>
          <w:highlight w:val="none"/>
        </w:rPr>
      </w:pPr>
      <w:r>
        <w:rPr>
          <w:rFonts w:hint="eastAsia" w:ascii="宋体" w:hAnsi="宋体"/>
          <w:color w:val="auto"/>
          <w:sz w:val="24"/>
          <w:highlight w:val="none"/>
        </w:rPr>
        <w:t>被授权人无转委托权，特此委托。</w:t>
      </w:r>
    </w:p>
    <w:p>
      <w:pPr>
        <w:snapToGrid w:val="0"/>
        <w:rPr>
          <w:rFonts w:ascii="宋体" w:hAnsi="宋体"/>
          <w:color w:val="auto"/>
          <w:sz w:val="24"/>
          <w:highlight w:val="none"/>
        </w:rPr>
      </w:pPr>
    </w:p>
    <w:p>
      <w:pPr>
        <w:snapToGrid w:val="0"/>
        <w:rPr>
          <w:rFonts w:ascii="宋体" w:hAnsi="宋体"/>
          <w:color w:val="auto"/>
          <w:sz w:val="24"/>
          <w:highlight w:val="none"/>
          <w:u w:val="single"/>
        </w:rPr>
      </w:pPr>
      <w:r>
        <w:rPr>
          <w:rFonts w:hint="eastAsia" w:ascii="宋体" w:hAnsi="宋体"/>
          <w:color w:val="auto"/>
          <w:sz w:val="24"/>
          <w:highlight w:val="none"/>
        </w:rPr>
        <w:t>被授权人签名：</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pPr>
        <w:snapToGrid w:val="0"/>
        <w:rPr>
          <w:rFonts w:ascii="宋体" w:hAnsi="宋体"/>
          <w:color w:val="auto"/>
          <w:sz w:val="24"/>
          <w:highlight w:val="none"/>
        </w:rPr>
      </w:pPr>
      <w:r>
        <w:rPr>
          <w:rFonts w:hint="eastAsia" w:ascii="宋体" w:hAnsi="宋体"/>
          <w:color w:val="auto"/>
          <w:sz w:val="24"/>
          <w:highlight w:val="none"/>
        </w:rPr>
        <w:t>被授权人身份证号码：</w:t>
      </w:r>
      <w:r>
        <w:rPr>
          <w:rFonts w:hint="eastAsia" w:ascii="宋体" w:hAnsi="宋体"/>
          <w:color w:val="auto"/>
          <w:sz w:val="24"/>
          <w:highlight w:val="none"/>
          <w:u w:val="single"/>
        </w:rPr>
        <w:t xml:space="preserve">              </w:t>
      </w:r>
    </w:p>
    <w:p>
      <w:pPr>
        <w:snapToGrid w:val="0"/>
        <w:rPr>
          <w:rFonts w:ascii="宋体" w:hAnsi="宋体"/>
          <w:color w:val="auto"/>
          <w:sz w:val="24"/>
          <w:highlight w:val="none"/>
        </w:rPr>
      </w:pPr>
      <w:r>
        <w:rPr>
          <w:rFonts w:hint="eastAsia" w:ascii="宋体" w:hAnsi="宋体"/>
          <w:color w:val="auto"/>
          <w:sz w:val="24"/>
          <w:highlight w:val="none"/>
        </w:rPr>
        <w:t xml:space="preserve">                                                      </w:t>
      </w:r>
    </w:p>
    <w:p>
      <w:pPr>
        <w:snapToGrid w:val="0"/>
        <w:ind w:firstLine="3000" w:firstLineChars="1250"/>
        <w:rPr>
          <w:rFonts w:ascii="宋体" w:hAnsi="宋体"/>
          <w:color w:val="auto"/>
          <w:sz w:val="24"/>
          <w:highlight w:val="none"/>
        </w:rPr>
      </w:pPr>
      <w:r>
        <w:rPr>
          <w:rFonts w:hint="eastAsia" w:ascii="宋体" w:hAnsi="宋体"/>
          <w:color w:val="auto"/>
          <w:sz w:val="24"/>
          <w:highlight w:val="none"/>
        </w:rPr>
        <w:t>自然人签名并在签名处加盖指印：</w:t>
      </w:r>
      <w:r>
        <w:rPr>
          <w:rFonts w:hint="eastAsia" w:ascii="宋体" w:hAnsi="宋体"/>
          <w:color w:val="auto"/>
          <w:sz w:val="24"/>
          <w:highlight w:val="none"/>
          <w:u w:val="single"/>
        </w:rPr>
        <w:t xml:space="preserve">              </w:t>
      </w:r>
    </w:p>
    <w:p>
      <w:pPr>
        <w:snapToGrid w:val="0"/>
        <w:ind w:firstLine="5400" w:firstLineChars="2250"/>
        <w:rPr>
          <w:rFonts w:ascii="宋体" w:hAnsi="宋体"/>
          <w:color w:val="auto"/>
          <w:sz w:val="24"/>
          <w:highlight w:val="none"/>
        </w:rPr>
      </w:pPr>
      <w:r>
        <w:rPr>
          <w:rFonts w:hint="eastAsia" w:ascii="宋体" w:hAnsi="宋体"/>
          <w:color w:val="auto"/>
          <w:sz w:val="24"/>
          <w:highlight w:val="none"/>
        </w:rPr>
        <w:t xml:space="preserve"> </w:t>
      </w:r>
    </w:p>
    <w:p>
      <w:pPr>
        <w:snapToGrid w:val="0"/>
        <w:ind w:firstLine="470" w:firstLineChars="196"/>
        <w:jc w:val="left"/>
        <w:rPr>
          <w:rFonts w:ascii="宋体" w:hAnsi="宋体"/>
          <w:color w:val="auto"/>
          <w:sz w:val="24"/>
          <w:highlight w:val="none"/>
        </w:rPr>
      </w:pPr>
      <w:r>
        <w:rPr>
          <w:rFonts w:hint="eastAsia" w:ascii="宋体" w:hAnsi="宋体"/>
          <w:color w:val="auto"/>
          <w:sz w:val="24"/>
          <w:highlight w:val="none"/>
        </w:rPr>
        <w:t xml:space="preserve">                                                  年    月    日</w:t>
      </w:r>
    </w:p>
    <w:p>
      <w:pPr>
        <w:rPr>
          <w:rFonts w:ascii="宋体" w:hAnsi="宋体"/>
          <w:color w:val="auto"/>
          <w:szCs w:val="21"/>
          <w:highlight w:val="none"/>
        </w:rPr>
      </w:pPr>
      <w:r>
        <w:rPr>
          <w:rFonts w:ascii="宋体" w:hAnsi="宋体"/>
          <w:color w:val="auto"/>
          <w:szCs w:val="21"/>
          <w:highlight w:val="none"/>
        </w:rPr>
        <w:br w:type="page"/>
      </w:r>
      <w:r>
        <w:rPr>
          <w:rFonts w:hint="eastAsia" w:ascii="宋体" w:hAnsi="宋体"/>
          <w:color w:val="auto"/>
          <w:szCs w:val="21"/>
          <w:highlight w:val="none"/>
        </w:rPr>
        <w:t>委托代理人身份证复印件：</w:t>
      </w:r>
    </w:p>
    <w:p>
      <w:pPr>
        <w:rPr>
          <w:rFonts w:ascii="宋体" w:hAnsi="宋体"/>
          <w:color w:val="auto"/>
          <w:szCs w:val="21"/>
          <w:highlight w:val="none"/>
        </w:rPr>
      </w:pPr>
    </w:p>
    <w:tbl>
      <w:tblPr>
        <w:tblStyle w:val="37"/>
        <w:tblW w:w="6948" w:type="dxa"/>
        <w:tblInd w:w="13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6" w:hRule="atLeast"/>
        </w:trPr>
        <w:tc>
          <w:tcPr>
            <w:tcW w:w="6948" w:type="dxa"/>
            <w:vAlign w:val="center"/>
          </w:tcPr>
          <w:p>
            <w:pPr>
              <w:jc w:val="center"/>
              <w:rPr>
                <w:rFonts w:ascii="宋体" w:hAnsi="宋体"/>
                <w:color w:val="auto"/>
                <w:szCs w:val="21"/>
                <w:highlight w:val="none"/>
              </w:rPr>
            </w:pPr>
            <w:r>
              <w:rPr>
                <w:rFonts w:hint="eastAsia" w:ascii="宋体" w:hAnsi="宋体"/>
                <w:color w:val="auto"/>
                <w:szCs w:val="21"/>
                <w:highlight w:val="none"/>
              </w:rPr>
              <w:t>身份证（正面）</w:t>
            </w:r>
          </w:p>
        </w:tc>
      </w:tr>
    </w:tbl>
    <w:p>
      <w:pPr>
        <w:rPr>
          <w:rFonts w:ascii="宋体" w:hAnsi="宋体"/>
          <w:color w:val="auto"/>
          <w:szCs w:val="21"/>
          <w:highlight w:val="none"/>
        </w:rPr>
      </w:pPr>
    </w:p>
    <w:tbl>
      <w:tblPr>
        <w:tblStyle w:val="37"/>
        <w:tblW w:w="6948" w:type="dxa"/>
        <w:tblInd w:w="13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7" w:hRule="atLeast"/>
        </w:trPr>
        <w:tc>
          <w:tcPr>
            <w:tcW w:w="6948" w:type="dxa"/>
            <w:vAlign w:val="center"/>
          </w:tcPr>
          <w:p>
            <w:pPr>
              <w:jc w:val="center"/>
              <w:rPr>
                <w:rFonts w:ascii="宋体" w:hAnsi="宋体"/>
                <w:color w:val="auto"/>
                <w:szCs w:val="21"/>
                <w:highlight w:val="none"/>
              </w:rPr>
            </w:pPr>
            <w:r>
              <w:rPr>
                <w:rFonts w:hint="eastAsia" w:ascii="宋体" w:hAnsi="宋体"/>
                <w:color w:val="auto"/>
                <w:szCs w:val="21"/>
                <w:highlight w:val="none"/>
              </w:rPr>
              <w:t>身份证（反面）</w:t>
            </w:r>
          </w:p>
        </w:tc>
      </w:tr>
    </w:tbl>
    <w:p>
      <w:pPr>
        <w:rPr>
          <w:rFonts w:ascii="宋体" w:hAnsi="宋体"/>
          <w:color w:val="auto"/>
          <w:szCs w:val="21"/>
          <w:highlight w:val="none"/>
        </w:rPr>
      </w:pPr>
    </w:p>
    <w:p>
      <w:pPr>
        <w:rPr>
          <w:rFonts w:ascii="宋体" w:hAnsi="宋体"/>
          <w:color w:val="auto"/>
          <w:szCs w:val="21"/>
          <w:highlight w:val="none"/>
        </w:rPr>
      </w:pPr>
    </w:p>
    <w:p>
      <w:pPr>
        <w:rPr>
          <w:rFonts w:ascii="宋体" w:hAnsi="宋体"/>
          <w:color w:val="auto"/>
          <w:szCs w:val="21"/>
          <w:highlight w:val="none"/>
        </w:rPr>
      </w:pPr>
      <w:r>
        <w:rPr>
          <w:rFonts w:hint="eastAsia" w:ascii="宋体" w:hAnsi="宋体"/>
          <w:color w:val="auto"/>
          <w:szCs w:val="21"/>
          <w:highlight w:val="none"/>
        </w:rPr>
        <w:t>委托代理人签名：</w:t>
      </w:r>
    </w:p>
    <w:p>
      <w:pPr>
        <w:rPr>
          <w:rFonts w:ascii="宋体" w:hAnsi="宋体"/>
          <w:color w:val="auto"/>
          <w:szCs w:val="21"/>
          <w:highlight w:val="none"/>
        </w:rPr>
      </w:pPr>
    </w:p>
    <w:p>
      <w:pPr>
        <w:rPr>
          <w:rFonts w:ascii="宋体" w:hAnsi="宋体"/>
          <w:color w:val="auto"/>
          <w:szCs w:val="21"/>
          <w:highlight w:val="none"/>
        </w:rPr>
      </w:pPr>
      <w:r>
        <w:rPr>
          <w:rFonts w:hint="eastAsia" w:ascii="宋体" w:hAnsi="宋体"/>
          <w:color w:val="auto"/>
          <w:szCs w:val="21"/>
          <w:highlight w:val="none"/>
        </w:rPr>
        <w:t>委托单位（公章，自然人除外）：</w:t>
      </w:r>
    </w:p>
    <w:p>
      <w:pPr>
        <w:widowControl/>
        <w:jc w:val="left"/>
        <w:rPr>
          <w:rFonts w:ascii="宋体" w:hAnsi="宋体"/>
          <w:b/>
          <w:color w:val="auto"/>
          <w:sz w:val="24"/>
          <w:highlight w:val="none"/>
        </w:rPr>
      </w:pPr>
      <w:r>
        <w:rPr>
          <w:rFonts w:ascii="宋体" w:hAnsi="宋体"/>
          <w:b/>
          <w:color w:val="auto"/>
          <w:sz w:val="24"/>
          <w:highlight w:val="none"/>
        </w:rPr>
        <w:br w:type="page"/>
      </w:r>
    </w:p>
    <w:p>
      <w:pPr>
        <w:widowControl/>
        <w:jc w:val="left"/>
        <w:rPr>
          <w:rFonts w:ascii="宋体" w:hAnsi="宋体"/>
          <w:b/>
          <w:color w:val="auto"/>
          <w:sz w:val="24"/>
          <w:highlight w:val="none"/>
        </w:rPr>
      </w:pPr>
    </w:p>
    <w:p>
      <w:pPr>
        <w:snapToGrid w:val="0"/>
        <w:jc w:val="left"/>
        <w:rPr>
          <w:rFonts w:ascii="宋体" w:hAnsi="宋体"/>
          <w:b/>
          <w:color w:val="auto"/>
          <w:sz w:val="24"/>
          <w:highlight w:val="none"/>
        </w:rPr>
      </w:pPr>
      <w:r>
        <w:rPr>
          <w:rFonts w:hint="eastAsia" w:ascii="宋体" w:hAnsi="宋体"/>
          <w:b/>
          <w:color w:val="auto"/>
          <w:sz w:val="24"/>
          <w:highlight w:val="none"/>
        </w:rPr>
        <w:t>商务条款偏离表格式：</w:t>
      </w:r>
    </w:p>
    <w:p>
      <w:pPr>
        <w:snapToGrid w:val="0"/>
        <w:jc w:val="center"/>
        <w:rPr>
          <w:rFonts w:ascii="宋体" w:hAnsi="宋体"/>
          <w:b/>
          <w:color w:val="auto"/>
          <w:sz w:val="32"/>
          <w:szCs w:val="32"/>
          <w:highlight w:val="none"/>
        </w:rPr>
      </w:pPr>
      <w:r>
        <w:rPr>
          <w:rFonts w:hint="eastAsia" w:ascii="宋体" w:hAnsi="宋体"/>
          <w:b/>
          <w:color w:val="auto"/>
          <w:sz w:val="32"/>
          <w:szCs w:val="32"/>
          <w:highlight w:val="none"/>
        </w:rPr>
        <w:t>商务条款偏离表</w:t>
      </w:r>
    </w:p>
    <w:p>
      <w:pPr>
        <w:pStyle w:val="22"/>
        <w:spacing w:line="400" w:lineRule="exact"/>
        <w:ind w:firstLine="640" w:firstLineChars="200"/>
        <w:rPr>
          <w:rFonts w:ascii="Times New Roman" w:hAnsi="Times New Roman" w:eastAsia="仿宋_GB2312"/>
          <w:color w:val="auto"/>
          <w:sz w:val="32"/>
          <w:szCs w:val="32"/>
          <w:highlight w:val="none"/>
        </w:rPr>
      </w:pPr>
      <w:r>
        <w:rPr>
          <w:rFonts w:ascii="Times New Roman" w:hAnsi="Times New Roman" w:eastAsia="仿宋_GB2312"/>
          <w:color w:val="auto"/>
          <w:sz w:val="32"/>
          <w:szCs w:val="32"/>
          <w:highlight w:val="none"/>
        </w:rPr>
        <w:t>请逐条对应本项目招标文件第二章“</w:t>
      </w:r>
      <w:r>
        <w:rPr>
          <w:rFonts w:hint="eastAsia" w:ascii="Times New Roman" w:hAnsi="Times New Roman" w:eastAsia="仿宋_GB2312"/>
          <w:color w:val="auto"/>
          <w:sz w:val="32"/>
          <w:szCs w:val="32"/>
          <w:highlight w:val="none"/>
        </w:rPr>
        <w:t>服务</w:t>
      </w:r>
      <w:r>
        <w:rPr>
          <w:rFonts w:ascii="Times New Roman" w:hAnsi="Times New Roman" w:eastAsia="仿宋_GB2312"/>
          <w:color w:val="auto"/>
          <w:sz w:val="32"/>
          <w:szCs w:val="32"/>
          <w:highlight w:val="none"/>
        </w:rPr>
        <w:t>需求一览表”中“商务条款”的要求，详细填写相应的具体内容。“偏离说明”一栏应当选择“正偏离”、“负偏离”或“无偏离”进行填写。</w:t>
      </w:r>
    </w:p>
    <w:p>
      <w:pPr>
        <w:pStyle w:val="22"/>
        <w:ind w:firstLine="640" w:firstLineChars="200"/>
        <w:rPr>
          <w:rFonts w:ascii="Times New Roman" w:hAnsi="Times New Roman" w:eastAsia="仿宋_GB2312"/>
          <w:color w:val="auto"/>
          <w:sz w:val="32"/>
          <w:szCs w:val="32"/>
          <w:highlight w:val="none"/>
        </w:rPr>
      </w:pPr>
    </w:p>
    <w:tbl>
      <w:tblPr>
        <w:tblStyle w:val="37"/>
        <w:tblpPr w:leftFromText="180" w:rightFromText="180" w:vertAnchor="text" w:horzAnchor="margin" w:tblpXSpec="center" w:tblpY="94"/>
        <w:tblW w:w="98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4071"/>
        <w:gridCol w:w="3720"/>
        <w:gridCol w:w="1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tcBorders>
              <w:top w:val="single" w:color="auto" w:sz="4" w:space="0"/>
              <w:left w:val="single" w:color="auto" w:sz="4" w:space="0"/>
              <w:bottom w:val="single" w:color="auto" w:sz="4" w:space="0"/>
              <w:right w:val="single" w:color="auto" w:sz="4" w:space="0"/>
            </w:tcBorders>
            <w:vAlign w:val="center"/>
          </w:tcPr>
          <w:p>
            <w:pPr>
              <w:pStyle w:val="22"/>
              <w:spacing w:line="340" w:lineRule="exact"/>
              <w:jc w:val="center"/>
              <w:rPr>
                <w:rFonts w:ascii="Times New Roman" w:hAnsi="Times New Roman" w:eastAsia="仿宋_GB2312"/>
                <w:color w:val="auto"/>
                <w:highlight w:val="none"/>
              </w:rPr>
            </w:pPr>
            <w:r>
              <w:rPr>
                <w:rFonts w:ascii="Times New Roman" w:hAnsi="Times New Roman" w:eastAsia="仿宋_GB2312"/>
                <w:color w:val="auto"/>
                <w:highlight w:val="none"/>
              </w:rPr>
              <w:t>项号</w:t>
            </w:r>
          </w:p>
        </w:tc>
        <w:tc>
          <w:tcPr>
            <w:tcW w:w="4071" w:type="dxa"/>
            <w:tcBorders>
              <w:top w:val="single" w:color="auto" w:sz="4" w:space="0"/>
              <w:left w:val="single" w:color="auto" w:sz="4" w:space="0"/>
              <w:bottom w:val="single" w:color="auto" w:sz="4" w:space="0"/>
              <w:right w:val="single" w:color="auto" w:sz="4" w:space="0"/>
            </w:tcBorders>
            <w:vAlign w:val="center"/>
          </w:tcPr>
          <w:p>
            <w:pPr>
              <w:pStyle w:val="22"/>
              <w:spacing w:line="340" w:lineRule="exact"/>
              <w:jc w:val="center"/>
              <w:rPr>
                <w:rFonts w:ascii="Times New Roman" w:hAnsi="Times New Roman" w:eastAsia="仿宋_GB2312"/>
                <w:color w:val="auto"/>
                <w:highlight w:val="none"/>
              </w:rPr>
            </w:pPr>
            <w:r>
              <w:rPr>
                <w:rFonts w:ascii="Times New Roman" w:hAnsi="Times New Roman" w:eastAsia="仿宋_GB2312"/>
                <w:color w:val="auto"/>
                <w:highlight w:val="none"/>
              </w:rPr>
              <w:t>招标文件的商务需求</w:t>
            </w:r>
          </w:p>
        </w:tc>
        <w:tc>
          <w:tcPr>
            <w:tcW w:w="3720" w:type="dxa"/>
            <w:tcBorders>
              <w:top w:val="single" w:color="auto" w:sz="4" w:space="0"/>
              <w:left w:val="single" w:color="auto" w:sz="4" w:space="0"/>
              <w:bottom w:val="single" w:color="auto" w:sz="4" w:space="0"/>
              <w:right w:val="single" w:color="auto" w:sz="4" w:space="0"/>
            </w:tcBorders>
            <w:vAlign w:val="center"/>
          </w:tcPr>
          <w:p>
            <w:pPr>
              <w:pStyle w:val="22"/>
              <w:spacing w:line="340" w:lineRule="exact"/>
              <w:jc w:val="center"/>
              <w:rPr>
                <w:rFonts w:ascii="Times New Roman" w:hAnsi="Times New Roman" w:eastAsia="仿宋_GB2312"/>
                <w:color w:val="auto"/>
                <w:highlight w:val="none"/>
              </w:rPr>
            </w:pPr>
            <w:r>
              <w:rPr>
                <w:rFonts w:ascii="Times New Roman" w:hAnsi="Times New Roman" w:eastAsia="仿宋_GB2312"/>
                <w:color w:val="auto"/>
                <w:highlight w:val="none"/>
              </w:rPr>
              <w:t>投标文件承诺的商务条款</w:t>
            </w:r>
          </w:p>
        </w:tc>
        <w:tc>
          <w:tcPr>
            <w:tcW w:w="1320" w:type="dxa"/>
            <w:tcBorders>
              <w:top w:val="single" w:color="auto" w:sz="4" w:space="0"/>
              <w:left w:val="single" w:color="auto" w:sz="4" w:space="0"/>
              <w:bottom w:val="single" w:color="auto" w:sz="4" w:space="0"/>
              <w:right w:val="single" w:color="auto" w:sz="4" w:space="0"/>
            </w:tcBorders>
            <w:vAlign w:val="center"/>
          </w:tcPr>
          <w:p>
            <w:pPr>
              <w:pStyle w:val="22"/>
              <w:spacing w:line="340" w:lineRule="exact"/>
              <w:jc w:val="center"/>
              <w:rPr>
                <w:rFonts w:ascii="Times New Roman" w:hAnsi="Times New Roman" w:eastAsia="仿宋_GB2312"/>
                <w:color w:val="auto"/>
                <w:highlight w:val="none"/>
              </w:rPr>
            </w:pPr>
            <w:r>
              <w:rPr>
                <w:rFonts w:ascii="Times New Roman" w:hAnsi="Times New Roman" w:eastAsia="仿宋_GB2312"/>
                <w:color w:val="auto"/>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tcBorders>
              <w:top w:val="single" w:color="auto" w:sz="4" w:space="0"/>
              <w:left w:val="single" w:color="auto" w:sz="4" w:space="0"/>
              <w:bottom w:val="single" w:color="auto" w:sz="4" w:space="0"/>
              <w:right w:val="single" w:color="auto" w:sz="4" w:space="0"/>
            </w:tcBorders>
          </w:tcPr>
          <w:p>
            <w:pPr>
              <w:pStyle w:val="22"/>
              <w:spacing w:line="340" w:lineRule="exact"/>
              <w:rPr>
                <w:rFonts w:ascii="Times New Roman" w:hAnsi="Times New Roman" w:eastAsia="仿宋_GB2312"/>
                <w:color w:val="auto"/>
                <w:highlight w:val="none"/>
              </w:rPr>
            </w:pPr>
            <w:r>
              <w:rPr>
                <w:rFonts w:ascii="Times New Roman" w:hAnsi="Times New Roman" w:eastAsia="仿宋_GB2312"/>
                <w:color w:val="auto"/>
                <w:highlight w:val="none"/>
              </w:rPr>
              <w:t>一</w:t>
            </w:r>
          </w:p>
        </w:tc>
        <w:tc>
          <w:tcPr>
            <w:tcW w:w="4071" w:type="dxa"/>
            <w:tcBorders>
              <w:top w:val="single" w:color="auto" w:sz="4" w:space="0"/>
              <w:left w:val="single" w:color="auto" w:sz="4" w:space="0"/>
              <w:bottom w:val="single" w:color="auto" w:sz="4" w:space="0"/>
              <w:right w:val="single" w:color="auto" w:sz="4" w:space="0"/>
            </w:tcBorders>
          </w:tcPr>
          <w:p>
            <w:pPr>
              <w:spacing w:line="340" w:lineRule="exact"/>
              <w:rPr>
                <w:rFonts w:eastAsia="仿宋_GB2312"/>
                <w:color w:val="auto"/>
                <w:szCs w:val="21"/>
                <w:highlight w:val="none"/>
              </w:rPr>
            </w:pPr>
            <w:r>
              <w:rPr>
                <w:rFonts w:eastAsia="仿宋_GB2312"/>
                <w:color w:val="auto"/>
                <w:szCs w:val="21"/>
                <w:highlight w:val="none"/>
              </w:rPr>
              <w:t>1  ……</w:t>
            </w:r>
          </w:p>
          <w:p>
            <w:pPr>
              <w:spacing w:line="340" w:lineRule="exact"/>
              <w:rPr>
                <w:rFonts w:eastAsia="仿宋_GB2312"/>
                <w:color w:val="auto"/>
                <w:szCs w:val="21"/>
                <w:highlight w:val="none"/>
              </w:rPr>
            </w:pPr>
            <w:r>
              <w:rPr>
                <w:rFonts w:eastAsia="仿宋_GB2312"/>
                <w:color w:val="auto"/>
                <w:szCs w:val="21"/>
                <w:highlight w:val="none"/>
              </w:rPr>
              <w:t>2  ……</w:t>
            </w:r>
          </w:p>
          <w:p>
            <w:pPr>
              <w:spacing w:line="340" w:lineRule="exact"/>
              <w:rPr>
                <w:rFonts w:eastAsia="仿宋_GB2312"/>
                <w:color w:val="auto"/>
                <w:szCs w:val="21"/>
                <w:highlight w:val="none"/>
              </w:rPr>
            </w:pPr>
            <w:r>
              <w:rPr>
                <w:rFonts w:eastAsia="仿宋_GB2312"/>
                <w:color w:val="auto"/>
                <w:szCs w:val="21"/>
                <w:highlight w:val="none"/>
              </w:rPr>
              <w:t>3  ……</w:t>
            </w:r>
          </w:p>
          <w:p>
            <w:pPr>
              <w:pStyle w:val="22"/>
              <w:spacing w:line="340" w:lineRule="exact"/>
              <w:rPr>
                <w:rFonts w:ascii="Times New Roman" w:hAnsi="Times New Roman" w:eastAsia="仿宋_GB2312"/>
                <w:color w:val="auto"/>
                <w:highlight w:val="none"/>
              </w:rPr>
            </w:pPr>
            <w:r>
              <w:rPr>
                <w:rFonts w:ascii="Times New Roman" w:hAnsi="Times New Roman" w:eastAsia="仿宋_GB2312"/>
                <w:color w:val="auto"/>
                <w:highlight w:val="none"/>
              </w:rPr>
              <w:t>……</w:t>
            </w:r>
          </w:p>
        </w:tc>
        <w:tc>
          <w:tcPr>
            <w:tcW w:w="3720" w:type="dxa"/>
            <w:tcBorders>
              <w:top w:val="single" w:color="auto" w:sz="4" w:space="0"/>
              <w:left w:val="single" w:color="auto" w:sz="4" w:space="0"/>
              <w:bottom w:val="single" w:color="auto" w:sz="4" w:space="0"/>
              <w:right w:val="single" w:color="auto" w:sz="4" w:space="0"/>
            </w:tcBorders>
          </w:tcPr>
          <w:p>
            <w:pPr>
              <w:spacing w:line="340" w:lineRule="exact"/>
              <w:rPr>
                <w:rFonts w:eastAsia="仿宋_GB2312"/>
                <w:color w:val="auto"/>
                <w:szCs w:val="21"/>
                <w:highlight w:val="none"/>
              </w:rPr>
            </w:pPr>
            <w:r>
              <w:rPr>
                <w:rFonts w:eastAsia="仿宋_GB2312"/>
                <w:color w:val="auto"/>
                <w:szCs w:val="21"/>
                <w:highlight w:val="none"/>
              </w:rPr>
              <w:t>1  ……</w:t>
            </w:r>
          </w:p>
          <w:p>
            <w:pPr>
              <w:spacing w:line="340" w:lineRule="exact"/>
              <w:rPr>
                <w:rFonts w:eastAsia="仿宋_GB2312"/>
                <w:color w:val="auto"/>
                <w:szCs w:val="21"/>
                <w:highlight w:val="none"/>
              </w:rPr>
            </w:pPr>
            <w:r>
              <w:rPr>
                <w:rFonts w:eastAsia="仿宋_GB2312"/>
                <w:color w:val="auto"/>
                <w:szCs w:val="21"/>
                <w:highlight w:val="none"/>
              </w:rPr>
              <w:t>2  ……</w:t>
            </w:r>
          </w:p>
          <w:p>
            <w:pPr>
              <w:spacing w:line="340" w:lineRule="exact"/>
              <w:rPr>
                <w:rFonts w:eastAsia="仿宋_GB2312"/>
                <w:color w:val="auto"/>
                <w:szCs w:val="21"/>
                <w:highlight w:val="none"/>
              </w:rPr>
            </w:pPr>
            <w:r>
              <w:rPr>
                <w:rFonts w:eastAsia="仿宋_GB2312"/>
                <w:color w:val="auto"/>
                <w:szCs w:val="21"/>
                <w:highlight w:val="none"/>
              </w:rPr>
              <w:t>3  ……</w:t>
            </w:r>
          </w:p>
          <w:p>
            <w:pPr>
              <w:pStyle w:val="22"/>
              <w:spacing w:line="340" w:lineRule="exact"/>
              <w:rPr>
                <w:rFonts w:ascii="Times New Roman" w:hAnsi="Times New Roman" w:eastAsia="仿宋_GB2312"/>
                <w:color w:val="auto"/>
                <w:highlight w:val="none"/>
              </w:rPr>
            </w:pPr>
            <w:r>
              <w:rPr>
                <w:rFonts w:ascii="Times New Roman" w:hAnsi="Times New Roman" w:eastAsia="仿宋_GB2312"/>
                <w:color w:val="auto"/>
                <w:highlight w:val="none"/>
              </w:rPr>
              <w:t>……</w:t>
            </w:r>
          </w:p>
        </w:tc>
        <w:tc>
          <w:tcPr>
            <w:tcW w:w="1320" w:type="dxa"/>
            <w:tcBorders>
              <w:top w:val="single" w:color="auto" w:sz="4" w:space="0"/>
              <w:left w:val="single" w:color="auto" w:sz="4" w:space="0"/>
              <w:bottom w:val="single" w:color="auto" w:sz="4" w:space="0"/>
              <w:right w:val="single" w:color="auto" w:sz="4" w:space="0"/>
            </w:tcBorders>
          </w:tcPr>
          <w:p>
            <w:pPr>
              <w:pStyle w:val="22"/>
              <w:spacing w:line="300" w:lineRule="exact"/>
              <w:rPr>
                <w:rFonts w:ascii="Times New Roman" w:hAnsi="Times New Roman" w:eastAsia="仿宋_GB2312"/>
                <w:color w:val="auto"/>
                <w:highlight w:val="none"/>
              </w:rPr>
            </w:pPr>
            <w:r>
              <w:rPr>
                <w:rFonts w:ascii="Times New Roman" w:hAnsi="Times New Roman" w:eastAsia="仿宋_GB2312"/>
                <w:color w:val="auto"/>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tcBorders>
              <w:top w:val="single" w:color="auto" w:sz="4" w:space="0"/>
              <w:left w:val="single" w:color="auto" w:sz="4" w:space="0"/>
              <w:bottom w:val="single" w:color="auto" w:sz="4" w:space="0"/>
              <w:right w:val="single" w:color="auto" w:sz="4" w:space="0"/>
            </w:tcBorders>
          </w:tcPr>
          <w:p>
            <w:pPr>
              <w:pStyle w:val="22"/>
              <w:spacing w:line="340" w:lineRule="exact"/>
              <w:rPr>
                <w:rFonts w:ascii="Times New Roman" w:hAnsi="Times New Roman" w:eastAsia="仿宋_GB2312"/>
                <w:color w:val="auto"/>
                <w:highlight w:val="none"/>
              </w:rPr>
            </w:pPr>
            <w:r>
              <w:rPr>
                <w:rFonts w:ascii="Times New Roman" w:hAnsi="Times New Roman" w:eastAsia="仿宋_GB2312"/>
                <w:color w:val="auto"/>
                <w:highlight w:val="none"/>
              </w:rPr>
              <w:t>二</w:t>
            </w:r>
          </w:p>
        </w:tc>
        <w:tc>
          <w:tcPr>
            <w:tcW w:w="4071" w:type="dxa"/>
            <w:tcBorders>
              <w:top w:val="single" w:color="auto" w:sz="4" w:space="0"/>
              <w:left w:val="single" w:color="auto" w:sz="4" w:space="0"/>
              <w:bottom w:val="single" w:color="auto" w:sz="4" w:space="0"/>
              <w:right w:val="single" w:color="auto" w:sz="4" w:space="0"/>
            </w:tcBorders>
          </w:tcPr>
          <w:p>
            <w:pPr>
              <w:spacing w:line="340" w:lineRule="exact"/>
              <w:rPr>
                <w:rFonts w:eastAsia="仿宋_GB2312"/>
                <w:color w:val="auto"/>
                <w:szCs w:val="21"/>
                <w:highlight w:val="none"/>
              </w:rPr>
            </w:pPr>
            <w:r>
              <w:rPr>
                <w:rFonts w:eastAsia="仿宋_GB2312"/>
                <w:color w:val="auto"/>
                <w:szCs w:val="21"/>
                <w:highlight w:val="none"/>
              </w:rPr>
              <w:t>1  ……</w:t>
            </w:r>
          </w:p>
          <w:p>
            <w:pPr>
              <w:spacing w:line="340" w:lineRule="exact"/>
              <w:rPr>
                <w:rFonts w:eastAsia="仿宋_GB2312"/>
                <w:color w:val="auto"/>
                <w:szCs w:val="21"/>
                <w:highlight w:val="none"/>
              </w:rPr>
            </w:pPr>
            <w:r>
              <w:rPr>
                <w:rFonts w:eastAsia="仿宋_GB2312"/>
                <w:color w:val="auto"/>
                <w:szCs w:val="21"/>
                <w:highlight w:val="none"/>
              </w:rPr>
              <w:t>2  ……</w:t>
            </w:r>
          </w:p>
          <w:p>
            <w:pPr>
              <w:spacing w:line="340" w:lineRule="exact"/>
              <w:rPr>
                <w:rFonts w:eastAsia="仿宋_GB2312"/>
                <w:color w:val="auto"/>
                <w:szCs w:val="21"/>
                <w:highlight w:val="none"/>
              </w:rPr>
            </w:pPr>
            <w:r>
              <w:rPr>
                <w:rFonts w:eastAsia="仿宋_GB2312"/>
                <w:color w:val="auto"/>
                <w:szCs w:val="21"/>
                <w:highlight w:val="none"/>
              </w:rPr>
              <w:t>3  ……</w:t>
            </w:r>
          </w:p>
          <w:p>
            <w:pPr>
              <w:pStyle w:val="22"/>
              <w:spacing w:line="340" w:lineRule="exact"/>
              <w:rPr>
                <w:rFonts w:ascii="Times New Roman" w:hAnsi="Times New Roman" w:eastAsia="仿宋_GB2312"/>
                <w:color w:val="auto"/>
                <w:highlight w:val="none"/>
              </w:rPr>
            </w:pPr>
            <w:r>
              <w:rPr>
                <w:rFonts w:ascii="Times New Roman" w:hAnsi="Times New Roman" w:eastAsia="仿宋_GB2312"/>
                <w:color w:val="auto"/>
                <w:highlight w:val="none"/>
              </w:rPr>
              <w:t>……</w:t>
            </w:r>
          </w:p>
        </w:tc>
        <w:tc>
          <w:tcPr>
            <w:tcW w:w="3720" w:type="dxa"/>
            <w:tcBorders>
              <w:top w:val="single" w:color="auto" w:sz="4" w:space="0"/>
              <w:left w:val="single" w:color="auto" w:sz="4" w:space="0"/>
              <w:bottom w:val="single" w:color="auto" w:sz="4" w:space="0"/>
              <w:right w:val="single" w:color="auto" w:sz="4" w:space="0"/>
            </w:tcBorders>
          </w:tcPr>
          <w:p>
            <w:pPr>
              <w:spacing w:line="340" w:lineRule="exact"/>
              <w:rPr>
                <w:rFonts w:eastAsia="仿宋_GB2312"/>
                <w:color w:val="auto"/>
                <w:szCs w:val="21"/>
                <w:highlight w:val="none"/>
              </w:rPr>
            </w:pPr>
            <w:r>
              <w:rPr>
                <w:rFonts w:eastAsia="仿宋_GB2312"/>
                <w:color w:val="auto"/>
                <w:szCs w:val="21"/>
                <w:highlight w:val="none"/>
              </w:rPr>
              <w:t>1  ……</w:t>
            </w:r>
          </w:p>
          <w:p>
            <w:pPr>
              <w:spacing w:line="340" w:lineRule="exact"/>
              <w:rPr>
                <w:rFonts w:eastAsia="仿宋_GB2312"/>
                <w:color w:val="auto"/>
                <w:szCs w:val="21"/>
                <w:highlight w:val="none"/>
              </w:rPr>
            </w:pPr>
            <w:r>
              <w:rPr>
                <w:rFonts w:eastAsia="仿宋_GB2312"/>
                <w:color w:val="auto"/>
                <w:szCs w:val="21"/>
                <w:highlight w:val="none"/>
              </w:rPr>
              <w:t>2  ……</w:t>
            </w:r>
          </w:p>
          <w:p>
            <w:pPr>
              <w:spacing w:line="340" w:lineRule="exact"/>
              <w:rPr>
                <w:rFonts w:eastAsia="仿宋_GB2312"/>
                <w:color w:val="auto"/>
                <w:szCs w:val="21"/>
                <w:highlight w:val="none"/>
              </w:rPr>
            </w:pPr>
            <w:r>
              <w:rPr>
                <w:rFonts w:eastAsia="仿宋_GB2312"/>
                <w:color w:val="auto"/>
                <w:szCs w:val="21"/>
                <w:highlight w:val="none"/>
              </w:rPr>
              <w:t>3  ……</w:t>
            </w:r>
          </w:p>
          <w:p>
            <w:pPr>
              <w:pStyle w:val="22"/>
              <w:spacing w:line="340" w:lineRule="exact"/>
              <w:rPr>
                <w:rFonts w:ascii="Times New Roman" w:hAnsi="Times New Roman" w:eastAsia="仿宋_GB2312"/>
                <w:color w:val="auto"/>
                <w:highlight w:val="none"/>
              </w:rPr>
            </w:pPr>
            <w:r>
              <w:rPr>
                <w:rFonts w:ascii="Times New Roman" w:hAnsi="Times New Roman" w:eastAsia="仿宋_GB2312"/>
                <w:color w:val="auto"/>
                <w:highlight w:val="none"/>
              </w:rPr>
              <w:t>……</w:t>
            </w:r>
          </w:p>
        </w:tc>
        <w:tc>
          <w:tcPr>
            <w:tcW w:w="1320" w:type="dxa"/>
            <w:tcBorders>
              <w:top w:val="single" w:color="auto" w:sz="4" w:space="0"/>
              <w:left w:val="single" w:color="auto" w:sz="4" w:space="0"/>
              <w:bottom w:val="single" w:color="auto" w:sz="4" w:space="0"/>
              <w:right w:val="single" w:color="auto" w:sz="4" w:space="0"/>
            </w:tcBorders>
          </w:tcPr>
          <w:p>
            <w:pPr>
              <w:pStyle w:val="22"/>
              <w:spacing w:line="300" w:lineRule="exact"/>
              <w:rPr>
                <w:rFonts w:ascii="Times New Roman" w:hAnsi="Times New Roman" w:eastAsia="仿宋_GB2312"/>
                <w:color w:val="auto"/>
                <w:highlight w:val="none"/>
              </w:rPr>
            </w:pPr>
            <w:r>
              <w:rPr>
                <w:rFonts w:ascii="Times New Roman" w:hAnsi="Times New Roman" w:eastAsia="仿宋_GB2312"/>
                <w:color w:val="auto"/>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tcBorders>
              <w:top w:val="single" w:color="auto" w:sz="4" w:space="0"/>
              <w:left w:val="single" w:color="auto" w:sz="4" w:space="0"/>
              <w:bottom w:val="single" w:color="auto" w:sz="4" w:space="0"/>
              <w:right w:val="single" w:color="auto" w:sz="4" w:space="0"/>
            </w:tcBorders>
          </w:tcPr>
          <w:p>
            <w:pPr>
              <w:pStyle w:val="22"/>
              <w:spacing w:line="340" w:lineRule="exact"/>
              <w:rPr>
                <w:rFonts w:ascii="Times New Roman" w:hAnsi="Times New Roman" w:eastAsia="仿宋_GB2312"/>
                <w:color w:val="auto"/>
                <w:highlight w:val="none"/>
              </w:rPr>
            </w:pPr>
            <w:r>
              <w:rPr>
                <w:rFonts w:ascii="Times New Roman" w:hAnsi="Times New Roman" w:eastAsia="仿宋_GB2312"/>
                <w:color w:val="auto"/>
                <w:highlight w:val="none"/>
              </w:rPr>
              <w:t>...</w:t>
            </w:r>
          </w:p>
        </w:tc>
        <w:tc>
          <w:tcPr>
            <w:tcW w:w="4071" w:type="dxa"/>
            <w:tcBorders>
              <w:top w:val="single" w:color="auto" w:sz="4" w:space="0"/>
              <w:left w:val="single" w:color="auto" w:sz="4" w:space="0"/>
              <w:bottom w:val="single" w:color="auto" w:sz="4" w:space="0"/>
              <w:right w:val="single" w:color="auto" w:sz="4" w:space="0"/>
            </w:tcBorders>
          </w:tcPr>
          <w:p>
            <w:pPr>
              <w:pStyle w:val="22"/>
              <w:spacing w:line="340" w:lineRule="exact"/>
              <w:rPr>
                <w:rFonts w:ascii="Times New Roman" w:hAnsi="Times New Roman" w:eastAsia="仿宋_GB2312"/>
                <w:color w:val="auto"/>
                <w:highlight w:val="none"/>
              </w:rPr>
            </w:pPr>
            <w:r>
              <w:rPr>
                <w:rFonts w:ascii="Times New Roman" w:hAnsi="Times New Roman" w:eastAsia="仿宋_GB2312"/>
                <w:color w:val="auto"/>
                <w:highlight w:val="none"/>
              </w:rPr>
              <w:t>1 ……</w:t>
            </w:r>
          </w:p>
          <w:p>
            <w:pPr>
              <w:pStyle w:val="22"/>
              <w:spacing w:line="340" w:lineRule="exact"/>
              <w:rPr>
                <w:rFonts w:ascii="Times New Roman" w:hAnsi="Times New Roman" w:eastAsia="仿宋_GB2312"/>
                <w:color w:val="auto"/>
                <w:highlight w:val="none"/>
              </w:rPr>
            </w:pPr>
            <w:r>
              <w:rPr>
                <w:rFonts w:ascii="Times New Roman" w:hAnsi="Times New Roman" w:eastAsia="仿宋_GB2312"/>
                <w:color w:val="auto"/>
                <w:highlight w:val="none"/>
              </w:rPr>
              <w:t>2.合同签订日期： ……</w:t>
            </w:r>
          </w:p>
          <w:p>
            <w:pPr>
              <w:pStyle w:val="22"/>
              <w:spacing w:line="340" w:lineRule="exact"/>
              <w:rPr>
                <w:rFonts w:ascii="Times New Roman" w:hAnsi="Times New Roman" w:eastAsia="仿宋_GB2312"/>
                <w:color w:val="auto"/>
                <w:highlight w:val="none"/>
              </w:rPr>
            </w:pPr>
            <w:r>
              <w:rPr>
                <w:rFonts w:ascii="Times New Roman" w:hAnsi="Times New Roman" w:eastAsia="仿宋_GB2312"/>
                <w:color w:val="auto"/>
                <w:highlight w:val="none"/>
              </w:rPr>
              <w:t>3. ……</w:t>
            </w:r>
          </w:p>
        </w:tc>
        <w:tc>
          <w:tcPr>
            <w:tcW w:w="3720" w:type="dxa"/>
            <w:tcBorders>
              <w:top w:val="single" w:color="auto" w:sz="4" w:space="0"/>
              <w:left w:val="single" w:color="auto" w:sz="4" w:space="0"/>
              <w:bottom w:val="single" w:color="auto" w:sz="4" w:space="0"/>
              <w:right w:val="single" w:color="auto" w:sz="4" w:space="0"/>
            </w:tcBorders>
          </w:tcPr>
          <w:p>
            <w:pPr>
              <w:pStyle w:val="22"/>
              <w:spacing w:line="340" w:lineRule="exact"/>
              <w:rPr>
                <w:rFonts w:ascii="Times New Roman" w:hAnsi="Times New Roman" w:eastAsia="仿宋_GB2312"/>
                <w:color w:val="auto"/>
                <w:highlight w:val="none"/>
              </w:rPr>
            </w:pPr>
            <w:r>
              <w:rPr>
                <w:rFonts w:ascii="Times New Roman" w:hAnsi="Times New Roman" w:eastAsia="仿宋_GB2312"/>
                <w:color w:val="auto"/>
                <w:highlight w:val="none"/>
              </w:rPr>
              <w:t>1 ……</w:t>
            </w:r>
          </w:p>
          <w:p>
            <w:pPr>
              <w:pStyle w:val="22"/>
              <w:spacing w:line="340" w:lineRule="exact"/>
              <w:rPr>
                <w:rFonts w:ascii="Times New Roman" w:hAnsi="Times New Roman" w:eastAsia="仿宋_GB2312"/>
                <w:color w:val="auto"/>
                <w:highlight w:val="none"/>
              </w:rPr>
            </w:pPr>
            <w:r>
              <w:rPr>
                <w:rFonts w:ascii="Times New Roman" w:hAnsi="Times New Roman" w:eastAsia="仿宋_GB2312"/>
                <w:color w:val="auto"/>
                <w:highlight w:val="none"/>
              </w:rPr>
              <w:t>2.合同签订日期： ……</w:t>
            </w:r>
          </w:p>
          <w:p>
            <w:pPr>
              <w:pStyle w:val="22"/>
              <w:spacing w:line="340" w:lineRule="exact"/>
              <w:rPr>
                <w:rFonts w:ascii="Times New Roman" w:hAnsi="Times New Roman" w:eastAsia="仿宋_GB2312"/>
                <w:color w:val="auto"/>
                <w:highlight w:val="none"/>
              </w:rPr>
            </w:pPr>
            <w:r>
              <w:rPr>
                <w:rFonts w:ascii="Times New Roman" w:hAnsi="Times New Roman" w:eastAsia="仿宋_GB2312"/>
                <w:color w:val="auto"/>
                <w:highlight w:val="none"/>
              </w:rPr>
              <w:t>3. ……</w:t>
            </w:r>
          </w:p>
        </w:tc>
        <w:tc>
          <w:tcPr>
            <w:tcW w:w="1320" w:type="dxa"/>
            <w:tcBorders>
              <w:top w:val="single" w:color="auto" w:sz="4" w:space="0"/>
              <w:left w:val="single" w:color="auto" w:sz="4" w:space="0"/>
              <w:bottom w:val="single" w:color="auto" w:sz="4" w:space="0"/>
              <w:right w:val="single" w:color="auto" w:sz="4" w:space="0"/>
            </w:tcBorders>
          </w:tcPr>
          <w:p>
            <w:pPr>
              <w:pStyle w:val="22"/>
              <w:spacing w:line="300" w:lineRule="exact"/>
              <w:rPr>
                <w:rFonts w:ascii="Times New Roman" w:hAnsi="Times New Roman" w:eastAsia="仿宋_GB2312"/>
                <w:color w:val="auto"/>
                <w:highlight w:val="none"/>
              </w:rPr>
            </w:pPr>
          </w:p>
          <w:p>
            <w:pPr>
              <w:pStyle w:val="22"/>
              <w:spacing w:line="300" w:lineRule="exact"/>
              <w:rPr>
                <w:rFonts w:ascii="Times New Roman" w:hAnsi="Times New Roman" w:eastAsia="仿宋_GB2312"/>
                <w:color w:val="auto"/>
                <w:highlight w:val="none"/>
              </w:rPr>
            </w:pPr>
            <w:r>
              <w:rPr>
                <w:rFonts w:ascii="Times New Roman" w:hAnsi="Times New Roman" w:eastAsia="仿宋_GB2312"/>
                <w:color w:val="auto"/>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28" w:type="dxa"/>
            <w:gridSpan w:val="4"/>
            <w:tcBorders>
              <w:top w:val="single" w:color="auto" w:sz="4" w:space="0"/>
              <w:left w:val="single" w:color="auto" w:sz="4" w:space="0"/>
              <w:bottom w:val="single" w:color="auto" w:sz="4" w:space="0"/>
              <w:right w:val="single" w:color="auto" w:sz="4" w:space="0"/>
            </w:tcBorders>
          </w:tcPr>
          <w:p>
            <w:pPr>
              <w:pStyle w:val="22"/>
              <w:spacing w:line="340" w:lineRule="exact"/>
              <w:rPr>
                <w:rFonts w:ascii="Times New Roman" w:hAnsi="Times New Roman" w:eastAsia="仿宋_GB2312"/>
                <w:color w:val="auto"/>
                <w:highlight w:val="none"/>
              </w:rPr>
            </w:pPr>
            <w:r>
              <w:rPr>
                <w:rFonts w:ascii="Times New Roman" w:hAnsi="Times New Roman" w:eastAsia="仿宋_GB2312"/>
                <w:color w:val="auto"/>
                <w:highlight w:val="none"/>
                <w:u w:val="single"/>
              </w:rPr>
              <w:t>　　</w:t>
            </w:r>
            <w:r>
              <w:rPr>
                <w:rFonts w:ascii="Times New Roman" w:hAnsi="Times New Roman" w:eastAsia="仿宋_GB2312"/>
                <w:color w:val="auto"/>
                <w:highlight w:val="none"/>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28" w:type="dxa"/>
            <w:gridSpan w:val="4"/>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投标人（盖单位公章</w:t>
            </w:r>
            <w:r>
              <w:rPr>
                <w:rFonts w:hint="eastAsia" w:eastAsia="仿宋_GB2312"/>
                <w:color w:val="auto"/>
                <w:highlight w:val="none"/>
              </w:rPr>
              <w:t>，自然人除外</w:t>
            </w:r>
            <w:r>
              <w:rPr>
                <w:rFonts w:eastAsia="仿宋_GB2312"/>
                <w:color w:val="auto"/>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28" w:type="dxa"/>
            <w:gridSpan w:val="4"/>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法定代表人或其委托代理人（签字或盖章）：</w:t>
            </w:r>
          </w:p>
          <w:p>
            <w:pPr>
              <w:rPr>
                <w:rFonts w:eastAsia="仿宋_GB2312"/>
                <w:color w:val="auto"/>
                <w:highlight w:val="none"/>
              </w:rPr>
            </w:pPr>
            <w:r>
              <w:rPr>
                <w:rFonts w:hint="eastAsia" w:ascii="宋体" w:hAnsi="宋体"/>
                <w:color w:val="auto"/>
                <w:szCs w:val="21"/>
                <w:highlight w:val="none"/>
              </w:rPr>
              <w:t>（</w:t>
            </w:r>
            <w:r>
              <w:rPr>
                <w:rFonts w:hint="eastAsia" w:eastAsia="仿宋_GB2312"/>
                <w:color w:val="auto"/>
                <w:highlight w:val="none"/>
              </w:rPr>
              <w:t>投标人属自然人的应由自然人签字并加盖指印，投标人若为其他组织形式无法定代表人的应由机构负责人</w:t>
            </w:r>
            <w:r>
              <w:rPr>
                <w:rFonts w:eastAsia="仿宋_GB2312"/>
                <w:color w:val="auto"/>
                <w:highlight w:val="none"/>
              </w:rPr>
              <w:t>签字或盖章</w:t>
            </w:r>
            <w:r>
              <w:rPr>
                <w:rFonts w:hint="eastAsia" w:ascii="宋体" w:hAnsi="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28" w:type="dxa"/>
            <w:gridSpan w:val="4"/>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hint="eastAsia" w:eastAsia="仿宋_GB2312"/>
                <w:color w:val="auto"/>
                <w:highlight w:val="none"/>
              </w:rPr>
              <w:t>日期：   年   月   日</w:t>
            </w:r>
          </w:p>
        </w:tc>
      </w:tr>
    </w:tbl>
    <w:p>
      <w:pPr>
        <w:pStyle w:val="22"/>
        <w:rPr>
          <w:rFonts w:ascii="Times New Roman" w:hAnsi="Times New Roman" w:eastAsia="仿宋_GB2312"/>
          <w:color w:val="auto"/>
          <w:sz w:val="24"/>
          <w:szCs w:val="24"/>
          <w:highlight w:val="none"/>
        </w:rPr>
      </w:pPr>
      <w:r>
        <w:rPr>
          <w:rFonts w:ascii="Times New Roman" w:hAnsi="Times New Roman" w:eastAsia="仿宋_GB2312"/>
          <w:color w:val="auto"/>
          <w:sz w:val="24"/>
          <w:szCs w:val="24"/>
          <w:highlight w:val="none"/>
        </w:rPr>
        <w:t>注：⑴表格内容均需按要求填写并盖章，不得留空，</w:t>
      </w:r>
      <w:r>
        <w:rPr>
          <w:rFonts w:ascii="Times New Roman" w:hAnsi="Times New Roman" w:eastAsia="仿宋_GB2312"/>
          <w:bCs/>
          <w:color w:val="auto"/>
          <w:sz w:val="24"/>
          <w:szCs w:val="24"/>
          <w:highlight w:val="none"/>
        </w:rPr>
        <w:t>否则按投标无效处理</w:t>
      </w:r>
      <w:r>
        <w:rPr>
          <w:rFonts w:ascii="Times New Roman" w:hAnsi="Times New Roman" w:eastAsia="仿宋_GB2312"/>
          <w:color w:val="auto"/>
          <w:sz w:val="24"/>
          <w:szCs w:val="24"/>
          <w:highlight w:val="none"/>
        </w:rPr>
        <w:t>。</w:t>
      </w:r>
    </w:p>
    <w:p>
      <w:pPr>
        <w:pStyle w:val="22"/>
        <w:spacing w:line="600" w:lineRule="exact"/>
        <w:ind w:left="719" w:leftChars="228" w:hanging="240" w:hangingChars="100"/>
        <w:rPr>
          <w:rFonts w:ascii="Times New Roman" w:hAnsi="Times New Roman" w:eastAsia="仿宋_GB2312"/>
          <w:bCs/>
          <w:color w:val="auto"/>
          <w:sz w:val="24"/>
          <w:szCs w:val="24"/>
          <w:highlight w:val="none"/>
        </w:rPr>
      </w:pPr>
      <w:r>
        <w:rPr>
          <w:rFonts w:ascii="Times New Roman" w:hAnsi="Times New Roman" w:eastAsia="楷体_GB2312"/>
          <w:bCs/>
          <w:color w:val="auto"/>
          <w:sz w:val="24"/>
          <w:szCs w:val="24"/>
          <w:highlight w:val="none"/>
        </w:rPr>
        <w:t>⑵</w:t>
      </w:r>
      <w:r>
        <w:rPr>
          <w:rFonts w:ascii="Times New Roman" w:hAnsi="Times New Roman" w:eastAsia="仿宋_GB2312"/>
          <w:bCs/>
          <w:color w:val="auto"/>
          <w:sz w:val="24"/>
          <w:szCs w:val="24"/>
          <w:highlight w:val="none"/>
        </w:rPr>
        <w:t>投标文件</w:t>
      </w:r>
      <w:r>
        <w:rPr>
          <w:rFonts w:hint="eastAsia" w:ascii="Times New Roman" w:hAnsi="Times New Roman" w:eastAsia="仿宋_GB2312"/>
          <w:bCs/>
          <w:color w:val="auto"/>
          <w:sz w:val="24"/>
          <w:szCs w:val="24"/>
          <w:highlight w:val="none"/>
        </w:rPr>
        <w:t>需求</w:t>
      </w:r>
      <w:r>
        <w:rPr>
          <w:rFonts w:ascii="Times New Roman" w:hAnsi="Times New Roman" w:eastAsia="仿宋_GB2312"/>
          <w:bCs/>
          <w:color w:val="auto"/>
          <w:sz w:val="24"/>
          <w:szCs w:val="24"/>
          <w:highlight w:val="none"/>
        </w:rPr>
        <w:t>小于或大于招标文件某个数值标准时，</w:t>
      </w:r>
      <w:r>
        <w:rPr>
          <w:rFonts w:hint="eastAsia" w:ascii="Times New Roman" w:hAnsi="Times New Roman" w:eastAsia="仿宋_GB2312"/>
          <w:bCs/>
          <w:color w:val="auto"/>
          <w:sz w:val="24"/>
          <w:szCs w:val="24"/>
          <w:highlight w:val="none"/>
        </w:rPr>
        <w:t>投</w:t>
      </w:r>
      <w:r>
        <w:rPr>
          <w:rFonts w:ascii="Times New Roman" w:hAnsi="Times New Roman" w:eastAsia="仿宋_GB2312"/>
          <w:bCs/>
          <w:color w:val="auto"/>
          <w:sz w:val="24"/>
          <w:szCs w:val="24"/>
          <w:highlight w:val="none"/>
        </w:rPr>
        <w:t>标文件</w:t>
      </w:r>
      <w:r>
        <w:rPr>
          <w:rFonts w:hint="eastAsia" w:ascii="Times New Roman" w:hAnsi="Times New Roman" w:eastAsia="仿宋_GB2312"/>
          <w:bCs/>
          <w:color w:val="auto"/>
          <w:sz w:val="24"/>
          <w:szCs w:val="24"/>
          <w:highlight w:val="none"/>
        </w:rPr>
        <w:t>不得直接复制招标文件需求，投标文件对应</w:t>
      </w:r>
      <w:r>
        <w:rPr>
          <w:rFonts w:ascii="Times New Roman" w:hAnsi="Times New Roman" w:eastAsia="仿宋_GB2312"/>
          <w:bCs/>
          <w:color w:val="auto"/>
          <w:sz w:val="24"/>
          <w:szCs w:val="24"/>
          <w:highlight w:val="none"/>
        </w:rPr>
        <w:t>内容应当写明投标</w:t>
      </w:r>
      <w:r>
        <w:rPr>
          <w:rFonts w:hint="eastAsia" w:ascii="Times New Roman" w:hAnsi="Times New Roman" w:eastAsia="仿宋_GB2312"/>
          <w:bCs/>
          <w:color w:val="auto"/>
          <w:sz w:val="24"/>
          <w:szCs w:val="24"/>
          <w:highlight w:val="none"/>
        </w:rPr>
        <w:t>服务内容</w:t>
      </w:r>
      <w:r>
        <w:rPr>
          <w:rFonts w:ascii="Times New Roman" w:hAnsi="Times New Roman" w:eastAsia="仿宋_GB2312"/>
          <w:bCs/>
          <w:color w:val="auto"/>
          <w:sz w:val="24"/>
          <w:szCs w:val="24"/>
          <w:highlight w:val="none"/>
        </w:rPr>
        <w:t>具体参数或商务响应的</w:t>
      </w:r>
      <w:r>
        <w:rPr>
          <w:rFonts w:hint="eastAsia" w:ascii="Times New Roman" w:hAnsi="Times New Roman" w:eastAsia="仿宋_GB2312"/>
          <w:bCs/>
          <w:color w:val="auto"/>
          <w:sz w:val="24"/>
          <w:szCs w:val="24"/>
          <w:highlight w:val="none"/>
        </w:rPr>
        <w:t>实际</w:t>
      </w:r>
      <w:r>
        <w:rPr>
          <w:rFonts w:ascii="Times New Roman" w:hAnsi="Times New Roman" w:eastAsia="仿宋_GB2312"/>
          <w:bCs/>
          <w:color w:val="auto"/>
          <w:sz w:val="24"/>
          <w:szCs w:val="24"/>
          <w:highlight w:val="none"/>
        </w:rPr>
        <w:t>数值，否则按投标无效处理。</w:t>
      </w:r>
    </w:p>
    <w:p>
      <w:pPr>
        <w:pStyle w:val="22"/>
        <w:spacing w:line="600" w:lineRule="exact"/>
        <w:ind w:left="719" w:leftChars="228" w:hanging="240" w:hangingChars="100"/>
        <w:rPr>
          <w:rFonts w:ascii="Times New Roman" w:hAnsi="Times New Roman" w:eastAsia="仿宋_GB2312"/>
          <w:bCs/>
          <w:color w:val="auto"/>
          <w:sz w:val="24"/>
          <w:szCs w:val="24"/>
          <w:highlight w:val="none"/>
        </w:rPr>
      </w:pPr>
      <w:r>
        <w:rPr>
          <w:rFonts w:ascii="Times New Roman" w:hAnsi="Times New Roman" w:eastAsia="仿宋_GB2312"/>
          <w:bCs/>
          <w:color w:val="auto"/>
          <w:sz w:val="24"/>
          <w:szCs w:val="24"/>
          <w:highlight w:val="none"/>
        </w:rPr>
        <w:t>⑶当投标文件的服务内容低于招标文件要求时，投标人应当如实写明“负偏离”，否则视为虚假应标。</w:t>
      </w:r>
    </w:p>
    <w:p>
      <w:pPr>
        <w:widowControl/>
        <w:jc w:val="left"/>
        <w:rPr>
          <w:rFonts w:ascii="宋体" w:hAnsi="宋体" w:cs="Courier New"/>
          <w:b/>
          <w:color w:val="auto"/>
          <w:sz w:val="32"/>
          <w:szCs w:val="32"/>
          <w:highlight w:val="none"/>
        </w:rPr>
      </w:pPr>
      <w:r>
        <w:rPr>
          <w:rFonts w:hAnsi="宋体"/>
          <w:b/>
          <w:color w:val="auto"/>
          <w:sz w:val="32"/>
          <w:szCs w:val="32"/>
          <w:highlight w:val="none"/>
        </w:rPr>
        <w:br w:type="page"/>
      </w:r>
    </w:p>
    <w:p>
      <w:pPr>
        <w:pStyle w:val="22"/>
        <w:ind w:firstLine="380"/>
        <w:jc w:val="center"/>
        <w:rPr>
          <w:rFonts w:hAnsi="宋体"/>
          <w:b/>
          <w:color w:val="auto"/>
          <w:sz w:val="32"/>
          <w:szCs w:val="32"/>
          <w:highlight w:val="none"/>
        </w:rPr>
      </w:pPr>
      <w:r>
        <w:rPr>
          <w:rFonts w:hint="eastAsia" w:hAnsi="宋体"/>
          <w:b/>
          <w:color w:val="auto"/>
          <w:sz w:val="32"/>
          <w:szCs w:val="32"/>
          <w:highlight w:val="none"/>
        </w:rPr>
        <w:t>售后服务承诺书</w:t>
      </w:r>
    </w:p>
    <w:p>
      <w:pPr>
        <w:snapToGrid w:val="0"/>
        <w:jc w:val="center"/>
        <w:rPr>
          <w:rFonts w:ascii="宋体" w:hAnsi="宋体"/>
          <w:color w:val="auto"/>
          <w:sz w:val="24"/>
          <w:highlight w:val="none"/>
        </w:rPr>
      </w:pPr>
      <w:r>
        <w:rPr>
          <w:rFonts w:hint="eastAsia" w:ascii="宋体" w:hAnsi="宋体"/>
          <w:color w:val="auto"/>
          <w:sz w:val="24"/>
          <w:highlight w:val="none"/>
        </w:rPr>
        <w:t>(由投标人按《招标需求》及评分办法的要求自行分别填写)</w:t>
      </w:r>
    </w:p>
    <w:p>
      <w:pPr>
        <w:rPr>
          <w:rFonts w:ascii="宋体" w:hAnsi="宋体"/>
          <w:color w:val="auto"/>
          <w:szCs w:val="21"/>
          <w:highlight w:val="none"/>
        </w:rPr>
      </w:pPr>
      <w:r>
        <w:rPr>
          <w:rFonts w:ascii="宋体" w:hAnsi="宋体"/>
          <w:b/>
          <w:color w:val="auto"/>
          <w:sz w:val="24"/>
          <w:highlight w:val="none"/>
        </w:rPr>
        <w:br w:type="page"/>
      </w:r>
    </w:p>
    <w:p>
      <w:pPr>
        <w:snapToGrid w:val="0"/>
        <w:ind w:firstLine="472" w:firstLineChars="196"/>
        <w:jc w:val="center"/>
        <w:rPr>
          <w:rFonts w:ascii="宋体" w:hAnsi="宋体"/>
          <w:b/>
          <w:color w:val="auto"/>
          <w:sz w:val="24"/>
          <w:highlight w:val="none"/>
        </w:rPr>
      </w:pPr>
    </w:p>
    <w:p>
      <w:pPr>
        <w:snapToGrid w:val="0"/>
        <w:rPr>
          <w:rFonts w:ascii="宋体" w:hAnsi="宋体"/>
          <w:b/>
          <w:color w:val="auto"/>
          <w:highlight w:val="none"/>
        </w:rPr>
      </w:pPr>
      <w:r>
        <w:rPr>
          <w:rFonts w:hint="eastAsia" w:ascii="宋体" w:hAnsi="宋体"/>
          <w:b/>
          <w:color w:val="auto"/>
          <w:sz w:val="24"/>
          <w:highlight w:val="none"/>
        </w:rPr>
        <w:t>投标人类似项目业绩情况一览表格式：</w:t>
      </w:r>
    </w:p>
    <w:tbl>
      <w:tblPr>
        <w:tblStyle w:val="37"/>
        <w:tblW w:w="928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07"/>
        <w:gridCol w:w="2357"/>
        <w:gridCol w:w="1224"/>
        <w:gridCol w:w="1080"/>
        <w:gridCol w:w="1440"/>
        <w:gridCol w:w="10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330" w:hRule="atLeast"/>
        </w:trPr>
        <w:tc>
          <w:tcPr>
            <w:tcW w:w="2107"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auto"/>
                <w:sz w:val="24"/>
                <w:highlight w:val="none"/>
              </w:rPr>
            </w:pPr>
            <w:r>
              <w:rPr>
                <w:rFonts w:hint="eastAsia" w:ascii="宋体" w:hAnsi="宋体"/>
                <w:color w:val="auto"/>
                <w:sz w:val="24"/>
                <w:highlight w:val="none"/>
              </w:rPr>
              <w:t>采购单位名称</w:t>
            </w:r>
          </w:p>
        </w:tc>
        <w:tc>
          <w:tcPr>
            <w:tcW w:w="2357"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auto"/>
                <w:sz w:val="24"/>
                <w:highlight w:val="none"/>
              </w:rPr>
            </w:pPr>
            <w:r>
              <w:rPr>
                <w:rFonts w:hint="eastAsia" w:ascii="宋体" w:hAnsi="宋体"/>
                <w:color w:val="auto"/>
                <w:sz w:val="24"/>
                <w:highlight w:val="none"/>
              </w:rPr>
              <w:t>设备名称、型号</w:t>
            </w:r>
          </w:p>
        </w:tc>
        <w:tc>
          <w:tcPr>
            <w:tcW w:w="1224"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auto"/>
                <w:sz w:val="24"/>
                <w:highlight w:val="none"/>
              </w:rPr>
            </w:pPr>
            <w:r>
              <w:rPr>
                <w:rFonts w:hint="eastAsia" w:ascii="宋体" w:hAnsi="宋体"/>
                <w:color w:val="auto"/>
                <w:sz w:val="24"/>
                <w:highlight w:val="none"/>
              </w:rPr>
              <w:t>采购</w:t>
            </w:r>
          </w:p>
          <w:p>
            <w:pPr>
              <w:snapToGrid w:val="0"/>
              <w:jc w:val="center"/>
              <w:rPr>
                <w:rFonts w:ascii="宋体" w:hAnsi="宋体"/>
                <w:color w:val="auto"/>
                <w:sz w:val="24"/>
                <w:highlight w:val="none"/>
              </w:rPr>
            </w:pPr>
            <w:r>
              <w:rPr>
                <w:rFonts w:hint="eastAsia" w:ascii="宋体" w:hAnsi="宋体"/>
                <w:color w:val="auto"/>
                <w:sz w:val="24"/>
                <w:highlight w:val="none"/>
              </w:rPr>
              <w:t>数量</w:t>
            </w: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auto"/>
                <w:sz w:val="24"/>
                <w:highlight w:val="none"/>
              </w:rPr>
            </w:pPr>
            <w:r>
              <w:rPr>
                <w:rFonts w:hint="eastAsia" w:ascii="宋体" w:hAnsi="宋体"/>
                <w:color w:val="auto"/>
                <w:sz w:val="24"/>
                <w:highlight w:val="none"/>
              </w:rPr>
              <w:t>单价（元）</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auto"/>
                <w:sz w:val="24"/>
                <w:highlight w:val="none"/>
              </w:rPr>
            </w:pPr>
            <w:r>
              <w:rPr>
                <w:rFonts w:hint="eastAsia" w:ascii="宋体" w:hAnsi="宋体"/>
                <w:color w:val="auto"/>
                <w:sz w:val="24"/>
                <w:highlight w:val="none"/>
              </w:rPr>
              <w:t>合同</w:t>
            </w:r>
          </w:p>
          <w:p>
            <w:pPr>
              <w:snapToGrid w:val="0"/>
              <w:jc w:val="center"/>
              <w:rPr>
                <w:rFonts w:ascii="宋体" w:hAnsi="宋体"/>
                <w:color w:val="auto"/>
                <w:sz w:val="24"/>
                <w:highlight w:val="none"/>
              </w:rPr>
            </w:pPr>
            <w:r>
              <w:rPr>
                <w:rFonts w:hint="eastAsia" w:ascii="宋体" w:hAnsi="宋体"/>
                <w:color w:val="auto"/>
                <w:sz w:val="24"/>
                <w:highlight w:val="none"/>
              </w:rPr>
              <w:t>金额</w:t>
            </w:r>
          </w:p>
          <w:p>
            <w:pPr>
              <w:snapToGrid w:val="0"/>
              <w:jc w:val="center"/>
              <w:rPr>
                <w:rFonts w:ascii="宋体" w:hAnsi="宋体"/>
                <w:color w:val="auto"/>
                <w:sz w:val="24"/>
                <w:highlight w:val="none"/>
              </w:rPr>
            </w:pPr>
            <w:r>
              <w:rPr>
                <w:rFonts w:hint="eastAsia" w:ascii="宋体" w:hAnsi="宋体"/>
                <w:color w:val="auto"/>
                <w:sz w:val="24"/>
                <w:highlight w:val="none"/>
              </w:rPr>
              <w:t>（万元）</w:t>
            </w:r>
          </w:p>
        </w:tc>
        <w:tc>
          <w:tcPr>
            <w:tcW w:w="1080" w:type="dxa"/>
            <w:tcBorders>
              <w:top w:val="single" w:color="auto" w:sz="4" w:space="0"/>
              <w:left w:val="single" w:color="auto" w:sz="4" w:space="0"/>
              <w:right w:val="single" w:color="auto" w:sz="4" w:space="0"/>
            </w:tcBorders>
          </w:tcPr>
          <w:p>
            <w:pPr>
              <w:snapToGrid w:val="0"/>
              <w:jc w:val="center"/>
              <w:rPr>
                <w:rFonts w:ascii="宋体" w:hAnsi="宋体"/>
                <w:color w:val="auto"/>
                <w:sz w:val="24"/>
                <w:highlight w:val="none"/>
              </w:rPr>
            </w:pPr>
          </w:p>
          <w:p>
            <w:pPr>
              <w:snapToGrid w:val="0"/>
              <w:jc w:val="center"/>
              <w:rPr>
                <w:rFonts w:ascii="宋体" w:hAnsi="宋体"/>
                <w:color w:val="auto"/>
                <w:sz w:val="24"/>
                <w:highlight w:val="none"/>
              </w:rPr>
            </w:pPr>
          </w:p>
          <w:p>
            <w:pPr>
              <w:snapToGrid w:val="0"/>
              <w:jc w:val="center"/>
              <w:rPr>
                <w:rFonts w:ascii="宋体" w:hAnsi="宋体"/>
                <w:color w:val="auto"/>
                <w:sz w:val="24"/>
                <w:highlight w:val="none"/>
              </w:rPr>
            </w:pPr>
            <w:r>
              <w:rPr>
                <w:rFonts w:hint="eastAsia" w:ascii="宋体" w:hAnsi="宋体"/>
                <w:color w:val="auto"/>
                <w:sz w:val="24"/>
                <w:highlight w:val="none"/>
              </w:rPr>
              <w:t>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210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235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224"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210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235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224"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210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235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224"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210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235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224"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210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235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224"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210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235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224"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210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235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224"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210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235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224"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210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235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224"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210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2357"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224"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jc w:val="left"/>
              <w:rPr>
                <w:rFonts w:ascii="宋体" w:hAnsi="宋体"/>
                <w:color w:val="auto"/>
                <w:sz w:val="24"/>
                <w:highlight w:val="none"/>
              </w:rPr>
            </w:pPr>
          </w:p>
        </w:tc>
      </w:tr>
    </w:tbl>
    <w:p>
      <w:pPr>
        <w:snapToGrid w:val="0"/>
        <w:rPr>
          <w:rFonts w:ascii="宋体" w:hAnsi="宋体"/>
          <w:color w:val="auto"/>
          <w:sz w:val="24"/>
          <w:highlight w:val="none"/>
        </w:rPr>
      </w:pPr>
      <w:r>
        <w:rPr>
          <w:rFonts w:hint="eastAsia" w:ascii="宋体" w:hAnsi="宋体"/>
          <w:color w:val="auto"/>
          <w:sz w:val="24"/>
          <w:highlight w:val="none"/>
        </w:rPr>
        <w:t>附：销售合同等其他证明复印件</w:t>
      </w:r>
    </w:p>
    <w:p>
      <w:pPr>
        <w:snapToGrid w:val="0"/>
        <w:rPr>
          <w:rFonts w:ascii="宋体" w:hAnsi="宋体"/>
          <w:color w:val="auto"/>
          <w:spacing w:val="20"/>
          <w:sz w:val="24"/>
          <w:highlight w:val="none"/>
        </w:rPr>
      </w:pPr>
    </w:p>
    <w:p>
      <w:pPr>
        <w:snapToGrid w:val="0"/>
        <w:rPr>
          <w:rFonts w:ascii="宋体" w:hAnsi="宋体"/>
          <w:color w:val="auto"/>
          <w:spacing w:val="20"/>
          <w:sz w:val="24"/>
          <w:highlight w:val="none"/>
        </w:rPr>
      </w:pPr>
    </w:p>
    <w:p>
      <w:pPr>
        <w:snapToGrid w:val="0"/>
        <w:rPr>
          <w:rFonts w:ascii="宋体" w:hAnsi="宋体"/>
          <w:color w:val="auto"/>
          <w:spacing w:val="20"/>
          <w:sz w:val="24"/>
          <w:highlight w:val="none"/>
        </w:rPr>
      </w:pPr>
    </w:p>
    <w:p>
      <w:pPr>
        <w:snapToGrid w:val="0"/>
        <w:rPr>
          <w:rFonts w:ascii="宋体" w:hAnsi="宋体"/>
          <w:color w:val="auto"/>
          <w:spacing w:val="20"/>
          <w:sz w:val="24"/>
          <w:highlight w:val="none"/>
        </w:rPr>
      </w:pPr>
    </w:p>
    <w:p>
      <w:pPr>
        <w:snapToGrid w:val="0"/>
        <w:rPr>
          <w:rFonts w:ascii="宋体" w:hAnsi="宋体"/>
          <w:color w:val="auto"/>
          <w:spacing w:val="20"/>
          <w:sz w:val="24"/>
          <w:highlight w:val="none"/>
        </w:rPr>
      </w:pPr>
    </w:p>
    <w:p>
      <w:pPr>
        <w:snapToGrid w:val="0"/>
        <w:rPr>
          <w:rFonts w:ascii="宋体" w:hAnsi="宋体"/>
          <w:color w:val="auto"/>
          <w:spacing w:val="20"/>
          <w:sz w:val="24"/>
          <w:highlight w:val="none"/>
        </w:rPr>
      </w:pPr>
    </w:p>
    <w:p>
      <w:pPr>
        <w:snapToGrid w:val="0"/>
        <w:rPr>
          <w:rFonts w:ascii="宋体" w:hAnsi="宋体"/>
          <w:color w:val="auto"/>
          <w:spacing w:val="20"/>
          <w:sz w:val="24"/>
          <w:highlight w:val="none"/>
        </w:rPr>
      </w:pPr>
    </w:p>
    <w:p>
      <w:pPr>
        <w:snapToGrid w:val="0"/>
        <w:rPr>
          <w:rFonts w:ascii="宋体" w:hAnsi="宋体"/>
          <w:color w:val="auto"/>
          <w:spacing w:val="20"/>
          <w:sz w:val="24"/>
          <w:highlight w:val="none"/>
        </w:rPr>
      </w:pPr>
    </w:p>
    <w:p>
      <w:pPr>
        <w:snapToGrid w:val="0"/>
        <w:rPr>
          <w:rFonts w:ascii="宋体" w:hAnsi="宋体"/>
          <w:color w:val="auto"/>
          <w:spacing w:val="20"/>
          <w:sz w:val="24"/>
          <w:highlight w:val="none"/>
        </w:rPr>
      </w:pPr>
    </w:p>
    <w:p>
      <w:pPr>
        <w:snapToGrid w:val="0"/>
        <w:rPr>
          <w:rFonts w:ascii="宋体" w:hAnsi="宋体"/>
          <w:color w:val="auto"/>
          <w:spacing w:val="20"/>
          <w:sz w:val="24"/>
          <w:highlight w:val="none"/>
        </w:rPr>
      </w:pPr>
    </w:p>
    <w:p>
      <w:pPr>
        <w:widowControl/>
        <w:shd w:val="clear" w:color="auto" w:fill="FFFFFF"/>
        <w:spacing w:line="360" w:lineRule="auto"/>
        <w:ind w:firstLine="480"/>
        <w:jc w:val="left"/>
        <w:rPr>
          <w:rFonts w:ascii="宋体" w:hAnsi="宋体" w:cs="宋体"/>
          <w:color w:val="auto"/>
          <w:kern w:val="0"/>
          <w:sz w:val="24"/>
          <w:highlight w:val="none"/>
        </w:rPr>
      </w:pPr>
    </w:p>
    <w:p>
      <w:pPr>
        <w:snapToGrid w:val="0"/>
        <w:ind w:left="149" w:hanging="148" w:hangingChars="62"/>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投标人（盖单位公章</w:t>
      </w:r>
      <w:r>
        <w:rPr>
          <w:rFonts w:hint="eastAsia" w:asciiTheme="minorEastAsia" w:hAnsiTheme="minorEastAsia" w:eastAsiaTheme="minorEastAsia"/>
          <w:color w:val="auto"/>
          <w:sz w:val="24"/>
          <w:highlight w:val="none"/>
        </w:rPr>
        <w:t>，自然人除外</w:t>
      </w:r>
      <w:r>
        <w:rPr>
          <w:rFonts w:asciiTheme="minorEastAsia" w:hAnsiTheme="minorEastAsia" w:eastAsiaTheme="minorEastAsia"/>
          <w:color w:val="auto"/>
          <w:sz w:val="24"/>
          <w:highlight w:val="none"/>
        </w:rPr>
        <w:t>）：</w:t>
      </w:r>
    </w:p>
    <w:p>
      <w:pPr>
        <w:snapToGrid w:val="0"/>
        <w:ind w:firstLine="1920" w:firstLineChars="800"/>
        <w:rPr>
          <w:rFonts w:asciiTheme="minorEastAsia" w:hAnsiTheme="minorEastAsia" w:eastAsiaTheme="minorEastAsia"/>
          <w:color w:val="auto"/>
          <w:sz w:val="24"/>
          <w:highlight w:val="none"/>
        </w:rPr>
      </w:pPr>
    </w:p>
    <w:p>
      <w:pPr>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法定代表人或其委托代理人（签字或盖章）：</w:t>
      </w:r>
    </w:p>
    <w:p>
      <w:pPr>
        <w:snapToGrid w:val="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（投标人属自然人的应由自然人签字并加盖指印，投标人若为其他组织形式无法定代表人的应由机构负责人</w:t>
      </w:r>
      <w:r>
        <w:rPr>
          <w:rFonts w:asciiTheme="minorEastAsia" w:hAnsiTheme="minorEastAsia" w:eastAsiaTheme="minorEastAsia"/>
          <w:color w:val="auto"/>
          <w:sz w:val="24"/>
          <w:highlight w:val="none"/>
        </w:rPr>
        <w:t>签字或盖章</w:t>
      </w:r>
      <w:r>
        <w:rPr>
          <w:rFonts w:hint="eastAsia" w:asciiTheme="minorEastAsia" w:hAnsiTheme="minorEastAsia" w:eastAsiaTheme="minorEastAsia"/>
          <w:color w:val="auto"/>
          <w:sz w:val="24"/>
          <w:highlight w:val="none"/>
        </w:rPr>
        <w:t>）</w:t>
      </w:r>
    </w:p>
    <w:p>
      <w:pPr>
        <w:snapToGrid w:val="0"/>
        <w:ind w:firstLine="1995" w:firstLineChars="950"/>
        <w:rPr>
          <w:rFonts w:ascii="宋体" w:hAnsi="宋体"/>
          <w:color w:val="auto"/>
          <w:highlight w:val="none"/>
        </w:rPr>
      </w:pPr>
    </w:p>
    <w:p>
      <w:pPr>
        <w:snapToGrid w:val="0"/>
        <w:rPr>
          <w:rFonts w:ascii="宋体" w:hAnsi="宋体"/>
          <w:color w:val="auto"/>
          <w:sz w:val="24"/>
          <w:highlight w:val="none"/>
        </w:rPr>
      </w:pPr>
      <w:r>
        <w:rPr>
          <w:rFonts w:hint="eastAsia" w:ascii="宋体" w:hAnsi="宋体"/>
          <w:color w:val="auto"/>
          <w:sz w:val="24"/>
          <w:highlight w:val="none"/>
        </w:rPr>
        <w:t>日期:_____年_____月_____日</w:t>
      </w:r>
    </w:p>
    <w:p>
      <w:pPr>
        <w:snapToGrid w:val="0"/>
        <w:jc w:val="center"/>
        <w:rPr>
          <w:rFonts w:ascii="宋体" w:hAnsi="宋体"/>
          <w:color w:val="auto"/>
          <w:sz w:val="24"/>
          <w:highlight w:val="none"/>
        </w:rPr>
      </w:pPr>
    </w:p>
    <w:p>
      <w:pPr>
        <w:jc w:val="center"/>
        <w:rPr>
          <w:rFonts w:ascii="宋体" w:hAnsi="宋体"/>
          <w:b/>
          <w:color w:val="auto"/>
          <w:sz w:val="28"/>
          <w:szCs w:val="28"/>
          <w:highlight w:val="none"/>
        </w:rPr>
      </w:pPr>
      <w:r>
        <w:rPr>
          <w:rFonts w:ascii="宋体" w:hAnsi="宋体"/>
          <w:b/>
          <w:color w:val="auto"/>
          <w:sz w:val="24"/>
          <w:highlight w:val="none"/>
        </w:rPr>
        <w:br w:type="page"/>
      </w:r>
      <w:r>
        <w:rPr>
          <w:rFonts w:hint="eastAsia" w:ascii="宋体" w:hAnsi="宋体"/>
          <w:b/>
          <w:color w:val="auto"/>
          <w:sz w:val="28"/>
          <w:szCs w:val="28"/>
          <w:highlight w:val="none"/>
        </w:rPr>
        <w:t>技术资料表</w:t>
      </w:r>
    </w:p>
    <w:p>
      <w:pPr>
        <w:pStyle w:val="22"/>
        <w:spacing w:line="600" w:lineRule="exact"/>
        <w:ind w:firstLine="640" w:firstLineChars="200"/>
        <w:rPr>
          <w:rFonts w:ascii="Times New Roman" w:hAnsi="Times New Roman" w:eastAsia="仿宋_GB2312"/>
          <w:color w:val="auto"/>
          <w:sz w:val="32"/>
          <w:szCs w:val="32"/>
          <w:highlight w:val="none"/>
        </w:rPr>
      </w:pPr>
      <w:r>
        <w:rPr>
          <w:rFonts w:ascii="Times New Roman" w:hAnsi="Times New Roman" w:eastAsia="仿宋_GB2312"/>
          <w:color w:val="auto"/>
          <w:sz w:val="32"/>
          <w:szCs w:val="32"/>
          <w:highlight w:val="none"/>
        </w:rPr>
        <w:t>请根据所投服务的实际技术参数，逐条对应本项目招标文件第二章“服务需求一览表”中的服务内容及要求详细填写相应的具体内容。“偏离说明”一栏应当选择“正偏离”、“负偏离”或“无偏离”进行填写</w:t>
      </w:r>
    </w:p>
    <w:tbl>
      <w:tblPr>
        <w:tblStyle w:val="37"/>
        <w:tblW w:w="101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4"/>
        <w:gridCol w:w="1260"/>
        <w:gridCol w:w="2310"/>
        <w:gridCol w:w="1516"/>
        <w:gridCol w:w="3297"/>
        <w:gridCol w:w="11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jc w:val="center"/>
        </w:trPr>
        <w:tc>
          <w:tcPr>
            <w:tcW w:w="634" w:type="dxa"/>
            <w:vMerge w:val="restart"/>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r>
              <w:rPr>
                <w:rFonts w:eastAsia="仿宋_GB2312"/>
                <w:color w:val="auto"/>
                <w:szCs w:val="21"/>
                <w:highlight w:val="none"/>
              </w:rPr>
              <w:t>项号</w:t>
            </w:r>
          </w:p>
        </w:tc>
        <w:tc>
          <w:tcPr>
            <w:tcW w:w="3570" w:type="dxa"/>
            <w:gridSpan w:val="2"/>
            <w:tcBorders>
              <w:top w:val="single" w:color="auto" w:sz="4" w:space="0"/>
              <w:left w:val="single" w:color="auto" w:sz="4" w:space="0"/>
              <w:bottom w:val="single" w:color="auto" w:sz="4" w:space="0"/>
              <w:right w:val="single" w:color="auto" w:sz="4" w:space="0"/>
            </w:tcBorders>
            <w:vAlign w:val="center"/>
          </w:tcPr>
          <w:p>
            <w:pPr>
              <w:jc w:val="center"/>
              <w:rPr>
                <w:rFonts w:eastAsia="仿宋_GB2312"/>
                <w:color w:val="auto"/>
                <w:szCs w:val="21"/>
                <w:highlight w:val="none"/>
              </w:rPr>
            </w:pPr>
            <w:r>
              <w:rPr>
                <w:rFonts w:eastAsia="仿宋_GB2312"/>
                <w:color w:val="auto"/>
                <w:szCs w:val="21"/>
                <w:highlight w:val="none"/>
              </w:rPr>
              <w:t>招标文件需求</w:t>
            </w:r>
          </w:p>
        </w:tc>
        <w:tc>
          <w:tcPr>
            <w:tcW w:w="4813" w:type="dxa"/>
            <w:gridSpan w:val="2"/>
            <w:tcBorders>
              <w:top w:val="single" w:color="auto" w:sz="4" w:space="0"/>
              <w:left w:val="single" w:color="auto" w:sz="4" w:space="0"/>
              <w:bottom w:val="single" w:color="auto" w:sz="4" w:space="0"/>
              <w:right w:val="single" w:color="auto" w:sz="4" w:space="0"/>
            </w:tcBorders>
            <w:vAlign w:val="center"/>
          </w:tcPr>
          <w:p>
            <w:pPr>
              <w:jc w:val="center"/>
              <w:rPr>
                <w:rFonts w:eastAsia="仿宋_GB2312"/>
                <w:color w:val="auto"/>
                <w:szCs w:val="21"/>
                <w:highlight w:val="none"/>
              </w:rPr>
            </w:pPr>
            <w:r>
              <w:rPr>
                <w:rFonts w:eastAsia="仿宋_GB2312"/>
                <w:color w:val="auto"/>
                <w:szCs w:val="21"/>
                <w:highlight w:val="none"/>
              </w:rPr>
              <w:t>投标文件承诺</w:t>
            </w:r>
          </w:p>
        </w:tc>
        <w:tc>
          <w:tcPr>
            <w:tcW w:w="1168" w:type="dxa"/>
            <w:vMerge w:val="restart"/>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r>
              <w:rPr>
                <w:rFonts w:eastAsia="仿宋_GB2312"/>
                <w:color w:val="auto"/>
                <w:szCs w:val="21"/>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atLeast"/>
          <w:jc w:val="center"/>
        </w:trPr>
        <w:tc>
          <w:tcPr>
            <w:tcW w:w="6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仿宋_GB2312"/>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color w:val="auto"/>
                <w:szCs w:val="21"/>
                <w:highlight w:val="none"/>
              </w:rPr>
            </w:pPr>
            <w:r>
              <w:rPr>
                <w:rFonts w:eastAsia="仿宋_GB2312"/>
                <w:color w:val="auto"/>
                <w:szCs w:val="21"/>
                <w:highlight w:val="none"/>
              </w:rPr>
              <w:t>服务名称</w:t>
            </w:r>
          </w:p>
        </w:tc>
        <w:tc>
          <w:tcPr>
            <w:tcW w:w="2310"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color w:val="auto"/>
                <w:szCs w:val="21"/>
                <w:highlight w:val="none"/>
              </w:rPr>
            </w:pPr>
            <w:r>
              <w:rPr>
                <w:rFonts w:eastAsia="仿宋_GB2312"/>
                <w:color w:val="auto"/>
                <w:szCs w:val="21"/>
                <w:highlight w:val="none"/>
              </w:rPr>
              <w:t>服务内容及要求</w:t>
            </w:r>
          </w:p>
        </w:tc>
        <w:tc>
          <w:tcPr>
            <w:tcW w:w="1516"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color w:val="auto"/>
                <w:szCs w:val="21"/>
                <w:highlight w:val="none"/>
              </w:rPr>
            </w:pPr>
            <w:r>
              <w:rPr>
                <w:rFonts w:eastAsia="仿宋_GB2312"/>
                <w:color w:val="auto"/>
                <w:szCs w:val="21"/>
                <w:highlight w:val="none"/>
              </w:rPr>
              <w:t>服务名称</w:t>
            </w:r>
          </w:p>
        </w:tc>
        <w:tc>
          <w:tcPr>
            <w:tcW w:w="3297"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color w:val="auto"/>
                <w:szCs w:val="21"/>
                <w:highlight w:val="none"/>
              </w:rPr>
            </w:pPr>
            <w:r>
              <w:rPr>
                <w:rFonts w:eastAsia="仿宋_GB2312"/>
                <w:color w:val="auto"/>
                <w:szCs w:val="21"/>
                <w:highlight w:val="none"/>
              </w:rPr>
              <w:t>所提供服务的内容</w:t>
            </w:r>
          </w:p>
        </w:tc>
        <w:tc>
          <w:tcPr>
            <w:tcW w:w="116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仿宋_GB2312"/>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4"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r>
              <w:rPr>
                <w:rFonts w:eastAsia="仿宋_GB2312"/>
                <w:color w:val="auto"/>
                <w:szCs w:val="21"/>
                <w:highlight w:val="none"/>
              </w:rPr>
              <w:t>1</w:t>
            </w: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r>
              <w:rPr>
                <w:rFonts w:eastAsia="仿宋_GB2312"/>
                <w:color w:val="auto"/>
                <w:szCs w:val="21"/>
                <w:highlight w:val="none"/>
              </w:rPr>
              <w:t>……</w:t>
            </w:r>
          </w:p>
        </w:tc>
        <w:tc>
          <w:tcPr>
            <w:tcW w:w="231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r>
              <w:rPr>
                <w:rFonts w:eastAsia="仿宋_GB2312"/>
                <w:color w:val="auto"/>
                <w:szCs w:val="21"/>
                <w:highlight w:val="none"/>
              </w:rPr>
              <w:t>1  ……</w:t>
            </w:r>
          </w:p>
          <w:p>
            <w:pPr>
              <w:rPr>
                <w:rFonts w:eastAsia="仿宋_GB2312"/>
                <w:color w:val="auto"/>
                <w:szCs w:val="21"/>
                <w:highlight w:val="none"/>
              </w:rPr>
            </w:pPr>
            <w:r>
              <w:rPr>
                <w:rFonts w:eastAsia="仿宋_GB2312"/>
                <w:color w:val="auto"/>
                <w:szCs w:val="21"/>
                <w:highlight w:val="none"/>
              </w:rPr>
              <w:t>2  ……</w:t>
            </w:r>
          </w:p>
          <w:p>
            <w:pPr>
              <w:rPr>
                <w:rFonts w:eastAsia="仿宋_GB2312"/>
                <w:color w:val="auto"/>
                <w:szCs w:val="21"/>
                <w:highlight w:val="none"/>
              </w:rPr>
            </w:pPr>
            <w:r>
              <w:rPr>
                <w:rFonts w:eastAsia="仿宋_GB2312"/>
                <w:color w:val="auto"/>
                <w:szCs w:val="21"/>
                <w:highlight w:val="none"/>
              </w:rPr>
              <w:t>3  ……</w:t>
            </w:r>
          </w:p>
          <w:p>
            <w:pPr>
              <w:rPr>
                <w:rFonts w:eastAsia="仿宋_GB2312"/>
                <w:color w:val="auto"/>
                <w:szCs w:val="21"/>
                <w:highlight w:val="none"/>
              </w:rPr>
            </w:pPr>
            <w:r>
              <w:rPr>
                <w:rFonts w:eastAsia="仿宋_GB2312"/>
                <w:color w:val="auto"/>
                <w:szCs w:val="21"/>
                <w:highlight w:val="none"/>
              </w:rPr>
              <w:t>……</w:t>
            </w:r>
          </w:p>
        </w:tc>
        <w:tc>
          <w:tcPr>
            <w:tcW w:w="1516"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r>
              <w:rPr>
                <w:rFonts w:eastAsia="仿宋_GB2312"/>
                <w:color w:val="auto"/>
                <w:szCs w:val="21"/>
                <w:highlight w:val="none"/>
              </w:rPr>
              <w:t>……</w:t>
            </w:r>
          </w:p>
        </w:tc>
        <w:tc>
          <w:tcPr>
            <w:tcW w:w="329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r>
              <w:rPr>
                <w:rFonts w:eastAsia="仿宋_GB2312"/>
                <w:color w:val="auto"/>
                <w:szCs w:val="21"/>
                <w:highlight w:val="none"/>
              </w:rPr>
              <w:t>1  ……</w:t>
            </w:r>
          </w:p>
          <w:p>
            <w:pPr>
              <w:rPr>
                <w:rFonts w:eastAsia="仿宋_GB2312"/>
                <w:color w:val="auto"/>
                <w:szCs w:val="21"/>
                <w:highlight w:val="none"/>
              </w:rPr>
            </w:pPr>
            <w:r>
              <w:rPr>
                <w:rFonts w:eastAsia="仿宋_GB2312"/>
                <w:color w:val="auto"/>
                <w:szCs w:val="21"/>
                <w:highlight w:val="none"/>
              </w:rPr>
              <w:t>2  ……</w:t>
            </w:r>
          </w:p>
          <w:p>
            <w:pPr>
              <w:rPr>
                <w:rFonts w:eastAsia="仿宋_GB2312"/>
                <w:color w:val="auto"/>
                <w:szCs w:val="21"/>
                <w:highlight w:val="none"/>
              </w:rPr>
            </w:pPr>
            <w:r>
              <w:rPr>
                <w:rFonts w:eastAsia="仿宋_GB2312"/>
                <w:color w:val="auto"/>
                <w:szCs w:val="21"/>
                <w:highlight w:val="none"/>
              </w:rPr>
              <w:t>3  ……</w:t>
            </w:r>
          </w:p>
          <w:p>
            <w:pPr>
              <w:rPr>
                <w:rFonts w:eastAsia="仿宋_GB2312"/>
                <w:color w:val="auto"/>
                <w:szCs w:val="21"/>
                <w:highlight w:val="none"/>
              </w:rPr>
            </w:pPr>
            <w:r>
              <w:rPr>
                <w:rFonts w:eastAsia="仿宋_GB2312"/>
                <w:color w:val="auto"/>
                <w:szCs w:val="21"/>
                <w:highlight w:val="none"/>
              </w:rPr>
              <w:t>……</w:t>
            </w:r>
          </w:p>
        </w:tc>
        <w:tc>
          <w:tcPr>
            <w:tcW w:w="1168"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r>
              <w:rPr>
                <w:rFonts w:eastAsia="仿宋_GB2312"/>
                <w:color w:val="auto"/>
                <w:szCs w:val="21"/>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4"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r>
              <w:rPr>
                <w:rFonts w:eastAsia="仿宋_GB2312"/>
                <w:color w:val="auto"/>
                <w:szCs w:val="21"/>
                <w:highlight w:val="none"/>
              </w:rPr>
              <w:t>2</w:t>
            </w: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r>
              <w:rPr>
                <w:rFonts w:eastAsia="仿宋_GB2312"/>
                <w:color w:val="auto"/>
                <w:szCs w:val="21"/>
                <w:highlight w:val="none"/>
              </w:rPr>
              <w:t>……</w:t>
            </w:r>
          </w:p>
        </w:tc>
        <w:tc>
          <w:tcPr>
            <w:tcW w:w="231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r>
              <w:rPr>
                <w:rFonts w:eastAsia="仿宋_GB2312"/>
                <w:color w:val="auto"/>
                <w:szCs w:val="21"/>
                <w:highlight w:val="none"/>
              </w:rPr>
              <w:t>1  ……</w:t>
            </w:r>
          </w:p>
          <w:p>
            <w:pPr>
              <w:rPr>
                <w:rFonts w:eastAsia="仿宋_GB2312"/>
                <w:color w:val="auto"/>
                <w:szCs w:val="21"/>
                <w:highlight w:val="none"/>
              </w:rPr>
            </w:pPr>
            <w:r>
              <w:rPr>
                <w:rFonts w:eastAsia="仿宋_GB2312"/>
                <w:color w:val="auto"/>
                <w:szCs w:val="21"/>
                <w:highlight w:val="none"/>
              </w:rPr>
              <w:t>2  ……</w:t>
            </w:r>
          </w:p>
          <w:p>
            <w:pPr>
              <w:rPr>
                <w:rFonts w:eastAsia="仿宋_GB2312"/>
                <w:color w:val="auto"/>
                <w:szCs w:val="21"/>
                <w:highlight w:val="none"/>
              </w:rPr>
            </w:pPr>
            <w:r>
              <w:rPr>
                <w:rFonts w:eastAsia="仿宋_GB2312"/>
                <w:color w:val="auto"/>
                <w:szCs w:val="21"/>
                <w:highlight w:val="none"/>
              </w:rPr>
              <w:t>3  ……</w:t>
            </w:r>
          </w:p>
          <w:p>
            <w:pPr>
              <w:rPr>
                <w:rFonts w:eastAsia="仿宋_GB2312"/>
                <w:color w:val="auto"/>
                <w:szCs w:val="21"/>
                <w:highlight w:val="none"/>
              </w:rPr>
            </w:pPr>
            <w:r>
              <w:rPr>
                <w:rFonts w:eastAsia="仿宋_GB2312"/>
                <w:color w:val="auto"/>
                <w:szCs w:val="21"/>
                <w:highlight w:val="none"/>
              </w:rPr>
              <w:t>……</w:t>
            </w:r>
          </w:p>
        </w:tc>
        <w:tc>
          <w:tcPr>
            <w:tcW w:w="1516"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r>
              <w:rPr>
                <w:rFonts w:eastAsia="仿宋_GB2312"/>
                <w:color w:val="auto"/>
                <w:szCs w:val="21"/>
                <w:highlight w:val="none"/>
              </w:rPr>
              <w:t>……</w:t>
            </w:r>
          </w:p>
        </w:tc>
        <w:tc>
          <w:tcPr>
            <w:tcW w:w="329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r>
              <w:rPr>
                <w:rFonts w:eastAsia="仿宋_GB2312"/>
                <w:color w:val="auto"/>
                <w:szCs w:val="21"/>
                <w:highlight w:val="none"/>
              </w:rPr>
              <w:t>1  ……</w:t>
            </w:r>
          </w:p>
          <w:p>
            <w:pPr>
              <w:rPr>
                <w:rFonts w:eastAsia="仿宋_GB2312"/>
                <w:color w:val="auto"/>
                <w:szCs w:val="21"/>
                <w:highlight w:val="none"/>
              </w:rPr>
            </w:pPr>
            <w:r>
              <w:rPr>
                <w:rFonts w:eastAsia="仿宋_GB2312"/>
                <w:color w:val="auto"/>
                <w:szCs w:val="21"/>
                <w:highlight w:val="none"/>
              </w:rPr>
              <w:t>2  ……</w:t>
            </w:r>
          </w:p>
          <w:p>
            <w:pPr>
              <w:rPr>
                <w:rFonts w:eastAsia="仿宋_GB2312"/>
                <w:color w:val="auto"/>
                <w:szCs w:val="21"/>
                <w:highlight w:val="none"/>
              </w:rPr>
            </w:pPr>
            <w:r>
              <w:rPr>
                <w:rFonts w:eastAsia="仿宋_GB2312"/>
                <w:color w:val="auto"/>
                <w:szCs w:val="21"/>
                <w:highlight w:val="none"/>
              </w:rPr>
              <w:t>3  ……</w:t>
            </w:r>
          </w:p>
          <w:p>
            <w:pPr>
              <w:rPr>
                <w:rFonts w:eastAsia="仿宋_GB2312"/>
                <w:color w:val="auto"/>
                <w:szCs w:val="21"/>
                <w:highlight w:val="none"/>
              </w:rPr>
            </w:pPr>
            <w:r>
              <w:rPr>
                <w:rFonts w:eastAsia="仿宋_GB2312"/>
                <w:color w:val="auto"/>
                <w:szCs w:val="21"/>
                <w:highlight w:val="none"/>
              </w:rPr>
              <w:t>……</w:t>
            </w:r>
          </w:p>
        </w:tc>
        <w:tc>
          <w:tcPr>
            <w:tcW w:w="1168"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r>
              <w:rPr>
                <w:rFonts w:eastAsia="仿宋_GB2312"/>
                <w:color w:val="auto"/>
                <w:szCs w:val="21"/>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4"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r>
              <w:rPr>
                <w:rFonts w:eastAsia="仿宋_GB2312"/>
                <w:color w:val="auto"/>
                <w:szCs w:val="21"/>
                <w:highlight w:val="none"/>
              </w:rPr>
              <w:t>...</w:t>
            </w:r>
          </w:p>
        </w:tc>
        <w:tc>
          <w:tcPr>
            <w:tcW w:w="126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p>
        </w:tc>
        <w:tc>
          <w:tcPr>
            <w:tcW w:w="2310"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p>
        </w:tc>
        <w:tc>
          <w:tcPr>
            <w:tcW w:w="1516"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p>
        </w:tc>
        <w:tc>
          <w:tcPr>
            <w:tcW w:w="3297"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p>
        </w:tc>
        <w:tc>
          <w:tcPr>
            <w:tcW w:w="1168" w:type="dxa"/>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10185" w:type="dxa"/>
            <w:gridSpan w:val="6"/>
            <w:tcBorders>
              <w:top w:val="single" w:color="auto" w:sz="4" w:space="0"/>
              <w:left w:val="single" w:color="auto" w:sz="4" w:space="0"/>
              <w:bottom w:val="single" w:color="auto" w:sz="4" w:space="0"/>
              <w:right w:val="single" w:color="auto" w:sz="4" w:space="0"/>
            </w:tcBorders>
            <w:vAlign w:val="center"/>
          </w:tcPr>
          <w:p>
            <w:pPr>
              <w:rPr>
                <w:rFonts w:eastAsia="仿宋_GB2312"/>
                <w:color w:val="auto"/>
                <w:szCs w:val="21"/>
                <w:highlight w:val="none"/>
              </w:rPr>
            </w:pPr>
            <w:r>
              <w:rPr>
                <w:rFonts w:eastAsia="仿宋_GB2312"/>
                <w:color w:val="auto"/>
                <w:szCs w:val="21"/>
                <w:highlight w:val="none"/>
                <w:u w:val="single"/>
              </w:rPr>
              <w:t>　　</w:t>
            </w:r>
            <w:r>
              <w:rPr>
                <w:rFonts w:eastAsia="仿宋_GB2312"/>
                <w:color w:val="auto"/>
                <w:szCs w:val="21"/>
                <w:highlight w:val="none"/>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10185" w:type="dxa"/>
            <w:gridSpan w:val="6"/>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投标人（盖单位公章</w:t>
            </w:r>
            <w:r>
              <w:rPr>
                <w:rFonts w:hint="eastAsia" w:eastAsia="仿宋_GB2312"/>
                <w:color w:val="auto"/>
                <w:highlight w:val="none"/>
              </w:rPr>
              <w:t>，自然人除外</w:t>
            </w:r>
            <w:r>
              <w:rPr>
                <w:rFonts w:eastAsia="仿宋_GB2312"/>
                <w:color w:val="auto"/>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10185" w:type="dxa"/>
            <w:gridSpan w:val="6"/>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eastAsia="仿宋_GB2312"/>
                <w:color w:val="auto"/>
                <w:highlight w:val="none"/>
              </w:rPr>
              <w:t>法定代表人或其委托代理人（签字或盖章）：</w:t>
            </w:r>
          </w:p>
          <w:p>
            <w:pPr>
              <w:rPr>
                <w:rFonts w:eastAsia="仿宋_GB2312"/>
                <w:color w:val="auto"/>
                <w:highlight w:val="none"/>
              </w:rPr>
            </w:pPr>
            <w:r>
              <w:rPr>
                <w:rFonts w:hint="eastAsia" w:ascii="宋体" w:hAnsi="宋体"/>
                <w:color w:val="auto"/>
                <w:szCs w:val="21"/>
                <w:highlight w:val="none"/>
              </w:rPr>
              <w:t>（</w:t>
            </w:r>
            <w:r>
              <w:rPr>
                <w:rFonts w:hint="eastAsia" w:eastAsia="仿宋_GB2312"/>
                <w:color w:val="auto"/>
                <w:highlight w:val="none"/>
              </w:rPr>
              <w:t>投标人属自然人的应由自然人签字并加盖指印，投标人若为其他组织形式无法定代表人的应由机构负责人</w:t>
            </w:r>
            <w:r>
              <w:rPr>
                <w:rFonts w:eastAsia="仿宋_GB2312"/>
                <w:color w:val="auto"/>
                <w:highlight w:val="none"/>
              </w:rPr>
              <w:t>签字或盖章</w:t>
            </w:r>
            <w:r>
              <w:rPr>
                <w:rFonts w:hint="eastAsia" w:ascii="宋体" w:hAnsi="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10185" w:type="dxa"/>
            <w:gridSpan w:val="6"/>
            <w:tcBorders>
              <w:top w:val="single" w:color="auto" w:sz="4" w:space="0"/>
              <w:left w:val="single" w:color="auto" w:sz="4" w:space="0"/>
              <w:bottom w:val="single" w:color="auto" w:sz="4" w:space="0"/>
              <w:right w:val="single" w:color="auto" w:sz="4" w:space="0"/>
            </w:tcBorders>
            <w:vAlign w:val="center"/>
          </w:tcPr>
          <w:p>
            <w:pPr>
              <w:rPr>
                <w:rFonts w:eastAsia="仿宋_GB2312"/>
                <w:color w:val="auto"/>
                <w:highlight w:val="none"/>
              </w:rPr>
            </w:pPr>
            <w:r>
              <w:rPr>
                <w:rFonts w:hint="eastAsia" w:eastAsia="仿宋_GB2312"/>
                <w:color w:val="auto"/>
                <w:highlight w:val="none"/>
              </w:rPr>
              <w:t>日期：   年   月   日</w:t>
            </w:r>
          </w:p>
        </w:tc>
      </w:tr>
    </w:tbl>
    <w:p>
      <w:pPr>
        <w:pStyle w:val="22"/>
        <w:spacing w:line="400" w:lineRule="exact"/>
        <w:rPr>
          <w:rFonts w:ascii="Times New Roman" w:hAnsi="Times New Roman" w:eastAsia="仿宋_GB2312"/>
          <w:color w:val="auto"/>
          <w:sz w:val="24"/>
          <w:szCs w:val="24"/>
          <w:highlight w:val="none"/>
        </w:rPr>
      </w:pPr>
      <w:r>
        <w:rPr>
          <w:rFonts w:ascii="Times New Roman" w:hAnsi="Times New Roman" w:eastAsia="仿宋_GB2312"/>
          <w:color w:val="auto"/>
          <w:sz w:val="24"/>
          <w:szCs w:val="24"/>
          <w:highlight w:val="none"/>
        </w:rPr>
        <w:t>注：⑴表格内容均需按要求填写并盖章，不得留空，</w:t>
      </w:r>
      <w:r>
        <w:rPr>
          <w:rFonts w:ascii="Times New Roman" w:hAnsi="Times New Roman" w:eastAsia="仿宋_GB2312"/>
          <w:bCs/>
          <w:color w:val="auto"/>
          <w:sz w:val="24"/>
          <w:szCs w:val="24"/>
          <w:highlight w:val="none"/>
        </w:rPr>
        <w:t>否则按投标无效处理</w:t>
      </w:r>
      <w:r>
        <w:rPr>
          <w:rFonts w:ascii="Times New Roman" w:hAnsi="Times New Roman" w:eastAsia="仿宋_GB2312"/>
          <w:color w:val="auto"/>
          <w:sz w:val="24"/>
          <w:szCs w:val="24"/>
          <w:highlight w:val="none"/>
        </w:rPr>
        <w:t>。</w:t>
      </w:r>
    </w:p>
    <w:p>
      <w:pPr>
        <w:pStyle w:val="22"/>
        <w:spacing w:line="400" w:lineRule="exact"/>
        <w:ind w:left="719" w:leftChars="228" w:hanging="240" w:hangingChars="100"/>
        <w:rPr>
          <w:rFonts w:ascii="Times New Roman" w:hAnsi="Times New Roman" w:eastAsia="仿宋_GB2312"/>
          <w:bCs/>
          <w:color w:val="auto"/>
          <w:sz w:val="24"/>
          <w:szCs w:val="24"/>
          <w:highlight w:val="none"/>
        </w:rPr>
      </w:pPr>
      <w:r>
        <w:rPr>
          <w:rFonts w:ascii="Times New Roman" w:hAnsi="Times New Roman" w:eastAsia="楷体_GB2312"/>
          <w:bCs/>
          <w:color w:val="auto"/>
          <w:sz w:val="24"/>
          <w:szCs w:val="24"/>
          <w:highlight w:val="none"/>
        </w:rPr>
        <w:t>⑵</w:t>
      </w:r>
      <w:r>
        <w:rPr>
          <w:rFonts w:ascii="Times New Roman" w:hAnsi="Times New Roman" w:eastAsia="仿宋_GB2312"/>
          <w:bCs/>
          <w:color w:val="auto"/>
          <w:sz w:val="24"/>
          <w:szCs w:val="24"/>
          <w:highlight w:val="none"/>
        </w:rPr>
        <w:t>当投标文件的服务内容低于招标文件要求时，投标人应当如实写明“负偏离”，否则视为虚假应标。</w:t>
      </w:r>
    </w:p>
    <w:p>
      <w:pPr>
        <w:pStyle w:val="22"/>
        <w:spacing w:line="600" w:lineRule="exact"/>
        <w:ind w:left="719" w:leftChars="228" w:hanging="240" w:hangingChars="100"/>
        <w:rPr>
          <w:rFonts w:ascii="Times New Roman" w:hAnsi="Times New Roman" w:eastAsia="仿宋_GB2312"/>
          <w:bCs/>
          <w:color w:val="auto"/>
          <w:sz w:val="24"/>
          <w:szCs w:val="24"/>
          <w:highlight w:val="none"/>
        </w:rPr>
      </w:pPr>
    </w:p>
    <w:p>
      <w:pPr>
        <w:snapToGrid w:val="0"/>
        <w:jc w:val="center"/>
        <w:rPr>
          <w:rFonts w:ascii="宋体" w:hAnsi="宋体"/>
          <w:color w:val="auto"/>
          <w:sz w:val="24"/>
          <w:highlight w:val="none"/>
        </w:rPr>
      </w:pPr>
    </w:p>
    <w:p>
      <w:pPr>
        <w:widowControl/>
        <w:shd w:val="clear" w:color="auto" w:fill="FFFFFF"/>
        <w:spacing w:after="240" w:line="360" w:lineRule="atLeast"/>
        <w:ind w:firstLine="480"/>
        <w:jc w:val="center"/>
        <w:rPr>
          <w:rFonts w:ascii="宋体" w:hAnsi="宋体" w:cs="宋体"/>
          <w:b/>
          <w:color w:val="auto"/>
          <w:kern w:val="0"/>
          <w:sz w:val="28"/>
          <w:szCs w:val="28"/>
          <w:highlight w:val="none"/>
        </w:rPr>
      </w:pPr>
      <w:r>
        <w:rPr>
          <w:rFonts w:ascii="宋体" w:hAnsi="宋体"/>
          <w:color w:val="auto"/>
          <w:highlight w:val="none"/>
        </w:rPr>
        <w:br w:type="page"/>
      </w:r>
      <w:r>
        <w:rPr>
          <w:rFonts w:hint="eastAsia" w:ascii="宋体" w:hAnsi="宋体" w:cs="宋体"/>
          <w:b/>
          <w:color w:val="auto"/>
          <w:kern w:val="0"/>
          <w:sz w:val="28"/>
          <w:szCs w:val="28"/>
          <w:highlight w:val="none"/>
        </w:rPr>
        <w:t>中小企业声明函</w:t>
      </w:r>
    </w:p>
    <w:p>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 本公司郑重声明，根据《政府采购促进中小企业发展暂行办法》（财库[2011]181号）的规定，本公司为______（请填写：中型、小型、微型）企业。即，本公司同时满足以下条件：</w:t>
      </w:r>
    </w:p>
    <w:p>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1.根据《工业和信息化部、国家统计局、国家发展和改革委员会、财政部关于印发中小企业划型标准规定的通知》（工信部联企业[2011]300号）规定的划分标准，本公司为______（请填写：中型、小型、微型）企业。</w:t>
      </w:r>
    </w:p>
    <w:p>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本公司对上述声明的真实性负责。如有虚假，将依法承担相应责任。</w:t>
      </w:r>
    </w:p>
    <w:p>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 </w:t>
      </w:r>
    </w:p>
    <w:p>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　　　　　　　　　　　　　　　　　　　　企业名称（盖章）：</w:t>
      </w:r>
    </w:p>
    <w:p>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 </w:t>
      </w:r>
    </w:p>
    <w:p>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　　　　　　　　　　　　　　　　　　　　日期：  年 月  日</w:t>
      </w: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588" w:lineRule="exact"/>
        <w:jc w:val="center"/>
        <w:rPr>
          <w:rFonts w:ascii="宋体" w:hAnsi="宋体"/>
          <w:b/>
          <w:color w:val="auto"/>
          <w:spacing w:val="6"/>
          <w:sz w:val="24"/>
          <w:highlight w:val="none"/>
        </w:rPr>
      </w:pPr>
      <w:bookmarkStart w:id="105" w:name="OLE_LINK13"/>
      <w:bookmarkStart w:id="106" w:name="OLE_LINK14"/>
      <w:r>
        <w:rPr>
          <w:rFonts w:hint="eastAsia" w:ascii="宋体" w:hAnsi="宋体"/>
          <w:b/>
          <w:color w:val="auto"/>
          <w:spacing w:val="6"/>
          <w:sz w:val="24"/>
          <w:highlight w:val="none"/>
        </w:rPr>
        <w:t>残疾人福利性单位声明函</w:t>
      </w:r>
    </w:p>
    <w:bookmarkEnd w:id="105"/>
    <w:bookmarkEnd w:id="106"/>
    <w:p>
      <w:pPr>
        <w:spacing w:line="588" w:lineRule="exact"/>
        <w:rPr>
          <w:rFonts w:ascii="宋体" w:hAnsi="宋体"/>
          <w:b/>
          <w:color w:val="auto"/>
          <w:spacing w:val="6"/>
          <w:sz w:val="24"/>
          <w:highlight w:val="none"/>
        </w:rPr>
      </w:pPr>
    </w:p>
    <w:p>
      <w:pPr>
        <w:spacing w:line="588" w:lineRule="exact"/>
        <w:ind w:firstLine="504" w:firstLineChars="200"/>
        <w:rPr>
          <w:rFonts w:ascii="宋体" w:hAnsi="宋体"/>
          <w:color w:val="auto"/>
          <w:spacing w:val="6"/>
          <w:sz w:val="24"/>
          <w:highlight w:val="none"/>
        </w:rPr>
      </w:pPr>
      <w:r>
        <w:rPr>
          <w:rFonts w:hint="eastAsia" w:ascii="宋体" w:hAnsi="宋体"/>
          <w:color w:val="auto"/>
          <w:spacing w:val="6"/>
          <w:sz w:val="24"/>
          <w:highlight w:val="none"/>
        </w:rPr>
        <w:t>本单位郑重声明，根据《财政部 民政部 中国残疾人联合会关于促进残疾人就业政府采购政策的通知》（财库</w:t>
      </w:r>
      <w:r>
        <w:rPr>
          <w:rFonts w:hint="eastAsia" w:ascii="宋体" w:hAnsi="宋体"/>
          <w:color w:val="auto"/>
          <w:sz w:val="24"/>
          <w:highlight w:val="none"/>
        </w:rPr>
        <w:t>〔2017〕 141</w:t>
      </w:r>
      <w:r>
        <w:rPr>
          <w:rFonts w:hint="eastAsia" w:ascii="宋体" w:hAnsi="宋体"/>
          <w:color w:val="auto"/>
          <w:spacing w:val="6"/>
          <w:sz w:val="24"/>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504" w:firstLineChars="200"/>
        <w:rPr>
          <w:rFonts w:ascii="宋体" w:hAnsi="宋体"/>
          <w:color w:val="auto"/>
          <w:spacing w:val="6"/>
          <w:sz w:val="24"/>
          <w:highlight w:val="none"/>
        </w:rPr>
      </w:pPr>
      <w:r>
        <w:rPr>
          <w:rFonts w:hint="eastAsia" w:ascii="宋体" w:hAnsi="宋体"/>
          <w:color w:val="auto"/>
          <w:spacing w:val="6"/>
          <w:sz w:val="24"/>
          <w:highlight w:val="none"/>
        </w:rPr>
        <w:t>本单位对上述声明的真实性负责。如有虚假，将依法承担相应责任。</w:t>
      </w:r>
    </w:p>
    <w:p>
      <w:pPr>
        <w:spacing w:line="588" w:lineRule="exact"/>
        <w:ind w:firstLine="504" w:firstLineChars="200"/>
        <w:rPr>
          <w:rFonts w:ascii="宋体" w:hAnsi="宋体"/>
          <w:color w:val="auto"/>
          <w:spacing w:val="6"/>
          <w:sz w:val="24"/>
          <w:highlight w:val="none"/>
        </w:rPr>
      </w:pPr>
    </w:p>
    <w:p>
      <w:pPr>
        <w:spacing w:line="588" w:lineRule="exact"/>
        <w:ind w:firstLine="504" w:firstLineChars="200"/>
        <w:rPr>
          <w:rFonts w:ascii="宋体" w:hAnsi="宋体"/>
          <w:color w:val="auto"/>
          <w:spacing w:val="6"/>
          <w:sz w:val="24"/>
          <w:highlight w:val="none"/>
        </w:rPr>
      </w:pPr>
    </w:p>
    <w:p>
      <w:pPr>
        <w:tabs>
          <w:tab w:val="left" w:pos="4860"/>
        </w:tabs>
        <w:spacing w:line="588" w:lineRule="exact"/>
        <w:ind w:right="1560" w:firstLine="504" w:firstLineChars="200"/>
        <w:jc w:val="center"/>
        <w:rPr>
          <w:rFonts w:ascii="宋体" w:hAnsi="宋体"/>
          <w:color w:val="auto"/>
          <w:spacing w:val="6"/>
          <w:sz w:val="24"/>
          <w:highlight w:val="none"/>
        </w:rPr>
      </w:pPr>
      <w:r>
        <w:rPr>
          <w:rFonts w:hint="eastAsia" w:ascii="宋体" w:hAnsi="宋体"/>
          <w:color w:val="auto"/>
          <w:spacing w:val="6"/>
          <w:sz w:val="24"/>
          <w:highlight w:val="none"/>
        </w:rPr>
        <w:t xml:space="preserve">               单位名称（盖章）：</w:t>
      </w:r>
    </w:p>
    <w:p>
      <w:pPr>
        <w:tabs>
          <w:tab w:val="left" w:pos="4860"/>
        </w:tabs>
        <w:spacing w:line="588" w:lineRule="exact"/>
        <w:ind w:right="1560" w:firstLine="504" w:firstLineChars="200"/>
        <w:jc w:val="center"/>
        <w:rPr>
          <w:rFonts w:ascii="宋体" w:hAnsi="宋体"/>
          <w:color w:val="auto"/>
          <w:spacing w:val="6"/>
          <w:sz w:val="24"/>
          <w:highlight w:val="none"/>
        </w:rPr>
      </w:pPr>
      <w:r>
        <w:rPr>
          <w:rFonts w:hint="eastAsia" w:ascii="宋体" w:hAnsi="宋体"/>
          <w:color w:val="auto"/>
          <w:spacing w:val="6"/>
          <w:sz w:val="24"/>
          <w:highlight w:val="none"/>
        </w:rPr>
        <w:t xml:space="preserve">                 日  期：</w:t>
      </w:r>
      <w:r>
        <w:rPr>
          <w:rFonts w:hint="eastAsia" w:ascii="宋体" w:hAnsi="宋体" w:cs="宋体"/>
          <w:color w:val="auto"/>
          <w:kern w:val="0"/>
          <w:sz w:val="24"/>
          <w:highlight w:val="none"/>
        </w:rPr>
        <w:t xml:space="preserve">  年 月  日</w:t>
      </w: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widowControl/>
        <w:shd w:val="clear" w:color="auto" w:fill="FFFFFF"/>
        <w:spacing w:line="360" w:lineRule="auto"/>
        <w:ind w:firstLine="480"/>
        <w:jc w:val="center"/>
        <w:outlineLvl w:val="0"/>
        <w:rPr>
          <w:rFonts w:ascii="宋体" w:hAnsi="宋体" w:cs="宋体"/>
          <w:b/>
          <w:color w:val="auto"/>
          <w:kern w:val="0"/>
          <w:sz w:val="36"/>
          <w:szCs w:val="36"/>
          <w:highlight w:val="none"/>
        </w:rPr>
      </w:pPr>
      <w:bookmarkStart w:id="107" w:name="_Toc25446"/>
      <w:r>
        <w:rPr>
          <w:rFonts w:hint="eastAsia" w:ascii="宋体" w:hAnsi="宋体" w:cs="宋体"/>
          <w:b/>
          <w:color w:val="auto"/>
          <w:kern w:val="0"/>
          <w:sz w:val="36"/>
          <w:szCs w:val="36"/>
          <w:highlight w:val="none"/>
        </w:rPr>
        <w:t>第七章  质疑函及投诉书格式</w:t>
      </w:r>
      <w:bookmarkEnd w:id="107"/>
    </w:p>
    <w:p>
      <w:pPr>
        <w:spacing w:line="360" w:lineRule="exact"/>
        <w:jc w:val="center"/>
        <w:rPr>
          <w:rFonts w:cs="仿宋" w:asciiTheme="majorEastAsia" w:hAnsiTheme="majorEastAsia" w:eastAsiaTheme="majorEastAsia"/>
          <w:b/>
          <w:bCs/>
          <w:color w:val="auto"/>
          <w:sz w:val="28"/>
          <w:szCs w:val="28"/>
          <w:highlight w:val="none"/>
        </w:rPr>
      </w:pPr>
      <w:r>
        <w:rPr>
          <w:rFonts w:hint="eastAsia"/>
          <w:color w:val="auto"/>
          <w:highlight w:val="none"/>
        </w:rPr>
        <w:t xml:space="preserve">  </w:t>
      </w:r>
      <w:r>
        <w:rPr>
          <w:rFonts w:hint="eastAsia" w:cs="仿宋" w:asciiTheme="majorEastAsia" w:hAnsiTheme="majorEastAsia" w:eastAsiaTheme="majorEastAsia"/>
          <w:b/>
          <w:bCs/>
          <w:color w:val="auto"/>
          <w:sz w:val="28"/>
          <w:szCs w:val="28"/>
          <w:highlight w:val="none"/>
        </w:rPr>
        <w:t>质疑函</w:t>
      </w:r>
    </w:p>
    <w:p>
      <w:pPr>
        <w:tabs>
          <w:tab w:val="left" w:pos="606"/>
        </w:tabs>
        <w:rPr>
          <w:rFonts w:cs="仿宋" w:asciiTheme="majorEastAsia" w:hAnsiTheme="majorEastAsia" w:eastAsiaTheme="majorEastAsia"/>
          <w:bCs/>
          <w:color w:val="auto"/>
          <w:sz w:val="24"/>
          <w:highlight w:val="none"/>
        </w:rPr>
      </w:pPr>
      <w:r>
        <w:rPr>
          <w:rFonts w:hint="eastAsia" w:cs="仿宋" w:asciiTheme="majorEastAsia" w:hAnsiTheme="majorEastAsia" w:eastAsiaTheme="majorEastAsia"/>
          <w:bCs/>
          <w:color w:val="auto"/>
          <w:sz w:val="24"/>
          <w:highlight w:val="none"/>
        </w:rPr>
        <w:t>一、质疑供应商基本信息</w:t>
      </w:r>
    </w:p>
    <w:p>
      <w:pPr>
        <w:adjustRightInd w:val="0"/>
        <w:snapToGrid w:val="0"/>
        <w:spacing w:line="360" w:lineRule="exact"/>
        <w:rPr>
          <w:rFonts w:cs="仿宋" w:asciiTheme="majorEastAsia" w:hAnsiTheme="majorEastAsia" w:eastAsiaTheme="majorEastAsia"/>
          <w:color w:val="auto"/>
          <w:sz w:val="24"/>
          <w:highlight w:val="none"/>
          <w:u w:val="dotted"/>
        </w:rPr>
      </w:pPr>
      <w:r>
        <w:rPr>
          <w:rFonts w:hint="eastAsia" w:cs="仿宋" w:asciiTheme="majorEastAsia" w:hAnsiTheme="majorEastAsia" w:eastAsiaTheme="majorEastAsia"/>
          <w:color w:val="auto"/>
          <w:sz w:val="24"/>
          <w:highlight w:val="none"/>
        </w:rPr>
        <w:t>质疑供应商：</w:t>
      </w:r>
      <w:r>
        <w:rPr>
          <w:rFonts w:hint="eastAsia" w:cs="仿宋" w:asciiTheme="majorEastAsia" w:hAnsiTheme="majorEastAsia" w:eastAsiaTheme="majorEastAsia"/>
          <w:color w:val="auto"/>
          <w:sz w:val="24"/>
          <w:highlight w:val="none"/>
          <w:u w:val="dotted"/>
        </w:rPr>
        <w:t xml:space="preserve">                                        </w:t>
      </w:r>
    </w:p>
    <w:p>
      <w:pPr>
        <w:adjustRightInd w:val="0"/>
        <w:snapToGrid w:val="0"/>
        <w:spacing w:line="360" w:lineRule="exac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地址：</w:t>
      </w:r>
      <w:r>
        <w:rPr>
          <w:rFonts w:hint="eastAsia" w:cs="仿宋" w:asciiTheme="majorEastAsia" w:hAnsiTheme="majorEastAsia" w:eastAsiaTheme="majorEastAsia"/>
          <w:color w:val="auto"/>
          <w:sz w:val="24"/>
          <w:highlight w:val="none"/>
          <w:u w:val="dotted"/>
        </w:rPr>
        <w:t xml:space="preserve">                          </w:t>
      </w:r>
      <w:r>
        <w:rPr>
          <w:rFonts w:hint="eastAsia" w:cs="仿宋" w:asciiTheme="majorEastAsia" w:hAnsiTheme="majorEastAsia" w:eastAsiaTheme="majorEastAsia"/>
          <w:color w:val="auto"/>
          <w:sz w:val="24"/>
          <w:highlight w:val="none"/>
        </w:rPr>
        <w:t>邮编：</w:t>
      </w:r>
      <w:r>
        <w:rPr>
          <w:rFonts w:hint="eastAsia" w:cs="仿宋" w:asciiTheme="majorEastAsia" w:hAnsiTheme="majorEastAsia" w:eastAsiaTheme="majorEastAsia"/>
          <w:color w:val="auto"/>
          <w:sz w:val="24"/>
          <w:highlight w:val="none"/>
          <w:u w:val="dotted"/>
        </w:rPr>
        <w:t xml:space="preserve">                                                   </w:t>
      </w:r>
    </w:p>
    <w:p>
      <w:pPr>
        <w:adjustRightInd w:val="0"/>
        <w:snapToGrid w:val="0"/>
        <w:spacing w:line="360" w:lineRule="exac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联系人：</w:t>
      </w:r>
      <w:r>
        <w:rPr>
          <w:rFonts w:hint="eastAsia" w:cs="仿宋" w:asciiTheme="majorEastAsia" w:hAnsiTheme="majorEastAsia" w:eastAsiaTheme="majorEastAsia"/>
          <w:color w:val="auto"/>
          <w:sz w:val="24"/>
          <w:highlight w:val="none"/>
          <w:u w:val="dotted"/>
        </w:rPr>
        <w:t xml:space="preserve">                      </w:t>
      </w:r>
      <w:r>
        <w:rPr>
          <w:rFonts w:hint="eastAsia" w:cs="仿宋" w:asciiTheme="majorEastAsia" w:hAnsiTheme="majorEastAsia" w:eastAsiaTheme="majorEastAsia"/>
          <w:color w:val="auto"/>
          <w:sz w:val="24"/>
          <w:highlight w:val="none"/>
        </w:rPr>
        <w:t>联系电话：</w:t>
      </w:r>
      <w:r>
        <w:rPr>
          <w:rFonts w:hint="eastAsia" w:cs="仿宋" w:asciiTheme="majorEastAsia" w:hAnsiTheme="majorEastAsia" w:eastAsiaTheme="majorEastAsia"/>
          <w:color w:val="auto"/>
          <w:sz w:val="24"/>
          <w:highlight w:val="none"/>
          <w:u w:val="dotted"/>
        </w:rPr>
        <w:t xml:space="preserve">                              </w:t>
      </w:r>
    </w:p>
    <w:p>
      <w:pPr>
        <w:adjustRightInd w:val="0"/>
        <w:snapToGrid w:val="0"/>
        <w:spacing w:line="360" w:lineRule="exact"/>
        <w:rPr>
          <w:rFonts w:cs="仿宋" w:asciiTheme="majorEastAsia" w:hAnsiTheme="majorEastAsia" w:eastAsiaTheme="majorEastAsia"/>
          <w:color w:val="auto"/>
          <w:sz w:val="24"/>
          <w:highlight w:val="none"/>
          <w:u w:val="dotted"/>
        </w:rPr>
      </w:pPr>
      <w:r>
        <w:rPr>
          <w:rFonts w:hint="eastAsia" w:cs="仿宋" w:asciiTheme="majorEastAsia" w:hAnsiTheme="majorEastAsia" w:eastAsiaTheme="majorEastAsia"/>
          <w:color w:val="auto"/>
          <w:sz w:val="24"/>
          <w:highlight w:val="none"/>
        </w:rPr>
        <w:t>授权代表：</w:t>
      </w:r>
      <w:r>
        <w:rPr>
          <w:rFonts w:hint="eastAsia" w:cs="仿宋" w:asciiTheme="majorEastAsia" w:hAnsiTheme="majorEastAsia" w:eastAsiaTheme="majorEastAsia"/>
          <w:color w:val="auto"/>
          <w:sz w:val="24"/>
          <w:highlight w:val="none"/>
          <w:u w:val="dotted"/>
        </w:rPr>
        <w:t xml:space="preserve">                                          </w:t>
      </w:r>
    </w:p>
    <w:p>
      <w:pPr>
        <w:adjustRightInd w:val="0"/>
        <w:snapToGrid w:val="0"/>
        <w:spacing w:line="360" w:lineRule="exac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联系电话：</w:t>
      </w:r>
      <w:r>
        <w:rPr>
          <w:rFonts w:hint="eastAsia" w:cs="仿宋" w:asciiTheme="majorEastAsia" w:hAnsiTheme="majorEastAsia" w:eastAsiaTheme="majorEastAsia"/>
          <w:color w:val="auto"/>
          <w:sz w:val="24"/>
          <w:highlight w:val="none"/>
          <w:u w:val="dotted"/>
        </w:rPr>
        <w:t xml:space="preserve">                                           </w:t>
      </w:r>
      <w:r>
        <w:rPr>
          <w:rFonts w:cs="仿宋" w:asciiTheme="majorEastAsia" w:hAnsiTheme="majorEastAsia" w:eastAsiaTheme="majorEastAsia"/>
          <w:color w:val="auto"/>
          <w:sz w:val="24"/>
          <w:highlight w:val="none"/>
        </w:rPr>
        <w:t xml:space="preserve"> </w:t>
      </w:r>
    </w:p>
    <w:p>
      <w:pPr>
        <w:adjustRightInd w:val="0"/>
        <w:snapToGrid w:val="0"/>
        <w:spacing w:line="360" w:lineRule="exac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地址：</w:t>
      </w:r>
      <w:r>
        <w:rPr>
          <w:rFonts w:cs="仿宋" w:asciiTheme="majorEastAsia" w:hAnsiTheme="majorEastAsia" w:eastAsiaTheme="majorEastAsia"/>
          <w:color w:val="auto"/>
          <w:sz w:val="24"/>
          <w:highlight w:val="none"/>
        </w:rPr>
        <w:t xml:space="preserve"> </w:t>
      </w:r>
      <w:r>
        <w:rPr>
          <w:rFonts w:hint="eastAsia" w:cs="仿宋" w:asciiTheme="majorEastAsia" w:hAnsiTheme="majorEastAsia" w:eastAsiaTheme="majorEastAsia"/>
          <w:color w:val="auto"/>
          <w:sz w:val="24"/>
          <w:highlight w:val="none"/>
          <w:u w:val="dotted"/>
        </w:rPr>
        <w:t xml:space="preserve">                        </w:t>
      </w:r>
      <w:r>
        <w:rPr>
          <w:rFonts w:hint="eastAsia" w:cs="仿宋" w:asciiTheme="majorEastAsia" w:hAnsiTheme="majorEastAsia" w:eastAsiaTheme="majorEastAsia"/>
          <w:color w:val="auto"/>
          <w:sz w:val="24"/>
          <w:highlight w:val="none"/>
        </w:rPr>
        <w:t>邮编：</w:t>
      </w:r>
      <w:r>
        <w:rPr>
          <w:rFonts w:hint="eastAsia" w:cs="仿宋" w:asciiTheme="majorEastAsia" w:hAnsiTheme="majorEastAsia" w:eastAsiaTheme="majorEastAsia"/>
          <w:color w:val="auto"/>
          <w:sz w:val="24"/>
          <w:highlight w:val="none"/>
          <w:u w:val="dotted"/>
        </w:rPr>
        <w:t xml:space="preserve">                                                </w:t>
      </w:r>
    </w:p>
    <w:p>
      <w:pPr>
        <w:adjustRightInd w:val="0"/>
        <w:snapToGrid w:val="0"/>
        <w:spacing w:line="360" w:lineRule="exact"/>
        <w:rPr>
          <w:rFonts w:cs="仿宋" w:asciiTheme="majorEastAsia" w:hAnsiTheme="majorEastAsia" w:eastAsiaTheme="majorEastAsia"/>
          <w:bCs/>
          <w:color w:val="auto"/>
          <w:sz w:val="24"/>
          <w:highlight w:val="none"/>
        </w:rPr>
      </w:pPr>
      <w:r>
        <w:rPr>
          <w:rFonts w:hint="eastAsia" w:cs="仿宋" w:asciiTheme="majorEastAsia" w:hAnsiTheme="majorEastAsia" w:eastAsiaTheme="majorEastAsia"/>
          <w:bCs/>
          <w:color w:val="auto"/>
          <w:sz w:val="24"/>
          <w:highlight w:val="none"/>
        </w:rPr>
        <w:t>二、质疑项目基本情况</w:t>
      </w:r>
    </w:p>
    <w:p>
      <w:pPr>
        <w:adjustRightInd w:val="0"/>
        <w:snapToGrid w:val="0"/>
        <w:spacing w:line="360" w:lineRule="exac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质疑项目的名称：</w:t>
      </w:r>
      <w:r>
        <w:rPr>
          <w:rFonts w:hint="eastAsia" w:cs="仿宋" w:asciiTheme="majorEastAsia" w:hAnsiTheme="majorEastAsia" w:eastAsiaTheme="majorEastAsia"/>
          <w:color w:val="auto"/>
          <w:sz w:val="24"/>
          <w:highlight w:val="none"/>
          <w:u w:val="dotted"/>
        </w:rPr>
        <w:t xml:space="preserve">                                      </w:t>
      </w:r>
    </w:p>
    <w:p>
      <w:pPr>
        <w:adjustRightInd w:val="0"/>
        <w:snapToGrid w:val="0"/>
        <w:spacing w:line="360" w:lineRule="exac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质疑项目的编号：</w:t>
      </w:r>
      <w:r>
        <w:rPr>
          <w:rFonts w:hint="eastAsia" w:cs="仿宋" w:asciiTheme="majorEastAsia" w:hAnsiTheme="majorEastAsia" w:eastAsiaTheme="majorEastAsia"/>
          <w:color w:val="auto"/>
          <w:sz w:val="24"/>
          <w:highlight w:val="none"/>
          <w:u w:val="dotted"/>
        </w:rPr>
        <w:t xml:space="preserve">               </w:t>
      </w:r>
      <w:r>
        <w:rPr>
          <w:rFonts w:hint="eastAsia" w:cs="仿宋" w:asciiTheme="majorEastAsia" w:hAnsiTheme="majorEastAsia" w:eastAsiaTheme="majorEastAsia"/>
          <w:color w:val="auto"/>
          <w:sz w:val="24"/>
          <w:highlight w:val="none"/>
        </w:rPr>
        <w:t>包号：</w:t>
      </w:r>
      <w:r>
        <w:rPr>
          <w:rFonts w:hint="eastAsia" w:cs="仿宋" w:asciiTheme="majorEastAsia" w:hAnsiTheme="majorEastAsia" w:eastAsiaTheme="majorEastAsia"/>
          <w:color w:val="auto"/>
          <w:sz w:val="24"/>
          <w:highlight w:val="none"/>
          <w:u w:val="dotted"/>
        </w:rPr>
        <w:t xml:space="preserve">                 </w:t>
      </w:r>
    </w:p>
    <w:p>
      <w:pPr>
        <w:adjustRightInd w:val="0"/>
        <w:snapToGrid w:val="0"/>
        <w:spacing w:line="360" w:lineRule="exact"/>
        <w:rPr>
          <w:rFonts w:cs="仿宋" w:asciiTheme="majorEastAsia" w:hAnsiTheme="majorEastAsia" w:eastAsiaTheme="majorEastAsia"/>
          <w:color w:val="auto"/>
          <w:sz w:val="24"/>
          <w:highlight w:val="none"/>
          <w:u w:val="dotted"/>
        </w:rPr>
      </w:pPr>
      <w:r>
        <w:rPr>
          <w:rFonts w:hint="eastAsia" w:cs="仿宋" w:asciiTheme="majorEastAsia" w:hAnsiTheme="majorEastAsia" w:eastAsiaTheme="majorEastAsia"/>
          <w:color w:val="auto"/>
          <w:sz w:val="24"/>
          <w:highlight w:val="none"/>
        </w:rPr>
        <w:t>采购人名称：</w:t>
      </w:r>
      <w:r>
        <w:rPr>
          <w:rFonts w:hint="eastAsia" w:cs="仿宋" w:asciiTheme="majorEastAsia" w:hAnsiTheme="majorEastAsia" w:eastAsiaTheme="majorEastAsia"/>
          <w:color w:val="auto"/>
          <w:sz w:val="24"/>
          <w:highlight w:val="none"/>
          <w:u w:val="dotted"/>
        </w:rPr>
        <w:t xml:space="preserve">                                         </w:t>
      </w:r>
    </w:p>
    <w:p>
      <w:pPr>
        <w:adjustRightInd w:val="0"/>
        <w:snapToGrid w:val="0"/>
        <w:spacing w:line="360" w:lineRule="exac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采购文件获取日期：</w:t>
      </w:r>
      <w:r>
        <w:rPr>
          <w:rFonts w:hint="eastAsia" w:cs="仿宋" w:asciiTheme="majorEastAsia" w:hAnsiTheme="majorEastAsia" w:eastAsiaTheme="majorEastAsia"/>
          <w:color w:val="auto"/>
          <w:sz w:val="24"/>
          <w:highlight w:val="none"/>
          <w:u w:val="dotted"/>
        </w:rPr>
        <w:t xml:space="preserve">                                           </w:t>
      </w:r>
    </w:p>
    <w:p>
      <w:pPr>
        <w:adjustRightInd w:val="0"/>
        <w:snapToGrid w:val="0"/>
        <w:spacing w:line="360" w:lineRule="exact"/>
        <w:rPr>
          <w:rFonts w:cs="仿宋" w:asciiTheme="majorEastAsia" w:hAnsiTheme="majorEastAsia" w:eastAsiaTheme="majorEastAsia"/>
          <w:bCs/>
          <w:color w:val="auto"/>
          <w:sz w:val="24"/>
          <w:highlight w:val="none"/>
        </w:rPr>
      </w:pPr>
      <w:r>
        <w:rPr>
          <w:rFonts w:hint="eastAsia" w:cs="仿宋" w:asciiTheme="majorEastAsia" w:hAnsiTheme="majorEastAsia" w:eastAsiaTheme="majorEastAsia"/>
          <w:bCs/>
          <w:color w:val="auto"/>
          <w:sz w:val="24"/>
          <w:highlight w:val="none"/>
        </w:rPr>
        <w:t>三、质疑事项具体内容</w:t>
      </w:r>
    </w:p>
    <w:p>
      <w:pPr>
        <w:adjustRightInd w:val="0"/>
        <w:snapToGrid w:val="0"/>
        <w:spacing w:line="360" w:lineRule="exact"/>
        <w:rPr>
          <w:rFonts w:cs="仿宋" w:asciiTheme="majorEastAsia" w:hAnsiTheme="majorEastAsia" w:eastAsiaTheme="majorEastAsia"/>
          <w:color w:val="auto"/>
          <w:sz w:val="24"/>
          <w:highlight w:val="none"/>
          <w:u w:val="dotted"/>
        </w:rPr>
      </w:pPr>
      <w:r>
        <w:rPr>
          <w:rFonts w:hint="eastAsia" w:cs="仿宋" w:asciiTheme="majorEastAsia" w:hAnsiTheme="majorEastAsia" w:eastAsiaTheme="majorEastAsia"/>
          <w:color w:val="auto"/>
          <w:sz w:val="24"/>
          <w:highlight w:val="none"/>
        </w:rPr>
        <w:t>质疑事项1：</w:t>
      </w:r>
      <w:r>
        <w:rPr>
          <w:rFonts w:hint="eastAsia" w:cs="仿宋" w:asciiTheme="majorEastAsia" w:hAnsiTheme="majorEastAsia" w:eastAsiaTheme="majorEastAsia"/>
          <w:color w:val="auto"/>
          <w:sz w:val="24"/>
          <w:highlight w:val="none"/>
          <w:u w:val="dotted"/>
        </w:rPr>
        <w:t xml:space="preserve">                                         </w:t>
      </w:r>
    </w:p>
    <w:p>
      <w:pPr>
        <w:adjustRightInd w:val="0"/>
        <w:snapToGrid w:val="0"/>
        <w:spacing w:line="360" w:lineRule="exact"/>
        <w:rPr>
          <w:rFonts w:cs="仿宋" w:asciiTheme="majorEastAsia" w:hAnsiTheme="majorEastAsia" w:eastAsiaTheme="majorEastAsia"/>
          <w:color w:val="auto"/>
          <w:sz w:val="24"/>
          <w:highlight w:val="none"/>
          <w:u w:val="dotted"/>
        </w:rPr>
      </w:pPr>
      <w:r>
        <w:rPr>
          <w:rFonts w:hint="eastAsia" w:cs="仿宋" w:asciiTheme="majorEastAsia" w:hAnsiTheme="majorEastAsia" w:eastAsiaTheme="majorEastAsia"/>
          <w:color w:val="auto"/>
          <w:sz w:val="24"/>
          <w:highlight w:val="none"/>
        </w:rPr>
        <w:t>事实依据：</w:t>
      </w:r>
      <w:r>
        <w:rPr>
          <w:rFonts w:hint="eastAsia" w:cs="仿宋" w:asciiTheme="majorEastAsia" w:hAnsiTheme="majorEastAsia" w:eastAsiaTheme="majorEastAsia"/>
          <w:color w:val="auto"/>
          <w:sz w:val="24"/>
          <w:highlight w:val="none"/>
          <w:u w:val="dotted"/>
        </w:rPr>
        <w:t xml:space="preserve">                                          </w:t>
      </w:r>
    </w:p>
    <w:p>
      <w:pPr>
        <w:adjustRightInd w:val="0"/>
        <w:snapToGrid w:val="0"/>
        <w:spacing w:line="360" w:lineRule="exac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u w:val="dotted"/>
        </w:rPr>
        <w:t xml:space="preserve">                                                       </w:t>
      </w:r>
    </w:p>
    <w:p>
      <w:pPr>
        <w:adjustRightInd w:val="0"/>
        <w:snapToGrid w:val="0"/>
        <w:spacing w:line="360" w:lineRule="exact"/>
        <w:rPr>
          <w:rFonts w:cs="仿宋" w:asciiTheme="majorEastAsia" w:hAnsiTheme="majorEastAsia" w:eastAsiaTheme="majorEastAsia"/>
          <w:color w:val="auto"/>
          <w:sz w:val="24"/>
          <w:highlight w:val="none"/>
          <w:u w:val="dotted"/>
        </w:rPr>
      </w:pPr>
      <w:r>
        <w:rPr>
          <w:rFonts w:hint="eastAsia" w:cs="仿宋" w:asciiTheme="majorEastAsia" w:hAnsiTheme="majorEastAsia" w:eastAsiaTheme="majorEastAsia"/>
          <w:color w:val="auto"/>
          <w:sz w:val="24"/>
          <w:highlight w:val="none"/>
        </w:rPr>
        <w:t>法律依据：</w:t>
      </w:r>
      <w:r>
        <w:rPr>
          <w:rFonts w:hint="eastAsia" w:cs="仿宋" w:asciiTheme="majorEastAsia" w:hAnsiTheme="majorEastAsia" w:eastAsiaTheme="majorEastAsia"/>
          <w:color w:val="auto"/>
          <w:sz w:val="24"/>
          <w:highlight w:val="none"/>
          <w:u w:val="dotted"/>
        </w:rPr>
        <w:t xml:space="preserve">                                          </w:t>
      </w:r>
    </w:p>
    <w:p>
      <w:pPr>
        <w:adjustRightInd w:val="0"/>
        <w:snapToGrid w:val="0"/>
        <w:spacing w:line="360" w:lineRule="exact"/>
        <w:rPr>
          <w:rFonts w:cs="仿宋" w:asciiTheme="majorEastAsia" w:hAnsiTheme="majorEastAsia" w:eastAsiaTheme="majorEastAsia"/>
          <w:color w:val="auto"/>
          <w:sz w:val="24"/>
          <w:highlight w:val="none"/>
          <w:u w:val="dotted"/>
        </w:rPr>
      </w:pPr>
      <w:r>
        <w:rPr>
          <w:rFonts w:hint="eastAsia" w:cs="仿宋" w:asciiTheme="majorEastAsia" w:hAnsiTheme="majorEastAsia" w:eastAsiaTheme="majorEastAsia"/>
          <w:color w:val="auto"/>
          <w:sz w:val="24"/>
          <w:highlight w:val="none"/>
          <w:u w:val="dotted"/>
        </w:rPr>
        <w:t xml:space="preserve">                                                     </w:t>
      </w:r>
    </w:p>
    <w:p>
      <w:pPr>
        <w:adjustRightInd w:val="0"/>
        <w:snapToGrid w:val="0"/>
        <w:spacing w:line="360" w:lineRule="exact"/>
        <w:rPr>
          <w:rFonts w:cs="仿宋" w:asciiTheme="majorEastAsia" w:hAnsiTheme="majorEastAsia" w:eastAsiaTheme="majorEastAsia"/>
          <w:color w:val="auto"/>
          <w:sz w:val="24"/>
          <w:highlight w:val="none"/>
          <w:u w:val="dotted"/>
        </w:rPr>
      </w:pPr>
      <w:r>
        <w:rPr>
          <w:rFonts w:hint="eastAsia" w:cs="仿宋" w:asciiTheme="majorEastAsia" w:hAnsiTheme="majorEastAsia" w:eastAsiaTheme="majorEastAsia"/>
          <w:color w:val="auto"/>
          <w:sz w:val="24"/>
          <w:highlight w:val="none"/>
        </w:rPr>
        <w:t>质疑事项2</w:t>
      </w:r>
    </w:p>
    <w:p>
      <w:pPr>
        <w:adjustRightInd w:val="0"/>
        <w:snapToGrid w:val="0"/>
        <w:spacing w:line="360" w:lineRule="exac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w:t>
      </w:r>
    </w:p>
    <w:p>
      <w:pPr>
        <w:adjustRightInd w:val="0"/>
        <w:snapToGrid w:val="0"/>
        <w:spacing w:line="360" w:lineRule="exact"/>
        <w:rPr>
          <w:rFonts w:cs="仿宋" w:asciiTheme="majorEastAsia" w:hAnsiTheme="majorEastAsia" w:eastAsiaTheme="majorEastAsia"/>
          <w:bCs/>
          <w:color w:val="auto"/>
          <w:sz w:val="24"/>
          <w:highlight w:val="none"/>
        </w:rPr>
      </w:pPr>
      <w:r>
        <w:rPr>
          <w:rFonts w:hint="eastAsia" w:cs="仿宋" w:asciiTheme="majorEastAsia" w:hAnsiTheme="majorEastAsia" w:eastAsiaTheme="majorEastAsia"/>
          <w:bCs/>
          <w:color w:val="auto"/>
          <w:sz w:val="24"/>
          <w:highlight w:val="none"/>
        </w:rPr>
        <w:t>四、与质疑事项相关的质疑请求</w:t>
      </w:r>
    </w:p>
    <w:p>
      <w:pPr>
        <w:adjustRightInd w:val="0"/>
        <w:snapToGrid w:val="0"/>
        <w:spacing w:line="360" w:lineRule="exact"/>
        <w:rPr>
          <w:rFonts w:cs="仿宋" w:asciiTheme="majorEastAsia" w:hAnsiTheme="majorEastAsia" w:eastAsiaTheme="majorEastAsia"/>
          <w:color w:val="auto"/>
          <w:sz w:val="24"/>
          <w:highlight w:val="none"/>
          <w:u w:val="dotted"/>
        </w:rPr>
      </w:pPr>
      <w:r>
        <w:rPr>
          <w:rFonts w:hint="eastAsia" w:cs="仿宋" w:asciiTheme="majorEastAsia" w:hAnsiTheme="majorEastAsia" w:eastAsiaTheme="majorEastAsia"/>
          <w:color w:val="auto"/>
          <w:sz w:val="24"/>
          <w:highlight w:val="none"/>
        </w:rPr>
        <w:t>请求：</w:t>
      </w:r>
      <w:r>
        <w:rPr>
          <w:rFonts w:hint="eastAsia" w:cs="仿宋" w:asciiTheme="majorEastAsia" w:hAnsiTheme="majorEastAsia" w:eastAsiaTheme="majorEastAsia"/>
          <w:color w:val="auto"/>
          <w:sz w:val="24"/>
          <w:highlight w:val="none"/>
          <w:u w:val="dotted"/>
        </w:rPr>
        <w:t xml:space="preserve">                                               </w:t>
      </w:r>
    </w:p>
    <w:p>
      <w:pPr>
        <w:spacing w:line="36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xml:space="preserve">签字(签章)：                   公章：                      </w:t>
      </w:r>
    </w:p>
    <w:p>
      <w:pPr>
        <w:spacing w:line="36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xml:space="preserve">日期：    </w:t>
      </w:r>
    </w:p>
    <w:p>
      <w:pPr>
        <w:adjustRightInd w:val="0"/>
        <w:snapToGrid w:val="0"/>
        <w:spacing w:line="360" w:lineRule="exact"/>
        <w:rPr>
          <w:rFonts w:cs="仿宋" w:asciiTheme="majorEastAsia" w:hAnsiTheme="majorEastAsia" w:eastAsiaTheme="majorEastAsia"/>
          <w:color w:val="auto"/>
          <w:sz w:val="24"/>
          <w:highlight w:val="none"/>
        </w:rPr>
      </w:pPr>
    </w:p>
    <w:p>
      <w:pPr>
        <w:spacing w:line="360" w:lineRule="exact"/>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质疑函制作说明：</w:t>
      </w:r>
    </w:p>
    <w:p>
      <w:pPr>
        <w:widowControl/>
        <w:spacing w:line="360" w:lineRule="exact"/>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1.供应商提出质疑时，应提交质疑函和必要的证明材料。</w:t>
      </w:r>
    </w:p>
    <w:p>
      <w:pPr>
        <w:widowControl/>
        <w:spacing w:line="360" w:lineRule="exact"/>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2.质疑供应商若委托代理人进行质疑的，质疑函应按要求列明“授权代表”的有关内容，并在附件中提交由质疑</w:t>
      </w:r>
      <w:r>
        <w:rPr>
          <w:rFonts w:hint="eastAsia" w:cs="宋体" w:asciiTheme="majorEastAsia" w:hAnsiTheme="majorEastAsia" w:eastAsiaTheme="majorEastAsia"/>
          <w:color w:val="auto"/>
          <w:kern w:val="0"/>
          <w:sz w:val="24"/>
          <w:highlight w:val="none"/>
        </w:rPr>
        <w:t>供应商签署的授权委托书。授权委托书应载明代理人的姓名或者名称、代理事项、具体权限、期限和相关事项。</w:t>
      </w:r>
    </w:p>
    <w:p>
      <w:pPr>
        <w:widowControl/>
        <w:spacing w:line="360" w:lineRule="exact"/>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3.质疑供应商若对项目的某一分包进行质疑，质疑函中应列明具体分包号。</w:t>
      </w:r>
    </w:p>
    <w:p>
      <w:pPr>
        <w:widowControl/>
        <w:spacing w:line="360" w:lineRule="exact"/>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4.质疑函的质疑事项应具体、明确，并有必要的事实依据和法律依据。</w:t>
      </w:r>
    </w:p>
    <w:p>
      <w:pPr>
        <w:widowControl/>
        <w:spacing w:line="360" w:lineRule="exact"/>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5.质疑函的质疑请求应与质疑事项相关。</w:t>
      </w:r>
    </w:p>
    <w:p>
      <w:pPr>
        <w:spacing w:line="36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6.质疑供应商为自然人的，质疑函应由本人签字；质疑供应商为法人或者其他组织的，质疑函应由法定代表人、主要负责人，或者其授权代表签字或者盖章，并加盖公章。</w:t>
      </w:r>
    </w:p>
    <w:p>
      <w:pPr>
        <w:spacing w:line="360" w:lineRule="exact"/>
        <w:rPr>
          <w:rFonts w:asciiTheme="majorEastAsia" w:hAnsiTheme="majorEastAsia" w:eastAsiaTheme="majorEastAsia"/>
          <w:color w:val="auto"/>
          <w:sz w:val="28"/>
          <w:szCs w:val="28"/>
          <w:highlight w:val="none"/>
        </w:rPr>
      </w:pPr>
    </w:p>
    <w:p>
      <w:pPr>
        <w:widowControl/>
        <w:jc w:val="left"/>
        <w:rPr>
          <w:rFonts w:ascii="仿宋_GB2312" w:eastAsia="仿宋_GB2312"/>
          <w:color w:val="auto"/>
          <w:kern w:val="0"/>
          <w:sz w:val="24"/>
          <w:highlight w:val="none"/>
        </w:rPr>
      </w:pPr>
    </w:p>
    <w:p>
      <w:pPr>
        <w:pStyle w:val="111"/>
        <w:widowControl w:val="0"/>
        <w:pBdr>
          <w:left w:val="none" w:color="auto" w:sz="0" w:space="0"/>
          <w:bottom w:val="none" w:color="auto" w:sz="0" w:space="0"/>
          <w:right w:val="none" w:color="auto" w:sz="0" w:space="0"/>
        </w:pBdr>
        <w:spacing w:before="0" w:beforeAutospacing="0" w:after="0" w:afterAutospacing="0" w:line="440" w:lineRule="exact"/>
        <w:textAlignment w:val="auto"/>
        <w:rPr>
          <w:rFonts w:ascii="仿宋_GB2312" w:eastAsia="仿宋_GB2312"/>
          <w:color w:val="auto"/>
          <w:sz w:val="24"/>
          <w:szCs w:val="24"/>
          <w:highlight w:val="none"/>
        </w:rPr>
      </w:pPr>
    </w:p>
    <w:p>
      <w:pPr>
        <w:spacing w:line="360" w:lineRule="exact"/>
        <w:jc w:val="center"/>
        <w:rPr>
          <w:rFonts w:asciiTheme="majorEastAsia" w:hAnsiTheme="majorEastAsia" w:eastAsiaTheme="majorEastAsia"/>
          <w:b/>
          <w:color w:val="auto"/>
          <w:sz w:val="28"/>
          <w:szCs w:val="28"/>
          <w:highlight w:val="none"/>
        </w:rPr>
      </w:pPr>
      <w:bookmarkStart w:id="108" w:name="page2"/>
      <w:bookmarkEnd w:id="108"/>
      <w:r>
        <w:rPr>
          <w:rFonts w:hint="eastAsia" w:asciiTheme="majorEastAsia" w:hAnsiTheme="majorEastAsia" w:eastAsiaTheme="majorEastAsia"/>
          <w:b/>
          <w:color w:val="auto"/>
          <w:sz w:val="28"/>
          <w:szCs w:val="28"/>
          <w:highlight w:val="none"/>
        </w:rPr>
        <w:t>投诉书</w:t>
      </w:r>
    </w:p>
    <w:p>
      <w:pPr>
        <w:spacing w:line="36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一、投诉相关主体基本情况</w:t>
      </w:r>
    </w:p>
    <w:p>
      <w:pPr>
        <w:spacing w:line="360" w:lineRule="exact"/>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投诉人：</w:t>
      </w:r>
      <w:r>
        <w:rPr>
          <w:rFonts w:hint="eastAsia" w:asciiTheme="majorEastAsia" w:hAnsiTheme="majorEastAsia" w:eastAsiaTheme="majorEastAsia"/>
          <w:color w:val="auto"/>
          <w:sz w:val="24"/>
          <w:highlight w:val="none"/>
          <w:u w:val="dotted"/>
        </w:rPr>
        <w:t xml:space="preserve">                                               </w:t>
      </w:r>
    </w:p>
    <w:p>
      <w:pPr>
        <w:spacing w:line="360" w:lineRule="exact"/>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地     址：</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邮编：</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u w:val="single"/>
        </w:rPr>
        <w:t xml:space="preserve">   </w:t>
      </w:r>
    </w:p>
    <w:p>
      <w:pPr>
        <w:tabs>
          <w:tab w:val="left" w:pos="6510"/>
        </w:tabs>
        <w:spacing w:line="360" w:lineRule="exact"/>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法定代表人/主要负责人：</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 xml:space="preserve">  </w:t>
      </w:r>
    </w:p>
    <w:p>
      <w:pPr>
        <w:tabs>
          <w:tab w:val="left" w:pos="6510"/>
        </w:tabs>
        <w:spacing w:line="360" w:lineRule="exact"/>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联系电话：</w:t>
      </w:r>
      <w:r>
        <w:rPr>
          <w:rFonts w:hint="eastAsia" w:asciiTheme="majorEastAsia" w:hAnsiTheme="majorEastAsia" w:eastAsiaTheme="majorEastAsia"/>
          <w:color w:val="auto"/>
          <w:sz w:val="24"/>
          <w:highlight w:val="none"/>
          <w:u w:val="dotted"/>
        </w:rPr>
        <w:t xml:space="preserve">                                             </w:t>
      </w:r>
    </w:p>
    <w:p>
      <w:pPr>
        <w:spacing w:line="360" w:lineRule="exact"/>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授权代表：</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联系电话</w:t>
      </w:r>
      <w:r>
        <w:rPr>
          <w:rFonts w:hint="eastAsia" w:asciiTheme="majorEastAsia" w:hAnsiTheme="majorEastAsia" w:eastAsiaTheme="majorEastAsia"/>
          <w:color w:val="auto"/>
          <w:sz w:val="24"/>
          <w:highlight w:val="none"/>
          <w:u w:val="dotted"/>
        </w:rPr>
        <w:t xml:space="preserve">：                  </w:t>
      </w:r>
    </w:p>
    <w:p>
      <w:pPr>
        <w:spacing w:line="360" w:lineRule="exact"/>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地     址：</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邮编：</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sz w:val="24"/>
          <w:highlight w:val="none"/>
          <w:u w:val="dotted"/>
        </w:rPr>
        <w:t xml:space="preserve">                   </w:t>
      </w:r>
    </w:p>
    <w:p>
      <w:pPr>
        <w:spacing w:line="360" w:lineRule="exact"/>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被投诉人1：</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u w:val="single"/>
        </w:rPr>
        <w:t xml:space="preserve">  </w:t>
      </w:r>
    </w:p>
    <w:p>
      <w:pPr>
        <w:spacing w:line="360" w:lineRule="exact"/>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地     址：</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邮编：</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u w:val="single"/>
        </w:rPr>
        <w:t xml:space="preserve"> </w:t>
      </w:r>
    </w:p>
    <w:p>
      <w:pPr>
        <w:spacing w:line="360" w:lineRule="exact"/>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联系人：</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联系电话：</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u w:val="single"/>
        </w:rPr>
        <w:t xml:space="preserve"> </w:t>
      </w:r>
    </w:p>
    <w:p>
      <w:pPr>
        <w:spacing w:line="36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被投诉人2</w:t>
      </w:r>
    </w:p>
    <w:p>
      <w:pPr>
        <w:spacing w:line="360" w:lineRule="exact"/>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w:t>
      </w:r>
    </w:p>
    <w:p>
      <w:pPr>
        <w:spacing w:line="360" w:lineRule="exact"/>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相关供应商：</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u w:val="single"/>
        </w:rPr>
        <w:t xml:space="preserve">    </w:t>
      </w:r>
    </w:p>
    <w:p>
      <w:pPr>
        <w:spacing w:line="360" w:lineRule="exact"/>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地     址：</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邮编：</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u w:val="single"/>
        </w:rPr>
        <w:t xml:space="preserve"> </w:t>
      </w:r>
    </w:p>
    <w:p>
      <w:pPr>
        <w:spacing w:line="360" w:lineRule="exact"/>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联系人：</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联系电话：</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u w:val="single"/>
        </w:rPr>
        <w:t xml:space="preserve">      </w:t>
      </w:r>
    </w:p>
    <w:p>
      <w:pPr>
        <w:spacing w:line="36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二、投诉项目基本情况</w:t>
      </w:r>
    </w:p>
    <w:p>
      <w:pPr>
        <w:spacing w:line="360" w:lineRule="exact"/>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采购项目名称：</w:t>
      </w:r>
      <w:r>
        <w:rPr>
          <w:rFonts w:hint="eastAsia" w:asciiTheme="majorEastAsia" w:hAnsiTheme="majorEastAsia" w:eastAsiaTheme="majorEastAsia"/>
          <w:color w:val="auto"/>
          <w:sz w:val="24"/>
          <w:highlight w:val="none"/>
          <w:u w:val="dotted"/>
        </w:rPr>
        <w:t xml:space="preserve">                                        </w:t>
      </w:r>
    </w:p>
    <w:p>
      <w:pPr>
        <w:spacing w:line="360" w:lineRule="exact"/>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采购项目编号：</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包号：</w:t>
      </w:r>
      <w:r>
        <w:rPr>
          <w:rFonts w:hint="eastAsia" w:asciiTheme="majorEastAsia" w:hAnsiTheme="majorEastAsia" w:eastAsiaTheme="majorEastAsia"/>
          <w:color w:val="auto"/>
          <w:sz w:val="24"/>
          <w:highlight w:val="none"/>
          <w:u w:val="dotted"/>
        </w:rPr>
        <w:t xml:space="preserve">              </w:t>
      </w:r>
    </w:p>
    <w:p>
      <w:pPr>
        <w:spacing w:line="36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采购人名称：</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u w:val="single"/>
        </w:rPr>
        <w:t xml:space="preserve">  </w:t>
      </w:r>
    </w:p>
    <w:p>
      <w:pPr>
        <w:spacing w:line="360" w:lineRule="exact"/>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代理机构名称：</w:t>
      </w:r>
      <w:r>
        <w:rPr>
          <w:rFonts w:hint="eastAsia" w:asciiTheme="majorEastAsia" w:hAnsiTheme="majorEastAsia" w:eastAsiaTheme="majorEastAsia"/>
          <w:color w:val="auto"/>
          <w:sz w:val="24"/>
          <w:highlight w:val="none"/>
          <w:u w:val="dotted"/>
        </w:rPr>
        <w:t xml:space="preserve">                                         </w:t>
      </w:r>
    </w:p>
    <w:p>
      <w:pPr>
        <w:spacing w:line="360" w:lineRule="exact"/>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采购文件公告:</w:t>
      </w:r>
      <w:r>
        <w:rPr>
          <w:rFonts w:hint="eastAsia" w:asciiTheme="majorEastAsia" w:hAnsiTheme="majorEastAsia" w:eastAsiaTheme="majorEastAsia"/>
          <w:color w:val="auto"/>
          <w:sz w:val="24"/>
          <w:highlight w:val="none"/>
          <w:u w:val="dotted"/>
        </w:rPr>
        <w:t xml:space="preserve">是/否 </w:t>
      </w:r>
      <w:r>
        <w:rPr>
          <w:rFonts w:hint="eastAsia" w:asciiTheme="majorEastAsia" w:hAnsiTheme="majorEastAsia" w:eastAsiaTheme="majorEastAsia"/>
          <w:color w:val="auto"/>
          <w:sz w:val="24"/>
          <w:highlight w:val="none"/>
        </w:rPr>
        <w:t>公告期限：</w:t>
      </w:r>
      <w:r>
        <w:rPr>
          <w:rFonts w:hint="eastAsia" w:asciiTheme="majorEastAsia" w:hAnsiTheme="majorEastAsia" w:eastAsiaTheme="majorEastAsia"/>
          <w:color w:val="auto"/>
          <w:sz w:val="24"/>
          <w:highlight w:val="none"/>
          <w:u w:val="dotted"/>
        </w:rPr>
        <w:t xml:space="preserve">                                 </w:t>
      </w:r>
    </w:p>
    <w:p>
      <w:pPr>
        <w:spacing w:line="360" w:lineRule="exact"/>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采购结果公告:</w:t>
      </w:r>
      <w:r>
        <w:rPr>
          <w:rFonts w:hint="eastAsia" w:asciiTheme="majorEastAsia" w:hAnsiTheme="majorEastAsia" w:eastAsiaTheme="majorEastAsia"/>
          <w:color w:val="auto"/>
          <w:sz w:val="24"/>
          <w:highlight w:val="none"/>
          <w:u w:val="dotted"/>
        </w:rPr>
        <w:t xml:space="preserve">是/否 </w:t>
      </w:r>
      <w:r>
        <w:rPr>
          <w:rFonts w:hint="eastAsia" w:asciiTheme="majorEastAsia" w:hAnsiTheme="majorEastAsia" w:eastAsiaTheme="majorEastAsia"/>
          <w:color w:val="auto"/>
          <w:sz w:val="24"/>
          <w:highlight w:val="none"/>
        </w:rPr>
        <w:t>公告期限：</w:t>
      </w:r>
      <w:r>
        <w:rPr>
          <w:rFonts w:hint="eastAsia" w:asciiTheme="majorEastAsia" w:hAnsiTheme="majorEastAsia" w:eastAsiaTheme="majorEastAsia"/>
          <w:color w:val="auto"/>
          <w:sz w:val="24"/>
          <w:highlight w:val="none"/>
          <w:u w:val="dotted"/>
        </w:rPr>
        <w:t xml:space="preserve">                        </w:t>
      </w:r>
    </w:p>
    <w:p>
      <w:pPr>
        <w:spacing w:line="36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三、质疑基本情况</w:t>
      </w:r>
    </w:p>
    <w:p>
      <w:pPr>
        <w:spacing w:line="360" w:lineRule="exact"/>
        <w:ind w:firstLine="480" w:firstLineChars="200"/>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投诉人于</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年</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月</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日,向</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提出质疑，质疑事项为：</w:t>
      </w:r>
      <w:r>
        <w:rPr>
          <w:rFonts w:hint="eastAsia" w:asciiTheme="majorEastAsia" w:hAnsiTheme="majorEastAsia" w:eastAsiaTheme="majorEastAsia"/>
          <w:color w:val="auto"/>
          <w:sz w:val="24"/>
          <w:highlight w:val="none"/>
          <w:u w:val="dotted"/>
        </w:rPr>
        <w:t xml:space="preserve">                                </w:t>
      </w:r>
    </w:p>
    <w:p>
      <w:pPr>
        <w:spacing w:line="360" w:lineRule="exact"/>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 xml:space="preserve">  </w:t>
      </w:r>
    </w:p>
    <w:p>
      <w:pPr>
        <w:spacing w:line="360" w:lineRule="exact"/>
        <w:ind w:firstLine="360" w:firstLineChars="15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u w:val="dotted"/>
        </w:rPr>
        <w:t>采购人/代理机构</w:t>
      </w:r>
      <w:r>
        <w:rPr>
          <w:rFonts w:hint="eastAsia" w:asciiTheme="majorEastAsia" w:hAnsiTheme="majorEastAsia" w:eastAsiaTheme="majorEastAsia"/>
          <w:color w:val="auto"/>
          <w:sz w:val="24"/>
          <w:highlight w:val="none"/>
        </w:rPr>
        <w:t>于</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年</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月</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日,就质疑事项作出了答复/没有在法定期限内作出答复。</w:t>
      </w:r>
    </w:p>
    <w:p>
      <w:pPr>
        <w:spacing w:line="36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四、投诉事项具体内容</w:t>
      </w:r>
    </w:p>
    <w:p>
      <w:pPr>
        <w:spacing w:line="360" w:lineRule="exact"/>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投诉事项 1：</w:t>
      </w:r>
      <w:r>
        <w:rPr>
          <w:rFonts w:hint="eastAsia" w:asciiTheme="majorEastAsia" w:hAnsiTheme="majorEastAsia" w:eastAsiaTheme="majorEastAsia"/>
          <w:color w:val="auto"/>
          <w:sz w:val="24"/>
          <w:highlight w:val="none"/>
          <w:u w:val="dotted"/>
        </w:rPr>
        <w:t xml:space="preserve">                                       </w:t>
      </w:r>
    </w:p>
    <w:p>
      <w:pPr>
        <w:spacing w:line="36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事实依据：</w:t>
      </w:r>
      <w:r>
        <w:rPr>
          <w:rFonts w:hint="eastAsia" w:asciiTheme="majorEastAsia" w:hAnsiTheme="majorEastAsia" w:eastAsiaTheme="majorEastAsia"/>
          <w:color w:val="auto"/>
          <w:sz w:val="24"/>
          <w:highlight w:val="none"/>
          <w:u w:val="dotted"/>
        </w:rPr>
        <w:t xml:space="preserve">                                         </w:t>
      </w:r>
    </w:p>
    <w:p>
      <w:pPr>
        <w:spacing w:line="360" w:lineRule="exact"/>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u w:val="dotted"/>
        </w:rPr>
        <w:t xml:space="preserve">                                                      </w:t>
      </w:r>
    </w:p>
    <w:p>
      <w:pPr>
        <w:spacing w:line="360" w:lineRule="exact"/>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法律依据：</w:t>
      </w:r>
      <w:r>
        <w:rPr>
          <w:rFonts w:hint="eastAsia" w:asciiTheme="majorEastAsia" w:hAnsiTheme="majorEastAsia" w:eastAsiaTheme="majorEastAsia"/>
          <w:color w:val="auto"/>
          <w:sz w:val="24"/>
          <w:highlight w:val="none"/>
          <w:u w:val="dotted"/>
        </w:rPr>
        <w:t xml:space="preserve">                                          </w:t>
      </w:r>
    </w:p>
    <w:p>
      <w:pPr>
        <w:spacing w:line="360" w:lineRule="exact"/>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u w:val="dotted"/>
        </w:rPr>
        <w:t xml:space="preserve">                                                      </w:t>
      </w:r>
    </w:p>
    <w:p>
      <w:pPr>
        <w:spacing w:line="36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投诉事项2</w:t>
      </w:r>
    </w:p>
    <w:p>
      <w:pPr>
        <w:spacing w:line="360" w:lineRule="exact"/>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w:t>
      </w:r>
    </w:p>
    <w:p>
      <w:pPr>
        <w:spacing w:line="36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五、与投诉事项相关的投诉请求</w:t>
      </w:r>
    </w:p>
    <w:p>
      <w:pPr>
        <w:spacing w:line="36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请求：</w:t>
      </w:r>
      <w:r>
        <w:rPr>
          <w:rFonts w:hint="eastAsia"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 xml:space="preserve"> </w:t>
      </w:r>
    </w:p>
    <w:p>
      <w:pPr>
        <w:spacing w:line="360" w:lineRule="exact"/>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 xml:space="preserve">                                                                                                    </w:t>
      </w:r>
    </w:p>
    <w:p>
      <w:pPr>
        <w:spacing w:line="36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xml:space="preserve">签字(签章)：                   公章：                      </w:t>
      </w:r>
    </w:p>
    <w:p>
      <w:pPr>
        <w:spacing w:line="36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xml:space="preserve">日期：    </w:t>
      </w:r>
    </w:p>
    <w:p>
      <w:pPr>
        <w:spacing w:line="360" w:lineRule="exact"/>
        <w:rPr>
          <w:rFonts w:asciiTheme="majorEastAsia" w:hAnsiTheme="majorEastAsia" w:eastAsiaTheme="majorEastAsia"/>
          <w:b/>
          <w:color w:val="auto"/>
          <w:sz w:val="24"/>
          <w:highlight w:val="none"/>
        </w:rPr>
      </w:pPr>
    </w:p>
    <w:p>
      <w:pPr>
        <w:spacing w:line="360" w:lineRule="exact"/>
        <w:rPr>
          <w:rFonts w:asciiTheme="majorEastAsia" w:hAnsiTheme="majorEastAsia" w:eastAsiaTheme="majorEastAsia"/>
          <w:b/>
          <w:color w:val="auto"/>
          <w:sz w:val="24"/>
          <w:highlight w:val="none"/>
        </w:rPr>
      </w:pPr>
    </w:p>
    <w:p>
      <w:pPr>
        <w:spacing w:line="360" w:lineRule="exact"/>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投诉书制作说明：</w:t>
      </w:r>
    </w:p>
    <w:p>
      <w:pPr>
        <w:widowControl/>
        <w:spacing w:line="360" w:lineRule="exact"/>
        <w:ind w:firstLine="480" w:firstLineChars="200"/>
        <w:rPr>
          <w:rFonts w:cs="宋体" w:asciiTheme="majorEastAsia" w:hAnsiTheme="majorEastAsia" w:eastAsiaTheme="majorEastAsia"/>
          <w:color w:val="auto"/>
          <w:kern w:val="0"/>
          <w:sz w:val="24"/>
          <w:highlight w:val="none"/>
        </w:rPr>
      </w:pPr>
      <w:r>
        <w:rPr>
          <w:rFonts w:hint="eastAsia" w:asciiTheme="majorEastAsia" w:hAnsiTheme="majorEastAsia" w:eastAsiaTheme="majorEastAsia"/>
          <w:color w:val="auto"/>
          <w:sz w:val="24"/>
          <w:highlight w:val="none"/>
        </w:rPr>
        <w:t>1.投诉人提起投诉时，应当提交投诉书和必要的证明材料，并按照被投诉人和与投诉事项有关的供应商数量提供投诉书副本。</w:t>
      </w:r>
    </w:p>
    <w:p>
      <w:pPr>
        <w:widowControl/>
        <w:spacing w:line="360" w:lineRule="exact"/>
        <w:ind w:firstLine="480" w:firstLineChars="200"/>
        <w:jc w:val="left"/>
        <w:rPr>
          <w:rFonts w:cs="宋体" w:asciiTheme="majorEastAsia" w:hAnsiTheme="majorEastAsia" w:eastAsiaTheme="majorEastAsia"/>
          <w:color w:val="auto"/>
          <w:kern w:val="0"/>
          <w:sz w:val="24"/>
          <w:highlight w:val="none"/>
        </w:rPr>
      </w:pPr>
      <w:r>
        <w:rPr>
          <w:rFonts w:hint="eastAsia" w:asciiTheme="majorEastAsia" w:hAnsiTheme="majorEastAsia" w:eastAsiaTheme="majorEastAsia"/>
          <w:color w:val="auto"/>
          <w:sz w:val="24"/>
          <w:highlight w:val="none"/>
        </w:rPr>
        <w:t>2.投诉人若委托代理人进行投诉的，投诉书应按照要求列明“授权代表”的有关内容，并在附件中提交由</w:t>
      </w:r>
      <w:r>
        <w:rPr>
          <w:rFonts w:hint="eastAsia" w:cs="宋体" w:asciiTheme="majorEastAsia" w:hAnsiTheme="majorEastAsia" w:eastAsiaTheme="majorEastAsia"/>
          <w:color w:val="auto"/>
          <w:kern w:val="0"/>
          <w:sz w:val="24"/>
          <w:highlight w:val="none"/>
        </w:rPr>
        <w:t>投诉人签署的授权委托书。授权委托书应当载明代理人的姓名或者名称、代理事项、具体权限、期限和相关事项。</w:t>
      </w:r>
    </w:p>
    <w:p>
      <w:pPr>
        <w:widowControl/>
        <w:spacing w:line="360" w:lineRule="exact"/>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3.投诉人若对项目的某一分包进行投诉，投诉书应列明具体分包号。</w:t>
      </w:r>
    </w:p>
    <w:p>
      <w:pPr>
        <w:widowControl/>
        <w:spacing w:line="360" w:lineRule="exact"/>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4.投诉书应简要列明质疑事项，质疑函、质疑答复等作为附件材料提供。</w:t>
      </w:r>
    </w:p>
    <w:p>
      <w:pPr>
        <w:widowControl/>
        <w:spacing w:line="360" w:lineRule="exact"/>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5.投诉书的投诉事项应具体、明确，并有必要的事实依据和法律依据。</w:t>
      </w:r>
    </w:p>
    <w:p>
      <w:pPr>
        <w:widowControl/>
        <w:spacing w:line="360" w:lineRule="exact"/>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6.投诉书的投诉请求应与投诉事项相关。</w:t>
      </w:r>
    </w:p>
    <w:p>
      <w:pPr>
        <w:spacing w:line="36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exact"/>
        <w:rPr>
          <w:rFonts w:asciiTheme="majorEastAsia" w:hAnsiTheme="majorEastAsia" w:eastAsiaTheme="majorEastAsia"/>
          <w:color w:val="auto"/>
          <w:sz w:val="28"/>
          <w:szCs w:val="28"/>
          <w:highlight w:val="none"/>
        </w:rPr>
      </w:pPr>
    </w:p>
    <w:p>
      <w:pPr>
        <w:tabs>
          <w:tab w:val="left" w:pos="1087"/>
        </w:tabs>
        <w:spacing w:line="360" w:lineRule="auto"/>
        <w:rPr>
          <w:color w:val="auto"/>
          <w:sz w:val="24"/>
          <w:highlight w:val="none"/>
        </w:rPr>
      </w:pPr>
      <w:r>
        <w:rPr>
          <w:color w:val="auto"/>
          <w:sz w:val="24"/>
          <w:highlight w:val="none"/>
        </w:rPr>
        <w:tab/>
      </w:r>
    </w:p>
    <w:p>
      <w:pPr>
        <w:spacing w:line="360" w:lineRule="auto"/>
        <w:rPr>
          <w:color w:val="auto"/>
          <w:sz w:val="24"/>
          <w:highlight w:val="none"/>
        </w:rPr>
      </w:pPr>
    </w:p>
    <w:p>
      <w:pPr>
        <w:spacing w:line="360" w:lineRule="auto"/>
        <w:rPr>
          <w:color w:val="auto"/>
          <w:sz w:val="24"/>
          <w:highlight w:val="none"/>
        </w:rPr>
      </w:pPr>
    </w:p>
    <w:p>
      <w:pPr>
        <w:tabs>
          <w:tab w:val="left" w:pos="606"/>
        </w:tabs>
        <w:rPr>
          <w:color w:val="auto"/>
          <w:highlight w:val="none"/>
        </w:rPr>
      </w:pPr>
      <w:r>
        <w:rPr>
          <w:rFonts w:hint="eastAsia"/>
          <w:color w:val="auto"/>
          <w:highlight w:val="none"/>
        </w:rPr>
        <w:t xml:space="preserve"> </w:t>
      </w: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p>
    <w:p>
      <w:pPr>
        <w:tabs>
          <w:tab w:val="left" w:pos="606"/>
        </w:tabs>
        <w:rPr>
          <w:color w:val="auto"/>
          <w:highlight w:val="none"/>
        </w:rPr>
      </w:pPr>
      <w:r>
        <w:rPr>
          <w:rFonts w:hint="eastAsia" w:ascii="宋体" w:hAnsi="宋体" w:cs="宋体"/>
          <w:b/>
          <w:color w:val="auto"/>
          <w:kern w:val="0"/>
          <w:sz w:val="36"/>
          <w:szCs w:val="36"/>
          <w:highlight w:val="none"/>
        </w:rPr>
        <w:t>附件</w:t>
      </w:r>
    </w:p>
    <w:p>
      <w:pPr>
        <w:tabs>
          <w:tab w:val="left" w:pos="606"/>
        </w:tabs>
        <w:rPr>
          <w:color w:val="auto"/>
          <w:highlight w:val="none"/>
        </w:rPr>
      </w:pPr>
      <w:r>
        <w:rPr>
          <w:rFonts w:hint="eastAsia"/>
          <w:color w:val="auto"/>
          <w:highlight w:val="none"/>
        </w:rPr>
        <w:t xml:space="preserve"> </w:t>
      </w:r>
    </w:p>
    <w:p>
      <w:pPr>
        <w:widowControl/>
        <w:shd w:val="clear" w:color="auto" w:fill="FFFFFF"/>
        <w:spacing w:line="360" w:lineRule="auto"/>
        <w:ind w:firstLine="480"/>
        <w:jc w:val="center"/>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中标通知书</w:t>
      </w:r>
    </w:p>
    <w:p>
      <w:pPr>
        <w:tabs>
          <w:tab w:val="left" w:pos="606"/>
        </w:tabs>
        <w:rPr>
          <w:color w:val="auto"/>
          <w:sz w:val="24"/>
          <w:highlight w:val="none"/>
        </w:rPr>
      </w:pPr>
    </w:p>
    <w:p>
      <w:pPr>
        <w:tabs>
          <w:tab w:val="left" w:pos="606"/>
        </w:tabs>
        <w:rPr>
          <w:color w:val="auto"/>
          <w:sz w:val="28"/>
          <w:szCs w:val="28"/>
          <w:highlight w:val="none"/>
        </w:rPr>
      </w:pPr>
      <w:r>
        <w:rPr>
          <w:rFonts w:hint="eastAsia"/>
          <w:color w:val="auto"/>
          <w:sz w:val="28"/>
          <w:szCs w:val="28"/>
          <w:highlight w:val="none"/>
          <w:u w:val="single"/>
        </w:rPr>
        <w:t xml:space="preserve">              </w:t>
      </w:r>
      <w:r>
        <w:rPr>
          <w:rFonts w:hint="eastAsia"/>
          <w:color w:val="auto"/>
          <w:sz w:val="28"/>
          <w:szCs w:val="28"/>
          <w:highlight w:val="none"/>
        </w:rPr>
        <w:t>公司：</w:t>
      </w:r>
    </w:p>
    <w:p>
      <w:pPr>
        <w:tabs>
          <w:tab w:val="left" w:pos="606"/>
        </w:tabs>
        <w:ind w:firstLine="420"/>
        <w:rPr>
          <w:color w:val="auto"/>
          <w:sz w:val="28"/>
          <w:szCs w:val="28"/>
          <w:highlight w:val="none"/>
        </w:rPr>
      </w:pPr>
      <w:r>
        <w:rPr>
          <w:rFonts w:hint="eastAsia"/>
          <w:color w:val="auto"/>
          <w:sz w:val="28"/>
          <w:szCs w:val="28"/>
          <w:highlight w:val="none"/>
          <w:u w:val="single"/>
        </w:rPr>
        <w:t>（代理机构名称）</w:t>
      </w:r>
      <w:r>
        <w:rPr>
          <w:rFonts w:hint="eastAsia"/>
          <w:color w:val="auto"/>
          <w:sz w:val="28"/>
          <w:szCs w:val="28"/>
          <w:highlight w:val="none"/>
        </w:rPr>
        <w:t>受</w:t>
      </w:r>
      <w:r>
        <w:rPr>
          <w:rFonts w:hint="eastAsia"/>
          <w:color w:val="auto"/>
          <w:sz w:val="28"/>
          <w:szCs w:val="28"/>
          <w:highlight w:val="none"/>
          <w:u w:val="single"/>
        </w:rPr>
        <w:t>（采购单位名称）</w:t>
      </w:r>
      <w:r>
        <w:rPr>
          <w:rFonts w:hint="eastAsia"/>
          <w:color w:val="auto"/>
          <w:sz w:val="28"/>
          <w:szCs w:val="28"/>
          <w:highlight w:val="none"/>
        </w:rPr>
        <w:t>的委托，就</w:t>
      </w:r>
      <w:r>
        <w:rPr>
          <w:rFonts w:hint="eastAsia"/>
          <w:color w:val="auto"/>
          <w:sz w:val="28"/>
          <w:szCs w:val="28"/>
          <w:highlight w:val="none"/>
          <w:u w:val="single"/>
        </w:rPr>
        <w:t xml:space="preserve">              项目</w:t>
      </w:r>
      <w:r>
        <w:rPr>
          <w:rFonts w:hint="eastAsia"/>
          <w:color w:val="auto"/>
          <w:sz w:val="28"/>
          <w:szCs w:val="28"/>
          <w:highlight w:val="none"/>
        </w:rPr>
        <w:t>（项目编号：</w:t>
      </w:r>
      <w:r>
        <w:rPr>
          <w:rFonts w:hint="eastAsia"/>
          <w:color w:val="auto"/>
          <w:sz w:val="28"/>
          <w:szCs w:val="28"/>
          <w:highlight w:val="none"/>
          <w:u w:val="single"/>
        </w:rPr>
        <w:t xml:space="preserve">            </w:t>
      </w:r>
      <w:r>
        <w:rPr>
          <w:rFonts w:hint="eastAsia"/>
          <w:color w:val="auto"/>
          <w:sz w:val="28"/>
          <w:szCs w:val="28"/>
          <w:highlight w:val="none"/>
        </w:rPr>
        <w:t>；审批编号：</w:t>
      </w:r>
      <w:r>
        <w:rPr>
          <w:rFonts w:hint="eastAsia"/>
          <w:color w:val="auto"/>
          <w:sz w:val="28"/>
          <w:szCs w:val="28"/>
          <w:highlight w:val="none"/>
          <w:u w:val="single"/>
        </w:rPr>
        <w:t xml:space="preserve">            </w:t>
      </w:r>
      <w:r>
        <w:rPr>
          <w:rFonts w:hint="eastAsia"/>
          <w:color w:val="auto"/>
          <w:sz w:val="28"/>
          <w:szCs w:val="28"/>
          <w:highlight w:val="none"/>
        </w:rPr>
        <w:t>）采用</w:t>
      </w:r>
      <w:r>
        <w:rPr>
          <w:rFonts w:hint="eastAsia"/>
          <w:color w:val="auto"/>
          <w:sz w:val="28"/>
          <w:szCs w:val="28"/>
          <w:highlight w:val="none"/>
          <w:u w:val="single"/>
        </w:rPr>
        <w:t xml:space="preserve">   </w:t>
      </w:r>
      <w:r>
        <w:rPr>
          <w:rFonts w:hint="eastAsia"/>
          <w:color w:val="auto"/>
          <w:sz w:val="28"/>
          <w:szCs w:val="28"/>
          <w:highlight w:val="none"/>
        </w:rPr>
        <w:t>方式进行采购。经采购人确认，贵单位为</w:t>
      </w:r>
      <w:r>
        <w:rPr>
          <w:rFonts w:hint="eastAsia"/>
          <w:color w:val="auto"/>
          <w:sz w:val="28"/>
          <w:szCs w:val="28"/>
          <w:highlight w:val="none"/>
          <w:u w:val="single"/>
        </w:rPr>
        <w:t xml:space="preserve">            </w:t>
      </w:r>
      <w:r>
        <w:rPr>
          <w:rFonts w:hint="eastAsia"/>
          <w:color w:val="auto"/>
          <w:sz w:val="28"/>
          <w:szCs w:val="28"/>
          <w:highlight w:val="none"/>
        </w:rPr>
        <w:t>项目的中标单位，具体内容如下：</w:t>
      </w:r>
    </w:p>
    <w:p>
      <w:pPr>
        <w:tabs>
          <w:tab w:val="left" w:pos="606"/>
        </w:tabs>
        <w:ind w:firstLine="420"/>
        <w:rPr>
          <w:color w:val="auto"/>
          <w:sz w:val="28"/>
          <w:szCs w:val="28"/>
          <w:highlight w:val="none"/>
        </w:rPr>
      </w:pPr>
    </w:p>
    <w:p>
      <w:pPr>
        <w:tabs>
          <w:tab w:val="left" w:pos="606"/>
        </w:tabs>
        <w:ind w:firstLine="420"/>
        <w:rPr>
          <w:color w:val="auto"/>
          <w:sz w:val="28"/>
          <w:szCs w:val="28"/>
          <w:highlight w:val="none"/>
        </w:rPr>
      </w:pPr>
    </w:p>
    <w:p>
      <w:pPr>
        <w:tabs>
          <w:tab w:val="left" w:pos="606"/>
        </w:tabs>
        <w:ind w:firstLine="420"/>
        <w:rPr>
          <w:color w:val="auto"/>
          <w:sz w:val="28"/>
          <w:szCs w:val="28"/>
          <w:highlight w:val="none"/>
        </w:rPr>
      </w:pPr>
      <w:r>
        <w:rPr>
          <w:rFonts w:hint="eastAsia"/>
          <w:color w:val="auto"/>
          <w:sz w:val="28"/>
          <w:szCs w:val="28"/>
          <w:highlight w:val="none"/>
        </w:rPr>
        <w:t>中标单位：</w:t>
      </w:r>
      <w:r>
        <w:rPr>
          <w:rFonts w:hint="eastAsia"/>
          <w:color w:val="auto"/>
          <w:sz w:val="28"/>
          <w:szCs w:val="28"/>
          <w:highlight w:val="none"/>
          <w:u w:val="single"/>
        </w:rPr>
        <w:t xml:space="preserve">             </w:t>
      </w:r>
      <w:r>
        <w:rPr>
          <w:rFonts w:hint="eastAsia"/>
          <w:color w:val="auto"/>
          <w:sz w:val="28"/>
          <w:szCs w:val="28"/>
          <w:highlight w:val="none"/>
        </w:rPr>
        <w:t>公司</w:t>
      </w:r>
    </w:p>
    <w:p>
      <w:pPr>
        <w:tabs>
          <w:tab w:val="left" w:pos="606"/>
        </w:tabs>
        <w:ind w:firstLine="420"/>
        <w:rPr>
          <w:color w:val="auto"/>
          <w:sz w:val="28"/>
          <w:szCs w:val="28"/>
          <w:highlight w:val="none"/>
        </w:rPr>
      </w:pPr>
      <w:r>
        <w:rPr>
          <w:rFonts w:hint="eastAsia"/>
          <w:color w:val="auto"/>
          <w:sz w:val="28"/>
          <w:szCs w:val="28"/>
          <w:highlight w:val="none"/>
        </w:rPr>
        <w:t>企业规模：□中型 □小型 □微型 □其他</w:t>
      </w:r>
    </w:p>
    <w:p>
      <w:pPr>
        <w:tabs>
          <w:tab w:val="left" w:pos="606"/>
        </w:tabs>
        <w:ind w:firstLine="420"/>
        <w:rPr>
          <w:color w:val="auto"/>
          <w:sz w:val="28"/>
          <w:szCs w:val="28"/>
          <w:highlight w:val="none"/>
        </w:rPr>
      </w:pPr>
      <w:r>
        <w:rPr>
          <w:rFonts w:hint="eastAsia"/>
          <w:color w:val="auto"/>
          <w:sz w:val="28"/>
          <w:szCs w:val="28"/>
          <w:highlight w:val="none"/>
        </w:rPr>
        <w:t>中标金额：</w:t>
      </w:r>
      <w:r>
        <w:rPr>
          <w:rFonts w:hint="eastAsia"/>
          <w:color w:val="auto"/>
          <w:sz w:val="28"/>
          <w:szCs w:val="28"/>
          <w:highlight w:val="none"/>
          <w:u w:val="single"/>
        </w:rPr>
        <w:t xml:space="preserve">                </w:t>
      </w:r>
      <w:r>
        <w:rPr>
          <w:rFonts w:hint="eastAsia"/>
          <w:color w:val="auto"/>
          <w:sz w:val="28"/>
          <w:szCs w:val="28"/>
          <w:highlight w:val="none"/>
        </w:rPr>
        <w:t xml:space="preserve">（￥ </w:t>
      </w:r>
      <w:r>
        <w:rPr>
          <w:rFonts w:hint="eastAsia"/>
          <w:color w:val="auto"/>
          <w:sz w:val="28"/>
          <w:szCs w:val="28"/>
          <w:highlight w:val="none"/>
          <w:u w:val="single"/>
        </w:rPr>
        <w:t xml:space="preserve">         </w:t>
      </w:r>
      <w:r>
        <w:rPr>
          <w:rFonts w:hint="eastAsia"/>
          <w:color w:val="auto"/>
          <w:sz w:val="28"/>
          <w:szCs w:val="28"/>
          <w:highlight w:val="none"/>
        </w:rPr>
        <w:t xml:space="preserve"> 元）</w:t>
      </w:r>
    </w:p>
    <w:p>
      <w:pPr>
        <w:tabs>
          <w:tab w:val="left" w:pos="606"/>
        </w:tabs>
        <w:ind w:firstLine="420"/>
        <w:rPr>
          <w:color w:val="auto"/>
          <w:sz w:val="28"/>
          <w:szCs w:val="28"/>
          <w:highlight w:val="none"/>
        </w:rPr>
      </w:pPr>
      <w:r>
        <w:rPr>
          <w:rFonts w:hint="eastAsia"/>
          <w:color w:val="auto"/>
          <w:sz w:val="28"/>
          <w:szCs w:val="28"/>
          <w:highlight w:val="none"/>
        </w:rPr>
        <w:t>交货时间：自合同签定之日起</w:t>
      </w:r>
      <w:r>
        <w:rPr>
          <w:rFonts w:hint="eastAsia"/>
          <w:color w:val="auto"/>
          <w:sz w:val="28"/>
          <w:szCs w:val="28"/>
          <w:highlight w:val="none"/>
          <w:u w:val="single"/>
        </w:rPr>
        <w:t xml:space="preserve">    </w:t>
      </w:r>
      <w:r>
        <w:rPr>
          <w:rFonts w:hint="eastAsia"/>
          <w:color w:val="auto"/>
          <w:sz w:val="28"/>
          <w:szCs w:val="28"/>
          <w:highlight w:val="none"/>
        </w:rPr>
        <w:t>天内</w:t>
      </w:r>
    </w:p>
    <w:p>
      <w:pPr>
        <w:tabs>
          <w:tab w:val="left" w:pos="606"/>
        </w:tabs>
        <w:ind w:firstLine="420"/>
        <w:rPr>
          <w:color w:val="auto"/>
          <w:sz w:val="28"/>
          <w:szCs w:val="28"/>
          <w:highlight w:val="none"/>
        </w:rPr>
      </w:pPr>
    </w:p>
    <w:p>
      <w:pPr>
        <w:tabs>
          <w:tab w:val="left" w:pos="606"/>
        </w:tabs>
        <w:ind w:firstLine="420"/>
        <w:rPr>
          <w:color w:val="auto"/>
          <w:sz w:val="28"/>
          <w:szCs w:val="28"/>
          <w:highlight w:val="none"/>
        </w:rPr>
      </w:pPr>
      <w:r>
        <w:rPr>
          <w:rFonts w:hint="eastAsia"/>
          <w:color w:val="auto"/>
          <w:sz w:val="28"/>
          <w:szCs w:val="28"/>
          <w:highlight w:val="none"/>
        </w:rPr>
        <w:t>请贵单位接此通知书后</w:t>
      </w:r>
      <w:r>
        <w:rPr>
          <w:rFonts w:hint="eastAsia"/>
          <w:color w:val="auto"/>
          <w:sz w:val="28"/>
          <w:szCs w:val="28"/>
          <w:highlight w:val="none"/>
          <w:u w:val="single"/>
        </w:rPr>
        <w:t xml:space="preserve">    </w:t>
      </w:r>
      <w:r>
        <w:rPr>
          <w:rFonts w:hint="eastAsia"/>
          <w:color w:val="auto"/>
          <w:sz w:val="28"/>
          <w:szCs w:val="28"/>
          <w:highlight w:val="none"/>
        </w:rPr>
        <w:t>日内尽快与采购人签订合同，并按采购文件要求和投标文件的承诺履行合同。</w:t>
      </w:r>
    </w:p>
    <w:p>
      <w:pPr>
        <w:tabs>
          <w:tab w:val="left" w:pos="606"/>
        </w:tabs>
        <w:ind w:firstLine="420"/>
        <w:rPr>
          <w:color w:val="auto"/>
          <w:sz w:val="28"/>
          <w:szCs w:val="28"/>
          <w:highlight w:val="none"/>
        </w:rPr>
      </w:pPr>
      <w:r>
        <w:rPr>
          <w:rFonts w:hint="eastAsia"/>
          <w:color w:val="auto"/>
          <w:sz w:val="28"/>
          <w:szCs w:val="28"/>
          <w:highlight w:val="none"/>
        </w:rPr>
        <w:t>特此通知！</w:t>
      </w:r>
    </w:p>
    <w:p>
      <w:pPr>
        <w:tabs>
          <w:tab w:val="left" w:pos="606"/>
        </w:tabs>
        <w:rPr>
          <w:color w:val="auto"/>
          <w:sz w:val="28"/>
          <w:szCs w:val="28"/>
          <w:highlight w:val="none"/>
        </w:rPr>
      </w:pPr>
    </w:p>
    <w:p>
      <w:pPr>
        <w:tabs>
          <w:tab w:val="left" w:pos="606"/>
        </w:tabs>
        <w:ind w:firstLine="4480" w:firstLineChars="1600"/>
        <w:rPr>
          <w:color w:val="auto"/>
          <w:sz w:val="28"/>
          <w:szCs w:val="28"/>
          <w:highlight w:val="none"/>
        </w:rPr>
      </w:pPr>
      <w:r>
        <w:rPr>
          <w:rFonts w:hint="eastAsia"/>
          <w:color w:val="auto"/>
          <w:sz w:val="28"/>
          <w:szCs w:val="28"/>
          <w:highlight w:val="none"/>
        </w:rPr>
        <w:t>采购单位（盖章）：</w:t>
      </w:r>
    </w:p>
    <w:p>
      <w:pPr>
        <w:tabs>
          <w:tab w:val="left" w:pos="606"/>
        </w:tabs>
        <w:ind w:firstLine="4480" w:firstLineChars="1600"/>
        <w:rPr>
          <w:color w:val="auto"/>
          <w:sz w:val="28"/>
          <w:szCs w:val="28"/>
          <w:highlight w:val="none"/>
        </w:rPr>
      </w:pPr>
      <w:r>
        <w:rPr>
          <w:rFonts w:hint="eastAsia"/>
          <w:color w:val="auto"/>
          <w:sz w:val="28"/>
          <w:szCs w:val="28"/>
          <w:highlight w:val="none"/>
        </w:rPr>
        <w:t>代理机构（盖章）：</w:t>
      </w:r>
    </w:p>
    <w:p>
      <w:pPr>
        <w:tabs>
          <w:tab w:val="left" w:pos="606"/>
        </w:tabs>
        <w:ind w:firstLine="4480" w:firstLineChars="1600"/>
        <w:rPr>
          <w:color w:val="auto"/>
          <w:sz w:val="28"/>
          <w:szCs w:val="28"/>
          <w:highlight w:val="none"/>
        </w:rPr>
      </w:pPr>
      <w:r>
        <w:rPr>
          <w:rFonts w:hint="eastAsia"/>
          <w:color w:val="auto"/>
          <w:sz w:val="28"/>
          <w:szCs w:val="28"/>
          <w:highlight w:val="none"/>
        </w:rPr>
        <w:t>日期：  年  月  日</w:t>
      </w:r>
    </w:p>
    <w:p>
      <w:pPr>
        <w:tabs>
          <w:tab w:val="left" w:pos="606"/>
        </w:tabs>
        <w:rPr>
          <w:color w:val="auto"/>
          <w:highlight w:val="none"/>
        </w:rPr>
      </w:pPr>
    </w:p>
    <w:bookmarkEnd w:id="109"/>
    <w:sectPr>
      <w:headerReference r:id="rId3" w:type="default"/>
      <w:footerReference r:id="rId4" w:type="default"/>
      <w:footerReference r:id="rId5" w:type="even"/>
      <w:pgSz w:w="11906" w:h="16838"/>
      <w:pgMar w:top="1134" w:right="1469" w:bottom="1134" w:left="1440" w:header="851" w:footer="992" w:gutter="0"/>
      <w:pgNumType w:fmt="numberInDash" w:start="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Arial Unicode MS">
    <w:panose1 w:val="020B0604020202020204"/>
    <w:charset w:val="86"/>
    <w:family w:val="roman"/>
    <w:pitch w:val="default"/>
    <w:sig w:usb0="FFFFFFFF" w:usb1="E9FFFFFF" w:usb2="0000003F" w:usb3="00000000" w:csb0="603F01FF" w:csb1="FFFF0000"/>
  </w:font>
  <w:font w:name="”“Times New Roman”“">
    <w:altName w:val="宋体"/>
    <w:panose1 w:val="00000000000000000000"/>
    <w:charset w:val="86"/>
    <w:family w:val="roma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Wingdings 2">
    <w:panose1 w:val="05020102010507070707"/>
    <w:charset w:val="02"/>
    <w:family w:val="roman"/>
    <w:pitch w:val="default"/>
    <w:sig w:usb0="00000000" w:usb1="00000000" w:usb2="00000000" w:usb3="00000000" w:csb0="8000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page" w:x="9837" w:y="120"/>
      <w:rPr>
        <w:rStyle w:val="41"/>
        <w:rFonts w:ascii="仿宋" w:hAnsi="仿宋" w:eastAsia="仿宋"/>
        <w:sz w:val="28"/>
        <w:szCs w:val="28"/>
      </w:rPr>
    </w:pPr>
    <w:r>
      <w:rPr>
        <w:rFonts w:ascii="仿宋" w:hAnsi="仿宋" w:eastAsia="仿宋"/>
        <w:sz w:val="28"/>
        <w:szCs w:val="28"/>
      </w:rPr>
      <w:fldChar w:fldCharType="begin"/>
    </w:r>
    <w:r>
      <w:rPr>
        <w:rStyle w:val="41"/>
        <w:rFonts w:ascii="仿宋" w:hAnsi="仿宋" w:eastAsia="仿宋"/>
        <w:sz w:val="28"/>
        <w:szCs w:val="28"/>
      </w:rPr>
      <w:instrText xml:space="preserve">PAGE  </w:instrText>
    </w:r>
    <w:r>
      <w:rPr>
        <w:rFonts w:ascii="仿宋" w:hAnsi="仿宋" w:eastAsia="仿宋"/>
        <w:sz w:val="28"/>
        <w:szCs w:val="28"/>
      </w:rPr>
      <w:fldChar w:fldCharType="separate"/>
    </w:r>
    <w:r>
      <w:rPr>
        <w:rStyle w:val="41"/>
        <w:rFonts w:ascii="仿宋" w:hAnsi="仿宋" w:eastAsia="仿宋"/>
        <w:sz w:val="28"/>
        <w:szCs w:val="28"/>
      </w:rPr>
      <w:t>- 27 -</w:t>
    </w:r>
    <w:r>
      <w:rPr>
        <w:rFonts w:ascii="仿宋" w:hAnsi="仿宋" w:eastAsia="仿宋"/>
        <w:sz w:val="28"/>
        <w:szCs w:val="28"/>
      </w:rPr>
      <w:fldChar w:fldCharType="end"/>
    </w:r>
  </w:p>
  <w:p>
    <w:pPr>
      <w:pStyle w:val="26"/>
      <w:wordWrap w:val="0"/>
    </w:pPr>
    <w:r>
      <w:rPr>
        <w:rFonts w:hint="eastAsi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center" w:y="1"/>
      <w:rPr>
        <w:rStyle w:val="41"/>
      </w:rPr>
    </w:pPr>
    <w:r>
      <w:fldChar w:fldCharType="begin"/>
    </w:r>
    <w:r>
      <w:rPr>
        <w:rStyle w:val="41"/>
      </w:rPr>
      <w:instrText xml:space="preserve">PAGE  </w:instrText>
    </w:r>
    <w:r>
      <w:fldChar w:fldCharType="separate"/>
    </w:r>
    <w:r>
      <w:rPr>
        <w:rStyle w:val="41"/>
      </w:rPr>
      <w:t>5</w:t>
    </w:r>
    <w:r>
      <w:fldChar w:fldCharType="end"/>
    </w:r>
  </w:p>
  <w:p>
    <w:pPr>
      <w:pStyle w:val="2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8DF9F2D"/>
    <w:multiLevelType w:val="singleLevel"/>
    <w:tmpl w:val="A8DF9F2D"/>
    <w:lvl w:ilvl="0" w:tentative="0">
      <w:start w:val="1"/>
      <w:numFmt w:val="chineseCounting"/>
      <w:suff w:val="nothing"/>
      <w:lvlText w:val="（%1）"/>
      <w:lvlJc w:val="left"/>
      <w:rPr>
        <w:rFonts w:hint="eastAsia"/>
      </w:rPr>
    </w:lvl>
  </w:abstractNum>
  <w:abstractNum w:abstractNumId="1">
    <w:nsid w:val="57562509"/>
    <w:multiLevelType w:val="singleLevel"/>
    <w:tmpl w:val="57562509"/>
    <w:lvl w:ilvl="0" w:tentative="0">
      <w:start w:val="3"/>
      <w:numFmt w:val="chineseCounting"/>
      <w:suff w:val="nothing"/>
      <w:lvlText w:val="%1、"/>
      <w:lvlJc w:val="left"/>
    </w:lvl>
  </w:abstractNum>
  <w:abstractNum w:abstractNumId="2">
    <w:nsid w:val="5EBE34DA"/>
    <w:multiLevelType w:val="singleLevel"/>
    <w:tmpl w:val="5EBE34DA"/>
    <w:lvl w:ilvl="0" w:tentative="0">
      <w:start w:val="1"/>
      <w:numFmt w:val="decimal"/>
      <w:suff w:val="nothing"/>
      <w:lvlText w:val="%1、"/>
      <w:lvlJc w:val="left"/>
    </w:lvl>
  </w:abstractNum>
  <w:abstractNum w:abstractNumId="3">
    <w:nsid w:val="5FB47FCC"/>
    <w:multiLevelType w:val="singleLevel"/>
    <w:tmpl w:val="5FB47FCC"/>
    <w:lvl w:ilvl="0" w:tentative="0">
      <w:start w:val="1"/>
      <w:numFmt w:val="bullet"/>
      <w:lvlText w:val=""/>
      <w:lvlJc w:val="left"/>
      <w:pPr>
        <w:ind w:left="420" w:hanging="420"/>
      </w:pPr>
      <w:rPr>
        <w:rFonts w:hint="default" w:ascii="Wingdings" w:hAnsi="Wingdings"/>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hideSpellingErrors/>
  <w:hideGrammatical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FB3"/>
    <w:rsid w:val="000018B2"/>
    <w:rsid w:val="00002412"/>
    <w:rsid w:val="00003B77"/>
    <w:rsid w:val="00003BBB"/>
    <w:rsid w:val="00004144"/>
    <w:rsid w:val="000047E1"/>
    <w:rsid w:val="000051DB"/>
    <w:rsid w:val="00005459"/>
    <w:rsid w:val="000101C7"/>
    <w:rsid w:val="00010723"/>
    <w:rsid w:val="00010DF5"/>
    <w:rsid w:val="00012F37"/>
    <w:rsid w:val="00013515"/>
    <w:rsid w:val="000138A1"/>
    <w:rsid w:val="00013A8F"/>
    <w:rsid w:val="000151E5"/>
    <w:rsid w:val="000155B3"/>
    <w:rsid w:val="00016089"/>
    <w:rsid w:val="00016122"/>
    <w:rsid w:val="00016161"/>
    <w:rsid w:val="00020002"/>
    <w:rsid w:val="00020380"/>
    <w:rsid w:val="000206C1"/>
    <w:rsid w:val="00021396"/>
    <w:rsid w:val="00021538"/>
    <w:rsid w:val="000216DA"/>
    <w:rsid w:val="00021E5B"/>
    <w:rsid w:val="00022859"/>
    <w:rsid w:val="00023023"/>
    <w:rsid w:val="00023D0F"/>
    <w:rsid w:val="00024704"/>
    <w:rsid w:val="00024820"/>
    <w:rsid w:val="00024C51"/>
    <w:rsid w:val="000257B8"/>
    <w:rsid w:val="000261E1"/>
    <w:rsid w:val="00026337"/>
    <w:rsid w:val="00027C7D"/>
    <w:rsid w:val="00030B35"/>
    <w:rsid w:val="00033872"/>
    <w:rsid w:val="00035C93"/>
    <w:rsid w:val="000369F0"/>
    <w:rsid w:val="00037AC2"/>
    <w:rsid w:val="00037C8F"/>
    <w:rsid w:val="000403D6"/>
    <w:rsid w:val="00041914"/>
    <w:rsid w:val="00042EAA"/>
    <w:rsid w:val="00043BC4"/>
    <w:rsid w:val="00044292"/>
    <w:rsid w:val="0004471C"/>
    <w:rsid w:val="00044AFC"/>
    <w:rsid w:val="00045544"/>
    <w:rsid w:val="00046FEB"/>
    <w:rsid w:val="00047850"/>
    <w:rsid w:val="00047B43"/>
    <w:rsid w:val="00047DE2"/>
    <w:rsid w:val="00051654"/>
    <w:rsid w:val="00051AB7"/>
    <w:rsid w:val="00052F51"/>
    <w:rsid w:val="00053BBB"/>
    <w:rsid w:val="00053F6A"/>
    <w:rsid w:val="00054AA4"/>
    <w:rsid w:val="0005564B"/>
    <w:rsid w:val="000559D1"/>
    <w:rsid w:val="00055E63"/>
    <w:rsid w:val="00057E52"/>
    <w:rsid w:val="00060462"/>
    <w:rsid w:val="000617D3"/>
    <w:rsid w:val="00062FB0"/>
    <w:rsid w:val="00063921"/>
    <w:rsid w:val="00063B5B"/>
    <w:rsid w:val="00064254"/>
    <w:rsid w:val="000652C6"/>
    <w:rsid w:val="000660A2"/>
    <w:rsid w:val="0006661A"/>
    <w:rsid w:val="0007118E"/>
    <w:rsid w:val="000716A9"/>
    <w:rsid w:val="00071F3E"/>
    <w:rsid w:val="00072269"/>
    <w:rsid w:val="00072290"/>
    <w:rsid w:val="00072336"/>
    <w:rsid w:val="000729C9"/>
    <w:rsid w:val="000741B8"/>
    <w:rsid w:val="00074E24"/>
    <w:rsid w:val="000769AF"/>
    <w:rsid w:val="00076C98"/>
    <w:rsid w:val="0007739A"/>
    <w:rsid w:val="000773E2"/>
    <w:rsid w:val="0007747B"/>
    <w:rsid w:val="00077C95"/>
    <w:rsid w:val="00077DB1"/>
    <w:rsid w:val="00080BAD"/>
    <w:rsid w:val="00081110"/>
    <w:rsid w:val="00081458"/>
    <w:rsid w:val="00082002"/>
    <w:rsid w:val="00082A83"/>
    <w:rsid w:val="00082CA5"/>
    <w:rsid w:val="00083923"/>
    <w:rsid w:val="00083AFB"/>
    <w:rsid w:val="00083EFF"/>
    <w:rsid w:val="00084524"/>
    <w:rsid w:val="000857A5"/>
    <w:rsid w:val="00090D8B"/>
    <w:rsid w:val="00091751"/>
    <w:rsid w:val="000924A6"/>
    <w:rsid w:val="0009253B"/>
    <w:rsid w:val="000935E3"/>
    <w:rsid w:val="00094717"/>
    <w:rsid w:val="00096217"/>
    <w:rsid w:val="000970AC"/>
    <w:rsid w:val="00097C11"/>
    <w:rsid w:val="000A039F"/>
    <w:rsid w:val="000A0C3A"/>
    <w:rsid w:val="000A0D4E"/>
    <w:rsid w:val="000A2006"/>
    <w:rsid w:val="000A43CD"/>
    <w:rsid w:val="000A47E9"/>
    <w:rsid w:val="000A5688"/>
    <w:rsid w:val="000A5E1E"/>
    <w:rsid w:val="000A628D"/>
    <w:rsid w:val="000A6742"/>
    <w:rsid w:val="000A7022"/>
    <w:rsid w:val="000B1DBC"/>
    <w:rsid w:val="000B28F9"/>
    <w:rsid w:val="000B39E5"/>
    <w:rsid w:val="000B44FD"/>
    <w:rsid w:val="000B4781"/>
    <w:rsid w:val="000B4F8C"/>
    <w:rsid w:val="000B5175"/>
    <w:rsid w:val="000B5395"/>
    <w:rsid w:val="000C045D"/>
    <w:rsid w:val="000C073F"/>
    <w:rsid w:val="000C1EB7"/>
    <w:rsid w:val="000C2F55"/>
    <w:rsid w:val="000C31A8"/>
    <w:rsid w:val="000C3698"/>
    <w:rsid w:val="000C42E9"/>
    <w:rsid w:val="000C5D12"/>
    <w:rsid w:val="000C6888"/>
    <w:rsid w:val="000C7FD3"/>
    <w:rsid w:val="000D0A3E"/>
    <w:rsid w:val="000D10AA"/>
    <w:rsid w:val="000D16B9"/>
    <w:rsid w:val="000D172E"/>
    <w:rsid w:val="000D1DD8"/>
    <w:rsid w:val="000D2D2A"/>
    <w:rsid w:val="000D2D9F"/>
    <w:rsid w:val="000D3116"/>
    <w:rsid w:val="000D36D8"/>
    <w:rsid w:val="000D3EDF"/>
    <w:rsid w:val="000D60AC"/>
    <w:rsid w:val="000D6769"/>
    <w:rsid w:val="000D76E9"/>
    <w:rsid w:val="000E09E7"/>
    <w:rsid w:val="000E13DA"/>
    <w:rsid w:val="000E2BF2"/>
    <w:rsid w:val="000E3017"/>
    <w:rsid w:val="000E3B6A"/>
    <w:rsid w:val="000E53BC"/>
    <w:rsid w:val="000E5B3D"/>
    <w:rsid w:val="000E5F87"/>
    <w:rsid w:val="000E6095"/>
    <w:rsid w:val="000E69EB"/>
    <w:rsid w:val="000E7233"/>
    <w:rsid w:val="000E7768"/>
    <w:rsid w:val="000F07AD"/>
    <w:rsid w:val="000F08E9"/>
    <w:rsid w:val="000F09AE"/>
    <w:rsid w:val="000F11D7"/>
    <w:rsid w:val="000F165B"/>
    <w:rsid w:val="000F2036"/>
    <w:rsid w:val="000F6442"/>
    <w:rsid w:val="000F6D2F"/>
    <w:rsid w:val="00103631"/>
    <w:rsid w:val="0010495C"/>
    <w:rsid w:val="00105882"/>
    <w:rsid w:val="00107D65"/>
    <w:rsid w:val="00111699"/>
    <w:rsid w:val="00112461"/>
    <w:rsid w:val="001125BB"/>
    <w:rsid w:val="00112DA4"/>
    <w:rsid w:val="001134AC"/>
    <w:rsid w:val="001147A6"/>
    <w:rsid w:val="00115D3C"/>
    <w:rsid w:val="00116835"/>
    <w:rsid w:val="001174CC"/>
    <w:rsid w:val="00117513"/>
    <w:rsid w:val="00120030"/>
    <w:rsid w:val="001222FD"/>
    <w:rsid w:val="00122373"/>
    <w:rsid w:val="00126C3C"/>
    <w:rsid w:val="00127B0D"/>
    <w:rsid w:val="00131634"/>
    <w:rsid w:val="00132A72"/>
    <w:rsid w:val="00132EAF"/>
    <w:rsid w:val="00133516"/>
    <w:rsid w:val="00133C68"/>
    <w:rsid w:val="00133D32"/>
    <w:rsid w:val="001348F7"/>
    <w:rsid w:val="00134BF7"/>
    <w:rsid w:val="00135C75"/>
    <w:rsid w:val="0013616C"/>
    <w:rsid w:val="001363C7"/>
    <w:rsid w:val="00136755"/>
    <w:rsid w:val="001373D9"/>
    <w:rsid w:val="00137A35"/>
    <w:rsid w:val="00141869"/>
    <w:rsid w:val="001421B0"/>
    <w:rsid w:val="001431A2"/>
    <w:rsid w:val="00143F6C"/>
    <w:rsid w:val="00145F39"/>
    <w:rsid w:val="00146229"/>
    <w:rsid w:val="0015130F"/>
    <w:rsid w:val="00152112"/>
    <w:rsid w:val="00152A00"/>
    <w:rsid w:val="00152F44"/>
    <w:rsid w:val="00153268"/>
    <w:rsid w:val="001539F5"/>
    <w:rsid w:val="00153C62"/>
    <w:rsid w:val="0015431C"/>
    <w:rsid w:val="00154774"/>
    <w:rsid w:val="001576DC"/>
    <w:rsid w:val="00157B5E"/>
    <w:rsid w:val="001610A9"/>
    <w:rsid w:val="00161318"/>
    <w:rsid w:val="00162436"/>
    <w:rsid w:val="00162933"/>
    <w:rsid w:val="00163720"/>
    <w:rsid w:val="00163AC9"/>
    <w:rsid w:val="00163E3E"/>
    <w:rsid w:val="0016511C"/>
    <w:rsid w:val="001651AC"/>
    <w:rsid w:val="0016544B"/>
    <w:rsid w:val="00165540"/>
    <w:rsid w:val="00165BE5"/>
    <w:rsid w:val="001661C8"/>
    <w:rsid w:val="00166B37"/>
    <w:rsid w:val="001673D1"/>
    <w:rsid w:val="001708A0"/>
    <w:rsid w:val="001718A3"/>
    <w:rsid w:val="00171BA6"/>
    <w:rsid w:val="00172264"/>
    <w:rsid w:val="00172A27"/>
    <w:rsid w:val="00174305"/>
    <w:rsid w:val="00174B92"/>
    <w:rsid w:val="00175316"/>
    <w:rsid w:val="00175EC7"/>
    <w:rsid w:val="001763F7"/>
    <w:rsid w:val="00182748"/>
    <w:rsid w:val="0018400C"/>
    <w:rsid w:val="001844E5"/>
    <w:rsid w:val="001848FB"/>
    <w:rsid w:val="00184F87"/>
    <w:rsid w:val="00185078"/>
    <w:rsid w:val="00185886"/>
    <w:rsid w:val="001862A8"/>
    <w:rsid w:val="0018760E"/>
    <w:rsid w:val="00191828"/>
    <w:rsid w:val="00191EE3"/>
    <w:rsid w:val="001925D6"/>
    <w:rsid w:val="001929B1"/>
    <w:rsid w:val="00192BB1"/>
    <w:rsid w:val="00192EAE"/>
    <w:rsid w:val="0019336D"/>
    <w:rsid w:val="001936FC"/>
    <w:rsid w:val="00194697"/>
    <w:rsid w:val="001946BA"/>
    <w:rsid w:val="00195FAD"/>
    <w:rsid w:val="001A04E3"/>
    <w:rsid w:val="001A1890"/>
    <w:rsid w:val="001A2D19"/>
    <w:rsid w:val="001A3C11"/>
    <w:rsid w:val="001A4663"/>
    <w:rsid w:val="001A4A4E"/>
    <w:rsid w:val="001A4B8D"/>
    <w:rsid w:val="001A4C0D"/>
    <w:rsid w:val="001A4F50"/>
    <w:rsid w:val="001A5A2D"/>
    <w:rsid w:val="001A6969"/>
    <w:rsid w:val="001A6FF8"/>
    <w:rsid w:val="001A7307"/>
    <w:rsid w:val="001A76BF"/>
    <w:rsid w:val="001A78AC"/>
    <w:rsid w:val="001A7A8C"/>
    <w:rsid w:val="001B0343"/>
    <w:rsid w:val="001B0DB9"/>
    <w:rsid w:val="001B14EF"/>
    <w:rsid w:val="001B170C"/>
    <w:rsid w:val="001B26C9"/>
    <w:rsid w:val="001B2961"/>
    <w:rsid w:val="001B367C"/>
    <w:rsid w:val="001B390C"/>
    <w:rsid w:val="001B54BF"/>
    <w:rsid w:val="001C0E03"/>
    <w:rsid w:val="001C1415"/>
    <w:rsid w:val="001C1598"/>
    <w:rsid w:val="001C19A3"/>
    <w:rsid w:val="001C2AA5"/>
    <w:rsid w:val="001C31A3"/>
    <w:rsid w:val="001C3217"/>
    <w:rsid w:val="001C3CB0"/>
    <w:rsid w:val="001C5AA2"/>
    <w:rsid w:val="001C7C08"/>
    <w:rsid w:val="001D4861"/>
    <w:rsid w:val="001D5062"/>
    <w:rsid w:val="001D5B06"/>
    <w:rsid w:val="001D5D53"/>
    <w:rsid w:val="001D64D7"/>
    <w:rsid w:val="001E01EA"/>
    <w:rsid w:val="001E02AB"/>
    <w:rsid w:val="001E2591"/>
    <w:rsid w:val="001E2DB4"/>
    <w:rsid w:val="001E2F8F"/>
    <w:rsid w:val="001E37E2"/>
    <w:rsid w:val="001E627A"/>
    <w:rsid w:val="001E73BF"/>
    <w:rsid w:val="001E7B03"/>
    <w:rsid w:val="001F141C"/>
    <w:rsid w:val="001F16C1"/>
    <w:rsid w:val="001F26FB"/>
    <w:rsid w:val="001F33C1"/>
    <w:rsid w:val="001F36DC"/>
    <w:rsid w:val="001F3F63"/>
    <w:rsid w:val="001F4726"/>
    <w:rsid w:val="001F5BAB"/>
    <w:rsid w:val="001F6869"/>
    <w:rsid w:val="0020050E"/>
    <w:rsid w:val="002005E2"/>
    <w:rsid w:val="00202EDB"/>
    <w:rsid w:val="00203DF9"/>
    <w:rsid w:val="0020491D"/>
    <w:rsid w:val="00205253"/>
    <w:rsid w:val="00205680"/>
    <w:rsid w:val="002057F0"/>
    <w:rsid w:val="00206AA8"/>
    <w:rsid w:val="00206DF5"/>
    <w:rsid w:val="00207266"/>
    <w:rsid w:val="002077B3"/>
    <w:rsid w:val="0021061A"/>
    <w:rsid w:val="00210771"/>
    <w:rsid w:val="00211526"/>
    <w:rsid w:val="002124F4"/>
    <w:rsid w:val="002137B5"/>
    <w:rsid w:val="002145F1"/>
    <w:rsid w:val="00214A62"/>
    <w:rsid w:val="00214CBF"/>
    <w:rsid w:val="002164C0"/>
    <w:rsid w:val="00216AC6"/>
    <w:rsid w:val="00216E58"/>
    <w:rsid w:val="002177B1"/>
    <w:rsid w:val="00223A28"/>
    <w:rsid w:val="002247C5"/>
    <w:rsid w:val="0022542B"/>
    <w:rsid w:val="002259F1"/>
    <w:rsid w:val="0022720F"/>
    <w:rsid w:val="00227F47"/>
    <w:rsid w:val="0023068F"/>
    <w:rsid w:val="00230D7A"/>
    <w:rsid w:val="00232951"/>
    <w:rsid w:val="00232C3F"/>
    <w:rsid w:val="00235232"/>
    <w:rsid w:val="002359C0"/>
    <w:rsid w:val="00236031"/>
    <w:rsid w:val="002376BA"/>
    <w:rsid w:val="00237AD9"/>
    <w:rsid w:val="00242B54"/>
    <w:rsid w:val="002432EE"/>
    <w:rsid w:val="00243D33"/>
    <w:rsid w:val="0024404A"/>
    <w:rsid w:val="00244BA6"/>
    <w:rsid w:val="0024629D"/>
    <w:rsid w:val="00246BFE"/>
    <w:rsid w:val="002500C2"/>
    <w:rsid w:val="002507FB"/>
    <w:rsid w:val="002509AC"/>
    <w:rsid w:val="00250B90"/>
    <w:rsid w:val="00250C56"/>
    <w:rsid w:val="00251501"/>
    <w:rsid w:val="00252AA1"/>
    <w:rsid w:val="002544B1"/>
    <w:rsid w:val="0025574B"/>
    <w:rsid w:val="002559FD"/>
    <w:rsid w:val="00255ED5"/>
    <w:rsid w:val="00257011"/>
    <w:rsid w:val="00257E53"/>
    <w:rsid w:val="002610E8"/>
    <w:rsid w:val="0026139F"/>
    <w:rsid w:val="0026191E"/>
    <w:rsid w:val="002628A3"/>
    <w:rsid w:val="00262C22"/>
    <w:rsid w:val="0026391E"/>
    <w:rsid w:val="00263CDF"/>
    <w:rsid w:val="00265F19"/>
    <w:rsid w:val="00265FA8"/>
    <w:rsid w:val="00266ACD"/>
    <w:rsid w:val="00271260"/>
    <w:rsid w:val="002718CB"/>
    <w:rsid w:val="00272691"/>
    <w:rsid w:val="0027586C"/>
    <w:rsid w:val="002760F5"/>
    <w:rsid w:val="002805BB"/>
    <w:rsid w:val="0028067B"/>
    <w:rsid w:val="00282766"/>
    <w:rsid w:val="0028501D"/>
    <w:rsid w:val="002872DF"/>
    <w:rsid w:val="0029198C"/>
    <w:rsid w:val="00291A75"/>
    <w:rsid w:val="002930FA"/>
    <w:rsid w:val="0029402C"/>
    <w:rsid w:val="002944A1"/>
    <w:rsid w:val="002965FE"/>
    <w:rsid w:val="00296843"/>
    <w:rsid w:val="002969C5"/>
    <w:rsid w:val="00297897"/>
    <w:rsid w:val="00297B4E"/>
    <w:rsid w:val="002A0A45"/>
    <w:rsid w:val="002A0BA5"/>
    <w:rsid w:val="002A5011"/>
    <w:rsid w:val="002A56B5"/>
    <w:rsid w:val="002A68B4"/>
    <w:rsid w:val="002B0A76"/>
    <w:rsid w:val="002B1210"/>
    <w:rsid w:val="002B1227"/>
    <w:rsid w:val="002B184E"/>
    <w:rsid w:val="002B47C9"/>
    <w:rsid w:val="002B6A53"/>
    <w:rsid w:val="002B6F4C"/>
    <w:rsid w:val="002B7383"/>
    <w:rsid w:val="002B760E"/>
    <w:rsid w:val="002C0921"/>
    <w:rsid w:val="002C0B91"/>
    <w:rsid w:val="002C1634"/>
    <w:rsid w:val="002C1C3C"/>
    <w:rsid w:val="002C22C6"/>
    <w:rsid w:val="002C25B2"/>
    <w:rsid w:val="002C2919"/>
    <w:rsid w:val="002C41A5"/>
    <w:rsid w:val="002C4AC2"/>
    <w:rsid w:val="002C5303"/>
    <w:rsid w:val="002C66A0"/>
    <w:rsid w:val="002C6969"/>
    <w:rsid w:val="002C74F0"/>
    <w:rsid w:val="002C7CC1"/>
    <w:rsid w:val="002C7D11"/>
    <w:rsid w:val="002D07C7"/>
    <w:rsid w:val="002D121B"/>
    <w:rsid w:val="002D23DB"/>
    <w:rsid w:val="002D24C0"/>
    <w:rsid w:val="002D3717"/>
    <w:rsid w:val="002D3FDF"/>
    <w:rsid w:val="002D41A7"/>
    <w:rsid w:val="002D49AA"/>
    <w:rsid w:val="002D4AE8"/>
    <w:rsid w:val="002D5288"/>
    <w:rsid w:val="002D5702"/>
    <w:rsid w:val="002D7055"/>
    <w:rsid w:val="002D71CB"/>
    <w:rsid w:val="002D72CD"/>
    <w:rsid w:val="002D7920"/>
    <w:rsid w:val="002D7A45"/>
    <w:rsid w:val="002D7D66"/>
    <w:rsid w:val="002E1235"/>
    <w:rsid w:val="002E31E0"/>
    <w:rsid w:val="002E3300"/>
    <w:rsid w:val="002E409D"/>
    <w:rsid w:val="002E44B9"/>
    <w:rsid w:val="002E4869"/>
    <w:rsid w:val="002E4A87"/>
    <w:rsid w:val="002E5932"/>
    <w:rsid w:val="002F1032"/>
    <w:rsid w:val="002F1CB1"/>
    <w:rsid w:val="002F2046"/>
    <w:rsid w:val="002F477C"/>
    <w:rsid w:val="002F603B"/>
    <w:rsid w:val="002F626F"/>
    <w:rsid w:val="003007B7"/>
    <w:rsid w:val="00301578"/>
    <w:rsid w:val="003020F2"/>
    <w:rsid w:val="00302E13"/>
    <w:rsid w:val="003067E9"/>
    <w:rsid w:val="0031025B"/>
    <w:rsid w:val="003110B1"/>
    <w:rsid w:val="00311184"/>
    <w:rsid w:val="003162BD"/>
    <w:rsid w:val="003178A8"/>
    <w:rsid w:val="00317CA2"/>
    <w:rsid w:val="00321E4E"/>
    <w:rsid w:val="0032217D"/>
    <w:rsid w:val="00322397"/>
    <w:rsid w:val="00322E50"/>
    <w:rsid w:val="00322E72"/>
    <w:rsid w:val="003249B8"/>
    <w:rsid w:val="00324AC8"/>
    <w:rsid w:val="0032588B"/>
    <w:rsid w:val="00325C46"/>
    <w:rsid w:val="00325C4C"/>
    <w:rsid w:val="00326F66"/>
    <w:rsid w:val="00327D3C"/>
    <w:rsid w:val="00330B45"/>
    <w:rsid w:val="00332F5C"/>
    <w:rsid w:val="0033511A"/>
    <w:rsid w:val="00335348"/>
    <w:rsid w:val="00336844"/>
    <w:rsid w:val="00337141"/>
    <w:rsid w:val="0033721D"/>
    <w:rsid w:val="00337783"/>
    <w:rsid w:val="00340717"/>
    <w:rsid w:val="00340773"/>
    <w:rsid w:val="00342453"/>
    <w:rsid w:val="003426F1"/>
    <w:rsid w:val="00342F9B"/>
    <w:rsid w:val="003454C5"/>
    <w:rsid w:val="00345B1E"/>
    <w:rsid w:val="00347B08"/>
    <w:rsid w:val="00347B5F"/>
    <w:rsid w:val="00350C83"/>
    <w:rsid w:val="00350D29"/>
    <w:rsid w:val="00351B61"/>
    <w:rsid w:val="00352804"/>
    <w:rsid w:val="003532AC"/>
    <w:rsid w:val="00353C61"/>
    <w:rsid w:val="00355399"/>
    <w:rsid w:val="003555FE"/>
    <w:rsid w:val="00355777"/>
    <w:rsid w:val="00357AE2"/>
    <w:rsid w:val="00357F88"/>
    <w:rsid w:val="00360599"/>
    <w:rsid w:val="003627AE"/>
    <w:rsid w:val="00363340"/>
    <w:rsid w:val="00363468"/>
    <w:rsid w:val="003647B0"/>
    <w:rsid w:val="00364A10"/>
    <w:rsid w:val="00364C04"/>
    <w:rsid w:val="00366222"/>
    <w:rsid w:val="00366766"/>
    <w:rsid w:val="003675E8"/>
    <w:rsid w:val="003721CD"/>
    <w:rsid w:val="0037238D"/>
    <w:rsid w:val="00372B87"/>
    <w:rsid w:val="00372BCF"/>
    <w:rsid w:val="00375A32"/>
    <w:rsid w:val="00375C26"/>
    <w:rsid w:val="00376050"/>
    <w:rsid w:val="00376387"/>
    <w:rsid w:val="003766F2"/>
    <w:rsid w:val="00376B1F"/>
    <w:rsid w:val="00376F5B"/>
    <w:rsid w:val="00377E92"/>
    <w:rsid w:val="00380A17"/>
    <w:rsid w:val="0038100C"/>
    <w:rsid w:val="003810F6"/>
    <w:rsid w:val="003818A6"/>
    <w:rsid w:val="00384347"/>
    <w:rsid w:val="003845B1"/>
    <w:rsid w:val="0038550D"/>
    <w:rsid w:val="00385B6A"/>
    <w:rsid w:val="00385E26"/>
    <w:rsid w:val="00386AA7"/>
    <w:rsid w:val="00386F7D"/>
    <w:rsid w:val="0038779F"/>
    <w:rsid w:val="00387EB0"/>
    <w:rsid w:val="00390A14"/>
    <w:rsid w:val="00390E69"/>
    <w:rsid w:val="0039277D"/>
    <w:rsid w:val="003939BE"/>
    <w:rsid w:val="00393CD8"/>
    <w:rsid w:val="00394B7D"/>
    <w:rsid w:val="003962CA"/>
    <w:rsid w:val="0039659F"/>
    <w:rsid w:val="00396C3F"/>
    <w:rsid w:val="003A0600"/>
    <w:rsid w:val="003A0FBC"/>
    <w:rsid w:val="003A1395"/>
    <w:rsid w:val="003A17E0"/>
    <w:rsid w:val="003A1C4F"/>
    <w:rsid w:val="003A1EA5"/>
    <w:rsid w:val="003A2C33"/>
    <w:rsid w:val="003A30D3"/>
    <w:rsid w:val="003A50FF"/>
    <w:rsid w:val="003A6122"/>
    <w:rsid w:val="003A6291"/>
    <w:rsid w:val="003B158D"/>
    <w:rsid w:val="003B172E"/>
    <w:rsid w:val="003B2091"/>
    <w:rsid w:val="003B28E9"/>
    <w:rsid w:val="003B29BB"/>
    <w:rsid w:val="003B2D44"/>
    <w:rsid w:val="003B347C"/>
    <w:rsid w:val="003B3CBC"/>
    <w:rsid w:val="003B407C"/>
    <w:rsid w:val="003B4BFA"/>
    <w:rsid w:val="003B587B"/>
    <w:rsid w:val="003B6B52"/>
    <w:rsid w:val="003C0AA7"/>
    <w:rsid w:val="003C162F"/>
    <w:rsid w:val="003C2E53"/>
    <w:rsid w:val="003C35DC"/>
    <w:rsid w:val="003C420B"/>
    <w:rsid w:val="003C49CE"/>
    <w:rsid w:val="003C53DD"/>
    <w:rsid w:val="003C5C87"/>
    <w:rsid w:val="003C5FB8"/>
    <w:rsid w:val="003C62EC"/>
    <w:rsid w:val="003C79EE"/>
    <w:rsid w:val="003D0073"/>
    <w:rsid w:val="003D10B0"/>
    <w:rsid w:val="003D23ED"/>
    <w:rsid w:val="003D3E88"/>
    <w:rsid w:val="003D4925"/>
    <w:rsid w:val="003D4EBD"/>
    <w:rsid w:val="003D5203"/>
    <w:rsid w:val="003D7E15"/>
    <w:rsid w:val="003E0271"/>
    <w:rsid w:val="003E0F76"/>
    <w:rsid w:val="003E183C"/>
    <w:rsid w:val="003E222A"/>
    <w:rsid w:val="003E2237"/>
    <w:rsid w:val="003E3C47"/>
    <w:rsid w:val="003E4B7D"/>
    <w:rsid w:val="003E6162"/>
    <w:rsid w:val="003E67B3"/>
    <w:rsid w:val="003F05E1"/>
    <w:rsid w:val="003F1510"/>
    <w:rsid w:val="003F25F0"/>
    <w:rsid w:val="003F266A"/>
    <w:rsid w:val="003F2680"/>
    <w:rsid w:val="003F2A8A"/>
    <w:rsid w:val="003F378D"/>
    <w:rsid w:val="003F4C74"/>
    <w:rsid w:val="003F4D4F"/>
    <w:rsid w:val="003F65CB"/>
    <w:rsid w:val="003F6F61"/>
    <w:rsid w:val="003F6FF6"/>
    <w:rsid w:val="00401B66"/>
    <w:rsid w:val="00401DEF"/>
    <w:rsid w:val="004023C3"/>
    <w:rsid w:val="00402447"/>
    <w:rsid w:val="00403F3A"/>
    <w:rsid w:val="00404FD6"/>
    <w:rsid w:val="00405031"/>
    <w:rsid w:val="00405216"/>
    <w:rsid w:val="0040529F"/>
    <w:rsid w:val="0040602B"/>
    <w:rsid w:val="00406FA3"/>
    <w:rsid w:val="0040775C"/>
    <w:rsid w:val="00407850"/>
    <w:rsid w:val="00411515"/>
    <w:rsid w:val="00411E75"/>
    <w:rsid w:val="00412F0F"/>
    <w:rsid w:val="00413375"/>
    <w:rsid w:val="00413D1B"/>
    <w:rsid w:val="004141E9"/>
    <w:rsid w:val="004146F9"/>
    <w:rsid w:val="00415C48"/>
    <w:rsid w:val="00416744"/>
    <w:rsid w:val="00416A17"/>
    <w:rsid w:val="00416AAE"/>
    <w:rsid w:val="00416ABF"/>
    <w:rsid w:val="00416C37"/>
    <w:rsid w:val="0041714F"/>
    <w:rsid w:val="0041720E"/>
    <w:rsid w:val="004211F3"/>
    <w:rsid w:val="00421586"/>
    <w:rsid w:val="00421702"/>
    <w:rsid w:val="00421CD4"/>
    <w:rsid w:val="004228C3"/>
    <w:rsid w:val="00422972"/>
    <w:rsid w:val="00424134"/>
    <w:rsid w:val="004249F9"/>
    <w:rsid w:val="00424C14"/>
    <w:rsid w:val="004251F1"/>
    <w:rsid w:val="0042525E"/>
    <w:rsid w:val="00425861"/>
    <w:rsid w:val="0043063A"/>
    <w:rsid w:val="00430ADD"/>
    <w:rsid w:val="004327FC"/>
    <w:rsid w:val="004339AC"/>
    <w:rsid w:val="00433C3C"/>
    <w:rsid w:val="00434B75"/>
    <w:rsid w:val="00434D0D"/>
    <w:rsid w:val="00436580"/>
    <w:rsid w:val="004410C9"/>
    <w:rsid w:val="00441232"/>
    <w:rsid w:val="00442B01"/>
    <w:rsid w:val="0044363C"/>
    <w:rsid w:val="00444098"/>
    <w:rsid w:val="004443CB"/>
    <w:rsid w:val="00444717"/>
    <w:rsid w:val="0044538B"/>
    <w:rsid w:val="0044649C"/>
    <w:rsid w:val="00446637"/>
    <w:rsid w:val="0044759A"/>
    <w:rsid w:val="004478E6"/>
    <w:rsid w:val="00447CD9"/>
    <w:rsid w:val="00451415"/>
    <w:rsid w:val="00451A9B"/>
    <w:rsid w:val="00452143"/>
    <w:rsid w:val="00452A5B"/>
    <w:rsid w:val="00452ADD"/>
    <w:rsid w:val="004531C8"/>
    <w:rsid w:val="0045324D"/>
    <w:rsid w:val="00453BAF"/>
    <w:rsid w:val="00454591"/>
    <w:rsid w:val="004548AB"/>
    <w:rsid w:val="00454C48"/>
    <w:rsid w:val="00455186"/>
    <w:rsid w:val="00455526"/>
    <w:rsid w:val="004564F0"/>
    <w:rsid w:val="004564F6"/>
    <w:rsid w:val="00456E98"/>
    <w:rsid w:val="0046029F"/>
    <w:rsid w:val="00461C4D"/>
    <w:rsid w:val="0046305D"/>
    <w:rsid w:val="004645C7"/>
    <w:rsid w:val="00464C9F"/>
    <w:rsid w:val="004673E2"/>
    <w:rsid w:val="00467751"/>
    <w:rsid w:val="00467B09"/>
    <w:rsid w:val="004734AB"/>
    <w:rsid w:val="00474A5F"/>
    <w:rsid w:val="00476484"/>
    <w:rsid w:val="0047703F"/>
    <w:rsid w:val="004776B6"/>
    <w:rsid w:val="0047776A"/>
    <w:rsid w:val="0048029F"/>
    <w:rsid w:val="004804E5"/>
    <w:rsid w:val="0048083B"/>
    <w:rsid w:val="00480E49"/>
    <w:rsid w:val="00480ED2"/>
    <w:rsid w:val="00481766"/>
    <w:rsid w:val="00481B0F"/>
    <w:rsid w:val="00482922"/>
    <w:rsid w:val="004832E5"/>
    <w:rsid w:val="004836BA"/>
    <w:rsid w:val="00484809"/>
    <w:rsid w:val="00484D66"/>
    <w:rsid w:val="00485ADE"/>
    <w:rsid w:val="00485D4F"/>
    <w:rsid w:val="00486292"/>
    <w:rsid w:val="004903AA"/>
    <w:rsid w:val="00491072"/>
    <w:rsid w:val="00492196"/>
    <w:rsid w:val="00492BD7"/>
    <w:rsid w:val="0049378B"/>
    <w:rsid w:val="00493CA0"/>
    <w:rsid w:val="00494271"/>
    <w:rsid w:val="00494E0D"/>
    <w:rsid w:val="0049537D"/>
    <w:rsid w:val="004954A4"/>
    <w:rsid w:val="0049559F"/>
    <w:rsid w:val="004960A8"/>
    <w:rsid w:val="00496DEE"/>
    <w:rsid w:val="004975B4"/>
    <w:rsid w:val="004A1815"/>
    <w:rsid w:val="004A250B"/>
    <w:rsid w:val="004A34ED"/>
    <w:rsid w:val="004A3558"/>
    <w:rsid w:val="004A496D"/>
    <w:rsid w:val="004A52E4"/>
    <w:rsid w:val="004A7021"/>
    <w:rsid w:val="004A777C"/>
    <w:rsid w:val="004A7E51"/>
    <w:rsid w:val="004B0462"/>
    <w:rsid w:val="004B0AB4"/>
    <w:rsid w:val="004B1823"/>
    <w:rsid w:val="004B30A6"/>
    <w:rsid w:val="004B40E0"/>
    <w:rsid w:val="004B4808"/>
    <w:rsid w:val="004B4DAD"/>
    <w:rsid w:val="004B5134"/>
    <w:rsid w:val="004B5D46"/>
    <w:rsid w:val="004B5DBB"/>
    <w:rsid w:val="004B63EC"/>
    <w:rsid w:val="004B7B43"/>
    <w:rsid w:val="004B7C1C"/>
    <w:rsid w:val="004C005A"/>
    <w:rsid w:val="004C0099"/>
    <w:rsid w:val="004C09CC"/>
    <w:rsid w:val="004C0D91"/>
    <w:rsid w:val="004C10FF"/>
    <w:rsid w:val="004C11B5"/>
    <w:rsid w:val="004C1478"/>
    <w:rsid w:val="004C1D09"/>
    <w:rsid w:val="004C2B89"/>
    <w:rsid w:val="004C2E4E"/>
    <w:rsid w:val="004C348C"/>
    <w:rsid w:val="004C3D14"/>
    <w:rsid w:val="004C5992"/>
    <w:rsid w:val="004D060C"/>
    <w:rsid w:val="004D2324"/>
    <w:rsid w:val="004D5C06"/>
    <w:rsid w:val="004D5C4A"/>
    <w:rsid w:val="004D71E0"/>
    <w:rsid w:val="004D7A81"/>
    <w:rsid w:val="004E0B4D"/>
    <w:rsid w:val="004E0FBA"/>
    <w:rsid w:val="004E1896"/>
    <w:rsid w:val="004E2A11"/>
    <w:rsid w:val="004E3C9D"/>
    <w:rsid w:val="004E3D7B"/>
    <w:rsid w:val="004E426E"/>
    <w:rsid w:val="004E4284"/>
    <w:rsid w:val="004E47D8"/>
    <w:rsid w:val="004E5FBB"/>
    <w:rsid w:val="004E6040"/>
    <w:rsid w:val="004E6159"/>
    <w:rsid w:val="004E62FE"/>
    <w:rsid w:val="004E7590"/>
    <w:rsid w:val="004F04EA"/>
    <w:rsid w:val="004F0763"/>
    <w:rsid w:val="004F0D18"/>
    <w:rsid w:val="004F0F21"/>
    <w:rsid w:val="004F138D"/>
    <w:rsid w:val="004F212A"/>
    <w:rsid w:val="004F5807"/>
    <w:rsid w:val="004F6021"/>
    <w:rsid w:val="004F610A"/>
    <w:rsid w:val="004F65BD"/>
    <w:rsid w:val="00500947"/>
    <w:rsid w:val="00500E1F"/>
    <w:rsid w:val="005011CA"/>
    <w:rsid w:val="00504FFD"/>
    <w:rsid w:val="005051D7"/>
    <w:rsid w:val="00505388"/>
    <w:rsid w:val="00506B15"/>
    <w:rsid w:val="0050711B"/>
    <w:rsid w:val="00507A2F"/>
    <w:rsid w:val="00507B9D"/>
    <w:rsid w:val="00510671"/>
    <w:rsid w:val="0051507B"/>
    <w:rsid w:val="005157EB"/>
    <w:rsid w:val="005174BB"/>
    <w:rsid w:val="00517F2A"/>
    <w:rsid w:val="005213EF"/>
    <w:rsid w:val="005216A0"/>
    <w:rsid w:val="00521FBB"/>
    <w:rsid w:val="0052482B"/>
    <w:rsid w:val="00524854"/>
    <w:rsid w:val="00525368"/>
    <w:rsid w:val="00525917"/>
    <w:rsid w:val="005264E9"/>
    <w:rsid w:val="005270AB"/>
    <w:rsid w:val="00527C88"/>
    <w:rsid w:val="00527D53"/>
    <w:rsid w:val="00527E84"/>
    <w:rsid w:val="00530CDF"/>
    <w:rsid w:val="00531F67"/>
    <w:rsid w:val="00532049"/>
    <w:rsid w:val="005345A0"/>
    <w:rsid w:val="0053487F"/>
    <w:rsid w:val="00535B41"/>
    <w:rsid w:val="00535CC5"/>
    <w:rsid w:val="005373A1"/>
    <w:rsid w:val="005406A3"/>
    <w:rsid w:val="00540A3D"/>
    <w:rsid w:val="00541329"/>
    <w:rsid w:val="005425B4"/>
    <w:rsid w:val="00543422"/>
    <w:rsid w:val="0054478E"/>
    <w:rsid w:val="00544BC0"/>
    <w:rsid w:val="00544E50"/>
    <w:rsid w:val="0054515D"/>
    <w:rsid w:val="00545492"/>
    <w:rsid w:val="00545F0A"/>
    <w:rsid w:val="005468D1"/>
    <w:rsid w:val="005471AD"/>
    <w:rsid w:val="00550A5D"/>
    <w:rsid w:val="00550F28"/>
    <w:rsid w:val="005517FC"/>
    <w:rsid w:val="00551871"/>
    <w:rsid w:val="00554384"/>
    <w:rsid w:val="005570D6"/>
    <w:rsid w:val="00557120"/>
    <w:rsid w:val="005577DE"/>
    <w:rsid w:val="00557A46"/>
    <w:rsid w:val="00557F1C"/>
    <w:rsid w:val="005600DF"/>
    <w:rsid w:val="0056052E"/>
    <w:rsid w:val="00560B5E"/>
    <w:rsid w:val="005616B6"/>
    <w:rsid w:val="00561808"/>
    <w:rsid w:val="00561884"/>
    <w:rsid w:val="00561DF5"/>
    <w:rsid w:val="0056204A"/>
    <w:rsid w:val="00562927"/>
    <w:rsid w:val="00563D84"/>
    <w:rsid w:val="00566148"/>
    <w:rsid w:val="00566309"/>
    <w:rsid w:val="00566B9B"/>
    <w:rsid w:val="00566CD5"/>
    <w:rsid w:val="00566F2F"/>
    <w:rsid w:val="0056740F"/>
    <w:rsid w:val="005679F4"/>
    <w:rsid w:val="005712B6"/>
    <w:rsid w:val="005717BB"/>
    <w:rsid w:val="00571BA2"/>
    <w:rsid w:val="00572470"/>
    <w:rsid w:val="00572EF3"/>
    <w:rsid w:val="00574645"/>
    <w:rsid w:val="00574FD3"/>
    <w:rsid w:val="00575B5B"/>
    <w:rsid w:val="005766F7"/>
    <w:rsid w:val="00576BC9"/>
    <w:rsid w:val="00577328"/>
    <w:rsid w:val="0058035B"/>
    <w:rsid w:val="005830C6"/>
    <w:rsid w:val="00583FB7"/>
    <w:rsid w:val="00584693"/>
    <w:rsid w:val="00585411"/>
    <w:rsid w:val="00585BE3"/>
    <w:rsid w:val="00585F41"/>
    <w:rsid w:val="0058601D"/>
    <w:rsid w:val="005862D1"/>
    <w:rsid w:val="00586A85"/>
    <w:rsid w:val="00586D1F"/>
    <w:rsid w:val="00591091"/>
    <w:rsid w:val="005911C7"/>
    <w:rsid w:val="00591964"/>
    <w:rsid w:val="00591AAC"/>
    <w:rsid w:val="005928E3"/>
    <w:rsid w:val="005939B2"/>
    <w:rsid w:val="00593BDA"/>
    <w:rsid w:val="0059489C"/>
    <w:rsid w:val="00597889"/>
    <w:rsid w:val="005A0014"/>
    <w:rsid w:val="005A025E"/>
    <w:rsid w:val="005A08E5"/>
    <w:rsid w:val="005A0B11"/>
    <w:rsid w:val="005A15D4"/>
    <w:rsid w:val="005A18DF"/>
    <w:rsid w:val="005A2030"/>
    <w:rsid w:val="005A4453"/>
    <w:rsid w:val="005A4C93"/>
    <w:rsid w:val="005A5137"/>
    <w:rsid w:val="005A5528"/>
    <w:rsid w:val="005A5F07"/>
    <w:rsid w:val="005A662A"/>
    <w:rsid w:val="005A6755"/>
    <w:rsid w:val="005A7403"/>
    <w:rsid w:val="005A7793"/>
    <w:rsid w:val="005B0C26"/>
    <w:rsid w:val="005B0CBC"/>
    <w:rsid w:val="005B14F7"/>
    <w:rsid w:val="005B1B28"/>
    <w:rsid w:val="005B2600"/>
    <w:rsid w:val="005B29CA"/>
    <w:rsid w:val="005B305B"/>
    <w:rsid w:val="005B30AD"/>
    <w:rsid w:val="005B413A"/>
    <w:rsid w:val="005B4296"/>
    <w:rsid w:val="005B4A23"/>
    <w:rsid w:val="005B5996"/>
    <w:rsid w:val="005B6705"/>
    <w:rsid w:val="005B7662"/>
    <w:rsid w:val="005B7B28"/>
    <w:rsid w:val="005C0CAE"/>
    <w:rsid w:val="005C18A3"/>
    <w:rsid w:val="005C1B38"/>
    <w:rsid w:val="005C2F53"/>
    <w:rsid w:val="005C325C"/>
    <w:rsid w:val="005C3FC0"/>
    <w:rsid w:val="005C49AE"/>
    <w:rsid w:val="005C5048"/>
    <w:rsid w:val="005C60E9"/>
    <w:rsid w:val="005C736C"/>
    <w:rsid w:val="005C7F46"/>
    <w:rsid w:val="005D1088"/>
    <w:rsid w:val="005D1768"/>
    <w:rsid w:val="005D2219"/>
    <w:rsid w:val="005D23EA"/>
    <w:rsid w:val="005D365E"/>
    <w:rsid w:val="005D4BB0"/>
    <w:rsid w:val="005D529C"/>
    <w:rsid w:val="005E024A"/>
    <w:rsid w:val="005E04C2"/>
    <w:rsid w:val="005E09FC"/>
    <w:rsid w:val="005E24ED"/>
    <w:rsid w:val="005E3449"/>
    <w:rsid w:val="005E73ED"/>
    <w:rsid w:val="005F1538"/>
    <w:rsid w:val="005F18ED"/>
    <w:rsid w:val="005F2607"/>
    <w:rsid w:val="005F3A52"/>
    <w:rsid w:val="005F416A"/>
    <w:rsid w:val="005F66D9"/>
    <w:rsid w:val="006006DA"/>
    <w:rsid w:val="0060092E"/>
    <w:rsid w:val="0060140C"/>
    <w:rsid w:val="00602084"/>
    <w:rsid w:val="00602D7D"/>
    <w:rsid w:val="0060389B"/>
    <w:rsid w:val="00603DDF"/>
    <w:rsid w:val="006066D8"/>
    <w:rsid w:val="006067B9"/>
    <w:rsid w:val="00606AE0"/>
    <w:rsid w:val="006071E6"/>
    <w:rsid w:val="0060727A"/>
    <w:rsid w:val="006108AC"/>
    <w:rsid w:val="00611FE0"/>
    <w:rsid w:val="00613019"/>
    <w:rsid w:val="00613A2E"/>
    <w:rsid w:val="00613C5A"/>
    <w:rsid w:val="006143D7"/>
    <w:rsid w:val="006144FE"/>
    <w:rsid w:val="006148AA"/>
    <w:rsid w:val="00614FA8"/>
    <w:rsid w:val="0061619C"/>
    <w:rsid w:val="0061711B"/>
    <w:rsid w:val="00621D99"/>
    <w:rsid w:val="00622AE9"/>
    <w:rsid w:val="00622D30"/>
    <w:rsid w:val="00622F79"/>
    <w:rsid w:val="006238A5"/>
    <w:rsid w:val="00624091"/>
    <w:rsid w:val="00624F75"/>
    <w:rsid w:val="00626726"/>
    <w:rsid w:val="00626C94"/>
    <w:rsid w:val="00627087"/>
    <w:rsid w:val="00627EB7"/>
    <w:rsid w:val="006300D8"/>
    <w:rsid w:val="0063029A"/>
    <w:rsid w:val="00630395"/>
    <w:rsid w:val="00631C4B"/>
    <w:rsid w:val="0063241C"/>
    <w:rsid w:val="00632D71"/>
    <w:rsid w:val="00633A99"/>
    <w:rsid w:val="00633C7E"/>
    <w:rsid w:val="00633FDF"/>
    <w:rsid w:val="00634321"/>
    <w:rsid w:val="006346B9"/>
    <w:rsid w:val="0063479E"/>
    <w:rsid w:val="0063552A"/>
    <w:rsid w:val="00637ACC"/>
    <w:rsid w:val="00640662"/>
    <w:rsid w:val="00642F11"/>
    <w:rsid w:val="006434CB"/>
    <w:rsid w:val="006439C6"/>
    <w:rsid w:val="00644D53"/>
    <w:rsid w:val="00644E33"/>
    <w:rsid w:val="00644E78"/>
    <w:rsid w:val="00644F73"/>
    <w:rsid w:val="00644FC0"/>
    <w:rsid w:val="00646352"/>
    <w:rsid w:val="00646C96"/>
    <w:rsid w:val="006476AD"/>
    <w:rsid w:val="0065010E"/>
    <w:rsid w:val="00650D96"/>
    <w:rsid w:val="00650DE4"/>
    <w:rsid w:val="00651D59"/>
    <w:rsid w:val="00652332"/>
    <w:rsid w:val="00652A8D"/>
    <w:rsid w:val="00652D76"/>
    <w:rsid w:val="00652FEE"/>
    <w:rsid w:val="00653FC1"/>
    <w:rsid w:val="006542C4"/>
    <w:rsid w:val="006543C9"/>
    <w:rsid w:val="006568ED"/>
    <w:rsid w:val="00656A9C"/>
    <w:rsid w:val="00656C5A"/>
    <w:rsid w:val="00656E78"/>
    <w:rsid w:val="006571BD"/>
    <w:rsid w:val="006573CA"/>
    <w:rsid w:val="00657C59"/>
    <w:rsid w:val="00660C25"/>
    <w:rsid w:val="00661794"/>
    <w:rsid w:val="006625AC"/>
    <w:rsid w:val="00663640"/>
    <w:rsid w:val="00663E5B"/>
    <w:rsid w:val="00665EE2"/>
    <w:rsid w:val="00666E90"/>
    <w:rsid w:val="0067114C"/>
    <w:rsid w:val="006711B2"/>
    <w:rsid w:val="0067202E"/>
    <w:rsid w:val="00673A13"/>
    <w:rsid w:val="00674260"/>
    <w:rsid w:val="006758B8"/>
    <w:rsid w:val="00676634"/>
    <w:rsid w:val="006812F0"/>
    <w:rsid w:val="006813F1"/>
    <w:rsid w:val="00681B0C"/>
    <w:rsid w:val="0068257E"/>
    <w:rsid w:val="006828FB"/>
    <w:rsid w:val="00682E9E"/>
    <w:rsid w:val="00683108"/>
    <w:rsid w:val="00683348"/>
    <w:rsid w:val="006838E5"/>
    <w:rsid w:val="00684B93"/>
    <w:rsid w:val="006870FB"/>
    <w:rsid w:val="0068744D"/>
    <w:rsid w:val="0069064F"/>
    <w:rsid w:val="0069096F"/>
    <w:rsid w:val="00691E40"/>
    <w:rsid w:val="00691ED8"/>
    <w:rsid w:val="00692868"/>
    <w:rsid w:val="00695231"/>
    <w:rsid w:val="00696B54"/>
    <w:rsid w:val="00696EA4"/>
    <w:rsid w:val="006A0888"/>
    <w:rsid w:val="006A0A97"/>
    <w:rsid w:val="006A0E78"/>
    <w:rsid w:val="006A24E1"/>
    <w:rsid w:val="006A3AC4"/>
    <w:rsid w:val="006A43D1"/>
    <w:rsid w:val="006A6AC6"/>
    <w:rsid w:val="006B0235"/>
    <w:rsid w:val="006B0382"/>
    <w:rsid w:val="006B04B8"/>
    <w:rsid w:val="006B3599"/>
    <w:rsid w:val="006B3F10"/>
    <w:rsid w:val="006B4A80"/>
    <w:rsid w:val="006B5BE7"/>
    <w:rsid w:val="006B6523"/>
    <w:rsid w:val="006C03AA"/>
    <w:rsid w:val="006C0AB1"/>
    <w:rsid w:val="006C0B18"/>
    <w:rsid w:val="006C36CE"/>
    <w:rsid w:val="006C39A1"/>
    <w:rsid w:val="006C3D05"/>
    <w:rsid w:val="006C40AA"/>
    <w:rsid w:val="006C568C"/>
    <w:rsid w:val="006C5C99"/>
    <w:rsid w:val="006C6448"/>
    <w:rsid w:val="006C75F5"/>
    <w:rsid w:val="006C7E4C"/>
    <w:rsid w:val="006D1030"/>
    <w:rsid w:val="006D1282"/>
    <w:rsid w:val="006D2143"/>
    <w:rsid w:val="006D22B3"/>
    <w:rsid w:val="006D272A"/>
    <w:rsid w:val="006D42B5"/>
    <w:rsid w:val="006D5E49"/>
    <w:rsid w:val="006D6E63"/>
    <w:rsid w:val="006D74D3"/>
    <w:rsid w:val="006D75A8"/>
    <w:rsid w:val="006D7B1C"/>
    <w:rsid w:val="006E093E"/>
    <w:rsid w:val="006E1492"/>
    <w:rsid w:val="006E38B4"/>
    <w:rsid w:val="006E4CE4"/>
    <w:rsid w:val="006E5300"/>
    <w:rsid w:val="006E713C"/>
    <w:rsid w:val="006E7BEF"/>
    <w:rsid w:val="006E7FAE"/>
    <w:rsid w:val="006F04A4"/>
    <w:rsid w:val="006F0E50"/>
    <w:rsid w:val="006F1260"/>
    <w:rsid w:val="006F32D2"/>
    <w:rsid w:val="006F3FC3"/>
    <w:rsid w:val="006F47E5"/>
    <w:rsid w:val="006F6B1B"/>
    <w:rsid w:val="006F6CED"/>
    <w:rsid w:val="006F7014"/>
    <w:rsid w:val="00700620"/>
    <w:rsid w:val="00702215"/>
    <w:rsid w:val="007033ED"/>
    <w:rsid w:val="00704446"/>
    <w:rsid w:val="00704C5A"/>
    <w:rsid w:val="00705393"/>
    <w:rsid w:val="00705694"/>
    <w:rsid w:val="00706672"/>
    <w:rsid w:val="007076EA"/>
    <w:rsid w:val="00710F93"/>
    <w:rsid w:val="00711501"/>
    <w:rsid w:val="00712B0E"/>
    <w:rsid w:val="00713159"/>
    <w:rsid w:val="007132B2"/>
    <w:rsid w:val="00716F83"/>
    <w:rsid w:val="0071704A"/>
    <w:rsid w:val="007177B4"/>
    <w:rsid w:val="00717ECF"/>
    <w:rsid w:val="00720583"/>
    <w:rsid w:val="00720667"/>
    <w:rsid w:val="00720D37"/>
    <w:rsid w:val="0072101E"/>
    <w:rsid w:val="00721A36"/>
    <w:rsid w:val="00722CA1"/>
    <w:rsid w:val="00724CB3"/>
    <w:rsid w:val="0072513B"/>
    <w:rsid w:val="00725687"/>
    <w:rsid w:val="007259B7"/>
    <w:rsid w:val="00725EF9"/>
    <w:rsid w:val="00727C3E"/>
    <w:rsid w:val="00727E43"/>
    <w:rsid w:val="00731C80"/>
    <w:rsid w:val="00732CA0"/>
    <w:rsid w:val="00732E8D"/>
    <w:rsid w:val="007342EA"/>
    <w:rsid w:val="00734411"/>
    <w:rsid w:val="00735EB9"/>
    <w:rsid w:val="007360CA"/>
    <w:rsid w:val="00736D48"/>
    <w:rsid w:val="00737A2B"/>
    <w:rsid w:val="007414E5"/>
    <w:rsid w:val="00741518"/>
    <w:rsid w:val="00743BC3"/>
    <w:rsid w:val="00743CDA"/>
    <w:rsid w:val="00744205"/>
    <w:rsid w:val="0074430D"/>
    <w:rsid w:val="00744891"/>
    <w:rsid w:val="00746C35"/>
    <w:rsid w:val="00746E6A"/>
    <w:rsid w:val="0074792F"/>
    <w:rsid w:val="007508A5"/>
    <w:rsid w:val="00751C7A"/>
    <w:rsid w:val="00752670"/>
    <w:rsid w:val="00754BB9"/>
    <w:rsid w:val="00755100"/>
    <w:rsid w:val="00755C87"/>
    <w:rsid w:val="00755CE3"/>
    <w:rsid w:val="00756149"/>
    <w:rsid w:val="007604ED"/>
    <w:rsid w:val="007607CD"/>
    <w:rsid w:val="007633BD"/>
    <w:rsid w:val="00764AC7"/>
    <w:rsid w:val="00765FED"/>
    <w:rsid w:val="00766B22"/>
    <w:rsid w:val="00766E3A"/>
    <w:rsid w:val="00767981"/>
    <w:rsid w:val="00772BA9"/>
    <w:rsid w:val="00773C9F"/>
    <w:rsid w:val="007744F1"/>
    <w:rsid w:val="00775EDD"/>
    <w:rsid w:val="007771C3"/>
    <w:rsid w:val="007815D7"/>
    <w:rsid w:val="007821F1"/>
    <w:rsid w:val="00782678"/>
    <w:rsid w:val="00782E5C"/>
    <w:rsid w:val="00783C32"/>
    <w:rsid w:val="00783CDE"/>
    <w:rsid w:val="00784C59"/>
    <w:rsid w:val="0078682B"/>
    <w:rsid w:val="00786E34"/>
    <w:rsid w:val="007903FD"/>
    <w:rsid w:val="00790FFB"/>
    <w:rsid w:val="0079359B"/>
    <w:rsid w:val="00795F26"/>
    <w:rsid w:val="00796F88"/>
    <w:rsid w:val="007A0C70"/>
    <w:rsid w:val="007A1126"/>
    <w:rsid w:val="007A144A"/>
    <w:rsid w:val="007A18AE"/>
    <w:rsid w:val="007A1AD0"/>
    <w:rsid w:val="007A28C1"/>
    <w:rsid w:val="007A57A9"/>
    <w:rsid w:val="007A6C52"/>
    <w:rsid w:val="007A6D8D"/>
    <w:rsid w:val="007A70A6"/>
    <w:rsid w:val="007B00E1"/>
    <w:rsid w:val="007B0ECA"/>
    <w:rsid w:val="007B1D25"/>
    <w:rsid w:val="007B374C"/>
    <w:rsid w:val="007B5435"/>
    <w:rsid w:val="007B5CCB"/>
    <w:rsid w:val="007B7269"/>
    <w:rsid w:val="007B7727"/>
    <w:rsid w:val="007B7FF2"/>
    <w:rsid w:val="007C06C5"/>
    <w:rsid w:val="007C0B2E"/>
    <w:rsid w:val="007C11DD"/>
    <w:rsid w:val="007C18BA"/>
    <w:rsid w:val="007C1D07"/>
    <w:rsid w:val="007C1E5A"/>
    <w:rsid w:val="007C2AD0"/>
    <w:rsid w:val="007C2AFA"/>
    <w:rsid w:val="007C428F"/>
    <w:rsid w:val="007C4A01"/>
    <w:rsid w:val="007C4BB4"/>
    <w:rsid w:val="007C50D7"/>
    <w:rsid w:val="007C51C8"/>
    <w:rsid w:val="007C5AC4"/>
    <w:rsid w:val="007C7CC3"/>
    <w:rsid w:val="007C7DFD"/>
    <w:rsid w:val="007C7EB4"/>
    <w:rsid w:val="007D000F"/>
    <w:rsid w:val="007D1895"/>
    <w:rsid w:val="007D199A"/>
    <w:rsid w:val="007D28DC"/>
    <w:rsid w:val="007D2CA3"/>
    <w:rsid w:val="007D2FB0"/>
    <w:rsid w:val="007D3E61"/>
    <w:rsid w:val="007D468D"/>
    <w:rsid w:val="007D51D2"/>
    <w:rsid w:val="007D552F"/>
    <w:rsid w:val="007D5BD2"/>
    <w:rsid w:val="007D5CCA"/>
    <w:rsid w:val="007D5FED"/>
    <w:rsid w:val="007E14EB"/>
    <w:rsid w:val="007E2903"/>
    <w:rsid w:val="007E292B"/>
    <w:rsid w:val="007E303F"/>
    <w:rsid w:val="007E34F9"/>
    <w:rsid w:val="007E6658"/>
    <w:rsid w:val="007E6678"/>
    <w:rsid w:val="007E6725"/>
    <w:rsid w:val="007F1378"/>
    <w:rsid w:val="007F302F"/>
    <w:rsid w:val="007F3FFE"/>
    <w:rsid w:val="007F5430"/>
    <w:rsid w:val="007F5C58"/>
    <w:rsid w:val="0080094F"/>
    <w:rsid w:val="008024F5"/>
    <w:rsid w:val="008028CF"/>
    <w:rsid w:val="00802E87"/>
    <w:rsid w:val="00803608"/>
    <w:rsid w:val="00803831"/>
    <w:rsid w:val="00803DDF"/>
    <w:rsid w:val="00806C7B"/>
    <w:rsid w:val="00807BE2"/>
    <w:rsid w:val="00810D44"/>
    <w:rsid w:val="00811D59"/>
    <w:rsid w:val="00812218"/>
    <w:rsid w:val="00814583"/>
    <w:rsid w:val="00814E85"/>
    <w:rsid w:val="0081563A"/>
    <w:rsid w:val="0082369D"/>
    <w:rsid w:val="00823FC6"/>
    <w:rsid w:val="0082420E"/>
    <w:rsid w:val="0082467B"/>
    <w:rsid w:val="00824E6A"/>
    <w:rsid w:val="00824EFB"/>
    <w:rsid w:val="00825623"/>
    <w:rsid w:val="00825D72"/>
    <w:rsid w:val="00825F07"/>
    <w:rsid w:val="00826002"/>
    <w:rsid w:val="0082657A"/>
    <w:rsid w:val="00826637"/>
    <w:rsid w:val="008271A9"/>
    <w:rsid w:val="008274F8"/>
    <w:rsid w:val="00830089"/>
    <w:rsid w:val="00830527"/>
    <w:rsid w:val="008329ED"/>
    <w:rsid w:val="008344B1"/>
    <w:rsid w:val="008364BD"/>
    <w:rsid w:val="0083740A"/>
    <w:rsid w:val="0083749A"/>
    <w:rsid w:val="0083750A"/>
    <w:rsid w:val="00837F42"/>
    <w:rsid w:val="00841FE8"/>
    <w:rsid w:val="00842202"/>
    <w:rsid w:val="008422B7"/>
    <w:rsid w:val="0084262D"/>
    <w:rsid w:val="00843539"/>
    <w:rsid w:val="0084403C"/>
    <w:rsid w:val="00844417"/>
    <w:rsid w:val="0084496E"/>
    <w:rsid w:val="00844A7D"/>
    <w:rsid w:val="00844AE0"/>
    <w:rsid w:val="00844CCE"/>
    <w:rsid w:val="00846BF3"/>
    <w:rsid w:val="00847032"/>
    <w:rsid w:val="008473D5"/>
    <w:rsid w:val="00850386"/>
    <w:rsid w:val="00850A33"/>
    <w:rsid w:val="0085157E"/>
    <w:rsid w:val="0085190E"/>
    <w:rsid w:val="008520CE"/>
    <w:rsid w:val="008524CF"/>
    <w:rsid w:val="00853C98"/>
    <w:rsid w:val="00853EFC"/>
    <w:rsid w:val="00854F2E"/>
    <w:rsid w:val="008551FF"/>
    <w:rsid w:val="00855916"/>
    <w:rsid w:val="00856703"/>
    <w:rsid w:val="00856A75"/>
    <w:rsid w:val="00857925"/>
    <w:rsid w:val="0086035F"/>
    <w:rsid w:val="00860855"/>
    <w:rsid w:val="00861C03"/>
    <w:rsid w:val="00864153"/>
    <w:rsid w:val="008642D1"/>
    <w:rsid w:val="00864CD7"/>
    <w:rsid w:val="00865E52"/>
    <w:rsid w:val="00866379"/>
    <w:rsid w:val="0087022D"/>
    <w:rsid w:val="00870AE9"/>
    <w:rsid w:val="00870C14"/>
    <w:rsid w:val="00872669"/>
    <w:rsid w:val="008733E5"/>
    <w:rsid w:val="00873EA2"/>
    <w:rsid w:val="00874E61"/>
    <w:rsid w:val="00876D70"/>
    <w:rsid w:val="00876E3A"/>
    <w:rsid w:val="00877417"/>
    <w:rsid w:val="00877EFC"/>
    <w:rsid w:val="0088176B"/>
    <w:rsid w:val="00881DD3"/>
    <w:rsid w:val="008834CB"/>
    <w:rsid w:val="008836ED"/>
    <w:rsid w:val="008839C7"/>
    <w:rsid w:val="00884CC9"/>
    <w:rsid w:val="00885437"/>
    <w:rsid w:val="00890687"/>
    <w:rsid w:val="00891385"/>
    <w:rsid w:val="008916EF"/>
    <w:rsid w:val="00892E46"/>
    <w:rsid w:val="008933EB"/>
    <w:rsid w:val="00893AEC"/>
    <w:rsid w:val="00894ABA"/>
    <w:rsid w:val="00894EAB"/>
    <w:rsid w:val="00896B8C"/>
    <w:rsid w:val="008A0589"/>
    <w:rsid w:val="008A0D3F"/>
    <w:rsid w:val="008A155E"/>
    <w:rsid w:val="008A52DB"/>
    <w:rsid w:val="008A5E23"/>
    <w:rsid w:val="008B0339"/>
    <w:rsid w:val="008B09A0"/>
    <w:rsid w:val="008B3CC4"/>
    <w:rsid w:val="008B4AA4"/>
    <w:rsid w:val="008B507A"/>
    <w:rsid w:val="008B5608"/>
    <w:rsid w:val="008B59D2"/>
    <w:rsid w:val="008B70EB"/>
    <w:rsid w:val="008C0028"/>
    <w:rsid w:val="008C0F2D"/>
    <w:rsid w:val="008C1434"/>
    <w:rsid w:val="008C1A4D"/>
    <w:rsid w:val="008C22F4"/>
    <w:rsid w:val="008C6CC4"/>
    <w:rsid w:val="008D10CD"/>
    <w:rsid w:val="008D190B"/>
    <w:rsid w:val="008D3B5E"/>
    <w:rsid w:val="008D4066"/>
    <w:rsid w:val="008D5214"/>
    <w:rsid w:val="008D5B39"/>
    <w:rsid w:val="008D696D"/>
    <w:rsid w:val="008D7974"/>
    <w:rsid w:val="008D7A85"/>
    <w:rsid w:val="008E267B"/>
    <w:rsid w:val="008E50EE"/>
    <w:rsid w:val="008E5879"/>
    <w:rsid w:val="008F12F2"/>
    <w:rsid w:val="008F15E6"/>
    <w:rsid w:val="008F1BD1"/>
    <w:rsid w:val="008F573A"/>
    <w:rsid w:val="008F7244"/>
    <w:rsid w:val="00902A0B"/>
    <w:rsid w:val="009031D1"/>
    <w:rsid w:val="009046F7"/>
    <w:rsid w:val="00905C23"/>
    <w:rsid w:val="00905F95"/>
    <w:rsid w:val="00906B2A"/>
    <w:rsid w:val="009078E4"/>
    <w:rsid w:val="00910919"/>
    <w:rsid w:val="00910DF3"/>
    <w:rsid w:val="009112B6"/>
    <w:rsid w:val="009117B4"/>
    <w:rsid w:val="0091395E"/>
    <w:rsid w:val="00914544"/>
    <w:rsid w:val="00915213"/>
    <w:rsid w:val="0091678B"/>
    <w:rsid w:val="00917405"/>
    <w:rsid w:val="00917B3B"/>
    <w:rsid w:val="00917E2E"/>
    <w:rsid w:val="009205D0"/>
    <w:rsid w:val="00920632"/>
    <w:rsid w:val="00920FB9"/>
    <w:rsid w:val="00922AA9"/>
    <w:rsid w:val="0092572B"/>
    <w:rsid w:val="00931510"/>
    <w:rsid w:val="00932DA7"/>
    <w:rsid w:val="00932F80"/>
    <w:rsid w:val="00933D97"/>
    <w:rsid w:val="00934871"/>
    <w:rsid w:val="00934A4A"/>
    <w:rsid w:val="0093641C"/>
    <w:rsid w:val="00936BD7"/>
    <w:rsid w:val="009379FF"/>
    <w:rsid w:val="00937B69"/>
    <w:rsid w:val="00937FC6"/>
    <w:rsid w:val="00942AB3"/>
    <w:rsid w:val="009440A1"/>
    <w:rsid w:val="00944DB0"/>
    <w:rsid w:val="00944E8C"/>
    <w:rsid w:val="00947271"/>
    <w:rsid w:val="00947FFD"/>
    <w:rsid w:val="00950438"/>
    <w:rsid w:val="009505A8"/>
    <w:rsid w:val="00950A79"/>
    <w:rsid w:val="00950E17"/>
    <w:rsid w:val="00950EA2"/>
    <w:rsid w:val="00953B2C"/>
    <w:rsid w:val="00955CD4"/>
    <w:rsid w:val="00955F16"/>
    <w:rsid w:val="0095661E"/>
    <w:rsid w:val="0096095A"/>
    <w:rsid w:val="00960BED"/>
    <w:rsid w:val="00960CF9"/>
    <w:rsid w:val="00961629"/>
    <w:rsid w:val="00961750"/>
    <w:rsid w:val="00961DCC"/>
    <w:rsid w:val="00961DE7"/>
    <w:rsid w:val="00963145"/>
    <w:rsid w:val="0096383D"/>
    <w:rsid w:val="00964738"/>
    <w:rsid w:val="0096786D"/>
    <w:rsid w:val="00972443"/>
    <w:rsid w:val="00974659"/>
    <w:rsid w:val="00974B1C"/>
    <w:rsid w:val="00974C9B"/>
    <w:rsid w:val="00975E20"/>
    <w:rsid w:val="00976358"/>
    <w:rsid w:val="00976621"/>
    <w:rsid w:val="00977091"/>
    <w:rsid w:val="00982F54"/>
    <w:rsid w:val="009842CD"/>
    <w:rsid w:val="0098431C"/>
    <w:rsid w:val="00984CEC"/>
    <w:rsid w:val="009857A2"/>
    <w:rsid w:val="00985A8B"/>
    <w:rsid w:val="00985D3C"/>
    <w:rsid w:val="00985F7B"/>
    <w:rsid w:val="009873F8"/>
    <w:rsid w:val="009909C0"/>
    <w:rsid w:val="0099112E"/>
    <w:rsid w:val="00992773"/>
    <w:rsid w:val="00993DD0"/>
    <w:rsid w:val="00995CAD"/>
    <w:rsid w:val="0099632E"/>
    <w:rsid w:val="00996739"/>
    <w:rsid w:val="00997B6F"/>
    <w:rsid w:val="009A0032"/>
    <w:rsid w:val="009A05A7"/>
    <w:rsid w:val="009A0A43"/>
    <w:rsid w:val="009A0EB5"/>
    <w:rsid w:val="009A3971"/>
    <w:rsid w:val="009A446F"/>
    <w:rsid w:val="009A58A1"/>
    <w:rsid w:val="009A7F56"/>
    <w:rsid w:val="009B0968"/>
    <w:rsid w:val="009B3048"/>
    <w:rsid w:val="009B373E"/>
    <w:rsid w:val="009B3C87"/>
    <w:rsid w:val="009B3EC3"/>
    <w:rsid w:val="009B43B8"/>
    <w:rsid w:val="009B482B"/>
    <w:rsid w:val="009B5293"/>
    <w:rsid w:val="009B613C"/>
    <w:rsid w:val="009B798F"/>
    <w:rsid w:val="009C07D6"/>
    <w:rsid w:val="009C09C7"/>
    <w:rsid w:val="009C0F8D"/>
    <w:rsid w:val="009C147B"/>
    <w:rsid w:val="009C17AA"/>
    <w:rsid w:val="009C1A38"/>
    <w:rsid w:val="009C202F"/>
    <w:rsid w:val="009C3412"/>
    <w:rsid w:val="009C38D7"/>
    <w:rsid w:val="009C3900"/>
    <w:rsid w:val="009C4308"/>
    <w:rsid w:val="009C46AB"/>
    <w:rsid w:val="009C599B"/>
    <w:rsid w:val="009C59E4"/>
    <w:rsid w:val="009C7B8A"/>
    <w:rsid w:val="009D000A"/>
    <w:rsid w:val="009D142B"/>
    <w:rsid w:val="009D205F"/>
    <w:rsid w:val="009D3DBD"/>
    <w:rsid w:val="009D51AC"/>
    <w:rsid w:val="009D5A52"/>
    <w:rsid w:val="009D6014"/>
    <w:rsid w:val="009D6361"/>
    <w:rsid w:val="009D63C6"/>
    <w:rsid w:val="009E0D00"/>
    <w:rsid w:val="009E1699"/>
    <w:rsid w:val="009E355A"/>
    <w:rsid w:val="009E41E3"/>
    <w:rsid w:val="009E56D5"/>
    <w:rsid w:val="009E7397"/>
    <w:rsid w:val="009F09ED"/>
    <w:rsid w:val="009F1EEF"/>
    <w:rsid w:val="009F4627"/>
    <w:rsid w:val="009F4AD9"/>
    <w:rsid w:val="009F4C88"/>
    <w:rsid w:val="009F59B6"/>
    <w:rsid w:val="009F5EDC"/>
    <w:rsid w:val="00A0284F"/>
    <w:rsid w:val="00A0313E"/>
    <w:rsid w:val="00A03541"/>
    <w:rsid w:val="00A03908"/>
    <w:rsid w:val="00A03CC5"/>
    <w:rsid w:val="00A03F54"/>
    <w:rsid w:val="00A04A13"/>
    <w:rsid w:val="00A05217"/>
    <w:rsid w:val="00A05C2C"/>
    <w:rsid w:val="00A05C96"/>
    <w:rsid w:val="00A06D47"/>
    <w:rsid w:val="00A07416"/>
    <w:rsid w:val="00A11E23"/>
    <w:rsid w:val="00A12BC5"/>
    <w:rsid w:val="00A12CA4"/>
    <w:rsid w:val="00A13B8C"/>
    <w:rsid w:val="00A13F53"/>
    <w:rsid w:val="00A14F76"/>
    <w:rsid w:val="00A155CD"/>
    <w:rsid w:val="00A165EB"/>
    <w:rsid w:val="00A16D29"/>
    <w:rsid w:val="00A17B40"/>
    <w:rsid w:val="00A207F7"/>
    <w:rsid w:val="00A2135E"/>
    <w:rsid w:val="00A217DF"/>
    <w:rsid w:val="00A23B8A"/>
    <w:rsid w:val="00A242C4"/>
    <w:rsid w:val="00A24D20"/>
    <w:rsid w:val="00A254FD"/>
    <w:rsid w:val="00A25524"/>
    <w:rsid w:val="00A263B3"/>
    <w:rsid w:val="00A26AE2"/>
    <w:rsid w:val="00A26F65"/>
    <w:rsid w:val="00A27F42"/>
    <w:rsid w:val="00A31D9F"/>
    <w:rsid w:val="00A3358A"/>
    <w:rsid w:val="00A34A78"/>
    <w:rsid w:val="00A3551B"/>
    <w:rsid w:val="00A35BB1"/>
    <w:rsid w:val="00A35EC8"/>
    <w:rsid w:val="00A37EBC"/>
    <w:rsid w:val="00A40095"/>
    <w:rsid w:val="00A40766"/>
    <w:rsid w:val="00A41109"/>
    <w:rsid w:val="00A411FA"/>
    <w:rsid w:val="00A413F1"/>
    <w:rsid w:val="00A41EF3"/>
    <w:rsid w:val="00A42524"/>
    <w:rsid w:val="00A4259F"/>
    <w:rsid w:val="00A427EB"/>
    <w:rsid w:val="00A44490"/>
    <w:rsid w:val="00A44D5F"/>
    <w:rsid w:val="00A45347"/>
    <w:rsid w:val="00A45D64"/>
    <w:rsid w:val="00A468B3"/>
    <w:rsid w:val="00A474B3"/>
    <w:rsid w:val="00A47937"/>
    <w:rsid w:val="00A512CF"/>
    <w:rsid w:val="00A51D10"/>
    <w:rsid w:val="00A5367C"/>
    <w:rsid w:val="00A543CB"/>
    <w:rsid w:val="00A553C9"/>
    <w:rsid w:val="00A55E4C"/>
    <w:rsid w:val="00A564EC"/>
    <w:rsid w:val="00A6013C"/>
    <w:rsid w:val="00A6191D"/>
    <w:rsid w:val="00A61A1F"/>
    <w:rsid w:val="00A62921"/>
    <w:rsid w:val="00A634DB"/>
    <w:rsid w:val="00A6371A"/>
    <w:rsid w:val="00A63D0D"/>
    <w:rsid w:val="00A66FF7"/>
    <w:rsid w:val="00A717F4"/>
    <w:rsid w:val="00A71FF3"/>
    <w:rsid w:val="00A72223"/>
    <w:rsid w:val="00A72FEC"/>
    <w:rsid w:val="00A731BC"/>
    <w:rsid w:val="00A755F4"/>
    <w:rsid w:val="00A75D32"/>
    <w:rsid w:val="00A765B1"/>
    <w:rsid w:val="00A76B90"/>
    <w:rsid w:val="00A770F8"/>
    <w:rsid w:val="00A807ED"/>
    <w:rsid w:val="00A82E04"/>
    <w:rsid w:val="00A83251"/>
    <w:rsid w:val="00A83563"/>
    <w:rsid w:val="00A83B40"/>
    <w:rsid w:val="00A83B7E"/>
    <w:rsid w:val="00A855AA"/>
    <w:rsid w:val="00A85AF7"/>
    <w:rsid w:val="00A86B12"/>
    <w:rsid w:val="00A86B76"/>
    <w:rsid w:val="00A87536"/>
    <w:rsid w:val="00A9020F"/>
    <w:rsid w:val="00A90966"/>
    <w:rsid w:val="00A90D65"/>
    <w:rsid w:val="00A940BE"/>
    <w:rsid w:val="00A9476D"/>
    <w:rsid w:val="00A94AF4"/>
    <w:rsid w:val="00A96CC3"/>
    <w:rsid w:val="00A972B9"/>
    <w:rsid w:val="00AA1664"/>
    <w:rsid w:val="00AA176B"/>
    <w:rsid w:val="00AA1C68"/>
    <w:rsid w:val="00AA2FDB"/>
    <w:rsid w:val="00AA4A31"/>
    <w:rsid w:val="00AA6968"/>
    <w:rsid w:val="00AA7D5E"/>
    <w:rsid w:val="00AB0274"/>
    <w:rsid w:val="00AB0682"/>
    <w:rsid w:val="00AB12F2"/>
    <w:rsid w:val="00AB2856"/>
    <w:rsid w:val="00AB31EC"/>
    <w:rsid w:val="00AB35C9"/>
    <w:rsid w:val="00AB3B35"/>
    <w:rsid w:val="00AB4449"/>
    <w:rsid w:val="00AB5553"/>
    <w:rsid w:val="00AB624D"/>
    <w:rsid w:val="00AB6745"/>
    <w:rsid w:val="00AB7E08"/>
    <w:rsid w:val="00AC0117"/>
    <w:rsid w:val="00AC0633"/>
    <w:rsid w:val="00AC2953"/>
    <w:rsid w:val="00AC3590"/>
    <w:rsid w:val="00AC3591"/>
    <w:rsid w:val="00AC4261"/>
    <w:rsid w:val="00AC4548"/>
    <w:rsid w:val="00AC46D4"/>
    <w:rsid w:val="00AC62D3"/>
    <w:rsid w:val="00AC7218"/>
    <w:rsid w:val="00AD08A7"/>
    <w:rsid w:val="00AD1059"/>
    <w:rsid w:val="00AD2097"/>
    <w:rsid w:val="00AD234C"/>
    <w:rsid w:val="00AD26C8"/>
    <w:rsid w:val="00AD294E"/>
    <w:rsid w:val="00AD4B3F"/>
    <w:rsid w:val="00AD5E22"/>
    <w:rsid w:val="00AD5E9B"/>
    <w:rsid w:val="00AD64B9"/>
    <w:rsid w:val="00AD7830"/>
    <w:rsid w:val="00AD7E93"/>
    <w:rsid w:val="00AE0C23"/>
    <w:rsid w:val="00AE2C20"/>
    <w:rsid w:val="00AE35E8"/>
    <w:rsid w:val="00AE42E1"/>
    <w:rsid w:val="00AE4520"/>
    <w:rsid w:val="00AE54BB"/>
    <w:rsid w:val="00AE7D78"/>
    <w:rsid w:val="00AF015E"/>
    <w:rsid w:val="00AF0C6E"/>
    <w:rsid w:val="00AF152A"/>
    <w:rsid w:val="00AF1A88"/>
    <w:rsid w:val="00AF2027"/>
    <w:rsid w:val="00AF3859"/>
    <w:rsid w:val="00AF426E"/>
    <w:rsid w:val="00AF6334"/>
    <w:rsid w:val="00AF64C9"/>
    <w:rsid w:val="00AF6E5D"/>
    <w:rsid w:val="00AF7111"/>
    <w:rsid w:val="00AF714C"/>
    <w:rsid w:val="00B000C1"/>
    <w:rsid w:val="00B008BD"/>
    <w:rsid w:val="00B012C2"/>
    <w:rsid w:val="00B02173"/>
    <w:rsid w:val="00B025B3"/>
    <w:rsid w:val="00B02C12"/>
    <w:rsid w:val="00B02E41"/>
    <w:rsid w:val="00B032C2"/>
    <w:rsid w:val="00B03A2C"/>
    <w:rsid w:val="00B04543"/>
    <w:rsid w:val="00B04876"/>
    <w:rsid w:val="00B04878"/>
    <w:rsid w:val="00B05123"/>
    <w:rsid w:val="00B052C6"/>
    <w:rsid w:val="00B055F6"/>
    <w:rsid w:val="00B057F7"/>
    <w:rsid w:val="00B06BAA"/>
    <w:rsid w:val="00B0756E"/>
    <w:rsid w:val="00B0797B"/>
    <w:rsid w:val="00B109CF"/>
    <w:rsid w:val="00B1188C"/>
    <w:rsid w:val="00B11B36"/>
    <w:rsid w:val="00B12827"/>
    <w:rsid w:val="00B14491"/>
    <w:rsid w:val="00B14710"/>
    <w:rsid w:val="00B14A65"/>
    <w:rsid w:val="00B15ACB"/>
    <w:rsid w:val="00B15DAF"/>
    <w:rsid w:val="00B167D6"/>
    <w:rsid w:val="00B17324"/>
    <w:rsid w:val="00B2039D"/>
    <w:rsid w:val="00B20B41"/>
    <w:rsid w:val="00B20FD2"/>
    <w:rsid w:val="00B23D3F"/>
    <w:rsid w:val="00B241CF"/>
    <w:rsid w:val="00B24C18"/>
    <w:rsid w:val="00B250BE"/>
    <w:rsid w:val="00B2551C"/>
    <w:rsid w:val="00B260BC"/>
    <w:rsid w:val="00B269F2"/>
    <w:rsid w:val="00B270C6"/>
    <w:rsid w:val="00B27855"/>
    <w:rsid w:val="00B27E98"/>
    <w:rsid w:val="00B30398"/>
    <w:rsid w:val="00B31075"/>
    <w:rsid w:val="00B3200A"/>
    <w:rsid w:val="00B32055"/>
    <w:rsid w:val="00B32886"/>
    <w:rsid w:val="00B33265"/>
    <w:rsid w:val="00B333C1"/>
    <w:rsid w:val="00B338B7"/>
    <w:rsid w:val="00B3588B"/>
    <w:rsid w:val="00B3631D"/>
    <w:rsid w:val="00B3752C"/>
    <w:rsid w:val="00B37F1F"/>
    <w:rsid w:val="00B40684"/>
    <w:rsid w:val="00B40EDE"/>
    <w:rsid w:val="00B421F6"/>
    <w:rsid w:val="00B422DC"/>
    <w:rsid w:val="00B43798"/>
    <w:rsid w:val="00B45020"/>
    <w:rsid w:val="00B46698"/>
    <w:rsid w:val="00B46AD9"/>
    <w:rsid w:val="00B4740A"/>
    <w:rsid w:val="00B47A82"/>
    <w:rsid w:val="00B505C8"/>
    <w:rsid w:val="00B50D3C"/>
    <w:rsid w:val="00B50DDB"/>
    <w:rsid w:val="00B50EEA"/>
    <w:rsid w:val="00B5138C"/>
    <w:rsid w:val="00B51549"/>
    <w:rsid w:val="00B51AE5"/>
    <w:rsid w:val="00B51D5E"/>
    <w:rsid w:val="00B52237"/>
    <w:rsid w:val="00B53F2F"/>
    <w:rsid w:val="00B550A2"/>
    <w:rsid w:val="00B56878"/>
    <w:rsid w:val="00B569FA"/>
    <w:rsid w:val="00B57D49"/>
    <w:rsid w:val="00B57E6D"/>
    <w:rsid w:val="00B61747"/>
    <w:rsid w:val="00B62E97"/>
    <w:rsid w:val="00B635A5"/>
    <w:rsid w:val="00B640DC"/>
    <w:rsid w:val="00B66F17"/>
    <w:rsid w:val="00B67F8F"/>
    <w:rsid w:val="00B70176"/>
    <w:rsid w:val="00B710B5"/>
    <w:rsid w:val="00B7244D"/>
    <w:rsid w:val="00B729FE"/>
    <w:rsid w:val="00B7339D"/>
    <w:rsid w:val="00B736A1"/>
    <w:rsid w:val="00B7370A"/>
    <w:rsid w:val="00B7443D"/>
    <w:rsid w:val="00B74B5A"/>
    <w:rsid w:val="00B75573"/>
    <w:rsid w:val="00B77A98"/>
    <w:rsid w:val="00B77F73"/>
    <w:rsid w:val="00B80D55"/>
    <w:rsid w:val="00B8196D"/>
    <w:rsid w:val="00B82E48"/>
    <w:rsid w:val="00B82F58"/>
    <w:rsid w:val="00B8402D"/>
    <w:rsid w:val="00B865B7"/>
    <w:rsid w:val="00B90664"/>
    <w:rsid w:val="00B916F3"/>
    <w:rsid w:val="00B921E6"/>
    <w:rsid w:val="00B923A0"/>
    <w:rsid w:val="00B9281E"/>
    <w:rsid w:val="00B93147"/>
    <w:rsid w:val="00B9533D"/>
    <w:rsid w:val="00B953D4"/>
    <w:rsid w:val="00B96158"/>
    <w:rsid w:val="00B9620B"/>
    <w:rsid w:val="00B978A9"/>
    <w:rsid w:val="00BA0054"/>
    <w:rsid w:val="00BA1226"/>
    <w:rsid w:val="00BA16EE"/>
    <w:rsid w:val="00BA2231"/>
    <w:rsid w:val="00BA3AD1"/>
    <w:rsid w:val="00BA3BA6"/>
    <w:rsid w:val="00BA48F9"/>
    <w:rsid w:val="00BA5652"/>
    <w:rsid w:val="00BA62CD"/>
    <w:rsid w:val="00BA64A2"/>
    <w:rsid w:val="00BB1B0D"/>
    <w:rsid w:val="00BB2320"/>
    <w:rsid w:val="00BB2C5F"/>
    <w:rsid w:val="00BB40BD"/>
    <w:rsid w:val="00BB41CF"/>
    <w:rsid w:val="00BB6A57"/>
    <w:rsid w:val="00BB7238"/>
    <w:rsid w:val="00BB7A8C"/>
    <w:rsid w:val="00BC08AE"/>
    <w:rsid w:val="00BC0B15"/>
    <w:rsid w:val="00BC3175"/>
    <w:rsid w:val="00BC3271"/>
    <w:rsid w:val="00BC3651"/>
    <w:rsid w:val="00BC3F96"/>
    <w:rsid w:val="00BC43CA"/>
    <w:rsid w:val="00BC48FE"/>
    <w:rsid w:val="00BC4A98"/>
    <w:rsid w:val="00BC5530"/>
    <w:rsid w:val="00BC65AF"/>
    <w:rsid w:val="00BC745A"/>
    <w:rsid w:val="00BC74E1"/>
    <w:rsid w:val="00BD04A8"/>
    <w:rsid w:val="00BD35BB"/>
    <w:rsid w:val="00BD3DDD"/>
    <w:rsid w:val="00BD4F55"/>
    <w:rsid w:val="00BD5279"/>
    <w:rsid w:val="00BD5E04"/>
    <w:rsid w:val="00BD79B7"/>
    <w:rsid w:val="00BE01FE"/>
    <w:rsid w:val="00BE33D2"/>
    <w:rsid w:val="00BE3B61"/>
    <w:rsid w:val="00BE46A1"/>
    <w:rsid w:val="00BE5E15"/>
    <w:rsid w:val="00BE68A2"/>
    <w:rsid w:val="00BF0FD9"/>
    <w:rsid w:val="00BF43AF"/>
    <w:rsid w:val="00BF5709"/>
    <w:rsid w:val="00BF5C38"/>
    <w:rsid w:val="00BF5FE4"/>
    <w:rsid w:val="00BF67A2"/>
    <w:rsid w:val="00BF7194"/>
    <w:rsid w:val="00C0146E"/>
    <w:rsid w:val="00C03205"/>
    <w:rsid w:val="00C04CA0"/>
    <w:rsid w:val="00C04CE6"/>
    <w:rsid w:val="00C05A9B"/>
    <w:rsid w:val="00C0729A"/>
    <w:rsid w:val="00C076CC"/>
    <w:rsid w:val="00C07743"/>
    <w:rsid w:val="00C10AF2"/>
    <w:rsid w:val="00C10CEF"/>
    <w:rsid w:val="00C10F2C"/>
    <w:rsid w:val="00C1103B"/>
    <w:rsid w:val="00C12F4A"/>
    <w:rsid w:val="00C13A8B"/>
    <w:rsid w:val="00C13CCF"/>
    <w:rsid w:val="00C13F2D"/>
    <w:rsid w:val="00C14533"/>
    <w:rsid w:val="00C157FC"/>
    <w:rsid w:val="00C15BDE"/>
    <w:rsid w:val="00C15F91"/>
    <w:rsid w:val="00C202B9"/>
    <w:rsid w:val="00C2051B"/>
    <w:rsid w:val="00C20633"/>
    <w:rsid w:val="00C20E2B"/>
    <w:rsid w:val="00C21529"/>
    <w:rsid w:val="00C22517"/>
    <w:rsid w:val="00C22A0C"/>
    <w:rsid w:val="00C2332F"/>
    <w:rsid w:val="00C236CF"/>
    <w:rsid w:val="00C24E88"/>
    <w:rsid w:val="00C270FA"/>
    <w:rsid w:val="00C272F5"/>
    <w:rsid w:val="00C314AD"/>
    <w:rsid w:val="00C325F0"/>
    <w:rsid w:val="00C32D5D"/>
    <w:rsid w:val="00C33578"/>
    <w:rsid w:val="00C337E4"/>
    <w:rsid w:val="00C34662"/>
    <w:rsid w:val="00C34E51"/>
    <w:rsid w:val="00C34E58"/>
    <w:rsid w:val="00C35F17"/>
    <w:rsid w:val="00C37213"/>
    <w:rsid w:val="00C40BE2"/>
    <w:rsid w:val="00C41810"/>
    <w:rsid w:val="00C43BE8"/>
    <w:rsid w:val="00C43E02"/>
    <w:rsid w:val="00C44002"/>
    <w:rsid w:val="00C44378"/>
    <w:rsid w:val="00C45226"/>
    <w:rsid w:val="00C452AA"/>
    <w:rsid w:val="00C4545D"/>
    <w:rsid w:val="00C46442"/>
    <w:rsid w:val="00C47BF8"/>
    <w:rsid w:val="00C50067"/>
    <w:rsid w:val="00C50988"/>
    <w:rsid w:val="00C54581"/>
    <w:rsid w:val="00C54953"/>
    <w:rsid w:val="00C55CDD"/>
    <w:rsid w:val="00C56114"/>
    <w:rsid w:val="00C577FA"/>
    <w:rsid w:val="00C62FB6"/>
    <w:rsid w:val="00C63A6B"/>
    <w:rsid w:val="00C6420C"/>
    <w:rsid w:val="00C64C09"/>
    <w:rsid w:val="00C64CCC"/>
    <w:rsid w:val="00C65198"/>
    <w:rsid w:val="00C6574C"/>
    <w:rsid w:val="00C6670B"/>
    <w:rsid w:val="00C66CA5"/>
    <w:rsid w:val="00C70491"/>
    <w:rsid w:val="00C707DE"/>
    <w:rsid w:val="00C70C7A"/>
    <w:rsid w:val="00C71C09"/>
    <w:rsid w:val="00C71CD9"/>
    <w:rsid w:val="00C71DC1"/>
    <w:rsid w:val="00C73664"/>
    <w:rsid w:val="00C741B0"/>
    <w:rsid w:val="00C745AF"/>
    <w:rsid w:val="00C77301"/>
    <w:rsid w:val="00C774E0"/>
    <w:rsid w:val="00C7766F"/>
    <w:rsid w:val="00C77A7C"/>
    <w:rsid w:val="00C81D99"/>
    <w:rsid w:val="00C84029"/>
    <w:rsid w:val="00C84435"/>
    <w:rsid w:val="00C84EE3"/>
    <w:rsid w:val="00C86FEC"/>
    <w:rsid w:val="00C93DAF"/>
    <w:rsid w:val="00C9446D"/>
    <w:rsid w:val="00C944EE"/>
    <w:rsid w:val="00C94859"/>
    <w:rsid w:val="00C94F1B"/>
    <w:rsid w:val="00C9542B"/>
    <w:rsid w:val="00C95706"/>
    <w:rsid w:val="00C9625C"/>
    <w:rsid w:val="00C9675D"/>
    <w:rsid w:val="00C96C4D"/>
    <w:rsid w:val="00C97E57"/>
    <w:rsid w:val="00C97F0C"/>
    <w:rsid w:val="00CA0A87"/>
    <w:rsid w:val="00CA1993"/>
    <w:rsid w:val="00CA1A88"/>
    <w:rsid w:val="00CA292D"/>
    <w:rsid w:val="00CA2A42"/>
    <w:rsid w:val="00CA2FB6"/>
    <w:rsid w:val="00CA3567"/>
    <w:rsid w:val="00CA3FA3"/>
    <w:rsid w:val="00CA58F6"/>
    <w:rsid w:val="00CA6686"/>
    <w:rsid w:val="00CA7BAD"/>
    <w:rsid w:val="00CA7E23"/>
    <w:rsid w:val="00CB01BE"/>
    <w:rsid w:val="00CB087B"/>
    <w:rsid w:val="00CB11A9"/>
    <w:rsid w:val="00CB1C9D"/>
    <w:rsid w:val="00CB1E7E"/>
    <w:rsid w:val="00CB1E85"/>
    <w:rsid w:val="00CB2B2B"/>
    <w:rsid w:val="00CB34A2"/>
    <w:rsid w:val="00CB53E7"/>
    <w:rsid w:val="00CB552B"/>
    <w:rsid w:val="00CB5569"/>
    <w:rsid w:val="00CB5592"/>
    <w:rsid w:val="00CB6812"/>
    <w:rsid w:val="00CB6AE6"/>
    <w:rsid w:val="00CB768D"/>
    <w:rsid w:val="00CB7E3A"/>
    <w:rsid w:val="00CC4F6F"/>
    <w:rsid w:val="00CC600E"/>
    <w:rsid w:val="00CC687C"/>
    <w:rsid w:val="00CC7713"/>
    <w:rsid w:val="00CC7772"/>
    <w:rsid w:val="00CD040A"/>
    <w:rsid w:val="00CD255F"/>
    <w:rsid w:val="00CD296D"/>
    <w:rsid w:val="00CD3045"/>
    <w:rsid w:val="00CD4DA0"/>
    <w:rsid w:val="00CD4E5B"/>
    <w:rsid w:val="00CD50ED"/>
    <w:rsid w:val="00CD56FA"/>
    <w:rsid w:val="00CD60D7"/>
    <w:rsid w:val="00CE1398"/>
    <w:rsid w:val="00CE1A20"/>
    <w:rsid w:val="00CE2F00"/>
    <w:rsid w:val="00CE3A6D"/>
    <w:rsid w:val="00CE5ABA"/>
    <w:rsid w:val="00CE7423"/>
    <w:rsid w:val="00CE7B5C"/>
    <w:rsid w:val="00CF0184"/>
    <w:rsid w:val="00CF01A5"/>
    <w:rsid w:val="00CF0663"/>
    <w:rsid w:val="00CF0C5B"/>
    <w:rsid w:val="00CF12A0"/>
    <w:rsid w:val="00CF12C4"/>
    <w:rsid w:val="00CF1F94"/>
    <w:rsid w:val="00CF216F"/>
    <w:rsid w:val="00CF28DC"/>
    <w:rsid w:val="00CF3A3A"/>
    <w:rsid w:val="00CF4659"/>
    <w:rsid w:val="00CF5890"/>
    <w:rsid w:val="00CF6FCA"/>
    <w:rsid w:val="00CF7870"/>
    <w:rsid w:val="00CF79F9"/>
    <w:rsid w:val="00CF7CE0"/>
    <w:rsid w:val="00D008D7"/>
    <w:rsid w:val="00D009BB"/>
    <w:rsid w:val="00D03294"/>
    <w:rsid w:val="00D050BD"/>
    <w:rsid w:val="00D05EFA"/>
    <w:rsid w:val="00D060E5"/>
    <w:rsid w:val="00D0636B"/>
    <w:rsid w:val="00D069E7"/>
    <w:rsid w:val="00D075F1"/>
    <w:rsid w:val="00D07B7B"/>
    <w:rsid w:val="00D11497"/>
    <w:rsid w:val="00D14A36"/>
    <w:rsid w:val="00D14ECB"/>
    <w:rsid w:val="00D1516E"/>
    <w:rsid w:val="00D15A1C"/>
    <w:rsid w:val="00D15F65"/>
    <w:rsid w:val="00D165E5"/>
    <w:rsid w:val="00D16789"/>
    <w:rsid w:val="00D21EBB"/>
    <w:rsid w:val="00D22CB7"/>
    <w:rsid w:val="00D22DC2"/>
    <w:rsid w:val="00D23EF2"/>
    <w:rsid w:val="00D241E8"/>
    <w:rsid w:val="00D24394"/>
    <w:rsid w:val="00D2535B"/>
    <w:rsid w:val="00D25DCF"/>
    <w:rsid w:val="00D26AD9"/>
    <w:rsid w:val="00D3021A"/>
    <w:rsid w:val="00D311D9"/>
    <w:rsid w:val="00D313C0"/>
    <w:rsid w:val="00D31EE3"/>
    <w:rsid w:val="00D32D55"/>
    <w:rsid w:val="00D33943"/>
    <w:rsid w:val="00D35829"/>
    <w:rsid w:val="00D35FE2"/>
    <w:rsid w:val="00D414C8"/>
    <w:rsid w:val="00D42E3B"/>
    <w:rsid w:val="00D45170"/>
    <w:rsid w:val="00D461F2"/>
    <w:rsid w:val="00D4647C"/>
    <w:rsid w:val="00D46B68"/>
    <w:rsid w:val="00D4711A"/>
    <w:rsid w:val="00D50505"/>
    <w:rsid w:val="00D52EC0"/>
    <w:rsid w:val="00D53328"/>
    <w:rsid w:val="00D5355E"/>
    <w:rsid w:val="00D56156"/>
    <w:rsid w:val="00D57D57"/>
    <w:rsid w:val="00D57E6B"/>
    <w:rsid w:val="00D609EE"/>
    <w:rsid w:val="00D625BE"/>
    <w:rsid w:val="00D62677"/>
    <w:rsid w:val="00D62804"/>
    <w:rsid w:val="00D62A38"/>
    <w:rsid w:val="00D62CCD"/>
    <w:rsid w:val="00D62F3E"/>
    <w:rsid w:val="00D63235"/>
    <w:rsid w:val="00D6372B"/>
    <w:rsid w:val="00D650D1"/>
    <w:rsid w:val="00D655E3"/>
    <w:rsid w:val="00D668CF"/>
    <w:rsid w:val="00D67005"/>
    <w:rsid w:val="00D67DF7"/>
    <w:rsid w:val="00D703CE"/>
    <w:rsid w:val="00D70FE0"/>
    <w:rsid w:val="00D711B6"/>
    <w:rsid w:val="00D71DC2"/>
    <w:rsid w:val="00D720FE"/>
    <w:rsid w:val="00D73235"/>
    <w:rsid w:val="00D734F0"/>
    <w:rsid w:val="00D75057"/>
    <w:rsid w:val="00D75DA9"/>
    <w:rsid w:val="00D77455"/>
    <w:rsid w:val="00D77904"/>
    <w:rsid w:val="00D8000D"/>
    <w:rsid w:val="00D803B9"/>
    <w:rsid w:val="00D8095B"/>
    <w:rsid w:val="00D813DE"/>
    <w:rsid w:val="00D81579"/>
    <w:rsid w:val="00D8178B"/>
    <w:rsid w:val="00D81E5D"/>
    <w:rsid w:val="00D840CE"/>
    <w:rsid w:val="00D849BB"/>
    <w:rsid w:val="00D85F39"/>
    <w:rsid w:val="00D8622A"/>
    <w:rsid w:val="00D863E4"/>
    <w:rsid w:val="00D87088"/>
    <w:rsid w:val="00D873F0"/>
    <w:rsid w:val="00D9017C"/>
    <w:rsid w:val="00D90321"/>
    <w:rsid w:val="00D908BE"/>
    <w:rsid w:val="00D90FEB"/>
    <w:rsid w:val="00D9139E"/>
    <w:rsid w:val="00D9192B"/>
    <w:rsid w:val="00D9273A"/>
    <w:rsid w:val="00D930DF"/>
    <w:rsid w:val="00D932D8"/>
    <w:rsid w:val="00D96109"/>
    <w:rsid w:val="00D96127"/>
    <w:rsid w:val="00D978D5"/>
    <w:rsid w:val="00DA0205"/>
    <w:rsid w:val="00DA1D27"/>
    <w:rsid w:val="00DA41C3"/>
    <w:rsid w:val="00DA6983"/>
    <w:rsid w:val="00DA774A"/>
    <w:rsid w:val="00DA7DA4"/>
    <w:rsid w:val="00DB0B5C"/>
    <w:rsid w:val="00DB0E24"/>
    <w:rsid w:val="00DB17B8"/>
    <w:rsid w:val="00DB25DD"/>
    <w:rsid w:val="00DB494A"/>
    <w:rsid w:val="00DB5877"/>
    <w:rsid w:val="00DB5D9D"/>
    <w:rsid w:val="00DB5F6D"/>
    <w:rsid w:val="00DB6E83"/>
    <w:rsid w:val="00DC083B"/>
    <w:rsid w:val="00DC14DF"/>
    <w:rsid w:val="00DC15F4"/>
    <w:rsid w:val="00DC1BB0"/>
    <w:rsid w:val="00DC1F0C"/>
    <w:rsid w:val="00DC22F8"/>
    <w:rsid w:val="00DC2ADD"/>
    <w:rsid w:val="00DC3389"/>
    <w:rsid w:val="00DC37B3"/>
    <w:rsid w:val="00DC3C43"/>
    <w:rsid w:val="00DC3E1F"/>
    <w:rsid w:val="00DC4A2F"/>
    <w:rsid w:val="00DC529B"/>
    <w:rsid w:val="00DC5C67"/>
    <w:rsid w:val="00DC6940"/>
    <w:rsid w:val="00DC7354"/>
    <w:rsid w:val="00DD18CA"/>
    <w:rsid w:val="00DD5D42"/>
    <w:rsid w:val="00DD6095"/>
    <w:rsid w:val="00DD6755"/>
    <w:rsid w:val="00DD6DAA"/>
    <w:rsid w:val="00DE00D1"/>
    <w:rsid w:val="00DE0A5B"/>
    <w:rsid w:val="00DE22DC"/>
    <w:rsid w:val="00DE2439"/>
    <w:rsid w:val="00DE4266"/>
    <w:rsid w:val="00DE461D"/>
    <w:rsid w:val="00DE5405"/>
    <w:rsid w:val="00DE5C15"/>
    <w:rsid w:val="00DE621D"/>
    <w:rsid w:val="00DE6EE9"/>
    <w:rsid w:val="00DF09AB"/>
    <w:rsid w:val="00DF0D62"/>
    <w:rsid w:val="00DF1094"/>
    <w:rsid w:val="00DF1ED5"/>
    <w:rsid w:val="00DF228A"/>
    <w:rsid w:val="00DF24F7"/>
    <w:rsid w:val="00DF290F"/>
    <w:rsid w:val="00DF383B"/>
    <w:rsid w:val="00DF3FDB"/>
    <w:rsid w:val="00DF40B6"/>
    <w:rsid w:val="00DF60B0"/>
    <w:rsid w:val="00DF6FB2"/>
    <w:rsid w:val="00E004C9"/>
    <w:rsid w:val="00E004EB"/>
    <w:rsid w:val="00E0169C"/>
    <w:rsid w:val="00E01725"/>
    <w:rsid w:val="00E01D85"/>
    <w:rsid w:val="00E024FB"/>
    <w:rsid w:val="00E02B6E"/>
    <w:rsid w:val="00E02C97"/>
    <w:rsid w:val="00E03CD3"/>
    <w:rsid w:val="00E04711"/>
    <w:rsid w:val="00E04740"/>
    <w:rsid w:val="00E04C67"/>
    <w:rsid w:val="00E04EE3"/>
    <w:rsid w:val="00E100F8"/>
    <w:rsid w:val="00E10B39"/>
    <w:rsid w:val="00E10E7E"/>
    <w:rsid w:val="00E11D0B"/>
    <w:rsid w:val="00E12265"/>
    <w:rsid w:val="00E12AD3"/>
    <w:rsid w:val="00E1317B"/>
    <w:rsid w:val="00E16222"/>
    <w:rsid w:val="00E16381"/>
    <w:rsid w:val="00E16C03"/>
    <w:rsid w:val="00E1750B"/>
    <w:rsid w:val="00E21036"/>
    <w:rsid w:val="00E21AB0"/>
    <w:rsid w:val="00E22014"/>
    <w:rsid w:val="00E25DA1"/>
    <w:rsid w:val="00E2605A"/>
    <w:rsid w:val="00E26393"/>
    <w:rsid w:val="00E26492"/>
    <w:rsid w:val="00E273B1"/>
    <w:rsid w:val="00E30313"/>
    <w:rsid w:val="00E30895"/>
    <w:rsid w:val="00E30DF3"/>
    <w:rsid w:val="00E327ED"/>
    <w:rsid w:val="00E32994"/>
    <w:rsid w:val="00E34772"/>
    <w:rsid w:val="00E357D0"/>
    <w:rsid w:val="00E35866"/>
    <w:rsid w:val="00E35B4C"/>
    <w:rsid w:val="00E35C40"/>
    <w:rsid w:val="00E35FBD"/>
    <w:rsid w:val="00E36513"/>
    <w:rsid w:val="00E3692A"/>
    <w:rsid w:val="00E40AA9"/>
    <w:rsid w:val="00E41969"/>
    <w:rsid w:val="00E425DA"/>
    <w:rsid w:val="00E42F0A"/>
    <w:rsid w:val="00E43300"/>
    <w:rsid w:val="00E45074"/>
    <w:rsid w:val="00E457DA"/>
    <w:rsid w:val="00E458D9"/>
    <w:rsid w:val="00E50ADD"/>
    <w:rsid w:val="00E511E7"/>
    <w:rsid w:val="00E52000"/>
    <w:rsid w:val="00E532AF"/>
    <w:rsid w:val="00E543BE"/>
    <w:rsid w:val="00E56757"/>
    <w:rsid w:val="00E57843"/>
    <w:rsid w:val="00E6120E"/>
    <w:rsid w:val="00E61371"/>
    <w:rsid w:val="00E619D9"/>
    <w:rsid w:val="00E6289E"/>
    <w:rsid w:val="00E62BFA"/>
    <w:rsid w:val="00E64A7B"/>
    <w:rsid w:val="00E652B0"/>
    <w:rsid w:val="00E664A9"/>
    <w:rsid w:val="00E7031A"/>
    <w:rsid w:val="00E707F6"/>
    <w:rsid w:val="00E71750"/>
    <w:rsid w:val="00E717B4"/>
    <w:rsid w:val="00E71B62"/>
    <w:rsid w:val="00E724E1"/>
    <w:rsid w:val="00E73BA5"/>
    <w:rsid w:val="00E74B53"/>
    <w:rsid w:val="00E76211"/>
    <w:rsid w:val="00E76B45"/>
    <w:rsid w:val="00E77185"/>
    <w:rsid w:val="00E803FA"/>
    <w:rsid w:val="00E80FB1"/>
    <w:rsid w:val="00E8185F"/>
    <w:rsid w:val="00E82E8B"/>
    <w:rsid w:val="00E845A4"/>
    <w:rsid w:val="00E84D06"/>
    <w:rsid w:val="00E84F90"/>
    <w:rsid w:val="00E854E2"/>
    <w:rsid w:val="00E85B33"/>
    <w:rsid w:val="00E8621C"/>
    <w:rsid w:val="00E864E7"/>
    <w:rsid w:val="00E87575"/>
    <w:rsid w:val="00E87864"/>
    <w:rsid w:val="00E87896"/>
    <w:rsid w:val="00E87C69"/>
    <w:rsid w:val="00E9036C"/>
    <w:rsid w:val="00E9223D"/>
    <w:rsid w:val="00E938C2"/>
    <w:rsid w:val="00E943C5"/>
    <w:rsid w:val="00E9513F"/>
    <w:rsid w:val="00E9566B"/>
    <w:rsid w:val="00E9644B"/>
    <w:rsid w:val="00E97C63"/>
    <w:rsid w:val="00EA00B4"/>
    <w:rsid w:val="00EA485D"/>
    <w:rsid w:val="00EA4D23"/>
    <w:rsid w:val="00EA4F1C"/>
    <w:rsid w:val="00EA5415"/>
    <w:rsid w:val="00EA6AF2"/>
    <w:rsid w:val="00EA7CEC"/>
    <w:rsid w:val="00EB0BEE"/>
    <w:rsid w:val="00EB0E6F"/>
    <w:rsid w:val="00EB1178"/>
    <w:rsid w:val="00EB171B"/>
    <w:rsid w:val="00EB2118"/>
    <w:rsid w:val="00EB3B82"/>
    <w:rsid w:val="00EB5383"/>
    <w:rsid w:val="00EB62CC"/>
    <w:rsid w:val="00EB6653"/>
    <w:rsid w:val="00EB6701"/>
    <w:rsid w:val="00EB720E"/>
    <w:rsid w:val="00EC09FF"/>
    <w:rsid w:val="00EC134F"/>
    <w:rsid w:val="00EC1457"/>
    <w:rsid w:val="00EC2397"/>
    <w:rsid w:val="00EC49CE"/>
    <w:rsid w:val="00EC4EAA"/>
    <w:rsid w:val="00EC5D12"/>
    <w:rsid w:val="00EC6B81"/>
    <w:rsid w:val="00EC6C07"/>
    <w:rsid w:val="00EC7CF9"/>
    <w:rsid w:val="00EC7D59"/>
    <w:rsid w:val="00ED018E"/>
    <w:rsid w:val="00ED265D"/>
    <w:rsid w:val="00ED2853"/>
    <w:rsid w:val="00ED2F55"/>
    <w:rsid w:val="00ED3466"/>
    <w:rsid w:val="00ED384B"/>
    <w:rsid w:val="00ED39F6"/>
    <w:rsid w:val="00ED3AD1"/>
    <w:rsid w:val="00ED4E88"/>
    <w:rsid w:val="00ED5DEB"/>
    <w:rsid w:val="00ED616E"/>
    <w:rsid w:val="00ED6C42"/>
    <w:rsid w:val="00ED76E0"/>
    <w:rsid w:val="00ED7D8E"/>
    <w:rsid w:val="00EE08A2"/>
    <w:rsid w:val="00EE14F7"/>
    <w:rsid w:val="00EE1C2F"/>
    <w:rsid w:val="00EE2DE8"/>
    <w:rsid w:val="00EE2FD5"/>
    <w:rsid w:val="00EE39B4"/>
    <w:rsid w:val="00EE42CB"/>
    <w:rsid w:val="00EE4877"/>
    <w:rsid w:val="00EE7677"/>
    <w:rsid w:val="00EE7AE0"/>
    <w:rsid w:val="00EE7DE5"/>
    <w:rsid w:val="00EF1700"/>
    <w:rsid w:val="00EF213F"/>
    <w:rsid w:val="00EF22DF"/>
    <w:rsid w:val="00EF2D4C"/>
    <w:rsid w:val="00EF33A8"/>
    <w:rsid w:val="00EF38D7"/>
    <w:rsid w:val="00EF3F1E"/>
    <w:rsid w:val="00EF4010"/>
    <w:rsid w:val="00EF445D"/>
    <w:rsid w:val="00EF4815"/>
    <w:rsid w:val="00EF48A0"/>
    <w:rsid w:val="00EF49C2"/>
    <w:rsid w:val="00EF501D"/>
    <w:rsid w:val="00EF558D"/>
    <w:rsid w:val="00EF6FDB"/>
    <w:rsid w:val="00F009AB"/>
    <w:rsid w:val="00F00F2C"/>
    <w:rsid w:val="00F015AC"/>
    <w:rsid w:val="00F01C31"/>
    <w:rsid w:val="00F029D6"/>
    <w:rsid w:val="00F02CDC"/>
    <w:rsid w:val="00F03780"/>
    <w:rsid w:val="00F037DC"/>
    <w:rsid w:val="00F03AD2"/>
    <w:rsid w:val="00F03D37"/>
    <w:rsid w:val="00F04093"/>
    <w:rsid w:val="00F048A8"/>
    <w:rsid w:val="00F05B9F"/>
    <w:rsid w:val="00F05E1A"/>
    <w:rsid w:val="00F063CF"/>
    <w:rsid w:val="00F06B1A"/>
    <w:rsid w:val="00F07A0B"/>
    <w:rsid w:val="00F07F86"/>
    <w:rsid w:val="00F10195"/>
    <w:rsid w:val="00F11C55"/>
    <w:rsid w:val="00F12678"/>
    <w:rsid w:val="00F13ECA"/>
    <w:rsid w:val="00F1426C"/>
    <w:rsid w:val="00F14D19"/>
    <w:rsid w:val="00F1581A"/>
    <w:rsid w:val="00F165C4"/>
    <w:rsid w:val="00F1680A"/>
    <w:rsid w:val="00F20112"/>
    <w:rsid w:val="00F210FC"/>
    <w:rsid w:val="00F213C5"/>
    <w:rsid w:val="00F2258E"/>
    <w:rsid w:val="00F229A1"/>
    <w:rsid w:val="00F22D0C"/>
    <w:rsid w:val="00F238D1"/>
    <w:rsid w:val="00F26753"/>
    <w:rsid w:val="00F26911"/>
    <w:rsid w:val="00F26AD2"/>
    <w:rsid w:val="00F279B7"/>
    <w:rsid w:val="00F301C4"/>
    <w:rsid w:val="00F318E5"/>
    <w:rsid w:val="00F31B39"/>
    <w:rsid w:val="00F31D27"/>
    <w:rsid w:val="00F33C3B"/>
    <w:rsid w:val="00F36BFA"/>
    <w:rsid w:val="00F36E2B"/>
    <w:rsid w:val="00F40839"/>
    <w:rsid w:val="00F40A79"/>
    <w:rsid w:val="00F40BD2"/>
    <w:rsid w:val="00F41115"/>
    <w:rsid w:val="00F44905"/>
    <w:rsid w:val="00F4490F"/>
    <w:rsid w:val="00F44DCF"/>
    <w:rsid w:val="00F45C2E"/>
    <w:rsid w:val="00F46537"/>
    <w:rsid w:val="00F46A31"/>
    <w:rsid w:val="00F51D03"/>
    <w:rsid w:val="00F523E8"/>
    <w:rsid w:val="00F52824"/>
    <w:rsid w:val="00F52BF6"/>
    <w:rsid w:val="00F5309E"/>
    <w:rsid w:val="00F53F78"/>
    <w:rsid w:val="00F549F1"/>
    <w:rsid w:val="00F55E10"/>
    <w:rsid w:val="00F56907"/>
    <w:rsid w:val="00F574B1"/>
    <w:rsid w:val="00F57C16"/>
    <w:rsid w:val="00F6078E"/>
    <w:rsid w:val="00F6114A"/>
    <w:rsid w:val="00F620DD"/>
    <w:rsid w:val="00F62FE4"/>
    <w:rsid w:val="00F63875"/>
    <w:rsid w:val="00F6575C"/>
    <w:rsid w:val="00F663C1"/>
    <w:rsid w:val="00F66C5C"/>
    <w:rsid w:val="00F67699"/>
    <w:rsid w:val="00F7019E"/>
    <w:rsid w:val="00F71229"/>
    <w:rsid w:val="00F75178"/>
    <w:rsid w:val="00F75E89"/>
    <w:rsid w:val="00F76136"/>
    <w:rsid w:val="00F77CBC"/>
    <w:rsid w:val="00F815B6"/>
    <w:rsid w:val="00F837F0"/>
    <w:rsid w:val="00F848A7"/>
    <w:rsid w:val="00F84FF4"/>
    <w:rsid w:val="00F85391"/>
    <w:rsid w:val="00F872AC"/>
    <w:rsid w:val="00F87619"/>
    <w:rsid w:val="00F916C7"/>
    <w:rsid w:val="00F924E0"/>
    <w:rsid w:val="00F92BF4"/>
    <w:rsid w:val="00F92FB4"/>
    <w:rsid w:val="00F93146"/>
    <w:rsid w:val="00F95012"/>
    <w:rsid w:val="00F95B6D"/>
    <w:rsid w:val="00F96154"/>
    <w:rsid w:val="00F96DFE"/>
    <w:rsid w:val="00F96E92"/>
    <w:rsid w:val="00F9786C"/>
    <w:rsid w:val="00F97BE1"/>
    <w:rsid w:val="00FA1F46"/>
    <w:rsid w:val="00FA257E"/>
    <w:rsid w:val="00FA3662"/>
    <w:rsid w:val="00FA39E9"/>
    <w:rsid w:val="00FA3DD4"/>
    <w:rsid w:val="00FA4102"/>
    <w:rsid w:val="00FA5F99"/>
    <w:rsid w:val="00FA6AA8"/>
    <w:rsid w:val="00FA7C64"/>
    <w:rsid w:val="00FB1366"/>
    <w:rsid w:val="00FB1DA7"/>
    <w:rsid w:val="00FB1E7C"/>
    <w:rsid w:val="00FB2BA7"/>
    <w:rsid w:val="00FB464E"/>
    <w:rsid w:val="00FB5795"/>
    <w:rsid w:val="00FB5BEE"/>
    <w:rsid w:val="00FB7D22"/>
    <w:rsid w:val="00FC0390"/>
    <w:rsid w:val="00FC1CF1"/>
    <w:rsid w:val="00FC1EF5"/>
    <w:rsid w:val="00FC3A3B"/>
    <w:rsid w:val="00FC3EAA"/>
    <w:rsid w:val="00FC5CF4"/>
    <w:rsid w:val="00FC7198"/>
    <w:rsid w:val="00FC7C82"/>
    <w:rsid w:val="00FC7F0E"/>
    <w:rsid w:val="00FD33B6"/>
    <w:rsid w:val="00FD346C"/>
    <w:rsid w:val="00FD3585"/>
    <w:rsid w:val="00FD36C3"/>
    <w:rsid w:val="00FD40CE"/>
    <w:rsid w:val="00FD48CA"/>
    <w:rsid w:val="00FD57ED"/>
    <w:rsid w:val="00FD59FE"/>
    <w:rsid w:val="00FD6CDA"/>
    <w:rsid w:val="00FE029D"/>
    <w:rsid w:val="00FE169D"/>
    <w:rsid w:val="00FE18A7"/>
    <w:rsid w:val="00FE26FB"/>
    <w:rsid w:val="00FE2BAD"/>
    <w:rsid w:val="00FE38DC"/>
    <w:rsid w:val="00FE6083"/>
    <w:rsid w:val="00FE781E"/>
    <w:rsid w:val="00FF11A5"/>
    <w:rsid w:val="00FF4057"/>
    <w:rsid w:val="00FF4CFE"/>
    <w:rsid w:val="00FF4E3B"/>
    <w:rsid w:val="00FF5DCD"/>
    <w:rsid w:val="01C759C5"/>
    <w:rsid w:val="020536EB"/>
    <w:rsid w:val="02382DDE"/>
    <w:rsid w:val="03795DEE"/>
    <w:rsid w:val="03F362FB"/>
    <w:rsid w:val="05DF58DF"/>
    <w:rsid w:val="0619226A"/>
    <w:rsid w:val="064A30D4"/>
    <w:rsid w:val="09F93B90"/>
    <w:rsid w:val="0D8A642F"/>
    <w:rsid w:val="0DD0173B"/>
    <w:rsid w:val="0F43506A"/>
    <w:rsid w:val="0FEA6EEC"/>
    <w:rsid w:val="100B4F14"/>
    <w:rsid w:val="124E5EF1"/>
    <w:rsid w:val="1385438C"/>
    <w:rsid w:val="1487284F"/>
    <w:rsid w:val="159E2E02"/>
    <w:rsid w:val="170245FA"/>
    <w:rsid w:val="17642F7D"/>
    <w:rsid w:val="17B91401"/>
    <w:rsid w:val="18A313AC"/>
    <w:rsid w:val="18AC0737"/>
    <w:rsid w:val="1A9136BA"/>
    <w:rsid w:val="1AC64865"/>
    <w:rsid w:val="1BB3705B"/>
    <w:rsid w:val="1CBF3FAC"/>
    <w:rsid w:val="1F1872FC"/>
    <w:rsid w:val="23442FD2"/>
    <w:rsid w:val="242C20CF"/>
    <w:rsid w:val="257B5A82"/>
    <w:rsid w:val="25E14458"/>
    <w:rsid w:val="279662E3"/>
    <w:rsid w:val="27E379AD"/>
    <w:rsid w:val="29233C93"/>
    <w:rsid w:val="2968303D"/>
    <w:rsid w:val="29D72F37"/>
    <w:rsid w:val="2B235820"/>
    <w:rsid w:val="2C2375A4"/>
    <w:rsid w:val="2C2A0CC4"/>
    <w:rsid w:val="2D112BF8"/>
    <w:rsid w:val="2D1C1381"/>
    <w:rsid w:val="2D7202FE"/>
    <w:rsid w:val="2E364565"/>
    <w:rsid w:val="2F224420"/>
    <w:rsid w:val="31274C0F"/>
    <w:rsid w:val="315B3D53"/>
    <w:rsid w:val="31971208"/>
    <w:rsid w:val="33A36384"/>
    <w:rsid w:val="349B7D92"/>
    <w:rsid w:val="377819A9"/>
    <w:rsid w:val="38506A19"/>
    <w:rsid w:val="398426E4"/>
    <w:rsid w:val="3DA02DE7"/>
    <w:rsid w:val="3DCB2D4F"/>
    <w:rsid w:val="3F3A4EF2"/>
    <w:rsid w:val="3F456218"/>
    <w:rsid w:val="40FE76B2"/>
    <w:rsid w:val="42A51567"/>
    <w:rsid w:val="46633F55"/>
    <w:rsid w:val="46C14E45"/>
    <w:rsid w:val="4963367C"/>
    <w:rsid w:val="4A2B62BC"/>
    <w:rsid w:val="4CF211F0"/>
    <w:rsid w:val="4D0A6F77"/>
    <w:rsid w:val="4DF31C20"/>
    <w:rsid w:val="4E6A7AA9"/>
    <w:rsid w:val="4F6C29FB"/>
    <w:rsid w:val="4FD613E0"/>
    <w:rsid w:val="50391098"/>
    <w:rsid w:val="50674669"/>
    <w:rsid w:val="53E0432F"/>
    <w:rsid w:val="56470D5D"/>
    <w:rsid w:val="570B2279"/>
    <w:rsid w:val="57804A56"/>
    <w:rsid w:val="582317A5"/>
    <w:rsid w:val="59434C65"/>
    <w:rsid w:val="5A211CC7"/>
    <w:rsid w:val="5C8F3F9E"/>
    <w:rsid w:val="5C9A0172"/>
    <w:rsid w:val="5CC90D38"/>
    <w:rsid w:val="5D124915"/>
    <w:rsid w:val="5F061477"/>
    <w:rsid w:val="607E0381"/>
    <w:rsid w:val="61354FE3"/>
    <w:rsid w:val="62886A65"/>
    <w:rsid w:val="634E739E"/>
    <w:rsid w:val="63F94DF5"/>
    <w:rsid w:val="64A87D56"/>
    <w:rsid w:val="652B34FB"/>
    <w:rsid w:val="66ED565E"/>
    <w:rsid w:val="66FF5D56"/>
    <w:rsid w:val="679B0775"/>
    <w:rsid w:val="67DA029A"/>
    <w:rsid w:val="68AC408D"/>
    <w:rsid w:val="696634C3"/>
    <w:rsid w:val="69DC54FE"/>
    <w:rsid w:val="6A713C22"/>
    <w:rsid w:val="6B6F668D"/>
    <w:rsid w:val="6B7A2541"/>
    <w:rsid w:val="6E3A3055"/>
    <w:rsid w:val="6E581B78"/>
    <w:rsid w:val="6FD439DF"/>
    <w:rsid w:val="70324703"/>
    <w:rsid w:val="70BD665D"/>
    <w:rsid w:val="724661A5"/>
    <w:rsid w:val="73E77901"/>
    <w:rsid w:val="75AE53DC"/>
    <w:rsid w:val="76AB623E"/>
    <w:rsid w:val="793C51A6"/>
    <w:rsid w:val="795507C0"/>
    <w:rsid w:val="79B26D29"/>
    <w:rsid w:val="7AB748CD"/>
    <w:rsid w:val="7ABB4A9F"/>
    <w:rsid w:val="7B137DF5"/>
    <w:rsid w:val="7C7E1411"/>
    <w:rsid w:val="7CDC655F"/>
    <w:rsid w:val="7E694E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qFormat="1"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uiPriority="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link w:val="51"/>
    <w:qFormat/>
    <w:uiPriority w:val="0"/>
    <w:pPr>
      <w:keepNext/>
      <w:keepLines/>
      <w:adjustRightInd w:val="0"/>
      <w:snapToGrid w:val="0"/>
      <w:spacing w:before="120" w:after="120"/>
      <w:outlineLvl w:val="3"/>
    </w:pPr>
    <w:rPr>
      <w:rFonts w:ascii="Arial" w:hAnsi="Arial"/>
      <w:b/>
      <w:bCs/>
      <w:sz w:val="28"/>
      <w:szCs w:val="28"/>
    </w:rPr>
  </w:style>
  <w:style w:type="paragraph" w:styleId="7">
    <w:name w:val="heading 5"/>
    <w:basedOn w:val="1"/>
    <w:next w:val="8"/>
    <w:qFormat/>
    <w:uiPriority w:val="0"/>
    <w:pPr>
      <w:keepNext/>
      <w:keepLines/>
      <w:spacing w:before="280" w:after="290" w:line="376" w:lineRule="auto"/>
      <w:outlineLvl w:val="4"/>
    </w:pPr>
    <w:rPr>
      <w:b/>
      <w:sz w:val="28"/>
    </w:rPr>
  </w:style>
  <w:style w:type="paragraph" w:styleId="9">
    <w:name w:val="heading 6"/>
    <w:basedOn w:val="1"/>
    <w:next w:val="8"/>
    <w:qFormat/>
    <w:uiPriority w:val="0"/>
    <w:pPr>
      <w:keepNext/>
      <w:keepLines/>
      <w:spacing w:before="240" w:after="64" w:line="320" w:lineRule="auto"/>
      <w:outlineLvl w:val="5"/>
    </w:pPr>
    <w:rPr>
      <w:rFonts w:ascii="Arial" w:hAnsi="Arial" w:eastAsia="黑体"/>
      <w:b/>
      <w:sz w:val="24"/>
    </w:rPr>
  </w:style>
  <w:style w:type="paragraph" w:styleId="10">
    <w:name w:val="heading 7"/>
    <w:basedOn w:val="1"/>
    <w:next w:val="8"/>
    <w:qFormat/>
    <w:uiPriority w:val="0"/>
    <w:pPr>
      <w:keepNext/>
      <w:keepLines/>
      <w:spacing w:before="240" w:after="64" w:line="320" w:lineRule="auto"/>
      <w:outlineLvl w:val="6"/>
    </w:pPr>
    <w:rPr>
      <w:b/>
      <w:sz w:val="24"/>
    </w:rPr>
  </w:style>
  <w:style w:type="paragraph" w:styleId="11">
    <w:name w:val="heading 8"/>
    <w:basedOn w:val="1"/>
    <w:next w:val="8"/>
    <w:qFormat/>
    <w:uiPriority w:val="0"/>
    <w:pPr>
      <w:keepNext/>
      <w:keepLines/>
      <w:spacing w:before="240" w:after="64" w:line="320" w:lineRule="auto"/>
      <w:outlineLvl w:val="7"/>
    </w:pPr>
    <w:rPr>
      <w:rFonts w:ascii="Arial" w:hAnsi="Arial" w:eastAsia="黑体"/>
      <w:sz w:val="24"/>
    </w:rPr>
  </w:style>
  <w:style w:type="paragraph" w:styleId="12">
    <w:name w:val="heading 9"/>
    <w:basedOn w:val="1"/>
    <w:next w:val="8"/>
    <w:qFormat/>
    <w:uiPriority w:val="0"/>
    <w:pPr>
      <w:keepNext/>
      <w:keepLines/>
      <w:spacing w:before="240" w:after="64" w:line="320" w:lineRule="auto"/>
      <w:outlineLvl w:val="8"/>
    </w:pPr>
    <w:rPr>
      <w:rFonts w:ascii="Arial" w:hAnsi="Arial" w:eastAsia="黑体"/>
    </w:rPr>
  </w:style>
  <w:style w:type="character" w:default="1" w:styleId="39">
    <w:name w:val="Default Paragraph Font"/>
    <w:semiHidden/>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line="380" w:lineRule="exact"/>
    </w:pPr>
    <w:rPr>
      <w:sz w:val="24"/>
    </w:rPr>
  </w:style>
  <w:style w:type="paragraph" w:styleId="8">
    <w:name w:val="Normal Indent"/>
    <w:basedOn w:val="1"/>
    <w:qFormat/>
    <w:uiPriority w:val="0"/>
    <w:pPr>
      <w:ind w:firstLine="420"/>
    </w:pPr>
    <w:rPr>
      <w:szCs w:val="20"/>
    </w:rPr>
  </w:style>
  <w:style w:type="paragraph" w:styleId="13">
    <w:name w:val="List Number"/>
    <w:basedOn w:val="1"/>
    <w:qFormat/>
    <w:uiPriority w:val="0"/>
    <w:pPr>
      <w:widowControl/>
      <w:tabs>
        <w:tab w:val="left" w:pos="454"/>
        <w:tab w:val="left" w:pos="720"/>
        <w:tab w:val="left" w:pos="840"/>
        <w:tab w:val="left" w:pos="900"/>
      </w:tabs>
      <w:spacing w:afterLines="50"/>
      <w:ind w:left="454" w:hanging="284"/>
      <w:jc w:val="left"/>
    </w:pPr>
    <w:rPr>
      <w:kern w:val="0"/>
      <w:sz w:val="24"/>
      <w:szCs w:val="20"/>
    </w:rPr>
  </w:style>
  <w:style w:type="paragraph" w:styleId="14">
    <w:name w:val="caption"/>
    <w:basedOn w:val="1"/>
    <w:next w:val="1"/>
    <w:qFormat/>
    <w:uiPriority w:val="0"/>
    <w:pPr>
      <w:spacing w:before="152" w:after="160"/>
    </w:pPr>
    <w:rPr>
      <w:rFonts w:ascii="Arial" w:hAnsi="Arial" w:eastAsia="黑体" w:cs="Arial"/>
      <w:sz w:val="20"/>
      <w:szCs w:val="20"/>
    </w:rPr>
  </w:style>
  <w:style w:type="paragraph" w:styleId="15">
    <w:name w:val="Document Map"/>
    <w:basedOn w:val="1"/>
    <w:qFormat/>
    <w:uiPriority w:val="0"/>
    <w:pPr>
      <w:shd w:val="clear" w:color="auto" w:fill="000080"/>
    </w:pPr>
  </w:style>
  <w:style w:type="paragraph" w:styleId="16">
    <w:name w:val="annotation text"/>
    <w:basedOn w:val="1"/>
    <w:link w:val="52"/>
    <w:qFormat/>
    <w:uiPriority w:val="99"/>
    <w:pPr>
      <w:jc w:val="left"/>
    </w:pPr>
  </w:style>
  <w:style w:type="paragraph" w:styleId="17">
    <w:name w:val="Body Text 3"/>
    <w:basedOn w:val="1"/>
    <w:qFormat/>
    <w:uiPriority w:val="0"/>
    <w:pPr>
      <w:spacing w:line="500" w:lineRule="exact"/>
    </w:pPr>
    <w:rPr>
      <w:b/>
      <w:bCs/>
      <w:sz w:val="24"/>
    </w:rPr>
  </w:style>
  <w:style w:type="paragraph" w:styleId="18">
    <w:name w:val="Body Text Indent"/>
    <w:basedOn w:val="1"/>
    <w:link w:val="110"/>
    <w:qFormat/>
    <w:uiPriority w:val="0"/>
    <w:pPr>
      <w:ind w:firstLine="830" w:firstLineChars="352"/>
    </w:pPr>
    <w:rPr>
      <w:rFonts w:ascii="仿宋_GB2312" w:eastAsia="仿宋_GB2312"/>
      <w:sz w:val="32"/>
      <w:szCs w:val="20"/>
    </w:rPr>
  </w:style>
  <w:style w:type="paragraph" w:styleId="19">
    <w:name w:val="List Number 3"/>
    <w:basedOn w:val="1"/>
    <w:qFormat/>
    <w:uiPriority w:val="0"/>
  </w:style>
  <w:style w:type="paragraph" w:styleId="20">
    <w:name w:val="List 2"/>
    <w:basedOn w:val="1"/>
    <w:qFormat/>
    <w:uiPriority w:val="0"/>
    <w:pPr>
      <w:ind w:left="100" w:leftChars="200" w:hanging="200" w:hangingChars="200"/>
    </w:pPr>
    <w:rPr>
      <w:sz w:val="28"/>
    </w:rPr>
  </w:style>
  <w:style w:type="paragraph" w:styleId="21">
    <w:name w:val="toc 3"/>
    <w:basedOn w:val="1"/>
    <w:next w:val="1"/>
    <w:qFormat/>
    <w:uiPriority w:val="39"/>
    <w:pPr>
      <w:ind w:left="840" w:leftChars="400"/>
    </w:pPr>
  </w:style>
  <w:style w:type="paragraph" w:styleId="22">
    <w:name w:val="Plain Text"/>
    <w:basedOn w:val="1"/>
    <w:link w:val="47"/>
    <w:qFormat/>
    <w:uiPriority w:val="0"/>
    <w:rPr>
      <w:rFonts w:ascii="宋体" w:hAnsi="Courier New" w:cs="Courier New"/>
      <w:szCs w:val="21"/>
    </w:rPr>
  </w:style>
  <w:style w:type="paragraph" w:styleId="23">
    <w:name w:val="Date"/>
    <w:basedOn w:val="1"/>
    <w:next w:val="1"/>
    <w:qFormat/>
    <w:uiPriority w:val="0"/>
    <w:pPr>
      <w:ind w:left="100" w:leftChars="2500"/>
    </w:pPr>
    <w:rPr>
      <w:rFonts w:ascii="宋体" w:hAnsi="Courier New" w:cs="Courier New"/>
      <w:szCs w:val="21"/>
    </w:rPr>
  </w:style>
  <w:style w:type="paragraph" w:styleId="24">
    <w:name w:val="Body Text Indent 2"/>
    <w:basedOn w:val="1"/>
    <w:qFormat/>
    <w:uiPriority w:val="0"/>
    <w:pPr>
      <w:ind w:firstLine="630"/>
    </w:pPr>
    <w:rPr>
      <w:sz w:val="32"/>
      <w:szCs w:val="20"/>
    </w:rPr>
  </w:style>
  <w:style w:type="paragraph" w:styleId="25">
    <w:name w:val="Balloon Text"/>
    <w:basedOn w:val="1"/>
    <w:qFormat/>
    <w:uiPriority w:val="0"/>
    <w:rPr>
      <w:sz w:val="18"/>
      <w:szCs w:val="18"/>
    </w:rPr>
  </w:style>
  <w:style w:type="paragraph" w:styleId="26">
    <w:name w:val="footer"/>
    <w:basedOn w:val="1"/>
    <w:link w:val="113"/>
    <w:qFormat/>
    <w:uiPriority w:val="99"/>
    <w:pPr>
      <w:tabs>
        <w:tab w:val="center" w:pos="4153"/>
        <w:tab w:val="right" w:pos="8306"/>
      </w:tabs>
      <w:snapToGrid w:val="0"/>
      <w:jc w:val="left"/>
    </w:pPr>
    <w:rPr>
      <w:sz w:val="18"/>
      <w:szCs w:val="18"/>
    </w:rPr>
  </w:style>
  <w:style w:type="paragraph" w:styleId="27">
    <w:name w:val="header"/>
    <w:basedOn w:val="1"/>
    <w:link w:val="112"/>
    <w:qFormat/>
    <w:uiPriority w:val="99"/>
    <w:pPr>
      <w:pBdr>
        <w:bottom w:val="single" w:color="auto" w:sz="6" w:space="1"/>
      </w:pBdr>
      <w:tabs>
        <w:tab w:val="center" w:pos="4153"/>
        <w:tab w:val="right" w:pos="8306"/>
      </w:tabs>
      <w:snapToGrid w:val="0"/>
      <w:jc w:val="center"/>
    </w:pPr>
    <w:rPr>
      <w:sz w:val="18"/>
      <w:szCs w:val="18"/>
    </w:rPr>
  </w:style>
  <w:style w:type="paragraph" w:styleId="28">
    <w:name w:val="toc 1"/>
    <w:basedOn w:val="1"/>
    <w:next w:val="1"/>
    <w:qFormat/>
    <w:uiPriority w:val="39"/>
    <w:pPr>
      <w:tabs>
        <w:tab w:val="right" w:leader="dot" w:pos="8398"/>
      </w:tabs>
      <w:spacing w:before="120" w:after="120"/>
      <w:ind w:firstLine="240" w:firstLineChars="100"/>
      <w:jc w:val="left"/>
    </w:pPr>
    <w:rPr>
      <w:rFonts w:ascii="宋体" w:hAnsi="宋体"/>
      <w:b/>
      <w:bCs/>
      <w:caps/>
      <w:sz w:val="24"/>
    </w:rPr>
  </w:style>
  <w:style w:type="paragraph" w:styleId="29">
    <w:name w:val="List"/>
    <w:basedOn w:val="1"/>
    <w:qFormat/>
    <w:uiPriority w:val="0"/>
    <w:pPr>
      <w:ind w:left="200" w:hanging="200" w:hangingChars="200"/>
    </w:pPr>
    <w:rPr>
      <w:sz w:val="28"/>
    </w:rPr>
  </w:style>
  <w:style w:type="paragraph" w:styleId="30">
    <w:name w:val="Body Text Indent 3"/>
    <w:basedOn w:val="1"/>
    <w:qFormat/>
    <w:uiPriority w:val="0"/>
    <w:pPr>
      <w:spacing w:after="120"/>
      <w:ind w:left="420" w:leftChars="200"/>
    </w:pPr>
    <w:rPr>
      <w:sz w:val="16"/>
      <w:szCs w:val="16"/>
    </w:rPr>
  </w:style>
  <w:style w:type="paragraph" w:styleId="31">
    <w:name w:val="toc 2"/>
    <w:basedOn w:val="1"/>
    <w:next w:val="1"/>
    <w:qFormat/>
    <w:uiPriority w:val="39"/>
    <w:pPr>
      <w:ind w:left="420" w:leftChars="200"/>
    </w:pPr>
  </w:style>
  <w:style w:type="paragraph" w:styleId="32">
    <w:name w:val="Body Text 2"/>
    <w:basedOn w:val="1"/>
    <w:qFormat/>
    <w:uiPriority w:val="0"/>
    <w:pPr>
      <w:spacing w:after="120" w:line="480" w:lineRule="auto"/>
    </w:pPr>
  </w:style>
  <w:style w:type="paragraph" w:styleId="33">
    <w:name w:val="List 4"/>
    <w:basedOn w:val="1"/>
    <w:qFormat/>
    <w:uiPriority w:val="0"/>
    <w:pPr>
      <w:ind w:left="100" w:leftChars="600" w:hanging="200" w:hangingChars="200"/>
    </w:pPr>
  </w:style>
  <w:style w:type="paragraph" w:styleId="34">
    <w:name w:val="Normal (Web)"/>
    <w:basedOn w:val="1"/>
    <w:link w:val="49"/>
    <w:qFormat/>
    <w:uiPriority w:val="99"/>
    <w:pPr>
      <w:widowControl/>
      <w:spacing w:before="100" w:beforeAutospacing="1" w:after="100" w:afterAutospacing="1"/>
      <w:jc w:val="left"/>
    </w:pPr>
    <w:rPr>
      <w:rFonts w:ascii="宋体" w:hAnsi="宋体"/>
      <w:kern w:val="0"/>
      <w:sz w:val="24"/>
    </w:rPr>
  </w:style>
  <w:style w:type="paragraph" w:styleId="35">
    <w:name w:val="index 1"/>
    <w:basedOn w:val="1"/>
    <w:next w:val="1"/>
    <w:qFormat/>
    <w:uiPriority w:val="0"/>
    <w:pPr>
      <w:spacing w:line="400" w:lineRule="exact"/>
      <w:ind w:firstLine="420" w:firstLineChars="200"/>
    </w:pPr>
    <w:rPr>
      <w:rFonts w:ascii="宋体" w:hAnsi="Courier New"/>
      <w:b/>
      <w:szCs w:val="20"/>
    </w:rPr>
  </w:style>
  <w:style w:type="paragraph" w:styleId="36">
    <w:name w:val="annotation subject"/>
    <w:basedOn w:val="16"/>
    <w:next w:val="16"/>
    <w:link w:val="53"/>
    <w:qFormat/>
    <w:uiPriority w:val="0"/>
    <w:rPr>
      <w:b/>
      <w:bCs/>
    </w:rPr>
  </w:style>
  <w:style w:type="table" w:styleId="38">
    <w:name w:val="Table Grid"/>
    <w:basedOn w:val="3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0">
    <w:name w:val="Strong"/>
    <w:qFormat/>
    <w:uiPriority w:val="0"/>
    <w:rPr>
      <w:b/>
      <w:bCs/>
    </w:rPr>
  </w:style>
  <w:style w:type="character" w:styleId="41">
    <w:name w:val="page number"/>
    <w:basedOn w:val="39"/>
    <w:qFormat/>
    <w:uiPriority w:val="0"/>
  </w:style>
  <w:style w:type="character" w:styleId="42">
    <w:name w:val="FollowedHyperlink"/>
    <w:qFormat/>
    <w:uiPriority w:val="0"/>
    <w:rPr>
      <w:color w:val="800080"/>
      <w:u w:val="single"/>
    </w:rPr>
  </w:style>
  <w:style w:type="character" w:styleId="43">
    <w:name w:val="Hyperlink"/>
    <w:qFormat/>
    <w:uiPriority w:val="99"/>
    <w:rPr>
      <w:color w:val="0000FF"/>
      <w:u w:val="single"/>
    </w:rPr>
  </w:style>
  <w:style w:type="character" w:styleId="44">
    <w:name w:val="annotation reference"/>
    <w:qFormat/>
    <w:uiPriority w:val="99"/>
    <w:rPr>
      <w:sz w:val="21"/>
      <w:szCs w:val="21"/>
    </w:rPr>
  </w:style>
  <w:style w:type="character" w:customStyle="1" w:styleId="45">
    <w:name w:val="普通文字 Char Char2"/>
    <w:qFormat/>
    <w:uiPriority w:val="0"/>
    <w:rPr>
      <w:rFonts w:ascii="宋体" w:hAnsi="Courier New" w:eastAsia="宋体" w:cs="Courier New"/>
      <w:b/>
      <w:i/>
      <w:iCs/>
      <w:color w:val="000000"/>
      <w:kern w:val="2"/>
      <w:sz w:val="21"/>
      <w:szCs w:val="21"/>
      <w:lang w:val="en-US" w:eastAsia="zh-CN" w:bidi="ar-SA"/>
    </w:rPr>
  </w:style>
  <w:style w:type="character" w:customStyle="1" w:styleId="46">
    <w:name w:val="Char Char4"/>
    <w:qFormat/>
    <w:uiPriority w:val="0"/>
    <w:rPr>
      <w:rFonts w:ascii="宋体" w:hAnsi="Courier New" w:eastAsia="宋体" w:cs="Courier New"/>
      <w:kern w:val="2"/>
      <w:sz w:val="21"/>
      <w:szCs w:val="21"/>
      <w:lang w:val="en-US" w:eastAsia="zh-CN" w:bidi="ar-SA"/>
    </w:rPr>
  </w:style>
  <w:style w:type="character" w:customStyle="1" w:styleId="47">
    <w:name w:val="纯文本 Char"/>
    <w:link w:val="22"/>
    <w:qFormat/>
    <w:uiPriority w:val="0"/>
    <w:rPr>
      <w:rFonts w:ascii="宋体" w:hAnsi="Courier New" w:eastAsia="宋体" w:cs="Courier New"/>
      <w:kern w:val="2"/>
      <w:sz w:val="21"/>
      <w:szCs w:val="21"/>
      <w:lang w:val="en-US" w:eastAsia="zh-CN" w:bidi="ar-SA"/>
    </w:rPr>
  </w:style>
  <w:style w:type="character" w:customStyle="1" w:styleId="48">
    <w:name w:val="Plain Text Char"/>
    <w:qFormat/>
    <w:locked/>
    <w:uiPriority w:val="0"/>
    <w:rPr>
      <w:rFonts w:ascii="宋体" w:hAnsi="Courier New" w:eastAsia="宋体" w:cs="Courier New"/>
      <w:kern w:val="2"/>
      <w:sz w:val="21"/>
      <w:szCs w:val="21"/>
      <w:lang w:val="en-US" w:eastAsia="zh-CN" w:bidi="ar-SA"/>
    </w:rPr>
  </w:style>
  <w:style w:type="character" w:customStyle="1" w:styleId="49">
    <w:name w:val="普通(网站) Char"/>
    <w:link w:val="34"/>
    <w:qFormat/>
    <w:locked/>
    <w:uiPriority w:val="0"/>
    <w:rPr>
      <w:rFonts w:ascii="宋体" w:hAnsi="宋体"/>
      <w:sz w:val="24"/>
      <w:szCs w:val="24"/>
    </w:rPr>
  </w:style>
  <w:style w:type="character" w:customStyle="1" w:styleId="50">
    <w:name w:val="apple-converted-space"/>
    <w:basedOn w:val="39"/>
    <w:qFormat/>
    <w:uiPriority w:val="0"/>
  </w:style>
  <w:style w:type="character" w:customStyle="1" w:styleId="51">
    <w:name w:val="标题 4 Char"/>
    <w:link w:val="6"/>
    <w:qFormat/>
    <w:uiPriority w:val="0"/>
    <w:rPr>
      <w:rFonts w:ascii="Arial" w:hAnsi="Arial"/>
      <w:b/>
      <w:bCs/>
      <w:kern w:val="2"/>
      <w:sz w:val="28"/>
      <w:szCs w:val="28"/>
    </w:rPr>
  </w:style>
  <w:style w:type="character" w:customStyle="1" w:styleId="52">
    <w:name w:val="批注文字 Char"/>
    <w:link w:val="16"/>
    <w:qFormat/>
    <w:uiPriority w:val="99"/>
    <w:rPr>
      <w:kern w:val="2"/>
      <w:sz w:val="21"/>
      <w:szCs w:val="24"/>
    </w:rPr>
  </w:style>
  <w:style w:type="character" w:customStyle="1" w:styleId="53">
    <w:name w:val="批注主题 Char"/>
    <w:link w:val="36"/>
    <w:qFormat/>
    <w:uiPriority w:val="0"/>
    <w:rPr>
      <w:b/>
      <w:bCs/>
      <w:kern w:val="2"/>
      <w:sz w:val="21"/>
      <w:szCs w:val="24"/>
    </w:rPr>
  </w:style>
  <w:style w:type="character" w:customStyle="1" w:styleId="54">
    <w:name w:val="Char Char2"/>
    <w:qFormat/>
    <w:uiPriority w:val="0"/>
    <w:rPr>
      <w:rFonts w:ascii="宋体" w:hAnsi="宋体" w:eastAsia="宋体"/>
      <w:kern w:val="2"/>
      <w:sz w:val="21"/>
      <w:szCs w:val="24"/>
      <w:lang w:val="en-US" w:eastAsia="zh-CN" w:bidi="ar-SA"/>
    </w:rPr>
  </w:style>
  <w:style w:type="character" w:customStyle="1" w:styleId="55">
    <w:name w:val="无间隔 Char"/>
    <w:link w:val="56"/>
    <w:qFormat/>
    <w:uiPriority w:val="0"/>
    <w:rPr>
      <w:rFonts w:ascii="Calibri" w:hAnsi="Calibri"/>
      <w:sz w:val="22"/>
      <w:szCs w:val="22"/>
      <w:lang w:val="en-US" w:eastAsia="zh-CN" w:bidi="ar-SA"/>
    </w:rPr>
  </w:style>
  <w:style w:type="paragraph" w:styleId="56">
    <w:name w:val="No Spacing"/>
    <w:link w:val="55"/>
    <w:qFormat/>
    <w:uiPriority w:val="0"/>
    <w:rPr>
      <w:rFonts w:ascii="Calibri" w:hAnsi="Calibri" w:eastAsia="宋体" w:cs="Times New Roman"/>
      <w:sz w:val="22"/>
      <w:szCs w:val="22"/>
      <w:lang w:val="en-US" w:eastAsia="zh-CN" w:bidi="ar-SA"/>
    </w:rPr>
  </w:style>
  <w:style w:type="character" w:customStyle="1" w:styleId="57">
    <w:name w:val="case31"/>
    <w:qFormat/>
    <w:uiPriority w:val="0"/>
    <w:rPr>
      <w:rFonts w:hint="default"/>
      <w:sz w:val="21"/>
      <w:szCs w:val="21"/>
    </w:rPr>
  </w:style>
  <w:style w:type="character" w:customStyle="1" w:styleId="58">
    <w:name w:val="样式 body + 仿宋_GB2312 三号"/>
    <w:qFormat/>
    <w:uiPriority w:val="0"/>
    <w:rPr>
      <w:rFonts w:ascii="宋体" w:eastAsia="宋体"/>
      <w:kern w:val="0"/>
      <w:sz w:val="24"/>
      <w:szCs w:val="24"/>
      <w:lang w:val="en-US" w:eastAsia="zh-CN" w:bidi="ar-SA"/>
    </w:rPr>
  </w:style>
  <w:style w:type="character" w:customStyle="1" w:styleId="59">
    <w:name w:val="14"/>
    <w:basedOn w:val="39"/>
    <w:qFormat/>
    <w:uiPriority w:val="0"/>
  </w:style>
  <w:style w:type="character" w:customStyle="1" w:styleId="60">
    <w:name w:val="lb1"/>
    <w:qFormat/>
    <w:uiPriority w:val="0"/>
    <w:rPr>
      <w:rFonts w:hint="default"/>
      <w:b/>
      <w:bCs/>
      <w:color w:val="0851A5"/>
      <w:sz w:val="27"/>
      <w:szCs w:val="27"/>
    </w:rPr>
  </w:style>
  <w:style w:type="character" w:customStyle="1" w:styleId="61">
    <w:name w:val="textcontents"/>
    <w:basedOn w:val="39"/>
    <w:qFormat/>
    <w:uiPriority w:val="0"/>
  </w:style>
  <w:style w:type="character" w:customStyle="1" w:styleId="62">
    <w:name w:val="Char Char Char"/>
    <w:qFormat/>
    <w:uiPriority w:val="0"/>
    <w:rPr>
      <w:rFonts w:ascii="宋体" w:hAnsi="Courier New" w:eastAsia="宋体"/>
      <w:kern w:val="2"/>
      <w:sz w:val="21"/>
      <w:lang w:val="en-US" w:eastAsia="zh-CN" w:bidi="ar-SA"/>
    </w:rPr>
  </w:style>
  <w:style w:type="paragraph" w:customStyle="1" w:styleId="63">
    <w:name w:val="xl5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64">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65">
    <w:name w:val="xl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18"/>
      <w:szCs w:val="18"/>
    </w:rPr>
  </w:style>
  <w:style w:type="paragraph" w:customStyle="1" w:styleId="66">
    <w:name w:val="正文段"/>
    <w:basedOn w:val="1"/>
    <w:qFormat/>
    <w:uiPriority w:val="0"/>
    <w:pPr>
      <w:widowControl/>
      <w:snapToGrid w:val="0"/>
      <w:spacing w:afterLines="50"/>
      <w:ind w:firstLine="200" w:firstLineChars="200"/>
    </w:pPr>
    <w:rPr>
      <w:kern w:val="0"/>
      <w:sz w:val="24"/>
      <w:szCs w:val="20"/>
    </w:rPr>
  </w:style>
  <w:style w:type="paragraph" w:customStyle="1" w:styleId="67">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68">
    <w:name w:val="xl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kern w:val="0"/>
      <w:sz w:val="18"/>
      <w:szCs w:val="18"/>
    </w:rPr>
  </w:style>
  <w:style w:type="paragraph" w:customStyle="1" w:styleId="69">
    <w:name w:val="正文首行缩进两字符"/>
    <w:basedOn w:val="1"/>
    <w:qFormat/>
    <w:uiPriority w:val="0"/>
    <w:pPr>
      <w:spacing w:line="360" w:lineRule="auto"/>
      <w:ind w:firstLine="200" w:firstLineChars="200"/>
    </w:pPr>
  </w:style>
  <w:style w:type="paragraph" w:customStyle="1" w:styleId="70">
    <w:name w:val="font6"/>
    <w:basedOn w:val="1"/>
    <w:qFormat/>
    <w:uiPriority w:val="0"/>
    <w:pPr>
      <w:widowControl/>
      <w:spacing w:before="100" w:beforeAutospacing="1" w:after="100" w:afterAutospacing="1"/>
      <w:jc w:val="left"/>
    </w:pPr>
    <w:rPr>
      <w:rFonts w:ascii="宋体" w:hAnsi="宋体" w:cs="宋体"/>
      <w:kern w:val="0"/>
      <w:sz w:val="16"/>
      <w:szCs w:val="16"/>
    </w:rPr>
  </w:style>
  <w:style w:type="paragraph" w:customStyle="1" w:styleId="71">
    <w:name w:val="Char2"/>
    <w:basedOn w:val="15"/>
    <w:semiHidden/>
    <w:qFormat/>
    <w:uiPriority w:val="0"/>
    <w:rPr>
      <w:rFonts w:ascii="Tahoma" w:hAnsi="Tahoma" w:cs="Tahoma"/>
      <w:kern w:val="0"/>
      <w:sz w:val="18"/>
    </w:rPr>
  </w:style>
  <w:style w:type="paragraph" w:customStyle="1" w:styleId="72">
    <w:name w:val="xl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18"/>
      <w:szCs w:val="18"/>
    </w:rPr>
  </w:style>
  <w:style w:type="paragraph" w:customStyle="1" w:styleId="73">
    <w:name w:val="样式 标题 1第A章标题 1 Char Char CharH1h1Level 1 Topic HeadingH11..."/>
    <w:basedOn w:val="3"/>
    <w:qFormat/>
    <w:uiPriority w:val="0"/>
    <w:pPr>
      <w:spacing w:before="0" w:after="0" w:line="460" w:lineRule="exact"/>
      <w:ind w:left="-4"/>
      <w:jc w:val="left"/>
    </w:pPr>
    <w:rPr>
      <w:rFonts w:ascii="仿宋_GB2312" w:hAnsi="宋体" w:eastAsia="仿宋_GB2312" w:cs="宋体"/>
      <w:sz w:val="32"/>
      <w:szCs w:val="32"/>
    </w:rPr>
  </w:style>
  <w:style w:type="paragraph" w:customStyle="1" w:styleId="74">
    <w:name w:val="表格"/>
    <w:basedOn w:val="1"/>
    <w:qFormat/>
    <w:uiPriority w:val="0"/>
    <w:pPr>
      <w:spacing w:line="400" w:lineRule="exact"/>
    </w:pPr>
    <w:rPr>
      <w:sz w:val="24"/>
    </w:rPr>
  </w:style>
  <w:style w:type="paragraph" w:customStyle="1" w:styleId="75">
    <w:name w:val="xl5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76">
    <w:name w:val="_Style 81"/>
    <w:basedOn w:val="15"/>
    <w:qFormat/>
    <w:uiPriority w:val="0"/>
    <w:pPr>
      <w:widowControl/>
      <w:ind w:firstLine="454"/>
      <w:jc w:val="left"/>
    </w:pPr>
  </w:style>
  <w:style w:type="paragraph" w:customStyle="1" w:styleId="77">
    <w:name w:val="样式 首行缩进:  2 字符"/>
    <w:basedOn w:val="1"/>
    <w:qFormat/>
    <w:uiPriority w:val="0"/>
    <w:pPr>
      <w:spacing w:line="400" w:lineRule="exact"/>
      <w:ind w:firstLine="200" w:firstLineChars="200"/>
    </w:pPr>
    <w:rPr>
      <w:rFonts w:cs="宋体"/>
      <w:sz w:val="24"/>
    </w:rPr>
  </w:style>
  <w:style w:type="paragraph" w:customStyle="1" w:styleId="78">
    <w:name w:val="font8"/>
    <w:basedOn w:val="1"/>
    <w:qFormat/>
    <w:uiPriority w:val="0"/>
    <w:pPr>
      <w:widowControl/>
      <w:spacing w:before="100" w:beforeAutospacing="1" w:after="100" w:afterAutospacing="1"/>
      <w:jc w:val="left"/>
    </w:pPr>
    <w:rPr>
      <w:rFonts w:ascii="宋体" w:hAnsi="宋体" w:cs="宋体"/>
      <w:color w:val="FF0000"/>
      <w:kern w:val="0"/>
      <w:sz w:val="16"/>
      <w:szCs w:val="16"/>
    </w:rPr>
  </w:style>
  <w:style w:type="paragraph" w:customStyle="1" w:styleId="79">
    <w:name w:val="Char1"/>
    <w:basedOn w:val="1"/>
    <w:qFormat/>
    <w:uiPriority w:val="0"/>
    <w:rPr>
      <w:szCs w:val="21"/>
    </w:rPr>
  </w:style>
  <w:style w:type="paragraph" w:customStyle="1" w:styleId="80">
    <w:name w:val="样式 标题 2 + Times New Roman 四号 非加粗 段前: 5 磅 段后: 0 磅 行距: 固定值 20..."/>
    <w:basedOn w:val="4"/>
    <w:qFormat/>
    <w:uiPriority w:val="0"/>
    <w:pPr>
      <w:spacing w:before="100" w:after="0" w:line="400" w:lineRule="exact"/>
    </w:pPr>
    <w:rPr>
      <w:rFonts w:ascii="Times New Roman" w:hAnsi="Times New Roman" w:cs="宋体"/>
      <w:b w:val="0"/>
      <w:bCs w:val="0"/>
      <w:sz w:val="28"/>
      <w:szCs w:val="20"/>
    </w:rPr>
  </w:style>
  <w:style w:type="paragraph" w:customStyle="1" w:styleId="81">
    <w:name w:val="xl5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18"/>
      <w:szCs w:val="18"/>
    </w:rPr>
  </w:style>
  <w:style w:type="paragraph" w:customStyle="1" w:styleId="82">
    <w:name w:val="font9"/>
    <w:basedOn w:val="1"/>
    <w:qFormat/>
    <w:uiPriority w:val="0"/>
    <w:pPr>
      <w:widowControl/>
      <w:spacing w:before="100" w:beforeAutospacing="1" w:after="100" w:afterAutospacing="1"/>
      <w:jc w:val="left"/>
    </w:pPr>
    <w:rPr>
      <w:color w:val="FF0000"/>
      <w:kern w:val="0"/>
      <w:sz w:val="16"/>
      <w:szCs w:val="16"/>
    </w:rPr>
  </w:style>
  <w:style w:type="paragraph" w:customStyle="1" w:styleId="83">
    <w:name w:val="xl31"/>
    <w:basedOn w:val="1"/>
    <w:qFormat/>
    <w:uiPriority w:val="0"/>
    <w:pPr>
      <w:widowControl/>
      <w:spacing w:before="100" w:beforeAutospacing="1" w:after="100" w:afterAutospacing="1"/>
      <w:jc w:val="center"/>
    </w:pPr>
    <w:rPr>
      <w:rFonts w:ascii="Arial Unicode MS" w:hAnsi="Arial Unicode MS"/>
      <w:kern w:val="0"/>
      <w:sz w:val="24"/>
    </w:rPr>
  </w:style>
  <w:style w:type="paragraph" w:customStyle="1" w:styleId="84">
    <w:name w:val="xl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FF0000"/>
      <w:kern w:val="0"/>
      <w:sz w:val="16"/>
      <w:szCs w:val="16"/>
    </w:rPr>
  </w:style>
  <w:style w:type="paragraph" w:customStyle="1" w:styleId="85">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86">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16"/>
      <w:szCs w:val="16"/>
    </w:rPr>
  </w:style>
  <w:style w:type="paragraph" w:customStyle="1" w:styleId="87">
    <w:name w:val="xl5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88">
    <w:name w:val="Char Char Char Char Char Char"/>
    <w:basedOn w:val="1"/>
    <w:qFormat/>
    <w:uiPriority w:val="0"/>
  </w:style>
  <w:style w:type="paragraph" w:customStyle="1" w:styleId="89">
    <w:name w:val="xl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18"/>
      <w:szCs w:val="18"/>
    </w:rPr>
  </w:style>
  <w:style w:type="paragraph" w:customStyle="1" w:styleId="90">
    <w:name w:val="列出段落1"/>
    <w:basedOn w:val="1"/>
    <w:qFormat/>
    <w:uiPriority w:val="0"/>
    <w:pPr>
      <w:widowControl/>
      <w:spacing w:after="200" w:line="276" w:lineRule="auto"/>
      <w:ind w:left="720"/>
      <w:contextualSpacing/>
      <w:jc w:val="left"/>
    </w:pPr>
    <w:rPr>
      <w:rFonts w:ascii="Calibri" w:hAnsi="Calibri"/>
      <w:kern w:val="0"/>
      <w:sz w:val="22"/>
      <w:szCs w:val="22"/>
    </w:rPr>
  </w:style>
  <w:style w:type="paragraph" w:customStyle="1" w:styleId="91">
    <w:name w:val="修订1"/>
    <w:qFormat/>
    <w:uiPriority w:val="0"/>
    <w:rPr>
      <w:rFonts w:ascii="Times New Roman" w:hAnsi="Times New Roman" w:eastAsia="宋体" w:cs="Times New Roman"/>
      <w:kern w:val="2"/>
      <w:sz w:val="21"/>
      <w:szCs w:val="24"/>
      <w:lang w:val="en-US" w:eastAsia="zh-CN" w:bidi="ar-SA"/>
    </w:rPr>
  </w:style>
  <w:style w:type="paragraph" w:customStyle="1" w:styleId="92">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93">
    <w:name w:val="xl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16"/>
      <w:szCs w:val="16"/>
    </w:rPr>
  </w:style>
  <w:style w:type="paragraph" w:customStyle="1" w:styleId="94">
    <w:name w:val="font7"/>
    <w:basedOn w:val="1"/>
    <w:qFormat/>
    <w:uiPriority w:val="0"/>
    <w:pPr>
      <w:widowControl/>
      <w:spacing w:before="100" w:beforeAutospacing="1" w:after="100" w:afterAutospacing="1"/>
      <w:jc w:val="left"/>
    </w:pPr>
    <w:rPr>
      <w:kern w:val="0"/>
      <w:sz w:val="16"/>
      <w:szCs w:val="16"/>
    </w:rPr>
  </w:style>
  <w:style w:type="paragraph" w:customStyle="1" w:styleId="95">
    <w:name w:val="Char"/>
    <w:basedOn w:val="1"/>
    <w:qFormat/>
    <w:uiPriority w:val="0"/>
  </w:style>
  <w:style w:type="paragraph" w:customStyle="1" w:styleId="96">
    <w:name w:val="默认段落字体 Para Char"/>
    <w:basedOn w:val="1"/>
    <w:qFormat/>
    <w:uiPriority w:val="0"/>
    <w:pPr>
      <w:adjustRightInd w:val="0"/>
      <w:spacing w:line="360" w:lineRule="auto"/>
    </w:pPr>
    <w:rPr>
      <w:kern w:val="0"/>
      <w:sz w:val="24"/>
      <w:szCs w:val="20"/>
    </w:rPr>
  </w:style>
  <w:style w:type="paragraph" w:customStyle="1" w:styleId="97">
    <w:name w:val="样式 标题 3 + (中文) 黑体 小四 非加粗 段前: 7.8 磅 段后: 0 磅 行距: 固定值 20 磅"/>
    <w:basedOn w:val="5"/>
    <w:qFormat/>
    <w:uiPriority w:val="0"/>
    <w:pPr>
      <w:spacing w:before="0" w:after="0" w:line="400" w:lineRule="exact"/>
    </w:pPr>
    <w:rPr>
      <w:rFonts w:eastAsia="黑体" w:cs="宋体"/>
      <w:b w:val="0"/>
      <w:bCs w:val="0"/>
      <w:sz w:val="24"/>
      <w:szCs w:val="20"/>
    </w:rPr>
  </w:style>
  <w:style w:type="paragraph" w:customStyle="1" w:styleId="98">
    <w:name w:val="Char3"/>
    <w:basedOn w:val="15"/>
    <w:qFormat/>
    <w:uiPriority w:val="0"/>
    <w:pPr>
      <w:widowControl/>
      <w:ind w:firstLine="454"/>
      <w:jc w:val="left"/>
    </w:pPr>
    <w:rPr>
      <w:rFonts w:ascii="Tahoma" w:hAnsi="Tahoma" w:cs="宋体"/>
      <w:kern w:val="0"/>
      <w:sz w:val="24"/>
      <w:szCs w:val="20"/>
    </w:rPr>
  </w:style>
  <w:style w:type="paragraph" w:customStyle="1" w:styleId="99">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styleId="100">
    <w:name w:val="List Paragraph"/>
    <w:basedOn w:val="1"/>
    <w:qFormat/>
    <w:uiPriority w:val="0"/>
    <w:pPr>
      <w:widowControl/>
      <w:ind w:firstLine="420" w:firstLineChars="200"/>
      <w:jc w:val="left"/>
    </w:pPr>
    <w:rPr>
      <w:rFonts w:ascii="宋体" w:hAnsi="宋体" w:cs="宋体"/>
      <w:kern w:val="0"/>
      <w:sz w:val="24"/>
    </w:rPr>
  </w:style>
  <w:style w:type="paragraph" w:customStyle="1" w:styleId="101">
    <w:name w:val="默认段落字体 Para Char Char Char Char Char Char Char Char Char1 Char Char Char Char"/>
    <w:basedOn w:val="1"/>
    <w:qFormat/>
    <w:uiPriority w:val="0"/>
    <w:rPr>
      <w:rFonts w:ascii="Tahoma" w:hAnsi="Tahoma"/>
      <w:sz w:val="24"/>
      <w:szCs w:val="20"/>
    </w:rPr>
  </w:style>
  <w:style w:type="paragraph" w:customStyle="1" w:styleId="102">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18"/>
      <w:szCs w:val="18"/>
    </w:rPr>
  </w:style>
  <w:style w:type="paragraph" w:customStyle="1" w:styleId="103">
    <w:name w:val="表内文字"/>
    <w:basedOn w:val="1"/>
    <w:qFormat/>
    <w:uiPriority w:val="0"/>
    <w:pPr>
      <w:snapToGrid w:val="0"/>
      <w:jc w:val="center"/>
    </w:pPr>
    <w:rPr>
      <w:rFonts w:ascii="宋体" w:hAnsi="宋体"/>
      <w:color w:val="FF0000"/>
      <w:sz w:val="24"/>
    </w:rPr>
  </w:style>
  <w:style w:type="paragraph" w:customStyle="1" w:styleId="104">
    <w:name w:val="xl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黑体" w:hAnsi="宋体" w:eastAsia="黑体" w:cs="宋体"/>
      <w:b/>
      <w:bCs/>
      <w:kern w:val="0"/>
      <w:sz w:val="18"/>
      <w:szCs w:val="18"/>
    </w:rPr>
  </w:style>
  <w:style w:type="paragraph" w:customStyle="1" w:styleId="105">
    <w:name w:val="xl4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18"/>
      <w:szCs w:val="18"/>
    </w:rPr>
  </w:style>
  <w:style w:type="paragraph" w:customStyle="1" w:styleId="106">
    <w:name w:val="xl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18"/>
      <w:szCs w:val="18"/>
    </w:rPr>
  </w:style>
  <w:style w:type="paragraph" w:customStyle="1" w:styleId="107">
    <w:name w:val="xl56"/>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108">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109">
    <w:name w:val="char"/>
    <w:basedOn w:val="1"/>
    <w:qFormat/>
    <w:uiPriority w:val="0"/>
    <w:pPr>
      <w:widowControl/>
      <w:adjustRightInd w:val="0"/>
      <w:snapToGrid w:val="0"/>
      <w:spacing w:beforeLines="50" w:after="160" w:line="360" w:lineRule="exact"/>
      <w:ind w:firstLine="496" w:firstLineChars="200"/>
      <w:jc w:val="left"/>
    </w:pPr>
    <w:rPr>
      <w:rFonts w:ascii="宋体" w:hAnsi="宋体" w:cs="”“Times New Roman”“"/>
      <w:color w:val="000000"/>
      <w:spacing w:val="4"/>
      <w:kern w:val="0"/>
      <w:sz w:val="24"/>
      <w:lang w:eastAsia="en-US"/>
    </w:rPr>
  </w:style>
  <w:style w:type="character" w:customStyle="1" w:styleId="110">
    <w:name w:val="正文文本缩进 Char"/>
    <w:link w:val="18"/>
    <w:qFormat/>
    <w:uiPriority w:val="0"/>
    <w:rPr>
      <w:rFonts w:ascii="仿宋_GB2312" w:eastAsia="仿宋_GB2312"/>
      <w:kern w:val="2"/>
      <w:sz w:val="32"/>
    </w:rPr>
  </w:style>
  <w:style w:type="paragraph" w:customStyle="1" w:styleId="111">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top"/>
    </w:pPr>
    <w:rPr>
      <w:kern w:val="0"/>
      <w:szCs w:val="21"/>
    </w:rPr>
  </w:style>
  <w:style w:type="character" w:customStyle="1" w:styleId="112">
    <w:name w:val="页眉 Char"/>
    <w:basedOn w:val="39"/>
    <w:link w:val="27"/>
    <w:qFormat/>
    <w:uiPriority w:val="99"/>
    <w:rPr>
      <w:kern w:val="2"/>
      <w:sz w:val="18"/>
      <w:szCs w:val="18"/>
    </w:rPr>
  </w:style>
  <w:style w:type="character" w:customStyle="1" w:styleId="113">
    <w:name w:val="页脚 Char"/>
    <w:basedOn w:val="39"/>
    <w:link w:val="26"/>
    <w:qFormat/>
    <w:uiPriority w:val="99"/>
    <w:rPr>
      <w:kern w:val="2"/>
      <w:sz w:val="18"/>
      <w:szCs w:val="18"/>
    </w:rPr>
  </w:style>
  <w:style w:type="paragraph" w:customStyle="1" w:styleId="114">
    <w:name w:val="1"/>
    <w:basedOn w:val="1"/>
    <w:next w:val="22"/>
    <w:qFormat/>
    <w:uiPriority w:val="0"/>
    <w:rPr>
      <w:rFonts w:ascii="宋体" w:hAnsi="Courier New"/>
      <w:szCs w:val="20"/>
    </w:rPr>
  </w:style>
  <w:style w:type="paragraph" w:customStyle="1" w:styleId="115">
    <w:name w:val="link_wenben"/>
    <w:basedOn w:val="3"/>
    <w:qFormat/>
    <w:uiPriority w:val="0"/>
    <w:pPr>
      <w:keepNext w:val="0"/>
      <w:keepLines w:val="0"/>
      <w:tabs>
        <w:tab w:val="left" w:pos="420"/>
      </w:tabs>
      <w:adjustRightInd w:val="0"/>
      <w:spacing w:before="0" w:afterLines="25" w:line="360" w:lineRule="auto"/>
      <w:ind w:firstLine="200" w:firstLineChars="200"/>
      <w:jc w:val="left"/>
      <w:outlineLvl w:val="9"/>
    </w:pPr>
    <w:rPr>
      <w:rFonts w:ascii="宋体" w:hAnsi="宋体" w:eastAsia="仿宋"/>
      <w:b w:val="0"/>
      <w:bCs w:val="0"/>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66</Pages>
  <Words>6285</Words>
  <Characters>35831</Characters>
  <Lines>298</Lines>
  <Paragraphs>84</Paragraphs>
  <TotalTime>1</TotalTime>
  <ScaleCrop>false</ScaleCrop>
  <LinksUpToDate>false</LinksUpToDate>
  <CharactersWithSpaces>42032</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2020-12-19T02:27:00Z</dcterms:created>
  <dc:creator>User</dc:creator>
  <cp:lastModifiedBy>NTKO</cp:lastModifiedBy>
  <cp:lastPrinted>2018-10-23T02:55:00Z</cp:lastPrinted>
  <dcterms:modified xsi:type="dcterms:W3CDTF">2020-12-31T06:29:25Z</dcterms:modified>
  <dc:title>广西壮族自治区建设工程机电设备招标中心</dc:title>
  <cp:revision>111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