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24"/>
          <w:highlight w:val="none"/>
          <w:vertAlign w:val="subscript"/>
        </w:rPr>
      </w:pPr>
    </w:p>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南宁政府采购服务</w:t>
      </w:r>
    </w:p>
    <w:p>
      <w:pPr>
        <w:jc w:val="center"/>
        <w:rPr>
          <w:rFonts w:ascii="宋体" w:hAnsi="宋体"/>
          <w:b/>
          <w:color w:val="auto"/>
          <w:sz w:val="58"/>
          <w:szCs w:val="72"/>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pPr>
        <w:jc w:val="center"/>
        <w:rPr>
          <w:rFonts w:ascii="宋体" w:hAnsi="宋体"/>
          <w:b/>
          <w:color w:val="auto"/>
          <w:sz w:val="56"/>
          <w:szCs w:val="72"/>
          <w:highlight w:val="none"/>
        </w:rPr>
      </w:pPr>
      <w:r>
        <w:rPr>
          <w:rFonts w:hint="eastAsia" w:ascii="宋体" w:hAnsi="宋体"/>
          <w:b/>
          <w:color w:val="auto"/>
          <w:sz w:val="56"/>
          <w:szCs w:val="72"/>
          <w:highlight w:val="none"/>
        </w:rPr>
        <w:t xml:space="preserve"> </w:t>
      </w: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tabs>
          <w:tab w:val="left" w:pos="5640"/>
        </w:tabs>
        <w:snapToGrid w:val="0"/>
        <w:spacing w:line="360" w:lineRule="auto"/>
        <w:ind w:left="907" w:leftChars="432" w:firstLine="542" w:firstLineChars="150"/>
        <w:rPr>
          <w:rFonts w:hAnsi="宋体"/>
          <w:b/>
          <w:color w:val="auto"/>
          <w:sz w:val="36"/>
          <w:szCs w:val="36"/>
          <w:highlight w:val="none"/>
        </w:rPr>
      </w:pPr>
      <w:r>
        <w:rPr>
          <w:rFonts w:hint="eastAsia" w:hAnsi="宋体"/>
          <w:b/>
          <w:bCs/>
          <w:color w:val="auto"/>
          <w:sz w:val="36"/>
          <w:szCs w:val="36"/>
          <w:highlight w:val="none"/>
        </w:rPr>
        <w:t>项目名称：</w:t>
      </w:r>
      <w:r>
        <w:rPr>
          <w:rFonts w:hint="eastAsia" w:hAnsi="宋体"/>
          <w:b/>
          <w:color w:val="auto"/>
          <w:sz w:val="36"/>
          <w:szCs w:val="36"/>
          <w:highlight w:val="none"/>
          <w:u w:val="single"/>
          <w:lang w:eastAsia="zh-CN"/>
        </w:rPr>
        <w:t>南宁市公共服务大数据治理与应用平台项目系统测评</w:t>
      </w:r>
      <w:r>
        <w:rPr>
          <w:rFonts w:hint="eastAsia" w:hAnsi="宋体"/>
          <w:b/>
          <w:color w:val="auto"/>
          <w:sz w:val="36"/>
          <w:szCs w:val="36"/>
          <w:highlight w:val="none"/>
          <w:u w:val="single"/>
        </w:rPr>
        <w:t xml:space="preserve"> </w:t>
      </w:r>
      <w:r>
        <w:rPr>
          <w:rFonts w:hint="eastAsia" w:hAnsi="宋体"/>
          <w:b/>
          <w:color w:val="auto"/>
          <w:sz w:val="28"/>
          <w:szCs w:val="36"/>
          <w:highlight w:val="none"/>
          <w:u w:val="single"/>
        </w:rPr>
        <w:t xml:space="preserve"> </w:t>
      </w:r>
      <w:r>
        <w:rPr>
          <w:rFonts w:hint="eastAsia" w:hAnsi="宋体"/>
          <w:b/>
          <w:color w:val="auto"/>
          <w:sz w:val="36"/>
          <w:szCs w:val="36"/>
          <w:highlight w:val="none"/>
        </w:rPr>
        <w:t xml:space="preserve"> </w:t>
      </w:r>
    </w:p>
    <w:p>
      <w:pPr>
        <w:pStyle w:val="22"/>
        <w:tabs>
          <w:tab w:val="left" w:pos="5640"/>
        </w:tabs>
        <w:snapToGrid w:val="0"/>
        <w:spacing w:line="360" w:lineRule="auto"/>
        <w:ind w:left="907" w:leftChars="432" w:firstLine="542" w:firstLineChars="150"/>
        <w:rPr>
          <w:rFonts w:hAnsi="宋体"/>
          <w:b/>
          <w:bCs/>
          <w:color w:val="auto"/>
          <w:w w:val="95"/>
          <w:sz w:val="36"/>
          <w:szCs w:val="36"/>
          <w:highlight w:val="none"/>
        </w:rPr>
      </w:pPr>
      <w:r>
        <w:rPr>
          <w:rFonts w:hint="eastAsia" w:hAnsi="宋体"/>
          <w:b/>
          <w:bCs/>
          <w:color w:val="auto"/>
          <w:sz w:val="36"/>
          <w:szCs w:val="36"/>
          <w:highlight w:val="none"/>
        </w:rPr>
        <w:t>项目编号：</w:t>
      </w:r>
      <w:r>
        <w:rPr>
          <w:rFonts w:hint="eastAsia" w:hAnsi="宋体"/>
          <w:b/>
          <w:color w:val="auto"/>
          <w:sz w:val="36"/>
          <w:szCs w:val="36"/>
          <w:highlight w:val="none"/>
          <w:u w:val="single"/>
          <w:lang w:eastAsia="zh-CN"/>
        </w:rPr>
        <w:t>NNZC2020-G3-990640-JGJD</w:t>
      </w:r>
      <w:r>
        <w:rPr>
          <w:rFonts w:hint="eastAsia" w:hAnsi="宋体"/>
          <w:b/>
          <w:color w:val="auto"/>
          <w:sz w:val="36"/>
          <w:szCs w:val="36"/>
          <w:highlight w:val="none"/>
          <w:u w:val="single"/>
        </w:rPr>
        <w:t xml:space="preserve">  </w:t>
      </w:r>
    </w:p>
    <w:p>
      <w:pPr>
        <w:pStyle w:val="22"/>
        <w:tabs>
          <w:tab w:val="left" w:pos="5640"/>
        </w:tabs>
        <w:snapToGrid w:val="0"/>
        <w:spacing w:line="360" w:lineRule="auto"/>
        <w:ind w:left="907" w:leftChars="432" w:firstLine="542" w:firstLineChars="150"/>
        <w:rPr>
          <w:rFonts w:hAnsi="宋体"/>
          <w:b/>
          <w:bCs/>
          <w:color w:val="auto"/>
          <w:sz w:val="36"/>
          <w:szCs w:val="36"/>
          <w:highlight w:val="none"/>
        </w:rPr>
      </w:pPr>
      <w:r>
        <w:rPr>
          <w:rFonts w:hint="eastAsia" w:hAnsi="宋体"/>
          <w:b/>
          <w:bCs/>
          <w:color w:val="auto"/>
          <w:sz w:val="36"/>
          <w:szCs w:val="36"/>
          <w:highlight w:val="none"/>
        </w:rPr>
        <w:t>审批编号：</w:t>
      </w:r>
      <w:r>
        <w:rPr>
          <w:rFonts w:hint="eastAsia" w:hAnsi="宋体"/>
          <w:b/>
          <w:color w:val="auto"/>
          <w:sz w:val="36"/>
          <w:szCs w:val="36"/>
          <w:highlight w:val="none"/>
          <w:u w:val="single"/>
          <w:lang w:eastAsia="zh-CN"/>
        </w:rPr>
        <w:t xml:space="preserve"> [2020]NCCJA094/3 </w:t>
      </w:r>
      <w:r>
        <w:rPr>
          <w:rFonts w:hint="eastAsia" w:hAnsi="宋体"/>
          <w:b/>
          <w:color w:val="auto"/>
          <w:sz w:val="36"/>
          <w:szCs w:val="36"/>
          <w:highlight w:val="none"/>
          <w:u w:val="single"/>
        </w:rPr>
        <w:t xml:space="preserve">  </w:t>
      </w:r>
    </w:p>
    <w:p>
      <w:pPr>
        <w:pStyle w:val="22"/>
        <w:snapToGrid w:val="0"/>
        <w:ind w:firstLine="673" w:firstLineChars="196"/>
        <w:jc w:val="center"/>
        <w:rPr>
          <w:rFonts w:hAnsi="宋体"/>
          <w:b/>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spacing w:line="360" w:lineRule="auto"/>
        <w:ind w:firstLine="0" w:firstLineChars="0"/>
        <w:jc w:val="left"/>
        <w:rPr>
          <w:rFonts w:hAnsi="宋体"/>
          <w:b/>
          <w:color w:val="auto"/>
          <w:sz w:val="36"/>
          <w:szCs w:val="36"/>
          <w:highlight w:val="none"/>
          <w:u w:val="single"/>
        </w:rPr>
      </w:pPr>
      <w:r>
        <w:rPr>
          <w:rFonts w:hint="eastAsia" w:hAnsi="宋体"/>
          <w:b/>
          <w:bCs/>
          <w:color w:val="auto"/>
          <w:w w:val="95"/>
          <w:sz w:val="36"/>
          <w:szCs w:val="36"/>
          <w:highlight w:val="none"/>
        </w:rPr>
        <w:t>采购单位：</w:t>
      </w:r>
      <w:r>
        <w:rPr>
          <w:rFonts w:hint="eastAsia" w:hAnsi="宋体"/>
          <w:b/>
          <w:color w:val="auto"/>
          <w:sz w:val="36"/>
          <w:szCs w:val="36"/>
          <w:highlight w:val="none"/>
          <w:u w:val="single"/>
        </w:rPr>
        <w:t xml:space="preserve">南宁市信息网络管理中心 </w:t>
      </w:r>
    </w:p>
    <w:p>
      <w:pPr>
        <w:pStyle w:val="22"/>
        <w:snapToGrid w:val="0"/>
        <w:spacing w:line="360" w:lineRule="auto"/>
        <w:ind w:firstLine="0" w:firstLineChars="0"/>
        <w:jc w:val="left"/>
        <w:rPr>
          <w:rFonts w:hAnsi="宋体"/>
          <w:b/>
          <w:color w:val="auto"/>
          <w:sz w:val="36"/>
          <w:szCs w:val="36"/>
          <w:highlight w:val="none"/>
          <w:u w:val="single"/>
        </w:rPr>
      </w:pPr>
      <w:r>
        <w:rPr>
          <w:rFonts w:hint="eastAsia" w:hAnsi="宋体"/>
          <w:b/>
          <w:bCs/>
          <w:color w:val="auto"/>
          <w:w w:val="95"/>
          <w:sz w:val="36"/>
          <w:szCs w:val="36"/>
          <w:highlight w:val="none"/>
        </w:rPr>
        <w:t>代理机构：</w:t>
      </w:r>
      <w:r>
        <w:rPr>
          <w:rFonts w:hint="eastAsia" w:hAnsi="宋体"/>
          <w:b/>
          <w:bCs/>
          <w:color w:val="auto"/>
          <w:sz w:val="36"/>
          <w:szCs w:val="36"/>
          <w:highlight w:val="none"/>
          <w:u w:val="single"/>
        </w:rPr>
        <w:t>广西建设工程机电设备招标中心有限公司</w:t>
      </w:r>
    </w:p>
    <w:p>
      <w:pPr>
        <w:pStyle w:val="22"/>
        <w:snapToGrid w:val="0"/>
        <w:spacing w:line="360" w:lineRule="auto"/>
        <w:ind w:firstLine="3345" w:firstLineChars="974"/>
        <w:rPr>
          <w:rFonts w:hAnsi="宋体"/>
          <w:b/>
          <w:color w:val="auto"/>
          <w:w w:val="95"/>
          <w:sz w:val="36"/>
          <w:szCs w:val="36"/>
          <w:highlight w:val="none"/>
        </w:rPr>
      </w:pPr>
      <w:r>
        <w:rPr>
          <w:rFonts w:hint="eastAsia" w:hAnsi="宋体"/>
          <w:b/>
          <w:bCs/>
          <w:color w:val="auto"/>
          <w:w w:val="95"/>
          <w:sz w:val="36"/>
          <w:szCs w:val="36"/>
          <w:highlight w:val="none"/>
        </w:rPr>
        <w:t xml:space="preserve"> </w:t>
      </w:r>
      <w:r>
        <w:rPr>
          <w:rFonts w:hint="eastAsia" w:hAnsi="宋体"/>
          <w:b/>
          <w:color w:val="auto"/>
          <w:sz w:val="36"/>
          <w:szCs w:val="36"/>
          <w:highlight w:val="none"/>
          <w:u w:val="single"/>
        </w:rPr>
        <w:t xml:space="preserve"> 20</w:t>
      </w:r>
      <w:r>
        <w:rPr>
          <w:rFonts w:hint="eastAsia" w:hAnsi="宋体"/>
          <w:b/>
          <w:color w:val="auto"/>
          <w:sz w:val="36"/>
          <w:szCs w:val="36"/>
          <w:highlight w:val="none"/>
          <w:u w:val="single"/>
          <w:lang w:val="en-US" w:eastAsia="zh-CN"/>
        </w:rPr>
        <w:t>20</w:t>
      </w:r>
      <w:r>
        <w:rPr>
          <w:rFonts w:hint="eastAsia" w:hAnsi="宋体"/>
          <w:b/>
          <w:bCs/>
          <w:color w:val="auto"/>
          <w:w w:val="95"/>
          <w:sz w:val="36"/>
          <w:szCs w:val="36"/>
          <w:highlight w:val="none"/>
        </w:rPr>
        <w:t>年</w:t>
      </w:r>
      <w:r>
        <w:rPr>
          <w:rFonts w:hint="eastAsia" w:hAnsi="宋体"/>
          <w:b/>
          <w:color w:val="auto"/>
          <w:sz w:val="36"/>
          <w:szCs w:val="36"/>
          <w:highlight w:val="none"/>
          <w:u w:val="single"/>
          <w:lang w:val="en-US" w:eastAsia="zh-CN"/>
        </w:rPr>
        <w:t xml:space="preserve">12 </w:t>
      </w:r>
      <w:r>
        <w:rPr>
          <w:rFonts w:hint="eastAsia" w:hAnsi="宋体"/>
          <w:b/>
          <w:bCs/>
          <w:color w:val="auto"/>
          <w:w w:val="95"/>
          <w:sz w:val="36"/>
          <w:szCs w:val="36"/>
          <w:highlight w:val="none"/>
        </w:rPr>
        <w:t>月</w:t>
      </w:r>
      <w:r>
        <w:rPr>
          <w:rFonts w:hint="eastAsia" w:hAnsi="宋体"/>
          <w:b/>
          <w:color w:val="auto"/>
          <w:sz w:val="36"/>
          <w:szCs w:val="36"/>
          <w:highlight w:val="none"/>
          <w:u w:val="single"/>
          <w:lang w:val="en-US" w:eastAsia="zh-CN"/>
        </w:rPr>
        <w:t xml:space="preserve"> 31 </w:t>
      </w:r>
      <w:r>
        <w:rPr>
          <w:rFonts w:hint="eastAsia" w:hAnsi="宋体"/>
          <w:b/>
          <w:bCs/>
          <w:color w:val="auto"/>
          <w:w w:val="95"/>
          <w:sz w:val="36"/>
          <w:szCs w:val="36"/>
          <w:highlight w:val="none"/>
        </w:rPr>
        <w:t>日</w:t>
      </w:r>
    </w:p>
    <w:p>
      <w:pPr>
        <w:pStyle w:val="22"/>
        <w:snapToGrid w:val="0"/>
        <w:rPr>
          <w:rFonts w:hAnsi="宋体"/>
          <w:b/>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6"/>
        <w:framePr w:wrap="around" w:vAnchor="text" w:hAnchor="page" w:x="9837" w:y="1"/>
        <w:rPr>
          <w:rStyle w:val="41"/>
          <w:rFonts w:ascii="仿宋" w:hAnsi="仿宋" w:eastAsia="仿宋"/>
          <w:color w:val="auto"/>
          <w:sz w:val="28"/>
          <w:szCs w:val="28"/>
          <w:highlight w:val="none"/>
        </w:rPr>
      </w:pPr>
    </w:p>
    <w:p>
      <w:pPr>
        <w:pStyle w:val="22"/>
        <w:snapToGrid w:val="0"/>
        <w:jc w:val="right"/>
        <w:rPr>
          <w:color w:val="auto"/>
          <w:highlight w:val="none"/>
        </w:rPr>
      </w:pPr>
    </w:p>
    <w:p>
      <w:pPr>
        <w:pStyle w:val="22"/>
        <w:snapToGrid w:val="0"/>
        <w:rPr>
          <w:rFonts w:hAnsi="宋体"/>
          <w:b/>
          <w:color w:val="auto"/>
          <w:sz w:val="28"/>
          <w:szCs w:val="28"/>
          <w:highlight w:val="none"/>
        </w:rPr>
      </w:pPr>
      <w:r>
        <w:rPr>
          <w:rFonts w:hint="eastAsia" w:hAnsi="宋体"/>
          <w:b/>
          <w:color w:val="auto"/>
          <w:sz w:val="28"/>
          <w:szCs w:val="28"/>
          <w:highlight w:val="none"/>
        </w:rPr>
        <w:t xml:space="preserve">            </w:t>
      </w:r>
    </w:p>
    <w:p>
      <w:pPr>
        <w:rPr>
          <w:rFonts w:ascii="宋体" w:cs="宋体"/>
          <w:b/>
          <w:color w:val="auto"/>
          <w:sz w:val="44"/>
          <w:szCs w:val="44"/>
          <w:highlight w:val="none"/>
        </w:rPr>
      </w:pPr>
    </w:p>
    <w:p>
      <w:pPr>
        <w:pStyle w:val="22"/>
        <w:snapToGrid w:val="0"/>
        <w:ind w:right="140"/>
        <w:jc w:val="center"/>
        <w:rPr>
          <w:rFonts w:hAnsi="宋体"/>
          <w:b/>
          <w:color w:val="auto"/>
          <w:sz w:val="44"/>
          <w:szCs w:val="44"/>
          <w:highlight w:val="none"/>
        </w:rPr>
      </w:pPr>
      <w:r>
        <w:rPr>
          <w:rFonts w:hint="eastAsia" w:hAnsi="宋体"/>
          <w:b/>
          <w:color w:val="auto"/>
          <w:sz w:val="44"/>
          <w:szCs w:val="44"/>
          <w:highlight w:val="none"/>
        </w:rPr>
        <w:t>目    录</w:t>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color w:val="auto"/>
          <w:highlight w:val="none"/>
        </w:rPr>
        <w:instrText xml:space="preserve"> HYPERLINK \l _Toc31507 </w:instrText>
      </w:r>
      <w:r>
        <w:rPr>
          <w:color w:val="auto"/>
          <w:highlight w:val="none"/>
        </w:rPr>
        <w:fldChar w:fldCharType="separate"/>
      </w:r>
      <w:r>
        <w:rPr>
          <w:rFonts w:hint="eastAsia" w:hAnsi="宋体"/>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_Toc31507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28"/>
        <w:tabs>
          <w:tab w:val="right" w:leader="dot" w:pos="8997"/>
          <w:tab w:val="clear" w:pos="8398"/>
        </w:tabs>
        <w:ind w:firstLine="241" w:firstLineChars="100"/>
        <w:rPr>
          <w:color w:val="auto"/>
          <w:highlight w:val="none"/>
        </w:rPr>
      </w:pPr>
      <w:r>
        <w:rPr>
          <w:color w:val="auto"/>
          <w:highlight w:val="none"/>
        </w:rPr>
        <w:fldChar w:fldCharType="begin"/>
      </w:r>
      <w:r>
        <w:rPr>
          <w:color w:val="auto"/>
          <w:highlight w:val="none"/>
        </w:rPr>
        <w:instrText xml:space="preserve"> HYPERLINK \l _Toc28706 </w:instrText>
      </w:r>
      <w:r>
        <w:rPr>
          <w:color w:val="auto"/>
          <w:highlight w:val="none"/>
        </w:rPr>
        <w:fldChar w:fldCharType="separate"/>
      </w:r>
      <w:r>
        <w:rPr>
          <w:rFonts w:hint="eastAsia" w:ascii="宋体" w:hAnsi="宋体"/>
          <w:color w:val="auto"/>
          <w:szCs w:val="44"/>
          <w:highlight w:val="none"/>
        </w:rPr>
        <w:t xml:space="preserve">第二章 </w:t>
      </w:r>
      <w:r>
        <w:rPr>
          <w:rFonts w:hint="eastAsia" w:ascii="宋体" w:hAnsi="宋体"/>
          <w:bCs/>
          <w:color w:val="auto"/>
          <w:szCs w:val="44"/>
          <w:highlight w:val="none"/>
        </w:rPr>
        <w:t>招</w:t>
      </w:r>
      <w:r>
        <w:rPr>
          <w:rFonts w:hint="eastAsia" w:ascii="宋体" w:hAnsi="宋体"/>
          <w:color w:val="auto"/>
          <w:szCs w:val="44"/>
          <w:highlight w:val="none"/>
        </w:rPr>
        <w:t>标项目采购需求</w:t>
      </w:r>
      <w:r>
        <w:rPr>
          <w:color w:val="auto"/>
          <w:highlight w:val="none"/>
        </w:rPr>
        <w:tab/>
      </w:r>
      <w:r>
        <w:rPr>
          <w:color w:val="auto"/>
          <w:highlight w:val="none"/>
        </w:rPr>
        <w:fldChar w:fldCharType="begin"/>
      </w:r>
      <w:r>
        <w:rPr>
          <w:color w:val="auto"/>
          <w:highlight w:val="none"/>
        </w:rPr>
        <w:instrText xml:space="preserve"> PAGEREF _Toc28706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28"/>
        <w:tabs>
          <w:tab w:val="right" w:leader="dot" w:pos="8997"/>
          <w:tab w:val="clear" w:pos="8398"/>
        </w:tabs>
        <w:ind w:firstLine="241" w:firstLineChars="100"/>
        <w:rPr>
          <w:color w:val="auto"/>
          <w:highlight w:val="none"/>
        </w:rPr>
      </w:pPr>
      <w:r>
        <w:rPr>
          <w:color w:val="auto"/>
          <w:highlight w:val="none"/>
        </w:rPr>
        <w:fldChar w:fldCharType="begin"/>
      </w:r>
      <w:r>
        <w:rPr>
          <w:color w:val="auto"/>
          <w:highlight w:val="none"/>
        </w:rPr>
        <w:instrText xml:space="preserve"> HYPERLINK \l _Toc3476 </w:instrText>
      </w:r>
      <w:r>
        <w:rPr>
          <w:color w:val="auto"/>
          <w:highlight w:val="none"/>
        </w:rPr>
        <w:fldChar w:fldCharType="separate"/>
      </w:r>
      <w:r>
        <w:rPr>
          <w:rFonts w:hint="eastAsia" w:ascii="宋体" w:hAnsi="宋体"/>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_Toc3476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_Toc1718 </w:instrText>
      </w:r>
      <w:r>
        <w:rPr>
          <w:color w:val="auto"/>
          <w:highlight w:val="none"/>
        </w:rPr>
        <w:fldChar w:fldCharType="separate"/>
      </w:r>
      <w:r>
        <w:rPr>
          <w:rFonts w:hint="eastAsia" w:hAnsi="宋体"/>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_Toc1718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_Toc23065 </w:instrText>
      </w:r>
      <w:r>
        <w:rPr>
          <w:color w:val="auto"/>
          <w:highlight w:val="none"/>
        </w:rPr>
        <w:fldChar w:fldCharType="separate"/>
      </w:r>
      <w:r>
        <w:rPr>
          <w:rFonts w:hint="eastAsia" w:ascii="宋体" w:hAnsi="宋体"/>
          <w:color w:val="auto"/>
          <w:szCs w:val="44"/>
          <w:highlight w:val="none"/>
        </w:rPr>
        <w:t xml:space="preserve">第五章 </w:t>
      </w:r>
      <w:r>
        <w:rPr>
          <w:rFonts w:hint="eastAsia" w:ascii="宋体" w:hAnsi="宋体"/>
          <w:bCs/>
          <w:color w:val="auto"/>
          <w:szCs w:val="44"/>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_Toc23065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hAnsi="宋体"/>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_Toc20398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_Toc25446 </w:instrText>
      </w:r>
      <w:r>
        <w:rPr>
          <w:color w:val="auto"/>
          <w:highlight w:val="none"/>
        </w:rPr>
        <w:fldChar w:fldCharType="separate"/>
      </w:r>
      <w:r>
        <w:rPr>
          <w:rFonts w:hint="eastAsia" w:ascii="宋体" w:hAnsi="宋体" w:cs="宋体"/>
          <w:color w:val="auto"/>
          <w:kern w:val="0"/>
          <w:szCs w:val="36"/>
          <w:highlight w:val="none"/>
        </w:rPr>
        <w:t>第七章  质疑函及投诉书格式</w:t>
      </w:r>
      <w:r>
        <w:rPr>
          <w:color w:val="auto"/>
          <w:highlight w:val="none"/>
        </w:rPr>
        <w:tab/>
      </w:r>
      <w:r>
        <w:rPr>
          <w:color w:val="auto"/>
          <w:highlight w:val="none"/>
        </w:rPr>
        <w:fldChar w:fldCharType="begin"/>
      </w:r>
      <w:r>
        <w:rPr>
          <w:color w:val="auto"/>
          <w:highlight w:val="none"/>
        </w:rPr>
        <w:instrText xml:space="preserve"> PAGEREF _Toc25446 </w:instrText>
      </w:r>
      <w:r>
        <w:rPr>
          <w:color w:val="auto"/>
          <w:highlight w:val="none"/>
        </w:rPr>
        <w:fldChar w:fldCharType="separate"/>
      </w:r>
      <w:r>
        <w:rPr>
          <w:color w:val="auto"/>
          <w:highlight w:val="none"/>
        </w:rPr>
        <w:t>- 55 -</w:t>
      </w:r>
      <w:r>
        <w:rPr>
          <w:color w:val="auto"/>
          <w:highlight w:val="none"/>
        </w:rPr>
        <w:fldChar w:fldCharType="end"/>
      </w:r>
      <w:r>
        <w:rPr>
          <w:color w:val="auto"/>
          <w:highlight w:val="none"/>
        </w:rPr>
        <w:fldChar w:fldCharType="end"/>
      </w:r>
    </w:p>
    <w:p>
      <w:pPr>
        <w:pStyle w:val="28"/>
        <w:spacing w:line="480" w:lineRule="auto"/>
        <w:ind w:firstLine="241"/>
        <w:rPr>
          <w:color w:val="auto"/>
          <w:highlight w:val="none"/>
        </w:rPr>
      </w:pPr>
      <w:r>
        <w:rPr>
          <w:color w:val="auto"/>
          <w:highlight w:val="none"/>
        </w:rPr>
        <w:fldChar w:fldCharType="end"/>
      </w:r>
      <w:r>
        <w:rPr>
          <w:rFonts w:hint="eastAsia"/>
          <w:color w:val="auto"/>
          <w:highlight w:val="none"/>
        </w:rPr>
        <w:t>附件:中标通知书</w:t>
      </w: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pStyle w:val="22"/>
        <w:snapToGrid w:val="0"/>
        <w:jc w:val="center"/>
        <w:outlineLvl w:val="0"/>
        <w:rPr>
          <w:rFonts w:hAnsi="宋体"/>
          <w:color w:val="auto"/>
          <w:highlight w:val="none"/>
        </w:rPr>
      </w:pPr>
      <w:bookmarkStart w:id="0" w:name="_Toc254970489"/>
      <w:bookmarkStart w:id="1" w:name="_Toc254970630"/>
      <w:r>
        <w:rPr>
          <w:rFonts w:hAnsi="宋体"/>
          <w:color w:val="auto"/>
          <w:highlight w:val="none"/>
        </w:rPr>
        <w:br w:type="page"/>
      </w: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b/>
          <w:color w:val="auto"/>
          <w:sz w:val="44"/>
          <w:szCs w:val="44"/>
          <w:highlight w:val="none"/>
        </w:rPr>
      </w:pPr>
      <w:bookmarkStart w:id="2" w:name="_Toc31507"/>
      <w:bookmarkStart w:id="3" w:name="_Toc12391"/>
      <w:bookmarkStart w:id="4" w:name="_Toc4176"/>
      <w:r>
        <w:rPr>
          <w:rFonts w:hint="eastAsia" w:hAnsi="宋体"/>
          <w:b/>
          <w:color w:val="auto"/>
          <w:sz w:val="44"/>
          <w:szCs w:val="44"/>
          <w:highlight w:val="none"/>
        </w:rPr>
        <w:t>第一章 公开招标公告</w:t>
      </w:r>
      <w:bookmarkEnd w:id="0"/>
      <w:bookmarkEnd w:id="1"/>
      <w:bookmarkEnd w:id="2"/>
      <w:bookmarkEnd w:id="3"/>
      <w:bookmarkEnd w:id="4"/>
    </w:p>
    <w:p>
      <w:pPr>
        <w:overflowPunct w:val="0"/>
        <w:autoSpaceDE w:val="0"/>
        <w:autoSpaceDN w:val="0"/>
        <w:adjustRightInd w:val="0"/>
        <w:spacing w:line="400" w:lineRule="exact"/>
        <w:ind w:firstLine="420" w:firstLineChars="200"/>
        <w:jc w:val="center"/>
        <w:rPr>
          <w:rFonts w:hint="eastAsia" w:asciiTheme="minorEastAsia" w:hAnsiTheme="minorEastAsia" w:eastAsiaTheme="minorEastAsia" w:cstheme="minorEastAsia"/>
          <w:b/>
          <w:color w:val="auto"/>
          <w:spacing w:val="-6"/>
          <w:sz w:val="24"/>
          <w:szCs w:val="24"/>
          <w:highlight w:val="none"/>
        </w:rPr>
      </w:pPr>
      <w:r>
        <w:rPr>
          <w:rFonts w:ascii="宋体" w:hAnsi="宋体"/>
          <w:color w:val="auto"/>
          <w:szCs w:val="21"/>
          <w:highlight w:val="none"/>
        </w:rPr>
        <w:br w:type="page"/>
      </w:r>
      <w:r>
        <w:rPr>
          <w:rFonts w:hint="eastAsia" w:asciiTheme="minorEastAsia" w:hAnsiTheme="minorEastAsia" w:eastAsiaTheme="minorEastAsia" w:cstheme="minorEastAsia"/>
          <w:b/>
          <w:color w:val="auto"/>
          <w:spacing w:val="-6"/>
          <w:sz w:val="24"/>
          <w:szCs w:val="24"/>
          <w:highlight w:val="none"/>
        </w:rPr>
        <w:t>广西建设工程机电设备招标中心有限公司</w:t>
      </w:r>
    </w:p>
    <w:p>
      <w:pPr>
        <w:overflowPunct w:val="0"/>
        <w:autoSpaceDE w:val="0"/>
        <w:autoSpaceDN w:val="0"/>
        <w:adjustRightInd w:val="0"/>
        <w:spacing w:line="400" w:lineRule="exact"/>
        <w:ind w:firstLine="458" w:firstLineChars="200"/>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pacing w:val="-6"/>
          <w:sz w:val="24"/>
          <w:szCs w:val="24"/>
          <w:highlight w:val="none"/>
        </w:rPr>
        <w:t xml:space="preserve"> </w:t>
      </w:r>
      <w:r>
        <w:rPr>
          <w:rFonts w:hint="eastAsia" w:asciiTheme="minorEastAsia" w:hAnsiTheme="minorEastAsia" w:eastAsiaTheme="minorEastAsia" w:cstheme="minorEastAsia"/>
          <w:b/>
          <w:bCs w:val="0"/>
          <w:color w:val="auto"/>
          <w:spacing w:val="-6"/>
          <w:sz w:val="24"/>
          <w:szCs w:val="24"/>
          <w:highlight w:val="none"/>
          <w:lang w:eastAsia="zh-CN"/>
        </w:rPr>
        <w:t>南宁市公共服务大数据治理与应用平台项目系统测评</w:t>
      </w:r>
      <w:r>
        <w:rPr>
          <w:rFonts w:hint="eastAsia" w:asciiTheme="minorEastAsia" w:hAnsiTheme="minorEastAsia" w:eastAsiaTheme="minorEastAsia" w:cstheme="minorEastAsia"/>
          <w:b/>
          <w:bCs w:val="0"/>
          <w:color w:val="auto"/>
          <w:spacing w:val="-6"/>
          <w:sz w:val="24"/>
          <w:szCs w:val="24"/>
          <w:highlight w:val="none"/>
        </w:rPr>
        <w:t>项目编号：</w:t>
      </w:r>
      <w:r>
        <w:rPr>
          <w:rFonts w:hint="eastAsia" w:asciiTheme="minorEastAsia" w:hAnsiTheme="minorEastAsia" w:eastAsiaTheme="minorEastAsia" w:cstheme="minorEastAsia"/>
          <w:b/>
          <w:bCs w:val="0"/>
          <w:color w:val="auto"/>
          <w:sz w:val="24"/>
          <w:szCs w:val="24"/>
          <w:highlight w:val="none"/>
          <w:lang w:eastAsia="zh-CN"/>
        </w:rPr>
        <w:t>NNZC2020-G3-990640-JGJD</w:t>
      </w:r>
      <w:r>
        <w:rPr>
          <w:rFonts w:hint="eastAsia" w:asciiTheme="minorEastAsia" w:hAnsiTheme="minorEastAsia" w:eastAsiaTheme="minorEastAsia" w:cstheme="minorEastAsia"/>
          <w:b/>
          <w:bCs w:val="0"/>
          <w:color w:val="auto"/>
          <w:spacing w:val="-6"/>
          <w:sz w:val="24"/>
          <w:szCs w:val="24"/>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pacing w:val="-6"/>
          <w:sz w:val="24"/>
          <w:highlight w:val="none"/>
          <w:u w:val="single"/>
          <w:lang w:eastAsia="zh-CN"/>
        </w:rPr>
        <w:t>南宁市公共服务大数据治理与应用平台项目系统测评</w:t>
      </w:r>
      <w:r>
        <w:rPr>
          <w:rFonts w:hint="eastAsia" w:asciiTheme="minorEastAsia" w:hAnsiTheme="minorEastAsia" w:eastAsiaTheme="minorEastAsia" w:cstheme="minorEastAsia"/>
          <w:color w:val="auto"/>
          <w:sz w:val="24"/>
          <w:highlight w:val="none"/>
        </w:rPr>
        <w:t xml:space="preserve"> 招标项目的潜在投标人应在</w:t>
      </w:r>
      <w:r>
        <w:rPr>
          <w:rFonts w:hint="eastAsia" w:asciiTheme="minorEastAsia" w:hAnsiTheme="minorEastAsia" w:eastAsiaTheme="minorEastAsia" w:cstheme="minorEastAsia"/>
          <w:color w:val="auto"/>
          <w:sz w:val="24"/>
          <w:highlight w:val="none"/>
          <w:u w:val="single"/>
        </w:rPr>
        <w:t>南宁市公共资源交易平台(https://www.nnggzy.org.cn/gxnnzbw)的信息公告处</w:t>
      </w:r>
      <w:r>
        <w:rPr>
          <w:rFonts w:hint="eastAsia" w:asciiTheme="minorEastAsia" w:hAnsiTheme="minorEastAsia" w:eastAsiaTheme="minorEastAsia" w:cstheme="minorEastAsia"/>
          <w:color w:val="auto"/>
          <w:sz w:val="24"/>
          <w:highlight w:val="none"/>
        </w:rPr>
        <w:t>获取招标文件，并于</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22</w:t>
      </w:r>
      <w:r>
        <w:rPr>
          <w:rFonts w:hint="eastAsia" w:asciiTheme="minorEastAsia" w:hAnsiTheme="minorEastAsia" w:eastAsiaTheme="minorEastAsia" w:cstheme="minorEastAsia"/>
          <w:bCs/>
          <w:color w:val="auto"/>
          <w:sz w:val="24"/>
          <w:highlight w:val="none"/>
          <w:u w:val="single"/>
        </w:rPr>
        <w:t>日9点30分（</w:t>
      </w:r>
      <w:r>
        <w:rPr>
          <w:rFonts w:hint="eastAsia" w:asciiTheme="minorEastAsia" w:hAnsiTheme="minorEastAsia" w:eastAsiaTheme="minorEastAsia" w:cstheme="minorEastAsia"/>
          <w:bCs/>
          <w:color w:val="auto"/>
          <w:sz w:val="24"/>
          <w:highlight w:val="none"/>
        </w:rPr>
        <w:t>北京时间）前递交投标文件</w:t>
      </w:r>
      <w:r>
        <w:rPr>
          <w:rFonts w:hint="eastAsia" w:asciiTheme="minorEastAsia" w:hAnsiTheme="minorEastAsia" w:eastAsiaTheme="minorEastAsia" w:cstheme="minorEastAsia"/>
          <w:color w:val="auto"/>
          <w:sz w:val="24"/>
          <w:highlight w:val="none"/>
        </w:rPr>
        <w:t>。</w:t>
      </w:r>
    </w:p>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bookmarkStart w:id="5" w:name="_Toc28359002"/>
      <w:bookmarkStart w:id="6" w:name="_Toc35393790"/>
      <w:bookmarkStart w:id="7" w:name="_Toc35393621"/>
      <w:bookmarkStart w:id="8" w:name="_Toc28359079"/>
      <w:bookmarkStart w:id="9" w:name="_Hlk24379207"/>
      <w:r>
        <w:rPr>
          <w:rFonts w:hint="eastAsia" w:asciiTheme="minorEastAsia" w:hAnsiTheme="minorEastAsia" w:eastAsiaTheme="minorEastAsia" w:cstheme="minorEastAsia"/>
          <w:color w:val="auto"/>
          <w:sz w:val="24"/>
          <w:highlight w:val="none"/>
        </w:rPr>
        <w:t>一、项目基本情况</w:t>
      </w:r>
      <w:bookmarkEnd w:id="5"/>
      <w:bookmarkEnd w:id="6"/>
      <w:bookmarkEnd w:id="7"/>
      <w:bookmarkEnd w:id="8"/>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NNZC2020-G3-990640-JGJD</w:t>
      </w:r>
      <w:r>
        <w:rPr>
          <w:rFonts w:hint="eastAsia" w:asciiTheme="minorEastAsia" w:hAnsiTheme="minorEastAsia" w:eastAsiaTheme="minorEastAsia" w:cstheme="minorEastAsia"/>
          <w:color w:val="auto"/>
          <w:sz w:val="24"/>
          <w:highlight w:val="none"/>
        </w:rPr>
        <w:t xml:space="preserve"> （审批编号：</w:t>
      </w:r>
      <w:r>
        <w:rPr>
          <w:rFonts w:hint="eastAsia" w:asciiTheme="minorEastAsia" w:hAnsiTheme="minorEastAsia" w:eastAsiaTheme="minorEastAsia" w:cstheme="minorEastAsia"/>
          <w:color w:val="auto"/>
          <w:sz w:val="24"/>
          <w:highlight w:val="none"/>
          <w:lang w:eastAsia="zh-CN"/>
        </w:rPr>
        <w:t xml:space="preserve"> [2020]NCCJA094/3 </w:t>
      </w:r>
      <w:r>
        <w:rPr>
          <w:rFonts w:hint="eastAsia" w:asciiTheme="minorEastAsia" w:hAnsiTheme="minorEastAsia" w:eastAsiaTheme="minorEastAsia" w:cstheme="minorEastAsia"/>
          <w:color w:val="auto"/>
          <w:sz w:val="24"/>
          <w:highlight w:val="none"/>
        </w:rPr>
        <w:t>）：</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南宁市公共服务大数据治理与应用平台项目系统测评</w:t>
      </w:r>
      <w:r>
        <w:rPr>
          <w:rFonts w:hint="eastAsia" w:asciiTheme="minorEastAsia" w:hAnsiTheme="minorEastAsia" w:eastAsiaTheme="minorEastAsia" w:cstheme="minorEastAsia"/>
          <w:color w:val="auto"/>
          <w:sz w:val="24"/>
          <w:highlight w:val="none"/>
        </w:rPr>
        <w:t>项目</w:t>
      </w:r>
    </w:p>
    <w:bookmarkEnd w:id="9"/>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w:t>
      </w:r>
      <w:r>
        <w:rPr>
          <w:rFonts w:hint="eastAsia" w:asciiTheme="minorEastAsia" w:hAnsiTheme="minorEastAsia" w:eastAsiaTheme="minorEastAsia" w:cstheme="minorEastAsia"/>
          <w:color w:val="auto"/>
          <w:sz w:val="24"/>
          <w:highlight w:val="none"/>
          <w:lang w:eastAsia="zh-CN"/>
        </w:rPr>
        <w:t>427000</w:t>
      </w:r>
      <w:r>
        <w:rPr>
          <w:rFonts w:hint="eastAsia" w:asciiTheme="minorEastAsia" w:hAnsiTheme="minorEastAsia" w:eastAsiaTheme="minorEastAsia" w:cstheme="minorEastAsia"/>
          <w:color w:val="auto"/>
          <w:sz w:val="24"/>
          <w:highlight w:val="none"/>
        </w:rPr>
        <w:t>元</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最高限价（如有）：</w:t>
      </w:r>
      <w:r>
        <w:rPr>
          <w:rFonts w:hint="eastAsia" w:asciiTheme="minorEastAsia" w:hAnsiTheme="minorEastAsia" w:eastAsiaTheme="minorEastAsia" w:cstheme="minorEastAsia"/>
          <w:color w:val="auto"/>
          <w:sz w:val="24"/>
          <w:highlight w:val="none"/>
          <w:lang w:eastAsia="zh-CN"/>
        </w:rPr>
        <w:t>427000</w:t>
      </w:r>
      <w:r>
        <w:rPr>
          <w:rFonts w:hint="eastAsia" w:asciiTheme="minorEastAsia" w:hAnsiTheme="minorEastAsia" w:eastAsiaTheme="minorEastAsia" w:cstheme="minorEastAsia"/>
          <w:color w:val="auto"/>
          <w:sz w:val="24"/>
          <w:highlight w:val="none"/>
        </w:rPr>
        <w:t>元</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tbl>
      <w:tblPr>
        <w:tblStyle w:val="37"/>
        <w:tblW w:w="85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472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4723"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1864"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31"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723" w:type="dxa"/>
            <w:tcBorders>
              <w:top w:val="single" w:color="auto" w:sz="4" w:space="0"/>
              <w:left w:val="single" w:color="auto" w:sz="4" w:space="0"/>
              <w:bottom w:val="single" w:color="auto" w:sz="4" w:space="0"/>
              <w:right w:val="single" w:color="auto" w:sz="4" w:space="0"/>
            </w:tcBorders>
          </w:tcPr>
          <w:p>
            <w:pPr>
              <w:snapToGrid w:val="0"/>
              <w:spacing w:line="386"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南宁市公共服务大数据治理与应用平台项目系统测评</w:t>
            </w:r>
          </w:p>
        </w:tc>
        <w:tc>
          <w:tcPr>
            <w:tcW w:w="1864"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w:t>
            </w:r>
          </w:p>
        </w:tc>
      </w:tr>
    </w:tbl>
    <w:p>
      <w:pP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如需进一步了解详细内容，详见招标文件。</w:t>
      </w:r>
    </w:p>
    <w:p>
      <w:pPr>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合同履行期限：一年。</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本项目不接受联合体投标。</w:t>
      </w:r>
    </w:p>
    <w:p>
      <w:pPr>
        <w:rPr>
          <w:rFonts w:asciiTheme="minorEastAsia" w:hAnsiTheme="minorEastAsia" w:eastAsiaTheme="minorEastAsia" w:cstheme="minorEastAsia"/>
          <w:color w:val="auto"/>
          <w:sz w:val="24"/>
          <w:highlight w:val="none"/>
        </w:rPr>
      </w:pPr>
      <w:bookmarkStart w:id="10" w:name="_Toc28359003"/>
      <w:bookmarkStart w:id="11" w:name="_Toc28359080"/>
      <w:bookmarkStart w:id="12" w:name="_Toc35393791"/>
      <w:bookmarkStart w:id="13" w:name="_Toc35393622"/>
      <w:r>
        <w:rPr>
          <w:rFonts w:hint="eastAsia" w:asciiTheme="minorEastAsia" w:hAnsiTheme="minorEastAsia" w:eastAsiaTheme="minorEastAsia" w:cstheme="minorEastAsia"/>
          <w:color w:val="auto"/>
          <w:sz w:val="24"/>
          <w:highlight w:val="none"/>
        </w:rPr>
        <w:t>二、申请人的资格要求：</w:t>
      </w:r>
      <w:bookmarkEnd w:id="10"/>
      <w:bookmarkEnd w:id="11"/>
      <w:bookmarkEnd w:id="12"/>
      <w:bookmarkEnd w:id="13"/>
    </w:p>
    <w:p>
      <w:pPr>
        <w:snapToGrid w:val="0"/>
        <w:ind w:firstLine="480" w:firstLineChars="200"/>
        <w:rPr>
          <w:rFonts w:hint="eastAsia" w:asciiTheme="minorEastAsia" w:hAnsiTheme="minorEastAsia" w:eastAsiaTheme="minorEastAsia" w:cstheme="minorEastAsia"/>
          <w:color w:val="auto"/>
          <w:sz w:val="24"/>
          <w:highlight w:val="none"/>
        </w:rPr>
      </w:pPr>
      <w:bookmarkStart w:id="14" w:name="_Toc35393792"/>
      <w:bookmarkStart w:id="15" w:name="_Toc35393623"/>
      <w:bookmarkStart w:id="16" w:name="_Toc28359004"/>
      <w:bookmarkStart w:id="17" w:name="_Toc28359081"/>
      <w:r>
        <w:rPr>
          <w:rFonts w:hint="eastAsia" w:asciiTheme="minorEastAsia" w:hAnsiTheme="minorEastAsia" w:eastAsiaTheme="minorEastAsia" w:cstheme="minorEastAsia"/>
          <w:color w:val="auto"/>
          <w:sz w:val="24"/>
          <w:highlight w:val="none"/>
        </w:rPr>
        <w:t>1、符合《中华人民共和国政府采购法》第二十二条规定的资格条件。</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2、在中华人民共和国境内注册，具有能力提供本次服务的供应商</w:t>
      </w:r>
      <w:r>
        <w:rPr>
          <w:rFonts w:hint="eastAsia" w:asciiTheme="minorEastAsia" w:hAnsiTheme="minorEastAsia" w:eastAsiaTheme="minorEastAsia" w:cstheme="minorEastAsia"/>
          <w:color w:val="auto"/>
          <w:sz w:val="24"/>
          <w:highlight w:val="none"/>
          <w:lang w:eastAsia="zh-CN"/>
        </w:rPr>
        <w:t>，投标人必须具备国家网络安全等级保护工作协调小组办公室颁发的《网络安全等级保护测评机构推荐证书》</w:t>
      </w:r>
      <w:r>
        <w:rPr>
          <w:rFonts w:hint="eastAsia" w:asciiTheme="minorEastAsia" w:hAnsiTheme="minorEastAsia" w:eastAsiaTheme="minorEastAsia" w:cstheme="minorEastAsia"/>
          <w:color w:val="auto"/>
          <w:sz w:val="24"/>
          <w:highlight w:val="none"/>
        </w:rPr>
        <w:t>。</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4、本项目不接受联合体投标。</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三、获取招标文件</w:t>
      </w:r>
      <w:bookmarkEnd w:id="14"/>
      <w:bookmarkEnd w:id="15"/>
      <w:bookmarkEnd w:id="16"/>
      <w:bookmarkEnd w:id="17"/>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时间：自本公告发布之时起至提交投标文件截止时间前；</w:t>
      </w:r>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地点：南宁市公共资源交易平台(https://www.nnggzy.org.cn/gxnnzbw)的信息公告处；</w:t>
      </w:r>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方式：由潜在投标人自行在南宁市公共资源交易平台(https://www.nnggzy.org.cn/gxnnzbw)的信息公告处下载采购文件；</w:t>
      </w:r>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售价：招标文件售价每本0元。 </w:t>
      </w:r>
    </w:p>
    <w:p>
      <w:pPr>
        <w:rPr>
          <w:rFonts w:asciiTheme="minorEastAsia" w:hAnsiTheme="minorEastAsia" w:eastAsiaTheme="minorEastAsia" w:cstheme="minorEastAsia"/>
          <w:color w:val="auto"/>
          <w:sz w:val="24"/>
          <w:highlight w:val="none"/>
        </w:rPr>
      </w:pPr>
      <w:bookmarkStart w:id="18" w:name="_Toc28359082"/>
      <w:bookmarkStart w:id="19" w:name="_Toc28359005"/>
      <w:bookmarkStart w:id="20" w:name="_Toc35393793"/>
      <w:bookmarkStart w:id="21" w:name="_Toc35393624"/>
      <w:r>
        <w:rPr>
          <w:rFonts w:hint="eastAsia" w:asciiTheme="minorEastAsia" w:hAnsiTheme="minorEastAsia" w:eastAsiaTheme="minorEastAsia" w:cstheme="minorEastAsia"/>
          <w:color w:val="auto"/>
          <w:sz w:val="24"/>
          <w:highlight w:val="none"/>
        </w:rPr>
        <w:t>四、提交投标文件</w:t>
      </w:r>
      <w:bookmarkEnd w:id="18"/>
      <w:bookmarkEnd w:id="19"/>
      <w:r>
        <w:rPr>
          <w:rFonts w:hint="eastAsia" w:asciiTheme="minorEastAsia" w:hAnsiTheme="minorEastAsia" w:eastAsiaTheme="minorEastAsia" w:cstheme="minorEastAsia"/>
          <w:color w:val="auto"/>
          <w:sz w:val="24"/>
          <w:highlight w:val="none"/>
        </w:rPr>
        <w:t>截止时间、开标时间和地点</w:t>
      </w:r>
      <w:bookmarkEnd w:id="20"/>
      <w:bookmarkEnd w:id="21"/>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bookmarkStart w:id="22" w:name="_Toc28359007"/>
      <w:bookmarkStart w:id="23" w:name="_Toc35393625"/>
      <w:bookmarkStart w:id="24" w:name="_Toc35393794"/>
      <w:bookmarkStart w:id="25" w:name="_Toc28359084"/>
      <w:r>
        <w:rPr>
          <w:rFonts w:hint="eastAsia" w:asciiTheme="minorEastAsia" w:hAnsiTheme="minorEastAsia" w:eastAsiaTheme="minorEastAsia" w:cstheme="minorEastAsia"/>
          <w:color w:val="auto"/>
          <w:sz w:val="24"/>
          <w:highlight w:val="none"/>
        </w:rPr>
        <w:t>1、投标文件递交截止时间（投标截止时间）、开标时间：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22</w:t>
      </w:r>
      <w:r>
        <w:rPr>
          <w:rFonts w:hint="eastAsia" w:asciiTheme="minorEastAsia" w:hAnsiTheme="minorEastAsia" w:eastAsiaTheme="minorEastAsia" w:cstheme="minorEastAsia"/>
          <w:bCs/>
          <w:color w:val="auto"/>
          <w:sz w:val="24"/>
          <w:highlight w:val="none"/>
          <w:u w:val="single"/>
        </w:rPr>
        <w:t>日9点30分</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2、递交方式：根据南宁市财政局《关于做好疫情防控期间政府采购工作有关事项的通知》（南财采〔2020〕12号）要求，本项目实行“不见面”开标方式，</w:t>
      </w:r>
      <w:r>
        <w:rPr>
          <w:rFonts w:hint="eastAsia" w:asciiTheme="minorEastAsia" w:hAnsiTheme="minorEastAsia" w:eastAsiaTheme="minorEastAsia" w:cstheme="minorEastAsia"/>
          <w:b/>
          <w:color w:val="auto"/>
          <w:sz w:val="24"/>
          <w:highlight w:val="none"/>
        </w:rPr>
        <w:t>本项目的投标文件原则上应通过邮寄快递的方式送达</w:t>
      </w:r>
      <w:r>
        <w:rPr>
          <w:rFonts w:hint="eastAsia" w:asciiTheme="minorEastAsia" w:hAnsiTheme="minorEastAsia" w:eastAsiaTheme="minorEastAsia" w:cstheme="minorEastAsia"/>
          <w:color w:val="auto"/>
          <w:sz w:val="24"/>
          <w:highlight w:val="none"/>
        </w:rPr>
        <w:t>。</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接收邮寄快递包裹的时间为工作日8：00～18：00。投标文件必须在投标截止时间前送达。采购代理机构签收邮寄包裹的时间即为投标人投标文件的送达时间，逾期送达的投标文件无效，后果由投标人自行承担。</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（2）采购代理机构将在投标截止时间前</w:t>
      </w: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rPr>
        <w:t>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（3）投标人在按照招标文件的要求装订、密封好投标文件后，应使用不透明、防水的邮寄袋（或箱）再次包裹已密封好的投标文件，并在邮寄袋（或箱）上粘牢</w:t>
      </w:r>
      <w:r>
        <w:rPr>
          <w:rFonts w:hint="eastAsia" w:asciiTheme="minorEastAsia" w:hAnsiTheme="minorEastAsia" w:eastAsiaTheme="minorEastAsia" w:cstheme="minorEastAsia"/>
          <w:b/>
          <w:color w:val="auto"/>
          <w:sz w:val="24"/>
          <w:highlight w:val="none"/>
        </w:rPr>
        <w:t>注明项目名称、项目编号、有效的电子邮箱</w:t>
      </w:r>
      <w:r>
        <w:rPr>
          <w:rFonts w:hint="eastAsia" w:asciiTheme="minorEastAsia" w:hAnsiTheme="minorEastAsia" w:eastAsiaTheme="minorEastAsia" w:cstheme="minorEastAsia"/>
          <w:color w:val="auto"/>
          <w:sz w:val="24"/>
          <w:highlight w:val="none"/>
        </w:rPr>
        <w:t>等内容的纸质表格，如投标文件在运送过程中发生破损、受潮等情况，后果由投标人自行承担。</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（5）投标文件邮寄地址：南宁市纬武路165号206办公室</w:t>
      </w:r>
    </w:p>
    <w:p>
      <w:pPr>
        <w:widowControl/>
        <w:spacing w:line="360" w:lineRule="auto"/>
        <w:ind w:firstLine="1200" w:firstLineChars="5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收件人：周剑</w:t>
      </w:r>
    </w:p>
    <w:p>
      <w:pPr>
        <w:widowControl/>
        <w:spacing w:line="360" w:lineRule="auto"/>
        <w:ind w:firstLine="1080" w:firstLineChars="4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联系电话：0771-2807659</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3、开标地点:南宁市良庆区玉洞大道33号（青少年活动中心旁）市民中心9楼南宁市公共资源交易中心开标厅（具体安排详见9楼电子大屏幕场地安排表）)</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五、公告期限</w:t>
      </w:r>
      <w:bookmarkEnd w:id="22"/>
      <w:bookmarkEnd w:id="23"/>
      <w:bookmarkEnd w:id="24"/>
      <w:bookmarkEnd w:id="25"/>
    </w:p>
    <w:p>
      <w:pPr>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自本公告发布之日起5个工作日。</w:t>
      </w:r>
    </w:p>
    <w:p>
      <w:pPr>
        <w:rPr>
          <w:rFonts w:asciiTheme="minorEastAsia" w:hAnsiTheme="minorEastAsia" w:eastAsiaTheme="minorEastAsia" w:cstheme="minorEastAsia"/>
          <w:color w:val="auto"/>
          <w:sz w:val="24"/>
          <w:highlight w:val="none"/>
        </w:rPr>
      </w:pPr>
      <w:bookmarkStart w:id="26" w:name="_Toc35393626"/>
      <w:bookmarkStart w:id="27" w:name="_Toc35393795"/>
      <w:r>
        <w:rPr>
          <w:rFonts w:hint="eastAsia" w:asciiTheme="minorEastAsia" w:hAnsiTheme="minorEastAsia" w:eastAsiaTheme="minorEastAsia" w:cstheme="minorEastAsia"/>
          <w:color w:val="auto"/>
          <w:sz w:val="24"/>
          <w:highlight w:val="none"/>
        </w:rPr>
        <w:t>六、其他补充事宜</w:t>
      </w:r>
      <w:bookmarkEnd w:id="26"/>
      <w:bookmarkEnd w:id="27"/>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1.投标保证金：</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根据《南宁市财政局关于推进政府采购“放管服”工作和深化改革有关内容的通知》（南财采[2019]27号）规定，本项目不需要提交投标保证金。</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2.网上查询地址</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中国政府采购网、广西壮族自治区政府采购网、南宁政府采购网、南宁市公共资源交易中心网、广西招标网</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3.本项目需要落实的政府采购政策：</w:t>
      </w:r>
    </w:p>
    <w:p>
      <w:pPr>
        <w:snapToGrid w:val="0"/>
        <w:spacing w:line="386" w:lineRule="exact"/>
        <w:ind w:firstLine="480" w:firstLineChars="200"/>
        <w:jc w:val="left"/>
        <w:rPr>
          <w:rFonts w:hint="eastAsia" w:asciiTheme="minorEastAsia" w:hAnsiTheme="minorEastAsia" w:eastAsiaTheme="minorEastAsia" w:cstheme="minorEastAsia"/>
          <w:color w:val="auto"/>
          <w:sz w:val="24"/>
          <w:highlight w:val="none"/>
        </w:rPr>
      </w:pPr>
      <w:bookmarkStart w:id="28" w:name="_Toc35393627"/>
      <w:bookmarkStart w:id="29" w:name="_Toc28359085"/>
      <w:bookmarkStart w:id="30" w:name="_Toc28359008"/>
      <w:bookmarkStart w:id="31" w:name="_Toc35393796"/>
      <w:r>
        <w:rPr>
          <w:rFonts w:hint="eastAsia" w:asciiTheme="minorEastAsia" w:hAnsiTheme="minorEastAsia" w:eastAsiaTheme="minorEastAsia" w:cstheme="minorEastAsia"/>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七、对本次招标提出询问，请按以下方式联系。</w:t>
      </w:r>
      <w:bookmarkEnd w:id="28"/>
      <w:bookmarkEnd w:id="29"/>
      <w:bookmarkEnd w:id="30"/>
      <w:bookmarkEnd w:id="31"/>
    </w:p>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1.采购人信息</w:t>
      </w:r>
    </w:p>
    <w:p>
      <w:pPr>
        <w:spacing w:line="360" w:lineRule="auto"/>
        <w:ind w:left="1079" w:leftChars="371" w:hanging="300" w:hangingChars="12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　南宁市信息网络管理中心　</w:t>
      </w:r>
    </w:p>
    <w:p>
      <w:pPr>
        <w:spacing w:line="360" w:lineRule="auto"/>
        <w:ind w:left="1079" w:leftChars="371" w:hanging="300" w:hangingChars="12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南宁市青秀区桂春路南一里1号　</w:t>
      </w:r>
    </w:p>
    <w:p>
      <w:pPr>
        <w:pStyle w:val="2"/>
        <w:ind w:firstLine="720" w:firstLineChars="3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none"/>
          <w:lang w:eastAsia="zh-CN"/>
        </w:rPr>
        <w:t>联系人：</w:t>
      </w:r>
      <w:r>
        <w:rPr>
          <w:rFonts w:hint="eastAsia" w:asciiTheme="minorEastAsia" w:hAnsiTheme="minorEastAsia" w:eastAsiaTheme="minorEastAsia" w:cstheme="minorEastAsia"/>
          <w:color w:val="auto"/>
          <w:sz w:val="24"/>
          <w:szCs w:val="24"/>
          <w:highlight w:val="none"/>
          <w:u w:val="single"/>
          <w:lang w:eastAsia="zh-CN"/>
        </w:rPr>
        <w:t>梁庆烁</w:t>
      </w:r>
    </w:p>
    <w:p>
      <w:pPr>
        <w:spacing w:line="360" w:lineRule="auto"/>
        <w:ind w:left="1079" w:leftChars="371" w:hanging="300" w:hangingChars="125"/>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rPr>
        <w:t xml:space="preserve">0771-5829116 </w:t>
      </w:r>
      <w:bookmarkStart w:id="32" w:name="_Toc28359086"/>
      <w:bookmarkStart w:id="33" w:name="_Toc28359009"/>
    </w:p>
    <w:p>
      <w:pPr>
        <w:spacing w:line="360" w:lineRule="auto"/>
        <w:ind w:left="1079" w:leftChars="371" w:hanging="300" w:hangingChars="12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bookmarkEnd w:id="32"/>
      <w:bookmarkEnd w:id="33"/>
    </w:p>
    <w:p>
      <w:pPr>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广西建设工程机电设备招标中心有限公司　</w:t>
      </w:r>
    </w:p>
    <w:p>
      <w:pPr>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南宁市纬武路165号　</w:t>
      </w:r>
    </w:p>
    <w:p>
      <w:pPr>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bookmarkStart w:id="34" w:name="_Toc28359087"/>
      <w:bookmarkStart w:id="35" w:name="_Toc28359010"/>
      <w:r>
        <w:rPr>
          <w:rFonts w:hint="eastAsia" w:asciiTheme="minorEastAsia" w:hAnsiTheme="minorEastAsia" w:eastAsiaTheme="minorEastAsia" w:cstheme="minorEastAsia"/>
          <w:color w:val="auto"/>
          <w:sz w:val="24"/>
          <w:highlight w:val="none"/>
          <w:u w:val="single"/>
        </w:rPr>
        <w:t>　0771-2807659　</w:t>
      </w:r>
    </w:p>
    <w:p>
      <w:pPr>
        <w:spacing w:line="360" w:lineRule="auto"/>
        <w:ind w:firstLine="720" w:firstLineChars="3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3.项目联系方式</w:t>
      </w:r>
      <w:bookmarkEnd w:id="34"/>
      <w:bookmarkEnd w:id="35"/>
    </w:p>
    <w:p>
      <w:pPr>
        <w:pStyle w:val="22"/>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u w:val="single"/>
        </w:rPr>
        <w:t>周剑</w:t>
      </w:r>
    </w:p>
    <w:p>
      <w:pPr>
        <w:snapToGrid w:val="0"/>
        <w:ind w:firstLine="720" w:firstLineChars="3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color w:val="auto"/>
          <w:sz w:val="24"/>
          <w:highlight w:val="none"/>
          <w:u w:val="single"/>
        </w:rPr>
        <w:t>0771-2807659　</w:t>
      </w:r>
    </w:p>
    <w:p>
      <w:pPr>
        <w:rPr>
          <w:color w:val="auto"/>
          <w:highlight w:val="none"/>
        </w:rPr>
      </w:pPr>
      <w:r>
        <w:rPr>
          <w:rFonts w:hint="eastAsia" w:asciiTheme="minorEastAsia" w:hAnsiTheme="minorEastAsia" w:eastAsiaTheme="minorEastAsia" w:cstheme="minorEastAsia"/>
          <w:color w:val="auto"/>
          <w:sz w:val="24"/>
          <w:highlight w:val="none"/>
          <w:u w:val="single"/>
        </w:rPr>
        <w:br w:type="page"/>
      </w:r>
    </w:p>
    <w:p>
      <w:pPr>
        <w:snapToGrid w:val="0"/>
        <w:jc w:val="center"/>
        <w:rPr>
          <w:rFonts w:ascii="宋体" w:hAnsi="宋体"/>
          <w:color w:val="auto"/>
          <w:highlight w:val="none"/>
        </w:rPr>
      </w:pPr>
    </w:p>
    <w:p>
      <w:pPr>
        <w:widowControl/>
        <w:jc w:val="left"/>
        <w:rPr>
          <w:rFonts w:ascii="宋体" w:hAnsi="宋体"/>
          <w:color w:val="auto"/>
          <w:highlight w:val="none"/>
        </w:rPr>
      </w:pPr>
    </w:p>
    <w:p>
      <w:pPr>
        <w:snapToGrid w:val="0"/>
        <w:jc w:val="center"/>
        <w:rPr>
          <w:rFonts w:ascii="宋体" w:hAnsi="宋体"/>
          <w:color w:val="auto"/>
          <w:highlight w:val="none"/>
        </w:rPr>
      </w:pPr>
    </w:p>
    <w:p>
      <w:pPr>
        <w:snapToGrid w:val="0"/>
        <w:jc w:val="center"/>
        <w:outlineLvl w:val="0"/>
        <w:rPr>
          <w:rFonts w:ascii="宋体" w:hAnsi="宋体"/>
          <w:b/>
          <w:color w:val="auto"/>
          <w:sz w:val="44"/>
          <w:szCs w:val="44"/>
          <w:highlight w:val="none"/>
        </w:rPr>
      </w:pPr>
      <w:r>
        <w:rPr>
          <w:rFonts w:hint="eastAsia" w:ascii="宋体" w:hAnsi="宋体"/>
          <w:b/>
          <w:color w:val="auto"/>
          <w:sz w:val="44"/>
          <w:szCs w:val="44"/>
          <w:highlight w:val="none"/>
        </w:rPr>
        <w:t xml:space="preserve">   </w:t>
      </w:r>
      <w:bookmarkStart w:id="36" w:name="_Toc28706"/>
      <w:bookmarkStart w:id="37" w:name="_Toc6367"/>
      <w:bookmarkStart w:id="38" w:name="_Toc19532"/>
      <w:r>
        <w:rPr>
          <w:rFonts w:hint="eastAsia" w:ascii="宋体" w:hAnsi="宋体"/>
          <w:b/>
          <w:color w:val="auto"/>
          <w:sz w:val="44"/>
          <w:szCs w:val="44"/>
          <w:highlight w:val="none"/>
        </w:rPr>
        <w:t xml:space="preserve">第二章 </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36"/>
      <w:bookmarkEnd w:id="37"/>
      <w:bookmarkEnd w:id="38"/>
    </w:p>
    <w:p>
      <w:pPr>
        <w:adjustRightInd w:val="0"/>
        <w:spacing w:line="340" w:lineRule="exact"/>
        <w:rPr>
          <w:rFonts w:ascii="宋体" w:hAnsi="宋体" w:cs="宋体"/>
          <w:b/>
          <w:color w:val="auto"/>
          <w:sz w:val="24"/>
          <w:highlight w:val="none"/>
        </w:rPr>
      </w:pPr>
      <w:r>
        <w:rPr>
          <w:rFonts w:hint="eastAsia" w:ascii="宋体" w:hAnsi="宋体" w:cs="宋体"/>
          <w:b/>
          <w:color w:val="auto"/>
          <w:sz w:val="24"/>
          <w:highlight w:val="none"/>
        </w:rPr>
        <w:t>说明：</w:t>
      </w:r>
    </w:p>
    <w:p>
      <w:pPr>
        <w:pStyle w:val="22"/>
        <w:spacing w:line="440" w:lineRule="exact"/>
        <w:ind w:left="0" w:firstLine="482" w:firstLineChars="200"/>
        <w:rPr>
          <w:rFonts w:hint="eastAsia" w:ascii="宋体" w:hAnsi="宋体" w:cs="宋体"/>
          <w:b/>
          <w:bCs w:val="0"/>
          <w:color w:val="auto"/>
          <w:sz w:val="24"/>
          <w:highlight w:val="none"/>
        </w:rPr>
      </w:pPr>
      <w:r>
        <w:rPr>
          <w:rFonts w:hint="eastAsia" w:hAnsi="宋体" w:cs="宋体"/>
          <w:b/>
          <w:bCs w:val="0"/>
          <w:color w:val="auto"/>
          <w:sz w:val="24"/>
          <w:highlight w:val="none"/>
          <w:lang w:val="en-US" w:eastAsia="zh-CN"/>
        </w:rPr>
        <w:t>1、</w:t>
      </w:r>
      <w:r>
        <w:rPr>
          <w:rFonts w:hint="eastAsia" w:ascii="宋体" w:hAnsi="宋体" w:cs="宋体"/>
          <w:b/>
          <w:bCs w:val="0"/>
          <w:color w:val="auto"/>
          <w:sz w:val="24"/>
          <w:highlight w:val="none"/>
        </w:rPr>
        <w:t>本服务需求一览表中标注★号的部分为实质性要求和条件。</w:t>
      </w:r>
    </w:p>
    <w:p>
      <w:pPr>
        <w:pStyle w:val="22"/>
        <w:numPr>
          <w:ilvl w:val="-1"/>
          <w:numId w:val="0"/>
        </w:numPr>
        <w:spacing w:line="440" w:lineRule="exact"/>
        <w:ind w:left="361" w:leftChars="172" w:firstLine="0" w:firstLineChars="0"/>
        <w:rPr>
          <w:rFonts w:hAnsi="宋体" w:cs="宋体"/>
          <w:b/>
          <w:color w:val="auto"/>
          <w:sz w:val="24"/>
          <w:highlight w:val="none"/>
        </w:rPr>
      </w:pPr>
      <w:r>
        <w:rPr>
          <w:rFonts w:hint="eastAsia" w:hAnsi="宋体" w:cs="宋体"/>
          <w:b/>
          <w:color w:val="auto"/>
          <w:sz w:val="24"/>
          <w:highlight w:val="none"/>
          <w:lang w:val="en-US" w:eastAsia="zh-CN"/>
        </w:rPr>
        <w:t>2、</w:t>
      </w:r>
      <w:r>
        <w:rPr>
          <w:rFonts w:hint="eastAsia" w:hAnsi="宋体" w:cs="宋体"/>
          <w:b/>
          <w:color w:val="auto"/>
          <w:sz w:val="24"/>
          <w:highlight w:val="none"/>
        </w:rPr>
        <w:t>本服务需求一览表中内容如与第五章 合同主要条款格式相关条款不一致的，以本表为准。</w:t>
      </w:r>
    </w:p>
    <w:tbl>
      <w:tblPr>
        <w:tblStyle w:val="37"/>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34"/>
        <w:gridCol w:w="567"/>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项号</w:t>
            </w:r>
          </w:p>
        </w:tc>
        <w:tc>
          <w:tcPr>
            <w:tcW w:w="1134"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服务</w:t>
            </w:r>
            <w:r>
              <w:rPr>
                <w:rFonts w:ascii="宋体" w:hAnsi="宋体"/>
                <w:b/>
                <w:color w:val="auto"/>
                <w:szCs w:val="21"/>
                <w:highlight w:val="none"/>
              </w:rPr>
              <w:t>名称</w:t>
            </w:r>
          </w:p>
        </w:tc>
        <w:tc>
          <w:tcPr>
            <w:tcW w:w="56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数量</w:t>
            </w:r>
          </w:p>
        </w:tc>
        <w:tc>
          <w:tcPr>
            <w:tcW w:w="7823"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服务内容及</w:t>
            </w:r>
            <w:r>
              <w:rPr>
                <w:rFonts w:ascii="宋体" w:hAnsi="宋体"/>
                <w:b/>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134" w:type="dxa"/>
            <w:vAlign w:val="center"/>
          </w:tcPr>
          <w:p>
            <w:pPr>
              <w:spacing w:line="400" w:lineRule="exact"/>
              <w:jc w:val="center"/>
              <w:rPr>
                <w:color w:val="auto"/>
                <w:szCs w:val="21"/>
                <w:highlight w:val="none"/>
              </w:rPr>
            </w:pPr>
            <w:r>
              <w:rPr>
                <w:rFonts w:hint="eastAsia"/>
                <w:color w:val="auto"/>
                <w:highlight w:val="none"/>
              </w:rPr>
              <w:t>南宁市公共服务大数据治理与应用平台项目系统测评</w:t>
            </w:r>
          </w:p>
        </w:tc>
        <w:tc>
          <w:tcPr>
            <w:tcW w:w="567" w:type="dxa"/>
            <w:vAlign w:val="center"/>
          </w:tcPr>
          <w:p>
            <w:pPr>
              <w:spacing w:line="400" w:lineRule="exact"/>
              <w:jc w:val="center"/>
              <w:rPr>
                <w:color w:val="auto"/>
                <w:kern w:val="0"/>
                <w:szCs w:val="21"/>
                <w:highlight w:val="none"/>
              </w:rPr>
            </w:pPr>
            <w:r>
              <w:rPr>
                <w:color w:val="auto"/>
                <w:kern w:val="0"/>
                <w:szCs w:val="21"/>
                <w:highlight w:val="none"/>
              </w:rPr>
              <w:t>1</w:t>
            </w:r>
            <w:r>
              <w:rPr>
                <w:rFonts w:hAnsi="宋体"/>
                <w:color w:val="auto"/>
                <w:kern w:val="0"/>
                <w:szCs w:val="21"/>
                <w:highlight w:val="none"/>
              </w:rPr>
              <w:t>项</w:t>
            </w:r>
          </w:p>
        </w:tc>
        <w:tc>
          <w:tcPr>
            <w:tcW w:w="7823" w:type="dxa"/>
            <w:vAlign w:val="center"/>
          </w:tcPr>
          <w:p>
            <w:pPr>
              <w:widowControl/>
              <w:spacing w:line="324" w:lineRule="auto"/>
              <w:rPr>
                <w:color w:val="auto"/>
                <w:highlight w:val="none"/>
              </w:rPr>
            </w:pPr>
            <w:r>
              <w:rPr>
                <w:rFonts w:hint="eastAsia"/>
                <w:color w:val="auto"/>
                <w:highlight w:val="none"/>
              </w:rPr>
              <w:t>一、网络安全等级保护测评</w:t>
            </w:r>
          </w:p>
          <w:p>
            <w:pPr>
              <w:widowControl/>
              <w:spacing w:line="324" w:lineRule="auto"/>
              <w:rPr>
                <w:color w:val="auto"/>
                <w:highlight w:val="none"/>
              </w:rPr>
            </w:pPr>
            <w:r>
              <w:rPr>
                <w:rFonts w:hint="eastAsia"/>
                <w:color w:val="auto"/>
                <w:highlight w:val="none"/>
              </w:rPr>
              <w:t>★1、总的要求</w:t>
            </w:r>
          </w:p>
          <w:p>
            <w:pPr>
              <w:widowControl/>
              <w:spacing w:line="324" w:lineRule="auto"/>
              <w:ind w:firstLine="420" w:firstLineChars="200"/>
              <w:rPr>
                <w:color w:val="auto"/>
                <w:highlight w:val="none"/>
              </w:rPr>
            </w:pPr>
            <w:r>
              <w:rPr>
                <w:rFonts w:hint="eastAsia"/>
                <w:color w:val="auto"/>
                <w:highlight w:val="none"/>
              </w:rPr>
              <w:t>依据《网络安全等级保护基本要求》（GB/T 22239-2019）按等保三级标准对南宁市公共服务大数据治理与应用平台项目开展网络安全等级保护测评工作，并出具网络安全等级保护测评报告。</w:t>
            </w:r>
          </w:p>
          <w:p>
            <w:pPr>
              <w:spacing w:line="324" w:lineRule="auto"/>
              <w:rPr>
                <w:color w:val="auto"/>
                <w:highlight w:val="none"/>
              </w:rPr>
            </w:pPr>
            <w:r>
              <w:rPr>
                <w:rFonts w:hint="eastAsia"/>
                <w:color w:val="auto"/>
                <w:highlight w:val="none"/>
              </w:rPr>
              <w:t>2、标准依据</w:t>
            </w:r>
          </w:p>
          <w:p>
            <w:pPr>
              <w:numPr>
                <w:ilvl w:val="-1"/>
                <w:numId w:val="0"/>
              </w:numPr>
              <w:spacing w:line="324" w:lineRule="auto"/>
              <w:ind w:left="240" w:firstLine="0"/>
              <w:rPr>
                <w:color w:val="auto"/>
                <w:highlight w:val="none"/>
              </w:rPr>
            </w:pPr>
            <w:r>
              <w:rPr>
                <w:rFonts w:hint="eastAsia"/>
                <w:color w:val="auto"/>
                <w:highlight w:val="none"/>
              </w:rPr>
              <w:t>《计算机信息系统安全保护等级划分准则》（GB 17859-1999)</w:t>
            </w:r>
          </w:p>
          <w:p>
            <w:pPr>
              <w:numPr>
                <w:ilvl w:val="-1"/>
                <w:numId w:val="0"/>
              </w:numPr>
              <w:spacing w:line="324" w:lineRule="auto"/>
              <w:ind w:left="240" w:firstLine="0"/>
              <w:rPr>
                <w:color w:val="auto"/>
                <w:highlight w:val="none"/>
              </w:rPr>
            </w:pPr>
            <w:r>
              <w:rPr>
                <w:rFonts w:hint="eastAsia"/>
                <w:color w:val="auto"/>
                <w:highlight w:val="none"/>
              </w:rPr>
              <w:t>《网络安全等级保护基本要求》（GB/T 22239-2019）</w:t>
            </w:r>
          </w:p>
          <w:p>
            <w:pPr>
              <w:numPr>
                <w:ilvl w:val="-1"/>
                <w:numId w:val="0"/>
              </w:numPr>
              <w:spacing w:line="324" w:lineRule="auto"/>
              <w:ind w:left="240" w:firstLine="0"/>
              <w:rPr>
                <w:color w:val="auto"/>
                <w:highlight w:val="none"/>
              </w:rPr>
            </w:pPr>
            <w:r>
              <w:rPr>
                <w:rFonts w:hint="eastAsia"/>
                <w:color w:val="auto"/>
                <w:highlight w:val="none"/>
              </w:rPr>
              <w:t>《网络安全等级保护测评要求》（GB/T 28448-2019）</w:t>
            </w:r>
          </w:p>
          <w:p>
            <w:pPr>
              <w:numPr>
                <w:ilvl w:val="-1"/>
                <w:numId w:val="0"/>
              </w:numPr>
              <w:spacing w:line="324" w:lineRule="auto"/>
              <w:ind w:left="240" w:firstLine="0"/>
              <w:rPr>
                <w:color w:val="auto"/>
                <w:highlight w:val="none"/>
              </w:rPr>
            </w:pPr>
            <w:r>
              <w:rPr>
                <w:rFonts w:hint="eastAsia"/>
                <w:color w:val="auto"/>
                <w:highlight w:val="none"/>
              </w:rPr>
              <w:t>《网络安全等级保护测评过程指南》（GB/T 28449-2018)</w:t>
            </w:r>
          </w:p>
          <w:p>
            <w:pPr>
              <w:numPr>
                <w:ilvl w:val="-1"/>
                <w:numId w:val="0"/>
              </w:numPr>
              <w:spacing w:line="324" w:lineRule="auto"/>
              <w:ind w:left="240" w:firstLine="0"/>
              <w:rPr>
                <w:color w:val="auto"/>
                <w:highlight w:val="none"/>
              </w:rPr>
            </w:pPr>
            <w:r>
              <w:rPr>
                <w:rFonts w:hint="eastAsia"/>
                <w:color w:val="auto"/>
                <w:highlight w:val="none"/>
              </w:rPr>
              <w:t>《网络安全等级保护设计技术要求》（GB/T 25070-2019）</w:t>
            </w:r>
          </w:p>
          <w:p>
            <w:pPr>
              <w:numPr>
                <w:ilvl w:val="-1"/>
                <w:numId w:val="0"/>
              </w:numPr>
              <w:spacing w:line="324" w:lineRule="auto"/>
              <w:ind w:left="240" w:firstLine="0"/>
              <w:rPr>
                <w:color w:val="auto"/>
                <w:highlight w:val="none"/>
              </w:rPr>
            </w:pPr>
            <w:r>
              <w:rPr>
                <w:rFonts w:hint="eastAsia"/>
                <w:color w:val="auto"/>
                <w:highlight w:val="none"/>
              </w:rPr>
              <w:t>《网络安全等级保护测试评估技术指南》（GB/T 36627-2018）</w:t>
            </w:r>
          </w:p>
          <w:p>
            <w:pPr>
              <w:widowControl/>
              <w:spacing w:line="324" w:lineRule="auto"/>
              <w:rPr>
                <w:color w:val="auto"/>
                <w:highlight w:val="none"/>
              </w:rPr>
            </w:pPr>
            <w:r>
              <w:rPr>
                <w:rFonts w:hint="eastAsia"/>
                <w:color w:val="auto"/>
                <w:highlight w:val="none"/>
              </w:rPr>
              <w:t>★3、测评内容</w:t>
            </w:r>
          </w:p>
          <w:p>
            <w:pPr>
              <w:widowControl/>
              <w:spacing w:line="324" w:lineRule="auto"/>
              <w:ind w:firstLine="420" w:firstLineChars="200"/>
              <w:rPr>
                <w:color w:val="auto"/>
                <w:highlight w:val="none"/>
              </w:rPr>
            </w:pPr>
            <w:r>
              <w:rPr>
                <w:rFonts w:hint="eastAsia"/>
                <w:color w:val="auto"/>
                <w:highlight w:val="none"/>
              </w:rPr>
              <w:t>（1）安全通用要求</w:t>
            </w:r>
          </w:p>
          <w:p>
            <w:pPr>
              <w:widowControl/>
              <w:spacing w:line="324" w:lineRule="auto"/>
              <w:ind w:firstLine="420" w:firstLineChars="200"/>
              <w:rPr>
                <w:color w:val="auto"/>
                <w:highlight w:val="none"/>
              </w:rPr>
            </w:pPr>
            <w:r>
              <w:rPr>
                <w:rFonts w:hint="eastAsia"/>
                <w:color w:val="auto"/>
                <w:highlight w:val="none"/>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widowControl/>
              <w:numPr>
                <w:ilvl w:val="0"/>
                <w:numId w:val="1"/>
              </w:numPr>
              <w:spacing w:line="324" w:lineRule="auto"/>
              <w:ind w:firstLine="420" w:firstLineChars="200"/>
              <w:rPr>
                <w:color w:val="auto"/>
                <w:highlight w:val="none"/>
              </w:rPr>
            </w:pPr>
            <w:r>
              <w:rPr>
                <w:rFonts w:hint="eastAsia"/>
                <w:color w:val="auto"/>
                <w:highlight w:val="none"/>
              </w:rPr>
              <w:t>安全扩展要求</w:t>
            </w:r>
          </w:p>
          <w:p>
            <w:pPr>
              <w:widowControl/>
              <w:spacing w:line="324" w:lineRule="auto"/>
              <w:ind w:firstLine="420" w:firstLineChars="200"/>
              <w:rPr>
                <w:color w:val="auto"/>
                <w:highlight w:val="none"/>
              </w:rPr>
            </w:pPr>
            <w:r>
              <w:rPr>
                <w:rFonts w:hint="eastAsia"/>
                <w:color w:val="auto"/>
                <w:highlight w:val="none"/>
              </w:rPr>
              <w:t>应用了不同新技术的安全保护对象处于不同的应用场景中，面临不同的安全威胁，因此会有不同的安全需求，该保护对象涉及的安全扩展要求包括：</w:t>
            </w:r>
          </w:p>
          <w:p>
            <w:pPr>
              <w:widowControl/>
              <w:spacing w:line="324" w:lineRule="auto"/>
              <w:ind w:firstLine="420" w:firstLineChars="200"/>
              <w:rPr>
                <w:color w:val="auto"/>
                <w:highlight w:val="none"/>
              </w:rPr>
            </w:pPr>
            <w:r>
              <w:rPr>
                <w:rFonts w:hint="eastAsia"/>
                <w:color w:val="auto"/>
                <w:highlight w:val="none"/>
              </w:rPr>
              <w:t>1）云计算</w:t>
            </w:r>
          </w:p>
          <w:p>
            <w:pPr>
              <w:widowControl/>
              <w:spacing w:line="324" w:lineRule="auto"/>
              <w:ind w:firstLine="420" w:firstLineChars="200"/>
              <w:rPr>
                <w:color w:val="auto"/>
                <w:highlight w:val="none"/>
              </w:rPr>
            </w:pPr>
            <w:r>
              <w:rPr>
                <w:rFonts w:hint="eastAsia"/>
                <w:color w:val="auto"/>
                <w:highlight w:val="none"/>
              </w:rPr>
              <w:t>云计算安全测评内容包括对安全物理环境、安全通信网络、安全区域边界、安全计算环境、安全管理中心、安全建设管理、安全运维管理等的测评。</w:t>
            </w:r>
          </w:p>
          <w:p>
            <w:pPr>
              <w:widowControl/>
              <w:spacing w:line="324" w:lineRule="auto"/>
              <w:ind w:firstLine="420" w:firstLineChars="200"/>
              <w:rPr>
                <w:color w:val="auto"/>
                <w:highlight w:val="none"/>
              </w:rPr>
            </w:pPr>
            <w:r>
              <w:rPr>
                <w:rFonts w:hint="eastAsia"/>
                <w:color w:val="auto"/>
                <w:highlight w:val="none"/>
              </w:rPr>
              <w:t>2）移动互联</w:t>
            </w:r>
          </w:p>
          <w:p>
            <w:pPr>
              <w:widowControl/>
              <w:spacing w:line="324" w:lineRule="auto"/>
              <w:ind w:firstLine="420" w:firstLineChars="200"/>
              <w:rPr>
                <w:color w:val="auto"/>
                <w:highlight w:val="none"/>
              </w:rPr>
            </w:pPr>
            <w:r>
              <w:rPr>
                <w:rFonts w:hint="eastAsia"/>
                <w:color w:val="auto"/>
                <w:highlight w:val="none"/>
              </w:rPr>
              <w:t>移动互联安全测评内容包括对安全物理环境、安全区域边界、安全计算环境、安全建设管理、安全运维管理等的测评。</w:t>
            </w:r>
          </w:p>
          <w:p>
            <w:pPr>
              <w:widowControl/>
              <w:spacing w:line="324" w:lineRule="auto"/>
              <w:ind w:firstLine="420" w:firstLineChars="200"/>
              <w:rPr>
                <w:color w:val="auto"/>
                <w:highlight w:val="none"/>
              </w:rPr>
            </w:pPr>
            <w:r>
              <w:rPr>
                <w:rFonts w:hint="eastAsia"/>
                <w:color w:val="auto"/>
                <w:highlight w:val="none"/>
              </w:rPr>
              <w:t>3）物联网</w:t>
            </w:r>
          </w:p>
          <w:p>
            <w:pPr>
              <w:widowControl/>
              <w:spacing w:line="324" w:lineRule="auto"/>
              <w:ind w:firstLine="420" w:firstLineChars="200"/>
              <w:rPr>
                <w:color w:val="auto"/>
                <w:highlight w:val="none"/>
              </w:rPr>
            </w:pPr>
            <w:r>
              <w:rPr>
                <w:rFonts w:hint="eastAsia"/>
                <w:color w:val="auto"/>
                <w:highlight w:val="none"/>
              </w:rPr>
              <w:t>物联网安全测评内容包括对安全物理环境、安全区域边界、安全计算环境、安全运维管理等的测评。</w:t>
            </w:r>
          </w:p>
          <w:p>
            <w:pPr>
              <w:widowControl/>
              <w:spacing w:line="324" w:lineRule="auto"/>
              <w:ind w:firstLine="420" w:firstLineChars="200"/>
              <w:rPr>
                <w:color w:val="auto"/>
                <w:highlight w:val="none"/>
              </w:rPr>
            </w:pPr>
            <w:r>
              <w:rPr>
                <w:rFonts w:hint="eastAsia"/>
                <w:color w:val="auto"/>
                <w:highlight w:val="none"/>
              </w:rPr>
              <w:t>4）工业控制系统</w:t>
            </w:r>
          </w:p>
          <w:p>
            <w:pPr>
              <w:widowControl/>
              <w:spacing w:line="324" w:lineRule="auto"/>
              <w:ind w:firstLine="420" w:firstLineChars="200"/>
              <w:rPr>
                <w:color w:val="auto"/>
                <w:highlight w:val="none"/>
              </w:rPr>
            </w:pPr>
            <w:r>
              <w:rPr>
                <w:rFonts w:hint="eastAsia"/>
                <w:color w:val="auto"/>
                <w:highlight w:val="none"/>
              </w:rPr>
              <w:t>工业控制系统安全测评包括对安全物理环境、安全通信网络、安全区域边界、安全计算环境、安全建设管理方面的测评。</w:t>
            </w:r>
          </w:p>
          <w:p>
            <w:pPr>
              <w:widowControl/>
              <w:numPr>
                <w:ilvl w:val="0"/>
                <w:numId w:val="2"/>
              </w:numPr>
              <w:spacing w:line="324" w:lineRule="auto"/>
              <w:ind w:firstLine="420" w:firstLineChars="200"/>
              <w:rPr>
                <w:color w:val="auto"/>
                <w:highlight w:val="none"/>
              </w:rPr>
            </w:pPr>
            <w:r>
              <w:rPr>
                <w:rFonts w:hint="eastAsia"/>
                <w:color w:val="auto"/>
                <w:highlight w:val="none"/>
              </w:rPr>
              <w:t>大数据</w:t>
            </w:r>
          </w:p>
          <w:p>
            <w:pPr>
              <w:widowControl/>
              <w:spacing w:line="324" w:lineRule="auto"/>
              <w:ind w:firstLine="420" w:firstLineChars="200"/>
              <w:rPr>
                <w:color w:val="auto"/>
                <w:highlight w:val="none"/>
              </w:rPr>
            </w:pPr>
            <w:r>
              <w:rPr>
                <w:rFonts w:hint="eastAsia"/>
                <w:color w:val="auto"/>
                <w:highlight w:val="none"/>
              </w:rPr>
              <w:t>大数据安全测评包括对安全物理环境、安全通信网络、安全计算环境、安全运维管理等的测评。</w:t>
            </w:r>
          </w:p>
          <w:p>
            <w:pPr>
              <w:widowControl/>
              <w:spacing w:line="324" w:lineRule="auto"/>
              <w:rPr>
                <w:color w:val="auto"/>
                <w:highlight w:val="none"/>
              </w:rPr>
            </w:pPr>
            <w:r>
              <w:rPr>
                <w:rFonts w:hint="eastAsia"/>
                <w:color w:val="auto"/>
                <w:highlight w:val="none"/>
              </w:rPr>
              <w:t>4、测评方法</w:t>
            </w:r>
          </w:p>
          <w:p>
            <w:pPr>
              <w:widowControl/>
              <w:spacing w:line="324" w:lineRule="auto"/>
              <w:ind w:firstLine="420" w:firstLineChars="200"/>
              <w:rPr>
                <w:color w:val="auto"/>
                <w:highlight w:val="none"/>
              </w:rPr>
            </w:pPr>
            <w:r>
              <w:rPr>
                <w:rFonts w:hint="eastAsia"/>
                <w:color w:val="auto"/>
                <w:highlight w:val="none"/>
              </w:rPr>
              <w:t>在测评实施过程中，应采用访谈、检查和测试、渗透测试等测评方法进行，并与国家相关规范及标准的要求相符。</w:t>
            </w:r>
            <w:r>
              <w:rPr>
                <w:rFonts w:hint="eastAsia"/>
                <w:color w:val="auto"/>
                <w:highlight w:val="none"/>
              </w:rPr>
              <w:br w:type="textWrapping"/>
            </w:r>
            <w:r>
              <w:rPr>
                <w:rFonts w:hint="eastAsia"/>
                <w:color w:val="auto"/>
                <w:highlight w:val="none"/>
              </w:rPr>
              <w:t xml:space="preserve">    访谈是指测评人员通过引导信息系统相关人员进行有目的的（有针对性的）交流以帮助测评人员理解、分析或取得证据的过程；</w:t>
            </w:r>
            <w:r>
              <w:rPr>
                <w:rFonts w:hint="eastAsia"/>
                <w:color w:val="auto"/>
                <w:highlight w:val="none"/>
              </w:rPr>
              <w:br w:type="textWrapping"/>
            </w:r>
            <w:r>
              <w:rPr>
                <w:rFonts w:hint="eastAsia"/>
                <w:color w:val="auto"/>
                <w:highlight w:val="none"/>
              </w:rPr>
              <w:t xml:space="preserve">   检查是指测评人员通过对测评对象（如管理制度、操作记录、安全配置等）进行观察、查验、分析以帮助测评人员理解、分析或取得证据的过程；</w:t>
            </w:r>
          </w:p>
          <w:p>
            <w:pPr>
              <w:widowControl/>
              <w:spacing w:line="324" w:lineRule="auto"/>
              <w:ind w:firstLine="420" w:firstLineChars="200"/>
              <w:rPr>
                <w:color w:val="auto"/>
                <w:highlight w:val="none"/>
              </w:rPr>
            </w:pPr>
            <w:r>
              <w:rPr>
                <w:rFonts w:hint="eastAsia"/>
                <w:color w:val="auto"/>
                <w:highlight w:val="none"/>
              </w:rPr>
              <w:t>测试是测评人员使用预定的方法/工具使测评对象产生特定的行为，通过查看和分析结果以帮助测评人员获取证据的过程；</w:t>
            </w:r>
          </w:p>
          <w:p>
            <w:pPr>
              <w:widowControl/>
              <w:spacing w:line="324" w:lineRule="auto"/>
              <w:ind w:firstLine="420" w:firstLineChars="200"/>
              <w:rPr>
                <w:color w:val="auto"/>
                <w:highlight w:val="none"/>
              </w:rPr>
            </w:pPr>
            <w:r>
              <w:rPr>
                <w:rFonts w:hint="eastAsia"/>
                <w:color w:val="auto"/>
                <w:highlight w:val="none"/>
              </w:rPr>
              <w:t>渗透测试是模拟黑客的攻击方法，对受保护对象的操作系统、中间件、数据库、应用系统、主机、网络等进行攻击，从而验证测评对象的弱点、技术缺陷或漏洞的一种评估方法。</w:t>
            </w:r>
          </w:p>
          <w:p>
            <w:pPr>
              <w:widowControl/>
              <w:spacing w:line="324" w:lineRule="auto"/>
              <w:rPr>
                <w:color w:val="auto"/>
                <w:highlight w:val="none"/>
              </w:rPr>
            </w:pPr>
            <w:r>
              <w:rPr>
                <w:rFonts w:hint="eastAsia"/>
                <w:color w:val="auto"/>
                <w:highlight w:val="none"/>
              </w:rPr>
              <w:t>5、服务成果</w:t>
            </w:r>
          </w:p>
          <w:p>
            <w:pPr>
              <w:widowControl/>
              <w:spacing w:line="324" w:lineRule="auto"/>
              <w:ind w:firstLine="420" w:firstLineChars="200"/>
              <w:rPr>
                <w:color w:val="auto"/>
                <w:highlight w:val="none"/>
              </w:rPr>
            </w:pPr>
            <w:r>
              <w:rPr>
                <w:rFonts w:hint="eastAsia"/>
                <w:color w:val="auto"/>
                <w:highlight w:val="none"/>
              </w:rPr>
              <w:t>测评完成后，出具符合等保2.0相关技术标准要求、国家网络安全等级保护管理部门规范要求且公安机关认可的的网络安全等级保护测评报告。</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二、第三方测评服务</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1.服务内容</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对软件平台进行系统功能、性能等进行评估，依据国家相关法律发规、标准和行为规范，对系统工程进行测试，验证工程是否达到建设单位的建设需求，并对测试中发现的缺陷和不足，提出改进意见，以完善系统功能和性能；同时，对工程项目中的相关文档进行审核，并提出修改意见，便于信息系统的使用、维护。</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2.总体要求</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对南宁市公共服务大数据治理与应用平台进行软件功能验收测试，测试内容包含软件可靠性、易用性、可移植性、功能及用户文档。</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3.依据标准</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3.1. GB/T 25000.51-2010/ISO/IEC 25051:2006 软件工程 软件产品质量要求与评价（SQuaRE）商品现货（COTS）软件产品的质量要求和测试细则。</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3.2. GB/T 8567-2006  计算机软件文档编制规范。</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4.测试方法</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功能测试最少应采用边界值、等价划分等方法。</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5.测试结果</w:t>
            </w:r>
          </w:p>
          <w:p>
            <w:pPr>
              <w:widowControl/>
              <w:spacing w:line="400" w:lineRule="exact"/>
              <w:ind w:firstLine="420" w:firstLineChars="200"/>
              <w:jc w:val="left"/>
              <w:rPr>
                <w:color w:val="auto"/>
                <w:highlight w:val="none"/>
              </w:rPr>
            </w:pPr>
            <w:r>
              <w:rPr>
                <w:rFonts w:hint="eastAsia"/>
                <w:color w:val="auto"/>
                <w:highlight w:val="none"/>
              </w:rPr>
              <w:t>验收测试报告应包含软件可靠性、易用性、可移植性、功能及用户文档测试数据及结果。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商务条款</w:t>
            </w:r>
          </w:p>
        </w:tc>
        <w:tc>
          <w:tcPr>
            <w:tcW w:w="9524" w:type="dxa"/>
            <w:gridSpan w:val="3"/>
          </w:tcPr>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一、合同签订期：自</w:t>
            </w:r>
            <w:r>
              <w:rPr>
                <w:rFonts w:hint="eastAsia" w:ascii="Times New Roman" w:hAnsi="Times New Roman" w:eastAsia="宋体" w:cs="Times New Roman"/>
                <w:color w:val="auto"/>
                <w:kern w:val="2"/>
                <w:sz w:val="21"/>
                <w:highlight w:val="none"/>
                <w:lang w:eastAsia="zh-CN"/>
              </w:rPr>
              <w:t>中标</w:t>
            </w:r>
            <w:r>
              <w:rPr>
                <w:rFonts w:hint="eastAsia" w:ascii="Times New Roman" w:hAnsi="Times New Roman" w:eastAsia="宋体" w:cs="Times New Roman"/>
                <w:color w:val="auto"/>
                <w:kern w:val="2"/>
                <w:sz w:val="21"/>
                <w:highlight w:val="none"/>
              </w:rPr>
              <w:t>通知书发出之日起 7日内</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★二、提交服务成果及时间：自合同签订之日起至测评服务完成评估。</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1.项目现场测评计划：自采购方出具项目进场通知书之日起10个工作日内完成该项目现场测评工作。</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2.项目出具测评报告计划：现场测评结束后30个工作日内提供该项目的初次测评报告。</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3.若采购方初次测评结论不为“差”，中标供应商不提供复测服务。</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4.若采购方初次测评结论为“差”，经采购方整改完成后再与中标供应商确定复测日期（整改应在出具初测报告之日起三个月内完成，若三个月内无法完成整改中标供应商不提供复测服务）。</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5.自采购方出具项目复测通知书之日起10个工作日内完成该项目现场复测，复测完成后30个工作日内提供该项目的最终测评报告。</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★三、投标人资质要求</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投标人必须具备国家网络安全等级保护工作协调小组办公室颁发的《网络安全等级保护测评机构推荐证书》。</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四、提交服务成果地点：采购人指定地点现场提交</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五、售后服务要求：</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★1、质量保证期 1 年（自提交服务成果并验收合格之日起计）</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2、处理问题响应时间：接到采购人处理问题通知后 2小时内到达采购人指定现场</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六、报价要求：</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★1、报价必须含以下部分，包括：</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1）服务的价格：本项目报价为总额报价，即一次性报出本项目所需的所有费用，含等级保护测评（含各节点验收所产生的差旅费、交通费等全程费用）、派出工作人员的交通费、住宿费、伙食补助费及其他与等级保护测评有关的费用。本项目至验收结束，采购人不另支付任何费用；</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（2）必要的保险费用和各项税金；</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七、其他要求：</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1、投标人提供的测评人员必须具有公安部信息安全等级保护评估中心（或中关村信息安全测评联盟）颁发的《信息/网络安全等级测评师证书》，项目组成至少包括五名测评师，分别为一名高级测评师、一名中级测评师和两名初级测评师，一名质量监督人员；现场测评人员不少于三名测评师，至少包括一名中级测评师，2名初级测评师。（提供人员证书复印件）</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2、投标人如在南宁设有常驻的机构提供本地化服务，请提供相关证明文件。</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3、中标人必须签署相关保密协议，严格遵守协议要求。</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4、投标人在广西有同行业项目服务案例，如有请提供。</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5、投标人必须针对本项目提供技术、实施、售后服务方案。</w:t>
            </w:r>
          </w:p>
          <w:p>
            <w:pPr>
              <w:pStyle w:val="116"/>
              <w:spacing w:line="312" w:lineRule="auto"/>
              <w:ind w:firstLine="420"/>
              <w:rPr>
                <w:rFonts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八、付款方式</w:t>
            </w:r>
          </w:p>
          <w:p>
            <w:pPr>
              <w:pStyle w:val="116"/>
              <w:spacing w:line="312" w:lineRule="auto"/>
              <w:ind w:firstLine="420"/>
              <w:rPr>
                <w:rFonts w:ascii="宋体"/>
                <w:color w:val="auto"/>
                <w:highlight w:val="none"/>
              </w:rPr>
            </w:pPr>
            <w:r>
              <w:rPr>
                <w:rFonts w:hint="eastAsia" w:ascii="Times New Roman" w:hAnsi="Times New Roman" w:eastAsia="宋体" w:cs="Times New Roman"/>
                <w:color w:val="auto"/>
                <w:kern w:val="2"/>
                <w:sz w:val="21"/>
                <w:highlight w:val="none"/>
              </w:rPr>
              <w:t>本项目无预付款，供应商完成测评服务并提交测评报告、南宁市公共服务大数据治理与应用平台项目软件开发与集成分标完成终验后，一次性支付合同款。</w:t>
            </w:r>
          </w:p>
        </w:tc>
      </w:tr>
    </w:tbl>
    <w:p>
      <w:pPr>
        <w:pStyle w:val="22"/>
        <w:numPr>
          <w:ilvl w:val="255"/>
          <w:numId w:val="0"/>
        </w:numPr>
        <w:spacing w:line="440" w:lineRule="exact"/>
        <w:ind w:firstLine="482" w:firstLineChars="200"/>
        <w:rPr>
          <w:rFonts w:hAnsi="宋体" w:cs="宋体"/>
          <w:b/>
          <w:color w:val="auto"/>
          <w:sz w:val="24"/>
          <w:highlight w:val="none"/>
        </w:rPr>
      </w:pPr>
    </w:p>
    <w:p>
      <w:pPr>
        <w:ind w:firstLine="431"/>
        <w:jc w:val="center"/>
        <w:rPr>
          <w:rFonts w:ascii="宋体" w:hAnsi="宋体"/>
          <w:b/>
          <w:color w:val="auto"/>
          <w:sz w:val="32"/>
          <w:szCs w:val="32"/>
          <w:highlight w:val="none"/>
        </w:rPr>
      </w:pPr>
    </w:p>
    <w:p>
      <w:pPr>
        <w:rPr>
          <w:rFonts w:ascii="宋体" w:hAnsi="宋体"/>
          <w:color w:val="auto"/>
          <w:highlight w:val="none"/>
        </w:rPr>
      </w:pPr>
      <w:r>
        <w:rPr>
          <w:rFonts w:ascii="宋体" w:hAnsi="宋体"/>
          <w:color w:val="auto"/>
          <w:highlight w:val="none"/>
        </w:rPr>
        <w:br w:type="page"/>
      </w:r>
    </w:p>
    <w:p>
      <w:pPr>
        <w:pStyle w:val="2"/>
        <w:rPr>
          <w:color w:val="auto"/>
          <w:highlight w:val="none"/>
        </w:rPr>
      </w:pPr>
    </w:p>
    <w:p>
      <w:pPr>
        <w:pStyle w:val="2"/>
        <w:rPr>
          <w:color w:val="auto"/>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bookmarkStart w:id="39" w:name="_Toc28684"/>
      <w:bookmarkStart w:id="40" w:name="_Toc3476"/>
      <w:bookmarkStart w:id="41" w:name="_Toc10393"/>
      <w:r>
        <w:rPr>
          <w:rFonts w:hint="eastAsia" w:ascii="宋体" w:hAnsi="宋体"/>
          <w:b/>
          <w:color w:val="auto"/>
          <w:sz w:val="44"/>
          <w:szCs w:val="44"/>
          <w:highlight w:val="none"/>
        </w:rPr>
        <w:t>第三章  投标人须知</w:t>
      </w:r>
      <w:bookmarkEnd w:id="39"/>
      <w:bookmarkEnd w:id="40"/>
      <w:bookmarkEnd w:id="41"/>
    </w:p>
    <w:p>
      <w:pPr>
        <w:snapToGrid w:val="0"/>
        <w:jc w:val="center"/>
        <w:rPr>
          <w:rFonts w:ascii="宋体" w:hAnsi="宋体"/>
          <w:b/>
          <w:color w:val="auto"/>
          <w:sz w:val="32"/>
          <w:szCs w:val="32"/>
          <w:highlight w:val="none"/>
        </w:rPr>
      </w:pPr>
      <w:bookmarkStart w:id="42" w:name="_Toc254970667"/>
      <w:bookmarkStart w:id="43" w:name="_Toc254970526"/>
      <w:r>
        <w:rPr>
          <w:rFonts w:ascii="宋体" w:hAnsi="宋体"/>
          <w:b/>
          <w:color w:val="auto"/>
          <w:szCs w:val="28"/>
          <w:highlight w:val="none"/>
        </w:rPr>
        <w:br w:type="page"/>
      </w:r>
      <w:r>
        <w:rPr>
          <w:rFonts w:hint="eastAsia" w:ascii="宋体" w:hAnsi="宋体"/>
          <w:b/>
          <w:color w:val="auto"/>
          <w:sz w:val="32"/>
          <w:szCs w:val="32"/>
          <w:highlight w:val="none"/>
        </w:rPr>
        <w:t>前附表</w:t>
      </w:r>
      <w:bookmarkEnd w:id="42"/>
      <w:bookmarkEnd w:id="43"/>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 xml:space="preserve">项目名称： </w:t>
            </w:r>
            <w:r>
              <w:rPr>
                <w:rFonts w:hint="eastAsia" w:asciiTheme="minorEastAsia" w:hAnsiTheme="minorEastAsia" w:eastAsiaTheme="minorEastAsia"/>
                <w:b/>
                <w:color w:val="auto"/>
                <w:sz w:val="24"/>
                <w:highlight w:val="none"/>
                <w:lang w:eastAsia="zh-CN"/>
              </w:rPr>
              <w:t>南宁市公共服务大数据治理与应用平台项目系统测评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总采购预算：</w:t>
            </w:r>
            <w:r>
              <w:rPr>
                <w:rFonts w:hint="eastAsia" w:asciiTheme="minorEastAsia" w:hAnsiTheme="minorEastAsia" w:eastAsiaTheme="minorEastAsia"/>
                <w:b/>
                <w:color w:val="auto"/>
                <w:sz w:val="24"/>
                <w:highlight w:val="none"/>
                <w:lang w:eastAsia="zh-CN"/>
              </w:rPr>
              <w:t>427000</w:t>
            </w:r>
            <w:r>
              <w:rPr>
                <w:rFonts w:hint="eastAsia" w:asciiTheme="minorEastAsia" w:hAnsiTheme="minorEastAsia" w:eastAsiaTheme="minorEastAsia"/>
                <w:b/>
                <w:color w:val="auto"/>
                <w:sz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投标报价及费用：</w:t>
            </w:r>
            <w:r>
              <w:rPr>
                <w:rFonts w:hint="eastAsia" w:asciiTheme="minorEastAsia" w:hAnsiTheme="minorEastAsia" w:eastAsiaTheme="minorEastAsia"/>
                <w:color w:val="auto"/>
                <w:sz w:val="24"/>
                <w:highlight w:val="none"/>
              </w:rPr>
              <w:t>1、本项目投标应以人民币报价；2、不论投标结果如何，投标人均应自行承担所有与投标有关的全部费用；3、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投标有效期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45天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60天    </w:t>
            </w:r>
            <w:r>
              <w:rPr>
                <w:rFonts w:hint="eastAsia" w:asciiTheme="minorEastAsia" w:hAnsiTheme="minorEastAsia" w:eastAsiaTheme="minorEastAsia"/>
                <w:color w:val="auto"/>
                <w:sz w:val="24"/>
                <w:highlight w:val="none"/>
              </w:rPr>
              <w:sym w:font="Wingdings 2" w:char="0052"/>
            </w:r>
            <w:r>
              <w:rPr>
                <w:rFonts w:asciiTheme="minorEastAsia" w:hAnsiTheme="minorEastAsia" w:eastAsiaTheme="minorEastAsia"/>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现场踏勘（</w:t>
            </w:r>
            <w:r>
              <w:rPr>
                <w:rFonts w:hint="eastAsia" w:asciiTheme="minorEastAsia" w:hAnsiTheme="minorEastAsia" w:eastAsiaTheme="minorEastAsia"/>
                <w:color w:val="auto"/>
                <w:sz w:val="24"/>
                <w:highlight w:val="none"/>
              </w:rPr>
              <w:t>如有）：</w:t>
            </w:r>
            <w:r>
              <w:rPr>
                <w:rFonts w:hint="eastAsia" w:cs="Arial" w:asciiTheme="minorEastAsia" w:hAnsiTheme="minorEastAsia" w:eastAsiaTheme="minorEastAsia"/>
                <w:color w:val="auto"/>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highlight w:val="none"/>
              </w:rPr>
            </w:pPr>
            <w:r>
              <w:rPr>
                <w:rFonts w:hint="eastAsia" w:asciiTheme="minorEastAsia" w:hAnsiTheme="minorEastAsia" w:eastAsiaTheme="minorEastAsia"/>
                <w:b/>
                <w:color w:val="auto"/>
                <w:sz w:val="24"/>
                <w:highlight w:val="none"/>
              </w:rPr>
              <w:t>答疑、澄清</w:t>
            </w:r>
            <w:r>
              <w:rPr>
                <w:rFonts w:hint="eastAsia" w:asciiTheme="minorEastAsia" w:hAnsiTheme="minorEastAsia" w:eastAsiaTheme="minorEastAsia"/>
                <w:color w:val="auto"/>
                <w:sz w:val="24"/>
                <w:highlight w:val="none"/>
              </w:rPr>
              <w:t>：</w:t>
            </w:r>
            <w:r>
              <w:rPr>
                <w:rFonts w:hint="eastAsia" w:hAnsi="宋体"/>
                <w:bCs/>
                <w:color w:val="auto"/>
                <w:sz w:val="24"/>
                <w:highlight w:val="none"/>
              </w:rPr>
              <w:t>投标人应认真阅读本招标文件，发现其中有误或有不合理要求的，投标人应当于</w:t>
            </w:r>
            <w:r>
              <w:rPr>
                <w:rFonts w:hint="eastAsia" w:hAnsi="宋体"/>
                <w:color w:val="auto"/>
                <w:sz w:val="24"/>
                <w:highlight w:val="none"/>
              </w:rPr>
              <w:t>公告届满之日起7个工作日</w:t>
            </w:r>
            <w:r>
              <w:rPr>
                <w:rFonts w:hint="eastAsia" w:hAnsi="宋体"/>
                <w:bCs/>
                <w:color w:val="auto"/>
                <w:sz w:val="24"/>
                <w:highlight w:val="none"/>
              </w:rPr>
              <w:t>，以书面形式要求招标采购单位澄清</w:t>
            </w:r>
            <w:r>
              <w:rPr>
                <w:rFonts w:hint="eastAsia" w:hAnsi="宋体"/>
                <w:color w:val="auto"/>
                <w:sz w:val="24"/>
                <w:highlight w:val="none"/>
              </w:rPr>
              <w:t>。如果澄清、答复、修改或补充的</w:t>
            </w:r>
            <w:r>
              <w:rPr>
                <w:color w:val="auto"/>
                <w:sz w:val="24"/>
                <w:highlight w:val="none"/>
              </w:rPr>
              <w:t>内容可能影响投标文件编制的，采购人或者采购代理机构应当在投标截止时间至少15日前</w:t>
            </w:r>
            <w:r>
              <w:rPr>
                <w:rFonts w:hint="eastAsia"/>
                <w:color w:val="auto"/>
                <w:sz w:val="24"/>
                <w:highlight w:val="none"/>
              </w:rPr>
              <w:t>发出</w:t>
            </w:r>
            <w:r>
              <w:rPr>
                <w:color w:val="auto"/>
                <w:sz w:val="24"/>
                <w:highlight w:val="none"/>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资格审查</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u w:val="single"/>
              </w:rPr>
              <w:t xml:space="preserve"> 3</w:t>
            </w:r>
            <w:r>
              <w:rPr>
                <w:rFonts w:hint="eastAsia" w:cs="Arial"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rPr>
              <w:t>份；投标文件（包括商务文件、技术文件和报价文件）</w:t>
            </w:r>
            <w:r>
              <w:rPr>
                <w:rFonts w:hint="eastAsia" w:asciiTheme="minorEastAsia" w:hAnsiTheme="minorEastAsia" w:eastAsiaTheme="minorEastAsia"/>
                <w:color w:val="auto"/>
                <w:sz w:val="24"/>
                <w:highlight w:val="none"/>
              </w:rPr>
              <w:t>正本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4 </w:t>
            </w:r>
            <w:r>
              <w:rPr>
                <w:rFonts w:hint="eastAsia" w:asciiTheme="minorEastAsia" w:hAnsiTheme="minorEastAsia" w:eastAsiaTheme="minorEastAsia"/>
                <w:color w:val="auto"/>
                <w:sz w:val="24"/>
                <w:highlight w:val="none"/>
              </w:rPr>
              <w:t>份；开标一览表</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2 </w:t>
            </w:r>
            <w:r>
              <w:rPr>
                <w:rFonts w:hint="eastAsia" w:cs="Arial" w:asciiTheme="minorEastAsia" w:hAnsiTheme="minorEastAsia" w:eastAsiaTheme="minorEastAsia"/>
                <w:color w:val="auto"/>
                <w:sz w:val="24"/>
                <w:highlight w:val="none"/>
              </w:rPr>
              <w:t>份；</w:t>
            </w:r>
            <w:r>
              <w:rPr>
                <w:rFonts w:hint="eastAsia" w:asciiTheme="minorEastAsia" w:hAnsiTheme="minorEastAsia" w:eastAsiaTheme="minorEastAsia"/>
                <w:color w:val="auto"/>
                <w:sz w:val="24"/>
                <w:highlight w:val="none"/>
              </w:rPr>
              <w:t>投标文件电子版</w:t>
            </w:r>
            <w:r>
              <w:rPr>
                <w:rFonts w:hint="eastAsia" w:cs="Arial" w:asciiTheme="minorEastAsia" w:hAnsiTheme="minorEastAsia" w:eastAsiaTheme="minorEastAsia"/>
                <w:color w:val="auto"/>
                <w:sz w:val="24"/>
                <w:highlight w:val="none"/>
                <w:u w:val="single"/>
              </w:rPr>
              <w:t>壹</w:t>
            </w:r>
            <w:r>
              <w:rPr>
                <w:rFonts w:hint="eastAsia" w:asciiTheme="minorEastAsia" w:hAnsiTheme="minorEastAsia" w:eastAsiaTheme="minorEastAsia"/>
                <w:color w:val="auto"/>
                <w:sz w:val="24"/>
                <w:highlight w:val="none"/>
              </w:rPr>
              <w:t>份（光盘）；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投标文件签署：</w:t>
            </w:r>
            <w:r>
              <w:rPr>
                <w:rFonts w:asciiTheme="minorEastAsia" w:hAnsiTheme="minorEastAsia" w:eastAsiaTheme="minorEastAsia"/>
                <w:color w:val="auto"/>
                <w:sz w:val="24"/>
                <w:highlight w:val="none"/>
              </w:rPr>
              <w:t>投标文件正本与副本均</w:t>
            </w:r>
            <w:r>
              <w:rPr>
                <w:rFonts w:hint="eastAsia" w:asciiTheme="minorEastAsia" w:hAnsiTheme="minorEastAsia" w:eastAsiaTheme="minorEastAsia"/>
                <w:color w:val="auto"/>
                <w:sz w:val="24"/>
                <w:highlight w:val="none"/>
              </w:rPr>
              <w:t>应</w:t>
            </w:r>
            <w:r>
              <w:rPr>
                <w:rFonts w:asciiTheme="minorEastAsia" w:hAnsiTheme="minorEastAsia" w:eastAsiaTheme="minorEastAsia"/>
                <w:color w:val="auto"/>
                <w:sz w:val="24"/>
                <w:highlight w:val="none"/>
              </w:rPr>
              <w:t>由投标人在招标文件规定的相关位置加盖投标人法人单位公章，且经法定代表</w:t>
            </w:r>
            <w:r>
              <w:rPr>
                <w:rFonts w:hint="eastAsia" w:asciiTheme="minorEastAsia" w:hAnsiTheme="minorEastAsia" w:eastAsiaTheme="minorEastAsia"/>
                <w:color w:val="auto"/>
                <w:sz w:val="24"/>
                <w:highlight w:val="none"/>
              </w:rPr>
              <w:t>人签字（</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）或其委托代理人本人签</w:t>
            </w:r>
            <w:r>
              <w:rPr>
                <w:rFonts w:hint="eastAsia" w:asciiTheme="minorEastAsia" w:hAnsiTheme="minorEastAsia" w:eastAsiaTheme="minorEastAsia"/>
                <w:color w:val="auto"/>
                <w:sz w:val="24"/>
                <w:highlight w:val="none"/>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装订要求：</w:t>
            </w:r>
            <w:r>
              <w:rPr>
                <w:rFonts w:asciiTheme="minorEastAsia" w:hAnsiTheme="minorEastAsia" w:eastAsiaTheme="minorEastAsia"/>
                <w:color w:val="auto"/>
                <w:sz w:val="24"/>
                <w:highlight w:val="none"/>
              </w:rPr>
              <w:t>按照投标人须知第</w:t>
            </w:r>
            <w:r>
              <w:rPr>
                <w:rFonts w:hint="eastAsia" w:asciiTheme="minorEastAsia" w:hAnsiTheme="minorEastAsia" w:eastAsiaTheme="minorEastAsia"/>
                <w:color w:val="auto"/>
                <w:sz w:val="24"/>
                <w:highlight w:val="none"/>
              </w:rPr>
              <w:t>三部分第（一）项</w:t>
            </w:r>
            <w:r>
              <w:rPr>
                <w:rFonts w:asciiTheme="minorEastAsia" w:hAnsiTheme="minorEastAsia" w:eastAsiaTheme="minorEastAsia"/>
                <w:color w:val="auto"/>
                <w:sz w:val="24"/>
                <w:highlight w:val="none"/>
              </w:rPr>
              <w:t>规定的投标文件组成内容，投标文件应按以下要求装订：分册装订，共分</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册，分别为：</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文件为一册；商务文件</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报价文件（开标一览表除外）为一册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同时提供投标文件电子版（光盘）。</w:t>
            </w:r>
          </w:p>
          <w:p>
            <w:pPr>
              <w:snapToGrid w:val="0"/>
              <w:spacing w:line="320" w:lineRule="exact"/>
              <w:ind w:left="60" w:hanging="60" w:hangingChars="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包装、密封：</w:t>
            </w:r>
            <w:r>
              <w:rPr>
                <w:rFonts w:asciiTheme="minorEastAsia" w:hAnsiTheme="minorEastAsia" w:eastAsiaTheme="minorEastAsia"/>
                <w:color w:val="auto"/>
                <w:sz w:val="24"/>
                <w:highlight w:val="none"/>
              </w:rPr>
              <w:t>投标人应将所有投标文件的</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商务及</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hint="eastAsia" w:ascii="宋体" w:hAnsi="宋体" w:cs="宋体"/>
                <w:b/>
                <w:color w:val="auto"/>
                <w:szCs w:val="21"/>
                <w:highlight w:val="none"/>
              </w:rPr>
              <w:t>、</w:t>
            </w:r>
            <w:r>
              <w:rPr>
                <w:rFonts w:hint="eastAsia" w:asciiTheme="minorEastAsia" w:hAnsiTheme="minorEastAsia" w:eastAsiaTheme="minorEastAsia"/>
                <w:color w:val="auto"/>
                <w:sz w:val="24"/>
                <w:highlight w:val="none"/>
                <w:u w:val="single"/>
              </w:rPr>
              <w:t>投标文件电子版</w:t>
            </w:r>
            <w:r>
              <w:rPr>
                <w:rFonts w:asciiTheme="minorEastAsia" w:hAnsiTheme="minorEastAsia" w:eastAsiaTheme="minorEastAsia"/>
                <w:color w:val="auto"/>
                <w:sz w:val="24"/>
                <w:highlight w:val="none"/>
              </w:rPr>
              <w:t>分别密封在</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四</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个密封袋内，密封袋上清楚地标明“资格审查</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商务及</w:t>
            </w:r>
            <w:r>
              <w:rPr>
                <w:rFonts w:asciiTheme="minorEastAsia" w:hAnsiTheme="minorEastAsia" w:eastAsiaTheme="minorEastAsia"/>
                <w:color w:val="auto"/>
                <w:sz w:val="24"/>
                <w:highlight w:val="none"/>
              </w:rPr>
              <w:t>技术</w:t>
            </w:r>
            <w:r>
              <w:rPr>
                <w:rFonts w:hint="eastAsia" w:asciiTheme="minorEastAsia" w:hAnsiTheme="minorEastAsia" w:eastAsiaTheme="minorEastAsia"/>
                <w:color w:val="auto"/>
                <w:sz w:val="24"/>
                <w:highlight w:val="none"/>
              </w:rPr>
              <w:t>文件、报价文件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或“开标一览表”或“</w:t>
            </w:r>
            <w:r>
              <w:rPr>
                <w:rFonts w:hint="eastAsia" w:asciiTheme="minorEastAsia" w:hAnsiTheme="minorEastAsia" w:eastAsiaTheme="minorEastAsia"/>
                <w:color w:val="auto"/>
                <w:sz w:val="24"/>
                <w:highlight w:val="none"/>
                <w:u w:val="single"/>
              </w:rPr>
              <w:t>投标文件电子版</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提交投标文件时应为</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个密封袋。</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投标文件密封袋的封口处应加贴封条并</w:t>
            </w:r>
            <w:r>
              <w:rPr>
                <w:rFonts w:hint="eastAsia" w:asciiTheme="minorEastAsia" w:hAnsiTheme="minorEastAsia" w:eastAsiaTheme="minorEastAsia"/>
                <w:color w:val="auto"/>
                <w:sz w:val="24"/>
                <w:highlight w:val="none"/>
              </w:rPr>
              <w:t>签章（公章、密封章、法定代表人或其委托代理人签名均可）</w:t>
            </w:r>
            <w:r>
              <w:rPr>
                <w:rFonts w:asciiTheme="minorEastAsia" w:hAnsiTheme="minorEastAsia" w:eastAsiaTheme="minorEastAsia"/>
                <w:color w:val="auto"/>
                <w:sz w:val="24"/>
                <w:highlight w:val="none"/>
              </w:rPr>
              <w:t>以示密封</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标项（如有）：</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投标人地址：</w:t>
            </w:r>
          </w:p>
          <w:p>
            <w:pPr>
              <w:autoSpaceDE w:val="0"/>
              <w:autoSpaceDN w:val="0"/>
              <w:snapToGrid w:val="0"/>
              <w:jc w:val="righ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投标文件递交截止时间</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22</w:t>
            </w:r>
            <w:r>
              <w:rPr>
                <w:rFonts w:hint="eastAsia" w:asciiTheme="minorEastAsia" w:hAnsiTheme="minorEastAsia" w:eastAsiaTheme="minorEastAsia" w:cstheme="minorEastAsia"/>
                <w:bCs/>
                <w:color w:val="auto"/>
                <w:sz w:val="24"/>
                <w:highlight w:val="none"/>
                <w:u w:val="single"/>
              </w:rPr>
              <w:t>日9点30分</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投标文件递交地点</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详见招标公告</w:t>
            </w:r>
            <w:r>
              <w:rPr>
                <w:rFonts w:hint="eastAsia" w:asciiTheme="minorEastAsia" w:hAnsiTheme="minorEastAsia" w:eastAsiaTheme="minorEastAsia"/>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22</w:t>
            </w:r>
            <w:r>
              <w:rPr>
                <w:rFonts w:hint="eastAsia" w:asciiTheme="minorEastAsia" w:hAnsiTheme="minorEastAsia" w:eastAsiaTheme="minorEastAsia" w:cstheme="minorEastAsia"/>
                <w:bCs/>
                <w:color w:val="auto"/>
                <w:sz w:val="24"/>
                <w:highlight w:val="none"/>
                <w:u w:val="single"/>
              </w:rPr>
              <w:t>日9点30分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地点：</w:t>
            </w:r>
            <w:r>
              <w:rPr>
                <w:rFonts w:hint="eastAsia" w:asciiTheme="minorEastAsia" w:hAnsiTheme="minorEastAsia" w:eastAsiaTheme="minorEastAsia"/>
                <w:b/>
                <w:color w:val="auto"/>
                <w:sz w:val="24"/>
                <w:highlight w:val="none"/>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hAnsi="宋体"/>
                <w:b/>
                <w:color w:val="auto"/>
                <w:sz w:val="24"/>
                <w:highlight w:val="none"/>
              </w:rPr>
              <w:t>信用查询：</w:t>
            </w:r>
            <w:r>
              <w:rPr>
                <w:rFonts w:hint="eastAsia" w:ascii="宋体" w:hAnsi="宋体"/>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⑶信用信息查询记录和证据留存方式：在查询网站中直接打印查询记录，打印材料作为采购活动资料保存。</w:t>
            </w:r>
          </w:p>
          <w:p>
            <w:pPr>
              <w:pStyle w:val="114"/>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color w:val="auto"/>
                <w:sz w:val="24"/>
                <w:szCs w:val="24"/>
                <w:highlight w:val="none"/>
              </w:rPr>
            </w:pPr>
            <w:r>
              <w:rPr>
                <w:rFonts w:hint="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中标公告及中标通知书：</w:t>
            </w:r>
            <w:r>
              <w:rPr>
                <w:rFonts w:hint="eastAsia" w:asciiTheme="minorEastAsia" w:hAnsiTheme="minorEastAsia" w:eastAsiaTheme="minorEastAsia"/>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签订合同时间：</w:t>
            </w:r>
            <w:r>
              <w:rPr>
                <w:rFonts w:hint="eastAsia" w:ascii="宋体" w:hAnsi="宋体" w:cs="宋体"/>
                <w:color w:val="auto"/>
                <w:sz w:val="24"/>
                <w:highlight w:val="none"/>
              </w:rPr>
              <w:t>自中标通知书发出之日起</w:t>
            </w:r>
            <w:r>
              <w:rPr>
                <w:rFonts w:hint="eastAsia" w:ascii="Times New Roman" w:hAnsi="Times New Roman" w:eastAsia="宋体" w:cs="Times New Roman"/>
                <w:color w:val="auto"/>
                <w:kern w:val="2"/>
                <w:sz w:val="21"/>
                <w:highlight w:val="none"/>
              </w:rPr>
              <w:t>7</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解释：本招标文件的解释权属于招标采购代理机构。</w:t>
            </w:r>
          </w:p>
        </w:tc>
      </w:tr>
    </w:tbl>
    <w:p>
      <w:pPr>
        <w:pStyle w:val="22"/>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pPr>
        <w:snapToGrid w:val="0"/>
        <w:spacing w:line="360" w:lineRule="exact"/>
        <w:jc w:val="left"/>
        <w:rPr>
          <w:rFonts w:asciiTheme="minorEastAsia" w:hAnsiTheme="minorEastAsia" w:eastAsiaTheme="minorEastAsia"/>
          <w:b/>
          <w:color w:val="auto"/>
          <w:sz w:val="24"/>
          <w:highlight w:val="none"/>
        </w:rPr>
      </w:pPr>
      <w:bookmarkStart w:id="44" w:name="_Toc254970527"/>
      <w:bookmarkStart w:id="45" w:name="_Toc254970668"/>
      <w:r>
        <w:rPr>
          <w:rFonts w:hint="eastAsia" w:asciiTheme="minorEastAsia" w:hAnsiTheme="minorEastAsia" w:eastAsiaTheme="minorEastAsia"/>
          <w:b/>
          <w:color w:val="auto"/>
          <w:sz w:val="24"/>
          <w:highlight w:val="none"/>
        </w:rPr>
        <w:t>（一） 适用范围</w:t>
      </w:r>
      <w:bookmarkEnd w:id="44"/>
      <w:bookmarkEnd w:id="45"/>
    </w:p>
    <w:p>
      <w:pPr>
        <w:snapToGrid w:val="0"/>
        <w:spacing w:line="360" w:lineRule="exact"/>
        <w:ind w:firstLine="360" w:firstLineChars="150"/>
        <w:jc w:val="left"/>
        <w:rPr>
          <w:rFonts w:asciiTheme="minorEastAsia" w:hAnsiTheme="minorEastAsia" w:eastAsiaTheme="minorEastAsia"/>
          <w:color w:val="auto"/>
          <w:sz w:val="24"/>
          <w:highlight w:val="none"/>
        </w:rPr>
      </w:pPr>
      <w:bookmarkStart w:id="46" w:name="_Toc254970528"/>
      <w:bookmarkStart w:id="47" w:name="_Toc254970669"/>
      <w:r>
        <w:rPr>
          <w:rFonts w:hint="eastAsia" w:asciiTheme="minorEastAsia" w:hAnsiTheme="minorEastAsia" w:eastAsiaTheme="minorEastAsia"/>
          <w:color w:val="auto"/>
          <w:sz w:val="24"/>
          <w:highlight w:val="none"/>
        </w:rPr>
        <w:t>本招标文件适用于</w:t>
      </w:r>
      <w:r>
        <w:rPr>
          <w:rFonts w:hint="eastAsia" w:ascii="宋体" w:hAnsi="宋体" w:cs="宋体"/>
          <w:color w:val="auto"/>
          <w:sz w:val="24"/>
          <w:highlight w:val="none"/>
        </w:rPr>
        <w:t>南宁市信息网络管理中心</w:t>
      </w:r>
      <w:r>
        <w:rPr>
          <w:rFonts w:hint="eastAsia" w:asciiTheme="minorEastAsia" w:hAnsiTheme="minorEastAsia" w:eastAsiaTheme="minorEastAsia"/>
          <w:color w:val="auto"/>
          <w:sz w:val="24"/>
          <w:highlight w:val="none"/>
        </w:rPr>
        <w:t>的</w:t>
      </w:r>
      <w:r>
        <w:rPr>
          <w:rFonts w:hint="eastAsia" w:ascii="宋体" w:hAnsi="宋体" w:eastAsiaTheme="minorEastAsia"/>
          <w:color w:val="auto"/>
          <w:spacing w:val="-6"/>
          <w:sz w:val="24"/>
          <w:highlight w:val="none"/>
          <w:u w:val="single"/>
          <w:lang w:eastAsia="zh-CN"/>
        </w:rPr>
        <w:t>南宁市公共服务大数据治理与应用平台项目系统测评</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bookmarkEnd w:id="46"/>
      <w:bookmarkEnd w:id="47"/>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6.“书面形式”包括信函、传真、电子邮件等。</w:t>
      </w:r>
    </w:p>
    <w:p>
      <w:pPr>
        <w:snapToGrid w:val="0"/>
        <w:spacing w:line="360" w:lineRule="exact"/>
        <w:jc w:val="left"/>
        <w:rPr>
          <w:rFonts w:asciiTheme="minorEastAsia" w:hAnsiTheme="minorEastAsia" w:eastAsiaTheme="minorEastAsia"/>
          <w:b/>
          <w:color w:val="auto"/>
          <w:sz w:val="24"/>
          <w:highlight w:val="none"/>
        </w:rPr>
      </w:pPr>
      <w:bookmarkStart w:id="48" w:name="_Toc254970529"/>
      <w:bookmarkStart w:id="49" w:name="_Toc254970670"/>
      <w:r>
        <w:rPr>
          <w:rFonts w:hint="eastAsia" w:asciiTheme="minorEastAsia" w:hAnsiTheme="minorEastAsia" w:eastAsiaTheme="minorEastAsia"/>
          <w:b/>
          <w:color w:val="auto"/>
          <w:sz w:val="24"/>
          <w:highlight w:val="none"/>
        </w:rPr>
        <w:t>（三）招标方式</w:t>
      </w:r>
      <w:bookmarkEnd w:id="48"/>
      <w:bookmarkEnd w:id="49"/>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公开招标方式。</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0" w:name="_Toc254970671"/>
      <w:bookmarkStart w:id="51" w:name="_Toc254970530"/>
      <w:r>
        <w:rPr>
          <w:rFonts w:hint="eastAsia" w:asciiTheme="minorEastAsia" w:hAnsiTheme="minorEastAsia" w:eastAsiaTheme="minorEastAsia"/>
          <w:b/>
          <w:color w:val="auto"/>
          <w:sz w:val="24"/>
          <w:highlight w:val="none"/>
        </w:rPr>
        <w:t>（四）投标委托</w:t>
      </w:r>
      <w:bookmarkEnd w:id="50"/>
      <w:bookmarkEnd w:id="51"/>
    </w:p>
    <w:p>
      <w:pPr>
        <w:pStyle w:val="18"/>
        <w:snapToGrid w:val="0"/>
        <w:spacing w:line="360" w:lineRule="exact"/>
        <w:ind w:firstLine="360" w:firstLineChars="1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color w:val="auto"/>
          <w:sz w:val="24"/>
          <w:highlight w:val="none"/>
        </w:rPr>
      </w:pPr>
      <w:bookmarkStart w:id="52" w:name="_Toc254970672"/>
      <w:bookmarkStart w:id="53" w:name="_Toc254970531"/>
      <w:r>
        <w:rPr>
          <w:rFonts w:hint="eastAsia" w:asciiTheme="minorEastAsia" w:hAnsiTheme="minorEastAsia" w:eastAsiaTheme="minorEastAsia"/>
          <w:b/>
          <w:color w:val="auto"/>
          <w:sz w:val="24"/>
          <w:highlight w:val="none"/>
        </w:rPr>
        <w:t>（五）投标费用</w:t>
      </w:r>
      <w:bookmarkEnd w:id="52"/>
      <w:bookmarkEnd w:id="53"/>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（六）联合体投标</w:t>
      </w:r>
    </w:p>
    <w:p>
      <w:pPr>
        <w:widowControl/>
        <w:shd w:val="clear" w:color="auto" w:fill="FFFFFF"/>
        <w:tabs>
          <w:tab w:val="left" w:pos="851"/>
        </w:tabs>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联合体投标要求:</w:t>
      </w:r>
    </w:p>
    <w:p>
      <w:pPr>
        <w:snapToGrid w:val="0"/>
        <w:spacing w:line="360" w:lineRule="exact"/>
        <w:ind w:firstLine="480" w:firstLineChars="200"/>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本项目不接受联合体投标</w:t>
      </w:r>
    </w:p>
    <w:p>
      <w:pPr>
        <w:snapToGrid w:val="0"/>
        <w:spacing w:line="360" w:lineRule="exac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（七）</w:t>
      </w:r>
      <w:r>
        <w:rPr>
          <w:rFonts w:hint="eastAsia" w:cs="宋体" w:asciiTheme="minorEastAsia" w:hAnsiTheme="minorEastAsia" w:eastAsiaTheme="minorEastAsia"/>
          <w:b/>
          <w:color w:val="auto"/>
          <w:kern w:val="0"/>
          <w:sz w:val="24"/>
          <w:highlight w:val="none"/>
        </w:rPr>
        <w:t>专业分包 ：</w:t>
      </w:r>
    </w:p>
    <w:p>
      <w:pPr>
        <w:snapToGrid w:val="0"/>
        <w:spacing w:line="360" w:lineRule="exact"/>
        <w:ind w:firstLine="602" w:firstLineChars="25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r>
        <w:rPr>
          <w:rFonts w:hint="eastAsia" w:cs="宋体" w:asciiTheme="minorEastAsia" w:hAnsiTheme="minorEastAsia" w:eastAsiaTheme="minorEastAsia"/>
          <w:b/>
          <w:color w:val="auto"/>
          <w:kern w:val="0"/>
          <w:sz w:val="24"/>
          <w:highlight w:val="none"/>
        </w:rPr>
        <w:t xml:space="preserve">            </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4" w:name="_Toc254970532"/>
      <w:bookmarkStart w:id="55" w:name="_Toc254970673"/>
      <w:r>
        <w:rPr>
          <w:rFonts w:hint="eastAsia" w:asciiTheme="minorEastAsia" w:hAnsiTheme="minorEastAsia" w:eastAsiaTheme="minorEastAsia"/>
          <w:b/>
          <w:color w:val="auto"/>
          <w:sz w:val="24"/>
          <w:highlight w:val="none"/>
        </w:rPr>
        <w:t>（八）特别说明：</w:t>
      </w:r>
      <w:bookmarkEnd w:id="54"/>
      <w:bookmarkEnd w:id="55"/>
    </w:p>
    <w:p>
      <w:pPr>
        <w:snapToGrid w:val="0"/>
        <w:spacing w:line="360" w:lineRule="exact"/>
        <w:ind w:firstLine="600" w:firstLineChars="250"/>
        <w:rPr>
          <w:rFonts w:cs="宋体" w:asciiTheme="minorEastAsia" w:hAnsiTheme="minorEastAsia" w:eastAsiaTheme="minorEastAsia"/>
          <w:color w:val="auto"/>
          <w:kern w:val="0"/>
          <w:sz w:val="24"/>
          <w:highlight w:val="none"/>
        </w:rPr>
      </w:pPr>
      <w:bookmarkStart w:id="56" w:name="_Toc254970674"/>
      <w:bookmarkStart w:id="57" w:name="_Toc254970533"/>
      <w:r>
        <w:rPr>
          <w:rFonts w:hint="eastAsia" w:cs="宋体" w:asciiTheme="minorEastAsia" w:hAnsiTheme="minorEastAsia" w:eastAsiaTheme="minorEastAsia"/>
          <w:color w:val="auto"/>
          <w:kern w:val="0"/>
          <w:sz w:val="24"/>
          <w:highlight w:val="none"/>
        </w:rPr>
        <w:t xml:space="preserve">1、投标人投标所使用的资格、信誉、荣誉、业绩与企业认证必须为本法人或提供服务的服务商所拥有。投标人投标所使用的采购项目实施人员必须为本法人员工（或必须为本法人或控股公司正式员工）。 </w:t>
      </w:r>
    </w:p>
    <w:p>
      <w:pPr>
        <w:snapToGrid w:val="0"/>
        <w:spacing w:line="360" w:lineRule="exact"/>
        <w:ind w:firstLine="600" w:firstLineChars="25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 投标人应仔细阅读招标文件的所有内容，按照招标文件的要求提交投标文件，并对所提供的全部资料的真实性承担法律责任。</w:t>
      </w:r>
    </w:p>
    <w:p>
      <w:pPr>
        <w:snapToGrid w:val="0"/>
        <w:spacing w:line="360" w:lineRule="exact"/>
        <w:ind w:firstLine="600" w:firstLineChars="25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w:t>
      </w:r>
      <w:r>
        <w:rPr>
          <w:rFonts w:hint="eastAsia" w:asciiTheme="minorEastAsia" w:hAnsiTheme="minorEastAsia" w:eastAsiaTheme="minorEastAsia"/>
          <w:color w:val="auto"/>
          <w:sz w:val="24"/>
          <w:highlight w:val="none"/>
        </w:rPr>
        <w:t>人的行政与刑事责任。</w:t>
      </w:r>
    </w:p>
    <w:p>
      <w:pPr>
        <w:pStyle w:val="22"/>
        <w:spacing w:line="3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通过资格审查或符合性审查的投标人不足3家的</w:t>
      </w:r>
      <w:r>
        <w:rPr>
          <w:rFonts w:hint="eastAsia" w:asciiTheme="minorEastAsia" w:hAnsiTheme="minorEastAsia" w:eastAsiaTheme="minorEastAsia"/>
          <w:color w:val="auto"/>
          <w:sz w:val="24"/>
          <w:szCs w:val="24"/>
          <w:highlight w:val="none"/>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5.有下列情形之一的视为</w:t>
      </w:r>
      <w:r>
        <w:rPr>
          <w:rFonts w:cs="仿宋_GB2312" w:asciiTheme="minorEastAsia" w:hAnsiTheme="minorEastAsia" w:eastAsiaTheme="minorEastAsia"/>
          <w:color w:val="auto"/>
          <w:kern w:val="0"/>
          <w:sz w:val="24"/>
          <w:highlight w:val="none"/>
          <w:lang w:val="zh-CN"/>
        </w:rPr>
        <w:t>投标人相互串通</w:t>
      </w:r>
      <w:r>
        <w:rPr>
          <w:rFonts w:hint="eastAsia" w:cs="仿宋_GB2312" w:asciiTheme="minorEastAsia" w:hAnsiTheme="minorEastAsia" w:eastAsiaTheme="minorEastAsia"/>
          <w:color w:val="auto"/>
          <w:kern w:val="0"/>
          <w:sz w:val="24"/>
          <w:highlight w:val="none"/>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1</w:t>
      </w:r>
      <w:r>
        <w:rPr>
          <w:rFonts w:cs="Tahoma" w:asciiTheme="minorEastAsia" w:hAnsiTheme="minorEastAsia" w:eastAsiaTheme="minorEastAsia"/>
          <w:color w:val="auto"/>
          <w:kern w:val="0"/>
          <w:sz w:val="24"/>
          <w:highlight w:val="none"/>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2</w:t>
      </w:r>
      <w:r>
        <w:rPr>
          <w:rFonts w:cs="Tahoma" w:asciiTheme="minorEastAsia" w:hAnsiTheme="minorEastAsia" w:eastAsiaTheme="minorEastAsia"/>
          <w:color w:val="auto"/>
          <w:kern w:val="0"/>
          <w:sz w:val="24"/>
          <w:highlight w:val="none"/>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3</w:t>
      </w:r>
      <w:r>
        <w:rPr>
          <w:rFonts w:cs="Tahoma" w:asciiTheme="minorEastAsia" w:hAnsiTheme="minorEastAsia" w:eastAsiaTheme="minorEastAsia"/>
          <w:color w:val="auto"/>
          <w:kern w:val="0"/>
          <w:sz w:val="24"/>
          <w:highlight w:val="none"/>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4</w:t>
      </w:r>
      <w:r>
        <w:rPr>
          <w:rFonts w:cs="Tahoma" w:asciiTheme="minorEastAsia" w:hAnsiTheme="minorEastAsia" w:eastAsiaTheme="minorEastAsia"/>
          <w:color w:val="auto"/>
          <w:kern w:val="0"/>
          <w:sz w:val="24"/>
          <w:highlight w:val="none"/>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5</w:t>
      </w:r>
      <w:r>
        <w:rPr>
          <w:rFonts w:cs="Tahoma" w:asciiTheme="minorEastAsia" w:hAnsiTheme="minorEastAsia" w:eastAsiaTheme="minorEastAsia"/>
          <w:color w:val="auto"/>
          <w:kern w:val="0"/>
          <w:sz w:val="24"/>
          <w:highlight w:val="none"/>
        </w:rPr>
        <w:t>）不同投标人的投标文件相互混装;</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（九）质疑和投诉</w:t>
      </w:r>
      <w:bookmarkEnd w:id="56"/>
      <w:bookmarkEnd w:id="57"/>
    </w:p>
    <w:p>
      <w:pPr>
        <w:pStyle w:val="22"/>
        <w:snapToGrid w:val="0"/>
        <w:spacing w:line="36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）对可以质疑的</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文件提出质疑的，为</w:t>
      </w:r>
      <w:r>
        <w:rPr>
          <w:rFonts w:hint="eastAsia" w:hAnsi="宋体"/>
          <w:color w:val="auto"/>
          <w:sz w:val="24"/>
          <w:highlight w:val="none"/>
        </w:rPr>
        <w:t>公告届满之日</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 xml:space="preserve"> </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）对</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2.</w:t>
      </w:r>
      <w:r>
        <w:rPr>
          <w:rFonts w:hint="eastAsia" w:cs="仿宋_GB2312" w:asciiTheme="minorEastAsia" w:hAnsiTheme="minorEastAsia" w:eastAsiaTheme="minorEastAsia"/>
          <w:color w:val="auto"/>
          <w:kern w:val="0"/>
          <w:sz w:val="24"/>
          <w:highlight w:val="none"/>
          <w:lang w:val="zh-CN"/>
        </w:rPr>
        <w:t>供应商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时，应当提交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函和必要的证明材料，</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函应当包括下列主要内容：</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）质疑项目的名称、编号；</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）事实依据；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）必要的法律依据；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6</w:t>
      </w:r>
      <w:r>
        <w:rPr>
          <w:rFonts w:asciiTheme="minorEastAsia" w:hAnsiTheme="minorEastAsia" w:eastAsiaTheme="minorEastAsia"/>
          <w:bCs/>
          <w:color w:val="auto"/>
          <w:sz w:val="24"/>
          <w:szCs w:val="24"/>
          <w:highlight w:val="none"/>
        </w:rPr>
        <w:t>）提出质疑的日期。</w:t>
      </w:r>
    </w:p>
    <w:p>
      <w:pPr>
        <w:spacing w:line="360" w:lineRule="exact"/>
        <w:ind w:firstLine="480" w:firstLineChars="200"/>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函应当署名。</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供应商为自然人的，应当由本人签字；</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供应商可以委托代理人办理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事务时，除提交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函外，还应当提交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供应商的授权委托书原件，</w:t>
      </w:r>
      <w:r>
        <w:rPr>
          <w:rFonts w:hint="eastAsia" w:cs="宋体" w:asciiTheme="minorEastAsia" w:hAnsiTheme="minorEastAsia" w:eastAsiaTheme="minorEastAsia"/>
          <w:color w:val="auto"/>
          <w:kern w:val="0"/>
          <w:sz w:val="24"/>
          <w:highlight w:val="none"/>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3.</w:t>
      </w:r>
      <w:r>
        <w:rPr>
          <w:rFonts w:hint="eastAsia" w:asciiTheme="minorEastAsia" w:hAnsiTheme="minorEastAsia" w:eastAsiaTheme="minorEastAsia"/>
          <w:color w:val="auto"/>
          <w:sz w:val="24"/>
          <w:highlight w:val="none"/>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color w:val="auto"/>
          <w:sz w:val="24"/>
          <w:highlight w:val="none"/>
        </w:rPr>
        <w:t>同级采购监管部门投诉。</w:t>
      </w:r>
    </w:p>
    <w:p>
      <w:pPr>
        <w:pStyle w:val="22"/>
        <w:snapToGrid w:val="0"/>
        <w:spacing w:line="360" w:lineRule="exact"/>
        <w:ind w:firstLine="472" w:firstLineChars="196"/>
        <w:jc w:val="center"/>
        <w:rPr>
          <w:rFonts w:asciiTheme="minorEastAsia" w:hAnsiTheme="minorEastAsia" w:eastAsiaTheme="minorEastAsia"/>
          <w:b/>
          <w:color w:val="auto"/>
          <w:sz w:val="24"/>
          <w:szCs w:val="24"/>
          <w:highlight w:val="none"/>
        </w:rPr>
      </w:pPr>
      <w:bookmarkStart w:id="58" w:name="_Toc254970675"/>
      <w:bookmarkStart w:id="59" w:name="_Toc254970534"/>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二、招标文件</w:t>
      </w:r>
      <w:bookmarkEnd w:id="58"/>
      <w:bookmarkEnd w:id="59"/>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（一）招标文件的组成：</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6、投标文件格式</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（二）投标人的风险</w:t>
      </w:r>
    </w:p>
    <w:p>
      <w:pPr>
        <w:pStyle w:val="30"/>
        <w:spacing w:after="0" w:line="360" w:lineRule="exact"/>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 xml:space="preserve">（三）招标文件的澄清与修改 </w:t>
      </w:r>
    </w:p>
    <w:p>
      <w:pPr>
        <w:spacing w:line="360" w:lineRule="exact"/>
        <w:ind w:firstLine="480" w:firstLineChars="200"/>
        <w:rPr>
          <w:rFonts w:asciiTheme="minorEastAsia" w:hAnsiTheme="minorEastAsia" w:eastAsiaTheme="minorEastAsia"/>
          <w:color w:val="auto"/>
          <w:sz w:val="24"/>
          <w:highlight w:val="none"/>
        </w:rPr>
      </w:pPr>
      <w:bookmarkStart w:id="60" w:name="_Toc254970676"/>
      <w:bookmarkStart w:id="61" w:name="_Toc254970535"/>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sz w:val="24"/>
          <w:highlight w:val="none"/>
        </w:rPr>
        <w:t>投</w:t>
      </w:r>
      <w:r>
        <w:rPr>
          <w:rFonts w:hint="eastAsia" w:asciiTheme="minorEastAsia" w:hAnsiTheme="minorEastAsia" w:eastAsiaTheme="minorEastAsia"/>
          <w:color w:val="auto"/>
          <w:sz w:val="24"/>
          <w:highlight w:val="none"/>
        </w:rPr>
        <w:t>标人应认真阅读本招标文件，发现其中有误或有不合理要求的，</w:t>
      </w:r>
      <w:r>
        <w:rPr>
          <w:rFonts w:hint="eastAsia" w:hAnsi="宋体"/>
          <w:bCs/>
          <w:color w:val="auto"/>
          <w:sz w:val="24"/>
          <w:highlight w:val="none"/>
        </w:rPr>
        <w:t>投标人应当于</w:t>
      </w:r>
      <w:r>
        <w:rPr>
          <w:rFonts w:hint="eastAsia" w:hAnsi="宋体"/>
          <w:color w:val="auto"/>
          <w:sz w:val="24"/>
          <w:highlight w:val="none"/>
        </w:rPr>
        <w:t>公告届满之日起7个工作日</w:t>
      </w:r>
      <w:r>
        <w:rPr>
          <w:rFonts w:hint="eastAsia" w:asciiTheme="minorEastAsia" w:hAnsiTheme="minorEastAsia" w:eastAsiaTheme="minorEastAsia"/>
          <w:color w:val="auto"/>
          <w:sz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color w:val="auto"/>
          <w:sz w:val="24"/>
          <w:highlight w:val="none"/>
        </w:rPr>
        <w:t>内容可能影响投标文件编制的，采购人或者采购代理机构应当在投标截止时间至少15日前</w:t>
      </w:r>
      <w:r>
        <w:rPr>
          <w:rFonts w:hint="eastAsia" w:asciiTheme="minorEastAsia" w:hAnsiTheme="minorEastAsia" w:eastAsiaTheme="minorEastAsia"/>
          <w:color w:val="auto"/>
          <w:sz w:val="24"/>
          <w:highlight w:val="none"/>
        </w:rPr>
        <w:t>发出</w:t>
      </w:r>
      <w:r>
        <w:rPr>
          <w:rFonts w:asciiTheme="minorEastAsia" w:hAnsiTheme="minorEastAsia" w:eastAsiaTheme="minorEastAsia"/>
          <w:color w:val="auto"/>
          <w:sz w:val="24"/>
          <w:highlight w:val="none"/>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三、投标文件</w:t>
      </w:r>
      <w:bookmarkEnd w:id="60"/>
      <w:bookmarkEnd w:id="61"/>
    </w:p>
    <w:p>
      <w:pPr>
        <w:snapToGrid w:val="0"/>
        <w:spacing w:line="360" w:lineRule="exact"/>
        <w:jc w:val="left"/>
        <w:rPr>
          <w:rFonts w:asciiTheme="minorEastAsia" w:hAnsiTheme="minorEastAsia" w:eastAsiaTheme="minorEastAsia"/>
          <w:b/>
          <w:color w:val="auto"/>
          <w:sz w:val="24"/>
          <w:highlight w:val="none"/>
        </w:rPr>
      </w:pPr>
      <w:bookmarkStart w:id="62" w:name="_Toc254970536"/>
      <w:bookmarkStart w:id="63" w:name="_Toc254970677"/>
      <w:r>
        <w:rPr>
          <w:rFonts w:hint="eastAsia" w:asciiTheme="minorEastAsia" w:hAnsiTheme="minorEastAsia" w:eastAsiaTheme="minorEastAsia"/>
          <w:b/>
          <w:color w:val="auto"/>
          <w:sz w:val="24"/>
          <w:highlight w:val="none"/>
        </w:rPr>
        <w:t>（一）投标文件的组成</w:t>
      </w:r>
      <w:bookmarkEnd w:id="62"/>
      <w:bookmarkEnd w:id="63"/>
      <w:r>
        <w:rPr>
          <w:rFonts w:hint="eastAsia" w:hAnsi="宋体"/>
          <w:b/>
          <w:color w:val="auto"/>
          <w:sz w:val="24"/>
          <w:highlight w:val="none"/>
        </w:rPr>
        <w:t>（可以根据需要进行增减）</w:t>
      </w:r>
    </w:p>
    <w:p>
      <w:pPr>
        <w:tabs>
          <w:tab w:val="left" w:pos="3870"/>
          <w:tab w:val="left" w:pos="4085"/>
        </w:tabs>
        <w:snapToGrid w:val="0"/>
        <w:spacing w:line="360" w:lineRule="exact"/>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投标文件由</w:t>
      </w:r>
      <w:r>
        <w:rPr>
          <w:rFonts w:hint="eastAsia" w:asciiTheme="minorEastAsia" w:hAnsiTheme="minorEastAsia" w:eastAsiaTheme="minorEastAsia"/>
          <w:color w:val="auto"/>
          <w:sz w:val="24"/>
          <w:highlight w:val="none"/>
          <w:u w:val="single"/>
        </w:rPr>
        <w:t>资格审查文件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商务文件、技术文件、报价文件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hint="eastAsia" w:ascii="宋体" w:hAnsi="宋体" w:cs="宋体"/>
          <w:b/>
          <w:color w:val="auto"/>
          <w:szCs w:val="21"/>
          <w:highlight w:val="none"/>
        </w:rPr>
        <w:t>、</w:t>
      </w:r>
      <w:r>
        <w:rPr>
          <w:rFonts w:hint="eastAsia" w:asciiTheme="minorEastAsia" w:hAnsiTheme="minorEastAsia" w:eastAsiaTheme="minorEastAsia"/>
          <w:color w:val="auto"/>
          <w:sz w:val="24"/>
          <w:highlight w:val="none"/>
          <w:u w:val="single"/>
        </w:rPr>
        <w:t>投标文件电子版组成。</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1.资格审查文件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（1）法人或者其他组织的营业执照等证明文件复印件，（投标人属自然人的提供自然人的身份证明）。</w:t>
      </w:r>
    </w:p>
    <w:p>
      <w:pPr>
        <w:pStyle w:val="22"/>
        <w:snapToGrid w:val="0"/>
        <w:spacing w:line="360" w:lineRule="exact"/>
        <w:ind w:firstLine="354" w:firstLineChars="147"/>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w:t>
      </w:r>
      <w:r>
        <w:rPr>
          <w:rFonts w:asciiTheme="minorEastAsia" w:hAnsiTheme="minorEastAsia" w:eastAsiaTheme="minorEastAsia"/>
          <w:b/>
          <w:bCs/>
          <w:color w:val="auto"/>
          <w:sz w:val="24"/>
          <w:szCs w:val="24"/>
          <w:highlight w:val="none"/>
        </w:rPr>
        <w:fldChar w:fldCharType="begin"/>
      </w:r>
      <w:r>
        <w:rPr>
          <w:rFonts w:asciiTheme="minorEastAsia" w:hAnsiTheme="minorEastAsia" w:eastAsiaTheme="minorEastAsia"/>
          <w:b/>
          <w:bCs/>
          <w:color w:val="auto"/>
          <w:sz w:val="24"/>
          <w:szCs w:val="24"/>
          <w:highlight w:val="none"/>
        </w:rPr>
        <w:instrText xml:space="preserve"> </w:instrText>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1</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
          <w:bCs/>
          <w:color w:val="auto"/>
          <w:sz w:val="24"/>
          <w:szCs w:val="24"/>
          <w:highlight w:val="none"/>
        </w:rPr>
        <w:fldChar w:fldCharType="begin"/>
      </w:r>
      <w:r>
        <w:rPr>
          <w:rFonts w:asciiTheme="minorEastAsia" w:hAnsiTheme="minorEastAsia" w:eastAsiaTheme="minorEastAsia"/>
          <w:b/>
          <w:bCs/>
          <w:color w:val="auto"/>
          <w:sz w:val="24"/>
          <w:szCs w:val="24"/>
          <w:highlight w:val="none"/>
        </w:rPr>
        <w:instrText xml:space="preserve"> </w:instrText>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2</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2）投标人近半年内连续三个月的依法缴纳税收证明（税费凭证复印件，或者依法缴纳税费或免缴税费的证明，格式自拟）；无纳税记录的，应提供由投标人所在地主管国税或地税部门出具的《依法纳税或依法免税证明》（格式自拟，复印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3）投标人近半年内连续三个月的依法缴纳社保费的缴费凭证（复印件，原件备查，格式自拟）（必须提供）；无缴费记录的，应提供由投标人所在地社保部门出具的《依法缴纳或依法免缴社保费证明》（格式自拟，复印件）。</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财务状况报告</w:t>
      </w:r>
      <w:r>
        <w:rPr>
          <w:rFonts w:hint="eastAsia" w:asciiTheme="minorEastAsia" w:hAnsiTheme="minorEastAsia" w:eastAsiaTheme="minorEastAsia"/>
          <w:bCs/>
          <w:color w:val="auto"/>
          <w:sz w:val="24"/>
          <w:szCs w:val="24"/>
          <w:highlight w:val="none"/>
        </w:rPr>
        <w:t>（</w:t>
      </w:r>
      <w:r>
        <w:rPr>
          <w:rFonts w:hint="eastAsia" w:hAnsi="宋体"/>
          <w:color w:val="auto"/>
          <w:sz w:val="24"/>
          <w:highlight w:val="none"/>
          <w:u w:val="single"/>
        </w:rPr>
        <w:t>可以是投标人编制的财务报表或第三方审计报告等证明材料，若为新成立的企业，可根据实际情况提供月度财务报表，或投标人开户行2018 年以来出具的银行资信证明文件复印件，格式自拟，如有请提供</w:t>
      </w:r>
      <w:r>
        <w:rPr>
          <w:rFonts w:hint="eastAsia" w:asciiTheme="minorEastAsia" w:hAnsiTheme="minorEastAsia" w:eastAsiaTheme="minorEastAsia"/>
          <w:bCs/>
          <w:color w:val="auto"/>
          <w:sz w:val="24"/>
          <w:szCs w:val="24"/>
          <w:highlight w:val="none"/>
        </w:rPr>
        <w:t>）。</w:t>
      </w:r>
    </w:p>
    <w:p>
      <w:pPr>
        <w:pStyle w:val="22"/>
        <w:snapToGrid w:val="0"/>
        <w:spacing w:line="360" w:lineRule="exact"/>
        <w:ind w:firstLine="354" w:firstLineChars="147"/>
        <w:rPr>
          <w:rFonts w:hAnsi="宋体"/>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（5）具备履行合同所必需的设备和专业技术能力的证明材料（提供投标人基本情况表，格式自拟，须反映投标人履行合同所必需的设备和专业技术能力情况）</w:t>
      </w:r>
      <w:r>
        <w:rPr>
          <w:rFonts w:hint="eastAsia" w:hAnsi="宋体"/>
          <w:bCs/>
          <w:color w:val="auto"/>
          <w:sz w:val="24"/>
          <w:szCs w:val="24"/>
          <w:highlight w:val="none"/>
          <w:u w:val="single"/>
        </w:rPr>
        <w:t>或承诺函（投标人须明确承诺具有履行合同所必需的设备和专业技术能力情况，格式自拟）。</w:t>
      </w:r>
    </w:p>
    <w:p>
      <w:pPr>
        <w:pStyle w:val="22"/>
        <w:snapToGrid w:val="0"/>
        <w:spacing w:line="360" w:lineRule="exact"/>
        <w:ind w:firstLine="354" w:firstLineChars="147"/>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（6）投标人参加政府采购活动前3年内在经营活动中没有重大违法记录的书面声明。</w:t>
      </w:r>
    </w:p>
    <w:p>
      <w:pPr>
        <w:pStyle w:val="22"/>
        <w:snapToGrid w:val="0"/>
        <w:spacing w:line="360" w:lineRule="exact"/>
        <w:ind w:firstLine="354" w:firstLineChars="147"/>
        <w:rPr>
          <w:rFonts w:hint="eastAsia" w:asciiTheme="minorEastAsia" w:hAnsiTheme="minorEastAsia" w:eastAsiaTheme="minorEastAsia"/>
          <w:bCs/>
          <w:color w:val="auto"/>
          <w:sz w:val="24"/>
          <w:szCs w:val="24"/>
          <w:highlight w:val="none"/>
          <w:lang w:eastAsia="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lang w:eastAsia="zh-CN"/>
        </w:rPr>
        <w:t>（</w:t>
      </w:r>
      <w:r>
        <w:rPr>
          <w:rFonts w:hint="eastAsia" w:asciiTheme="minorEastAsia" w:hAnsiTheme="minorEastAsia" w:eastAsiaTheme="minorEastAsia"/>
          <w:bCs/>
          <w:color w:val="auto"/>
          <w:sz w:val="24"/>
          <w:szCs w:val="24"/>
          <w:highlight w:val="none"/>
          <w:lang w:val="en-US" w:eastAsia="zh-CN"/>
        </w:rPr>
        <w:t>7</w:t>
      </w:r>
      <w:r>
        <w:rPr>
          <w:rFonts w:hint="eastAsia" w:asciiTheme="minorEastAsia" w:hAnsiTheme="minorEastAsia" w:eastAsiaTheme="minorEastAsia"/>
          <w:bCs/>
          <w:color w:val="auto"/>
          <w:sz w:val="24"/>
          <w:szCs w:val="24"/>
          <w:highlight w:val="none"/>
          <w:lang w:eastAsia="zh-CN"/>
        </w:rPr>
        <w:t>）网络安全等级保护测评机构推荐证书复印件（必须提供）。</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8</w:t>
      </w:r>
      <w:r>
        <w:rPr>
          <w:rFonts w:hint="eastAsia" w:asciiTheme="minorEastAsia" w:hAnsiTheme="minorEastAsia" w:eastAsiaTheme="minorEastAsia"/>
          <w:bCs/>
          <w:color w:val="auto"/>
          <w:sz w:val="24"/>
          <w:szCs w:val="24"/>
          <w:highlight w:val="none"/>
        </w:rPr>
        <w:t>）供应商可在“信用中国”网站（www.creditchina.gov.cn）或中国政府采购网（www.ccgp.gov.cn）查询相关供应商主体信用记录，并提供有关查询结果截图。</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2.商务文件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★必须提供项目:</w:t>
      </w:r>
    </w:p>
    <w:p>
      <w:pPr>
        <w:tabs>
          <w:tab w:val="left" w:pos="1305"/>
        </w:tabs>
        <w:spacing w:line="33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（1）投标声明书</w:t>
      </w:r>
    </w:p>
    <w:p>
      <w:pPr>
        <w:tabs>
          <w:tab w:val="left" w:pos="1305"/>
        </w:tabs>
        <w:spacing w:line="330" w:lineRule="exact"/>
        <w:ind w:firstLine="240" w:firstLineChars="100"/>
        <w:rPr>
          <w:rFonts w:ascii="宋体" w:hAnsi="宋体"/>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sz w:val="24"/>
          <w:highlight w:val="none"/>
        </w:rPr>
        <w:t>法定代表人身份证明书、相应的法定代表人身份证正反两面复印件</w:t>
      </w:r>
      <w:r>
        <w:rPr>
          <w:rFonts w:hint="eastAsia" w:ascii="宋体" w:hAnsi="宋体"/>
          <w:b/>
          <w:color w:val="auto"/>
          <w:sz w:val="24"/>
          <w:highlight w:val="none"/>
        </w:rPr>
        <w:t>（必须提供；</w:t>
      </w:r>
      <w:r>
        <w:rPr>
          <w:rFonts w:hint="eastAsia" w:ascii="宋体" w:hAnsi="宋体"/>
          <w:color w:val="auto"/>
          <w:sz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宋体" w:hAnsi="宋体"/>
          <w:color w:val="auto"/>
          <w:sz w:val="24"/>
          <w:highlight w:val="none"/>
        </w:rPr>
        <w:t>（3）授权委托书原件、委托代理人身份证正反面复印件</w:t>
      </w:r>
      <w:r>
        <w:rPr>
          <w:rFonts w:hint="eastAsia" w:ascii="宋体" w:hAnsi="宋体"/>
          <w:b/>
          <w:color w:val="auto"/>
          <w:sz w:val="24"/>
          <w:highlight w:val="none"/>
        </w:rPr>
        <w:t>（委托代理时必须提供）；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（4）商务条款偏离表(格式见附件) ；</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（5）招标文件要求投标人必须提供的其他资料（如有要求，必须提供）；</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可作为投标人资信评分的资质证明材料(可选):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（6）类似案例成功的业绩(投标入同类项目实施情况一览表、合同或中标通知书复印件等);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（7）质量管理和质量保证体系等方面的认证证书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（8）投标人认为可以提供的其他材料;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3.技术文件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（1）技术资料表；（必须提供）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（2）服务承诺书（应据项目实际要求描述,格式自拟，必须提供）</w:t>
      </w:r>
    </w:p>
    <w:p>
      <w:pPr>
        <w:spacing w:line="360" w:lineRule="exact"/>
        <w:ind w:left="141" w:leftChars="67"/>
        <w:rPr>
          <w:rFonts w:ascii="宋体" w:hAnsi="宋体" w:cs="宋体"/>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s="宋体"/>
          <w:color w:val="auto"/>
          <w:sz w:val="24"/>
          <w:highlight w:val="none"/>
        </w:rPr>
        <w:t>项目技术方案</w:t>
      </w:r>
      <w:r>
        <w:rPr>
          <w:rFonts w:ascii="宋体" w:hAnsi="宋体" w:cs="宋体"/>
          <w:color w:val="auto"/>
          <w:sz w:val="24"/>
          <w:highlight w:val="none"/>
        </w:rPr>
        <w:t>(如有，请提供)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（4）项目实施人员一览表； </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（5）投标人需要说明的其他文件和说明（格式略，如有请提供）；</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★4.报价文件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(1)投标函(格式见附件);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(2)投标报价明细表(格式见附件);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(3)投标人针对报价需要说明的其他文件和说明(格式自拟，如有请提供);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(4)开标一览表(单独分册,格式见附件)。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5.投标文件电子版（光盘）</w:t>
      </w:r>
      <w:r>
        <w:rPr>
          <w:rFonts w:hint="eastAsia" w:ascii="宋体" w:hAnsi="宋体" w:cs="宋体"/>
          <w:color w:val="auto"/>
          <w:sz w:val="24"/>
          <w:highlight w:val="none"/>
        </w:rPr>
        <w:t>。</w:t>
      </w:r>
    </w:p>
    <w:p>
      <w:pPr>
        <w:snapToGrid w:val="0"/>
        <w:spacing w:line="360" w:lineRule="exact"/>
        <w:jc w:val="left"/>
        <w:rPr>
          <w:rFonts w:asciiTheme="minorEastAsia" w:hAnsiTheme="minorEastAsia" w:eastAsiaTheme="minorEastAsia"/>
          <w:b/>
          <w:color w:val="auto"/>
          <w:sz w:val="24"/>
          <w:highlight w:val="none"/>
        </w:rPr>
      </w:pPr>
      <w:bookmarkStart w:id="64" w:name="_Toc254970537"/>
      <w:bookmarkStart w:id="65" w:name="_Toc254970678"/>
      <w:r>
        <w:rPr>
          <w:rFonts w:hint="eastAsia" w:asciiTheme="minorEastAsia" w:hAnsiTheme="minorEastAsia" w:eastAsiaTheme="minorEastAsia"/>
          <w:b/>
          <w:color w:val="auto"/>
          <w:sz w:val="24"/>
          <w:highlight w:val="none"/>
        </w:rPr>
        <w:t>（二）投标文件的语言及计量</w:t>
      </w:r>
      <w:bookmarkEnd w:id="64"/>
      <w:bookmarkEnd w:id="65"/>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color w:val="auto"/>
          <w:sz w:val="24"/>
          <w:highlight w:val="none"/>
        </w:rPr>
      </w:pPr>
      <w:bookmarkStart w:id="66" w:name="_Toc254970538"/>
      <w:bookmarkStart w:id="67" w:name="_Toc254970679"/>
      <w:r>
        <w:rPr>
          <w:rFonts w:hint="eastAsia" w:asciiTheme="minorEastAsia" w:hAnsiTheme="minorEastAsia" w:eastAsiaTheme="minorEastAsia"/>
          <w:b/>
          <w:color w:val="auto"/>
          <w:sz w:val="24"/>
          <w:highlight w:val="none"/>
        </w:rPr>
        <w:t>（三）投标报价</w:t>
      </w:r>
      <w:bookmarkEnd w:id="66"/>
      <w:bookmarkEnd w:id="67"/>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投标报价是履行合同的最终价格，应包括服务、以及培训等一切税金和费用。</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8" w:name="_Toc254970539"/>
      <w:bookmarkStart w:id="69" w:name="_Toc254970680"/>
      <w:r>
        <w:rPr>
          <w:rFonts w:hint="eastAsia" w:asciiTheme="minorEastAsia" w:hAnsiTheme="minorEastAsia" w:eastAsiaTheme="minorEastAsia"/>
          <w:color w:val="auto"/>
          <w:sz w:val="24"/>
          <w:highlight w:val="none"/>
        </w:rPr>
        <w:t>3.投标人可拒绝接受延期要求，但不能修改投标文件。</w:t>
      </w:r>
      <w:bookmarkEnd w:id="68"/>
      <w:bookmarkEnd w:id="69"/>
      <w:r>
        <w:rPr>
          <w:rFonts w:hint="eastAsia" w:asciiTheme="minorEastAsia" w:hAnsiTheme="minorEastAsia" w:eastAsiaTheme="minorEastAsia"/>
          <w:b/>
          <w:color w:val="auto"/>
          <w:sz w:val="24"/>
          <w:highlight w:val="none"/>
        </w:rPr>
        <w:t xml:space="preserve"> </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70" w:name="_Toc254970681"/>
      <w:bookmarkStart w:id="71" w:name="_Toc254970540"/>
      <w:r>
        <w:rPr>
          <w:rFonts w:hint="eastAsia" w:asciiTheme="minorEastAsia" w:hAnsiTheme="minorEastAsia" w:eastAsiaTheme="minorEastAsia"/>
          <w:color w:val="auto"/>
          <w:sz w:val="24"/>
          <w:highlight w:val="none"/>
        </w:rPr>
        <w:t>4.中标人的投标文件自开标之日起至合同履行完毕止均应保持有效。</w:t>
      </w:r>
      <w:bookmarkEnd w:id="70"/>
      <w:bookmarkEnd w:id="71"/>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（六）投标文件的编制</w:t>
      </w:r>
    </w:p>
    <w:p>
      <w:pPr>
        <w:snapToGrid w:val="0"/>
        <w:spacing w:line="360" w:lineRule="exact"/>
        <w:ind w:firstLine="480" w:firstLineChars="200"/>
        <w:jc w:val="left"/>
        <w:rPr>
          <w:rFonts w:asciiTheme="minorEastAsia" w:hAnsiTheme="minorEastAsia" w:eastAsiaTheme="minorEastAsia"/>
          <w:color w:val="auto"/>
          <w:sz w:val="24"/>
          <w:highlight w:val="none"/>
        </w:rPr>
      </w:pPr>
      <w:bookmarkStart w:id="72" w:name="_Toc254970543"/>
      <w:bookmarkStart w:id="73" w:name="_Toc254970684"/>
      <w:r>
        <w:rPr>
          <w:rFonts w:hint="eastAsia" w:asciiTheme="minorEastAsia" w:hAnsiTheme="minorEastAsia"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 xml:space="preserve"> 投标文件正本一份，副本份数见“投标人须知前附表”。正本和副本的封面上应清楚地标记“正本”或“副本”的字样</w:t>
      </w:r>
      <w:r>
        <w:rPr>
          <w:rFonts w:hint="eastAsia" w:asciiTheme="minorEastAsia" w:hAnsiTheme="minorEastAsia" w:eastAsiaTheme="minorEastAsia"/>
          <w:color w:val="auto"/>
          <w:sz w:val="24"/>
          <w:szCs w:val="24"/>
          <w:highlight w:val="none"/>
        </w:rPr>
        <w:t>。书面投标文件副本与书面投标文件正本不符，以投标文件正本为准。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 xml:space="preserve"> 投标文件正本与副本均</w:t>
      </w:r>
      <w:r>
        <w:rPr>
          <w:rFonts w:hint="eastAsia" w:asciiTheme="minorEastAsia" w:hAnsiTheme="minorEastAsia" w:eastAsiaTheme="minorEastAsia"/>
          <w:color w:val="auto"/>
          <w:sz w:val="24"/>
          <w:szCs w:val="24"/>
          <w:highlight w:val="none"/>
        </w:rPr>
        <w:t>应</w:t>
      </w:r>
      <w:r>
        <w:rPr>
          <w:rFonts w:asciiTheme="minorEastAsia" w:hAnsiTheme="minorEastAsia" w:eastAsiaTheme="minorEastAsia"/>
          <w:color w:val="auto"/>
          <w:sz w:val="24"/>
          <w:szCs w:val="24"/>
          <w:highlight w:val="none"/>
        </w:rPr>
        <w:t>由投标人在招标文件规定的相关位置加盖投标人法人单位公章，且经法定代表</w:t>
      </w:r>
      <w:r>
        <w:rPr>
          <w:rFonts w:hint="eastAsia" w:asciiTheme="minorEastAsia" w:hAnsiTheme="minorEastAsia" w:eastAsiaTheme="minorEastAsia"/>
          <w:color w:val="auto"/>
          <w:sz w:val="24"/>
          <w:szCs w:val="24"/>
          <w:highlight w:val="none"/>
        </w:rPr>
        <w:t>人签字（</w:t>
      </w:r>
      <w:r>
        <w:rPr>
          <w:rFonts w:asciiTheme="minorEastAsia" w:hAnsiTheme="minorEastAsia" w:eastAsiaTheme="minorEastAsia"/>
          <w:color w:val="auto"/>
          <w:sz w:val="24"/>
          <w:szCs w:val="24"/>
          <w:highlight w:val="none"/>
        </w:rPr>
        <w:t>或</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）或其委托代理人本人签</w:t>
      </w:r>
      <w:r>
        <w:rPr>
          <w:rFonts w:hint="eastAsia" w:asciiTheme="minorEastAsia" w:hAnsiTheme="minorEastAsia" w:eastAsiaTheme="minorEastAsia"/>
          <w:color w:val="auto"/>
          <w:sz w:val="24"/>
          <w:szCs w:val="24"/>
          <w:highlight w:val="none"/>
        </w:rPr>
        <w:t>字，否则作否决投标处理。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四、投标</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（一）投标文件的密封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投标文件应按“投标人须知前附表”的要求进行包装</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（二）投标文件的递交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投标人应在“投标人须知前附表”规定的投标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截止时间前递交投标文件。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投标人递交投标文件的地点：见</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除</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另有规定外，投标人所递交的投标文件不予退还。</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招标人收到投标文件后，向投标人出具签收凭证。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（三）投标文件的修改与撤回</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截止时间前，投标人可以</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修改或撤回已递交的投标文件，但应以书面形式通知招标人</w:t>
      </w:r>
      <w:r>
        <w:rPr>
          <w:rFonts w:hint="eastAsia" w:asciiTheme="minorEastAsia" w:hAnsiTheme="minorEastAsia" w:eastAsiaTheme="minorEastAsia"/>
          <w:color w:val="auto"/>
          <w:sz w:val="24"/>
          <w:szCs w:val="24"/>
          <w:highlight w:val="none"/>
        </w:rPr>
        <w:t>或者招标代理机构</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修改或撤回已递交投标文件的书面通知，应按照本章第</w:t>
      </w:r>
      <w:r>
        <w:rPr>
          <w:rFonts w:hint="eastAsia" w:asciiTheme="minorEastAsia" w:hAnsiTheme="minorEastAsia" w:eastAsiaTheme="minorEastAsia"/>
          <w:color w:val="auto"/>
          <w:sz w:val="24"/>
          <w:szCs w:val="24"/>
          <w:highlight w:val="none"/>
        </w:rPr>
        <w:t>三、投标文件第（六）、投标文件第4款</w:t>
      </w:r>
      <w:r>
        <w:rPr>
          <w:rFonts w:asciiTheme="minorEastAsia" w:hAnsiTheme="minorEastAsia" w:eastAsiaTheme="minorEastAsia"/>
          <w:color w:val="auto"/>
          <w:sz w:val="24"/>
          <w:szCs w:val="24"/>
          <w:highlight w:val="none"/>
        </w:rPr>
        <w:t>的要求签字和盖章。招标人</w:t>
      </w:r>
      <w:r>
        <w:rPr>
          <w:rFonts w:hint="eastAsia" w:asciiTheme="minorEastAsia" w:hAnsiTheme="minorEastAsia" w:eastAsiaTheme="minorEastAsia"/>
          <w:color w:val="auto"/>
          <w:sz w:val="24"/>
          <w:szCs w:val="24"/>
          <w:highlight w:val="none"/>
        </w:rPr>
        <w:t>或招标代理机构</w:t>
      </w:r>
      <w:r>
        <w:rPr>
          <w:rFonts w:asciiTheme="minorEastAsia" w:hAnsiTheme="minorEastAsia" w:eastAsiaTheme="minorEastAsia"/>
          <w:color w:val="auto"/>
          <w:sz w:val="24"/>
          <w:szCs w:val="24"/>
          <w:highlight w:val="none"/>
        </w:rPr>
        <w:t>收到书面通知后，向投标人出具签收凭证。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修改的内容为投标文件的组成部分。修改的投标文件应按照本章第</w:t>
      </w:r>
      <w:r>
        <w:rPr>
          <w:rFonts w:hint="eastAsia" w:asciiTheme="minorEastAsia" w:hAnsiTheme="minorEastAsia" w:eastAsiaTheme="minorEastAsia"/>
          <w:color w:val="auto"/>
          <w:sz w:val="24"/>
          <w:szCs w:val="24"/>
          <w:highlight w:val="none"/>
        </w:rPr>
        <w:t>三、投标文件</w:t>
      </w:r>
      <w:r>
        <w:rPr>
          <w:rFonts w:asciiTheme="minorEastAsia" w:hAnsiTheme="minorEastAsia" w:eastAsiaTheme="minorEastAsia"/>
          <w:color w:val="auto"/>
          <w:sz w:val="24"/>
          <w:szCs w:val="24"/>
          <w:highlight w:val="none"/>
        </w:rPr>
        <w:t>和第</w:t>
      </w:r>
      <w:r>
        <w:rPr>
          <w:rFonts w:hint="eastAsia" w:asciiTheme="minorEastAsia" w:hAnsiTheme="minorEastAsia" w:eastAsiaTheme="minorEastAsia"/>
          <w:color w:val="auto"/>
          <w:sz w:val="24"/>
          <w:szCs w:val="24"/>
          <w:highlight w:val="none"/>
        </w:rPr>
        <w:t>四、投标第（一）投标文件密封</w:t>
      </w:r>
      <w:r>
        <w:rPr>
          <w:rFonts w:asciiTheme="minorEastAsia" w:hAnsiTheme="minorEastAsia" w:eastAsiaTheme="minorEastAsia"/>
          <w:color w:val="auto"/>
          <w:sz w:val="24"/>
          <w:szCs w:val="24"/>
          <w:highlight w:val="none"/>
        </w:rPr>
        <w:t>规定进行编制、密封、标记和递交，并标明“修改”字样。</w:t>
      </w:r>
    </w:p>
    <w:p>
      <w:pPr>
        <w:pStyle w:val="22"/>
        <w:spacing w:line="360" w:lineRule="exact"/>
        <w:ind w:firstLine="480" w:firstLineChars="200"/>
        <w:rPr>
          <w:rFonts w:asciiTheme="minorEastAsia" w:hAnsiTheme="minorEastAsia" w:eastAsiaTheme="minorEastAsia"/>
          <w:color w:val="auto"/>
          <w:sz w:val="24"/>
          <w:szCs w:val="24"/>
          <w:highlight w:val="none"/>
        </w:rPr>
      </w:pPr>
    </w:p>
    <w:bookmarkEnd w:id="72"/>
    <w:bookmarkEnd w:id="73"/>
    <w:p>
      <w:pPr>
        <w:pStyle w:val="18"/>
        <w:snapToGrid w:val="0"/>
        <w:spacing w:line="360" w:lineRule="exact"/>
        <w:ind w:firstLine="630" w:firstLineChars="196"/>
        <w:jc w:val="center"/>
        <w:rPr>
          <w:rFonts w:asciiTheme="minorEastAsia" w:hAnsiTheme="minorEastAsia" w:eastAsiaTheme="minorEastAsia"/>
          <w:b/>
          <w:snapToGrid w:val="0"/>
          <w:color w:val="auto"/>
          <w:szCs w:val="32"/>
          <w:highlight w:val="none"/>
        </w:rPr>
      </w:pPr>
      <w:bookmarkStart w:id="74" w:name="_Toc254970544"/>
      <w:bookmarkStart w:id="75" w:name="_Toc254970685"/>
      <w:r>
        <w:rPr>
          <w:rFonts w:hint="eastAsia" w:asciiTheme="minorEastAsia" w:hAnsiTheme="minorEastAsia" w:eastAsiaTheme="minorEastAsia"/>
          <w:b/>
          <w:color w:val="auto"/>
          <w:szCs w:val="32"/>
          <w:highlight w:val="none"/>
        </w:rPr>
        <w:t>五、开标</w:t>
      </w:r>
      <w:bookmarkEnd w:id="74"/>
      <w:bookmarkEnd w:id="75"/>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（一）开标准备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招标代理机构将在规定的时间和地点进行开标。采购代理机构在开标会现场登陆开标系统并输入投标供应商全称、社会统一信用代码、联系电话等信息，完成投标签到。</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 开标程序：</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1.开标会由招标人人或其委托的招标代理机构主持，主持人宣布开标会议开始；</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宣布开标纪律，</w:t>
      </w:r>
      <w:r>
        <w:rPr>
          <w:rFonts w:asciiTheme="minorEastAsia" w:hAnsiTheme="minorEastAsia" w:eastAsiaTheme="minorEastAsia"/>
          <w:color w:val="auto"/>
          <w:sz w:val="24"/>
          <w:szCs w:val="24"/>
          <w:highlight w:val="none"/>
        </w:rPr>
        <w:t>开标人、唱标人、记录人、</w:t>
      </w:r>
      <w:r>
        <w:rPr>
          <w:rFonts w:hint="eastAsia" w:asciiTheme="minorEastAsia" w:hAnsiTheme="minorEastAsia" w:eastAsiaTheme="minorEastAsia"/>
          <w:color w:val="auto"/>
          <w:sz w:val="24"/>
          <w:szCs w:val="24"/>
          <w:highlight w:val="none"/>
        </w:rPr>
        <w:t>监督</w:t>
      </w:r>
      <w:r>
        <w:rPr>
          <w:rFonts w:asciiTheme="minorEastAsia" w:hAnsiTheme="minorEastAsia" w:eastAsiaTheme="minorEastAsia"/>
          <w:color w:val="auto"/>
          <w:sz w:val="24"/>
          <w:szCs w:val="24"/>
          <w:highlight w:val="none"/>
        </w:rPr>
        <w:t>人等有关人员</w:t>
      </w:r>
      <w:r>
        <w:rPr>
          <w:rFonts w:hint="eastAsia" w:asciiTheme="minorEastAsia" w:hAnsiTheme="minorEastAsia" w:eastAsiaTheme="minorEastAsia"/>
          <w:color w:val="auto"/>
          <w:sz w:val="24"/>
          <w:szCs w:val="24"/>
          <w:highlight w:val="none"/>
        </w:rPr>
        <w:t>名单</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4.招标人代表检查投标文件的密封情况并签字确认；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6.招标人或招标代理机构做开标记录, 由参加开标的相关工作人员签字确认后随采购文件一并存档。</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7.开标会议结束。</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bookmarkStart w:id="76" w:name="_Toc254970686"/>
      <w:bookmarkStart w:id="77" w:name="_Toc254970545"/>
    </w:p>
    <w:p>
      <w:pPr>
        <w:pStyle w:val="22"/>
        <w:snapToGrid w:val="0"/>
        <w:spacing w:line="360" w:lineRule="exact"/>
        <w:ind w:left="321" w:hanging="321" w:hangingChars="1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六、评标</w:t>
      </w:r>
    </w:p>
    <w:bookmarkEnd w:id="76"/>
    <w:bookmarkEnd w:id="77"/>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（一）组建评标委员会</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1．采购预算金额在1000万元以上；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2．技术复杂；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3．社会影响较大。</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（二）评标的方式</w:t>
      </w:r>
    </w:p>
    <w:p>
      <w:pPr>
        <w:pStyle w:val="22"/>
        <w:snapToGrid w:val="0"/>
        <w:spacing w:line="360" w:lineRule="exact"/>
        <w:ind w:left="210" w:leftChars="1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本项目采用不公开方式评标，评标的依据为招标文件和投标文件。</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（三）资格审查</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采购人代表对投标人的资格进行审查。合格投标人不足3家的，不得评标。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w:t>
      </w:r>
      <w:r>
        <w:rPr>
          <w:rFonts w:hint="eastAsia" w:asciiTheme="minorEastAsia" w:hAnsiTheme="minorEastAsia" w:eastAsiaTheme="minorEastAsia"/>
          <w:b/>
          <w:bCs/>
          <w:color w:val="auto"/>
          <w:sz w:val="24"/>
          <w:szCs w:val="24"/>
          <w:highlight w:val="none"/>
        </w:rPr>
        <w:t>评标程序</w:t>
      </w:r>
    </w:p>
    <w:p>
      <w:pPr>
        <w:snapToGrid w:val="0"/>
        <w:spacing w:line="36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1.实质审查与比较</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（1）评标委员会对通过资格审查的投标文件进行符合性审查。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（五）澄清问题的形式</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（六）错误修正</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投标文件如果出现计算或表达上的错误，修正错误的原则如下：</w:t>
      </w:r>
    </w:p>
    <w:p>
      <w:pPr>
        <w:pStyle w:val="34"/>
        <w:spacing w:before="0" w:beforeAutospacing="0" w:after="0" w:afterAutospacing="0" w:line="360" w:lineRule="exact"/>
        <w:ind w:firstLine="480" w:firstLineChars="200"/>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1、投标文件中开标一览表（报价表）内容与投标文件中相应内容不一致的，以开标一览表（报价表）为准；</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2、大写金额和小写金额不一致的，以大写金额为准；</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3、单价金额小数点或者百分比有明显错位的，以开标一览表的总价为准，并修改单价；</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（七）评标原则和评标办法</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2.评标办法。本项目评标办法是</w:t>
      </w:r>
      <w:r>
        <w:rPr>
          <w:rFonts w:hint="eastAsia" w:asciiTheme="minorEastAsia" w:hAnsiTheme="minorEastAsia" w:eastAsiaTheme="minorEastAsia"/>
          <w:color w:val="auto"/>
          <w:sz w:val="24"/>
          <w:szCs w:val="24"/>
          <w:highlight w:val="none"/>
          <w:u w:val="single"/>
        </w:rPr>
        <w:t xml:space="preserve"> 综合评分法 </w:t>
      </w:r>
      <w:r>
        <w:rPr>
          <w:rFonts w:hint="eastAsia" w:asciiTheme="minorEastAsia" w:hAnsiTheme="minorEastAsia" w:eastAsiaTheme="minorEastAsia"/>
          <w:color w:val="auto"/>
          <w:sz w:val="24"/>
          <w:szCs w:val="24"/>
          <w:highlight w:val="none"/>
        </w:rPr>
        <w:t>，具体评标内容及评分标准等详见《第四章：评标办法及评分标准》。</w:t>
      </w:r>
    </w:p>
    <w:p>
      <w:pPr>
        <w:snapToGrid w:val="0"/>
        <w:spacing w:line="40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8"/>
          <w:szCs w:val="28"/>
          <w:highlight w:val="none"/>
        </w:rPr>
        <w:t>（八）</w:t>
      </w:r>
      <w:r>
        <w:rPr>
          <w:rFonts w:hint="eastAsia" w:asciiTheme="minorEastAsia" w:hAnsiTheme="minorEastAsia" w:eastAsiaTheme="minorEastAsia"/>
          <w:b/>
          <w:color w:val="auto"/>
          <w:sz w:val="24"/>
          <w:szCs w:val="24"/>
          <w:highlight w:val="none"/>
        </w:rPr>
        <w:t>投标无效的情形</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1.在资格性审查时，如发现下列情形之一的，投标文件将被视为无效：</w:t>
      </w:r>
    </w:p>
    <w:p>
      <w:pPr>
        <w:snapToGrid w:val="0"/>
        <w:spacing w:line="400" w:lineRule="exact"/>
        <w:ind w:firstLine="472" w:firstLineChars="196"/>
        <w:rPr>
          <w:rFonts w:cs="Tahoma" w:asciiTheme="minorEastAsia" w:hAnsiTheme="minorEastAsia" w:eastAsiaTheme="minorEastAsia"/>
          <w:b/>
          <w:color w:val="auto"/>
          <w:kern w:val="0"/>
          <w:sz w:val="24"/>
          <w:szCs w:val="24"/>
          <w:highlight w:val="none"/>
        </w:rPr>
      </w:pPr>
      <w:r>
        <w:rPr>
          <w:rFonts w:hint="eastAsia" w:cs="Tahoma" w:asciiTheme="minorEastAsia" w:hAnsiTheme="minorEastAsia" w:eastAsiaTheme="minorEastAsia"/>
          <w:b/>
          <w:color w:val="auto"/>
          <w:kern w:val="0"/>
          <w:sz w:val="24"/>
          <w:szCs w:val="24"/>
          <w:highlight w:val="none"/>
        </w:rPr>
        <w:t>（1）不符合招标公告中对投标人的资格要求的（包括超越了按照法律法规规定必须获得行政许可证或者行政审批的经营范围的）；</w:t>
      </w:r>
    </w:p>
    <w:p>
      <w:pPr>
        <w:snapToGrid w:val="0"/>
        <w:spacing w:line="400" w:lineRule="exact"/>
        <w:ind w:firstLine="472" w:firstLineChars="196"/>
        <w:rPr>
          <w:rFonts w:cs="Tahoma" w:asciiTheme="minorEastAsia" w:hAnsiTheme="minorEastAsia" w:eastAsiaTheme="minorEastAsia"/>
          <w:b/>
          <w:color w:val="auto"/>
          <w:kern w:val="0"/>
          <w:sz w:val="24"/>
          <w:szCs w:val="24"/>
          <w:highlight w:val="none"/>
        </w:rPr>
      </w:pPr>
      <w:r>
        <w:rPr>
          <w:rFonts w:hint="eastAsia" w:cs="Tahoma" w:asciiTheme="minorEastAsia" w:hAnsiTheme="minorEastAsia" w:eastAsiaTheme="minorEastAsia"/>
          <w:b/>
          <w:color w:val="auto"/>
          <w:kern w:val="0"/>
          <w:sz w:val="24"/>
          <w:szCs w:val="24"/>
          <w:highlight w:val="none"/>
        </w:rPr>
        <w:t>（2）资格证明文件不全或不符合招标文件表明的资格要求的。</w:t>
      </w:r>
    </w:p>
    <w:p>
      <w:pPr>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2.在符合性审查时，如发现下列情形之一的，投标文件将被视为无效：</w:t>
      </w:r>
    </w:p>
    <w:p>
      <w:pPr>
        <w:snapToGrid w:val="0"/>
        <w:spacing w:line="400" w:lineRule="exact"/>
        <w:ind w:firstLine="472" w:firstLineChars="196"/>
        <w:rPr>
          <w:rFonts w:asciiTheme="minorEastAsia" w:hAnsiTheme="minorEastAsia" w:eastAsiaTheme="minorEastAsia"/>
          <w:b/>
          <w:bCs/>
          <w:color w:val="auto"/>
          <w:kern w:val="0"/>
          <w:sz w:val="24"/>
          <w:szCs w:val="24"/>
          <w:highlight w:val="none"/>
        </w:rPr>
      </w:pPr>
      <w:r>
        <w:rPr>
          <w:rFonts w:hint="eastAsia" w:asciiTheme="minorEastAsia" w:hAnsiTheme="minorEastAsia" w:eastAsiaTheme="minorEastAsia"/>
          <w:b/>
          <w:color w:val="auto"/>
          <w:sz w:val="24"/>
          <w:szCs w:val="24"/>
          <w:highlight w:val="none"/>
        </w:rPr>
        <w:t>（1）投标文件无法定代表人或其授权委托代理人签字,或未</w:t>
      </w:r>
      <w:r>
        <w:rPr>
          <w:rFonts w:hint="eastAsia" w:asciiTheme="minorEastAsia" w:hAnsiTheme="minorEastAsia" w:eastAsiaTheme="minorEastAsia"/>
          <w:b/>
          <w:bCs/>
          <w:color w:val="auto"/>
          <w:kern w:val="0"/>
          <w:sz w:val="24"/>
          <w:szCs w:val="24"/>
          <w:highlight w:val="none"/>
        </w:rPr>
        <w:t>提供法定代表人授权委托书、声明书或者填写项目不齐全的；</w:t>
      </w:r>
    </w:p>
    <w:p>
      <w:pPr>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（2）投标代表人未能出具身份证明或与法定代表人授权委托人身份不符的； </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b/>
          <w:snapToGrid w:val="0"/>
          <w:color w:val="auto"/>
          <w:sz w:val="24"/>
          <w:szCs w:val="24"/>
          <w:highlight w:val="none"/>
        </w:rPr>
        <w:t>3）</w:t>
      </w:r>
      <w:r>
        <w:rPr>
          <w:rFonts w:hint="eastAsia" w:asciiTheme="minorEastAsia" w:hAnsiTheme="minorEastAsia" w:eastAsiaTheme="minorEastAsia"/>
          <w:b/>
          <w:color w:val="auto"/>
          <w:sz w:val="24"/>
          <w:szCs w:val="24"/>
          <w:highlight w:val="none"/>
        </w:rPr>
        <w:t>项目不齐全或者内容虚假的；</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color w:val="auto"/>
          <w:sz w:val="24"/>
          <w:szCs w:val="24"/>
          <w:highlight w:val="none"/>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b/>
          <w:snapToGrid w:val="0"/>
          <w:color w:val="auto"/>
          <w:sz w:val="24"/>
          <w:szCs w:val="24"/>
          <w:highlight w:val="none"/>
        </w:rPr>
        <w:t>5）投标有效期、服务期限等商务条款不能满足招标文件要求的；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（6）未实质性响应招标文件要求或者投标文件有招标方不能接受的附加条件或者</w:t>
      </w:r>
      <w:r>
        <w:rPr>
          <w:rFonts w:cs="Tahoma" w:asciiTheme="minorEastAsia" w:hAnsiTheme="minorEastAsia" w:eastAsiaTheme="minorEastAsia"/>
          <w:b/>
          <w:color w:val="auto"/>
          <w:kern w:val="0"/>
          <w:sz w:val="24"/>
          <w:szCs w:val="24"/>
          <w:highlight w:val="none"/>
        </w:rPr>
        <w:t>投标人</w:t>
      </w:r>
      <w:r>
        <w:rPr>
          <w:rFonts w:hint="eastAsia" w:cs="Tahoma" w:asciiTheme="minorEastAsia" w:hAnsiTheme="minorEastAsia" w:eastAsiaTheme="minorEastAsia"/>
          <w:b/>
          <w:color w:val="auto"/>
          <w:kern w:val="0"/>
          <w:sz w:val="24"/>
          <w:szCs w:val="24"/>
          <w:highlight w:val="none"/>
        </w:rPr>
        <w:t>有</w:t>
      </w:r>
      <w:r>
        <w:rPr>
          <w:rFonts w:cs="Tahoma" w:asciiTheme="minorEastAsia" w:hAnsiTheme="minorEastAsia" w:eastAsiaTheme="minorEastAsia"/>
          <w:b/>
          <w:color w:val="auto"/>
          <w:kern w:val="0"/>
          <w:sz w:val="24"/>
          <w:szCs w:val="24"/>
          <w:highlight w:val="none"/>
        </w:rPr>
        <w:t>相互串通</w:t>
      </w:r>
      <w:r>
        <w:rPr>
          <w:rFonts w:hint="eastAsia" w:cs="Tahoma" w:asciiTheme="minorEastAsia" w:hAnsiTheme="minorEastAsia" w:eastAsiaTheme="minorEastAsia"/>
          <w:b/>
          <w:color w:val="auto"/>
          <w:kern w:val="0"/>
          <w:sz w:val="24"/>
          <w:szCs w:val="24"/>
          <w:highlight w:val="none"/>
        </w:rPr>
        <w:t>行为</w:t>
      </w:r>
      <w:r>
        <w:rPr>
          <w:rFonts w:hint="eastAsia" w:asciiTheme="minorEastAsia" w:hAnsiTheme="minorEastAsia" w:eastAsiaTheme="minorEastAsia"/>
          <w:b/>
          <w:color w:val="auto"/>
          <w:sz w:val="24"/>
          <w:szCs w:val="24"/>
          <w:highlight w:val="none"/>
        </w:rPr>
        <w:t>的；</w:t>
      </w:r>
    </w:p>
    <w:p>
      <w:pPr>
        <w:pStyle w:val="18"/>
        <w:snapToGrid w:val="0"/>
        <w:spacing w:line="400" w:lineRule="exact"/>
        <w:ind w:firstLine="593" w:firstLineChars="246"/>
        <w:rPr>
          <w:rFonts w:asciiTheme="minorEastAsia" w:hAnsiTheme="minorEastAsia" w:eastAsiaTheme="minorEastAsia"/>
          <w:b/>
          <w:color w:val="auto"/>
          <w:sz w:val="24"/>
          <w:szCs w:val="24"/>
          <w:highlight w:val="none"/>
        </w:rPr>
      </w:pPr>
      <w:r>
        <w:rPr>
          <w:rFonts w:hint="eastAsia" w:asciiTheme="minorEastAsia" w:hAnsiTheme="minorEastAsia" w:eastAsiaTheme="minorEastAsia"/>
          <w:b/>
          <w:snapToGrid w:val="0"/>
          <w:color w:val="auto"/>
          <w:sz w:val="24"/>
          <w:szCs w:val="24"/>
          <w:highlight w:val="none"/>
        </w:rPr>
        <w:t>（8）</w:t>
      </w:r>
      <w:r>
        <w:rPr>
          <w:rFonts w:hint="eastAsia" w:ascii="宋体" w:hAnsi="宋体" w:eastAsia="宋体"/>
          <w:b/>
          <w:color w:val="auto"/>
          <w:sz w:val="24"/>
          <w:szCs w:val="24"/>
          <w:highlight w:val="none"/>
        </w:rPr>
        <w:t>法律、法规规定“投标无效”或招标文件规定的其他“投标无效”的情形的。</w:t>
      </w:r>
    </w:p>
    <w:p>
      <w:pPr>
        <w:pStyle w:val="18"/>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3.在技术评审时，如发现下列情形之一的，投标文件将被视为无效：</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（1）未提供或未如实提供投标服务的技术参数，或者投标文件标明的响应或偏离与事实不符或虚假投标的；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w:t>
      </w:r>
      <w:r>
        <w:rPr>
          <w:rFonts w:hint="eastAsia" w:asciiTheme="minorEastAsia" w:hAnsiTheme="minorEastAsia" w:eastAsiaTheme="minorEastAsia"/>
          <w:b/>
          <w:snapToGrid w:val="0"/>
          <w:color w:val="auto"/>
          <w:sz w:val="24"/>
          <w:szCs w:val="24"/>
          <w:highlight w:val="none"/>
        </w:rPr>
        <w:t>明显不符合招标文件要求的质量标准，或者与</w:t>
      </w:r>
      <w:r>
        <w:rPr>
          <w:rFonts w:hint="eastAsia" w:asciiTheme="minorEastAsia" w:hAnsiTheme="minorEastAsia" w:eastAsiaTheme="minorEastAsia"/>
          <w:b/>
          <w:color w:val="auto"/>
          <w:sz w:val="24"/>
          <w:szCs w:val="24"/>
          <w:highlight w:val="none"/>
        </w:rPr>
        <w:t>招标文件中标“★”的任何一项技术指标、主要功能项目或技术要求发生实质性负偏离的；</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snapToGrid w:val="0"/>
          <w:color w:val="auto"/>
          <w:sz w:val="24"/>
          <w:szCs w:val="24"/>
          <w:highlight w:val="none"/>
        </w:rPr>
        <w:t>（3）允许偏离的技术、性能指标或者辅助功能项目负偏离达</w:t>
      </w:r>
      <w:r>
        <w:rPr>
          <w:rFonts w:hint="eastAsia" w:asciiTheme="minorEastAsia" w:hAnsiTheme="minorEastAsia" w:eastAsiaTheme="minorEastAsia"/>
          <w:b/>
          <w:snapToGrid w:val="0"/>
          <w:color w:val="auto"/>
          <w:sz w:val="24"/>
          <w:szCs w:val="24"/>
          <w:highlight w:val="none"/>
          <w:u w:val="single"/>
          <w:lang w:val="en-US" w:eastAsia="zh-CN"/>
        </w:rPr>
        <w:t xml:space="preserve"> 3 </w:t>
      </w:r>
      <w:r>
        <w:rPr>
          <w:rFonts w:hint="eastAsia" w:asciiTheme="minorEastAsia" w:hAnsiTheme="minorEastAsia" w:eastAsiaTheme="minorEastAsia"/>
          <w:b/>
          <w:snapToGrid w:val="0"/>
          <w:color w:val="auto"/>
          <w:sz w:val="24"/>
          <w:szCs w:val="24"/>
          <w:highlight w:val="none"/>
        </w:rPr>
        <w:t>项以上（含</w:t>
      </w:r>
      <w:r>
        <w:rPr>
          <w:rFonts w:hint="eastAsia" w:asciiTheme="minorEastAsia" w:hAnsiTheme="minorEastAsia" w:eastAsiaTheme="minorEastAsia"/>
          <w:b/>
          <w:snapToGrid w:val="0"/>
          <w:color w:val="auto"/>
          <w:sz w:val="24"/>
          <w:szCs w:val="24"/>
          <w:highlight w:val="none"/>
          <w:u w:val="single"/>
          <w:lang w:eastAsia="zh-CN"/>
        </w:rPr>
        <w:t xml:space="preserve"> </w:t>
      </w:r>
      <w:r>
        <w:rPr>
          <w:rFonts w:hint="eastAsia" w:asciiTheme="minorEastAsia" w:hAnsiTheme="minorEastAsia" w:eastAsiaTheme="minorEastAsia"/>
          <w:b/>
          <w:snapToGrid w:val="0"/>
          <w:color w:val="auto"/>
          <w:sz w:val="24"/>
          <w:szCs w:val="24"/>
          <w:highlight w:val="none"/>
          <w:u w:val="single"/>
          <w:lang w:val="en-US" w:eastAsia="zh-CN"/>
        </w:rPr>
        <w:t xml:space="preserve">3 </w:t>
      </w:r>
      <w:r>
        <w:rPr>
          <w:rFonts w:hint="eastAsia" w:asciiTheme="minorEastAsia" w:hAnsiTheme="minorEastAsia" w:eastAsiaTheme="minorEastAsia"/>
          <w:b/>
          <w:snapToGrid w:val="0"/>
          <w:color w:val="auto"/>
          <w:sz w:val="24"/>
          <w:szCs w:val="24"/>
          <w:highlight w:val="none"/>
        </w:rPr>
        <w:t xml:space="preserve">项）的； </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（4）投标技术方案不明确，存在一个或一个以上备选（替代）投标方案的；</w:t>
      </w:r>
    </w:p>
    <w:p>
      <w:pPr>
        <w:pStyle w:val="18"/>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4.在报价评审时，如发现下列情形之一的，投标文件将被视为无效：</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（1）未采用人民币报价或者未按照招标文件标明的币种报价的；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（2）报价超出最高限价，或者超出总采购预算金额或分项采购预算（根据项目增减），采购人不能支付的；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（3）投标报价具有选择性，或者开标价格与投标文件承诺的优惠（折扣）价格不一致的；</w:t>
      </w:r>
    </w:p>
    <w:p>
      <w:pPr>
        <w:pStyle w:val="18"/>
        <w:snapToGrid w:val="0"/>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w:t>
      </w:r>
      <w:r>
        <w:rPr>
          <w:rFonts w:hint="eastAsia" w:cs="宋体" w:asciiTheme="minorEastAsia" w:hAnsiTheme="minorEastAsia" w:eastAsiaTheme="minorEastAsia"/>
          <w:b/>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472" w:firstLineChars="196"/>
        <w:outlineLvl w:val="0"/>
        <w:rPr>
          <w:rFonts w:asciiTheme="minorEastAsia" w:hAnsiTheme="minorEastAsia" w:eastAsiaTheme="minorEastAsia"/>
          <w:b/>
          <w:color w:val="auto"/>
          <w:sz w:val="24"/>
          <w:szCs w:val="24"/>
          <w:highlight w:val="none"/>
        </w:rPr>
      </w:pPr>
      <w:bookmarkStart w:id="78" w:name="_Toc24042"/>
      <w:bookmarkStart w:id="79" w:name="_Toc22379"/>
      <w:bookmarkStart w:id="80" w:name="_Toc31485"/>
      <w:r>
        <w:rPr>
          <w:rFonts w:hint="eastAsia" w:asciiTheme="minorEastAsia" w:hAnsiTheme="minorEastAsia" w:eastAsiaTheme="minorEastAsia"/>
          <w:b/>
          <w:color w:val="auto"/>
          <w:sz w:val="24"/>
          <w:szCs w:val="24"/>
          <w:highlight w:val="none"/>
        </w:rPr>
        <w:t>5.有下列情形之一的视为关联供应商参加同一合同项下政府采购活动，投标文件将被视为无效:</w:t>
      </w:r>
      <w:bookmarkEnd w:id="78"/>
      <w:bookmarkEnd w:id="79"/>
      <w:bookmarkEnd w:id="80"/>
    </w:p>
    <w:p>
      <w:pPr>
        <w:pStyle w:val="18"/>
        <w:snapToGrid w:val="0"/>
        <w:spacing w:line="400" w:lineRule="exact"/>
        <w:ind w:firstLine="472" w:firstLineChars="196"/>
        <w:outlineLvl w:val="0"/>
        <w:rPr>
          <w:rFonts w:asciiTheme="minorEastAsia" w:hAnsiTheme="minorEastAsia" w:eastAsiaTheme="minorEastAsia"/>
          <w:b/>
          <w:bCs/>
          <w:color w:val="auto"/>
          <w:sz w:val="24"/>
          <w:szCs w:val="24"/>
          <w:highlight w:val="none"/>
        </w:rPr>
      </w:pPr>
      <w:bookmarkStart w:id="81" w:name="_Toc31038"/>
      <w:bookmarkStart w:id="82" w:name="_Toc10318"/>
      <w:bookmarkStart w:id="83" w:name="_Toc1082"/>
      <w:r>
        <w:rPr>
          <w:rFonts w:hint="eastAsia" w:asciiTheme="minorEastAsia" w:hAnsiTheme="minorEastAsia" w:eastAsiaTheme="minorEastAsia"/>
          <w:b/>
          <w:bCs/>
          <w:color w:val="auto"/>
          <w:sz w:val="24"/>
          <w:szCs w:val="24"/>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81"/>
      <w:bookmarkEnd w:id="82"/>
      <w:bookmarkEnd w:id="83"/>
    </w:p>
    <w:p>
      <w:pPr>
        <w:pStyle w:val="18"/>
        <w:snapToGrid w:val="0"/>
        <w:spacing w:line="400" w:lineRule="exact"/>
        <w:ind w:firstLine="472" w:firstLineChars="196"/>
        <w:outlineLvl w:val="0"/>
        <w:rPr>
          <w:rFonts w:asciiTheme="minorEastAsia" w:hAnsiTheme="minorEastAsia" w:eastAsiaTheme="minorEastAsia"/>
          <w:b/>
          <w:color w:val="auto"/>
          <w:sz w:val="24"/>
          <w:szCs w:val="24"/>
          <w:highlight w:val="none"/>
        </w:rPr>
      </w:pPr>
      <w:bookmarkStart w:id="84" w:name="_Toc663"/>
      <w:bookmarkStart w:id="85" w:name="_Toc15410"/>
      <w:bookmarkStart w:id="86" w:name="_Toc32632"/>
      <w:r>
        <w:rPr>
          <w:rFonts w:hint="eastAsia" w:asciiTheme="minorEastAsia" w:hAnsiTheme="minorEastAsia" w:eastAsiaTheme="minorEastAsia"/>
          <w:b/>
          <w:color w:val="auto"/>
          <w:sz w:val="24"/>
          <w:szCs w:val="24"/>
          <w:highlight w:val="none"/>
        </w:rPr>
        <w:t>6. 有本须知总则特别说明（八）第5款情形之一的视为</w:t>
      </w:r>
      <w:r>
        <w:rPr>
          <w:rFonts w:asciiTheme="minorEastAsia" w:hAnsiTheme="minorEastAsia" w:eastAsiaTheme="minorEastAsia"/>
          <w:b/>
          <w:color w:val="auto"/>
          <w:sz w:val="24"/>
          <w:szCs w:val="24"/>
          <w:highlight w:val="none"/>
        </w:rPr>
        <w:t>投标人相互串通</w:t>
      </w:r>
      <w:r>
        <w:rPr>
          <w:rFonts w:hint="eastAsia" w:asciiTheme="minorEastAsia" w:hAnsiTheme="minorEastAsia" w:eastAsiaTheme="minorEastAsia"/>
          <w:b/>
          <w:color w:val="auto"/>
          <w:sz w:val="24"/>
          <w:szCs w:val="24"/>
          <w:highlight w:val="none"/>
        </w:rPr>
        <w:t>，投标文件将视为无效。</w:t>
      </w:r>
      <w:bookmarkEnd w:id="84"/>
      <w:bookmarkEnd w:id="85"/>
      <w:bookmarkEnd w:id="86"/>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（九）评标过程的监控</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 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⑵查询截止时点：中标通知书发出前；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color w:val="auto"/>
          <w:sz w:val="24"/>
          <w:szCs w:val="24"/>
          <w:highlight w:val="none"/>
        </w:rPr>
      </w:pPr>
      <w:bookmarkStart w:id="87" w:name="_Toc254970546"/>
      <w:bookmarkStart w:id="88" w:name="_Toc254970687"/>
      <w:r>
        <w:rPr>
          <w:rFonts w:hint="eastAsia" w:asciiTheme="minorEastAsia" w:hAnsiTheme="minorEastAsia" w:eastAsiaTheme="minorEastAsia"/>
          <w:b/>
          <w:color w:val="auto"/>
          <w:sz w:val="24"/>
          <w:szCs w:val="24"/>
          <w:highlight w:val="none"/>
        </w:rPr>
        <w:t>（十一）、评标结果</w:t>
      </w:r>
    </w:p>
    <w:bookmarkEnd w:id="87"/>
    <w:bookmarkEnd w:id="88"/>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color w:val="auto"/>
          <w:sz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2.中标供应商确定后，采购代理机构二个工作日内在原发布招标公告的</w:t>
      </w:r>
      <w:r>
        <w:rPr>
          <w:rFonts w:hint="eastAsia" w:cs="Arial" w:asciiTheme="minorEastAsia" w:hAnsiTheme="minorEastAsia" w:eastAsiaTheme="minorEastAsia"/>
          <w:color w:val="auto"/>
          <w:sz w:val="24"/>
          <w:highlight w:val="none"/>
        </w:rPr>
        <w:t>网</w:t>
      </w:r>
      <w:r>
        <w:rPr>
          <w:rFonts w:hint="eastAsia" w:asciiTheme="minorEastAsia" w:hAnsiTheme="minorEastAsia" w:eastAsiaTheme="minorEastAsia"/>
          <w:bCs/>
          <w:color w:val="auto"/>
          <w:sz w:val="24"/>
          <w:highlight w:val="none"/>
        </w:rPr>
        <w:t>上发布中标公告。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3.发布中标公告的同时，采购代理机构向中标供应商发出中标通知书（格式详见附件）。</w:t>
      </w:r>
    </w:p>
    <w:p>
      <w:pPr>
        <w:pStyle w:val="22"/>
        <w:snapToGrid w:val="0"/>
        <w:spacing w:line="360" w:lineRule="exact"/>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5.采购代理机构应当按照有关规定就采购人委托授权范围内的事项</w:t>
      </w:r>
      <w:r>
        <w:rPr>
          <w:rFonts w:hint="eastAsia" w:asciiTheme="minorEastAsia" w:hAnsiTheme="minorEastAsia" w:eastAsiaTheme="minorEastAsia"/>
          <w:bCs/>
          <w:color w:val="auto"/>
          <w:sz w:val="24"/>
          <w:szCs w:val="24"/>
          <w:highlight w:val="none"/>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6.采购代理机构无义务向未中标人退还其投标文件。</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（十二）废标和重新招标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1.在招标过程中，出现下列情形之一的，予以废标：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(3)投标人的报价均超过了总采购预算或分项采购预算(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sz w:val="24"/>
          <w:highlight w:val="none"/>
        </w:rPr>
        <w:t>)，采购人不能支付的；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630" w:firstLineChars="19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七、签订合同</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合同授予标准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bCs/>
          <w:color w:val="auto"/>
          <w:sz w:val="24"/>
          <w:szCs w:val="24"/>
          <w:highlight w:val="none"/>
        </w:rPr>
        <w:t>签订合同</w:t>
      </w:r>
    </w:p>
    <w:p>
      <w:pPr>
        <w:pStyle w:val="22"/>
        <w:spacing w:line="360" w:lineRule="exact"/>
        <w:ind w:firstLine="4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color w:val="auto"/>
          <w:sz w:val="24"/>
          <w:szCs w:val="24"/>
          <w:highlight w:val="none"/>
        </w:rPr>
        <w:t>采购人也可以重新开展采购活动。</w:t>
      </w:r>
    </w:p>
    <w:p>
      <w:pPr>
        <w:pStyle w:val="22"/>
        <w:spacing w:line="360" w:lineRule="exact"/>
        <w:ind w:firstLine="420"/>
        <w:rPr>
          <w:rFonts w:asciiTheme="minorEastAsia" w:hAnsiTheme="minorEastAsia" w:eastAsiaTheme="minorEastAsia"/>
          <w:b/>
          <w:color w:val="auto"/>
          <w:sz w:val="24"/>
          <w:szCs w:val="24"/>
          <w:highlight w:val="none"/>
        </w:rPr>
      </w:pPr>
    </w:p>
    <w:p>
      <w:pPr>
        <w:pStyle w:val="22"/>
        <w:snapToGrid w:val="0"/>
        <w:spacing w:line="360" w:lineRule="exact"/>
        <w:ind w:firstLine="315" w:firstLineChars="98"/>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八、其他事项</w:t>
      </w:r>
    </w:p>
    <w:p>
      <w:pPr>
        <w:pStyle w:val="22"/>
        <w:snapToGrid w:val="0"/>
        <w:spacing w:line="360" w:lineRule="exact"/>
        <w:outlineLvl w:val="0"/>
        <w:rPr>
          <w:rFonts w:asciiTheme="minorEastAsia" w:hAnsiTheme="minorEastAsia" w:eastAsiaTheme="minorEastAsia"/>
          <w:color w:val="auto"/>
          <w:sz w:val="24"/>
          <w:szCs w:val="24"/>
          <w:highlight w:val="none"/>
        </w:rPr>
      </w:pPr>
      <w:bookmarkStart w:id="89" w:name="_Toc9999"/>
      <w:bookmarkStart w:id="90" w:name="_Toc18115"/>
      <w:bookmarkStart w:id="91" w:name="_Toc16457"/>
      <w:r>
        <w:rPr>
          <w:rFonts w:hint="eastAsia" w:cs="Times New Roman" w:asciiTheme="minorEastAsia" w:hAnsiTheme="minorEastAsia" w:eastAsiaTheme="minorEastAsia"/>
          <w:color w:val="auto"/>
          <w:sz w:val="24"/>
          <w:szCs w:val="24"/>
          <w:highlight w:val="none"/>
        </w:rPr>
        <w:t>（一）</w:t>
      </w:r>
      <w:bookmarkEnd w:id="89"/>
      <w:bookmarkStart w:id="92" w:name="_Toc254970548"/>
      <w:bookmarkStart w:id="93" w:name="_Toc254970689"/>
      <w:r>
        <w:rPr>
          <w:rFonts w:hint="eastAsia" w:cs="Times New Roman" w:asciiTheme="minorEastAsia" w:hAnsiTheme="minorEastAsia" w:eastAsiaTheme="minorEastAsia"/>
          <w:color w:val="auto"/>
          <w:sz w:val="24"/>
          <w:szCs w:val="24"/>
          <w:highlight w:val="none"/>
        </w:rPr>
        <w:t>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bookmarkEnd w:id="90"/>
      <w:bookmarkEnd w:id="91"/>
    </w:p>
    <w:p>
      <w:pPr>
        <w:snapToGrid w:val="0"/>
        <w:spacing w:line="386"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44"/>
          <w:szCs w:val="44"/>
          <w:highlight w:val="none"/>
        </w:rPr>
      </w:pPr>
      <w:bookmarkStart w:id="94" w:name="_Toc16358"/>
      <w:bookmarkStart w:id="95" w:name="_Toc1718"/>
      <w:bookmarkStart w:id="96" w:name="_Toc16542"/>
      <w:r>
        <w:rPr>
          <w:rFonts w:hint="eastAsia" w:hAnsi="宋体"/>
          <w:b/>
          <w:color w:val="auto"/>
          <w:sz w:val="44"/>
          <w:szCs w:val="44"/>
          <w:highlight w:val="none"/>
        </w:rPr>
        <w:t>第四章  评标办法及评分标准</w:t>
      </w:r>
      <w:bookmarkEnd w:id="92"/>
      <w:bookmarkEnd w:id="93"/>
      <w:bookmarkEnd w:id="94"/>
      <w:bookmarkEnd w:id="95"/>
      <w:bookmarkEnd w:id="96"/>
    </w:p>
    <w:p>
      <w:pPr>
        <w:pStyle w:val="22"/>
        <w:outlineLvl w:val="0"/>
        <w:rPr>
          <w:rFonts w:hAnsi="宋体"/>
          <w:b/>
          <w:color w:val="auto"/>
          <w:highlight w:val="none"/>
        </w:rPr>
      </w:pPr>
      <w:bookmarkStart w:id="97" w:name="_Toc254970549"/>
      <w:bookmarkStart w:id="98" w:name="_Toc254970690"/>
    </w:p>
    <w:p>
      <w:pPr>
        <w:ind w:firstLine="420" w:firstLineChars="200"/>
        <w:jc w:val="center"/>
        <w:rPr>
          <w:rFonts w:ascii="宋体" w:hAnsi="宋体"/>
          <w:b/>
          <w:color w:val="auto"/>
          <w:sz w:val="32"/>
          <w:highlight w:val="none"/>
        </w:rPr>
      </w:pPr>
      <w:r>
        <w:rPr>
          <w:rFonts w:ascii="宋体" w:hAnsi="宋体"/>
          <w:color w:val="auto"/>
          <w:highlight w:val="none"/>
        </w:rPr>
        <w:br w:type="page"/>
      </w:r>
      <w:bookmarkEnd w:id="97"/>
      <w:bookmarkEnd w:id="98"/>
      <w:r>
        <w:rPr>
          <w:rFonts w:hint="eastAsia" w:ascii="宋体" w:hAnsi="宋体"/>
          <w:b/>
          <w:color w:val="auto"/>
          <w:sz w:val="32"/>
          <w:highlight w:val="none"/>
        </w:rPr>
        <w:t>评标方法和评标标准（综合评分法）</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（一）评标委员会以招标文件为依据，对投标文件进行评审，对投标人的投标报价、技术文件及商务文件等三部分内容按百分制打分，其中价格分10分，技术分60分，商务分30分</w:t>
      </w:r>
      <w:r>
        <w:rPr>
          <w:rFonts w:hint="eastAsia" w:asciiTheme="minorEastAsia" w:hAnsiTheme="minorEastAsia" w:eastAsiaTheme="minorEastAsia" w:cstheme="minorEastAsia"/>
          <w:color w:val="auto"/>
          <w:sz w:val="24"/>
          <w:highlight w:val="none"/>
          <w:lang w:eastAsia="zh-CN"/>
        </w:rPr>
        <w:t>，</w:t>
      </w:r>
      <w:r>
        <w:rPr>
          <w:rFonts w:hint="eastAsia" w:ascii="宋体" w:hAnsi="宋体" w:cs="宋体"/>
          <w:color w:val="auto"/>
          <w:sz w:val="24"/>
          <w:highlight w:val="none"/>
        </w:rPr>
        <w:t>诚信分6分（扣分）</w:t>
      </w:r>
      <w:r>
        <w:rPr>
          <w:rFonts w:hint="eastAsia" w:asciiTheme="minorEastAsia" w:hAnsiTheme="minorEastAsia" w:eastAsiaTheme="minorEastAsia" w:cstheme="minorEastAsia"/>
          <w:color w:val="auto"/>
          <w:sz w:val="24"/>
          <w:highlight w:val="none"/>
        </w:rPr>
        <w:t>。（评标时，对于带有主观因素的评分，由各评委独立进行评价、打分，不允许讨论。）</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（二）评分细则：（按四舍五入取至小数点后四位）</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1、价格分……………………………………………………………………10分</w:t>
      </w:r>
    </w:p>
    <w:p>
      <w:pPr>
        <w:pStyle w:val="22"/>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（1）对于非专门面向中小企业的项目，对小型和微型企业产品的价格给予</w:t>
      </w:r>
      <w:r>
        <w:rPr>
          <w:rFonts w:hint="eastAsia" w:asciiTheme="minorEastAsia" w:hAnsiTheme="minorEastAsia" w:eastAsiaTheme="minorEastAsia" w:cstheme="minorEastAsia"/>
          <w:color w:val="auto"/>
          <w:sz w:val="24"/>
          <w:szCs w:val="24"/>
          <w:highlight w:val="none"/>
          <w:shd w:val="pct10" w:color="auto" w:fill="FFFFFF"/>
        </w:rPr>
        <w:t>10%</w:t>
      </w:r>
      <w:r>
        <w:rPr>
          <w:rFonts w:hint="eastAsia" w:asciiTheme="minorEastAsia" w:hAnsiTheme="minorEastAsia" w:eastAsiaTheme="minorEastAsia" w:cstheme="minorEastAsia"/>
          <w:color w:val="auto"/>
          <w:sz w:val="24"/>
          <w:szCs w:val="24"/>
          <w:highlight w:val="none"/>
        </w:rPr>
        <w:t>的价格扣除，扣除后的价格为评标价，</w:t>
      </w:r>
      <w:r>
        <w:rPr>
          <w:rFonts w:hint="eastAsia" w:asciiTheme="minorEastAsia" w:hAnsiTheme="minorEastAsia" w:eastAsiaTheme="minorEastAsia" w:cstheme="minorEastAsia"/>
          <w:bCs/>
          <w:color w:val="auto"/>
          <w:sz w:val="24"/>
          <w:szCs w:val="24"/>
          <w:highlight w:val="none"/>
        </w:rPr>
        <w:t>即评标价＝投标报价×（1-10%）；（以投标人按“第六章 投标文件格式”要求提供的《报价表》和《</w:t>
      </w:r>
      <w:r>
        <w:rPr>
          <w:rFonts w:hint="eastAsia" w:asciiTheme="minorEastAsia" w:hAnsiTheme="minorEastAsia" w:eastAsiaTheme="minorEastAsia" w:cstheme="minorEastAsia"/>
          <w:color w:val="auto"/>
          <w:sz w:val="24"/>
          <w:szCs w:val="24"/>
          <w:highlight w:val="none"/>
        </w:rPr>
        <w:t>中小企业声明函</w:t>
      </w:r>
      <w:r>
        <w:rPr>
          <w:rFonts w:hint="eastAsia" w:asciiTheme="minorEastAsia" w:hAnsiTheme="minorEastAsia" w:eastAsiaTheme="minorEastAsia" w:cstheme="minorEastAsia"/>
          <w:bCs/>
          <w:color w:val="auto"/>
          <w:sz w:val="24"/>
          <w:szCs w:val="24"/>
          <w:highlight w:val="none"/>
        </w:rPr>
        <w:t>》为评分依据）</w:t>
      </w:r>
    </w:p>
    <w:p>
      <w:pPr>
        <w:pStyle w:val="22"/>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（2）对大中型企业和其他自然人、法人或者其他组织与小型、微型企业组成联合体，且联合体协议中约定小型、微型企业的协议合同金额占到联合体协议合同总金额30%以上的，给予</w:t>
      </w:r>
      <w:r>
        <w:rPr>
          <w:rFonts w:hint="eastAsia" w:asciiTheme="minorEastAsia" w:hAnsiTheme="minorEastAsia" w:eastAsiaTheme="minorEastAsia" w:cstheme="minorEastAsia"/>
          <w:color w:val="auto"/>
          <w:sz w:val="24"/>
          <w:szCs w:val="24"/>
          <w:highlight w:val="none"/>
          <w:shd w:val="pct10" w:color="auto" w:fill="FFFFFF"/>
        </w:rPr>
        <w:t>2%</w:t>
      </w:r>
      <w:r>
        <w:rPr>
          <w:rFonts w:hint="eastAsia" w:asciiTheme="minorEastAsia" w:hAnsiTheme="minorEastAsia" w:eastAsiaTheme="minorEastAsia" w:cstheme="minorEastAsia"/>
          <w:color w:val="auto"/>
          <w:sz w:val="24"/>
          <w:szCs w:val="24"/>
          <w:highlight w:val="none"/>
        </w:rPr>
        <w:t>的价格扣除，扣除后的价格为评标价，即评标价＝投标报价×（1-</w:t>
      </w:r>
      <w:r>
        <w:rPr>
          <w:rFonts w:hint="eastAsia" w:asciiTheme="minorEastAsia" w:hAnsiTheme="minorEastAsia" w:eastAsiaTheme="minorEastAsia" w:cstheme="minorEastAsia"/>
          <w:color w:val="auto"/>
          <w:sz w:val="24"/>
          <w:szCs w:val="24"/>
          <w:highlight w:val="none"/>
          <w:shd w:val="pct10" w:color="auto" w:fill="FFFFFF"/>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（以投标人按“第六章 投标文件格式”要求提供的《报价表》、《中小企业声明函》和《联合体协议书》为评分依据）</w:t>
      </w:r>
    </w:p>
    <w:p>
      <w:pPr>
        <w:pStyle w:val="22"/>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（3）投标产品提供企业按《关于政府采购支持监狱企业发展有关问题的通知》(财库[2014]68号)认定为监狱企业的，在政府采购活动中，监狱企业视同小型、微型企业。（以投标人按“第六章 投标文件格式”要求提供的《报价表》和由省级以上监狱管理局、戒毒管理局(含新疆生产建设兵团)出具的属于监狱企业的证明文件为评分依据。</w:t>
      </w:r>
    </w:p>
    <w:p>
      <w:pPr>
        <w:pStyle w:val="22"/>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六章 投标文件格式”要求提供的《报价表》和《残疾人福利性单位声明函》为评分依据）</w:t>
      </w:r>
    </w:p>
    <w:p>
      <w:pPr>
        <w:pStyle w:val="22"/>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（5）除上述情况外，评标价＝投标报价；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（6）价格分计算公式：</w:t>
      </w:r>
    </w:p>
    <w:p>
      <w:pPr>
        <w:pStyle w:val="18"/>
        <w:spacing w:line="3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投标人最低评标价金额</w:t>
      </w:r>
    </w:p>
    <w:p>
      <w:pPr>
        <w:pStyle w:val="18"/>
        <w:spacing w:line="3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pict>
          <v:line id="直线 10" o:spid="_x0000_s1026" o:spt="20" style="position:absolute;left:0pt;margin-left:110.25pt;margin-top:8.45pt;height:0pt;width:126pt;z-index:251660288;mso-width-relative:page;mso-height-relative:page;" coordsize="21600,21600">
            <v:path arrowok="t"/>
            <v:fill focussize="0,0"/>
            <v:stroke/>
            <v:imagedata o:title=""/>
            <o:lock v:ext="edit"/>
          </v:line>
        </w:pict>
      </w:r>
      <w:r>
        <w:rPr>
          <w:rFonts w:hint="eastAsia" w:asciiTheme="minorEastAsia" w:hAnsiTheme="minorEastAsia" w:eastAsiaTheme="minorEastAsia" w:cstheme="minorEastAsia"/>
          <w:color w:val="auto"/>
          <w:sz w:val="24"/>
          <w:szCs w:val="24"/>
          <w:highlight w:val="none"/>
        </w:rPr>
        <w:t>某投标人价格分 ＝                            ×　10分</w:t>
      </w:r>
    </w:p>
    <w:p>
      <w:pPr>
        <w:pStyle w:val="18"/>
        <w:spacing w:line="3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某投标人评标价金额</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2、技术分…………………………………………………………………………60分</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（1）测评技术方案分（满分20分）(不提供或不满足一档不得分。)</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一档（7分）：投标人提供的方案基本符合采购文件要求，与采购需求（非实质条款）有负偏离或漏项的，测评措施较能基本满足项目要求。</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档（14分）：投标人提供的方案符合采购文件要求，较详细描述了项目测评实现方式，方案可行，具有一定的先进性。能较详细描述投入本项目测评的主要内容、采用的测评的标准、测评方法。人员结构、任务分配，进度安排比较合理，能提供比较具体的质量保证措施。 </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档（20分）：投标人提供的方案，在满足二档的要求基础上，能详细描述投入项目测评的主要内容、采用的测评的标准、测评设备的型号、测评方法、保密承诺。人员结构科学，任务分配妥当，进度安排合理，能提供具体质量保证措施的，且措施合理、操作性强的。</w:t>
      </w:r>
    </w:p>
    <w:p>
      <w:pPr>
        <w:spacing w:line="4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（2）组织实施方案分（满分20分）(不提供或不满足一档不得分。)</w:t>
      </w:r>
    </w:p>
    <w:p>
      <w:pPr>
        <w:spacing w:line="4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一档（7分）：方案中人员结构、任务分配、进度安排等基本能提供质量保证措施的。</w:t>
      </w:r>
    </w:p>
    <w:p>
      <w:pPr>
        <w:spacing w:line="4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二档（14分）：方案中人员结构、任务分配，进度安排合理，能提供比较具体的质量保证措施的。</w:t>
      </w:r>
    </w:p>
    <w:p>
      <w:pPr>
        <w:spacing w:line="4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三档（20分）：方案中人员结构科学，任务分配妥当，进度安排合理，能提供具体质量保证措施，且措施合理、操作性强的。</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（3）售后服务方案分（满分20分）(不提供或不满足一档不得分。)</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一档（7分）：投标人承诺的响应时间、咨询保障服务、重要时期咨询服务、应急响应服务、文档管理咨询、售后服务方案基本完整，且投标人承诺为本项目投入10 人以上稳定的技术服务队伍。</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档（14分）：投标人承诺的响应时间、故障咨询服务、重要时期咨询服务、应急响应服务、文档管理咨询、售后服务方案比较完整、详细，故障处理咨询措施可行性、及时性、可操作性较强，重要时期咨询保障措施针对性、可行性较强，人员保障预案、资源协调预案考虑较周全，应急服务管理方案比较细致、全面，有比较详细的服务管理方案，提供的售后服务方案规范性及标准化程度较高。服务团队中至少包含高级测评师1人，中级测评师2人，网络安全应急响应工程师证书1人，且投标人承诺为本项目投入15 人以上稳定的技术服务队伍。（提供人员证书复印件）</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档（20分）：投标人承诺的响应时间、故障咨询服务、重要时期咨询服务、应急响应服务、文档管理咨询、售后服务方案非常完整、详细，故障处理咨询措施可行性、及时性、可操作性强，重要时期咨询保障措施针对性、可行性强，人员保障预案、资源协调预案考虑周全，应急服务管理方案非常细致、全面，有非常详细的服务管理方案，提供的售后服务方案规范性及标准化程度较高。服务团队中至少包含高级测评师2人，中级测评师5人，网络安全应急响应工程师证书2人，且投标人承诺为本项目投入20人以上稳定的技术服务队伍。（提供人员证书复印件）</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3、商务分…………………………………………………………………………30分</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（1）投标人2017年1月1日至今完成同类项目业绩，以合同或中标通知书复印件为准，每份得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分。（满分</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w:t>
      </w:r>
    </w:p>
    <w:p>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（2）投标人具有ISO14001环境管理体系认证证书，得3分。（满分3分）</w:t>
      </w:r>
    </w:p>
    <w:p>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）投标人具有有效的高新技术企业证书，提供证书复印件，得3分。（满分3分）</w:t>
      </w:r>
    </w:p>
    <w:p>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）投标人连续获得3年及以上公安部颁发的全国网络安全等级保护测评机构先进单位证明，得3分（满分3分）</w:t>
      </w:r>
    </w:p>
    <w:p>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）投标人在中国合格评定国家认可委员会组织的等级保护测评类能力验证中取得“满意”结果的，每份得1分。（满分3分）</w:t>
      </w:r>
    </w:p>
    <w:p>
      <w:pPr>
        <w:pStyle w:val="22"/>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）投标人本项目的实施人员具有公安部信息安全等级保护评估中心颁发CIIP-I证书，得2分。（满分2分）</w:t>
      </w:r>
    </w:p>
    <w:p>
      <w:pPr>
        <w:pStyle w:val="22"/>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）投标人本项目的实施人员公安部信息安全等级保护评估中心颁发CIIP-E证书，得2分。（满分2分）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）拟投入本项目的实施人员具有国家计算机网络应急技术处理协调中心颁发的《原创漏洞证明》的，提供证书复印件，每份得1分。（满分4分）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拟投入本项目的实施人员具有国家认证认可监督管理委员会认证认可技术研究所颁发的内审员（CCAI）证书，得2分。（满分4分）（上述人员中属招聘人员的须提供投标人为其缴纳的近半年内连续三个月社保证明）</w:t>
      </w:r>
    </w:p>
    <w:p>
      <w:pPr>
        <w:pStyle w:val="22"/>
        <w:spacing w:line="460" w:lineRule="atLeast"/>
        <w:ind w:firstLine="120" w:firstLineChars="50"/>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4、诚信分</w:t>
      </w:r>
    </w:p>
    <w:p>
      <w:pPr>
        <w:pStyle w:val="1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4"/>
          <w:sz w:val="24"/>
          <w:highlight w:val="none"/>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spacing w:line="460" w:lineRule="atLeas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（三）总得分＝</w:t>
      </w:r>
      <w:r>
        <w:rPr>
          <w:rFonts w:asciiTheme="minorEastAsia" w:hAnsiTheme="minorEastAsia" w:eastAsiaTheme="minorEastAsia" w:cstheme="minorEastAsia"/>
          <w:color w:val="auto"/>
          <w:sz w:val="24"/>
          <w:highlight w:val="none"/>
        </w:rPr>
        <w:t>1＋2＋3+4。</w:t>
      </w:r>
    </w:p>
    <w:p>
      <w:pPr>
        <w:tabs>
          <w:tab w:val="left" w:pos="6931"/>
        </w:tabs>
        <w:spacing w:line="460" w:lineRule="atLeast"/>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（四）推荐中标候选供应商原则：</w:t>
      </w:r>
      <w:r>
        <w:rPr>
          <w:rFonts w:asciiTheme="minorEastAsia" w:hAnsiTheme="minorEastAsia" w:eastAsiaTheme="minorEastAsia" w:cstheme="minorEastAsia"/>
          <w:color w:val="auto"/>
          <w:sz w:val="24"/>
          <w:highlight w:val="none"/>
        </w:rPr>
        <w:tab/>
      </w:r>
    </w:p>
    <w:p>
      <w:pPr>
        <w:spacing w:line="460" w:lineRule="atLeas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r>
        <w:rPr>
          <w:rFonts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bCs/>
          <w:color w:val="auto"/>
          <w:sz w:val="24"/>
          <w:highlight w:val="none"/>
        </w:rPr>
        <w:t>评标委员会</w:t>
      </w:r>
      <w:r>
        <w:rPr>
          <w:rFonts w:hint="eastAsia" w:asciiTheme="minorEastAsia" w:hAnsiTheme="minorEastAsia" w:eastAsiaTheme="minorEastAsia" w:cstheme="minorEastAsia"/>
          <w:b/>
          <w:color w:val="auto"/>
          <w:sz w:val="24"/>
          <w:highlight w:val="none"/>
        </w:rPr>
        <w:t>将按总得分由高到低排列中标候选供应商顺序（总得分相同时，依次按投标报价低优先、技术分高优先、质量保证期长优先、交付使用时间短优先、处理问题到达时间短优先的顺序排列</w:t>
      </w:r>
      <w:r>
        <w:rPr>
          <w:rFonts w:hint="eastAsia" w:asciiTheme="minorEastAsia" w:hAnsiTheme="minorEastAsia" w:eastAsiaTheme="minorEastAsia" w:cstheme="minorEastAsia"/>
          <w:b/>
          <w:color w:val="auto"/>
          <w:sz w:val="24"/>
          <w:highlight w:val="none"/>
          <w:lang w:eastAsia="zh-CN"/>
        </w:rPr>
        <w:t>，如最终还是相同的由评标委员会记名投票确定</w:t>
      </w:r>
      <w:r>
        <w:rPr>
          <w:rFonts w:hint="eastAsia" w:asciiTheme="minorEastAsia" w:hAnsiTheme="minorEastAsia" w:eastAsiaTheme="minorEastAsia" w:cstheme="minorEastAsia"/>
          <w:b/>
          <w:color w:val="auto"/>
          <w:sz w:val="24"/>
          <w:highlight w:val="none"/>
        </w:rPr>
        <w:t>），并依照次序确定中标单位。</w:t>
      </w:r>
    </w:p>
    <w:p>
      <w:pPr>
        <w:spacing w:line="460" w:lineRule="atLeas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r>
        <w:rPr>
          <w:rFonts w:asciiTheme="minorEastAsia" w:hAnsiTheme="minorEastAsia" w:eastAsiaTheme="minorEastAsia" w:cstheme="minorEastAsia"/>
          <w:b/>
          <w:color w:val="auto"/>
          <w:sz w:val="24"/>
          <w:highlight w:val="none"/>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22"/>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ind w:firstLine="883" w:firstLineChars="200"/>
        <w:jc w:val="center"/>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bCs/>
          <w:color w:val="auto"/>
          <w:sz w:val="44"/>
          <w:szCs w:val="44"/>
          <w:highlight w:val="none"/>
        </w:rPr>
      </w:pPr>
      <w:bookmarkStart w:id="99" w:name="_Toc23065"/>
      <w:bookmarkStart w:id="100" w:name="_Toc11727"/>
      <w:bookmarkStart w:id="101" w:name="_Toc6368"/>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99"/>
      <w:bookmarkEnd w:id="100"/>
      <w:bookmarkEnd w:id="101"/>
    </w:p>
    <w:p>
      <w:pPr>
        <w:pStyle w:val="22"/>
        <w:jc w:val="center"/>
        <w:rPr>
          <w:rFonts w:hAnsi="宋体"/>
          <w:b/>
          <w:color w:val="auto"/>
          <w:sz w:val="52"/>
          <w:szCs w:val="52"/>
          <w:highlight w:val="none"/>
        </w:rPr>
      </w:pPr>
      <w:r>
        <w:rPr>
          <w:rFonts w:hAnsi="宋体"/>
          <w:b/>
          <w:bCs/>
          <w:color w:val="auto"/>
          <w:sz w:val="44"/>
          <w:szCs w:val="44"/>
          <w:highlight w:val="none"/>
        </w:rPr>
        <w:br w:type="page"/>
      </w:r>
      <w:r>
        <w:rPr>
          <w:rFonts w:hint="eastAsia" w:hAnsi="宋体"/>
          <w:b/>
          <w:color w:val="auto"/>
          <w:sz w:val="52"/>
          <w:szCs w:val="52"/>
          <w:highlight w:val="none"/>
        </w:rPr>
        <w:t>政府采购合同</w:t>
      </w:r>
    </w:p>
    <w:p>
      <w:pPr>
        <w:pStyle w:val="22"/>
        <w:rPr>
          <w:rFonts w:hAnsi="宋体"/>
          <w:color w:val="auto"/>
          <w:highlight w:val="none"/>
        </w:rPr>
      </w:pPr>
    </w:p>
    <w:p>
      <w:pPr>
        <w:pStyle w:val="22"/>
        <w:rPr>
          <w:rFonts w:hAnsi="宋体"/>
          <w:color w:val="auto"/>
          <w:highlight w:val="none"/>
        </w:rPr>
      </w:pPr>
    </w:p>
    <w:p>
      <w:pPr>
        <w:pStyle w:val="22"/>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2"/>
        <w:spacing w:line="340" w:lineRule="exact"/>
        <w:ind w:firstLine="1590" w:firstLineChars="495"/>
        <w:rPr>
          <w:rFonts w:hAnsi="宋体"/>
          <w:b/>
          <w:color w:val="auto"/>
          <w:sz w:val="32"/>
          <w:szCs w:val="32"/>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2"/>
        <w:jc w:val="center"/>
        <w:rPr>
          <w:rFonts w:hAnsi="宋体"/>
          <w:color w:val="auto"/>
          <w:highlight w:val="none"/>
        </w:rPr>
      </w:pPr>
      <w:r>
        <w:rPr>
          <w:rFonts w:hint="eastAsia" w:hAnsi="宋体"/>
          <w:color w:val="auto"/>
          <w:highlight w:val="none"/>
        </w:rPr>
        <w:t xml:space="preserve"> </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2"/>
        <w:jc w:val="center"/>
        <w:rPr>
          <w:rFonts w:hAnsi="宋体"/>
          <w:color w:val="auto"/>
          <w:highlight w:val="none"/>
        </w:rPr>
      </w:pPr>
    </w:p>
    <w:p>
      <w:pPr>
        <w:pStyle w:val="22"/>
        <w:rPr>
          <w:rFonts w:hAnsi="宋体"/>
          <w:color w:val="auto"/>
          <w:highlight w:val="none"/>
        </w:rPr>
      </w:pPr>
      <w:r>
        <w:rPr>
          <w:rFonts w:hint="eastAsia" w:hAnsi="宋体"/>
          <w:color w:val="auto"/>
          <w:highlight w:val="none"/>
        </w:rPr>
        <w:t xml:space="preserve">   </w:t>
      </w:r>
    </w:p>
    <w:p>
      <w:pPr>
        <w:rPr>
          <w:b/>
          <w:color w:val="auto"/>
          <w:sz w:val="30"/>
          <w:szCs w:val="30"/>
          <w:highlight w:val="none"/>
        </w:rPr>
      </w:pPr>
      <w:r>
        <w:rPr>
          <w:rFonts w:ascii="黑体" w:hAnsi="宋体" w:eastAsia="黑体"/>
          <w:b/>
          <w:color w:val="auto"/>
          <w:sz w:val="44"/>
          <w:szCs w:val="44"/>
          <w:highlight w:val="none"/>
        </w:rPr>
        <w:br w:type="page"/>
      </w:r>
      <w:r>
        <w:rPr>
          <w:rFonts w:hint="eastAsia"/>
          <w:b/>
          <w:color w:val="auto"/>
          <w:sz w:val="30"/>
          <w:szCs w:val="30"/>
          <w:highlight w:val="none"/>
        </w:rPr>
        <w:t>南宁市政府采购合同书</w:t>
      </w:r>
    </w:p>
    <w:p>
      <w:pPr>
        <w:rPr>
          <w:b/>
          <w:color w:val="auto"/>
          <w:sz w:val="30"/>
          <w:szCs w:val="30"/>
          <w:highlight w:val="none"/>
        </w:rPr>
      </w:pPr>
      <w:r>
        <w:rPr>
          <w:rFonts w:hint="eastAsia"/>
          <w:color w:val="auto"/>
          <w:sz w:val="30"/>
          <w:szCs w:val="30"/>
          <w:highlight w:val="none"/>
        </w:rPr>
        <w:t>二、补充协议（如有请提供）</w:t>
      </w:r>
    </w:p>
    <w:p>
      <w:pPr>
        <w:rPr>
          <w:b/>
          <w:color w:val="auto"/>
          <w:sz w:val="30"/>
          <w:szCs w:val="30"/>
          <w:highlight w:val="none"/>
        </w:rPr>
      </w:pPr>
      <w:r>
        <w:rPr>
          <w:rFonts w:hint="eastAsia"/>
          <w:b/>
          <w:color w:val="auto"/>
          <w:sz w:val="30"/>
          <w:szCs w:val="30"/>
          <w:highlight w:val="none"/>
        </w:rPr>
        <w:t>三、合同附件</w:t>
      </w:r>
    </w:p>
    <w:p>
      <w:pPr>
        <w:rPr>
          <w:rFonts w:ascii="宋体" w:hAnsi="宋体"/>
          <w:color w:val="auto"/>
          <w:sz w:val="32"/>
          <w:szCs w:val="32"/>
          <w:highlight w:val="none"/>
        </w:rPr>
      </w:pPr>
      <w:r>
        <w:rPr>
          <w:rFonts w:hint="eastAsia" w:ascii="宋体" w:hAnsi="宋体"/>
          <w:color w:val="auto"/>
          <w:sz w:val="32"/>
          <w:szCs w:val="32"/>
          <w:highlight w:val="none"/>
        </w:rPr>
        <w:t>1、中标通知书</w:t>
      </w:r>
    </w:p>
    <w:p>
      <w:pPr>
        <w:rPr>
          <w:rFonts w:ascii="宋体" w:hAnsi="宋体"/>
          <w:color w:val="auto"/>
          <w:sz w:val="32"/>
          <w:szCs w:val="32"/>
          <w:highlight w:val="none"/>
        </w:rPr>
      </w:pPr>
      <w:r>
        <w:rPr>
          <w:rFonts w:hint="eastAsia" w:ascii="宋体" w:hAnsi="宋体"/>
          <w:color w:val="auto"/>
          <w:sz w:val="32"/>
          <w:szCs w:val="32"/>
          <w:highlight w:val="none"/>
        </w:rPr>
        <w:t>2、招标文件服务需求一览表</w:t>
      </w:r>
    </w:p>
    <w:p>
      <w:pPr>
        <w:rPr>
          <w:rFonts w:ascii="宋体" w:hAnsi="宋体"/>
          <w:color w:val="auto"/>
          <w:sz w:val="32"/>
          <w:szCs w:val="32"/>
          <w:highlight w:val="none"/>
        </w:rPr>
      </w:pPr>
      <w:r>
        <w:rPr>
          <w:rFonts w:hint="eastAsia" w:ascii="宋体" w:hAnsi="宋体"/>
          <w:color w:val="auto"/>
          <w:sz w:val="32"/>
          <w:szCs w:val="32"/>
          <w:highlight w:val="none"/>
        </w:rPr>
        <w:t>3、招标文件的更改通知（如有）</w:t>
      </w:r>
    </w:p>
    <w:p>
      <w:pPr>
        <w:rPr>
          <w:rFonts w:ascii="宋体" w:hAnsi="宋体"/>
          <w:color w:val="auto"/>
          <w:sz w:val="32"/>
          <w:szCs w:val="32"/>
          <w:highlight w:val="none"/>
        </w:rPr>
      </w:pPr>
      <w:r>
        <w:rPr>
          <w:rFonts w:hint="eastAsia" w:ascii="宋体" w:hAnsi="宋体"/>
          <w:color w:val="auto"/>
          <w:sz w:val="32"/>
          <w:szCs w:val="32"/>
          <w:highlight w:val="none"/>
        </w:rPr>
        <w:t>4、投标函</w:t>
      </w:r>
    </w:p>
    <w:p>
      <w:pPr>
        <w:rPr>
          <w:rFonts w:ascii="宋体" w:hAnsi="宋体"/>
          <w:color w:val="auto"/>
          <w:sz w:val="32"/>
          <w:szCs w:val="32"/>
          <w:highlight w:val="none"/>
        </w:rPr>
      </w:pPr>
      <w:r>
        <w:rPr>
          <w:rFonts w:hint="eastAsia" w:ascii="宋体" w:hAnsi="宋体"/>
          <w:color w:val="auto"/>
          <w:sz w:val="32"/>
          <w:szCs w:val="32"/>
          <w:highlight w:val="none"/>
        </w:rPr>
        <w:t>5、报价表</w:t>
      </w:r>
    </w:p>
    <w:p>
      <w:pPr>
        <w:rPr>
          <w:rFonts w:ascii="宋体" w:hAnsi="宋体"/>
          <w:color w:val="auto"/>
          <w:sz w:val="32"/>
          <w:szCs w:val="32"/>
          <w:highlight w:val="none"/>
        </w:rPr>
      </w:pPr>
      <w:r>
        <w:rPr>
          <w:rFonts w:hint="eastAsia" w:ascii="宋体" w:hAnsi="宋体"/>
          <w:color w:val="auto"/>
          <w:sz w:val="32"/>
          <w:szCs w:val="32"/>
          <w:highlight w:val="none"/>
        </w:rPr>
        <w:t>6、投标服务技术资料表</w:t>
      </w:r>
    </w:p>
    <w:p>
      <w:pPr>
        <w:rPr>
          <w:rFonts w:ascii="宋体" w:hAnsi="宋体"/>
          <w:color w:val="auto"/>
          <w:sz w:val="32"/>
          <w:szCs w:val="32"/>
          <w:highlight w:val="none"/>
        </w:rPr>
      </w:pPr>
      <w:r>
        <w:rPr>
          <w:rFonts w:hint="eastAsia" w:ascii="宋体" w:hAnsi="宋体"/>
          <w:color w:val="auto"/>
          <w:sz w:val="32"/>
          <w:szCs w:val="32"/>
          <w:highlight w:val="none"/>
        </w:rPr>
        <w:t>7、商务条款偏离表</w:t>
      </w:r>
    </w:p>
    <w:p>
      <w:pPr>
        <w:rPr>
          <w:rFonts w:ascii="宋体" w:hAnsi="宋体"/>
          <w:color w:val="auto"/>
          <w:sz w:val="32"/>
          <w:szCs w:val="32"/>
          <w:highlight w:val="none"/>
        </w:rPr>
      </w:pPr>
      <w:r>
        <w:rPr>
          <w:rFonts w:hint="eastAsia" w:ascii="宋体" w:hAnsi="宋体"/>
          <w:color w:val="auto"/>
          <w:sz w:val="32"/>
          <w:szCs w:val="32"/>
          <w:highlight w:val="none"/>
        </w:rPr>
        <w:t>8、中标供应商澄清函（如有请提供）</w:t>
      </w:r>
    </w:p>
    <w:p>
      <w:pPr>
        <w:rPr>
          <w:rFonts w:ascii="宋体" w:hAnsi="宋体"/>
          <w:b/>
          <w:bCs/>
          <w:color w:val="auto"/>
          <w:sz w:val="32"/>
          <w:szCs w:val="32"/>
          <w:highlight w:val="none"/>
        </w:rPr>
      </w:pPr>
      <w:r>
        <w:rPr>
          <w:rFonts w:hint="eastAsia" w:ascii="宋体" w:hAnsi="宋体"/>
          <w:color w:val="auto"/>
          <w:sz w:val="32"/>
          <w:szCs w:val="32"/>
          <w:highlight w:val="none"/>
        </w:rPr>
        <w:t>9、其他与本合同相关的资料（如有请提供）</w:t>
      </w:r>
      <w:r>
        <w:rPr>
          <w:rFonts w:hint="eastAsia" w:ascii="宋体" w:hAnsi="宋体"/>
          <w:b/>
          <w:bCs/>
          <w:color w:val="auto"/>
          <w:sz w:val="32"/>
          <w:szCs w:val="32"/>
          <w:highlight w:val="none"/>
        </w:rPr>
        <w:br w:type="page"/>
      </w:r>
    </w:p>
    <w:p>
      <w:pPr>
        <w:spacing w:line="360" w:lineRule="auto"/>
        <w:jc w:val="center"/>
        <w:rPr>
          <w:rFonts w:ascii="宋体" w:hAnsi="宋体"/>
          <w:b/>
          <w:bCs/>
          <w:color w:val="auto"/>
          <w:sz w:val="30"/>
          <w:szCs w:val="30"/>
          <w:highlight w:val="none"/>
        </w:rPr>
      </w:pPr>
      <w:r>
        <w:rPr>
          <w:rFonts w:hint="eastAsia"/>
          <w:b/>
          <w:color w:val="auto"/>
          <w:sz w:val="30"/>
          <w:szCs w:val="30"/>
          <w:highlight w:val="none"/>
        </w:rPr>
        <w:t>南宁市政府采购合同书</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项目名称：</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项目编号：</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2"/>
        <w:spacing w:line="360" w:lineRule="auto"/>
        <w:rPr>
          <w:rFonts w:hAnsi="宋体"/>
          <w:b/>
          <w:color w:val="auto"/>
          <w:highlight w:val="none"/>
        </w:rPr>
      </w:pPr>
      <w:r>
        <w:rPr>
          <w:rFonts w:hint="eastAsia" w:hAnsi="宋体"/>
          <w:b/>
          <w:color w:val="auto"/>
          <w:highlight w:val="none"/>
        </w:rPr>
        <w:t xml:space="preserve">    </w:t>
      </w:r>
    </w:p>
    <w:p>
      <w:pPr>
        <w:pStyle w:val="22"/>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日南宁市政府采购项目的采购结果，甲方接受乙方对本项目的投标，甲、乙双方同意签署本合同（以下简称合同）。</w:t>
      </w:r>
    </w:p>
    <w:p>
      <w:pPr>
        <w:pStyle w:val="22"/>
        <w:spacing w:line="360" w:lineRule="auto"/>
        <w:rPr>
          <w:rFonts w:hAnsi="宋体"/>
          <w:b/>
          <w:color w:val="auto"/>
          <w:highlight w:val="none"/>
        </w:rPr>
      </w:pPr>
    </w:p>
    <w:p>
      <w:pPr>
        <w:pStyle w:val="22"/>
        <w:spacing w:line="360" w:lineRule="auto"/>
        <w:rPr>
          <w:rFonts w:hAnsi="宋体"/>
          <w:b/>
          <w:bCs/>
          <w:color w:val="auto"/>
          <w:sz w:val="24"/>
          <w:highlight w:val="none"/>
        </w:rPr>
      </w:pPr>
      <w:r>
        <w:rPr>
          <w:rFonts w:hint="eastAsia" w:hAnsi="宋体"/>
          <w:b/>
          <w:bCs/>
          <w:color w:val="auto"/>
          <w:sz w:val="24"/>
          <w:highlight w:val="none"/>
        </w:rPr>
        <w:t>1.  采购内容</w:t>
      </w:r>
    </w:p>
    <w:p>
      <w:pPr>
        <w:pStyle w:val="22"/>
        <w:tabs>
          <w:tab w:val="left" w:pos="5220"/>
        </w:tabs>
        <w:spacing w:line="360" w:lineRule="auto"/>
        <w:ind w:firstLine="420" w:firstLineChars="200"/>
        <w:rPr>
          <w:rFonts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详见合同附件中报价表</w:t>
      </w:r>
    </w:p>
    <w:p>
      <w:pPr>
        <w:pStyle w:val="22"/>
        <w:tabs>
          <w:tab w:val="left" w:pos="5220"/>
        </w:tabs>
        <w:spacing w:line="360" w:lineRule="auto"/>
        <w:ind w:firstLine="420" w:firstLineChars="200"/>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详见合同附件中报价表</w:t>
      </w:r>
    </w:p>
    <w:p>
      <w:pPr>
        <w:pStyle w:val="22"/>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color w:val="auto"/>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详见合同附件中投标服务技术资料表</w:t>
      </w:r>
    </w:p>
    <w:p>
      <w:pPr>
        <w:pStyle w:val="22"/>
        <w:tabs>
          <w:tab w:val="left" w:pos="5145"/>
        </w:tabs>
        <w:spacing w:line="360" w:lineRule="auto"/>
        <w:rPr>
          <w:rFonts w:hAnsi="宋体"/>
          <w:b/>
          <w:bCs/>
          <w:color w:val="auto"/>
          <w:sz w:val="24"/>
          <w:highlight w:val="none"/>
        </w:rPr>
      </w:pPr>
      <w:r>
        <w:rPr>
          <w:rFonts w:hint="eastAsia" w:hAnsi="宋体"/>
          <w:b/>
          <w:bCs/>
          <w:color w:val="auto"/>
          <w:sz w:val="24"/>
          <w:highlight w:val="none"/>
        </w:rPr>
        <w:t>2.  合同金额</w:t>
      </w:r>
    </w:p>
    <w:p>
      <w:pPr>
        <w:pStyle w:val="22"/>
        <w:spacing w:line="360" w:lineRule="auto"/>
        <w:ind w:firstLine="411" w:firstLineChars="196"/>
        <w:rPr>
          <w:rFonts w:hAnsi="宋体"/>
          <w:b/>
          <w:bCs/>
          <w:color w:val="auto"/>
          <w:sz w:val="24"/>
          <w:highlight w:val="none"/>
        </w:rPr>
      </w:pPr>
      <w:r>
        <w:rPr>
          <w:rFonts w:hint="eastAsia" w:hAnsi="宋体"/>
          <w:color w:val="auto"/>
          <w:highlight w:val="none"/>
        </w:rPr>
        <w:t>2.1 本合同总金额为（大写）人民币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元）。（详见报价表）</w:t>
      </w:r>
    </w:p>
    <w:p>
      <w:pPr>
        <w:pStyle w:val="22"/>
        <w:tabs>
          <w:tab w:val="left" w:pos="5940"/>
        </w:tabs>
        <w:spacing w:line="360" w:lineRule="auto"/>
        <w:rPr>
          <w:rFonts w:hAnsi="宋体"/>
          <w:b/>
          <w:bCs/>
          <w:color w:val="auto"/>
          <w:sz w:val="24"/>
          <w:highlight w:val="none"/>
        </w:rPr>
      </w:pPr>
      <w:r>
        <w:rPr>
          <w:rFonts w:hint="eastAsia" w:hAnsi="宋体"/>
          <w:b/>
          <w:bCs/>
          <w:color w:val="auto"/>
          <w:sz w:val="24"/>
          <w:highlight w:val="none"/>
        </w:rPr>
        <w:t>3.  提交服务成果时间和地点</w:t>
      </w:r>
    </w:p>
    <w:p>
      <w:pPr>
        <w:pStyle w:val="22"/>
        <w:tabs>
          <w:tab w:val="left" w:pos="5250"/>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r>
        <w:rPr>
          <w:rFonts w:hint="eastAsia" w:hAnsi="宋体"/>
          <w:color w:val="auto"/>
          <w:highlight w:val="none"/>
          <w:u w:val="single"/>
        </w:rPr>
        <w:t xml:space="preserve">                        </w:t>
      </w:r>
    </w:p>
    <w:p>
      <w:pPr>
        <w:pStyle w:val="22"/>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r>
        <w:rPr>
          <w:rFonts w:hint="eastAsia" w:hAnsi="宋体"/>
          <w:color w:val="auto"/>
          <w:highlight w:val="none"/>
          <w:u w:val="single"/>
        </w:rPr>
        <w:t xml:space="preserve">                        </w:t>
      </w:r>
    </w:p>
    <w:p>
      <w:pPr>
        <w:pStyle w:val="22"/>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p>
    <w:p>
      <w:pPr>
        <w:pStyle w:val="22"/>
        <w:spacing w:line="360" w:lineRule="auto"/>
        <w:ind w:left="410" w:hanging="410" w:hangingChars="170"/>
        <w:rPr>
          <w:rFonts w:hAnsi="宋体"/>
          <w:b/>
          <w:color w:val="auto"/>
          <w:highlight w:val="none"/>
        </w:rPr>
      </w:pPr>
      <w:r>
        <w:rPr>
          <w:rFonts w:hint="eastAsia" w:hAnsi="宋体"/>
          <w:b/>
          <w:bCs/>
          <w:color w:val="auto"/>
          <w:sz w:val="24"/>
          <w:highlight w:val="none"/>
        </w:rPr>
        <w:t>4.  履约保证金</w:t>
      </w:r>
    </w:p>
    <w:p>
      <w:pPr>
        <w:pStyle w:val="22"/>
        <w:spacing w:line="360" w:lineRule="auto"/>
        <w:ind w:left="359" w:hanging="359" w:hangingChars="171"/>
        <w:rPr>
          <w:rFonts w:hAnsi="宋体"/>
          <w:color w:val="auto"/>
          <w:highlight w:val="none"/>
        </w:rPr>
      </w:pPr>
      <w:r>
        <w:rPr>
          <w:rFonts w:hint="eastAsia" w:hAnsi="宋体"/>
          <w:color w:val="auto"/>
          <w:highlight w:val="none"/>
        </w:rPr>
        <w:t>本项目无须交纳履约保证金。</w:t>
      </w:r>
    </w:p>
    <w:p>
      <w:pPr>
        <w:pStyle w:val="22"/>
        <w:spacing w:line="360" w:lineRule="auto"/>
        <w:ind w:left="412" w:hanging="412" w:hangingChars="171"/>
        <w:rPr>
          <w:rFonts w:hAnsi="宋体"/>
          <w:b/>
          <w:color w:val="auto"/>
          <w:highlight w:val="none"/>
        </w:rPr>
      </w:pPr>
      <w:r>
        <w:rPr>
          <w:rFonts w:hint="eastAsia" w:hAnsi="宋体"/>
          <w:b/>
          <w:bCs/>
          <w:color w:val="auto"/>
          <w:sz w:val="24"/>
          <w:highlight w:val="none"/>
        </w:rPr>
        <w:t>5.  产权</w:t>
      </w:r>
    </w:p>
    <w:p>
      <w:pPr>
        <w:pStyle w:val="22"/>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2"/>
        <w:spacing w:line="360" w:lineRule="auto"/>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Ansi="宋体"/>
          <w:b/>
          <w:color w:val="auto"/>
          <w:highlight w:val="none"/>
        </w:rPr>
      </w:pPr>
      <w:r>
        <w:rPr>
          <w:rFonts w:hint="eastAsia" w:hAnsi="宋体"/>
          <w:b/>
          <w:bCs/>
          <w:color w:val="auto"/>
          <w:sz w:val="24"/>
          <w:highlight w:val="none"/>
        </w:rPr>
        <w:t>6.  技术资料</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甲方应向乙方提供提交服务成果所必需的有关数据、资料等。</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360" w:lineRule="auto"/>
        <w:rPr>
          <w:rFonts w:hAnsi="宋体"/>
          <w:b/>
          <w:bCs/>
          <w:color w:val="auto"/>
          <w:sz w:val="24"/>
          <w:highlight w:val="none"/>
        </w:rPr>
      </w:pPr>
      <w:r>
        <w:rPr>
          <w:rFonts w:hint="eastAsia" w:hAnsi="宋体"/>
          <w:b/>
          <w:bCs/>
          <w:color w:val="auto"/>
          <w:sz w:val="24"/>
          <w:highlight w:val="none"/>
        </w:rPr>
        <w:t>7.  验收</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2"/>
        <w:spacing w:line="360" w:lineRule="auto"/>
        <w:rPr>
          <w:rFonts w:hAnsi="宋体"/>
          <w:b/>
          <w:bCs/>
          <w:color w:val="auto"/>
          <w:sz w:val="24"/>
          <w:highlight w:val="none"/>
        </w:rPr>
      </w:pPr>
      <w:r>
        <w:rPr>
          <w:rFonts w:hint="eastAsia" w:hAnsi="宋体"/>
          <w:b/>
          <w:bCs/>
          <w:color w:val="auto"/>
          <w:sz w:val="24"/>
          <w:highlight w:val="none"/>
        </w:rPr>
        <w:t>8.  合同款支付</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bCs/>
          <w:color w:val="auto"/>
          <w:highlight w:val="none"/>
        </w:rPr>
        <w:t>8.1 付款方式：</w:t>
      </w:r>
      <w:r>
        <w:rPr>
          <w:rFonts w:hint="eastAsia" w:hAnsi="宋体"/>
          <w:bCs/>
          <w:color w:val="auto"/>
          <w:highlight w:val="none"/>
          <w:u w:val="single"/>
        </w:rPr>
        <w:t xml:space="preserve">                               </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8.3 政府采购监督管理部门在处理投诉事项期间，可以视具体情况书面通知采购人暂停采购活动</w:t>
      </w:r>
      <w:r>
        <w:rPr>
          <w:rFonts w:hint="eastAsia" w:hAnsi="宋体"/>
          <w:bCs/>
          <w:color w:val="auto"/>
          <w:highlight w:val="none"/>
        </w:rPr>
        <w:t>，并延期支付合同款。</w:t>
      </w:r>
    </w:p>
    <w:p>
      <w:pPr>
        <w:pStyle w:val="22"/>
        <w:spacing w:line="360" w:lineRule="auto"/>
        <w:rPr>
          <w:rFonts w:hAnsi="宋体"/>
          <w:b/>
          <w:bCs/>
          <w:color w:val="auto"/>
          <w:sz w:val="24"/>
          <w:highlight w:val="none"/>
        </w:rPr>
      </w:pPr>
      <w:r>
        <w:rPr>
          <w:rFonts w:hint="eastAsia" w:hAnsi="宋体"/>
          <w:b/>
          <w:bCs/>
          <w:color w:val="auto"/>
          <w:sz w:val="24"/>
          <w:highlight w:val="none"/>
        </w:rPr>
        <w:t>9.  售后服务要求</w:t>
      </w:r>
    </w:p>
    <w:p>
      <w:pPr>
        <w:pStyle w:val="22"/>
        <w:spacing w:line="360" w:lineRule="auto"/>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22"/>
        <w:spacing w:line="360" w:lineRule="auto"/>
        <w:ind w:firstLine="420" w:firstLineChars="200"/>
        <w:rPr>
          <w:rFonts w:hAnsi="宋体"/>
          <w:color w:val="auto"/>
          <w:highlight w:val="none"/>
        </w:rPr>
      </w:pPr>
      <w:r>
        <w:rPr>
          <w:rFonts w:hint="eastAsia" w:hAnsi="宋体"/>
          <w:color w:val="auto"/>
          <w:highlight w:val="none"/>
        </w:rPr>
        <w:t>9.2 在本合同第9.1项约定的质量保证期内，乙方应对服务出现的问题负责处理解决并承担一切费用。</w:t>
      </w:r>
    </w:p>
    <w:p>
      <w:pPr>
        <w:pStyle w:val="22"/>
        <w:tabs>
          <w:tab w:val="left" w:pos="5250"/>
        </w:tabs>
        <w:spacing w:line="360" w:lineRule="auto"/>
        <w:ind w:firstLine="420" w:firstLineChars="200"/>
        <w:rPr>
          <w:rFonts w:hAnsi="宋体"/>
          <w:color w:val="auto"/>
          <w:highlight w:val="none"/>
          <w:u w:val="single"/>
        </w:rPr>
      </w:pPr>
      <w:r>
        <w:rPr>
          <w:rFonts w:hint="eastAsia" w:hAnsi="宋体"/>
          <w:color w:val="auto"/>
          <w:highlight w:val="none"/>
        </w:rPr>
        <w:t>9.3其他售后服务要求：</w:t>
      </w:r>
      <w:r>
        <w:rPr>
          <w:rFonts w:hint="eastAsia" w:hAnsi="宋体"/>
          <w:color w:val="auto"/>
          <w:highlight w:val="none"/>
          <w:u w:val="single"/>
        </w:rPr>
        <w:t>按投标文件商务条款偏离表内容执行。</w:t>
      </w:r>
    </w:p>
    <w:p>
      <w:pPr>
        <w:pStyle w:val="22"/>
        <w:spacing w:line="360" w:lineRule="auto"/>
        <w:rPr>
          <w:rFonts w:hAnsi="宋体"/>
          <w:b/>
          <w:bCs/>
          <w:color w:val="auto"/>
          <w:sz w:val="24"/>
          <w:highlight w:val="none"/>
        </w:rPr>
      </w:pPr>
      <w:r>
        <w:rPr>
          <w:rFonts w:hint="eastAsia" w:hAnsi="宋体"/>
          <w:b/>
          <w:bCs/>
          <w:color w:val="auto"/>
          <w:sz w:val="24"/>
          <w:highlight w:val="none"/>
        </w:rPr>
        <w:t>10.  违约责任</w:t>
      </w:r>
    </w:p>
    <w:p>
      <w:pPr>
        <w:pStyle w:val="22"/>
        <w:spacing w:line="360" w:lineRule="auto"/>
        <w:ind w:firstLine="420" w:firstLineChars="200"/>
        <w:rPr>
          <w:rFonts w:hAnsi="宋体"/>
          <w:color w:val="auto"/>
          <w:highlight w:val="none"/>
        </w:rPr>
      </w:pPr>
      <w:r>
        <w:rPr>
          <w:rFonts w:hint="eastAsia" w:hAnsi="宋体"/>
          <w:color w:val="auto"/>
          <w:highlight w:val="none"/>
        </w:rPr>
        <w:t>10.1 甲方无正当理由拒收服务的，甲方向乙方偿付合同总金额的百分之五违约金。</w:t>
      </w:r>
    </w:p>
    <w:p>
      <w:pPr>
        <w:pStyle w:val="22"/>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甲方无故逾期验收或办理合同款支付手续的，甲方应按合同总金额每日万分之五向乙方支付违约金。</w:t>
      </w:r>
    </w:p>
    <w:p>
      <w:pPr>
        <w:pStyle w:val="22"/>
        <w:spacing w:line="360" w:lineRule="auto"/>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金额百分之五的违约金，如造成甲方损失超过违约金的，超出部分由乙方继续承担赔偿责任。</w:t>
      </w:r>
    </w:p>
    <w:p>
      <w:pPr>
        <w:pStyle w:val="22"/>
        <w:spacing w:line="360" w:lineRule="auto"/>
        <w:ind w:firstLine="420" w:firstLineChars="200"/>
        <w:rPr>
          <w:rFonts w:hAnsi="宋体"/>
          <w:color w:val="auto"/>
          <w:highlight w:val="none"/>
        </w:rPr>
      </w:pPr>
      <w:r>
        <w:rPr>
          <w:rFonts w:hint="eastAsia" w:hAnsi="宋体"/>
          <w:color w:val="auto"/>
          <w:highlight w:val="none"/>
        </w:rPr>
        <w:t>10.4乙方应按本合同约定的质量标准提供服务，并经甲方验收合格，如验收不合格的，应无条件进行整改、修正，直至通过甲方验收，如因此造成逾期完成服务的，则按本合同第10.3条约定承担逾期违约责任。</w:t>
      </w:r>
    </w:p>
    <w:p>
      <w:pPr>
        <w:pStyle w:val="22"/>
        <w:spacing w:line="360" w:lineRule="auto"/>
        <w:ind w:firstLine="420" w:firstLineChars="200"/>
        <w:rPr>
          <w:rFonts w:hAnsi="宋体"/>
          <w:color w:val="auto"/>
          <w:highlight w:val="none"/>
        </w:rPr>
      </w:pPr>
      <w:r>
        <w:rPr>
          <w:rFonts w:hint="eastAsia" w:hAnsi="宋体"/>
          <w:color w:val="auto"/>
          <w:highlight w:val="none"/>
        </w:rPr>
        <w:t>10.5 乙方应按国家相关规定及行业有关规范规程、本合同约定完成服务，并对服务的合法性、完整性、有效性负责，由于乙方提供的服务不合格（以第三方具备资质的机构出具证明材料）所造成的损失，乙方应承担责任。</w:t>
      </w:r>
    </w:p>
    <w:p>
      <w:pPr>
        <w:pStyle w:val="22"/>
        <w:spacing w:line="360" w:lineRule="auto"/>
        <w:ind w:firstLine="420" w:firstLineChars="200"/>
        <w:rPr>
          <w:rFonts w:hAnsi="宋体"/>
          <w:color w:val="auto"/>
          <w:highlight w:val="none"/>
        </w:rPr>
      </w:pPr>
      <w:r>
        <w:rPr>
          <w:rFonts w:hint="eastAsia" w:hAnsi="宋体"/>
          <w:color w:val="auto"/>
          <w:highlight w:val="none"/>
        </w:rPr>
        <w:t>10.6乙方提供的服务如侵犯了第三方合法权益而引发的任何纠纷或诉讼，均由乙方负责交涉并承担全部责任。如甲方为解决纠纷先行垫支了费用，乙方须在接到甲方通知之日起5个工作日内向甲方偿还完毕，并赔偿甲方全部经济损失。</w:t>
      </w:r>
    </w:p>
    <w:p>
      <w:pPr>
        <w:pStyle w:val="22"/>
        <w:spacing w:line="360" w:lineRule="auto"/>
        <w:ind w:firstLine="420" w:firstLineChars="200"/>
        <w:rPr>
          <w:rFonts w:hAnsi="宋体"/>
          <w:color w:val="auto"/>
          <w:highlight w:val="none"/>
        </w:rPr>
      </w:pPr>
      <w:r>
        <w:rPr>
          <w:rFonts w:hint="eastAsia" w:hAnsi="宋体"/>
          <w:color w:val="auto"/>
          <w:highlight w:val="none"/>
        </w:rPr>
        <w:t>10.7本合同有效期内，除本合同约定原因外，甲乙双方不得擅自单方提前终止本合同，否则应当赔偿由此给对方造成的损失。</w:t>
      </w:r>
    </w:p>
    <w:p>
      <w:pPr>
        <w:pStyle w:val="22"/>
        <w:spacing w:line="360" w:lineRule="auto"/>
        <w:ind w:firstLine="420" w:firstLineChars="200"/>
        <w:rPr>
          <w:rFonts w:hAnsi="宋体"/>
          <w:color w:val="auto"/>
          <w:highlight w:val="none"/>
        </w:rPr>
      </w:pPr>
      <w:r>
        <w:rPr>
          <w:rFonts w:hint="eastAsia" w:hAnsi="宋体"/>
          <w:color w:val="auto"/>
          <w:highlight w:val="none"/>
        </w:rPr>
        <w:t>10.8乙方未按本合同和投标文件中规定的服务承诺提供售后服务的，乙方应按合同总金额5%向甲方支付违约金。</w:t>
      </w:r>
    </w:p>
    <w:p>
      <w:pPr>
        <w:pStyle w:val="22"/>
        <w:spacing w:line="360" w:lineRule="auto"/>
        <w:ind w:firstLine="420" w:firstLineChars="200"/>
        <w:rPr>
          <w:rFonts w:hAnsi="宋体"/>
          <w:color w:val="auto"/>
          <w:highlight w:val="none"/>
        </w:rPr>
      </w:pPr>
      <w:r>
        <w:rPr>
          <w:rFonts w:hint="eastAsia" w:hAnsi="宋体"/>
          <w:color w:val="auto"/>
          <w:highlight w:val="none"/>
        </w:rPr>
        <w:t>10.9 乙方提供的服务在质量保证期内，因设计、工艺或材料的缺陷和其它质量原因造成的问题，由乙方负责解决并按实际情况赔偿甲方损失。</w:t>
      </w:r>
    </w:p>
    <w:p>
      <w:pPr>
        <w:pStyle w:val="22"/>
        <w:spacing w:line="360" w:lineRule="auto"/>
        <w:ind w:firstLine="420" w:firstLineChars="200"/>
        <w:rPr>
          <w:rFonts w:hAnsi="宋体"/>
          <w:color w:val="auto"/>
          <w:highlight w:val="none"/>
        </w:rPr>
      </w:pPr>
      <w:r>
        <w:rPr>
          <w:rFonts w:hint="eastAsia" w:hAnsi="宋体"/>
          <w:color w:val="auto"/>
          <w:highlight w:val="none"/>
        </w:rPr>
        <w:t>10.10乙方有其它违约行为的，每发生一次按合同总金额5%收取违约金。</w:t>
      </w:r>
    </w:p>
    <w:p>
      <w:pPr>
        <w:pStyle w:val="22"/>
        <w:spacing w:line="360" w:lineRule="auto"/>
        <w:ind w:firstLine="420" w:firstLineChars="200"/>
        <w:rPr>
          <w:rFonts w:hAnsi="宋体"/>
          <w:color w:val="auto"/>
          <w:highlight w:val="none"/>
        </w:rPr>
      </w:pPr>
      <w:r>
        <w:rPr>
          <w:rFonts w:hint="eastAsia" w:hAnsi="宋体"/>
          <w:color w:val="auto"/>
          <w:highlight w:val="none"/>
        </w:rPr>
        <w:t>10.11甲方根据本合同约定而解除合同的，有权不予支付任何款项给乙方，已经支付的，乙方应当自甲方要求返还之日起5日内予以返还，此外乙方还应支付合同总金额5%的违约金给甲方并赔偿甲方经济损失。</w:t>
      </w:r>
    </w:p>
    <w:p>
      <w:pPr>
        <w:pStyle w:val="22"/>
        <w:spacing w:line="360" w:lineRule="auto"/>
        <w:ind w:firstLine="420" w:firstLineChars="200"/>
        <w:rPr>
          <w:rFonts w:hAnsi="宋体"/>
          <w:color w:val="auto"/>
          <w:highlight w:val="none"/>
        </w:rPr>
      </w:pPr>
      <w:r>
        <w:rPr>
          <w:rFonts w:hint="eastAsia" w:hAnsi="宋体"/>
          <w:color w:val="auto"/>
          <w:highlight w:val="none"/>
        </w:rPr>
        <w:t>9.12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pPr>
        <w:pStyle w:val="22"/>
        <w:spacing w:line="360" w:lineRule="auto"/>
        <w:rPr>
          <w:rFonts w:hAnsi="宋体"/>
          <w:b/>
          <w:bCs/>
          <w:color w:val="auto"/>
          <w:sz w:val="24"/>
          <w:highlight w:val="none"/>
        </w:rPr>
      </w:pPr>
      <w:r>
        <w:rPr>
          <w:rFonts w:hint="eastAsia" w:hAnsi="宋体"/>
          <w:b/>
          <w:bCs/>
          <w:color w:val="auto"/>
          <w:sz w:val="24"/>
          <w:highlight w:val="none"/>
        </w:rPr>
        <w:t>11.  不可抗力事件处理</w:t>
      </w:r>
    </w:p>
    <w:p>
      <w:pPr>
        <w:pStyle w:val="22"/>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2"/>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2"/>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2"/>
        <w:spacing w:line="360" w:lineRule="auto"/>
        <w:rPr>
          <w:rFonts w:hAnsi="宋体"/>
          <w:b/>
          <w:bCs/>
          <w:color w:val="auto"/>
          <w:sz w:val="24"/>
          <w:highlight w:val="none"/>
        </w:rPr>
      </w:pPr>
      <w:r>
        <w:rPr>
          <w:rFonts w:hint="eastAsia" w:hAnsi="宋体"/>
          <w:b/>
          <w:bCs/>
          <w:color w:val="auto"/>
          <w:sz w:val="24"/>
          <w:highlight w:val="none"/>
        </w:rPr>
        <w:t>12.  诉讼</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w:t>
      </w:r>
    </w:p>
    <w:p>
      <w:pPr>
        <w:pStyle w:val="22"/>
        <w:spacing w:line="360" w:lineRule="auto"/>
        <w:rPr>
          <w:rFonts w:hAnsi="宋体"/>
          <w:b/>
          <w:bCs/>
          <w:color w:val="auto"/>
          <w:sz w:val="24"/>
          <w:highlight w:val="none"/>
        </w:rPr>
      </w:pPr>
      <w:r>
        <w:rPr>
          <w:rFonts w:hint="eastAsia" w:hAnsi="宋体"/>
          <w:b/>
          <w:bCs/>
          <w:color w:val="auto"/>
          <w:sz w:val="24"/>
          <w:highlight w:val="none"/>
        </w:rPr>
        <w:t>13.  合同生效及其它</w:t>
      </w:r>
    </w:p>
    <w:p>
      <w:pPr>
        <w:pStyle w:val="22"/>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2"/>
        <w:spacing w:line="360" w:lineRule="auto"/>
        <w:ind w:firstLine="420" w:firstLineChars="200"/>
        <w:rPr>
          <w:rFonts w:hAnsi="宋体"/>
          <w:color w:val="auto"/>
          <w:highlight w:val="none"/>
        </w:rPr>
      </w:pPr>
      <w:r>
        <w:rPr>
          <w:rFonts w:hint="eastAsia" w:hAnsi="宋体"/>
          <w:color w:val="auto"/>
          <w:highlight w:val="none"/>
        </w:rPr>
        <w:t>13.2 合同执行中涉及采购资金和采购内容修改或补充的，须经市财政部门审批，并签书面补充协议报南宁市政府采购监督管理部门备案，方可作为主合同不可分割的一部分。</w:t>
      </w:r>
    </w:p>
    <w:p>
      <w:pPr>
        <w:pStyle w:val="22"/>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2"/>
        <w:spacing w:line="360" w:lineRule="auto"/>
        <w:ind w:firstLine="420" w:firstLineChars="200"/>
        <w:rPr>
          <w:rFonts w:hAnsi="宋体"/>
          <w:color w:val="auto"/>
          <w:highlight w:val="none"/>
        </w:rPr>
      </w:pPr>
      <w:r>
        <w:rPr>
          <w:rFonts w:hint="eastAsia" w:hAnsi="宋体"/>
          <w:color w:val="auto"/>
          <w:highlight w:val="none"/>
        </w:rPr>
        <w:t>(1)中标通知书</w:t>
      </w:r>
    </w:p>
    <w:p>
      <w:pPr>
        <w:pStyle w:val="22"/>
        <w:spacing w:line="360" w:lineRule="auto"/>
        <w:ind w:firstLine="420" w:firstLineChars="200"/>
        <w:rPr>
          <w:rFonts w:hAnsi="宋体"/>
          <w:color w:val="auto"/>
          <w:highlight w:val="none"/>
        </w:rPr>
      </w:pPr>
      <w:r>
        <w:rPr>
          <w:rFonts w:hint="eastAsia" w:hAnsi="宋体"/>
          <w:color w:val="auto"/>
          <w:highlight w:val="none"/>
        </w:rPr>
        <w:t>(2)招标文件服务需求一览表</w:t>
      </w:r>
    </w:p>
    <w:p>
      <w:pPr>
        <w:pStyle w:val="22"/>
        <w:spacing w:line="360" w:lineRule="auto"/>
        <w:ind w:firstLine="420" w:firstLineChars="200"/>
        <w:rPr>
          <w:rFonts w:hAnsi="宋体"/>
          <w:color w:val="auto"/>
          <w:highlight w:val="none"/>
        </w:rPr>
      </w:pPr>
      <w:r>
        <w:rPr>
          <w:rFonts w:hint="eastAsia" w:hAnsi="宋体"/>
          <w:color w:val="auto"/>
          <w:highlight w:val="none"/>
        </w:rPr>
        <w:t>(3)招标文件的更改通知（如有）</w:t>
      </w:r>
    </w:p>
    <w:p>
      <w:pPr>
        <w:pStyle w:val="22"/>
        <w:spacing w:line="360" w:lineRule="auto"/>
        <w:ind w:firstLine="420" w:firstLineChars="200"/>
        <w:rPr>
          <w:rFonts w:hAnsi="宋体"/>
          <w:color w:val="auto"/>
          <w:highlight w:val="none"/>
        </w:rPr>
      </w:pPr>
      <w:r>
        <w:rPr>
          <w:rFonts w:hint="eastAsia" w:hAnsi="宋体"/>
          <w:color w:val="auto"/>
          <w:highlight w:val="none"/>
        </w:rPr>
        <w:t>(4)投标函</w:t>
      </w:r>
    </w:p>
    <w:p>
      <w:pPr>
        <w:pStyle w:val="22"/>
        <w:spacing w:line="360" w:lineRule="auto"/>
        <w:ind w:firstLine="420" w:firstLineChars="200"/>
        <w:rPr>
          <w:rFonts w:hAnsi="宋体"/>
          <w:color w:val="auto"/>
          <w:highlight w:val="none"/>
        </w:rPr>
      </w:pPr>
      <w:r>
        <w:rPr>
          <w:rFonts w:hint="eastAsia" w:hAnsi="宋体"/>
          <w:color w:val="auto"/>
          <w:highlight w:val="none"/>
        </w:rPr>
        <w:t>(5)报价表</w:t>
      </w:r>
    </w:p>
    <w:p>
      <w:pPr>
        <w:pStyle w:val="22"/>
        <w:spacing w:line="360" w:lineRule="auto"/>
        <w:ind w:firstLine="420" w:firstLineChars="200"/>
        <w:rPr>
          <w:rFonts w:hAnsi="宋体"/>
          <w:color w:val="auto"/>
          <w:highlight w:val="none"/>
        </w:rPr>
      </w:pPr>
      <w:r>
        <w:rPr>
          <w:rFonts w:hint="eastAsia" w:hAnsi="宋体"/>
          <w:color w:val="auto"/>
          <w:highlight w:val="none"/>
        </w:rPr>
        <w:t>(6)投标服务技术资料表</w:t>
      </w:r>
    </w:p>
    <w:p>
      <w:pPr>
        <w:pStyle w:val="22"/>
        <w:spacing w:line="360" w:lineRule="auto"/>
        <w:ind w:firstLine="420" w:firstLineChars="200"/>
        <w:rPr>
          <w:rFonts w:hAnsi="宋体"/>
          <w:color w:val="auto"/>
          <w:highlight w:val="none"/>
        </w:rPr>
      </w:pPr>
      <w:r>
        <w:rPr>
          <w:rFonts w:hint="eastAsia" w:hAnsi="宋体"/>
          <w:color w:val="auto"/>
          <w:highlight w:val="none"/>
        </w:rPr>
        <w:t>(7)商务条款偏离表</w:t>
      </w:r>
    </w:p>
    <w:p>
      <w:pPr>
        <w:pStyle w:val="22"/>
        <w:spacing w:line="360" w:lineRule="auto"/>
        <w:ind w:firstLine="420" w:firstLineChars="200"/>
        <w:rPr>
          <w:rFonts w:hAnsi="宋体"/>
          <w:color w:val="auto"/>
          <w:highlight w:val="none"/>
        </w:rPr>
      </w:pPr>
      <w:r>
        <w:rPr>
          <w:rFonts w:hint="eastAsia" w:hAnsi="宋体"/>
          <w:color w:val="auto"/>
          <w:highlight w:val="none"/>
        </w:rPr>
        <w:t>(8)中标供应商澄清函（如有请提供）</w:t>
      </w:r>
    </w:p>
    <w:p>
      <w:pPr>
        <w:pStyle w:val="22"/>
        <w:spacing w:line="360" w:lineRule="auto"/>
        <w:ind w:firstLine="420" w:firstLineChars="200"/>
        <w:rPr>
          <w:rFonts w:hAnsi="宋体"/>
          <w:color w:val="auto"/>
          <w:highlight w:val="none"/>
        </w:rPr>
      </w:pPr>
      <w:r>
        <w:rPr>
          <w:rFonts w:hint="eastAsia" w:hAnsi="宋体"/>
          <w:color w:val="auto"/>
          <w:highlight w:val="none"/>
        </w:rPr>
        <w:t>(9)其他与本合同相关的资料（如有请提供）</w:t>
      </w:r>
    </w:p>
    <w:p>
      <w:pPr>
        <w:pStyle w:val="22"/>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2"/>
        <w:spacing w:line="360" w:lineRule="auto"/>
        <w:ind w:firstLine="420" w:firstLineChars="200"/>
        <w:rPr>
          <w:rFonts w:hAnsi="宋体"/>
          <w:color w:val="auto"/>
          <w:highlight w:val="none"/>
        </w:rPr>
      </w:pPr>
      <w:r>
        <w:rPr>
          <w:rFonts w:hint="eastAsia" w:hAnsi="宋体"/>
          <w:color w:val="auto"/>
          <w:highlight w:val="none"/>
        </w:rPr>
        <w:t>13.5 本合同正本一式两份，具有同等法律效力，甲乙双方各执一份；副本肆份。</w:t>
      </w:r>
    </w:p>
    <w:p>
      <w:pPr>
        <w:pStyle w:val="22"/>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统一社会代码：</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2"/>
        <w:spacing w:line="360" w:lineRule="auto"/>
        <w:jc w:val="right"/>
        <w:rPr>
          <w:rFonts w:hAnsi="宋体"/>
          <w:color w:val="auto"/>
          <w:highlight w:val="none"/>
        </w:rPr>
      </w:pPr>
      <w:r>
        <w:rPr>
          <w:rFonts w:hint="eastAsia" w:hAnsi="宋体"/>
          <w:color w:val="auto"/>
          <w:highlight w:val="none"/>
        </w:rPr>
        <w:t xml:space="preserve">合同签订地点：广西南宁市 </w:t>
      </w:r>
    </w:p>
    <w:p>
      <w:pPr>
        <w:pStyle w:val="22"/>
        <w:spacing w:line="360" w:lineRule="auto"/>
        <w:jc w:val="right"/>
        <w:rPr>
          <w:rFonts w:hAnsi="宋体"/>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pStyle w:val="22"/>
        <w:tabs>
          <w:tab w:val="left" w:pos="2472"/>
        </w:tabs>
        <w:snapToGrid w:val="0"/>
        <w:jc w:val="center"/>
        <w:rPr>
          <w:rFonts w:hAnsi="宋体"/>
          <w:color w:val="auto"/>
          <w:highlight w:val="none"/>
        </w:rPr>
      </w:pPr>
    </w:p>
    <w:p>
      <w:pPr>
        <w:pStyle w:val="22"/>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政府采购项目中标（或成交）供应商（公司名称）       </w:t>
      </w:r>
      <w:r>
        <w:rPr>
          <w:rFonts w:hint="eastAsia" w:ascii="宋体" w:hAnsi="宋体"/>
          <w:color w:val="auto"/>
          <w:kern w:val="0"/>
          <w:szCs w:val="21"/>
          <w:highlight w:val="none"/>
        </w:rPr>
        <w:t>提供的或服务进行了验收，验收情况如下：</w:t>
      </w:r>
    </w:p>
    <w:tbl>
      <w:tblPr>
        <w:tblStyle w:val="3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服务内容、标准</w:t>
            </w: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jc w:val="left"/>
        <w:rPr>
          <w:rFonts w:ascii="宋体" w:hAnsi="宋体"/>
          <w:color w:val="auto"/>
          <w:sz w:val="24"/>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outlineLvl w:val="0"/>
        <w:rPr>
          <w:rFonts w:hAnsi="宋体"/>
          <w:b/>
          <w:color w:val="auto"/>
          <w:sz w:val="44"/>
          <w:szCs w:val="44"/>
          <w:highlight w:val="none"/>
        </w:rPr>
      </w:pPr>
      <w:bookmarkStart w:id="102" w:name="_Toc17669"/>
      <w:bookmarkStart w:id="103" w:name="_Toc20398"/>
      <w:bookmarkStart w:id="104" w:name="_Toc23334"/>
      <w:r>
        <w:rPr>
          <w:rFonts w:hint="eastAsia" w:hAnsi="宋体"/>
          <w:b/>
          <w:color w:val="auto"/>
          <w:sz w:val="44"/>
          <w:szCs w:val="44"/>
          <w:highlight w:val="none"/>
        </w:rPr>
        <w:t>第六章 投标文件格式</w:t>
      </w:r>
      <w:bookmarkEnd w:id="102"/>
      <w:bookmarkEnd w:id="103"/>
      <w:bookmarkEnd w:id="104"/>
    </w:p>
    <w:p>
      <w:pPr>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（应根据项目的实际要求进行增减）</w:t>
      </w:r>
    </w:p>
    <w:p>
      <w:pPr>
        <w:snapToGrid w:val="0"/>
        <w:rPr>
          <w:rFonts w:ascii="宋体" w:hAnsi="宋体"/>
          <w:b/>
          <w:color w:val="auto"/>
          <w:sz w:val="24"/>
          <w:highlight w:val="none"/>
        </w:rPr>
      </w:pPr>
      <w:r>
        <w:rPr>
          <w:rFonts w:ascii="宋体" w:hAns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hAnsi="宋体"/>
          <w:color w:val="auto"/>
          <w:sz w:val="24"/>
          <w:highlight w:val="none"/>
        </w:rPr>
      </w:pPr>
    </w:p>
    <w:p>
      <w:pPr>
        <w:snapToGrid w:val="0"/>
        <w:rPr>
          <w:rFonts w:ascii="宋体" w:hAnsi="宋体"/>
          <w:color w:val="auto"/>
          <w:sz w:val="24"/>
          <w:highlight w:val="none"/>
        </w:rPr>
      </w:pPr>
    </w:p>
    <w:p>
      <w:pPr>
        <w:pStyle w:val="22"/>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分标（此处有分标时填写具体分标号，无分标时填写“无”）</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22"/>
        <w:snapToGrid w:val="0"/>
        <w:jc w:val="center"/>
        <w:rPr>
          <w:rFonts w:hAnsi="宋体"/>
          <w:color w:val="auto"/>
          <w:sz w:val="24"/>
          <w:szCs w:val="24"/>
          <w:highlight w:val="none"/>
        </w:rPr>
      </w:pPr>
    </w:p>
    <w:p>
      <w:pPr>
        <w:pStyle w:val="22"/>
        <w:snapToGrid w:val="0"/>
        <w:jc w:val="center"/>
        <w:rPr>
          <w:rFonts w:hAnsi="宋体"/>
          <w:color w:val="auto"/>
          <w:sz w:val="24"/>
          <w:szCs w:val="24"/>
          <w:highlight w:val="none"/>
        </w:rPr>
      </w:pPr>
    </w:p>
    <w:p>
      <w:pPr>
        <w:rPr>
          <w:rFonts w:ascii="宋体" w:hAnsi="宋体"/>
          <w:color w:val="auto"/>
          <w:sz w:val="24"/>
          <w:highlight w:val="none"/>
        </w:rPr>
      </w:pPr>
    </w:p>
    <w:p>
      <w:pPr>
        <w:pStyle w:val="8"/>
        <w:snapToGrid w:val="0"/>
        <w:ind w:firstLine="3960" w:firstLineChars="1650"/>
        <w:rPr>
          <w:rFonts w:ascii="宋体" w:hAnsi="宋体"/>
          <w:color w:val="auto"/>
          <w:sz w:val="24"/>
          <w:szCs w:val="24"/>
          <w:highlight w:val="none"/>
        </w:rPr>
      </w:pPr>
      <w:r>
        <w:rPr>
          <w:rFonts w:hint="eastAsia" w:ascii="宋体" w:hAnsi="宋体"/>
          <w:color w:val="auto"/>
          <w:sz w:val="24"/>
          <w:szCs w:val="24"/>
          <w:highlight w:val="none"/>
        </w:rPr>
        <w:t>在开标时间之前不得启封</w:t>
      </w:r>
    </w:p>
    <w:p>
      <w:pPr>
        <w:pStyle w:val="8"/>
        <w:snapToGrid w:val="0"/>
        <w:ind w:firstLine="998" w:firstLineChars="416"/>
        <w:rPr>
          <w:rFonts w:ascii="宋体" w:hAnsi="宋体"/>
          <w:color w:val="auto"/>
          <w:sz w:val="24"/>
          <w:szCs w:val="24"/>
          <w:highlight w:val="none"/>
        </w:rPr>
      </w:pPr>
    </w:p>
    <w:p>
      <w:pPr>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 xml:space="preserve">编号：                                   </w:t>
      </w:r>
    </w:p>
    <w:p>
      <w:pPr>
        <w:snapToGrid w:val="0"/>
        <w:rPr>
          <w:rFonts w:ascii="仿宋_GB2312" w:eastAsia="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ind w:firstLine="480" w:firstLineChars="200"/>
        <w:jc w:val="left"/>
        <w:rPr>
          <w:rFonts w:ascii="仿宋_GB2312" w:eastAsia="仿宋_GB2312"/>
          <w:color w:val="auto"/>
          <w:sz w:val="24"/>
          <w:highlight w:val="none"/>
        </w:rPr>
      </w:pP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tabs>
                <w:tab w:val="left" w:pos="864"/>
              </w:tabs>
              <w:rPr>
                <w:rFonts w:hint="eastAsia" w:eastAsia="仿宋_GB2312"/>
                <w:color w:val="auto"/>
                <w:szCs w:val="21"/>
                <w:highlight w:val="none"/>
                <w:u w:val="single"/>
                <w:lang w:eastAsia="zh-CN"/>
              </w:rPr>
            </w:pPr>
            <w:r>
              <w:rPr>
                <w:rFonts w:hint="default" w:ascii="Times New Roman" w:hAnsi="Times New Roman" w:eastAsia="仿宋_GB2312" w:cs="Times New Roman"/>
                <w:color w:val="auto"/>
                <w:szCs w:val="21"/>
                <w:highlight w:val="none"/>
                <w:u w:val="none"/>
                <w:lang w:eastAsia="zh-CN"/>
              </w:rPr>
              <w:t>提交服务成果时间</w:t>
            </w:r>
            <w:r>
              <w:rPr>
                <w:rFonts w:hint="eastAsia" w:ascii="Times New Roman" w:hAnsi="Times New Roman" w:eastAsia="仿宋_GB2312" w:cs="Times New Roman"/>
                <w:color w:val="auto"/>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snapToGrid w:val="0"/>
        <w:ind w:firstLine="480" w:firstLineChars="200"/>
        <w:jc w:val="left"/>
        <w:rPr>
          <w:rFonts w:ascii="仿宋_GB2312" w:eastAsia="仿宋_GB2312"/>
          <w:color w:val="auto"/>
          <w:sz w:val="24"/>
          <w:highlight w:val="none"/>
        </w:rPr>
      </w:pP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注：1、表格内容均需按要求填写并盖章，不得留空, 否则按投标无效处理。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2、以上“报价合计”应与“投标报价明细表”中的“报价合计”相一致。</w:t>
      </w:r>
    </w:p>
    <w:p>
      <w:pPr>
        <w:pStyle w:val="8"/>
        <w:snapToGrid w:val="0"/>
        <w:ind w:firstLine="960" w:firstLineChars="4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
          <w:bCs/>
          <w:color w:val="auto"/>
          <w:sz w:val="24"/>
          <w:highlight w:val="none"/>
        </w:rPr>
      </w:pPr>
      <w:r>
        <w:rPr>
          <w:rFonts w:ascii="宋体" w:hAnsi="宋体"/>
          <w:b/>
          <w:bCs/>
          <w:color w:val="auto"/>
          <w:sz w:val="32"/>
          <w:szCs w:val="32"/>
          <w:highlight w:val="none"/>
        </w:rPr>
        <w:br w:type="page"/>
      </w:r>
      <w:r>
        <w:rPr>
          <w:rFonts w:hint="eastAsia" w:ascii="宋体" w:hAnsi="宋体"/>
          <w:b/>
          <w:color w:val="auto"/>
          <w:sz w:val="24"/>
          <w:highlight w:val="none"/>
        </w:rPr>
        <w:t>1.封套</w:t>
      </w:r>
      <w:r>
        <w:rPr>
          <w:rFonts w:hint="eastAsia" w:ascii="宋体" w:hAnsi="宋体"/>
          <w:b/>
          <w:bCs/>
          <w:color w:val="auto"/>
          <w:sz w:val="24"/>
          <w:highlight w:val="none"/>
        </w:rPr>
        <w:t>格式：</w:t>
      </w:r>
    </w:p>
    <w:p>
      <w:pPr>
        <w:snapToGrid w:val="0"/>
        <w:rPr>
          <w:rFonts w:ascii="宋体" w:hAnsi="宋体"/>
          <w:bCs/>
          <w:color w:val="auto"/>
          <w:sz w:val="2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标项（如有）：</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pPr>
        <w:snapToGrid w:val="0"/>
        <w:rPr>
          <w:rFonts w:ascii="宋体" w:hAnsi="宋体"/>
          <w:b/>
          <w:color w:val="auto"/>
          <w:sz w:val="24"/>
          <w:highlight w:val="none"/>
        </w:rPr>
      </w:pPr>
    </w:p>
    <w:p>
      <w:pPr>
        <w:snapToGrid w:val="0"/>
        <w:rPr>
          <w:rFonts w:ascii="宋体" w:hAnsi="宋体"/>
          <w:b/>
          <w:color w:val="auto"/>
          <w:sz w:val="24"/>
          <w:highlight w:val="none"/>
        </w:rPr>
      </w:pPr>
      <w:r>
        <w:rPr>
          <w:rFonts w:ascii="宋体" w:hAnsi="宋体"/>
          <w:b/>
          <w:color w:val="auto"/>
          <w:sz w:val="24"/>
          <w:highlight w:val="none"/>
        </w:rPr>
        <w:br w:type="textWrapping"/>
      </w:r>
      <w:r>
        <w:rPr>
          <w:rFonts w:ascii="宋体" w:hAnsi="宋体"/>
          <w:b/>
          <w:color w:val="auto"/>
          <w:sz w:val="24"/>
          <w:highlight w:val="none"/>
        </w:rPr>
        <w:br w:type="page"/>
      </w:r>
      <w:r>
        <w:rPr>
          <w:rFonts w:hint="eastAsia" w:ascii="宋体" w:hAnsi="宋体"/>
          <w:b/>
          <w:color w:val="auto"/>
          <w:sz w:val="24"/>
          <w:highlight w:val="none"/>
        </w:rPr>
        <w:t xml:space="preserve">2.投标文件封面格式： </w:t>
      </w:r>
    </w:p>
    <w:p>
      <w:pPr>
        <w:snapToGrid w:val="0"/>
        <w:rPr>
          <w:rFonts w:ascii="宋体" w:hAnsi="宋体"/>
          <w:b/>
          <w:bCs/>
          <w:color w:val="auto"/>
          <w:sz w:val="44"/>
          <w:szCs w:val="44"/>
          <w:highlight w:val="none"/>
        </w:rPr>
      </w:pPr>
      <w:r>
        <w:rPr>
          <w:rFonts w:hint="eastAsia" w:ascii="宋体" w:hAnsi="宋体"/>
          <w:color w:val="auto"/>
          <w:sz w:val="24"/>
          <w:highlight w:val="none"/>
        </w:rPr>
        <w:t xml:space="preserve">                                              </w:t>
      </w:r>
      <w:r>
        <w:rPr>
          <w:rFonts w:hint="eastAsia" w:ascii="宋体" w:hAnsi="宋体"/>
          <w:b/>
          <w:bCs/>
          <w:color w:val="auto"/>
          <w:sz w:val="44"/>
          <w:szCs w:val="44"/>
          <w:highlight w:val="none"/>
        </w:rPr>
        <w:t>正本/或副本</w:t>
      </w:r>
    </w:p>
    <w:p>
      <w:pPr>
        <w:snapToGrid w:val="0"/>
        <w:rPr>
          <w:rFonts w:ascii="宋体" w:hAnsi="宋体"/>
          <w:b/>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 标 文 件</w:t>
      </w:r>
    </w:p>
    <w:p>
      <w:pPr>
        <w:snapToGrid w:val="0"/>
        <w:rPr>
          <w:rFonts w:ascii="宋体" w:hAnsi="宋体"/>
          <w:bCs/>
          <w:color w:val="auto"/>
          <w:sz w:val="24"/>
          <w:highlight w:val="none"/>
        </w:rPr>
      </w:pP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标    项：</w:t>
      </w:r>
    </w:p>
    <w:p>
      <w:pPr>
        <w:snapToGrid w:val="0"/>
        <w:ind w:firstLine="643" w:firstLineChars="200"/>
        <w:rPr>
          <w:rFonts w:ascii="宋体" w:hAnsi="宋体"/>
          <w:b/>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285" w:firstLineChars="400"/>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hAnsi="宋体"/>
          <w:color w:val="auto"/>
          <w:sz w:val="24"/>
          <w:highlight w:val="none"/>
        </w:rPr>
      </w:pPr>
    </w:p>
    <w:p>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pPr>
        <w:snapToGrid w:val="0"/>
        <w:ind w:firstLine="48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项目的招标公告（项目编号：____），签字代表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（投标人名称）提交投标文件正本</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pPr>
        <w:snapToGrid w:val="0"/>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color w:val="auto"/>
          <w:sz w:val="24"/>
          <w:szCs w:val="24"/>
          <w:highlight w:val="none"/>
        </w:rPr>
      </w:pPr>
      <w:r>
        <w:rPr>
          <w:rFonts w:hint="eastAsia" w:hAnsi="宋体"/>
          <w:color w:val="auto"/>
          <w:sz w:val="24"/>
          <w:highlight w:val="none"/>
        </w:rPr>
        <w:t>2</w:t>
      </w:r>
      <w:r>
        <w:rPr>
          <w:rFonts w:hint="eastAsia" w:hAnsi="宋体" w:cs="Times New Roman"/>
          <w:color w:val="auto"/>
          <w:sz w:val="24"/>
          <w:szCs w:val="24"/>
          <w:highlight w:val="none"/>
        </w:rPr>
        <w:t>、按投标报价明细表报价。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4.本项目投标有效期为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天</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highlight w:val="none"/>
        </w:rPr>
      </w:pPr>
      <w:r>
        <w:rPr>
          <w:rFonts w:hint="eastAsia" w:ascii="宋体" w:hAnsi="宋体"/>
          <w:color w:val="auto"/>
          <w:sz w:val="24"/>
          <w:highlight w:val="none"/>
        </w:rPr>
        <w:t>6.投标人同意按照贵方要求提供与投标有关的一切数据或资料。</w:t>
      </w:r>
    </w:p>
    <w:p>
      <w:pPr>
        <w:snapToGrid w:val="0"/>
        <w:ind w:firstLine="480" w:firstLineChars="200"/>
        <w:rPr>
          <w:rFonts w:ascii="宋体" w:hAnsi="宋体"/>
          <w:color w:val="auto"/>
          <w:sz w:val="24"/>
          <w:highlight w:val="none"/>
        </w:rPr>
      </w:pPr>
      <w:r>
        <w:rPr>
          <w:rFonts w:hint="eastAsia" w:ascii="宋体" w:hAnsi="宋体"/>
          <w:color w:val="auto"/>
          <w:sz w:val="24"/>
          <w:highlight w:val="none"/>
        </w:rPr>
        <w:t>7.与本投标有关的一切正式往来信函请寄：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地址：__________</w:t>
      </w:r>
      <w:r>
        <w:rPr>
          <w:rFonts w:hint="eastAsia" w:ascii="宋体" w:hAnsi="宋体"/>
          <w:color w:val="auto"/>
          <w:sz w:val="24"/>
          <w:highlight w:val="none"/>
          <w:u w:val="single"/>
        </w:rPr>
        <w:t xml:space="preserve">        </w:t>
      </w:r>
      <w:r>
        <w:rPr>
          <w:rFonts w:hint="eastAsia" w:ascii="宋体" w:hAnsi="宋体"/>
          <w:color w:val="auto"/>
          <w:sz w:val="24"/>
          <w:highlight w:val="none"/>
        </w:rPr>
        <w:t>__邮编：__________   电话：_____________</w:t>
      </w: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r>
        <w:rPr>
          <w:rFonts w:hint="eastAsia" w:ascii="宋体" w:hAnsi="宋体"/>
          <w:color w:val="auto"/>
          <w:sz w:val="24"/>
          <w:highlight w:val="none"/>
        </w:rPr>
        <w:t>传真：___________   投标人代表姓名 _________ 职务：______</w:t>
      </w:r>
      <w:r>
        <w:rPr>
          <w:rFonts w:hint="eastAsia" w:ascii="宋体" w:hAnsi="宋体"/>
          <w:color w:val="auto"/>
          <w:sz w:val="24"/>
          <w:highlight w:val="none"/>
          <w:u w:val="single"/>
        </w:rPr>
        <w:t xml:space="preserve"> </w:t>
      </w:r>
      <w:r>
        <w:rPr>
          <w:rFonts w:hint="eastAsia" w:ascii="宋体" w:hAnsi="宋体"/>
          <w:color w:val="auto"/>
          <w:sz w:val="24"/>
          <w:highlight w:val="none"/>
        </w:rPr>
        <w:t>_______</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60" w:firstLineChars="150"/>
        <w:rPr>
          <w:rFonts w:ascii="宋体" w:hAnsi="宋体"/>
          <w:color w:val="auto"/>
          <w:sz w:val="24"/>
          <w:highlight w:val="none"/>
        </w:rPr>
      </w:pPr>
      <w:r>
        <w:rPr>
          <w:rFonts w:hint="eastAsia" w:ascii="宋体" w:hAnsi="宋体"/>
          <w:color w:val="auto"/>
          <w:sz w:val="24"/>
          <w:highlight w:val="none"/>
        </w:rPr>
        <w:t>投标人名称:_________________</w:t>
      </w:r>
    </w:p>
    <w:p>
      <w:pPr>
        <w:snapToGrid w:val="0"/>
        <w:ind w:firstLine="360" w:firstLineChars="15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ind w:firstLine="5040" w:firstLineChars="2100"/>
        <w:rPr>
          <w:rFonts w:ascii="宋体" w:hAnsi="宋体"/>
          <w:color w:val="auto"/>
          <w:sz w:val="24"/>
          <w:highlight w:val="none"/>
        </w:rPr>
      </w:pPr>
    </w:p>
    <w:p>
      <w:pPr>
        <w:snapToGrid w:val="0"/>
        <w:ind w:firstLine="1920" w:firstLineChars="800"/>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 xml:space="preserve">                  </w:t>
      </w:r>
    </w:p>
    <w:p>
      <w:pPr>
        <w:snapToGrid w:val="0"/>
        <w:ind w:left="149" w:hanging="148" w:hangingChars="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olor w:val="auto"/>
          <w:highlight w:val="none"/>
        </w:rPr>
      </w:pPr>
      <w:r>
        <w:rPr>
          <w:rFonts w:ascii="宋体" w:hAnsi="宋体"/>
          <w:color w:val="auto"/>
          <w:highlight w:val="none"/>
        </w:rPr>
        <w:br w:type="page"/>
      </w:r>
    </w:p>
    <w:p>
      <w:pPr>
        <w:snapToGrid w:val="0"/>
        <w:ind w:firstLine="2289" w:firstLineChars="950"/>
        <w:rPr>
          <w:rFonts w:ascii="宋体" w:hAnsi="宋体"/>
          <w:b/>
          <w:color w:val="auto"/>
          <w:sz w:val="24"/>
          <w:highlight w:val="none"/>
        </w:rPr>
      </w:pPr>
    </w:p>
    <w:p>
      <w:pPr>
        <w:snapToGrid w:val="0"/>
        <w:rPr>
          <w:rFonts w:ascii="宋体" w:hAnsi="宋体"/>
          <w:b/>
          <w:color w:val="auto"/>
          <w:sz w:val="24"/>
          <w:highlight w:val="none"/>
        </w:rPr>
      </w:pPr>
      <w:r>
        <w:rPr>
          <w:rFonts w:hint="eastAsia" w:ascii="宋体" w:hAnsi="宋体"/>
          <w:b/>
          <w:color w:val="auto"/>
          <w:sz w:val="24"/>
          <w:highlight w:val="none"/>
        </w:rPr>
        <w:t xml:space="preserve">投标报价明细表格式： </w:t>
      </w:r>
    </w:p>
    <w:p>
      <w:pPr>
        <w:pStyle w:val="22"/>
        <w:snapToGrid w:val="0"/>
        <w:jc w:val="center"/>
        <w:rPr>
          <w:rFonts w:hAnsi="宋体"/>
          <w:b/>
          <w:color w:val="auto"/>
          <w:sz w:val="32"/>
          <w:szCs w:val="32"/>
          <w:highlight w:val="none"/>
        </w:rPr>
      </w:pPr>
    </w:p>
    <w:p>
      <w:pPr>
        <w:pStyle w:val="22"/>
        <w:snapToGrid w:val="0"/>
        <w:jc w:val="center"/>
        <w:rPr>
          <w:rFonts w:hAnsi="宋体"/>
          <w:b/>
          <w:color w:val="auto"/>
          <w:sz w:val="32"/>
          <w:szCs w:val="32"/>
          <w:highlight w:val="none"/>
        </w:rPr>
      </w:pPr>
      <w:r>
        <w:rPr>
          <w:rFonts w:hint="eastAsia" w:hAnsi="宋体"/>
          <w:b/>
          <w:color w:val="auto"/>
          <w:sz w:val="32"/>
          <w:szCs w:val="32"/>
          <w:highlight w:val="none"/>
        </w:rPr>
        <w:t>投标报价明细表</w:t>
      </w: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否则按投标无效处理</w:t>
      </w:r>
      <w:r>
        <w:rPr>
          <w:rFonts w:hint="eastAsia" w:ascii="仿宋_GB2312" w:eastAsia="仿宋_GB2312"/>
          <w:color w:val="auto"/>
          <w:sz w:val="24"/>
          <w:highlight w:val="none"/>
        </w:rPr>
        <w:t>。</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pStyle w:val="22"/>
        <w:ind w:firstLine="600" w:firstLineChars="250"/>
        <w:rPr>
          <w:rFonts w:hAnsi="宋体"/>
          <w:b/>
          <w:bCs/>
          <w:color w:val="auto"/>
          <w:sz w:val="24"/>
          <w:szCs w:val="24"/>
          <w:highlight w:val="none"/>
        </w:rPr>
      </w:pPr>
      <w:r>
        <w:rPr>
          <w:rFonts w:hint="eastAsia" w:hAnsi="宋体"/>
          <w:color w:val="auto"/>
          <w:sz w:val="24"/>
          <w:highlight w:val="none"/>
        </w:rPr>
        <w:t xml:space="preserve">     </w:t>
      </w:r>
    </w:p>
    <w:p>
      <w:pPr>
        <w:tabs>
          <w:tab w:val="left" w:pos="3870"/>
          <w:tab w:val="left" w:pos="4085"/>
        </w:tabs>
        <w:snapToGrid w:val="0"/>
        <w:ind w:firstLine="480" w:firstLineChars="200"/>
        <w:rPr>
          <w:rFonts w:ascii="宋体" w:hAnsi="宋体"/>
          <w:color w:val="auto"/>
          <w:highlight w:val="none"/>
        </w:rPr>
      </w:pPr>
      <w:r>
        <w:rPr>
          <w:rFonts w:hAnsi="宋体"/>
          <w:color w:val="auto"/>
          <w:sz w:val="24"/>
          <w:highlight w:val="none"/>
        </w:rPr>
        <w:br w:type="page"/>
      </w:r>
    </w:p>
    <w:p>
      <w:pPr>
        <w:rPr>
          <w:rFonts w:ascii="宋体" w:hAnsi="宋体"/>
          <w:color w:val="auto"/>
          <w:highlight w:val="none"/>
        </w:rPr>
      </w:pPr>
    </w:p>
    <w:p>
      <w:pPr>
        <w:tabs>
          <w:tab w:val="left" w:pos="3870"/>
          <w:tab w:val="left" w:pos="4085"/>
        </w:tabs>
        <w:snapToGrid w:val="0"/>
        <w:ind w:firstLine="482" w:firstLineChars="200"/>
        <w:rPr>
          <w:rFonts w:ascii="宋体" w:hAnsi="宋体"/>
          <w:b/>
          <w:color w:val="auto"/>
          <w:sz w:val="24"/>
          <w:highlight w:val="none"/>
        </w:rPr>
      </w:pPr>
      <w:r>
        <w:rPr>
          <w:rFonts w:hint="eastAsia" w:ascii="宋体" w:hAnsi="宋体"/>
          <w:b/>
          <w:color w:val="auto"/>
          <w:sz w:val="24"/>
          <w:highlight w:val="none"/>
        </w:rPr>
        <w:t>投标声明书格式：</w:t>
      </w:r>
    </w:p>
    <w:p>
      <w:pPr>
        <w:snapToGrid w:val="0"/>
        <w:jc w:val="left"/>
        <w:rPr>
          <w:rFonts w:ascii="宋体" w:hAnsi="宋体"/>
          <w:color w:val="auto"/>
          <w:sz w:val="24"/>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投标声明书</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（招标采购单位名称）：</w:t>
      </w:r>
    </w:p>
    <w:p>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101"/>
        <w:snapToGrid w:val="0"/>
        <w:spacing w:line="420" w:lineRule="exact"/>
        <w:ind w:firstLine="200"/>
        <w:rPr>
          <w:rFonts w:ascii="宋体" w:hAnsi="宋体"/>
          <w:color w:val="auto"/>
          <w:sz w:val="21"/>
          <w:szCs w:val="21"/>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highlight w:val="none"/>
        </w:rPr>
      </w:pPr>
    </w:p>
    <w:p>
      <w:pPr>
        <w:snapToGrid w:val="0"/>
        <w:jc w:val="left"/>
        <w:rPr>
          <w:rFonts w:ascii="宋体" w:hAnsi="宋体"/>
          <w:color w:val="auto"/>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hAns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hAnsi="宋体"/>
          <w:color w:val="auto"/>
          <w:highlight w:val="none"/>
          <w:u w:val="single"/>
        </w:rPr>
      </w:pPr>
    </w:p>
    <w:p>
      <w:pPr>
        <w:ind w:firstLine="960" w:firstLineChars="400"/>
        <w:rPr>
          <w:rFonts w:ascii="宋体" w:hAnsi="宋体"/>
          <w:color w:val="auto"/>
          <w:sz w:val="24"/>
          <w:highlight w:val="none"/>
        </w:rPr>
      </w:pPr>
      <w:r>
        <w:rPr>
          <w:rFonts w:hint="eastAsia" w:ascii="宋体" w:hAnsi="宋体"/>
          <w:color w:val="auto"/>
          <w:sz w:val="24"/>
          <w:highlight w:val="none"/>
          <w:u w:val="single"/>
        </w:rPr>
        <w:t xml:space="preserve">   （法定代表人名字）       </w:t>
      </w:r>
      <w:r>
        <w:rPr>
          <w:rFonts w:hint="eastAsia" w:ascii="宋体" w:hAnsi="宋体"/>
          <w:color w:val="auto"/>
          <w:sz w:val="24"/>
          <w:highlight w:val="none"/>
        </w:rPr>
        <w:t xml:space="preserve"> 在</w:t>
      </w:r>
      <w:r>
        <w:rPr>
          <w:rFonts w:hint="eastAsia" w:ascii="宋体" w:hAnsi="宋体"/>
          <w:color w:val="auto"/>
          <w:sz w:val="24"/>
          <w:highlight w:val="none"/>
          <w:u w:val="single"/>
        </w:rPr>
        <w:t xml:space="preserve">（ 单位名称）     </w:t>
      </w:r>
      <w:r>
        <w:rPr>
          <w:rFonts w:hint="eastAsia" w:ascii="宋体" w:hAnsi="宋体"/>
          <w:color w:val="auto"/>
          <w:sz w:val="24"/>
          <w:highlight w:val="none"/>
        </w:rPr>
        <w:t>任</w:t>
      </w:r>
      <w:r>
        <w:rPr>
          <w:rFonts w:hint="eastAsia" w:ascii="宋体" w:hAnsi="宋体"/>
          <w:color w:val="auto"/>
          <w:sz w:val="24"/>
          <w:highlight w:val="none"/>
          <w:u w:val="single"/>
        </w:rPr>
        <w:t xml:space="preserve">          </w:t>
      </w:r>
      <w:r>
        <w:rPr>
          <w:rFonts w:hint="eastAsia" w:ascii="宋体" w:hAnsi="宋体"/>
          <w:color w:val="auto"/>
          <w:sz w:val="24"/>
          <w:highlight w:val="none"/>
        </w:rPr>
        <w:t>职务，是</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的法定代表人。</w:t>
      </w:r>
    </w:p>
    <w:p>
      <w:pPr>
        <w:ind w:firstLine="840" w:firstLineChars="35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单位名称：</w:t>
      </w:r>
      <w:r>
        <w:rPr>
          <w:rFonts w:hint="eastAsia" w:ascii="宋体" w:hAnsi="宋体"/>
          <w:color w:val="auto"/>
          <w:sz w:val="24"/>
          <w:highlight w:val="none"/>
          <w:u w:val="single"/>
        </w:rPr>
        <w:t xml:space="preserve">                              </w:t>
      </w:r>
    </w:p>
    <w:p>
      <w:pPr>
        <w:rPr>
          <w:rFonts w:ascii="宋体" w:hAnsi="宋体"/>
          <w:color w:val="auto"/>
          <w:sz w:val="24"/>
          <w:highlight w:val="none"/>
        </w:rPr>
      </w:pPr>
      <w:r>
        <w:rPr>
          <w:rFonts w:hint="eastAsia" w:ascii="宋体" w:hAnsi="宋体"/>
          <w:color w:val="auto"/>
          <w:sz w:val="24"/>
          <w:highlight w:val="none"/>
        </w:rPr>
        <w:t xml:space="preserve">                                                        （单位公章）</w:t>
      </w:r>
    </w:p>
    <w:p>
      <w:pPr>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住    址：</w:t>
      </w:r>
    </w:p>
    <w:p>
      <w:pPr>
        <w:pStyle w:val="22"/>
        <w:jc w:val="center"/>
        <w:rPr>
          <w:rFonts w:hAnsi="宋体"/>
          <w:color w:val="auto"/>
          <w:sz w:val="24"/>
          <w:szCs w:val="24"/>
          <w:highlight w:val="none"/>
        </w:rPr>
      </w:pPr>
    </w:p>
    <w:p>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r>
        <w:rPr>
          <w:rFonts w:hint="eastAsia" w:asciiTheme="minorEastAsia" w:hAnsiTheme="minorEastAsia" w:eastAsiaTheme="minorEastAsia"/>
          <w:color w:val="auto"/>
          <w:sz w:val="24"/>
          <w:highlight w:val="none"/>
        </w:rPr>
        <w:t>投标人若为其他组织形式无法定代表人的应为机构负责人</w:t>
      </w:r>
      <w:r>
        <w:rPr>
          <w:rFonts w:hint="eastAsia" w:ascii="宋体" w:hAnsi="宋体"/>
          <w:color w:val="auto"/>
          <w:sz w:val="24"/>
          <w:highlight w:val="none"/>
        </w:rPr>
        <w:t xml:space="preserve">），现授权委托本单位在职职工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所在部门：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法定代表人签名：</w:t>
      </w:r>
      <w:r>
        <w:rPr>
          <w:rFonts w:hint="eastAsia" w:ascii="宋体" w:hAnsi="宋体"/>
          <w:color w:val="auto"/>
          <w:sz w:val="24"/>
          <w:highlight w:val="none"/>
          <w:u w:val="single"/>
        </w:rPr>
        <w:t xml:space="preserve">              </w:t>
      </w:r>
    </w:p>
    <w:p>
      <w:pPr>
        <w:snapToGrid w:val="0"/>
        <w:ind w:left="4845" w:leftChars="2250" w:hanging="120" w:hangingChars="50"/>
        <w:rPr>
          <w:rFonts w:ascii="宋体" w:hAnsi="宋体"/>
          <w:color w:val="auto"/>
          <w:sz w:val="24"/>
          <w:highlight w:val="none"/>
        </w:rPr>
      </w:pPr>
      <w:r>
        <w:rPr>
          <w:rFonts w:hint="eastAsia" w:ascii="宋体" w:hAnsi="宋体"/>
          <w:color w:val="auto"/>
          <w:sz w:val="24"/>
          <w:highlight w:val="none"/>
        </w:rPr>
        <w:t>（投标人若为其他组织形式无法定代表人的应由机构负责人签名）</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投标人公章：</w:t>
      </w:r>
    </w:p>
    <w:p>
      <w:pPr>
        <w:snapToGrid w:val="0"/>
        <w:ind w:firstLine="470" w:firstLineChars="196"/>
        <w:jc w:val="left"/>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授权委托书（格式二）</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（姓名）系自然人，现授权委托 </w:t>
      </w:r>
      <w:r>
        <w:rPr>
          <w:rFonts w:hint="eastAsia" w:ascii="宋体" w:hAnsi="宋体"/>
          <w:color w:val="auto"/>
          <w:sz w:val="24"/>
          <w:highlight w:val="none"/>
          <w:u w:val="single"/>
        </w:rPr>
        <w:t xml:space="preserve">              </w:t>
      </w:r>
      <w:r>
        <w:rPr>
          <w:rFonts w:hint="eastAsia" w:ascii="宋体" w:hAnsi="宋体"/>
          <w:color w:val="auto"/>
          <w:sz w:val="24"/>
          <w:highlight w:val="none"/>
        </w:rPr>
        <w:t>（姓名）以本人名义参加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项目的投标活动，并代表本人全权办理针对上述项目的投标、开标、评标、签约等具体事务和签署相关文件。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本人对被授权人的签名事项负全部责任。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000" w:firstLineChars="1250"/>
        <w:rPr>
          <w:rFonts w:ascii="宋体" w:hAnsi="宋体"/>
          <w:color w:val="auto"/>
          <w:sz w:val="24"/>
          <w:highlight w:val="none"/>
        </w:rPr>
      </w:pPr>
      <w:r>
        <w:rPr>
          <w:rFonts w:hint="eastAsia" w:ascii="宋体" w:hAnsi="宋体"/>
          <w:color w:val="auto"/>
          <w:sz w:val="24"/>
          <w:highlight w:val="none"/>
        </w:rPr>
        <w:t>自然人签名并在签名处加盖指印：</w:t>
      </w:r>
      <w:r>
        <w:rPr>
          <w:rFonts w:hint="eastAsia" w:ascii="宋体" w:hAnsi="宋体"/>
          <w:color w:val="auto"/>
          <w:sz w:val="24"/>
          <w:highlight w:val="none"/>
          <w:u w:val="singl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w:t>
      </w:r>
    </w:p>
    <w:p>
      <w:pPr>
        <w:snapToGrid w:val="0"/>
        <w:ind w:firstLine="470" w:firstLineChars="196"/>
        <w:jc w:val="left"/>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委托单位（公章，自然人除外）：</w:t>
      </w:r>
    </w:p>
    <w:p>
      <w:pPr>
        <w:widowControl/>
        <w:jc w:val="left"/>
        <w:rPr>
          <w:rFonts w:ascii="宋体" w:hAnsi="宋体"/>
          <w:b/>
          <w:color w:val="auto"/>
          <w:sz w:val="24"/>
          <w:highlight w:val="none"/>
        </w:rPr>
      </w:pPr>
      <w:r>
        <w:rPr>
          <w:rFonts w:ascii="宋体" w:hAnsi="宋体"/>
          <w:b/>
          <w:color w:val="auto"/>
          <w:sz w:val="24"/>
          <w:highlight w:val="none"/>
        </w:rPr>
        <w:br w:type="page"/>
      </w:r>
    </w:p>
    <w:p>
      <w:pPr>
        <w:widowControl/>
        <w:jc w:val="left"/>
        <w:rPr>
          <w:rFonts w:ascii="宋体" w:hAnsi="宋体"/>
          <w:b/>
          <w:color w:val="auto"/>
          <w:sz w:val="24"/>
          <w:highlight w:val="none"/>
        </w:rPr>
      </w:pPr>
    </w:p>
    <w:p>
      <w:pPr>
        <w:snapToGrid w:val="0"/>
        <w:jc w:val="left"/>
        <w:rPr>
          <w:rFonts w:ascii="宋体" w:hAns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商务条款偏离表</w:t>
      </w:r>
    </w:p>
    <w:p>
      <w:pPr>
        <w:pStyle w:val="22"/>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请逐条对应本项目招标文件第二章“</w:t>
      </w:r>
      <w:r>
        <w:rPr>
          <w:rFonts w:hint="eastAsia" w:ascii="Times New Roman" w:hAnsi="Times New Roman" w:eastAsia="仿宋_GB2312"/>
          <w:color w:val="auto"/>
          <w:sz w:val="32"/>
          <w:szCs w:val="32"/>
          <w:highlight w:val="none"/>
        </w:rPr>
        <w:t>服务</w:t>
      </w:r>
      <w:r>
        <w:rPr>
          <w:rFonts w:ascii="Times New Roman" w:hAnsi="Times New Roman" w:eastAsia="仿宋_GB2312"/>
          <w:color w:val="auto"/>
          <w:sz w:val="32"/>
          <w:szCs w:val="32"/>
          <w:highlight w:val="none"/>
        </w:rPr>
        <w:t>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color w:val="auto"/>
          <w:sz w:val="32"/>
          <w:szCs w:val="32"/>
          <w:highlight w:val="none"/>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p>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w:t>
      </w:r>
      <w:r>
        <w:rPr>
          <w:rFonts w:hint="eastAsia" w:ascii="Times New Roman" w:hAnsi="Times New Roman" w:eastAsia="仿宋_GB2312"/>
          <w:bCs/>
          <w:color w:val="auto"/>
          <w:sz w:val="24"/>
          <w:szCs w:val="24"/>
          <w:highlight w:val="none"/>
        </w:rPr>
        <w:t>服务内容</w:t>
      </w:r>
      <w:r>
        <w:rPr>
          <w:rFonts w:ascii="Times New Roman" w:hAnsi="Times New Roman" w:eastAsia="仿宋_GB2312"/>
          <w:bCs/>
          <w:color w:val="auto"/>
          <w:sz w:val="24"/>
          <w:szCs w:val="24"/>
          <w:highlight w:val="none"/>
        </w:rPr>
        <w:t>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⑶当投标文件的服务内容低于招标文件要求时，投标人应当如实写明“负偏离”，否则视为虚假应标。</w:t>
      </w:r>
    </w:p>
    <w:p>
      <w:pPr>
        <w:widowControl/>
        <w:jc w:val="left"/>
        <w:rPr>
          <w:rFonts w:ascii="宋体" w:hAnsi="宋体" w:cs="Courier New"/>
          <w:b/>
          <w:color w:val="auto"/>
          <w:sz w:val="32"/>
          <w:szCs w:val="32"/>
          <w:highlight w:val="none"/>
        </w:rPr>
      </w:pPr>
      <w:r>
        <w:rPr>
          <w:rFonts w:hAnsi="宋体"/>
          <w:b/>
          <w:color w:val="auto"/>
          <w:sz w:val="32"/>
          <w:szCs w:val="32"/>
          <w:highlight w:val="none"/>
        </w:rPr>
        <w:br w:type="page"/>
      </w:r>
    </w:p>
    <w:p>
      <w:pPr>
        <w:pStyle w:val="22"/>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hAnsi="宋体"/>
          <w:color w:val="auto"/>
          <w:sz w:val="24"/>
          <w:highlight w:val="none"/>
        </w:rPr>
      </w:pPr>
      <w:r>
        <w:rPr>
          <w:rFonts w:hint="eastAsia" w:ascii="宋体" w:hAnsi="宋体"/>
          <w:color w:val="auto"/>
          <w:sz w:val="24"/>
          <w:highlight w:val="none"/>
        </w:rPr>
        <w:t>(由投标人按《招标需求》及评分办法的要求自行分别填写)</w:t>
      </w:r>
    </w:p>
    <w:p>
      <w:pPr>
        <w:rPr>
          <w:rFonts w:ascii="宋体" w:hAnsi="宋体"/>
          <w:color w:val="auto"/>
          <w:szCs w:val="21"/>
          <w:highlight w:val="none"/>
        </w:rPr>
      </w:pPr>
      <w:r>
        <w:rPr>
          <w:rFonts w:ascii="宋体" w:hAnsi="宋体"/>
          <w:b/>
          <w:color w:val="auto"/>
          <w:sz w:val="24"/>
          <w:highlight w:val="none"/>
        </w:rPr>
        <w:br w:type="page"/>
      </w:r>
    </w:p>
    <w:p>
      <w:pPr>
        <w:snapToGrid w:val="0"/>
        <w:ind w:firstLine="472" w:firstLineChars="196"/>
        <w:jc w:val="center"/>
        <w:rPr>
          <w:rFonts w:ascii="宋体" w:hAnsi="宋体"/>
          <w:b/>
          <w:color w:val="auto"/>
          <w:sz w:val="24"/>
          <w:highlight w:val="none"/>
        </w:rPr>
      </w:pPr>
    </w:p>
    <w:p>
      <w:pPr>
        <w:snapToGrid w:val="0"/>
        <w:rPr>
          <w:rFonts w:ascii="宋体" w:hAnsi="宋体"/>
          <w:b/>
          <w:color w:val="auto"/>
          <w:highlight w:val="none"/>
        </w:rPr>
      </w:pPr>
      <w:r>
        <w:rPr>
          <w:rFonts w:hint="eastAsia" w:ascii="宋体" w:hAnsi="宋体"/>
          <w:b/>
          <w:color w:val="auto"/>
          <w:sz w:val="24"/>
          <w:highlight w:val="none"/>
        </w:rPr>
        <w:t>投标人类似项目业绩情况一览表格式：</w:t>
      </w:r>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w:t>
            </w:r>
          </w:p>
          <w:p>
            <w:pPr>
              <w:snapToGrid w:val="0"/>
              <w:jc w:val="center"/>
              <w:rPr>
                <w:rFonts w:ascii="宋体" w:hAns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合同</w:t>
            </w:r>
          </w:p>
          <w:p>
            <w:pPr>
              <w:snapToGrid w:val="0"/>
              <w:jc w:val="center"/>
              <w:rPr>
                <w:rFonts w:ascii="宋体" w:hAnsi="宋体"/>
                <w:color w:val="auto"/>
                <w:sz w:val="24"/>
                <w:highlight w:val="none"/>
              </w:rPr>
            </w:pPr>
            <w:r>
              <w:rPr>
                <w:rFonts w:hint="eastAsia" w:ascii="宋体" w:hAnsi="宋体"/>
                <w:color w:val="auto"/>
                <w:sz w:val="24"/>
                <w:highlight w:val="none"/>
              </w:rPr>
              <w:t>金额</w:t>
            </w:r>
          </w:p>
          <w:p>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bl>
    <w:p>
      <w:pPr>
        <w:snapToGrid w:val="0"/>
        <w:rPr>
          <w:rFonts w:ascii="宋体" w:hAnsi="宋体"/>
          <w:color w:val="auto"/>
          <w:sz w:val="24"/>
          <w:highlight w:val="none"/>
        </w:rPr>
      </w:pPr>
      <w:r>
        <w:rPr>
          <w:rFonts w:hint="eastAsia" w:ascii="宋体" w:hAnsi="宋体"/>
          <w:color w:val="auto"/>
          <w:sz w:val="24"/>
          <w:highlight w:val="none"/>
        </w:rPr>
        <w:t>附：销售合同等其他证明复印件</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1995" w:firstLineChars="950"/>
        <w:rPr>
          <w:rFonts w:ascii="宋体" w:hAnsi="宋体"/>
          <w:color w:val="auto"/>
          <w:highlight w:val="none"/>
        </w:rPr>
      </w:pPr>
    </w:p>
    <w:p>
      <w:pPr>
        <w:snapToGrid w:val="0"/>
        <w:rPr>
          <w:rFonts w:ascii="宋体" w:hAnsi="宋体"/>
          <w:color w:val="auto"/>
          <w:sz w:val="24"/>
          <w:highlight w:val="none"/>
        </w:rPr>
      </w:pPr>
      <w:r>
        <w:rPr>
          <w:rFonts w:hint="eastAsia" w:ascii="宋体" w:hAnsi="宋体"/>
          <w:color w:val="auto"/>
          <w:sz w:val="24"/>
          <w:highlight w:val="none"/>
        </w:rPr>
        <w:t>日期:_____年_____月_____日</w:t>
      </w:r>
    </w:p>
    <w:p>
      <w:pPr>
        <w:snapToGrid w:val="0"/>
        <w:jc w:val="center"/>
        <w:rPr>
          <w:rFonts w:ascii="宋体" w:hAnsi="宋体"/>
          <w:color w:val="auto"/>
          <w:sz w:val="24"/>
          <w:highlight w:val="none"/>
        </w:rPr>
      </w:pPr>
    </w:p>
    <w:p>
      <w:pPr>
        <w:jc w:val="center"/>
        <w:rPr>
          <w:rFonts w:ascii="宋体" w:hAnsi="宋体"/>
          <w:b/>
          <w:color w:val="auto"/>
          <w:sz w:val="28"/>
          <w:szCs w:val="28"/>
          <w:highlight w:val="none"/>
        </w:rPr>
      </w:pPr>
      <w:r>
        <w:rPr>
          <w:rFonts w:ascii="宋体" w:hAnsi="宋体"/>
          <w:b/>
          <w:color w:val="auto"/>
          <w:sz w:val="24"/>
          <w:highlight w:val="none"/>
        </w:rPr>
        <w:br w:type="page"/>
      </w:r>
      <w:r>
        <w:rPr>
          <w:rFonts w:hint="eastAsia" w:ascii="宋体" w:hAnsi="宋体"/>
          <w:b/>
          <w:color w:val="auto"/>
          <w:sz w:val="28"/>
          <w:szCs w:val="28"/>
          <w:highlight w:val="none"/>
        </w:rPr>
        <w:t>技术资料表</w:t>
      </w:r>
    </w:p>
    <w:p>
      <w:pPr>
        <w:pStyle w:val="22"/>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3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spacing w:line="400" w:lineRule="exac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4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当投标文件的服务内容低于招标文件要求时，投标人应当如实写明“负偏离”，否则视为虚假应标。</w:t>
      </w:r>
    </w:p>
    <w:p>
      <w:pPr>
        <w:pStyle w:val="22"/>
        <w:spacing w:line="600" w:lineRule="exact"/>
        <w:ind w:left="719" w:leftChars="228" w:hanging="240" w:hangingChars="100"/>
        <w:rPr>
          <w:rFonts w:ascii="Times New Roman" w:hAnsi="Times New Roman" w:eastAsia="仿宋_GB2312"/>
          <w:bCs/>
          <w:color w:val="auto"/>
          <w:sz w:val="24"/>
          <w:szCs w:val="24"/>
          <w:highlight w:val="none"/>
        </w:rPr>
      </w:pPr>
    </w:p>
    <w:p>
      <w:pPr>
        <w:snapToGrid w:val="0"/>
        <w:jc w:val="center"/>
        <w:rPr>
          <w:rFonts w:ascii="宋体" w:hAnsi="宋体"/>
          <w:color w:val="auto"/>
          <w:sz w:val="24"/>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ascii="宋体" w:hAnsi="宋体"/>
          <w:color w:val="auto"/>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105" w:name="OLE_LINK13"/>
      <w:bookmarkStart w:id="106" w:name="OLE_LINK14"/>
      <w:r>
        <w:rPr>
          <w:rFonts w:hint="eastAsia" w:ascii="宋体" w:hAnsi="宋体"/>
          <w:b/>
          <w:color w:val="auto"/>
          <w:spacing w:val="6"/>
          <w:sz w:val="24"/>
          <w:highlight w:val="none"/>
        </w:rPr>
        <w:t>残疾人福利性单位声明函</w:t>
      </w:r>
    </w:p>
    <w:bookmarkEnd w:id="105"/>
    <w:bookmarkEnd w:id="106"/>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r>
        <w:rPr>
          <w:rFonts w:hint="eastAsia" w:ascii="宋体" w:hAnsi="宋体" w:cs="宋体"/>
          <w:color w:val="auto"/>
          <w:kern w:val="0"/>
          <w:sz w:val="24"/>
          <w:highlight w:val="none"/>
        </w:rPr>
        <w:t xml:space="preserve">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widowControl/>
        <w:shd w:val="clear" w:color="auto" w:fill="FFFFFF"/>
        <w:spacing w:line="360" w:lineRule="auto"/>
        <w:ind w:firstLine="480"/>
        <w:jc w:val="center"/>
        <w:outlineLvl w:val="0"/>
        <w:rPr>
          <w:rFonts w:ascii="宋体" w:hAnsi="宋体" w:cs="宋体"/>
          <w:b/>
          <w:color w:val="auto"/>
          <w:kern w:val="0"/>
          <w:sz w:val="36"/>
          <w:szCs w:val="36"/>
          <w:highlight w:val="none"/>
        </w:rPr>
      </w:pPr>
      <w:bookmarkStart w:id="107" w:name="_Toc25446"/>
      <w:r>
        <w:rPr>
          <w:rFonts w:hint="eastAsia" w:ascii="宋体" w:hAnsi="宋体" w:cs="宋体"/>
          <w:b/>
          <w:color w:val="auto"/>
          <w:kern w:val="0"/>
          <w:sz w:val="36"/>
          <w:szCs w:val="36"/>
          <w:highlight w:val="none"/>
        </w:rPr>
        <w:t>第七章  质疑函及投诉</w:t>
      </w:r>
      <w:bookmarkStart w:id="109" w:name="_GoBack"/>
      <w:bookmarkEnd w:id="109"/>
      <w:r>
        <w:rPr>
          <w:rFonts w:hint="eastAsia" w:ascii="宋体" w:hAnsi="宋体" w:cs="宋体"/>
          <w:b/>
          <w:color w:val="auto"/>
          <w:kern w:val="0"/>
          <w:sz w:val="36"/>
          <w:szCs w:val="36"/>
          <w:highlight w:val="none"/>
        </w:rPr>
        <w:t>书格式</w:t>
      </w:r>
      <w:bookmarkEnd w:id="107"/>
    </w:p>
    <w:p>
      <w:pPr>
        <w:spacing w:line="360" w:lineRule="exact"/>
        <w:jc w:val="center"/>
        <w:rPr>
          <w:rFonts w:cs="仿宋" w:asciiTheme="majorEastAsia" w:hAnsiTheme="majorEastAsia" w:eastAsiaTheme="majorEastAsia"/>
          <w:b/>
          <w:bCs/>
          <w:color w:val="auto"/>
          <w:sz w:val="28"/>
          <w:szCs w:val="28"/>
          <w:highlight w:val="none"/>
        </w:rPr>
      </w:pPr>
      <w:r>
        <w:rPr>
          <w:rFonts w:hint="eastAsia"/>
          <w:color w:val="auto"/>
          <w:highlight w:val="none"/>
        </w:rPr>
        <w:t xml:space="preserve">  </w:t>
      </w:r>
      <w:r>
        <w:rPr>
          <w:rFonts w:hint="eastAsia" w:cs="仿宋" w:asciiTheme="majorEastAsia" w:hAnsiTheme="majorEastAsia" w:eastAsiaTheme="majorEastAsia"/>
          <w:b/>
          <w:bCs/>
          <w:color w:val="auto"/>
          <w:sz w:val="28"/>
          <w:szCs w:val="28"/>
          <w:highlight w:val="none"/>
        </w:rPr>
        <w:t>质疑函</w:t>
      </w:r>
    </w:p>
    <w:p>
      <w:pPr>
        <w:tabs>
          <w:tab w:val="left" w:pos="606"/>
        </w:tabs>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一、质疑供应商基本信息</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质疑供应商：</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授权代表：</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r>
        <w:rPr>
          <w:rFonts w:cs="仿宋" w:asciiTheme="majorEastAsia" w:hAnsiTheme="majorEastAsia" w:eastAsiaTheme="majorEastAsia"/>
          <w:color w:val="auto"/>
          <w:sz w:val="24"/>
          <w:highlight w:val="none"/>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二、质疑项目基本情况</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质疑项目的编号：</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包号：</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采购人名称：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采购文件获取日期：</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三、质疑事项具体内容</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质疑事项1：</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事实依据：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法律依据：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质疑事项2</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四、与质疑事项相关的质疑请求</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请求：</w:t>
      </w:r>
      <w:r>
        <w:rPr>
          <w:rFonts w:hint="eastAsia" w:cs="仿宋"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adjustRightInd w:val="0"/>
        <w:snapToGrid w:val="0"/>
        <w:spacing w:line="360" w:lineRule="exact"/>
        <w:rPr>
          <w:rFonts w:cs="仿宋" w:asciiTheme="majorEastAsia" w:hAnsiTheme="majorEastAsia" w:eastAsiaTheme="majorEastAsia"/>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质疑函制作说明：</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5.质疑函的质疑请求应与质疑事项相关。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widowControl/>
        <w:jc w:val="left"/>
        <w:rPr>
          <w:rFonts w:ascii="仿宋_GB2312" w:eastAsia="仿宋_GB2312"/>
          <w:color w:val="auto"/>
          <w:kern w:val="0"/>
          <w:sz w:val="24"/>
          <w:highlight w:val="none"/>
        </w:rPr>
      </w:pPr>
    </w:p>
    <w:p>
      <w:pPr>
        <w:pStyle w:val="111"/>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Theme="majorEastAsia" w:hAnsiTheme="majorEastAsia" w:eastAsiaTheme="majorEastAsia"/>
          <w:b/>
          <w:color w:val="auto"/>
          <w:sz w:val="28"/>
          <w:szCs w:val="28"/>
          <w:highlight w:val="none"/>
        </w:rPr>
      </w:pPr>
      <w:bookmarkStart w:id="108" w:name="page2"/>
      <w:bookmarkEnd w:id="108"/>
      <w:r>
        <w:rPr>
          <w:rFonts w:hint="eastAsia" w:asciiTheme="majorEastAsia" w:hAnsiTheme="majorEastAsia" w:eastAsiaTheme="majorEastAsia"/>
          <w:b/>
          <w:color w:val="auto"/>
          <w:sz w:val="28"/>
          <w:szCs w:val="28"/>
          <w:highlight w:val="none"/>
        </w:rPr>
        <w:t>投诉书</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一、投诉相关主体基本情况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tabs>
          <w:tab w:val="left" w:pos="6510"/>
        </w:tabs>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法定代表人/主要负责人：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tabs>
          <w:tab w:val="left" w:pos="6510"/>
        </w:tabs>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授权代表：</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被投诉人1：</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被投诉人2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相关供应商：</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二、投诉项目基本情况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采购项目名称：</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采购项目编号：</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包号：</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采购人名称：</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代理机构名称：</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采购文件公告: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采购结果公告: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三、质疑基本情况</w:t>
      </w:r>
    </w:p>
    <w:p>
      <w:pPr>
        <w:spacing w:line="360" w:lineRule="exact"/>
        <w:ind w:firstLine="480" w:firstLineChars="200"/>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投诉人于</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日,向</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提出质疑，质疑事项为：</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spacing w:line="360" w:lineRule="exact"/>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dotted"/>
        </w:rPr>
        <w:t>采购人/代理机构</w:t>
      </w:r>
      <w:r>
        <w:rPr>
          <w:rFonts w:hint="eastAsia" w:asciiTheme="majorEastAsia" w:hAnsiTheme="majorEastAsia" w:eastAsiaTheme="majorEastAsia"/>
          <w:color w:val="auto"/>
          <w:sz w:val="24"/>
          <w:highlight w:val="none"/>
        </w:rPr>
        <w:t>于</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日,就质疑事项作出了答复/没有在法定期限内作出答复。</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四、投诉事项具体内容</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投诉事项 1：</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事实依据：</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法律依据：</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投诉事项2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五、与投诉事项相关的投诉请求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请求：</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投诉书制作说明：</w:t>
      </w:r>
    </w:p>
    <w:p>
      <w:pPr>
        <w:widowControl/>
        <w:spacing w:line="360" w:lineRule="exact"/>
        <w:ind w:firstLine="480" w:firstLineChars="200"/>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6.投诉书的投诉请求应与投诉事项相关。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tabs>
          <w:tab w:val="left" w:pos="1087"/>
        </w:tabs>
        <w:spacing w:line="360" w:lineRule="auto"/>
        <w:rPr>
          <w:color w:val="auto"/>
          <w:sz w:val="24"/>
          <w:highlight w:val="none"/>
        </w:rPr>
      </w:pPr>
      <w:r>
        <w:rPr>
          <w:color w:val="auto"/>
          <w:sz w:val="24"/>
          <w:highlight w:val="none"/>
        </w:rPr>
        <w:tab/>
      </w:r>
    </w:p>
    <w:p>
      <w:pPr>
        <w:spacing w:line="360" w:lineRule="auto"/>
        <w:rPr>
          <w:color w:val="auto"/>
          <w:sz w:val="24"/>
          <w:highlight w:val="none"/>
        </w:rPr>
      </w:pPr>
    </w:p>
    <w:p>
      <w:pPr>
        <w:spacing w:line="360" w:lineRule="auto"/>
        <w:rPr>
          <w:color w:val="auto"/>
          <w:sz w:val="24"/>
          <w:highlight w:val="none"/>
        </w:rPr>
      </w:pPr>
    </w:p>
    <w:p>
      <w:pPr>
        <w:tabs>
          <w:tab w:val="left" w:pos="606"/>
        </w:tabs>
        <w:rPr>
          <w:color w:val="auto"/>
          <w:highlight w:val="none"/>
        </w:rPr>
      </w:pPr>
      <w:r>
        <w:rPr>
          <w:rFonts w:hint="eastAsia"/>
          <w:color w:val="auto"/>
          <w:highlight w:val="none"/>
        </w:rPr>
        <w:t xml:space="preserve"> </w:t>
      </w: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r>
        <w:rPr>
          <w:rFonts w:hint="eastAsia" w:ascii="宋体" w:hAnsi="宋体" w:cs="宋体"/>
          <w:b/>
          <w:color w:val="auto"/>
          <w:kern w:val="0"/>
          <w:sz w:val="36"/>
          <w:szCs w:val="36"/>
          <w:highlight w:val="none"/>
        </w:rPr>
        <w:t>附件</w:t>
      </w:r>
    </w:p>
    <w:p>
      <w:pPr>
        <w:tabs>
          <w:tab w:val="left" w:pos="606"/>
        </w:tabs>
        <w:rPr>
          <w:color w:val="auto"/>
          <w:highlight w:val="none"/>
        </w:rPr>
      </w:pPr>
      <w:r>
        <w:rPr>
          <w:rFonts w:hint="eastAsia"/>
          <w:color w:val="auto"/>
          <w:highlight w:val="none"/>
        </w:rPr>
        <w:t xml:space="preserve"> </w:t>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中标通知书</w:t>
      </w:r>
    </w:p>
    <w:p>
      <w:pPr>
        <w:tabs>
          <w:tab w:val="left" w:pos="606"/>
        </w:tabs>
        <w:rPr>
          <w:color w:val="auto"/>
          <w:sz w:val="24"/>
          <w:highlight w:val="none"/>
        </w:rPr>
      </w:pPr>
    </w:p>
    <w:p>
      <w:pPr>
        <w:tabs>
          <w:tab w:val="left" w:pos="606"/>
        </w:tabs>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项目</w:t>
      </w:r>
      <w:r>
        <w:rPr>
          <w:rFonts w:hint="eastAsia"/>
          <w:color w:val="auto"/>
          <w:sz w:val="28"/>
          <w:szCs w:val="28"/>
          <w:highlight w:val="none"/>
        </w:rPr>
        <w:t>（项目编号：</w:t>
      </w:r>
      <w:r>
        <w:rPr>
          <w:rFonts w:hint="eastAsia"/>
          <w:color w:val="auto"/>
          <w:sz w:val="28"/>
          <w:szCs w:val="28"/>
          <w:highlight w:val="none"/>
          <w:u w:val="single"/>
        </w:rPr>
        <w:t xml:space="preserve">            </w:t>
      </w:r>
      <w:r>
        <w:rPr>
          <w:rFonts w:hint="eastAsia"/>
          <w:color w:val="auto"/>
          <w:sz w:val="28"/>
          <w:szCs w:val="28"/>
          <w:highlight w:val="none"/>
        </w:rPr>
        <w:t>；审批编号：</w:t>
      </w:r>
      <w:r>
        <w:rPr>
          <w:rFonts w:hint="eastAsia"/>
          <w:color w:val="auto"/>
          <w:sz w:val="28"/>
          <w:szCs w:val="28"/>
          <w:highlight w:val="none"/>
          <w:u w:val="single"/>
        </w:rPr>
        <w:t xml:space="preserve">            </w:t>
      </w:r>
      <w:r>
        <w:rPr>
          <w:rFonts w:hint="eastAsia"/>
          <w:color w:val="auto"/>
          <w:sz w:val="28"/>
          <w:szCs w:val="28"/>
          <w:highlight w:val="none"/>
        </w:rPr>
        <w:t>）采用</w:t>
      </w:r>
      <w:r>
        <w:rPr>
          <w:rFonts w:hint="eastAsia"/>
          <w:color w:val="auto"/>
          <w:sz w:val="28"/>
          <w:szCs w:val="28"/>
          <w:highlight w:val="none"/>
          <w:u w:val="single"/>
        </w:rPr>
        <w:t xml:space="preserve">   </w:t>
      </w:r>
      <w:r>
        <w:rPr>
          <w:rFonts w:hint="eastAsia"/>
          <w:color w:val="auto"/>
          <w:sz w:val="28"/>
          <w:szCs w:val="28"/>
          <w:highlight w:val="none"/>
        </w:rPr>
        <w:t>方式进行采购。经采购人确认，贵单位为</w:t>
      </w:r>
      <w:r>
        <w:rPr>
          <w:rFonts w:hint="eastAsia"/>
          <w:color w:val="auto"/>
          <w:sz w:val="28"/>
          <w:szCs w:val="28"/>
          <w:highlight w:val="none"/>
          <w:u w:val="single"/>
        </w:rPr>
        <w:t xml:space="preserve">            </w:t>
      </w:r>
      <w:r>
        <w:rPr>
          <w:rFonts w:hint="eastAsia"/>
          <w:color w:val="auto"/>
          <w:sz w:val="28"/>
          <w:szCs w:val="28"/>
          <w:highlight w:val="none"/>
        </w:rPr>
        <w:t>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中标单位：</w:t>
      </w:r>
      <w:r>
        <w:rPr>
          <w:rFonts w:hint="eastAsia"/>
          <w:color w:val="auto"/>
          <w:sz w:val="28"/>
          <w:szCs w:val="28"/>
          <w:highlight w:val="none"/>
          <w:u w:val="single"/>
        </w:rPr>
        <w:t xml:space="preserve">             </w:t>
      </w: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rPr>
        <w:t>企业规模：□中型 □小型 □微型 □其他</w:t>
      </w:r>
    </w:p>
    <w:p>
      <w:pPr>
        <w:tabs>
          <w:tab w:val="left" w:pos="606"/>
        </w:tabs>
        <w:ind w:firstLine="420"/>
        <w:rPr>
          <w:color w:val="auto"/>
          <w:sz w:val="28"/>
          <w:szCs w:val="28"/>
          <w:highlight w:val="none"/>
        </w:rPr>
      </w:pPr>
      <w:r>
        <w:rPr>
          <w:rFonts w:hint="eastAsia"/>
          <w:color w:val="auto"/>
          <w:sz w:val="28"/>
          <w:szCs w:val="28"/>
          <w:highlight w:val="none"/>
        </w:rPr>
        <w:t>中标金额：</w:t>
      </w:r>
      <w:r>
        <w:rPr>
          <w:rFonts w:hint="eastAsia"/>
          <w:color w:val="auto"/>
          <w:sz w:val="28"/>
          <w:szCs w:val="28"/>
          <w:highlight w:val="none"/>
          <w:u w:val="single"/>
        </w:rPr>
        <w:t xml:space="preserve">                </w:t>
      </w:r>
      <w:r>
        <w:rPr>
          <w:rFonts w:hint="eastAsia"/>
          <w:color w:val="auto"/>
          <w:sz w:val="28"/>
          <w:szCs w:val="28"/>
          <w:highlight w:val="none"/>
        </w:rPr>
        <w:t xml:space="preserve">（￥ </w:t>
      </w:r>
      <w:r>
        <w:rPr>
          <w:rFonts w:hint="eastAsia"/>
          <w:color w:val="auto"/>
          <w:sz w:val="28"/>
          <w:szCs w:val="28"/>
          <w:highlight w:val="none"/>
          <w:u w:val="single"/>
        </w:rPr>
        <w:t xml:space="preserve">         </w:t>
      </w:r>
      <w:r>
        <w:rPr>
          <w:rFonts w:hint="eastAsia"/>
          <w:color w:val="auto"/>
          <w:sz w:val="28"/>
          <w:szCs w:val="28"/>
          <w:highlight w:val="none"/>
        </w:rPr>
        <w:t xml:space="preserve"> 元）</w:t>
      </w:r>
    </w:p>
    <w:p>
      <w:pPr>
        <w:tabs>
          <w:tab w:val="left" w:pos="606"/>
        </w:tabs>
        <w:ind w:firstLine="420"/>
        <w:rPr>
          <w:color w:val="auto"/>
          <w:sz w:val="28"/>
          <w:szCs w:val="28"/>
          <w:highlight w:val="none"/>
        </w:rPr>
      </w:pPr>
      <w:r>
        <w:rPr>
          <w:rFonts w:hint="eastAsia"/>
          <w:color w:val="auto"/>
          <w:sz w:val="28"/>
          <w:szCs w:val="28"/>
          <w:highlight w:val="none"/>
        </w:rPr>
        <w:t>交货时间：自合同签定之日起</w:t>
      </w:r>
      <w:r>
        <w:rPr>
          <w:rFonts w:hint="eastAsia"/>
          <w:color w:val="auto"/>
          <w:sz w:val="28"/>
          <w:szCs w:val="28"/>
          <w:highlight w:val="none"/>
          <w:u w:val="single"/>
        </w:rPr>
        <w:t xml:space="preserve">    </w:t>
      </w:r>
      <w:r>
        <w:rPr>
          <w:rFonts w:hint="eastAsia"/>
          <w:color w:val="auto"/>
          <w:sz w:val="28"/>
          <w:szCs w:val="28"/>
          <w:highlight w:val="none"/>
        </w:rPr>
        <w:t>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请贵单位接此通知书后</w:t>
      </w:r>
      <w:r>
        <w:rPr>
          <w:rFonts w:hint="eastAsia"/>
          <w:color w:val="auto"/>
          <w:sz w:val="28"/>
          <w:szCs w:val="28"/>
          <w:highlight w:val="none"/>
          <w:u w:val="single"/>
        </w:rPr>
        <w:t xml:space="preserve">    </w:t>
      </w:r>
      <w:r>
        <w:rPr>
          <w:rFonts w:hint="eastAsia"/>
          <w:color w:val="auto"/>
          <w:sz w:val="28"/>
          <w:szCs w:val="28"/>
          <w:highlight w:val="none"/>
        </w:rPr>
        <w:t>日内尽快与采购人签订合同，并按采购文件要求和投标文件的承诺履行合同。</w:t>
      </w:r>
    </w:p>
    <w:p>
      <w:pPr>
        <w:tabs>
          <w:tab w:val="left" w:pos="606"/>
        </w:tabs>
        <w:ind w:firstLine="420"/>
        <w:rPr>
          <w:color w:val="auto"/>
          <w:sz w:val="28"/>
          <w:szCs w:val="28"/>
          <w:highlight w:val="none"/>
        </w:rPr>
      </w:pPr>
      <w:r>
        <w:rPr>
          <w:rFonts w:hint="eastAsia"/>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olor w:val="auto"/>
          <w:sz w:val="28"/>
          <w:szCs w:val="28"/>
          <w:highlight w:val="none"/>
        </w:rPr>
        <w:t>代理机构（盖章）：</w:t>
      </w:r>
    </w:p>
    <w:p>
      <w:pPr>
        <w:tabs>
          <w:tab w:val="left" w:pos="606"/>
        </w:tabs>
        <w:ind w:firstLine="4480" w:firstLineChars="1600"/>
        <w:rPr>
          <w:color w:val="auto"/>
          <w:sz w:val="28"/>
          <w:szCs w:val="28"/>
          <w:highlight w:val="none"/>
        </w:rPr>
      </w:pPr>
      <w:r>
        <w:rPr>
          <w:rFonts w:hint="eastAsia"/>
          <w:color w:val="auto"/>
          <w:sz w:val="28"/>
          <w:szCs w:val="28"/>
          <w:highlight w:val="none"/>
        </w:rPr>
        <w:t>日期：  年  月  日</w:t>
      </w:r>
    </w:p>
    <w:p>
      <w:pPr>
        <w:tabs>
          <w:tab w:val="left" w:pos="606"/>
        </w:tabs>
        <w:rPr>
          <w:color w:val="auto"/>
          <w:highlight w:val="none"/>
        </w:rPr>
      </w:pPr>
    </w:p>
    <w:sectPr>
      <w:headerReference r:id="rId3" w:type="default"/>
      <w:footerReference r:id="rId4" w:type="default"/>
      <w:footerReference r:id="rId5"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1"/>
        <w:rFonts w:ascii="仿宋" w:hAnsi="仿宋" w:eastAsia="仿宋"/>
        <w:sz w:val="28"/>
        <w:szCs w:val="28"/>
      </w:rPr>
    </w:pPr>
    <w:r>
      <w:rPr>
        <w:rFonts w:ascii="仿宋" w:hAnsi="仿宋" w:eastAsia="仿宋"/>
        <w:sz w:val="28"/>
        <w:szCs w:val="28"/>
      </w:rPr>
      <w:fldChar w:fldCharType="begin"/>
    </w:r>
    <w:r>
      <w:rPr>
        <w:rStyle w:val="41"/>
        <w:rFonts w:ascii="仿宋" w:hAnsi="仿宋" w:eastAsia="仿宋"/>
        <w:sz w:val="28"/>
        <w:szCs w:val="28"/>
      </w:rPr>
      <w:instrText xml:space="preserve">PAGE  </w:instrText>
    </w:r>
    <w:r>
      <w:rPr>
        <w:rFonts w:ascii="仿宋" w:hAnsi="仿宋" w:eastAsia="仿宋"/>
        <w:sz w:val="28"/>
        <w:szCs w:val="28"/>
      </w:rPr>
      <w:fldChar w:fldCharType="separate"/>
    </w:r>
    <w:r>
      <w:rPr>
        <w:rStyle w:val="41"/>
        <w:rFonts w:ascii="仿宋" w:hAnsi="仿宋" w:eastAsia="仿宋"/>
        <w:sz w:val="28"/>
        <w:szCs w:val="28"/>
      </w:rPr>
      <w:t>- 9 -</w:t>
    </w:r>
    <w:r>
      <w:rPr>
        <w:rFonts w:ascii="仿宋" w:hAnsi="仿宋" w:eastAsia="仿宋"/>
        <w:sz w:val="28"/>
        <w:szCs w:val="28"/>
      </w:rPr>
      <w:fldChar w:fldCharType="end"/>
    </w:r>
  </w:p>
  <w:p>
    <w:pPr>
      <w:pStyle w:val="26"/>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CFF55"/>
    <w:multiLevelType w:val="singleLevel"/>
    <w:tmpl w:val="C1ECFF55"/>
    <w:lvl w:ilvl="0" w:tentative="0">
      <w:start w:val="2"/>
      <w:numFmt w:val="decimal"/>
      <w:suff w:val="nothing"/>
      <w:lvlText w:val="（%1）"/>
      <w:lvlJc w:val="left"/>
    </w:lvl>
  </w:abstractNum>
  <w:abstractNum w:abstractNumId="1">
    <w:nsid w:val="2B3DE5BE"/>
    <w:multiLevelType w:val="singleLevel"/>
    <w:tmpl w:val="2B3DE5BE"/>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6FF8"/>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598"/>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0771"/>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A68B4"/>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F1032"/>
    <w:rsid w:val="002F1CB1"/>
    <w:rsid w:val="002F2046"/>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675E8"/>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5F0"/>
    <w:rsid w:val="003F266A"/>
    <w:rsid w:val="003F2680"/>
    <w:rsid w:val="003F2A8A"/>
    <w:rsid w:val="003F378D"/>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4E0D"/>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479E"/>
    <w:rsid w:val="0063552A"/>
    <w:rsid w:val="00637ACC"/>
    <w:rsid w:val="00640662"/>
    <w:rsid w:val="00642F11"/>
    <w:rsid w:val="006434CB"/>
    <w:rsid w:val="006439C6"/>
    <w:rsid w:val="00644D53"/>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A9C"/>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A70A6"/>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2AFA"/>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58"/>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9ED"/>
    <w:rsid w:val="008344B1"/>
    <w:rsid w:val="008364BD"/>
    <w:rsid w:val="0083740A"/>
    <w:rsid w:val="0083749A"/>
    <w:rsid w:val="0083750A"/>
    <w:rsid w:val="00837F42"/>
    <w:rsid w:val="00841FE8"/>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3EA2"/>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A5E23"/>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678B"/>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09ED"/>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08A7"/>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6E5D"/>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0EEA"/>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66F17"/>
    <w:rsid w:val="00B67F8F"/>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63E4"/>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7B4"/>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036C"/>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EF6FDB"/>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C759C5"/>
    <w:rsid w:val="020536EB"/>
    <w:rsid w:val="02382DDE"/>
    <w:rsid w:val="03795DEE"/>
    <w:rsid w:val="03F362FB"/>
    <w:rsid w:val="05DF58DF"/>
    <w:rsid w:val="0619226A"/>
    <w:rsid w:val="064A30D4"/>
    <w:rsid w:val="09F93B90"/>
    <w:rsid w:val="0D8A642F"/>
    <w:rsid w:val="0DD0173B"/>
    <w:rsid w:val="0F43506A"/>
    <w:rsid w:val="0FEA6EEC"/>
    <w:rsid w:val="100B4F14"/>
    <w:rsid w:val="124E5EF1"/>
    <w:rsid w:val="1385438C"/>
    <w:rsid w:val="1487284F"/>
    <w:rsid w:val="159E2E02"/>
    <w:rsid w:val="170245FA"/>
    <w:rsid w:val="17642F7D"/>
    <w:rsid w:val="17B91401"/>
    <w:rsid w:val="18A313AC"/>
    <w:rsid w:val="18AC0737"/>
    <w:rsid w:val="1A9136BA"/>
    <w:rsid w:val="1AC64865"/>
    <w:rsid w:val="1BB3705B"/>
    <w:rsid w:val="1CBF3FAC"/>
    <w:rsid w:val="1F1872FC"/>
    <w:rsid w:val="21FE0E54"/>
    <w:rsid w:val="23442FD2"/>
    <w:rsid w:val="242C20CF"/>
    <w:rsid w:val="257B5A82"/>
    <w:rsid w:val="25E14458"/>
    <w:rsid w:val="279662E3"/>
    <w:rsid w:val="27E379AD"/>
    <w:rsid w:val="29233C93"/>
    <w:rsid w:val="2968303D"/>
    <w:rsid w:val="29D72F37"/>
    <w:rsid w:val="2B235820"/>
    <w:rsid w:val="2C2375A4"/>
    <w:rsid w:val="2C2A0CC4"/>
    <w:rsid w:val="2D112BF8"/>
    <w:rsid w:val="2D1C1381"/>
    <w:rsid w:val="2E364565"/>
    <w:rsid w:val="2F224420"/>
    <w:rsid w:val="31274C0F"/>
    <w:rsid w:val="315B3D53"/>
    <w:rsid w:val="31971208"/>
    <w:rsid w:val="33A36384"/>
    <w:rsid w:val="34485951"/>
    <w:rsid w:val="349B7D92"/>
    <w:rsid w:val="377819A9"/>
    <w:rsid w:val="38506A19"/>
    <w:rsid w:val="387D0C02"/>
    <w:rsid w:val="398426E4"/>
    <w:rsid w:val="39A4751F"/>
    <w:rsid w:val="3B0E6C23"/>
    <w:rsid w:val="3DA02DE7"/>
    <w:rsid w:val="3DCB2D4F"/>
    <w:rsid w:val="3F3A4EF2"/>
    <w:rsid w:val="3F456218"/>
    <w:rsid w:val="40FE76B2"/>
    <w:rsid w:val="42A51567"/>
    <w:rsid w:val="46633F55"/>
    <w:rsid w:val="46C14E45"/>
    <w:rsid w:val="4963367C"/>
    <w:rsid w:val="4A2B62BC"/>
    <w:rsid w:val="4CF211F0"/>
    <w:rsid w:val="4D0A6F77"/>
    <w:rsid w:val="4DF31C20"/>
    <w:rsid w:val="4E6A7AA9"/>
    <w:rsid w:val="4F6C29FB"/>
    <w:rsid w:val="50391098"/>
    <w:rsid w:val="50674669"/>
    <w:rsid w:val="53E0432F"/>
    <w:rsid w:val="56470D5D"/>
    <w:rsid w:val="570B2279"/>
    <w:rsid w:val="57804A56"/>
    <w:rsid w:val="582317A5"/>
    <w:rsid w:val="59434C65"/>
    <w:rsid w:val="5A211CC7"/>
    <w:rsid w:val="5C9A0172"/>
    <w:rsid w:val="5CC90D38"/>
    <w:rsid w:val="5D124915"/>
    <w:rsid w:val="5F061477"/>
    <w:rsid w:val="60682812"/>
    <w:rsid w:val="607E0381"/>
    <w:rsid w:val="61354FE3"/>
    <w:rsid w:val="62886A65"/>
    <w:rsid w:val="634E739E"/>
    <w:rsid w:val="63A363CD"/>
    <w:rsid w:val="63F94DF5"/>
    <w:rsid w:val="652B34FB"/>
    <w:rsid w:val="65543810"/>
    <w:rsid w:val="66ED565E"/>
    <w:rsid w:val="66FF5D56"/>
    <w:rsid w:val="679B0775"/>
    <w:rsid w:val="67DA029A"/>
    <w:rsid w:val="68AC408D"/>
    <w:rsid w:val="696634C3"/>
    <w:rsid w:val="69DC54FE"/>
    <w:rsid w:val="6A713C22"/>
    <w:rsid w:val="6B6F668D"/>
    <w:rsid w:val="6B7A2541"/>
    <w:rsid w:val="6E581B78"/>
    <w:rsid w:val="6EC94374"/>
    <w:rsid w:val="6FD439DF"/>
    <w:rsid w:val="70324703"/>
    <w:rsid w:val="70BD665D"/>
    <w:rsid w:val="724661A5"/>
    <w:rsid w:val="73E77901"/>
    <w:rsid w:val="75AE53DC"/>
    <w:rsid w:val="76AB623E"/>
    <w:rsid w:val="793C51A6"/>
    <w:rsid w:val="795507C0"/>
    <w:rsid w:val="79B26D29"/>
    <w:rsid w:val="7AB748CD"/>
    <w:rsid w:val="7ABB4A9F"/>
    <w:rsid w:val="7B137DF5"/>
    <w:rsid w:val="7E69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2"/>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link w:val="110"/>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7"/>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3"/>
    <w:qFormat/>
    <w:uiPriority w:val="99"/>
    <w:pPr>
      <w:tabs>
        <w:tab w:val="center" w:pos="4153"/>
        <w:tab w:val="right" w:pos="8306"/>
      </w:tabs>
      <w:snapToGrid w:val="0"/>
      <w:jc w:val="left"/>
    </w:pPr>
    <w:rPr>
      <w:sz w:val="18"/>
      <w:szCs w:val="18"/>
    </w:rPr>
  </w:style>
  <w:style w:type="paragraph" w:styleId="27">
    <w:name w:val="header"/>
    <w:basedOn w:val="1"/>
    <w:link w:val="11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List 4"/>
    <w:basedOn w:val="1"/>
    <w:qFormat/>
    <w:uiPriority w:val="0"/>
    <w:pPr>
      <w:ind w:left="100" w:leftChars="600" w:hanging="200" w:hangingChars="200"/>
    </w:pPr>
    <w:rPr>
      <w:rFonts w:ascii="Times New Roman" w:hAnsi="Times New Roman" w:eastAsia="宋体"/>
    </w:rPr>
  </w:style>
  <w:style w:type="paragraph" w:styleId="34">
    <w:name w:val="Normal (Web)"/>
    <w:basedOn w:val="1"/>
    <w:link w:val="49"/>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annotation subject"/>
    <w:basedOn w:val="16"/>
    <w:next w:val="16"/>
    <w:link w:val="53"/>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6">
    <w:name w:val="Char Char4"/>
    <w:qFormat/>
    <w:uiPriority w:val="0"/>
    <w:rPr>
      <w:rFonts w:ascii="宋体" w:hAnsi="Courier New" w:eastAsia="宋体" w:cs="Courier New"/>
      <w:kern w:val="2"/>
      <w:sz w:val="21"/>
      <w:szCs w:val="21"/>
      <w:lang w:val="en-US" w:eastAsia="zh-CN" w:bidi="ar-SA"/>
    </w:rPr>
  </w:style>
  <w:style w:type="character" w:customStyle="1" w:styleId="47">
    <w:name w:val="纯文本 Char"/>
    <w:link w:val="22"/>
    <w:qFormat/>
    <w:uiPriority w:val="0"/>
    <w:rPr>
      <w:rFonts w:ascii="宋体" w:hAnsi="Courier New" w:eastAsia="宋体" w:cs="Courier New"/>
      <w:kern w:val="2"/>
      <w:sz w:val="21"/>
      <w:szCs w:val="21"/>
      <w:lang w:val="en-US" w:eastAsia="zh-CN" w:bidi="ar-SA"/>
    </w:rPr>
  </w:style>
  <w:style w:type="character" w:customStyle="1" w:styleId="48">
    <w:name w:val="Plain Text Char"/>
    <w:qFormat/>
    <w:locked/>
    <w:uiPriority w:val="0"/>
    <w:rPr>
      <w:rFonts w:ascii="宋体" w:hAnsi="Courier New" w:eastAsia="宋体" w:cs="Courier New"/>
      <w:kern w:val="2"/>
      <w:sz w:val="21"/>
      <w:szCs w:val="21"/>
      <w:lang w:val="en-US" w:eastAsia="zh-CN" w:bidi="ar-SA"/>
    </w:rPr>
  </w:style>
  <w:style w:type="character" w:customStyle="1" w:styleId="49">
    <w:name w:val="普通(网站) Char"/>
    <w:link w:val="34"/>
    <w:qFormat/>
    <w:locked/>
    <w:uiPriority w:val="0"/>
    <w:rPr>
      <w:rFonts w:ascii="宋体" w:hAnsi="宋体"/>
      <w:sz w:val="24"/>
      <w:szCs w:val="24"/>
    </w:rPr>
  </w:style>
  <w:style w:type="character" w:customStyle="1" w:styleId="50">
    <w:name w:val="apple-converted-space"/>
    <w:basedOn w:val="39"/>
    <w:qFormat/>
    <w:uiPriority w:val="0"/>
  </w:style>
  <w:style w:type="character" w:customStyle="1" w:styleId="51">
    <w:name w:val="标题 4 Char"/>
    <w:link w:val="6"/>
    <w:qFormat/>
    <w:uiPriority w:val="0"/>
    <w:rPr>
      <w:rFonts w:ascii="Arial" w:hAnsi="Arial"/>
      <w:b/>
      <w:bCs/>
      <w:kern w:val="2"/>
      <w:sz w:val="28"/>
      <w:szCs w:val="28"/>
    </w:rPr>
  </w:style>
  <w:style w:type="character" w:customStyle="1" w:styleId="52">
    <w:name w:val="批注文字 Char"/>
    <w:link w:val="16"/>
    <w:qFormat/>
    <w:uiPriority w:val="99"/>
    <w:rPr>
      <w:kern w:val="2"/>
      <w:sz w:val="21"/>
      <w:szCs w:val="24"/>
    </w:rPr>
  </w:style>
  <w:style w:type="character" w:customStyle="1" w:styleId="53">
    <w:name w:val="批注主题 Char"/>
    <w:link w:val="36"/>
    <w:qFormat/>
    <w:uiPriority w:val="0"/>
    <w:rPr>
      <w:b/>
      <w:bCs/>
      <w:kern w:val="2"/>
      <w:sz w:val="21"/>
      <w:szCs w:val="24"/>
    </w:rPr>
  </w:style>
  <w:style w:type="character" w:customStyle="1" w:styleId="54">
    <w:name w:val="Char Char2"/>
    <w:qFormat/>
    <w:uiPriority w:val="0"/>
    <w:rPr>
      <w:rFonts w:ascii="宋体" w:hAnsi="宋体" w:eastAsia="宋体"/>
      <w:kern w:val="2"/>
      <w:sz w:val="21"/>
      <w:szCs w:val="24"/>
      <w:lang w:val="en-US" w:eastAsia="zh-CN" w:bidi="ar-SA"/>
    </w:rPr>
  </w:style>
  <w:style w:type="character" w:customStyle="1" w:styleId="55">
    <w:name w:val="无间隔 Char"/>
    <w:link w:val="56"/>
    <w:qFormat/>
    <w:uiPriority w:val="0"/>
    <w:rPr>
      <w:rFonts w:ascii="Calibri" w:hAnsi="Calibri"/>
      <w:sz w:val="22"/>
      <w:szCs w:val="22"/>
      <w:lang w:val="en-US" w:eastAsia="zh-CN" w:bidi="ar-SA"/>
    </w:rPr>
  </w:style>
  <w:style w:type="paragraph" w:styleId="56">
    <w:name w:val="No Spacing"/>
    <w:link w:val="55"/>
    <w:qFormat/>
    <w:uiPriority w:val="0"/>
    <w:rPr>
      <w:rFonts w:ascii="Calibri" w:hAnsi="Calibri" w:eastAsia="宋体" w:cs="Times New Roman"/>
      <w:sz w:val="22"/>
      <w:szCs w:val="22"/>
      <w:lang w:val="en-US" w:eastAsia="zh-CN" w:bidi="ar-SA"/>
    </w:rPr>
  </w:style>
  <w:style w:type="character" w:customStyle="1" w:styleId="57">
    <w:name w:val="case31"/>
    <w:qFormat/>
    <w:uiPriority w:val="0"/>
    <w:rPr>
      <w:rFonts w:hint="default"/>
      <w:sz w:val="21"/>
      <w:szCs w:val="21"/>
    </w:rPr>
  </w:style>
  <w:style w:type="character" w:customStyle="1" w:styleId="58">
    <w:name w:val="样式 body + 仿宋_GB2312 三号"/>
    <w:qFormat/>
    <w:uiPriority w:val="0"/>
    <w:rPr>
      <w:rFonts w:ascii="宋体" w:eastAsia="宋体"/>
      <w:kern w:val="0"/>
      <w:sz w:val="24"/>
      <w:szCs w:val="24"/>
      <w:lang w:val="en-US" w:eastAsia="zh-CN" w:bidi="ar-SA"/>
    </w:rPr>
  </w:style>
  <w:style w:type="character" w:customStyle="1" w:styleId="59">
    <w:name w:val="14"/>
    <w:basedOn w:val="39"/>
    <w:qFormat/>
    <w:uiPriority w:val="0"/>
  </w:style>
  <w:style w:type="character" w:customStyle="1" w:styleId="60">
    <w:name w:val="lb1"/>
    <w:qFormat/>
    <w:uiPriority w:val="0"/>
    <w:rPr>
      <w:rFonts w:hint="default"/>
      <w:b/>
      <w:bCs/>
      <w:color w:val="0851A5"/>
      <w:sz w:val="27"/>
      <w:szCs w:val="27"/>
    </w:rPr>
  </w:style>
  <w:style w:type="character" w:customStyle="1" w:styleId="61">
    <w:name w:val="textcontents"/>
    <w:basedOn w:val="39"/>
    <w:qFormat/>
    <w:uiPriority w:val="0"/>
  </w:style>
  <w:style w:type="character" w:customStyle="1" w:styleId="62">
    <w:name w:val="Char Char Char"/>
    <w:qFormat/>
    <w:uiPriority w:val="0"/>
    <w:rPr>
      <w:rFonts w:ascii="宋体" w:hAnsi="Courier New" w:eastAsia="宋体"/>
      <w:kern w:val="2"/>
      <w:sz w:val="21"/>
      <w:lang w:val="en-US" w:eastAsia="zh-CN" w:bidi="ar-SA"/>
    </w:rPr>
  </w:style>
  <w:style w:type="paragraph" w:customStyle="1" w:styleId="63">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6">
    <w:name w:val="正文段"/>
    <w:basedOn w:val="1"/>
    <w:qFormat/>
    <w:uiPriority w:val="0"/>
    <w:pPr>
      <w:widowControl/>
      <w:snapToGrid w:val="0"/>
      <w:spacing w:afterLines="50"/>
      <w:ind w:firstLine="200" w:firstLineChars="200"/>
    </w:pPr>
    <w:rPr>
      <w:kern w:val="0"/>
      <w:sz w:val="24"/>
      <w:szCs w:val="20"/>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9">
    <w:name w:val="正文首行缩进两字符"/>
    <w:basedOn w:val="1"/>
    <w:qFormat/>
    <w:uiPriority w:val="0"/>
    <w:pPr>
      <w:spacing w:line="360" w:lineRule="auto"/>
      <w:ind w:firstLine="200" w:firstLineChars="200"/>
    </w:pPr>
  </w:style>
  <w:style w:type="paragraph" w:customStyle="1" w:styleId="70">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1">
    <w:name w:val="Char2"/>
    <w:basedOn w:val="15"/>
    <w:semiHidden/>
    <w:qFormat/>
    <w:uiPriority w:val="0"/>
    <w:rPr>
      <w:rFonts w:ascii="Tahoma" w:hAnsi="Tahoma" w:cs="Tahoma"/>
      <w:kern w:val="0"/>
      <w:sz w:val="18"/>
    </w:rPr>
  </w:style>
  <w:style w:type="paragraph" w:customStyle="1" w:styleId="7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3">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4">
    <w:name w:val="表格"/>
    <w:basedOn w:val="1"/>
    <w:qFormat/>
    <w:uiPriority w:val="0"/>
    <w:pPr>
      <w:spacing w:line="400" w:lineRule="exact"/>
    </w:pPr>
    <w:rPr>
      <w:sz w:val="24"/>
    </w:rPr>
  </w:style>
  <w:style w:type="paragraph" w:customStyle="1" w:styleId="75">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6">
    <w:name w:val="_Style 81"/>
    <w:basedOn w:val="15"/>
    <w:qFormat/>
    <w:uiPriority w:val="0"/>
    <w:pPr>
      <w:widowControl/>
      <w:ind w:firstLine="454"/>
      <w:jc w:val="left"/>
    </w:pPr>
  </w:style>
  <w:style w:type="paragraph" w:customStyle="1" w:styleId="77">
    <w:name w:val="样式 首行缩进:  2 字符"/>
    <w:basedOn w:val="1"/>
    <w:qFormat/>
    <w:uiPriority w:val="0"/>
    <w:pPr>
      <w:spacing w:line="400" w:lineRule="exact"/>
      <w:ind w:firstLine="200" w:firstLineChars="200"/>
    </w:pPr>
    <w:rPr>
      <w:rFonts w:cs="宋体"/>
      <w:sz w:val="24"/>
    </w:rPr>
  </w:style>
  <w:style w:type="paragraph" w:customStyle="1" w:styleId="78">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9">
    <w:name w:val="Char1"/>
    <w:basedOn w:val="1"/>
    <w:qFormat/>
    <w:uiPriority w:val="0"/>
    <w:rPr>
      <w:szCs w:val="21"/>
    </w:rPr>
  </w:style>
  <w:style w:type="paragraph" w:customStyle="1" w:styleId="8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2">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3">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
    <w:name w:val="Char Char Char Char Char Char"/>
    <w:basedOn w:val="1"/>
    <w:qFormat/>
    <w:uiPriority w:val="0"/>
  </w:style>
  <w:style w:type="paragraph" w:customStyle="1" w:styleId="8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0">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1">
    <w:name w:val="修订1"/>
    <w:qFormat/>
    <w:uiPriority w:val="0"/>
    <w:rPr>
      <w:rFonts w:ascii="Times New Roman" w:hAnsi="Times New Roman" w:eastAsia="宋体" w:cs="Times New Roman"/>
      <w:kern w:val="2"/>
      <w:sz w:val="21"/>
      <w:szCs w:val="24"/>
      <w:lang w:val="en-US" w:eastAsia="zh-CN" w:bidi="ar-SA"/>
    </w:rPr>
  </w:style>
  <w:style w:type="paragraph" w:customStyle="1" w:styleId="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4">
    <w:name w:val="font7"/>
    <w:basedOn w:val="1"/>
    <w:qFormat/>
    <w:uiPriority w:val="0"/>
    <w:pPr>
      <w:widowControl/>
      <w:spacing w:before="100" w:beforeAutospacing="1" w:after="100" w:afterAutospacing="1"/>
      <w:jc w:val="left"/>
    </w:pPr>
    <w:rPr>
      <w:kern w:val="0"/>
      <w:sz w:val="16"/>
      <w:szCs w:val="16"/>
    </w:rPr>
  </w:style>
  <w:style w:type="paragraph" w:customStyle="1" w:styleId="95">
    <w:name w:val="Char"/>
    <w:basedOn w:val="1"/>
    <w:qFormat/>
    <w:uiPriority w:val="0"/>
  </w:style>
  <w:style w:type="paragraph" w:customStyle="1" w:styleId="96">
    <w:name w:val="默认段落字体 Para Char"/>
    <w:basedOn w:val="1"/>
    <w:qFormat/>
    <w:uiPriority w:val="0"/>
    <w:pPr>
      <w:adjustRightInd w:val="0"/>
      <w:spacing w:line="360" w:lineRule="auto"/>
    </w:pPr>
    <w:rPr>
      <w:kern w:val="0"/>
      <w:sz w:val="24"/>
      <w:szCs w:val="20"/>
    </w:r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8">
    <w:name w:val="Char3"/>
    <w:basedOn w:val="15"/>
    <w:qFormat/>
    <w:uiPriority w:val="0"/>
    <w:pPr>
      <w:widowControl/>
      <w:ind w:firstLine="454"/>
      <w:jc w:val="left"/>
    </w:pPr>
    <w:rPr>
      <w:rFonts w:ascii="Tahoma" w:hAnsi="Tahoma" w:cs="宋体"/>
      <w:kern w:val="0"/>
      <w:sz w:val="24"/>
      <w:szCs w:val="20"/>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100">
    <w:name w:val="List Paragraph"/>
    <w:basedOn w:val="1"/>
    <w:qFormat/>
    <w:uiPriority w:val="0"/>
    <w:pPr>
      <w:widowControl/>
      <w:ind w:firstLine="420" w:firstLineChars="200"/>
      <w:jc w:val="left"/>
    </w:pPr>
    <w:rPr>
      <w:rFonts w:ascii="宋体" w:hAnsi="宋体" w:cs="宋体"/>
      <w:kern w:val="0"/>
      <w:sz w:val="24"/>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3">
    <w:name w:val="表内文字"/>
    <w:basedOn w:val="1"/>
    <w:qFormat/>
    <w:uiPriority w:val="0"/>
    <w:pPr>
      <w:snapToGrid w:val="0"/>
      <w:jc w:val="center"/>
    </w:pPr>
    <w:rPr>
      <w:rFonts w:ascii="宋体" w:hAnsi="宋体"/>
      <w:color w:val="FF0000"/>
      <w:sz w:val="24"/>
    </w:rPr>
  </w:style>
  <w:style w:type="paragraph" w:customStyle="1" w:styleId="10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9">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10">
    <w:name w:val="正文文本缩进 Char"/>
    <w:link w:val="18"/>
    <w:qFormat/>
    <w:uiPriority w:val="0"/>
    <w:rPr>
      <w:rFonts w:ascii="仿宋_GB2312" w:eastAsia="仿宋_GB2312"/>
      <w:kern w:val="2"/>
      <w:sz w:val="32"/>
    </w:rPr>
  </w:style>
  <w:style w:type="paragraph" w:customStyle="1" w:styleId="11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2">
    <w:name w:val="页眉 Char"/>
    <w:basedOn w:val="39"/>
    <w:link w:val="27"/>
    <w:qFormat/>
    <w:uiPriority w:val="99"/>
    <w:rPr>
      <w:kern w:val="2"/>
      <w:sz w:val="18"/>
      <w:szCs w:val="18"/>
    </w:rPr>
  </w:style>
  <w:style w:type="character" w:customStyle="1" w:styleId="113">
    <w:name w:val="页脚 Char"/>
    <w:basedOn w:val="39"/>
    <w:link w:val="26"/>
    <w:qFormat/>
    <w:uiPriority w:val="99"/>
    <w:rPr>
      <w:kern w:val="2"/>
      <w:sz w:val="18"/>
      <w:szCs w:val="18"/>
    </w:rPr>
  </w:style>
  <w:style w:type="paragraph" w:customStyle="1" w:styleId="114">
    <w:name w:val="1"/>
    <w:basedOn w:val="1"/>
    <w:next w:val="22"/>
    <w:qFormat/>
    <w:uiPriority w:val="0"/>
    <w:rPr>
      <w:rFonts w:ascii="宋体" w:hAnsi="Courier New"/>
      <w:szCs w:val="20"/>
    </w:rPr>
  </w:style>
  <w:style w:type="paragraph" w:customStyle="1" w:styleId="115">
    <w:name w:val="link_wenben"/>
    <w:basedOn w:val="3"/>
    <w:qFormat/>
    <w:uiPriority w:val="0"/>
    <w:pPr>
      <w:keepNext w:val="0"/>
      <w:keepLines w:val="0"/>
      <w:tabs>
        <w:tab w:val="left" w:pos="420"/>
      </w:tabs>
      <w:adjustRightInd w:val="0"/>
      <w:spacing w:before="0" w:afterLines="25" w:line="360" w:lineRule="auto"/>
      <w:ind w:firstLine="200" w:firstLineChars="200"/>
      <w:jc w:val="left"/>
      <w:outlineLvl w:val="9"/>
    </w:pPr>
    <w:rPr>
      <w:rFonts w:ascii="宋体" w:hAnsi="宋体" w:eastAsia="仿宋"/>
      <w:b w:val="0"/>
      <w:bCs w:val="0"/>
      <w:kern w:val="2"/>
      <w:sz w:val="24"/>
      <w:szCs w:val="24"/>
    </w:rPr>
  </w:style>
  <w:style w:type="paragraph" w:customStyle="1" w:styleId="116">
    <w:name w:val="_正文段落"/>
    <w:basedOn w:val="1"/>
    <w:qFormat/>
    <w:uiPriority w:val="0"/>
    <w:pPr>
      <w:spacing w:line="360" w:lineRule="auto"/>
      <w:ind w:firstLine="200" w:firstLineChars="200"/>
    </w:pPr>
    <w:rPr>
      <w:rFonts w:ascii="仿宋_GB2312" w:hAnsi="宋体" w:eastAsia="仿宋_GB2312" w:cstheme="minorBidi"/>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5522</Words>
  <Characters>31478</Characters>
  <Lines>262</Lines>
  <Paragraphs>73</Paragraphs>
  <TotalTime>6</TotalTime>
  <ScaleCrop>false</ScaleCrop>
  <LinksUpToDate>false</LinksUpToDate>
  <CharactersWithSpaces>36927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NTKO</cp:lastModifiedBy>
  <cp:lastPrinted>2018-10-23T02:55:00Z</cp:lastPrinted>
  <dcterms:modified xsi:type="dcterms:W3CDTF">2020-12-31T07:02:23Z</dcterms:modified>
  <dc:title>广西壮族自治区建设工程机电设备招标中心</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