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z w:val="24"/>
          <w:highlight w:val="none"/>
          <w:vertAlign w:val="subscript"/>
        </w:rPr>
      </w:pPr>
      <w:bookmarkStart w:id="109" w:name="_GoBack"/>
    </w:p>
    <w:p>
      <w:pPr>
        <w:jc w:val="center"/>
        <w:rPr>
          <w:rFonts w:ascii="宋体" w:hAnsi="宋体"/>
          <w:b/>
          <w:color w:val="auto"/>
          <w:sz w:val="76"/>
          <w:szCs w:val="72"/>
          <w:highlight w:val="none"/>
        </w:rPr>
      </w:pPr>
      <w:r>
        <w:rPr>
          <w:rFonts w:hint="eastAsia" w:ascii="宋体" w:hAnsi="宋体"/>
          <w:b/>
          <w:color w:val="auto"/>
          <w:sz w:val="56"/>
          <w:szCs w:val="72"/>
          <w:highlight w:val="none"/>
        </w:rPr>
        <w:t>南宁政府采购服务</w:t>
      </w:r>
    </w:p>
    <w:p>
      <w:pPr>
        <w:jc w:val="center"/>
        <w:rPr>
          <w:rFonts w:ascii="宋体" w:hAnsi="宋体"/>
          <w:b/>
          <w:color w:val="auto"/>
          <w:sz w:val="58"/>
          <w:szCs w:val="72"/>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公 开 招 标 文 件</w:t>
      </w:r>
    </w:p>
    <w:p>
      <w:pPr>
        <w:jc w:val="center"/>
        <w:rPr>
          <w:rFonts w:ascii="宋体" w:hAnsi="宋体"/>
          <w:b/>
          <w:color w:val="auto"/>
          <w:sz w:val="56"/>
          <w:szCs w:val="72"/>
          <w:highlight w:val="none"/>
        </w:rPr>
      </w:pPr>
      <w:r>
        <w:rPr>
          <w:rFonts w:hint="eastAsia" w:ascii="宋体" w:hAnsi="宋体"/>
          <w:b/>
          <w:color w:val="auto"/>
          <w:sz w:val="56"/>
          <w:szCs w:val="72"/>
          <w:highlight w:val="none"/>
        </w:rPr>
        <w:t xml:space="preserve"> </w:t>
      </w: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tabs>
          <w:tab w:val="left" w:pos="5640"/>
        </w:tabs>
        <w:snapToGrid w:val="0"/>
        <w:spacing w:line="360" w:lineRule="auto"/>
        <w:ind w:left="907" w:leftChars="432" w:firstLine="542" w:firstLineChars="150"/>
        <w:rPr>
          <w:rFonts w:hAnsi="宋体"/>
          <w:b/>
          <w:color w:val="auto"/>
          <w:sz w:val="36"/>
          <w:szCs w:val="36"/>
          <w:highlight w:val="none"/>
        </w:rPr>
      </w:pPr>
      <w:r>
        <w:rPr>
          <w:rFonts w:hint="eastAsia" w:hAnsi="宋体"/>
          <w:b/>
          <w:bCs/>
          <w:color w:val="auto"/>
          <w:sz w:val="36"/>
          <w:szCs w:val="36"/>
          <w:highlight w:val="none"/>
        </w:rPr>
        <w:t>项目名称：</w:t>
      </w:r>
      <w:r>
        <w:rPr>
          <w:rFonts w:hint="eastAsia" w:hAnsi="宋体"/>
          <w:b/>
          <w:color w:val="auto"/>
          <w:sz w:val="36"/>
          <w:szCs w:val="36"/>
          <w:highlight w:val="none"/>
          <w:u w:val="single"/>
          <w:lang w:eastAsia="zh-CN"/>
        </w:rPr>
        <w:t>南宁市公共服务大数据治理与应用平台项目监理</w:t>
      </w:r>
      <w:r>
        <w:rPr>
          <w:rFonts w:hint="eastAsia" w:hAnsi="宋体"/>
          <w:b/>
          <w:color w:val="auto"/>
          <w:sz w:val="36"/>
          <w:szCs w:val="36"/>
          <w:highlight w:val="none"/>
          <w:u w:val="single"/>
        </w:rPr>
        <w:t xml:space="preserve"> </w:t>
      </w:r>
      <w:r>
        <w:rPr>
          <w:rFonts w:hint="eastAsia" w:hAnsi="宋体"/>
          <w:b/>
          <w:color w:val="auto"/>
          <w:sz w:val="28"/>
          <w:szCs w:val="36"/>
          <w:highlight w:val="none"/>
          <w:u w:val="single"/>
        </w:rPr>
        <w:t xml:space="preserve"> </w:t>
      </w:r>
      <w:r>
        <w:rPr>
          <w:rFonts w:hint="eastAsia" w:hAnsi="宋体"/>
          <w:b/>
          <w:color w:val="auto"/>
          <w:sz w:val="36"/>
          <w:szCs w:val="36"/>
          <w:highlight w:val="none"/>
        </w:rPr>
        <w:t xml:space="preserve"> </w:t>
      </w:r>
    </w:p>
    <w:p>
      <w:pPr>
        <w:pStyle w:val="22"/>
        <w:tabs>
          <w:tab w:val="left" w:pos="5640"/>
        </w:tabs>
        <w:snapToGrid w:val="0"/>
        <w:spacing w:line="360" w:lineRule="auto"/>
        <w:ind w:left="907" w:leftChars="432" w:firstLine="542" w:firstLineChars="150"/>
        <w:rPr>
          <w:rFonts w:hAnsi="宋体"/>
          <w:b/>
          <w:bCs/>
          <w:color w:val="auto"/>
          <w:w w:val="95"/>
          <w:sz w:val="36"/>
          <w:szCs w:val="36"/>
          <w:highlight w:val="none"/>
        </w:rPr>
      </w:pPr>
      <w:r>
        <w:rPr>
          <w:rFonts w:hint="eastAsia" w:hAnsi="宋体"/>
          <w:b/>
          <w:bCs/>
          <w:color w:val="auto"/>
          <w:sz w:val="36"/>
          <w:szCs w:val="36"/>
          <w:highlight w:val="none"/>
        </w:rPr>
        <w:t>项目编号：</w:t>
      </w:r>
      <w:r>
        <w:rPr>
          <w:rFonts w:hint="eastAsia" w:hAnsi="宋体"/>
          <w:b/>
          <w:color w:val="auto"/>
          <w:sz w:val="36"/>
          <w:szCs w:val="36"/>
          <w:highlight w:val="none"/>
          <w:u w:val="single"/>
          <w:lang w:eastAsia="zh-CN"/>
        </w:rPr>
        <w:t>NNZC2020-G3-990641-JGJD</w:t>
      </w:r>
      <w:r>
        <w:rPr>
          <w:rFonts w:hint="eastAsia" w:hAnsi="宋体"/>
          <w:b/>
          <w:color w:val="auto"/>
          <w:sz w:val="36"/>
          <w:szCs w:val="36"/>
          <w:highlight w:val="none"/>
          <w:u w:val="single"/>
        </w:rPr>
        <w:t xml:space="preserve">  </w:t>
      </w:r>
    </w:p>
    <w:p>
      <w:pPr>
        <w:pStyle w:val="22"/>
        <w:tabs>
          <w:tab w:val="left" w:pos="5640"/>
        </w:tabs>
        <w:snapToGrid w:val="0"/>
        <w:spacing w:line="360" w:lineRule="auto"/>
        <w:ind w:left="907" w:leftChars="432" w:firstLine="542" w:firstLineChars="150"/>
        <w:rPr>
          <w:rFonts w:hAnsi="宋体"/>
          <w:b/>
          <w:bCs/>
          <w:color w:val="auto"/>
          <w:sz w:val="36"/>
          <w:szCs w:val="36"/>
          <w:highlight w:val="none"/>
        </w:rPr>
      </w:pPr>
      <w:r>
        <w:rPr>
          <w:rFonts w:hint="eastAsia" w:hAnsi="宋体"/>
          <w:b/>
          <w:bCs/>
          <w:color w:val="auto"/>
          <w:sz w:val="36"/>
          <w:szCs w:val="36"/>
          <w:highlight w:val="none"/>
        </w:rPr>
        <w:t>审批编号：</w:t>
      </w:r>
      <w:r>
        <w:rPr>
          <w:rFonts w:hint="eastAsia" w:hAnsi="宋体"/>
          <w:b/>
          <w:color w:val="auto"/>
          <w:sz w:val="36"/>
          <w:szCs w:val="36"/>
          <w:highlight w:val="none"/>
          <w:u w:val="single"/>
          <w:lang w:eastAsia="zh-CN"/>
        </w:rPr>
        <w:t xml:space="preserve"> [2020]NCCJA094/4 </w:t>
      </w:r>
      <w:r>
        <w:rPr>
          <w:rFonts w:hint="eastAsia" w:hAnsi="宋体"/>
          <w:b/>
          <w:color w:val="auto"/>
          <w:sz w:val="36"/>
          <w:szCs w:val="36"/>
          <w:highlight w:val="none"/>
          <w:u w:val="single"/>
        </w:rPr>
        <w:t xml:space="preserve">  </w:t>
      </w:r>
    </w:p>
    <w:p>
      <w:pPr>
        <w:pStyle w:val="22"/>
        <w:snapToGrid w:val="0"/>
        <w:ind w:firstLine="673" w:firstLineChars="196"/>
        <w:jc w:val="center"/>
        <w:rPr>
          <w:rFonts w:hAnsi="宋体"/>
          <w:b/>
          <w:bCs/>
          <w:color w:val="auto"/>
          <w:w w:val="95"/>
          <w:sz w:val="36"/>
          <w:szCs w:val="36"/>
          <w:highlight w:val="none"/>
        </w:rPr>
      </w:pPr>
    </w:p>
    <w:p>
      <w:pPr>
        <w:pStyle w:val="22"/>
        <w:snapToGrid w:val="0"/>
        <w:ind w:firstLine="673" w:firstLineChars="196"/>
        <w:jc w:val="center"/>
        <w:rPr>
          <w:rFonts w:hAnsi="宋体"/>
          <w:b/>
          <w:bCs/>
          <w:color w:val="auto"/>
          <w:w w:val="95"/>
          <w:sz w:val="36"/>
          <w:szCs w:val="36"/>
          <w:highlight w:val="none"/>
        </w:rPr>
      </w:pPr>
    </w:p>
    <w:p>
      <w:pPr>
        <w:pStyle w:val="22"/>
        <w:snapToGrid w:val="0"/>
        <w:spacing w:line="360" w:lineRule="auto"/>
        <w:ind w:firstLine="0" w:firstLineChars="0"/>
        <w:jc w:val="left"/>
        <w:rPr>
          <w:rFonts w:hAnsi="宋体"/>
          <w:b/>
          <w:color w:val="auto"/>
          <w:sz w:val="36"/>
          <w:szCs w:val="36"/>
          <w:highlight w:val="none"/>
          <w:u w:val="single"/>
        </w:rPr>
      </w:pPr>
      <w:r>
        <w:rPr>
          <w:rFonts w:hint="eastAsia" w:hAnsi="宋体"/>
          <w:b/>
          <w:bCs/>
          <w:color w:val="auto"/>
          <w:w w:val="95"/>
          <w:sz w:val="36"/>
          <w:szCs w:val="36"/>
          <w:highlight w:val="none"/>
        </w:rPr>
        <w:t>采购单位：</w:t>
      </w:r>
      <w:r>
        <w:rPr>
          <w:rFonts w:hint="eastAsia" w:hAnsi="宋体"/>
          <w:b/>
          <w:color w:val="auto"/>
          <w:sz w:val="36"/>
          <w:szCs w:val="36"/>
          <w:highlight w:val="none"/>
          <w:u w:val="single"/>
        </w:rPr>
        <w:t xml:space="preserve">南宁市信息网络管理中心 </w:t>
      </w:r>
    </w:p>
    <w:p>
      <w:pPr>
        <w:pStyle w:val="22"/>
        <w:snapToGrid w:val="0"/>
        <w:spacing w:line="360" w:lineRule="auto"/>
        <w:ind w:firstLine="0" w:firstLineChars="0"/>
        <w:jc w:val="left"/>
        <w:rPr>
          <w:rFonts w:hAnsi="宋体"/>
          <w:b/>
          <w:color w:val="auto"/>
          <w:sz w:val="36"/>
          <w:szCs w:val="36"/>
          <w:highlight w:val="none"/>
          <w:u w:val="single"/>
        </w:rPr>
      </w:pPr>
      <w:r>
        <w:rPr>
          <w:rFonts w:hint="eastAsia" w:hAnsi="宋体"/>
          <w:b/>
          <w:bCs/>
          <w:color w:val="auto"/>
          <w:w w:val="95"/>
          <w:sz w:val="36"/>
          <w:szCs w:val="36"/>
          <w:highlight w:val="none"/>
        </w:rPr>
        <w:t>代理机构：</w:t>
      </w:r>
      <w:r>
        <w:rPr>
          <w:rFonts w:hint="eastAsia" w:hAnsi="宋体"/>
          <w:b/>
          <w:bCs/>
          <w:color w:val="auto"/>
          <w:sz w:val="36"/>
          <w:szCs w:val="36"/>
          <w:highlight w:val="none"/>
          <w:u w:val="single"/>
        </w:rPr>
        <w:t>广西建设工程机电设备招标中心有限公司</w:t>
      </w:r>
    </w:p>
    <w:p>
      <w:pPr>
        <w:pStyle w:val="22"/>
        <w:snapToGrid w:val="0"/>
        <w:spacing w:line="360" w:lineRule="auto"/>
        <w:ind w:firstLine="3345" w:firstLineChars="974"/>
        <w:rPr>
          <w:rFonts w:hAnsi="宋体"/>
          <w:b/>
          <w:color w:val="auto"/>
          <w:w w:val="95"/>
          <w:sz w:val="36"/>
          <w:szCs w:val="36"/>
          <w:highlight w:val="none"/>
        </w:rPr>
      </w:pPr>
      <w:r>
        <w:rPr>
          <w:rFonts w:hint="eastAsia" w:hAnsi="宋体"/>
          <w:b/>
          <w:bCs/>
          <w:color w:val="auto"/>
          <w:w w:val="95"/>
          <w:sz w:val="36"/>
          <w:szCs w:val="36"/>
          <w:highlight w:val="none"/>
        </w:rPr>
        <w:t xml:space="preserve"> </w:t>
      </w:r>
      <w:r>
        <w:rPr>
          <w:rFonts w:hint="eastAsia" w:hAnsi="宋体"/>
          <w:b/>
          <w:color w:val="auto"/>
          <w:sz w:val="36"/>
          <w:szCs w:val="36"/>
          <w:highlight w:val="none"/>
          <w:u w:val="single"/>
        </w:rPr>
        <w:t xml:space="preserve"> 20</w:t>
      </w:r>
      <w:r>
        <w:rPr>
          <w:rFonts w:hint="eastAsia" w:hAnsi="宋体"/>
          <w:b/>
          <w:color w:val="auto"/>
          <w:sz w:val="36"/>
          <w:szCs w:val="36"/>
          <w:highlight w:val="none"/>
          <w:u w:val="single"/>
          <w:lang w:val="en-US" w:eastAsia="zh-CN"/>
        </w:rPr>
        <w:t>20</w:t>
      </w:r>
      <w:r>
        <w:rPr>
          <w:rFonts w:hint="eastAsia" w:hAnsi="宋体"/>
          <w:b/>
          <w:bCs/>
          <w:color w:val="auto"/>
          <w:w w:val="95"/>
          <w:sz w:val="36"/>
          <w:szCs w:val="36"/>
          <w:highlight w:val="none"/>
        </w:rPr>
        <w:t>年</w:t>
      </w:r>
      <w:r>
        <w:rPr>
          <w:rFonts w:hint="eastAsia" w:hAnsi="宋体"/>
          <w:b/>
          <w:color w:val="auto"/>
          <w:sz w:val="36"/>
          <w:szCs w:val="36"/>
          <w:highlight w:val="none"/>
          <w:u w:val="single"/>
          <w:lang w:val="en-US" w:eastAsia="zh-CN"/>
        </w:rPr>
        <w:t>12</w:t>
      </w:r>
      <w:r>
        <w:rPr>
          <w:rFonts w:hint="eastAsia" w:hAnsi="宋体"/>
          <w:b/>
          <w:bCs/>
          <w:color w:val="auto"/>
          <w:w w:val="95"/>
          <w:sz w:val="36"/>
          <w:szCs w:val="36"/>
          <w:highlight w:val="none"/>
        </w:rPr>
        <w:t>月</w:t>
      </w:r>
      <w:r>
        <w:rPr>
          <w:rFonts w:hint="eastAsia" w:hAnsi="宋体"/>
          <w:b/>
          <w:color w:val="auto"/>
          <w:sz w:val="36"/>
          <w:szCs w:val="36"/>
          <w:highlight w:val="none"/>
          <w:u w:val="single"/>
          <w:lang w:val="en-US" w:eastAsia="zh-CN"/>
        </w:rPr>
        <w:t>31</w:t>
      </w:r>
      <w:r>
        <w:rPr>
          <w:rFonts w:hint="eastAsia" w:hAnsi="宋体"/>
          <w:b/>
          <w:bCs/>
          <w:color w:val="auto"/>
          <w:w w:val="95"/>
          <w:sz w:val="36"/>
          <w:szCs w:val="36"/>
          <w:highlight w:val="none"/>
        </w:rPr>
        <w:t>日</w:t>
      </w:r>
    </w:p>
    <w:p>
      <w:pPr>
        <w:pStyle w:val="22"/>
        <w:snapToGrid w:val="0"/>
        <w:rPr>
          <w:rFonts w:hAnsi="宋体"/>
          <w:b/>
          <w:color w:val="auto"/>
          <w:sz w:val="28"/>
          <w:szCs w:val="28"/>
          <w:highlight w:val="none"/>
        </w:rPr>
      </w:pPr>
    </w:p>
    <w:p>
      <w:pPr>
        <w:rPr>
          <w:color w:val="auto"/>
          <w:highlight w:val="none"/>
        </w:rPr>
      </w:pPr>
    </w:p>
    <w:p>
      <w:pPr>
        <w:rPr>
          <w:color w:val="auto"/>
          <w:highlight w:val="none"/>
        </w:rPr>
      </w:pPr>
    </w:p>
    <w:p>
      <w:pPr>
        <w:rPr>
          <w:color w:val="auto"/>
          <w:highlight w:val="none"/>
        </w:rPr>
      </w:pPr>
    </w:p>
    <w:p>
      <w:pPr>
        <w:pStyle w:val="26"/>
        <w:framePr w:wrap="around" w:vAnchor="text" w:hAnchor="page" w:x="9837" w:y="1"/>
        <w:rPr>
          <w:rStyle w:val="41"/>
          <w:rFonts w:ascii="仿宋" w:hAnsi="仿宋" w:eastAsia="仿宋"/>
          <w:color w:val="auto"/>
          <w:sz w:val="28"/>
          <w:szCs w:val="28"/>
          <w:highlight w:val="none"/>
        </w:rPr>
      </w:pPr>
    </w:p>
    <w:p>
      <w:pPr>
        <w:pStyle w:val="22"/>
        <w:snapToGrid w:val="0"/>
        <w:jc w:val="right"/>
        <w:rPr>
          <w:color w:val="auto"/>
          <w:highlight w:val="none"/>
        </w:rPr>
      </w:pPr>
    </w:p>
    <w:p>
      <w:pPr>
        <w:pStyle w:val="22"/>
        <w:snapToGrid w:val="0"/>
        <w:rPr>
          <w:rFonts w:hAnsi="宋体"/>
          <w:b/>
          <w:color w:val="auto"/>
          <w:sz w:val="28"/>
          <w:szCs w:val="28"/>
          <w:highlight w:val="none"/>
        </w:rPr>
      </w:pPr>
      <w:r>
        <w:rPr>
          <w:rFonts w:hint="eastAsia" w:hAnsi="宋体"/>
          <w:b/>
          <w:color w:val="auto"/>
          <w:sz w:val="28"/>
          <w:szCs w:val="28"/>
          <w:highlight w:val="none"/>
        </w:rPr>
        <w:t xml:space="preserve">            </w:t>
      </w:r>
    </w:p>
    <w:p>
      <w:pPr>
        <w:rPr>
          <w:rFonts w:ascii="宋体" w:cs="宋体"/>
          <w:b/>
          <w:color w:val="auto"/>
          <w:sz w:val="44"/>
          <w:szCs w:val="44"/>
          <w:highlight w:val="none"/>
        </w:rPr>
      </w:pPr>
    </w:p>
    <w:p>
      <w:pPr>
        <w:pStyle w:val="22"/>
        <w:snapToGrid w:val="0"/>
        <w:ind w:right="140"/>
        <w:jc w:val="center"/>
        <w:rPr>
          <w:rFonts w:hAnsi="宋体"/>
          <w:b/>
          <w:color w:val="auto"/>
          <w:sz w:val="44"/>
          <w:szCs w:val="44"/>
          <w:highlight w:val="none"/>
        </w:rPr>
      </w:pPr>
      <w:r>
        <w:rPr>
          <w:rFonts w:hint="eastAsia" w:hAnsi="宋体"/>
          <w:b/>
          <w:color w:val="auto"/>
          <w:sz w:val="44"/>
          <w:szCs w:val="44"/>
          <w:highlight w:val="none"/>
        </w:rPr>
        <w:t>目    录</w:t>
      </w:r>
    </w:p>
    <w:p>
      <w:pPr>
        <w:pStyle w:val="28"/>
        <w:tabs>
          <w:tab w:val="right" w:leader="dot" w:pos="8997"/>
          <w:tab w:val="clear" w:pos="8398"/>
        </w:tabs>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TOC \o "1-3" \h \z \u</w:instrText>
      </w:r>
      <w:r>
        <w:rPr>
          <w:color w:val="auto"/>
          <w:highlight w:val="none"/>
        </w:rPr>
        <w:instrText xml:space="preserve"> </w:instrText>
      </w:r>
      <w:r>
        <w:rPr>
          <w:color w:val="auto"/>
          <w:highlight w:val="none"/>
        </w:rPr>
        <w:fldChar w:fldCharType="separate"/>
      </w:r>
      <w:r>
        <w:rPr>
          <w:color w:val="auto"/>
          <w:highlight w:val="none"/>
        </w:rPr>
        <w:fldChar w:fldCharType="begin"/>
      </w:r>
      <w:r>
        <w:rPr>
          <w:color w:val="auto"/>
          <w:highlight w:val="none"/>
        </w:rPr>
        <w:instrText xml:space="preserve"> HYPERLINK \l _Toc31507 </w:instrText>
      </w:r>
      <w:r>
        <w:rPr>
          <w:color w:val="auto"/>
          <w:highlight w:val="none"/>
        </w:rPr>
        <w:fldChar w:fldCharType="separate"/>
      </w:r>
      <w:r>
        <w:rPr>
          <w:rFonts w:hint="eastAsia" w:hAnsi="宋体"/>
          <w:color w:val="auto"/>
          <w:szCs w:val="44"/>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_Toc31507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pPr>
        <w:pStyle w:val="28"/>
        <w:tabs>
          <w:tab w:val="right" w:leader="dot" w:pos="8997"/>
          <w:tab w:val="clear" w:pos="8398"/>
        </w:tabs>
        <w:ind w:firstLine="241" w:firstLineChars="100"/>
        <w:rPr>
          <w:color w:val="auto"/>
          <w:highlight w:val="none"/>
        </w:rPr>
      </w:pPr>
      <w:r>
        <w:rPr>
          <w:color w:val="auto"/>
          <w:highlight w:val="none"/>
        </w:rPr>
        <w:fldChar w:fldCharType="begin"/>
      </w:r>
      <w:r>
        <w:rPr>
          <w:color w:val="auto"/>
          <w:highlight w:val="none"/>
        </w:rPr>
        <w:instrText xml:space="preserve"> HYPERLINK \l _Toc28706 </w:instrText>
      </w:r>
      <w:r>
        <w:rPr>
          <w:color w:val="auto"/>
          <w:highlight w:val="none"/>
        </w:rPr>
        <w:fldChar w:fldCharType="separate"/>
      </w:r>
      <w:r>
        <w:rPr>
          <w:rFonts w:hint="eastAsia" w:ascii="宋体" w:hAnsi="宋体"/>
          <w:color w:val="auto"/>
          <w:szCs w:val="44"/>
          <w:highlight w:val="none"/>
        </w:rPr>
        <w:t xml:space="preserve">第二章 </w:t>
      </w:r>
      <w:r>
        <w:rPr>
          <w:rFonts w:hint="eastAsia" w:ascii="宋体" w:hAnsi="宋体"/>
          <w:bCs/>
          <w:color w:val="auto"/>
          <w:szCs w:val="44"/>
          <w:highlight w:val="none"/>
        </w:rPr>
        <w:t>招</w:t>
      </w:r>
      <w:r>
        <w:rPr>
          <w:rFonts w:hint="eastAsia" w:ascii="宋体" w:hAnsi="宋体"/>
          <w:color w:val="auto"/>
          <w:szCs w:val="44"/>
          <w:highlight w:val="none"/>
        </w:rPr>
        <w:t>标项目采购需求</w:t>
      </w:r>
      <w:r>
        <w:rPr>
          <w:color w:val="auto"/>
          <w:highlight w:val="none"/>
        </w:rPr>
        <w:tab/>
      </w:r>
      <w:r>
        <w:rPr>
          <w:color w:val="auto"/>
          <w:highlight w:val="none"/>
        </w:rPr>
        <w:fldChar w:fldCharType="begin"/>
      </w:r>
      <w:r>
        <w:rPr>
          <w:color w:val="auto"/>
          <w:highlight w:val="none"/>
        </w:rPr>
        <w:instrText xml:space="preserve"> PAGEREF _Toc28706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pPr>
        <w:pStyle w:val="28"/>
        <w:tabs>
          <w:tab w:val="right" w:leader="dot" w:pos="8997"/>
          <w:tab w:val="clear" w:pos="8398"/>
        </w:tabs>
        <w:ind w:firstLine="241" w:firstLineChars="100"/>
        <w:rPr>
          <w:color w:val="auto"/>
          <w:highlight w:val="none"/>
        </w:rPr>
      </w:pPr>
      <w:r>
        <w:rPr>
          <w:color w:val="auto"/>
          <w:highlight w:val="none"/>
        </w:rPr>
        <w:fldChar w:fldCharType="begin"/>
      </w:r>
      <w:r>
        <w:rPr>
          <w:color w:val="auto"/>
          <w:highlight w:val="none"/>
        </w:rPr>
        <w:instrText xml:space="preserve"> HYPERLINK \l _Toc3476 </w:instrText>
      </w:r>
      <w:r>
        <w:rPr>
          <w:color w:val="auto"/>
          <w:highlight w:val="none"/>
        </w:rPr>
        <w:fldChar w:fldCharType="separate"/>
      </w:r>
      <w:r>
        <w:rPr>
          <w:rFonts w:hint="eastAsia" w:ascii="宋体" w:hAnsi="宋体"/>
          <w:color w:val="auto"/>
          <w:szCs w:val="4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_Toc3476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pPr>
        <w:pStyle w:val="28"/>
        <w:tabs>
          <w:tab w:val="right" w:leader="dot" w:pos="8997"/>
          <w:tab w:val="clear" w:pos="8398"/>
        </w:tabs>
        <w:rPr>
          <w:color w:val="auto"/>
          <w:highlight w:val="none"/>
        </w:rPr>
      </w:pPr>
      <w:r>
        <w:rPr>
          <w:color w:val="auto"/>
          <w:highlight w:val="none"/>
        </w:rPr>
        <w:fldChar w:fldCharType="begin"/>
      </w:r>
      <w:r>
        <w:rPr>
          <w:color w:val="auto"/>
          <w:highlight w:val="none"/>
        </w:rPr>
        <w:instrText xml:space="preserve"> HYPERLINK \l _Toc1718 </w:instrText>
      </w:r>
      <w:r>
        <w:rPr>
          <w:color w:val="auto"/>
          <w:highlight w:val="none"/>
        </w:rPr>
        <w:fldChar w:fldCharType="separate"/>
      </w:r>
      <w:r>
        <w:rPr>
          <w:rFonts w:hint="eastAsia" w:hAnsi="宋体"/>
          <w:color w:val="auto"/>
          <w:szCs w:val="4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_Toc1718 </w:instrText>
      </w:r>
      <w:r>
        <w:rPr>
          <w:color w:val="auto"/>
          <w:highlight w:val="none"/>
        </w:rPr>
        <w:fldChar w:fldCharType="separate"/>
      </w:r>
      <w:r>
        <w:rPr>
          <w:color w:val="auto"/>
          <w:highlight w:val="none"/>
        </w:rPr>
        <w:t>- 25 -</w:t>
      </w:r>
      <w:r>
        <w:rPr>
          <w:color w:val="auto"/>
          <w:highlight w:val="none"/>
        </w:rPr>
        <w:fldChar w:fldCharType="end"/>
      </w:r>
      <w:r>
        <w:rPr>
          <w:color w:val="auto"/>
          <w:highlight w:val="none"/>
        </w:rPr>
        <w:fldChar w:fldCharType="end"/>
      </w:r>
    </w:p>
    <w:p>
      <w:pPr>
        <w:pStyle w:val="28"/>
        <w:tabs>
          <w:tab w:val="right" w:leader="dot" w:pos="8997"/>
          <w:tab w:val="clear" w:pos="8398"/>
        </w:tabs>
        <w:rPr>
          <w:color w:val="auto"/>
          <w:highlight w:val="none"/>
        </w:rPr>
      </w:pPr>
      <w:r>
        <w:rPr>
          <w:color w:val="auto"/>
          <w:highlight w:val="none"/>
        </w:rPr>
        <w:fldChar w:fldCharType="begin"/>
      </w:r>
      <w:r>
        <w:rPr>
          <w:color w:val="auto"/>
          <w:highlight w:val="none"/>
        </w:rPr>
        <w:instrText xml:space="preserve"> HYPERLINK \l _Toc23065 </w:instrText>
      </w:r>
      <w:r>
        <w:rPr>
          <w:color w:val="auto"/>
          <w:highlight w:val="none"/>
        </w:rPr>
        <w:fldChar w:fldCharType="separate"/>
      </w:r>
      <w:r>
        <w:rPr>
          <w:rFonts w:hint="eastAsia" w:ascii="宋体" w:hAnsi="宋体"/>
          <w:color w:val="auto"/>
          <w:szCs w:val="44"/>
          <w:highlight w:val="none"/>
        </w:rPr>
        <w:t xml:space="preserve">第五章 </w:t>
      </w:r>
      <w:r>
        <w:rPr>
          <w:rFonts w:hint="eastAsia" w:ascii="宋体" w:hAnsi="宋体"/>
          <w:bCs/>
          <w:color w:val="auto"/>
          <w:szCs w:val="44"/>
          <w:highlight w:val="none"/>
        </w:rPr>
        <w:t>合同主要条款格式</w:t>
      </w:r>
      <w:r>
        <w:rPr>
          <w:color w:val="auto"/>
          <w:highlight w:val="none"/>
        </w:rPr>
        <w:tab/>
      </w:r>
      <w:r>
        <w:rPr>
          <w:color w:val="auto"/>
          <w:highlight w:val="none"/>
        </w:rPr>
        <w:fldChar w:fldCharType="begin"/>
      </w:r>
      <w:r>
        <w:rPr>
          <w:color w:val="auto"/>
          <w:highlight w:val="none"/>
        </w:rPr>
        <w:instrText xml:space="preserve"> PAGEREF _Toc23065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pPr>
        <w:pStyle w:val="28"/>
        <w:tabs>
          <w:tab w:val="right" w:leader="dot" w:pos="8997"/>
          <w:tab w:val="clear" w:pos="8398"/>
        </w:tabs>
        <w:rPr>
          <w:color w:val="auto"/>
          <w:highlight w:val="none"/>
        </w:rPr>
      </w:pPr>
      <w:r>
        <w:rPr>
          <w:color w:val="auto"/>
          <w:highlight w:val="none"/>
        </w:rPr>
        <w:fldChar w:fldCharType="begin"/>
      </w:r>
      <w:r>
        <w:rPr>
          <w:color w:val="auto"/>
          <w:highlight w:val="none"/>
        </w:rPr>
        <w:instrText xml:space="preserve"> HYPERLINK \l _Toc20398 </w:instrText>
      </w:r>
      <w:r>
        <w:rPr>
          <w:color w:val="auto"/>
          <w:highlight w:val="none"/>
        </w:rPr>
        <w:fldChar w:fldCharType="separate"/>
      </w:r>
      <w:r>
        <w:rPr>
          <w:rFonts w:hint="eastAsia" w:hAnsi="宋体"/>
          <w:color w:val="auto"/>
          <w:szCs w:val="44"/>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_Toc20398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pPr>
        <w:pStyle w:val="28"/>
        <w:tabs>
          <w:tab w:val="right" w:leader="dot" w:pos="8997"/>
          <w:tab w:val="clear" w:pos="8398"/>
        </w:tabs>
        <w:rPr>
          <w:color w:val="auto"/>
          <w:highlight w:val="none"/>
        </w:rPr>
      </w:pPr>
      <w:r>
        <w:rPr>
          <w:color w:val="auto"/>
          <w:highlight w:val="none"/>
        </w:rPr>
        <w:fldChar w:fldCharType="begin"/>
      </w:r>
      <w:r>
        <w:rPr>
          <w:color w:val="auto"/>
          <w:highlight w:val="none"/>
        </w:rPr>
        <w:instrText xml:space="preserve"> HYPERLINK \l _Toc25446 </w:instrText>
      </w:r>
      <w:r>
        <w:rPr>
          <w:color w:val="auto"/>
          <w:highlight w:val="none"/>
        </w:rPr>
        <w:fldChar w:fldCharType="separate"/>
      </w:r>
      <w:r>
        <w:rPr>
          <w:rFonts w:hint="eastAsia" w:ascii="宋体" w:hAnsi="宋体" w:cs="宋体"/>
          <w:color w:val="auto"/>
          <w:kern w:val="0"/>
          <w:szCs w:val="36"/>
          <w:highlight w:val="none"/>
        </w:rPr>
        <w:t>第七章  质疑函及投诉书格式</w:t>
      </w:r>
      <w:r>
        <w:rPr>
          <w:color w:val="auto"/>
          <w:highlight w:val="none"/>
        </w:rPr>
        <w:tab/>
      </w:r>
      <w:r>
        <w:rPr>
          <w:color w:val="auto"/>
          <w:highlight w:val="none"/>
        </w:rPr>
        <w:fldChar w:fldCharType="begin"/>
      </w:r>
      <w:r>
        <w:rPr>
          <w:color w:val="auto"/>
          <w:highlight w:val="none"/>
        </w:rPr>
        <w:instrText xml:space="preserve"> PAGEREF _Toc25446 </w:instrText>
      </w:r>
      <w:r>
        <w:rPr>
          <w:color w:val="auto"/>
          <w:highlight w:val="none"/>
        </w:rPr>
        <w:fldChar w:fldCharType="separate"/>
      </w:r>
      <w:r>
        <w:rPr>
          <w:color w:val="auto"/>
          <w:highlight w:val="none"/>
        </w:rPr>
        <w:t>- 58 -</w:t>
      </w:r>
      <w:r>
        <w:rPr>
          <w:color w:val="auto"/>
          <w:highlight w:val="none"/>
        </w:rPr>
        <w:fldChar w:fldCharType="end"/>
      </w:r>
      <w:r>
        <w:rPr>
          <w:color w:val="auto"/>
          <w:highlight w:val="none"/>
        </w:rPr>
        <w:fldChar w:fldCharType="end"/>
      </w:r>
    </w:p>
    <w:p>
      <w:pPr>
        <w:pStyle w:val="28"/>
        <w:spacing w:line="480" w:lineRule="auto"/>
        <w:ind w:firstLine="241"/>
        <w:rPr>
          <w:color w:val="auto"/>
          <w:highlight w:val="none"/>
        </w:rPr>
      </w:pPr>
      <w:r>
        <w:rPr>
          <w:color w:val="auto"/>
          <w:highlight w:val="none"/>
        </w:rPr>
        <w:fldChar w:fldCharType="end"/>
      </w:r>
      <w:r>
        <w:rPr>
          <w:rFonts w:hint="eastAsia"/>
          <w:color w:val="auto"/>
          <w:highlight w:val="none"/>
        </w:rPr>
        <w:t>附件:中标通知书</w:t>
      </w: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rPr>
          <w:rFonts w:ascii="宋体" w:hAnsi="宋体"/>
          <w:color w:val="auto"/>
          <w:sz w:val="30"/>
          <w:highlight w:val="none"/>
        </w:rPr>
      </w:pPr>
    </w:p>
    <w:p>
      <w:pPr>
        <w:pStyle w:val="22"/>
        <w:snapToGrid w:val="0"/>
        <w:jc w:val="center"/>
        <w:outlineLvl w:val="0"/>
        <w:rPr>
          <w:rFonts w:hAnsi="宋体"/>
          <w:color w:val="auto"/>
          <w:highlight w:val="none"/>
        </w:rPr>
      </w:pPr>
      <w:bookmarkStart w:id="0" w:name="_Toc254970489"/>
      <w:bookmarkStart w:id="1" w:name="_Toc254970630"/>
      <w:r>
        <w:rPr>
          <w:rFonts w:hAnsi="宋体"/>
          <w:color w:val="auto"/>
          <w:highlight w:val="none"/>
        </w:rPr>
        <w:br w:type="page"/>
      </w: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b/>
          <w:color w:val="auto"/>
          <w:sz w:val="44"/>
          <w:szCs w:val="44"/>
          <w:highlight w:val="none"/>
        </w:rPr>
      </w:pPr>
      <w:bookmarkStart w:id="2" w:name="_Toc12391"/>
      <w:bookmarkStart w:id="3" w:name="_Toc4176"/>
      <w:bookmarkStart w:id="4" w:name="_Toc31507"/>
      <w:r>
        <w:rPr>
          <w:rFonts w:hint="eastAsia" w:hAnsi="宋体"/>
          <w:b/>
          <w:color w:val="auto"/>
          <w:sz w:val="44"/>
          <w:szCs w:val="44"/>
          <w:highlight w:val="none"/>
        </w:rPr>
        <w:t>第一章 公开招标公告</w:t>
      </w:r>
      <w:bookmarkEnd w:id="0"/>
      <w:bookmarkEnd w:id="1"/>
      <w:bookmarkEnd w:id="2"/>
      <w:bookmarkEnd w:id="3"/>
      <w:bookmarkEnd w:id="4"/>
    </w:p>
    <w:p>
      <w:pPr>
        <w:overflowPunct w:val="0"/>
        <w:autoSpaceDE w:val="0"/>
        <w:autoSpaceDN w:val="0"/>
        <w:adjustRightInd w:val="0"/>
        <w:spacing w:line="400" w:lineRule="exact"/>
        <w:ind w:firstLine="420" w:firstLineChars="200"/>
        <w:jc w:val="center"/>
        <w:rPr>
          <w:rFonts w:hint="eastAsia" w:asciiTheme="minorEastAsia" w:hAnsiTheme="minorEastAsia" w:eastAsiaTheme="minorEastAsia" w:cstheme="minorEastAsia"/>
          <w:b/>
          <w:color w:val="auto"/>
          <w:spacing w:val="-6"/>
          <w:sz w:val="24"/>
          <w:szCs w:val="24"/>
          <w:highlight w:val="none"/>
        </w:rPr>
      </w:pPr>
      <w:r>
        <w:rPr>
          <w:rFonts w:ascii="宋体" w:hAnsi="宋体"/>
          <w:color w:val="auto"/>
          <w:szCs w:val="21"/>
          <w:highlight w:val="none"/>
        </w:rPr>
        <w:br w:type="page"/>
      </w:r>
      <w:r>
        <w:rPr>
          <w:rFonts w:hint="eastAsia" w:asciiTheme="minorEastAsia" w:hAnsiTheme="minorEastAsia" w:eastAsiaTheme="minorEastAsia" w:cstheme="minorEastAsia"/>
          <w:b/>
          <w:color w:val="auto"/>
          <w:spacing w:val="-6"/>
          <w:sz w:val="24"/>
          <w:szCs w:val="24"/>
          <w:highlight w:val="none"/>
        </w:rPr>
        <w:t>广西建设工程机电设备招标中心有限公司</w:t>
      </w:r>
    </w:p>
    <w:p>
      <w:pPr>
        <w:overflowPunct w:val="0"/>
        <w:autoSpaceDE w:val="0"/>
        <w:autoSpaceDN w:val="0"/>
        <w:adjustRightInd w:val="0"/>
        <w:spacing w:line="400" w:lineRule="exact"/>
        <w:ind w:firstLine="458" w:firstLineChars="200"/>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pacing w:val="-6"/>
          <w:sz w:val="24"/>
          <w:szCs w:val="24"/>
          <w:highlight w:val="none"/>
        </w:rPr>
        <w:t xml:space="preserve"> </w:t>
      </w:r>
      <w:r>
        <w:rPr>
          <w:rFonts w:hint="eastAsia" w:asciiTheme="minorEastAsia" w:hAnsiTheme="minorEastAsia" w:eastAsiaTheme="minorEastAsia" w:cstheme="minorEastAsia"/>
          <w:b/>
          <w:bCs w:val="0"/>
          <w:color w:val="auto"/>
          <w:spacing w:val="-6"/>
          <w:sz w:val="24"/>
          <w:szCs w:val="24"/>
          <w:highlight w:val="none"/>
          <w:lang w:eastAsia="zh-CN"/>
        </w:rPr>
        <w:t>南宁市公共服务大数据治理与应用平台项目监理</w:t>
      </w:r>
      <w:r>
        <w:rPr>
          <w:rFonts w:hint="eastAsia" w:asciiTheme="minorEastAsia" w:hAnsiTheme="minorEastAsia" w:eastAsiaTheme="minorEastAsia" w:cstheme="minorEastAsia"/>
          <w:b/>
          <w:bCs w:val="0"/>
          <w:color w:val="auto"/>
          <w:spacing w:val="-6"/>
          <w:sz w:val="24"/>
          <w:szCs w:val="24"/>
          <w:highlight w:val="none"/>
        </w:rPr>
        <w:t>项目编号：</w:t>
      </w:r>
      <w:r>
        <w:rPr>
          <w:rFonts w:hint="eastAsia" w:asciiTheme="minorEastAsia" w:hAnsiTheme="minorEastAsia" w:eastAsiaTheme="minorEastAsia" w:cstheme="minorEastAsia"/>
          <w:b/>
          <w:bCs w:val="0"/>
          <w:color w:val="auto"/>
          <w:sz w:val="24"/>
          <w:szCs w:val="24"/>
          <w:highlight w:val="none"/>
          <w:lang w:eastAsia="zh-CN"/>
        </w:rPr>
        <w:t>NNZC2020-G3-990641-JGJD</w:t>
      </w:r>
      <w:r>
        <w:rPr>
          <w:rFonts w:hint="eastAsia" w:asciiTheme="minorEastAsia" w:hAnsiTheme="minorEastAsia" w:eastAsiaTheme="minorEastAsia" w:cstheme="minorEastAsia"/>
          <w:b/>
          <w:bCs w:val="0"/>
          <w:color w:val="auto"/>
          <w:spacing w:val="-6"/>
          <w:sz w:val="24"/>
          <w:szCs w:val="24"/>
          <w:highlight w:val="none"/>
        </w:rPr>
        <w:t>公开招标公告</w:t>
      </w:r>
    </w:p>
    <w:p>
      <w:pPr>
        <w:pBdr>
          <w:top w:val="single" w:color="auto" w:sz="4" w:space="1"/>
          <w:left w:val="single" w:color="auto" w:sz="4" w:space="4"/>
          <w:bottom w:val="single" w:color="auto" w:sz="4" w:space="1"/>
          <w:right w:val="single" w:color="auto" w:sz="4" w:space="4"/>
        </w:pBd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pacing w:val="-6"/>
          <w:sz w:val="24"/>
          <w:highlight w:val="none"/>
          <w:u w:val="single"/>
          <w:lang w:eastAsia="zh-CN"/>
        </w:rPr>
        <w:t>南宁市公共服务大数据治理与应用平台项目监理</w:t>
      </w:r>
      <w:r>
        <w:rPr>
          <w:rFonts w:hint="eastAsia" w:asciiTheme="minorEastAsia" w:hAnsiTheme="minorEastAsia" w:eastAsiaTheme="minorEastAsia" w:cstheme="minorEastAsia"/>
          <w:color w:val="auto"/>
          <w:sz w:val="24"/>
          <w:highlight w:val="none"/>
        </w:rPr>
        <w:t xml:space="preserve"> 招标项目的潜在投标人应在</w:t>
      </w:r>
      <w:r>
        <w:rPr>
          <w:rFonts w:hint="eastAsia" w:asciiTheme="minorEastAsia" w:hAnsiTheme="minorEastAsia" w:eastAsiaTheme="minorEastAsia" w:cstheme="minorEastAsia"/>
          <w:color w:val="auto"/>
          <w:sz w:val="24"/>
          <w:highlight w:val="none"/>
          <w:u w:val="single"/>
        </w:rPr>
        <w:t>南宁市公共资源交易平台(https://www.nnggzy.org.cn/gxnnzbw)的信息公告处</w:t>
      </w:r>
      <w:r>
        <w:rPr>
          <w:rFonts w:hint="eastAsia" w:asciiTheme="minorEastAsia" w:hAnsiTheme="minorEastAsia" w:eastAsiaTheme="minorEastAsia" w:cstheme="minorEastAsia"/>
          <w:color w:val="auto"/>
          <w:sz w:val="24"/>
          <w:highlight w:val="none"/>
        </w:rPr>
        <w:t>获取招标文件，并于</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年</w:t>
      </w:r>
      <w:r>
        <w:rPr>
          <w:rFonts w:hint="eastAsia" w:asciiTheme="minorEastAsia" w:hAnsiTheme="minorEastAsia" w:eastAsiaTheme="minorEastAsia" w:cstheme="minorEastAsia"/>
          <w:bCs/>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月</w:t>
      </w:r>
      <w:r>
        <w:rPr>
          <w:rFonts w:hint="eastAsia" w:asciiTheme="minorEastAsia" w:hAnsiTheme="minorEastAsia" w:eastAsiaTheme="minorEastAsia" w:cstheme="minorEastAsia"/>
          <w:bCs/>
          <w:color w:val="auto"/>
          <w:sz w:val="24"/>
          <w:highlight w:val="none"/>
          <w:u w:val="single"/>
          <w:lang w:val="en-US" w:eastAsia="zh-CN"/>
        </w:rPr>
        <w:t>25</w:t>
      </w:r>
      <w:r>
        <w:rPr>
          <w:rFonts w:hint="eastAsia" w:asciiTheme="minorEastAsia" w:hAnsiTheme="minorEastAsia" w:eastAsiaTheme="minorEastAsia" w:cstheme="minorEastAsia"/>
          <w:bCs/>
          <w:color w:val="auto"/>
          <w:sz w:val="24"/>
          <w:highlight w:val="none"/>
          <w:u w:val="single"/>
        </w:rPr>
        <w:t>日9点30分（</w:t>
      </w:r>
      <w:r>
        <w:rPr>
          <w:rFonts w:hint="eastAsia" w:asciiTheme="minorEastAsia" w:hAnsiTheme="minorEastAsia" w:eastAsiaTheme="minorEastAsia" w:cstheme="minorEastAsia"/>
          <w:bCs/>
          <w:color w:val="auto"/>
          <w:sz w:val="24"/>
          <w:highlight w:val="none"/>
        </w:rPr>
        <w:t>北京时间）前递交投标文件</w:t>
      </w:r>
      <w:r>
        <w:rPr>
          <w:rFonts w:hint="eastAsia" w:asciiTheme="minorEastAsia" w:hAnsiTheme="minorEastAsia" w:eastAsiaTheme="minorEastAsia" w:cstheme="minorEastAsia"/>
          <w:color w:val="auto"/>
          <w:sz w:val="24"/>
          <w:highlight w:val="none"/>
        </w:rPr>
        <w:t>。</w:t>
      </w:r>
    </w:p>
    <w:p>
      <w:pP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bookmarkStart w:id="5" w:name="_Toc28359002"/>
      <w:bookmarkStart w:id="6" w:name="_Toc35393790"/>
      <w:bookmarkStart w:id="7" w:name="_Toc28359079"/>
      <w:bookmarkStart w:id="8" w:name="_Toc35393621"/>
      <w:bookmarkStart w:id="9" w:name="_Hlk24379207"/>
      <w:r>
        <w:rPr>
          <w:rFonts w:hint="eastAsia" w:asciiTheme="minorEastAsia" w:hAnsiTheme="minorEastAsia" w:eastAsiaTheme="minorEastAsia" w:cstheme="minorEastAsia"/>
          <w:color w:val="auto"/>
          <w:sz w:val="24"/>
          <w:highlight w:val="none"/>
        </w:rPr>
        <w:t>一、项目基本情况</w:t>
      </w:r>
      <w:bookmarkEnd w:id="5"/>
      <w:bookmarkEnd w:id="6"/>
      <w:bookmarkEnd w:id="7"/>
      <w:bookmarkEnd w:id="8"/>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NNZC2020-G3-990641-JGJD</w:t>
      </w:r>
      <w:r>
        <w:rPr>
          <w:rFonts w:hint="eastAsia" w:asciiTheme="minorEastAsia" w:hAnsiTheme="minorEastAsia" w:eastAsiaTheme="minorEastAsia" w:cstheme="minorEastAsia"/>
          <w:color w:val="auto"/>
          <w:sz w:val="24"/>
          <w:highlight w:val="none"/>
        </w:rPr>
        <w:t xml:space="preserve"> （审批编号：</w:t>
      </w:r>
      <w:r>
        <w:rPr>
          <w:rFonts w:hint="eastAsia" w:asciiTheme="minorEastAsia" w:hAnsiTheme="minorEastAsia" w:eastAsiaTheme="minorEastAsia" w:cstheme="minorEastAsia"/>
          <w:color w:val="auto"/>
          <w:sz w:val="24"/>
          <w:highlight w:val="none"/>
          <w:lang w:eastAsia="zh-CN"/>
        </w:rPr>
        <w:t xml:space="preserve"> [2020]NCCJA094/4 </w:t>
      </w:r>
      <w:r>
        <w:rPr>
          <w:rFonts w:hint="eastAsia" w:asciiTheme="minorEastAsia" w:hAnsiTheme="minorEastAsia" w:eastAsiaTheme="minorEastAsia" w:cstheme="minorEastAsia"/>
          <w:color w:val="auto"/>
          <w:sz w:val="24"/>
          <w:highlight w:val="none"/>
        </w:rPr>
        <w:t>）：</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南宁市公共服务大数据治理与应用平台项目监理</w:t>
      </w:r>
      <w:r>
        <w:rPr>
          <w:rFonts w:hint="eastAsia" w:asciiTheme="minorEastAsia" w:hAnsiTheme="minorEastAsia" w:eastAsiaTheme="minorEastAsia" w:cstheme="minorEastAsia"/>
          <w:color w:val="auto"/>
          <w:sz w:val="24"/>
          <w:highlight w:val="none"/>
        </w:rPr>
        <w:t>项目</w:t>
      </w:r>
    </w:p>
    <w:bookmarkEnd w:id="9"/>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预算金额：</w:t>
      </w:r>
      <w:r>
        <w:rPr>
          <w:rFonts w:hint="eastAsia" w:asciiTheme="minorEastAsia" w:hAnsiTheme="minorEastAsia" w:eastAsiaTheme="minorEastAsia" w:cstheme="minorEastAsia"/>
          <w:color w:val="auto"/>
          <w:sz w:val="24"/>
          <w:highlight w:val="none"/>
          <w:lang w:eastAsia="zh-CN"/>
        </w:rPr>
        <w:t>377600</w:t>
      </w:r>
      <w:r>
        <w:rPr>
          <w:rFonts w:hint="eastAsia" w:asciiTheme="minorEastAsia" w:hAnsiTheme="minorEastAsia" w:eastAsiaTheme="minorEastAsia" w:cstheme="minorEastAsia"/>
          <w:color w:val="auto"/>
          <w:sz w:val="24"/>
          <w:highlight w:val="none"/>
        </w:rPr>
        <w:t>元</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最高限价（如有）：</w:t>
      </w:r>
      <w:r>
        <w:rPr>
          <w:rFonts w:hint="eastAsia" w:asciiTheme="minorEastAsia" w:hAnsiTheme="minorEastAsia" w:eastAsiaTheme="minorEastAsia" w:cstheme="minorEastAsia"/>
          <w:color w:val="auto"/>
          <w:sz w:val="24"/>
          <w:highlight w:val="none"/>
          <w:lang w:eastAsia="zh-CN"/>
        </w:rPr>
        <w:t>377600</w:t>
      </w:r>
      <w:r>
        <w:rPr>
          <w:rFonts w:hint="eastAsia" w:asciiTheme="minorEastAsia" w:hAnsiTheme="minorEastAsia" w:eastAsiaTheme="minorEastAsia" w:cstheme="minorEastAsia"/>
          <w:color w:val="auto"/>
          <w:sz w:val="24"/>
          <w:highlight w:val="none"/>
        </w:rPr>
        <w:t>元</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p>
    <w:tbl>
      <w:tblPr>
        <w:tblStyle w:val="37"/>
        <w:tblW w:w="85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472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31"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4723"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服务名称</w:t>
            </w:r>
          </w:p>
        </w:tc>
        <w:tc>
          <w:tcPr>
            <w:tcW w:w="1864"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31" w:type="dxa"/>
            <w:tcBorders>
              <w:top w:val="single" w:color="auto" w:sz="4" w:space="0"/>
              <w:left w:val="single" w:color="auto" w:sz="4" w:space="0"/>
              <w:bottom w:val="single" w:color="auto" w:sz="4" w:space="0"/>
              <w:right w:val="single" w:color="auto" w:sz="4" w:space="0"/>
            </w:tcBorders>
          </w:tcPr>
          <w:p>
            <w:pPr>
              <w:snapToGrid w:val="0"/>
              <w:spacing w:line="386"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723" w:type="dxa"/>
            <w:tcBorders>
              <w:top w:val="single" w:color="auto" w:sz="4" w:space="0"/>
              <w:left w:val="single" w:color="auto" w:sz="4" w:space="0"/>
              <w:bottom w:val="single" w:color="auto" w:sz="4" w:space="0"/>
              <w:right w:val="single" w:color="auto" w:sz="4" w:space="0"/>
            </w:tcBorders>
          </w:tcPr>
          <w:p>
            <w:pPr>
              <w:snapToGrid w:val="0"/>
              <w:spacing w:line="386" w:lineRule="exac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南宁市公共服务大数据治理与应用平台项目监理</w:t>
            </w:r>
          </w:p>
        </w:tc>
        <w:tc>
          <w:tcPr>
            <w:tcW w:w="1864" w:type="dxa"/>
            <w:tcBorders>
              <w:top w:val="single" w:color="auto" w:sz="4" w:space="0"/>
              <w:left w:val="single" w:color="auto" w:sz="4" w:space="0"/>
              <w:bottom w:val="single" w:color="auto" w:sz="4" w:space="0"/>
              <w:right w:val="single" w:color="auto" w:sz="4" w:space="0"/>
            </w:tcBorders>
          </w:tcPr>
          <w:p>
            <w:pPr>
              <w:snapToGrid w:val="0"/>
              <w:spacing w:line="386"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1项</w:t>
            </w:r>
          </w:p>
        </w:tc>
      </w:tr>
    </w:tbl>
    <w:p>
      <w:pPr>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如需进一步了解详细内容，详见招标文件。</w:t>
      </w:r>
    </w:p>
    <w:p>
      <w:pPr>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合同履行期限：一年。</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本项目不接受联合体投标。</w:t>
      </w:r>
    </w:p>
    <w:p>
      <w:pPr>
        <w:rPr>
          <w:rFonts w:asciiTheme="minorEastAsia" w:hAnsiTheme="minorEastAsia" w:eastAsiaTheme="minorEastAsia" w:cstheme="minorEastAsia"/>
          <w:color w:val="auto"/>
          <w:sz w:val="24"/>
          <w:highlight w:val="none"/>
        </w:rPr>
      </w:pPr>
      <w:bookmarkStart w:id="10" w:name="_Toc35393791"/>
      <w:bookmarkStart w:id="11" w:name="_Toc28359080"/>
      <w:bookmarkStart w:id="12" w:name="_Toc28359003"/>
      <w:bookmarkStart w:id="13" w:name="_Toc35393622"/>
      <w:r>
        <w:rPr>
          <w:rFonts w:hint="eastAsia" w:asciiTheme="minorEastAsia" w:hAnsiTheme="minorEastAsia" w:eastAsiaTheme="minorEastAsia" w:cstheme="minorEastAsia"/>
          <w:color w:val="auto"/>
          <w:sz w:val="24"/>
          <w:highlight w:val="none"/>
        </w:rPr>
        <w:t>二、申请人的资格要求：</w:t>
      </w:r>
      <w:bookmarkEnd w:id="10"/>
      <w:bookmarkEnd w:id="11"/>
      <w:bookmarkEnd w:id="12"/>
      <w:bookmarkEnd w:id="13"/>
    </w:p>
    <w:p>
      <w:pPr>
        <w:snapToGrid w:val="0"/>
        <w:ind w:firstLine="480" w:firstLineChars="200"/>
        <w:rPr>
          <w:rFonts w:hint="eastAsia" w:asciiTheme="minorEastAsia" w:hAnsiTheme="minorEastAsia" w:eastAsiaTheme="minorEastAsia" w:cstheme="minorEastAsia"/>
          <w:color w:val="auto"/>
          <w:sz w:val="24"/>
          <w:highlight w:val="none"/>
        </w:rPr>
      </w:pPr>
      <w:bookmarkStart w:id="14" w:name="_Toc35393792"/>
      <w:bookmarkStart w:id="15" w:name="_Toc35393623"/>
      <w:bookmarkStart w:id="16" w:name="_Toc28359081"/>
      <w:bookmarkStart w:id="17" w:name="_Toc28359004"/>
      <w:r>
        <w:rPr>
          <w:rFonts w:hint="eastAsia" w:asciiTheme="minorEastAsia" w:hAnsiTheme="minorEastAsia" w:eastAsiaTheme="minorEastAsia" w:cstheme="minorEastAsia"/>
          <w:color w:val="auto"/>
          <w:sz w:val="24"/>
          <w:highlight w:val="none"/>
        </w:rPr>
        <w:t>1、符合《中华人民共和国政府采购法》第二十二条规定的资格条件。</w:t>
      </w:r>
    </w:p>
    <w:p>
      <w:pPr>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2、在中华人民共和国境内注册，具有能力提供本次服务的供应商。</w:t>
      </w:r>
    </w:p>
    <w:p>
      <w:pPr>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4、本项目不接受联合体投标。</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三、获取招标文件</w:t>
      </w:r>
      <w:bookmarkEnd w:id="14"/>
      <w:bookmarkEnd w:id="15"/>
      <w:bookmarkEnd w:id="16"/>
      <w:bookmarkEnd w:id="17"/>
    </w:p>
    <w:p>
      <w:pPr>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时间：自本公告发布之时起至提交投标文件截止时间前；</w:t>
      </w:r>
    </w:p>
    <w:p>
      <w:pPr>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地点：南宁市公共资源交易平台(https://www.nnggzy.org.cn/gxnnzbw)的信息公告处；</w:t>
      </w:r>
    </w:p>
    <w:p>
      <w:pPr>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方式：由潜在投标人自行在南宁市公共资源交易平台(https://www.nnggzy.org.cn/gxnnzbw)的信息公告处下载采购文件；</w:t>
      </w:r>
    </w:p>
    <w:p>
      <w:pPr>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售价：招标文件售价每本0元。 </w:t>
      </w:r>
    </w:p>
    <w:p>
      <w:pPr>
        <w:rPr>
          <w:rFonts w:asciiTheme="minorEastAsia" w:hAnsiTheme="minorEastAsia" w:eastAsiaTheme="minorEastAsia" w:cstheme="minorEastAsia"/>
          <w:color w:val="auto"/>
          <w:sz w:val="24"/>
          <w:highlight w:val="none"/>
        </w:rPr>
      </w:pPr>
      <w:bookmarkStart w:id="18" w:name="_Toc28359005"/>
      <w:bookmarkStart w:id="19" w:name="_Toc28359082"/>
      <w:bookmarkStart w:id="20" w:name="_Toc35393624"/>
      <w:bookmarkStart w:id="21" w:name="_Toc35393793"/>
      <w:r>
        <w:rPr>
          <w:rFonts w:hint="eastAsia" w:asciiTheme="minorEastAsia" w:hAnsiTheme="minorEastAsia" w:eastAsiaTheme="minorEastAsia" w:cstheme="minorEastAsia"/>
          <w:color w:val="auto"/>
          <w:sz w:val="24"/>
          <w:highlight w:val="none"/>
        </w:rPr>
        <w:t>四、提交投标文件</w:t>
      </w:r>
      <w:bookmarkEnd w:id="18"/>
      <w:bookmarkEnd w:id="19"/>
      <w:r>
        <w:rPr>
          <w:rFonts w:hint="eastAsia" w:asciiTheme="minorEastAsia" w:hAnsiTheme="minorEastAsia" w:eastAsiaTheme="minorEastAsia" w:cstheme="minorEastAsia"/>
          <w:color w:val="auto"/>
          <w:sz w:val="24"/>
          <w:highlight w:val="none"/>
        </w:rPr>
        <w:t>截止时间、开标时间和地点</w:t>
      </w:r>
      <w:bookmarkEnd w:id="20"/>
      <w:bookmarkEnd w:id="21"/>
    </w:p>
    <w:p>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bookmarkStart w:id="22" w:name="_Toc28359007"/>
      <w:bookmarkStart w:id="23" w:name="_Toc35393794"/>
      <w:bookmarkStart w:id="24" w:name="_Toc35393625"/>
      <w:bookmarkStart w:id="25" w:name="_Toc28359084"/>
      <w:r>
        <w:rPr>
          <w:rFonts w:hint="eastAsia" w:asciiTheme="minorEastAsia" w:hAnsiTheme="minorEastAsia" w:eastAsiaTheme="minorEastAsia" w:cstheme="minorEastAsia"/>
          <w:color w:val="auto"/>
          <w:sz w:val="24"/>
          <w:highlight w:val="none"/>
        </w:rPr>
        <w:t>1、投标文件递交截止时间（投标截止时间）、开标时间：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年</w:t>
      </w:r>
      <w:r>
        <w:rPr>
          <w:rFonts w:hint="eastAsia" w:asciiTheme="minorEastAsia" w:hAnsiTheme="minorEastAsia" w:eastAsiaTheme="minorEastAsia" w:cstheme="minorEastAsia"/>
          <w:bCs/>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月</w:t>
      </w:r>
      <w:r>
        <w:rPr>
          <w:rFonts w:hint="eastAsia" w:asciiTheme="minorEastAsia" w:hAnsiTheme="minorEastAsia" w:eastAsiaTheme="minorEastAsia" w:cstheme="minorEastAsia"/>
          <w:bCs/>
          <w:color w:val="auto"/>
          <w:sz w:val="24"/>
          <w:highlight w:val="none"/>
          <w:u w:val="single"/>
          <w:lang w:val="en-US" w:eastAsia="zh-CN"/>
        </w:rPr>
        <w:t>25</w:t>
      </w:r>
      <w:r>
        <w:rPr>
          <w:rFonts w:hint="eastAsia" w:asciiTheme="minorEastAsia" w:hAnsiTheme="minorEastAsia" w:eastAsiaTheme="minorEastAsia" w:cstheme="minorEastAsia"/>
          <w:bCs/>
          <w:color w:val="auto"/>
          <w:sz w:val="24"/>
          <w:highlight w:val="none"/>
          <w:u w:val="single"/>
        </w:rPr>
        <w:t>日9点30分</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2、递交方式：根据南宁市财政局《关于做好疫情防控期间政府采购工作有关事项的通知》（南财采〔2020〕12号）要求，本项目实行“不见面”开标方式，</w:t>
      </w:r>
      <w:r>
        <w:rPr>
          <w:rFonts w:hint="eastAsia" w:asciiTheme="minorEastAsia" w:hAnsiTheme="minorEastAsia" w:eastAsiaTheme="minorEastAsia" w:cstheme="minorEastAsia"/>
          <w:b/>
          <w:color w:val="auto"/>
          <w:sz w:val="24"/>
          <w:highlight w:val="none"/>
        </w:rPr>
        <w:t>本项目的投标文件原则上应通过邮寄快递的方式送达</w:t>
      </w:r>
      <w:r>
        <w:rPr>
          <w:rFonts w:hint="eastAsia" w:asciiTheme="minorEastAsia" w:hAnsiTheme="minorEastAsia" w:eastAsiaTheme="minorEastAsia" w:cstheme="minorEastAsia"/>
          <w:color w:val="auto"/>
          <w:sz w:val="24"/>
          <w:highlight w:val="none"/>
        </w:rPr>
        <w:t>。</w:t>
      </w:r>
    </w:p>
    <w:p>
      <w:pPr>
        <w:widowControl/>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接收邮寄快递包裹的时间为工作日8：00～18：00。投标文件必须在投标截止时间前送达。采购代理机构签收邮寄包裹的时间即为投标人投标文件的送达时间，逾期送达的投标文件无效，后果由投标人自行承担。</w:t>
      </w:r>
    </w:p>
    <w:p>
      <w:pPr>
        <w:widowControl/>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（2）采购代理机构将在投标截止时间前</w:t>
      </w: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rPr>
        <w:t>小时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1日前送达。</w:t>
      </w:r>
    </w:p>
    <w:p>
      <w:pPr>
        <w:widowControl/>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（3）投标人在按照招标文件的要求装订、密封好投标文件后，应使用不透明、防水的邮寄袋（或箱）再次包裹已密封好的投标文件，并在邮寄袋（或箱）上粘牢</w:t>
      </w:r>
      <w:r>
        <w:rPr>
          <w:rFonts w:hint="eastAsia" w:asciiTheme="minorEastAsia" w:hAnsiTheme="minorEastAsia" w:eastAsiaTheme="minorEastAsia" w:cstheme="minorEastAsia"/>
          <w:b/>
          <w:color w:val="auto"/>
          <w:sz w:val="24"/>
          <w:highlight w:val="none"/>
        </w:rPr>
        <w:t>注明项目名称、项目编号、有效的电子邮箱</w:t>
      </w:r>
      <w:r>
        <w:rPr>
          <w:rFonts w:hint="eastAsia" w:asciiTheme="minorEastAsia" w:hAnsiTheme="minorEastAsia" w:eastAsiaTheme="minorEastAsia" w:cstheme="minorEastAsia"/>
          <w:color w:val="auto"/>
          <w:sz w:val="24"/>
          <w:highlight w:val="none"/>
        </w:rPr>
        <w:t>等内容的纸质表格，如投标文件在运送过程中发生破损、受潮等情况，后果由投标人自行承担。</w:t>
      </w:r>
    </w:p>
    <w:p>
      <w:pPr>
        <w:widowControl/>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（4）采购代理机构工作人员在收到投标文件的邮寄包裹后，第一时间按照投标人在邮寄包裹上所预留的电子邮箱告知投标文件收件情况，请投标人务必确保所预留的电子邮箱的有效性，并注意查收邮件。</w:t>
      </w:r>
    </w:p>
    <w:p>
      <w:pPr>
        <w:widowControl/>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（5）投标文件邮寄地址：南宁市纬武路165号206办公室</w:t>
      </w:r>
    </w:p>
    <w:p>
      <w:pPr>
        <w:widowControl/>
        <w:spacing w:line="360" w:lineRule="auto"/>
        <w:ind w:firstLine="1200" w:firstLineChars="5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收件人：周剑</w:t>
      </w:r>
    </w:p>
    <w:p>
      <w:pPr>
        <w:widowControl/>
        <w:spacing w:line="360" w:lineRule="auto"/>
        <w:ind w:firstLine="1080" w:firstLineChars="4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联系电话：0771-2807659</w:t>
      </w:r>
    </w:p>
    <w:p>
      <w:pPr>
        <w:widowControl/>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3、开标地点:南宁市良庆区玉洞大道33号（青少年活动中心旁）市民中心9楼南宁市公共资源交易中心开标厅（具体安排详见9楼电子大屏幕场地安排表）)</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五、公告期限</w:t>
      </w:r>
      <w:bookmarkEnd w:id="22"/>
      <w:bookmarkEnd w:id="23"/>
      <w:bookmarkEnd w:id="24"/>
      <w:bookmarkEnd w:id="25"/>
    </w:p>
    <w:p>
      <w:pPr>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自本公告发布之日起5个工作日。</w:t>
      </w:r>
    </w:p>
    <w:p>
      <w:pPr>
        <w:rPr>
          <w:rFonts w:asciiTheme="minorEastAsia" w:hAnsiTheme="minorEastAsia" w:eastAsiaTheme="minorEastAsia" w:cstheme="minorEastAsia"/>
          <w:color w:val="auto"/>
          <w:sz w:val="24"/>
          <w:highlight w:val="none"/>
        </w:rPr>
      </w:pPr>
      <w:bookmarkStart w:id="26" w:name="_Toc35393626"/>
      <w:bookmarkStart w:id="27" w:name="_Toc35393795"/>
      <w:r>
        <w:rPr>
          <w:rFonts w:hint="eastAsia" w:asciiTheme="minorEastAsia" w:hAnsiTheme="minorEastAsia" w:eastAsiaTheme="minorEastAsia" w:cstheme="minorEastAsia"/>
          <w:color w:val="auto"/>
          <w:sz w:val="24"/>
          <w:highlight w:val="none"/>
        </w:rPr>
        <w:t>六、其他补充事宜</w:t>
      </w:r>
      <w:bookmarkEnd w:id="26"/>
      <w:bookmarkEnd w:id="27"/>
    </w:p>
    <w:p>
      <w:pPr>
        <w:pStyle w:val="100"/>
        <w:ind w:left="495"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1.投标保证金：</w:t>
      </w:r>
    </w:p>
    <w:p>
      <w:pPr>
        <w:pStyle w:val="100"/>
        <w:ind w:left="495"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根据《南宁市财政局关于推进政府采购“放管服”工作和深化改革有关内容的通知》（南财采[2019]27号）规定，本项目不需要提交投标保证金。</w:t>
      </w:r>
    </w:p>
    <w:p>
      <w:pPr>
        <w:pStyle w:val="100"/>
        <w:ind w:left="495"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2.网上查询地址</w:t>
      </w:r>
    </w:p>
    <w:p>
      <w:pPr>
        <w:pStyle w:val="100"/>
        <w:ind w:left="495"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中国政府采购网、广西壮族自治区政府采购网、南宁政府采购网、南宁市公共资源交易中心网、广西招标网</w:t>
      </w:r>
    </w:p>
    <w:p>
      <w:pPr>
        <w:pStyle w:val="100"/>
        <w:ind w:left="495"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3.本项目需要落实的政府采购政策：</w:t>
      </w:r>
    </w:p>
    <w:p>
      <w:pPr>
        <w:snapToGrid w:val="0"/>
        <w:spacing w:line="386" w:lineRule="exact"/>
        <w:ind w:firstLine="480" w:firstLineChars="200"/>
        <w:jc w:val="left"/>
        <w:rPr>
          <w:rFonts w:hint="eastAsia" w:asciiTheme="minorEastAsia" w:hAnsiTheme="minorEastAsia" w:eastAsiaTheme="minorEastAsia" w:cstheme="minorEastAsia"/>
          <w:color w:val="auto"/>
          <w:sz w:val="24"/>
          <w:highlight w:val="none"/>
        </w:rPr>
      </w:pPr>
      <w:bookmarkStart w:id="28" w:name="_Toc28359008"/>
      <w:bookmarkStart w:id="29" w:name="_Toc35393796"/>
      <w:bookmarkStart w:id="30" w:name="_Toc28359085"/>
      <w:bookmarkStart w:id="31" w:name="_Toc35393627"/>
      <w:r>
        <w:rPr>
          <w:rFonts w:hint="eastAsia" w:asciiTheme="minorEastAsia" w:hAnsiTheme="minorEastAsia" w:eastAsiaTheme="minorEastAsia" w:cstheme="minorEastAsia"/>
          <w:color w:val="auto"/>
          <w:sz w:val="24"/>
          <w:highlight w:val="none"/>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snapToGrid w:val="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七、对本次招标提出询问，请按以下方式联系。</w:t>
      </w:r>
      <w:bookmarkEnd w:id="28"/>
      <w:bookmarkEnd w:id="29"/>
      <w:bookmarkEnd w:id="30"/>
      <w:bookmarkEnd w:id="31"/>
    </w:p>
    <w:p>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1.采购人信息</w:t>
      </w:r>
    </w:p>
    <w:p>
      <w:pPr>
        <w:spacing w:line="360" w:lineRule="auto"/>
        <w:ind w:left="1079" w:leftChars="371" w:hanging="300" w:hangingChars="12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　南宁市信息网络管理中心　</w:t>
      </w:r>
    </w:p>
    <w:p>
      <w:pPr>
        <w:spacing w:line="360" w:lineRule="auto"/>
        <w:ind w:left="1079" w:leftChars="371" w:hanging="300" w:hangingChars="12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南宁市青秀区桂春路南一里1号　</w:t>
      </w:r>
    </w:p>
    <w:p>
      <w:pPr>
        <w:pStyle w:val="17"/>
        <w:ind w:firstLine="720" w:firstLineChars="3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none"/>
          <w:lang w:eastAsia="zh-CN"/>
        </w:rPr>
        <w:t>联系人：</w:t>
      </w:r>
      <w:r>
        <w:rPr>
          <w:rFonts w:hint="eastAsia" w:asciiTheme="minorEastAsia" w:hAnsiTheme="minorEastAsia" w:eastAsiaTheme="minorEastAsia" w:cstheme="minorEastAsia"/>
          <w:color w:val="auto"/>
          <w:sz w:val="24"/>
          <w:szCs w:val="24"/>
          <w:highlight w:val="none"/>
          <w:u w:val="single"/>
          <w:lang w:eastAsia="zh-CN"/>
        </w:rPr>
        <w:t>梁庆烁</w:t>
      </w:r>
    </w:p>
    <w:p>
      <w:pPr>
        <w:spacing w:line="360" w:lineRule="auto"/>
        <w:ind w:left="1079" w:leftChars="371" w:hanging="300" w:hangingChars="125"/>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rPr>
        <w:t xml:space="preserve">0771-5829116 </w:t>
      </w:r>
      <w:bookmarkStart w:id="32" w:name="_Toc28359086"/>
      <w:bookmarkStart w:id="33" w:name="_Toc28359009"/>
    </w:p>
    <w:p>
      <w:pPr>
        <w:spacing w:line="360" w:lineRule="auto"/>
        <w:ind w:left="1079" w:leftChars="371" w:hanging="300" w:hangingChars="12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bookmarkEnd w:id="32"/>
      <w:bookmarkEnd w:id="33"/>
    </w:p>
    <w:p>
      <w:pPr>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广西建设工程机电设备招标中心有限公司　</w:t>
      </w:r>
    </w:p>
    <w:p>
      <w:pPr>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南宁市纬武路165号　</w:t>
      </w:r>
    </w:p>
    <w:p>
      <w:pPr>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w:t>
      </w:r>
      <w:bookmarkStart w:id="34" w:name="_Toc28359087"/>
      <w:bookmarkStart w:id="35" w:name="_Toc28359010"/>
      <w:r>
        <w:rPr>
          <w:rFonts w:hint="eastAsia" w:asciiTheme="minorEastAsia" w:hAnsiTheme="minorEastAsia" w:eastAsiaTheme="minorEastAsia" w:cstheme="minorEastAsia"/>
          <w:color w:val="auto"/>
          <w:sz w:val="24"/>
          <w:highlight w:val="none"/>
          <w:u w:val="single"/>
        </w:rPr>
        <w:t>　0771-2807659　</w:t>
      </w:r>
    </w:p>
    <w:p>
      <w:pPr>
        <w:spacing w:line="360" w:lineRule="auto"/>
        <w:ind w:firstLine="720" w:firstLineChars="3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3.项目联系方式</w:t>
      </w:r>
      <w:bookmarkEnd w:id="34"/>
      <w:bookmarkEnd w:id="35"/>
    </w:p>
    <w:p>
      <w:pPr>
        <w:pStyle w:val="22"/>
        <w:spacing w:line="360" w:lineRule="auto"/>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u w:val="single"/>
        </w:rPr>
        <w:t>周剑</w:t>
      </w:r>
    </w:p>
    <w:p>
      <w:pPr>
        <w:snapToGrid w:val="0"/>
        <w:ind w:firstLine="720" w:firstLineChars="3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color w:val="auto"/>
          <w:sz w:val="24"/>
          <w:highlight w:val="none"/>
          <w:u w:val="single"/>
        </w:rPr>
        <w:t>0771-2807659　</w:t>
      </w:r>
    </w:p>
    <w:p>
      <w:pPr>
        <w:rPr>
          <w:color w:val="auto"/>
          <w:highlight w:val="none"/>
        </w:rPr>
      </w:pPr>
      <w:r>
        <w:rPr>
          <w:rFonts w:hint="eastAsia" w:asciiTheme="minorEastAsia" w:hAnsiTheme="minorEastAsia" w:eastAsiaTheme="minorEastAsia" w:cstheme="minorEastAsia"/>
          <w:color w:val="auto"/>
          <w:sz w:val="24"/>
          <w:highlight w:val="none"/>
          <w:u w:val="single"/>
        </w:rPr>
        <w:br w:type="page"/>
      </w:r>
    </w:p>
    <w:p>
      <w:pPr>
        <w:snapToGrid w:val="0"/>
        <w:jc w:val="center"/>
        <w:rPr>
          <w:rFonts w:ascii="宋体" w:hAnsi="宋体"/>
          <w:color w:val="auto"/>
          <w:highlight w:val="none"/>
        </w:rPr>
      </w:pPr>
    </w:p>
    <w:p>
      <w:pPr>
        <w:widowControl/>
        <w:jc w:val="left"/>
        <w:rPr>
          <w:rFonts w:ascii="宋体" w:hAnsi="宋体"/>
          <w:color w:val="auto"/>
          <w:highlight w:val="none"/>
        </w:rPr>
      </w:pPr>
    </w:p>
    <w:p>
      <w:pPr>
        <w:snapToGrid w:val="0"/>
        <w:jc w:val="center"/>
        <w:rPr>
          <w:rFonts w:ascii="宋体" w:hAnsi="宋体"/>
          <w:color w:val="auto"/>
          <w:highlight w:val="none"/>
        </w:rPr>
      </w:pPr>
    </w:p>
    <w:p>
      <w:pPr>
        <w:snapToGrid w:val="0"/>
        <w:jc w:val="center"/>
        <w:outlineLvl w:val="0"/>
        <w:rPr>
          <w:rFonts w:ascii="宋体" w:hAnsi="宋体"/>
          <w:b/>
          <w:color w:val="auto"/>
          <w:sz w:val="44"/>
          <w:szCs w:val="44"/>
          <w:highlight w:val="none"/>
        </w:rPr>
      </w:pPr>
      <w:r>
        <w:rPr>
          <w:rFonts w:hint="eastAsia" w:ascii="宋体" w:hAnsi="宋体"/>
          <w:b/>
          <w:color w:val="auto"/>
          <w:sz w:val="44"/>
          <w:szCs w:val="44"/>
          <w:highlight w:val="none"/>
        </w:rPr>
        <w:t xml:space="preserve">   </w:t>
      </w:r>
      <w:bookmarkStart w:id="36" w:name="_Toc19532"/>
      <w:bookmarkStart w:id="37" w:name="_Toc6367"/>
      <w:bookmarkStart w:id="38" w:name="_Toc28706"/>
      <w:r>
        <w:rPr>
          <w:rFonts w:hint="eastAsia" w:ascii="宋体" w:hAnsi="宋体"/>
          <w:b/>
          <w:color w:val="auto"/>
          <w:sz w:val="44"/>
          <w:szCs w:val="44"/>
          <w:highlight w:val="none"/>
        </w:rPr>
        <w:t xml:space="preserve">第二章 </w:t>
      </w:r>
      <w:r>
        <w:rPr>
          <w:rFonts w:hint="eastAsia" w:ascii="宋体" w:hAnsi="宋体"/>
          <w:b/>
          <w:bCs/>
          <w:color w:val="auto"/>
          <w:sz w:val="44"/>
          <w:szCs w:val="44"/>
          <w:highlight w:val="none"/>
        </w:rPr>
        <w:t>招</w:t>
      </w:r>
      <w:r>
        <w:rPr>
          <w:rFonts w:hint="eastAsia" w:ascii="宋体" w:hAnsi="宋体"/>
          <w:b/>
          <w:color w:val="auto"/>
          <w:sz w:val="44"/>
          <w:szCs w:val="44"/>
          <w:highlight w:val="none"/>
        </w:rPr>
        <w:t>标项目采购需求</w:t>
      </w:r>
      <w:bookmarkEnd w:id="36"/>
      <w:bookmarkEnd w:id="37"/>
      <w:bookmarkEnd w:id="38"/>
    </w:p>
    <w:p>
      <w:pPr>
        <w:adjustRightInd w:val="0"/>
        <w:spacing w:line="340" w:lineRule="exact"/>
        <w:rPr>
          <w:rFonts w:ascii="宋体" w:hAnsi="宋体" w:cs="宋体"/>
          <w:b/>
          <w:color w:val="auto"/>
          <w:sz w:val="24"/>
          <w:highlight w:val="none"/>
        </w:rPr>
      </w:pPr>
      <w:r>
        <w:rPr>
          <w:rFonts w:hint="eastAsia" w:ascii="宋体" w:hAnsi="宋体" w:cs="宋体"/>
          <w:b/>
          <w:color w:val="auto"/>
          <w:sz w:val="24"/>
          <w:highlight w:val="none"/>
        </w:rPr>
        <w:t>说明：</w:t>
      </w:r>
    </w:p>
    <w:p>
      <w:pPr>
        <w:pStyle w:val="22"/>
        <w:spacing w:line="440" w:lineRule="exact"/>
        <w:ind w:left="0" w:firstLine="482" w:firstLineChars="200"/>
        <w:rPr>
          <w:rFonts w:hint="eastAsia" w:ascii="宋体" w:hAnsi="宋体" w:cs="宋体"/>
          <w:b/>
          <w:bCs w:val="0"/>
          <w:color w:val="auto"/>
          <w:sz w:val="24"/>
          <w:highlight w:val="none"/>
        </w:rPr>
      </w:pPr>
      <w:r>
        <w:rPr>
          <w:rFonts w:hint="eastAsia" w:hAnsi="宋体" w:cs="宋体"/>
          <w:b/>
          <w:bCs w:val="0"/>
          <w:color w:val="auto"/>
          <w:sz w:val="24"/>
          <w:highlight w:val="none"/>
          <w:lang w:val="en-US" w:eastAsia="zh-CN"/>
        </w:rPr>
        <w:t>1、</w:t>
      </w:r>
      <w:r>
        <w:rPr>
          <w:rFonts w:hint="eastAsia" w:ascii="宋体" w:hAnsi="宋体" w:cs="宋体"/>
          <w:b/>
          <w:bCs w:val="0"/>
          <w:color w:val="auto"/>
          <w:sz w:val="24"/>
          <w:highlight w:val="none"/>
        </w:rPr>
        <w:t>本服务需求一览表中标注★号的部分为实质性要求和条件。</w:t>
      </w:r>
    </w:p>
    <w:p>
      <w:pPr>
        <w:pStyle w:val="22"/>
        <w:numPr>
          <w:ilvl w:val="-1"/>
          <w:numId w:val="0"/>
        </w:numPr>
        <w:spacing w:line="440" w:lineRule="exact"/>
        <w:ind w:left="361" w:leftChars="172" w:firstLine="0" w:firstLineChars="0"/>
        <w:rPr>
          <w:rFonts w:hAnsi="宋体" w:cs="宋体"/>
          <w:b/>
          <w:color w:val="auto"/>
          <w:sz w:val="24"/>
          <w:highlight w:val="none"/>
        </w:rPr>
      </w:pPr>
      <w:r>
        <w:rPr>
          <w:rFonts w:hint="eastAsia" w:hAnsi="宋体" w:cs="宋体"/>
          <w:b/>
          <w:color w:val="auto"/>
          <w:sz w:val="24"/>
          <w:highlight w:val="none"/>
          <w:lang w:val="en-US" w:eastAsia="zh-CN"/>
        </w:rPr>
        <w:t>2、</w:t>
      </w:r>
      <w:r>
        <w:rPr>
          <w:rFonts w:hint="eastAsia" w:hAnsi="宋体" w:cs="宋体"/>
          <w:b/>
          <w:color w:val="auto"/>
          <w:sz w:val="24"/>
          <w:highlight w:val="none"/>
        </w:rPr>
        <w:t>本服务需求一览表中内容如与第五章 合同主要条款格式相关条款不一致的，以本表为准。</w:t>
      </w:r>
    </w:p>
    <w:tbl>
      <w:tblPr>
        <w:tblStyle w:val="37"/>
        <w:tblpPr w:leftFromText="180" w:rightFromText="180" w:vertAnchor="text" w:horzAnchor="margin" w:tblpXSpec="center" w:tblpY="56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08"/>
        <w:gridCol w:w="665"/>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b/>
                <w:color w:val="auto"/>
                <w:szCs w:val="21"/>
                <w:highlight w:val="none"/>
              </w:rPr>
            </w:pPr>
            <w:r>
              <w:rPr>
                <w:rFonts w:hint="eastAsia" w:ascii="宋体" w:hAnsi="宋体"/>
                <w:b/>
                <w:color w:val="auto"/>
                <w:szCs w:val="21"/>
                <w:highlight w:val="none"/>
              </w:rPr>
              <w:t>项号</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b/>
                <w:color w:val="auto"/>
                <w:szCs w:val="21"/>
                <w:highlight w:val="none"/>
              </w:rPr>
            </w:pPr>
            <w:r>
              <w:rPr>
                <w:rFonts w:hint="eastAsia" w:ascii="宋体" w:hAnsi="宋体"/>
                <w:b/>
                <w:color w:val="auto"/>
                <w:szCs w:val="21"/>
                <w:highlight w:val="none"/>
              </w:rPr>
              <w:t>服务名称</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b/>
                <w:color w:val="auto"/>
                <w:szCs w:val="21"/>
                <w:highlight w:val="none"/>
              </w:rPr>
            </w:pPr>
            <w:r>
              <w:rPr>
                <w:rFonts w:hint="eastAsia" w:ascii="宋体" w:hAnsi="宋体"/>
                <w:b/>
                <w:color w:val="auto"/>
                <w:szCs w:val="21"/>
                <w:highlight w:val="none"/>
              </w:rPr>
              <w:t>数量</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b/>
                <w:color w:val="auto"/>
                <w:szCs w:val="21"/>
                <w:highlight w:val="none"/>
              </w:rPr>
            </w:pPr>
            <w:r>
              <w:rPr>
                <w:rFonts w:hint="eastAsia" w:ascii="宋体" w:hAnsi="宋体"/>
                <w:b/>
                <w:color w:val="auto"/>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olor w:val="auto"/>
                <w:szCs w:val="21"/>
                <w:highlight w:val="none"/>
              </w:rPr>
            </w:pPr>
            <w:r>
              <w:rPr>
                <w:rFonts w:hint="eastAsia" w:ascii="宋体" w:hAnsi="宋体"/>
                <w:color w:val="auto"/>
                <w:szCs w:val="21"/>
                <w:highlight w:val="none"/>
              </w:rPr>
              <w:t>1</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olor w:val="auto"/>
                <w:szCs w:val="21"/>
                <w:highlight w:val="none"/>
              </w:rPr>
            </w:pPr>
            <w:r>
              <w:rPr>
                <w:rFonts w:hint="eastAsia" w:ascii="宋体" w:hAnsi="宋体"/>
                <w:bCs/>
                <w:color w:val="auto"/>
                <w:szCs w:val="21"/>
                <w:highlight w:val="none"/>
              </w:rPr>
              <w:t>南宁市公共服务大数据治理与应用平台项目监理</w:t>
            </w:r>
          </w:p>
        </w:tc>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olor w:val="auto"/>
                <w:szCs w:val="21"/>
                <w:highlight w:val="none"/>
              </w:rPr>
            </w:pPr>
            <w:r>
              <w:rPr>
                <w:rFonts w:hint="eastAsia" w:ascii="宋体" w:hAnsi="宋体"/>
                <w:color w:val="auto"/>
                <w:szCs w:val="21"/>
                <w:highlight w:val="none"/>
              </w:rPr>
              <w:t>1项</w:t>
            </w:r>
          </w:p>
        </w:tc>
        <w:tc>
          <w:tcPr>
            <w:tcW w:w="6897"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contextualSpacing/>
              <w:rPr>
                <w:rFonts w:ascii="宋体" w:hAnsi="宋体" w:cs="Arial"/>
                <w:b/>
                <w:color w:val="auto"/>
                <w:szCs w:val="21"/>
                <w:highlight w:val="none"/>
              </w:rPr>
            </w:pPr>
            <w:r>
              <w:rPr>
                <w:rFonts w:hint="eastAsia" w:ascii="宋体" w:hAnsi="宋体" w:cs="Arial"/>
                <w:b/>
                <w:color w:val="auto"/>
                <w:szCs w:val="21"/>
                <w:highlight w:val="none"/>
              </w:rPr>
              <w:t>一、项目概况：</w:t>
            </w:r>
          </w:p>
          <w:p>
            <w:pPr>
              <w:spacing w:line="440" w:lineRule="exact"/>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项目名称：</w:t>
            </w:r>
            <w:r>
              <w:rPr>
                <w:rFonts w:hint="eastAsia" w:ascii="宋体" w:hAnsi="宋体"/>
                <w:bCs/>
                <w:color w:val="auto"/>
                <w:szCs w:val="21"/>
                <w:highlight w:val="none"/>
              </w:rPr>
              <w:t>南宁市公共服务大数据治理与应用平台项目</w:t>
            </w:r>
          </w:p>
          <w:p>
            <w:pPr>
              <w:pStyle w:val="34"/>
              <w:shd w:val="clear" w:color="auto" w:fill="FFFFFF"/>
              <w:spacing w:before="0" w:beforeAutospacing="0" w:after="0" w:afterAutospacing="0"/>
              <w:ind w:firstLine="480"/>
              <w:rPr>
                <w:rFonts w:ascii="sinsum" w:hAnsi="sinsum"/>
                <w:color w:val="auto"/>
                <w:sz w:val="21"/>
                <w:szCs w:val="21"/>
                <w:highlight w:val="none"/>
              </w:rPr>
            </w:pPr>
            <w:r>
              <w:rPr>
                <w:rFonts w:ascii="sinsum" w:hAnsi="sinsum"/>
                <w:color w:val="auto"/>
                <w:sz w:val="21"/>
                <w:szCs w:val="21"/>
                <w:highlight w:val="none"/>
              </w:rPr>
              <w:t>本项目建设内容主要包括数据中台、基础支撑平台、基础设施平台、大屏显示系统等四部分内容，具体如下：</w:t>
            </w:r>
          </w:p>
          <w:p>
            <w:pPr>
              <w:pStyle w:val="34"/>
              <w:shd w:val="clear" w:color="auto" w:fill="FFFFFF"/>
              <w:spacing w:before="0" w:beforeAutospacing="0" w:after="0" w:afterAutospacing="0"/>
              <w:ind w:firstLine="480"/>
              <w:rPr>
                <w:rFonts w:ascii="sinsum" w:hAnsi="sinsum"/>
                <w:color w:val="auto"/>
                <w:sz w:val="21"/>
                <w:szCs w:val="21"/>
                <w:highlight w:val="none"/>
              </w:rPr>
            </w:pPr>
            <w:r>
              <w:rPr>
                <w:rFonts w:ascii="sinsum" w:hAnsi="sinsum"/>
                <w:color w:val="auto"/>
                <w:sz w:val="21"/>
                <w:szCs w:val="21"/>
                <w:highlight w:val="none"/>
              </w:rPr>
              <w:t>1、数据中台：主要包括服务门户（前台）、统一工作台系统、供需调度系统、数据资产管理系统、数据加工系统、数据质量管理系统和服务管理（后台）系统等。</w:t>
            </w:r>
          </w:p>
          <w:p>
            <w:pPr>
              <w:pStyle w:val="34"/>
              <w:shd w:val="clear" w:color="auto" w:fill="FFFFFF"/>
              <w:spacing w:before="0" w:beforeAutospacing="0" w:after="0" w:afterAutospacing="0"/>
              <w:ind w:firstLine="480"/>
              <w:rPr>
                <w:rFonts w:ascii="sinsum" w:hAnsi="sinsum"/>
                <w:color w:val="auto"/>
                <w:sz w:val="21"/>
                <w:szCs w:val="21"/>
                <w:highlight w:val="none"/>
              </w:rPr>
            </w:pPr>
            <w:r>
              <w:rPr>
                <w:rFonts w:ascii="sinsum" w:hAnsi="sinsum"/>
                <w:color w:val="auto"/>
                <w:sz w:val="21"/>
                <w:szCs w:val="21"/>
                <w:highlight w:val="none"/>
              </w:rPr>
              <w:t>2、基础支撑平台：包括大数据基础平台、数据仓库组件、分布式图数据库、BI报表引擎、工单管理系统、数据中台统一用户中心、可信共享（试点）平台。 </w:t>
            </w:r>
          </w:p>
          <w:p>
            <w:pPr>
              <w:pStyle w:val="34"/>
              <w:shd w:val="clear" w:color="auto" w:fill="FFFFFF"/>
              <w:spacing w:before="0" w:beforeAutospacing="0" w:after="0" w:afterAutospacing="0"/>
              <w:ind w:firstLine="480"/>
              <w:rPr>
                <w:rFonts w:ascii="sinsum" w:hAnsi="sinsum"/>
                <w:color w:val="auto"/>
                <w:sz w:val="21"/>
                <w:szCs w:val="21"/>
                <w:highlight w:val="none"/>
              </w:rPr>
            </w:pPr>
            <w:r>
              <w:rPr>
                <w:rFonts w:ascii="sinsum" w:hAnsi="sinsum"/>
                <w:color w:val="auto"/>
                <w:sz w:val="21"/>
                <w:szCs w:val="21"/>
                <w:highlight w:val="none"/>
              </w:rPr>
              <w:t>3、基础设施平台：购置15台物理服务器、2台万兆交换机和2台管理交换机部署在电子政务云平台。</w:t>
            </w:r>
          </w:p>
          <w:p>
            <w:pPr>
              <w:pStyle w:val="34"/>
              <w:shd w:val="clear" w:color="auto" w:fill="FFFFFF"/>
              <w:spacing w:before="0" w:beforeAutospacing="0" w:after="0" w:afterAutospacing="0"/>
              <w:ind w:firstLine="480"/>
              <w:rPr>
                <w:rFonts w:ascii="sinsum" w:hAnsi="sinsum"/>
                <w:color w:val="auto"/>
                <w:sz w:val="21"/>
                <w:szCs w:val="21"/>
                <w:highlight w:val="none"/>
              </w:rPr>
            </w:pPr>
            <w:r>
              <w:rPr>
                <w:rFonts w:ascii="sinsum" w:hAnsi="sinsum"/>
                <w:color w:val="auto"/>
                <w:sz w:val="21"/>
                <w:szCs w:val="21"/>
                <w:highlight w:val="none"/>
              </w:rPr>
              <w:t>4、大屏显示系统：主要包括LED电子显示屏体、显示屏控制系统及配套的发言扩音设备等。</w:t>
            </w:r>
          </w:p>
          <w:p>
            <w:pPr>
              <w:spacing w:line="400" w:lineRule="atLeast"/>
              <w:contextualSpacing/>
              <w:rPr>
                <w:rFonts w:ascii="宋体" w:hAnsi="宋体"/>
                <w:b/>
                <w:color w:val="auto"/>
                <w:szCs w:val="21"/>
                <w:highlight w:val="none"/>
              </w:rPr>
            </w:pPr>
            <w:r>
              <w:rPr>
                <w:rFonts w:hint="eastAsia" w:ascii="宋体" w:hAnsi="宋体"/>
                <w:b/>
                <w:color w:val="auto"/>
                <w:szCs w:val="21"/>
                <w:highlight w:val="none"/>
              </w:rPr>
              <w:t>二、项目监理内容及要求：</w:t>
            </w:r>
          </w:p>
          <w:p>
            <w:pPr>
              <w:spacing w:line="400" w:lineRule="atLeast"/>
              <w:contextualSpacing/>
              <w:rPr>
                <w:rFonts w:ascii="宋体" w:hAnsi="宋体" w:cs="宋体"/>
                <w:color w:val="auto"/>
                <w:szCs w:val="21"/>
                <w:highlight w:val="none"/>
              </w:rPr>
            </w:pPr>
            <w:r>
              <w:rPr>
                <w:rFonts w:hint="eastAsia" w:ascii="宋体" w:hAnsi="宋体" w:cs="宋体"/>
                <w:color w:val="auto"/>
                <w:szCs w:val="21"/>
                <w:highlight w:val="none"/>
              </w:rPr>
              <w:t>（一）项目基本要求：</w:t>
            </w:r>
          </w:p>
          <w:p>
            <w:pPr>
              <w:spacing w:line="400" w:lineRule="atLeast"/>
              <w:ind w:firstLine="420" w:firstLineChars="200"/>
              <w:contextualSpacing/>
              <w:rPr>
                <w:rFonts w:ascii="宋体" w:hAnsi="宋体" w:cs="宋体"/>
                <w:color w:val="auto"/>
                <w:szCs w:val="21"/>
                <w:highlight w:val="none"/>
              </w:rPr>
            </w:pPr>
            <w:r>
              <w:rPr>
                <w:rFonts w:hint="eastAsia" w:ascii="宋体" w:hAnsi="宋体" w:cs="Arial"/>
                <w:bCs/>
                <w:color w:val="auto"/>
                <w:kern w:val="0"/>
                <w:szCs w:val="21"/>
                <w:highlight w:val="none"/>
              </w:rPr>
              <w:t>供应商</w:t>
            </w:r>
            <w:r>
              <w:rPr>
                <w:rFonts w:hint="eastAsia" w:ascii="宋体" w:hAnsi="宋体" w:cs="宋体"/>
                <w:color w:val="auto"/>
                <w:szCs w:val="21"/>
                <w:highlight w:val="none"/>
              </w:rPr>
              <w:t>提供的监理服务技术方案至少应包含以下内容：</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 针对本项目的监理工程监理大纲；</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 针对本项目的监理工作计划和组织机构；</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 有利于本项目监理工作实施的具体措施。</w:t>
            </w:r>
          </w:p>
          <w:p>
            <w:pPr>
              <w:spacing w:line="400" w:lineRule="atLeast"/>
              <w:contextualSpacing/>
              <w:rPr>
                <w:rFonts w:ascii="宋体" w:hAnsi="宋体" w:cs="宋体"/>
                <w:color w:val="auto"/>
                <w:szCs w:val="21"/>
                <w:highlight w:val="none"/>
              </w:rPr>
            </w:pPr>
            <w:r>
              <w:rPr>
                <w:rFonts w:hint="eastAsia" w:ascii="宋体" w:hAnsi="宋体" w:cs="宋体"/>
                <w:color w:val="auto"/>
                <w:szCs w:val="21"/>
                <w:highlight w:val="none"/>
              </w:rPr>
              <w:t>（二）监理服务范围：</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本监理工程要完成项目标段实施全过程监理任务。</w:t>
            </w:r>
          </w:p>
          <w:p>
            <w:pPr>
              <w:spacing w:line="400" w:lineRule="atLeast"/>
              <w:ind w:firstLine="420" w:firstLineChars="200"/>
              <w:contextualSpacing/>
              <w:rPr>
                <w:rFonts w:ascii="宋体" w:hAnsi="宋体"/>
                <w:color w:val="auto"/>
                <w:szCs w:val="21"/>
                <w:highlight w:val="none"/>
              </w:rPr>
            </w:pPr>
            <w:r>
              <w:rPr>
                <w:rFonts w:hint="eastAsia" w:ascii="宋体" w:hAnsi="宋体"/>
                <w:color w:val="auto"/>
                <w:szCs w:val="21"/>
                <w:highlight w:val="none"/>
              </w:rPr>
              <w:t>1. 对上述项目建设内容提供现场开箱验货、安装、调试、运行和售后（运维）服务的监理服务等工程施工至竣工验收结束的全过程监理服务；</w:t>
            </w:r>
          </w:p>
          <w:p>
            <w:pPr>
              <w:spacing w:line="400" w:lineRule="atLeast"/>
              <w:ind w:firstLine="420" w:firstLineChars="200"/>
              <w:contextualSpacing/>
              <w:rPr>
                <w:rFonts w:ascii="宋体" w:hAnsi="宋体"/>
                <w:color w:val="auto"/>
                <w:szCs w:val="21"/>
                <w:highlight w:val="none"/>
              </w:rPr>
            </w:pPr>
            <w:r>
              <w:rPr>
                <w:rFonts w:hint="eastAsia" w:ascii="宋体" w:hAnsi="宋体"/>
                <w:color w:val="auto"/>
                <w:szCs w:val="21"/>
                <w:highlight w:val="none"/>
              </w:rPr>
              <w:t>2. 对项目建设过程中的设计和概算进行优化和调整；</w:t>
            </w:r>
          </w:p>
          <w:p>
            <w:pPr>
              <w:spacing w:line="400" w:lineRule="atLeast"/>
              <w:ind w:firstLine="420" w:firstLineChars="200"/>
              <w:contextualSpacing/>
              <w:rPr>
                <w:rFonts w:ascii="宋体" w:hAnsi="宋体"/>
                <w:color w:val="auto"/>
                <w:szCs w:val="21"/>
                <w:highlight w:val="none"/>
              </w:rPr>
            </w:pPr>
            <w:r>
              <w:rPr>
                <w:rFonts w:hint="eastAsia" w:ascii="宋体" w:hAnsi="宋体"/>
                <w:color w:val="auto"/>
                <w:szCs w:val="21"/>
                <w:highlight w:val="none"/>
              </w:rPr>
              <w:t>3. 工程建设质量、工程建设工期和工程建设投资控制；</w:t>
            </w:r>
          </w:p>
          <w:p>
            <w:pPr>
              <w:spacing w:line="400" w:lineRule="atLeast"/>
              <w:ind w:firstLine="420" w:firstLineChars="200"/>
              <w:contextualSpacing/>
              <w:rPr>
                <w:rFonts w:ascii="宋体" w:hAnsi="宋体"/>
                <w:color w:val="auto"/>
                <w:szCs w:val="21"/>
                <w:highlight w:val="none"/>
              </w:rPr>
            </w:pPr>
            <w:r>
              <w:rPr>
                <w:rFonts w:hint="eastAsia" w:ascii="宋体" w:hAnsi="宋体"/>
                <w:color w:val="auto"/>
                <w:szCs w:val="21"/>
                <w:highlight w:val="none"/>
              </w:rPr>
              <w:t>4. 工程建设安全生产、文明施工的检查、监理；</w:t>
            </w:r>
          </w:p>
          <w:p>
            <w:pPr>
              <w:spacing w:line="400" w:lineRule="atLeast"/>
              <w:ind w:firstLine="420" w:firstLineChars="200"/>
              <w:contextualSpacing/>
              <w:rPr>
                <w:rFonts w:ascii="宋体" w:hAnsi="宋体"/>
                <w:color w:val="auto"/>
                <w:szCs w:val="21"/>
                <w:highlight w:val="none"/>
              </w:rPr>
            </w:pPr>
            <w:r>
              <w:rPr>
                <w:rFonts w:hint="eastAsia" w:ascii="宋体" w:hAnsi="宋体"/>
                <w:color w:val="auto"/>
                <w:szCs w:val="21"/>
                <w:highlight w:val="none"/>
              </w:rPr>
              <w:t>5. 工程建设合同管理；</w:t>
            </w:r>
          </w:p>
          <w:p>
            <w:pPr>
              <w:spacing w:line="400" w:lineRule="atLeast"/>
              <w:ind w:firstLine="420" w:firstLineChars="200"/>
              <w:contextualSpacing/>
              <w:rPr>
                <w:rFonts w:ascii="宋体" w:hAnsi="宋体"/>
                <w:color w:val="auto"/>
                <w:szCs w:val="21"/>
                <w:highlight w:val="none"/>
              </w:rPr>
            </w:pPr>
            <w:r>
              <w:rPr>
                <w:rFonts w:hint="eastAsia" w:ascii="宋体" w:hAnsi="宋体"/>
                <w:color w:val="auto"/>
                <w:szCs w:val="21"/>
                <w:highlight w:val="none"/>
              </w:rPr>
              <w:t>6. 协调有关施工单位间的工作关系，合理监督各施工单位、各工种施工进度，保证在规定时间内完工；</w:t>
            </w:r>
          </w:p>
          <w:p>
            <w:pPr>
              <w:spacing w:line="400" w:lineRule="atLeast"/>
              <w:ind w:firstLine="420" w:firstLineChars="200"/>
              <w:contextualSpacing/>
              <w:rPr>
                <w:rFonts w:ascii="宋体" w:hAnsi="宋体"/>
                <w:color w:val="auto"/>
                <w:szCs w:val="21"/>
                <w:highlight w:val="none"/>
              </w:rPr>
            </w:pPr>
            <w:r>
              <w:rPr>
                <w:rFonts w:hint="eastAsia" w:ascii="宋体" w:hAnsi="宋体"/>
                <w:color w:val="auto"/>
                <w:szCs w:val="21"/>
                <w:highlight w:val="none"/>
              </w:rPr>
              <w:t>7. 组织工程阶段验收、设备安装验收和工程建设竣工预验收，签署建设监理意见；</w:t>
            </w:r>
          </w:p>
          <w:p>
            <w:pPr>
              <w:spacing w:line="400" w:lineRule="atLeast"/>
              <w:ind w:firstLine="420" w:firstLineChars="200"/>
              <w:contextualSpacing/>
              <w:rPr>
                <w:rFonts w:ascii="宋体" w:hAnsi="宋体"/>
                <w:color w:val="auto"/>
                <w:szCs w:val="21"/>
                <w:highlight w:val="none"/>
              </w:rPr>
            </w:pPr>
            <w:r>
              <w:rPr>
                <w:rFonts w:hint="eastAsia" w:ascii="宋体" w:hAnsi="宋体"/>
                <w:color w:val="auto"/>
                <w:szCs w:val="21"/>
                <w:highlight w:val="none"/>
              </w:rPr>
              <w:t>8. 工程建设监理结束后，负责向工程建设单位提交工程建设监理档案资料。</w:t>
            </w:r>
          </w:p>
          <w:p>
            <w:pPr>
              <w:spacing w:line="400" w:lineRule="atLeast"/>
              <w:contextualSpacing/>
              <w:rPr>
                <w:rFonts w:ascii="宋体" w:hAnsi="宋体" w:cs="宋体"/>
                <w:color w:val="auto"/>
                <w:szCs w:val="21"/>
                <w:highlight w:val="none"/>
              </w:rPr>
            </w:pPr>
            <w:r>
              <w:rPr>
                <w:rFonts w:hint="eastAsia" w:ascii="宋体" w:hAnsi="宋体" w:cs="宋体"/>
                <w:color w:val="auto"/>
                <w:szCs w:val="21"/>
                <w:highlight w:val="none"/>
              </w:rPr>
              <w:t>（三）监理服务原则：</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 监理工作应按照质量控制、进度控制、投资控制、变更控制、合同管理及协调相关单位关系原则进行。监理单位要制定本监理工程的监理规划报业主批准后实施。总监理工程师要组织各专业监理工程师制定监理实施细则报业主有关部门备案，各专业按实施细则进行监理。</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 监理单位应根据自身的经验及专业的角度向业主提供可行性咨询意见。</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 本项目有严格的保密要求。在整个监理服务实施过程中，监理单位各方应严格遵守有关保密规定或保密协议。</w:t>
            </w:r>
          </w:p>
          <w:p>
            <w:pPr>
              <w:spacing w:line="400" w:lineRule="atLeast"/>
              <w:contextualSpacing/>
              <w:rPr>
                <w:rFonts w:ascii="宋体" w:hAnsi="宋体" w:cs="宋体"/>
                <w:color w:val="auto"/>
                <w:szCs w:val="21"/>
                <w:highlight w:val="none"/>
              </w:rPr>
            </w:pPr>
            <w:r>
              <w:rPr>
                <w:rFonts w:hint="eastAsia" w:ascii="宋体" w:hAnsi="宋体" w:cs="宋体"/>
                <w:color w:val="auto"/>
                <w:szCs w:val="21"/>
                <w:highlight w:val="none"/>
              </w:rPr>
              <w:t>（四）阶段监理要求：</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项目主要涉及建设及验收阶段。监理单位要按照项目建设目标和“四控制、三管理、一协调”的监理工作要求，依据国家信息系统工程建设监理规范和标准，对项目建设的各个阶段和各个层面进行全方位的管理、控制和协调。对项目建设的设计和实施；项目的验收和交付使用以及对用户的技术培训等方面进行质量、进度和投资等全面的控制，对项目建设合同的执行、项目建设文档资料等进行管理。从而保证本项目 “按期、保质、高效、节约”地实现其既定目标。</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 实施准备阶段：</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审核承建单位实施计划和相关设备、人员、技术资料的供应计划；审核承建单位项目实施组织方案；监督完成相关系统的各阶段的施工报批手续；审核承建单位提出的系统调试、验收方案、和相应计划等。</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 建设阶段：</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监理单位要采取适当的方法和措施，保障项目实施方案具有较强的合法性、合理性以及与设计方案的符合性；促使项目中所用的产品、材料和提供的有关服务符合承建合同及国家相关法律、法规和标准的要求。严格审查承建单位提供的实施计划，明确计划的有关细节，并通过适当的监理方法和监理工作制度，定期检查计划执行情况，促使计划与实际执行的一致性，并使计划的调整能受到严格的程序控制。在项目建设实施过程中，要求监理公司能随时监管承建单位，促使项目实施过程能满足承建合同的要求，并且与项目设计方案、项目计划相符合。</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 工程验收阶段：</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要求监理单位要及时处理承建单位的初验及终验申请，针对验收目标、责任双方、验收提交清单、验收标准、验收方法、验收环境等方面，明确项目测试验收方案的符合性和可行性；协助业主单位组织验收机构并实施验收过程，促使项目的最终功能和性能符合承建合同、法律、法规和标准的要求；监理单位要协助业主单位推动承建单位所提供的项目各阶段形成的技术、管理文档的内容和种类符合承建合同及相关标准的要求。</w:t>
            </w:r>
          </w:p>
          <w:p>
            <w:pPr>
              <w:spacing w:line="400" w:lineRule="atLeast"/>
              <w:contextualSpacing/>
              <w:rPr>
                <w:rFonts w:ascii="宋体" w:hAnsi="宋体" w:cs="宋体"/>
                <w:color w:val="auto"/>
                <w:szCs w:val="21"/>
                <w:highlight w:val="none"/>
              </w:rPr>
            </w:pPr>
            <w:r>
              <w:rPr>
                <w:rFonts w:hint="eastAsia" w:ascii="宋体" w:hAnsi="宋体" w:cs="宋体"/>
                <w:color w:val="auto"/>
                <w:szCs w:val="21"/>
                <w:highlight w:val="none"/>
              </w:rPr>
              <w:t>（五）监理服务任务：</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 方案把关和质量控制：</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审核和确认承建单位的总体技术设计方案；审核和确认项目建设过程中的各种关键技术方案；审核和确认承建单位的组织和实施方案，及提交的《项目实施计划》；审核和确认承建单位的项目质量保证计划、质量控制体系；审核和确认承建单位的原代码管理方案；审核和确认承建单位的测试方案和计划；审核并确定承建单位的项目进度计划和进度控制节点。</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系统集成监理：负责系统集成实施方案和进度计划的审核确认；系统集成过程监督、质量审核和进度控制；硬件设备、系统软件到货检验、测试和验收；网络和系统安装高度的检验和确认；系统集成其他内容质量控制。</w:t>
            </w:r>
          </w:p>
          <w:p>
            <w:pPr>
              <w:spacing w:line="400" w:lineRule="atLeast"/>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软件开发监理：负责软件开发需求、设计方案和进度计划的审核确认；详细设计、编码测试、系统试运行过程的质量把关；软件功能与性能测试结果确认；对源代码、开发文档的移交验收；软件开发其他内容的质量控制。</w:t>
            </w:r>
          </w:p>
          <w:p>
            <w:pPr>
              <w:spacing w:line="400" w:lineRule="atLeast"/>
              <w:ind w:firstLine="420" w:firstLineChars="200"/>
              <w:contextualSpacing/>
              <w:rPr>
                <w:rFonts w:ascii="宋体" w:hAnsi="宋体" w:cs="宋体"/>
                <w:color w:val="auto"/>
                <w:szCs w:val="21"/>
                <w:highlight w:val="none"/>
              </w:rPr>
            </w:pPr>
            <w:r>
              <w:rPr>
                <w:rFonts w:hint="eastAsia" w:ascii="宋体" w:hAnsi="宋体"/>
                <w:color w:val="auto"/>
                <w:szCs w:val="21"/>
                <w:highlight w:val="none"/>
              </w:rPr>
              <w:t>其他建设内容监理：负责各类运营和服务提供商的服务方案确认、价格审核和质量把关；用户单位直接采购设备和产品的调研询价、货物验收和质量把关；用户单位直接采购的技术服务的服务方案审核、技术和进度把关；用户单位直接负责的其他工作内容的质量把关；其他相关项目内容建设的咨询等。</w:t>
            </w:r>
          </w:p>
          <w:p>
            <w:pPr>
              <w:spacing w:line="400" w:lineRule="atLeast"/>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 进度控制：</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审核承建单位的进度分解计划，确认分解计划可以保证总体计划目标；对实施进度进行实时跟踪，并要求承建单位对进度计划进行动态调整，以确保项目的阶段和总体进度目标的实现；当工期目标严重偏离时，应及时指出，并提出对策建议，同时督促承建单位尽快采取措施。</w:t>
            </w:r>
          </w:p>
          <w:p>
            <w:pPr>
              <w:spacing w:line="400" w:lineRule="atLeast"/>
              <w:ind w:firstLine="420" w:firstLineChars="200"/>
              <w:contextualSpacing/>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 投资控制：</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通过对项目实施中的系统软件、硬件方案及设计的优化，确保投资合理，控制在合理、性价比高的范围之内；协助建设单位做好项目支付预算的现金流量表，将付款进度与工程质量与形象进度结合起来。</w:t>
            </w:r>
          </w:p>
          <w:p>
            <w:pPr>
              <w:spacing w:line="400" w:lineRule="atLeast"/>
              <w:ind w:firstLine="420" w:firstLineChars="200"/>
              <w:contextualSpacing/>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 合同管理：</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跟踪检查合同的执行情况，确保承建单位按合同履约；对合同工期的延误和延期进行审查；对合同变更、索赔等事宜进行审查；根据合同约定，审核承建单位提交的支付申请，签发付款凭证。</w:t>
            </w:r>
          </w:p>
          <w:p>
            <w:pPr>
              <w:spacing w:line="400" w:lineRule="atLeast"/>
              <w:ind w:firstLine="420" w:firstLineChars="200"/>
              <w:contextualSpacing/>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 信息与文档管理：</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做好监理日记及工程大事记；做好合同批复等各类往来文件的批复与存档；做好项目协调会、技术专题会的会议纪要；做好项目周报、监理建议书、监理通知、各种会议纪要、各阶段的项目总结报告等；管理好实施期间的各类技术文档。其中，项目监理情况一周一报（周二）监理小结，半个月一次监理总结。</w:t>
            </w:r>
          </w:p>
          <w:p>
            <w:pPr>
              <w:spacing w:line="400" w:lineRule="atLeast"/>
              <w:ind w:firstLine="420" w:firstLineChars="200"/>
              <w:contextualSpacing/>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 项目安全管理：</w:t>
            </w:r>
          </w:p>
          <w:p>
            <w:pPr>
              <w:spacing w:line="400" w:lineRule="atLeast"/>
              <w:ind w:firstLine="420" w:firstLineChars="200"/>
              <w:contextualSpacing/>
              <w:rPr>
                <w:rFonts w:ascii="宋体" w:hAnsi="宋体"/>
                <w:color w:val="auto"/>
                <w:szCs w:val="21"/>
                <w:highlight w:val="none"/>
              </w:rPr>
            </w:pPr>
            <w:r>
              <w:rPr>
                <w:rFonts w:hint="eastAsia" w:ascii="宋体" w:hAnsi="宋体"/>
                <w:color w:val="auto"/>
                <w:szCs w:val="21"/>
                <w:highlight w:val="none"/>
              </w:rPr>
              <w:t>1）项目监理机构应根据法律法规、工程建设强制性标准，履行建设工程安全生产管理的监理职责；并应将安全生产管理的监理工作内容、方法和措施纳入监理规划及监理实施细则。</w:t>
            </w:r>
          </w:p>
          <w:p>
            <w:pPr>
              <w:spacing w:line="400" w:lineRule="atLeast"/>
              <w:ind w:firstLine="420" w:firstLineChars="200"/>
              <w:contextualSpacing/>
              <w:rPr>
                <w:rFonts w:ascii="宋体" w:hAnsi="宋体"/>
                <w:color w:val="auto"/>
                <w:szCs w:val="21"/>
                <w:highlight w:val="none"/>
              </w:rPr>
            </w:pPr>
            <w:r>
              <w:rPr>
                <w:rFonts w:hint="eastAsia" w:ascii="宋体" w:hAnsi="宋体"/>
                <w:color w:val="auto"/>
                <w:szCs w:val="21"/>
                <w:highlight w:val="none"/>
              </w:rPr>
              <w:t>2）项目监理机构应审查施工单位现场安全生产规章制度的建立和实施情况，并应审查施工单位安全生产许可证及施工单位项目经理、专职安全生产管理人员和特种作业人员的资格，同时应核查施工机械和设施的安全许可验收手续。</w:t>
            </w:r>
          </w:p>
          <w:p>
            <w:pPr>
              <w:spacing w:line="400" w:lineRule="atLeast"/>
              <w:ind w:firstLine="420" w:firstLineChars="200"/>
              <w:contextualSpacing/>
              <w:rPr>
                <w:rFonts w:ascii="宋体" w:hAnsi="宋体"/>
                <w:color w:val="auto"/>
                <w:szCs w:val="21"/>
                <w:highlight w:val="none"/>
              </w:rPr>
            </w:pPr>
            <w:r>
              <w:rPr>
                <w:rFonts w:hint="eastAsia" w:ascii="宋体" w:hAnsi="宋体"/>
                <w:color w:val="auto"/>
                <w:szCs w:val="21"/>
                <w:highlight w:val="none"/>
              </w:rPr>
              <w:t>应检查施工单位工程项目安全技术交底情况，确保安全技术方案可行，并交底到每个操作人员。</w:t>
            </w:r>
          </w:p>
          <w:p>
            <w:pPr>
              <w:spacing w:line="400" w:lineRule="atLeast"/>
              <w:ind w:firstLine="420" w:firstLineChars="200"/>
              <w:contextualSpacing/>
              <w:rPr>
                <w:rFonts w:ascii="宋体" w:hAnsi="宋体"/>
                <w:color w:val="auto"/>
                <w:szCs w:val="21"/>
                <w:highlight w:val="none"/>
              </w:rPr>
            </w:pPr>
            <w:r>
              <w:rPr>
                <w:rFonts w:hint="eastAsia" w:ascii="宋体" w:hAnsi="宋体"/>
                <w:color w:val="auto"/>
                <w:szCs w:val="21"/>
                <w:highlight w:val="none"/>
              </w:rPr>
              <w:t>3）项目监理机构应审查施工单位报审的专项施工方案，符合要求的，应由总监理工程师签字确认后报建设单位。重点建设项目或监理单位认为危险性较大的分部分项工程的专项施工方案，应检查施工单位组织专家进行论证、审查的情况，及是否出具安全验算结果。项目监理机构应要求施工单位按已批准的专项施工方案组织施工。专项施工方案需要调整时，施工单位应按程序重新提交项目监理机构审查。</w:t>
            </w:r>
          </w:p>
          <w:p>
            <w:pPr>
              <w:spacing w:line="400" w:lineRule="atLeast"/>
              <w:ind w:firstLine="420" w:firstLineChars="200"/>
              <w:contextualSpacing/>
              <w:rPr>
                <w:rFonts w:ascii="宋体" w:hAnsi="宋体"/>
                <w:color w:val="auto"/>
                <w:szCs w:val="21"/>
                <w:highlight w:val="none"/>
              </w:rPr>
            </w:pPr>
            <w:r>
              <w:rPr>
                <w:rFonts w:hint="eastAsia" w:ascii="宋体" w:hAnsi="宋体"/>
                <w:color w:val="auto"/>
                <w:szCs w:val="21"/>
                <w:highlight w:val="none"/>
              </w:rPr>
              <w:t>4）项目监理机构在实施监理过程中，发现工程存在安全事故隐患时，总监理工程师应签发监理通知单，要求施工单位整改；情况严重时，总监理工程师应签发工程暂停令，并应及时报告建设单位。施工单位拒不整改或不停止施工时，项目监理机构应及时向建设单位报送监理报告。</w:t>
            </w:r>
          </w:p>
          <w:p>
            <w:pPr>
              <w:spacing w:line="400" w:lineRule="atLeast"/>
              <w:ind w:firstLine="420" w:firstLineChars="200"/>
              <w:contextualSpacing/>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 纠纷协调：</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协助协调项目各相关单位、机构、部门之间的工作关系；协助协调项目各集成单位、网络运营商、原厂商之间的工作关系；协助协调项目各建设方在项目实施过程中产生的各类纠纷和矛盾。</w:t>
            </w:r>
          </w:p>
          <w:p>
            <w:pPr>
              <w:spacing w:line="400" w:lineRule="atLeast"/>
              <w:ind w:firstLine="420" w:firstLineChars="200"/>
              <w:contextualSpacing/>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 例会制度：</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监理方应该通过必要的会议制度来实施协调工作，主要包括：第一次现场会、监理交底会、周例会、监理协调会、专题讨论会、专家论证会、阶段工作总结会、问题通报会、阶段及最终验收会等。</w:t>
            </w:r>
          </w:p>
          <w:p>
            <w:pPr>
              <w:spacing w:line="400" w:lineRule="atLeast"/>
              <w:contextualSpacing/>
              <w:rPr>
                <w:rFonts w:ascii="宋体" w:hAnsi="宋体" w:cs="宋体"/>
                <w:color w:val="auto"/>
                <w:szCs w:val="21"/>
                <w:highlight w:val="none"/>
              </w:rPr>
            </w:pPr>
            <w:r>
              <w:rPr>
                <w:rFonts w:hint="eastAsia" w:ascii="宋体" w:hAnsi="宋体" w:cs="宋体"/>
                <w:color w:val="auto"/>
                <w:szCs w:val="21"/>
                <w:highlight w:val="none"/>
              </w:rPr>
              <w:t>（六）监理工程质量和进度要求</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 监理工程质量要求：要保证在预定的监理工程进度和投资下，完成合同中所规定的监理工程项目，且满足承建合同中所规定的技术指标要求。</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 监理工程进度要求：要保证监理工程在合同规定的时间内完成，且监理工程的各个分项、各个阶段建设按照预定的计划有序地进行。</w:t>
            </w:r>
          </w:p>
          <w:p>
            <w:pPr>
              <w:spacing w:line="400" w:lineRule="atLeas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 本监理工程的监理服务时间与建设项目标段建设周期同步。以项目全部建设内容建设完成，通过正式验收为标志。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商</w:t>
            </w:r>
          </w:p>
          <w:p>
            <w:pPr>
              <w:spacing w:line="440" w:lineRule="exact"/>
              <w:jc w:val="center"/>
              <w:rPr>
                <w:rFonts w:ascii="宋体" w:hAnsi="宋体"/>
                <w:color w:val="auto"/>
                <w:szCs w:val="21"/>
                <w:highlight w:val="none"/>
              </w:rPr>
            </w:pPr>
            <w:r>
              <w:rPr>
                <w:rFonts w:hint="eastAsia" w:ascii="宋体" w:hAnsi="宋体"/>
                <w:color w:val="auto"/>
                <w:szCs w:val="21"/>
                <w:highlight w:val="none"/>
              </w:rPr>
              <w:t>务</w:t>
            </w:r>
          </w:p>
          <w:p>
            <w:pPr>
              <w:spacing w:line="440" w:lineRule="exact"/>
              <w:jc w:val="center"/>
              <w:rPr>
                <w:rFonts w:ascii="宋体" w:hAnsi="宋体"/>
                <w:color w:val="auto"/>
                <w:szCs w:val="21"/>
                <w:highlight w:val="none"/>
              </w:rPr>
            </w:pPr>
            <w:r>
              <w:rPr>
                <w:rFonts w:hint="eastAsia" w:ascii="宋体" w:hAnsi="宋体"/>
                <w:color w:val="auto"/>
                <w:szCs w:val="21"/>
                <w:highlight w:val="none"/>
              </w:rPr>
              <w:t>条</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款</w:t>
            </w:r>
          </w:p>
        </w:tc>
        <w:tc>
          <w:tcPr>
            <w:tcW w:w="867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440" w:lineRule="exact"/>
              <w:rPr>
                <w:rFonts w:ascii="宋体" w:hAnsi="宋体"/>
                <w:color w:val="auto"/>
                <w:szCs w:val="21"/>
                <w:highlight w:val="none"/>
              </w:rPr>
            </w:pPr>
            <w:r>
              <w:rPr>
                <w:rFonts w:hint="eastAsia" w:ascii="宋体" w:hAnsi="宋体"/>
                <w:color w:val="auto"/>
                <w:szCs w:val="21"/>
                <w:highlight w:val="none"/>
              </w:rPr>
              <w:t>★一、合同签订期：自中标通知书发出之日起 25日内。</w:t>
            </w:r>
          </w:p>
          <w:p>
            <w:pPr>
              <w:shd w:val="clear" w:color="auto" w:fill="FFFFFF"/>
              <w:spacing w:line="440" w:lineRule="exact"/>
              <w:rPr>
                <w:rFonts w:ascii="宋体" w:hAnsi="宋体"/>
                <w:color w:val="auto"/>
                <w:szCs w:val="21"/>
                <w:highlight w:val="none"/>
              </w:rPr>
            </w:pPr>
            <w:r>
              <w:rPr>
                <w:rFonts w:hint="eastAsia" w:ascii="宋体" w:hAnsi="宋体"/>
                <w:color w:val="auto"/>
                <w:szCs w:val="21"/>
                <w:highlight w:val="none"/>
              </w:rPr>
              <w:t>★二、</w:t>
            </w:r>
            <w:r>
              <w:rPr>
                <w:rFonts w:hint="eastAsia" w:ascii="宋体" w:hAnsi="宋体"/>
                <w:bCs/>
                <w:color w:val="auto"/>
                <w:szCs w:val="21"/>
                <w:highlight w:val="none"/>
              </w:rPr>
              <w:t>提交服务成果时间：</w:t>
            </w:r>
            <w:r>
              <w:rPr>
                <w:rFonts w:hint="eastAsia" w:ascii="宋体" w:hAnsi="宋体"/>
                <w:color w:val="auto"/>
                <w:szCs w:val="21"/>
                <w:highlight w:val="none"/>
              </w:rPr>
              <w:t xml:space="preserve">自合同签订之日起至平台项目竣工并通过验收之日止。      </w:t>
            </w:r>
          </w:p>
          <w:p>
            <w:pPr>
              <w:shd w:val="clear" w:color="auto" w:fill="FFFFFF"/>
              <w:spacing w:line="440" w:lineRule="exact"/>
              <w:rPr>
                <w:rFonts w:ascii="宋体" w:hAnsi="宋体"/>
                <w:bCs/>
                <w:color w:val="auto"/>
                <w:szCs w:val="21"/>
                <w:highlight w:val="none"/>
              </w:rPr>
            </w:pPr>
            <w:r>
              <w:rPr>
                <w:rFonts w:hint="eastAsia" w:ascii="宋体" w:hAnsi="宋体"/>
                <w:color w:val="auto"/>
                <w:szCs w:val="21"/>
                <w:highlight w:val="none"/>
              </w:rPr>
              <w:t>★三、</w:t>
            </w:r>
            <w:r>
              <w:rPr>
                <w:rFonts w:hint="eastAsia" w:ascii="宋体" w:hAnsi="宋体"/>
                <w:bCs/>
                <w:color w:val="auto"/>
                <w:szCs w:val="21"/>
                <w:highlight w:val="none"/>
              </w:rPr>
              <w:t>提交服务成果地点：采购人指定地点。</w:t>
            </w:r>
          </w:p>
          <w:p>
            <w:pPr>
              <w:shd w:val="clear" w:color="auto" w:fill="FFFFFF"/>
              <w:spacing w:line="440" w:lineRule="exact"/>
              <w:rPr>
                <w:rFonts w:ascii="宋体" w:hAnsi="宋体"/>
                <w:color w:val="auto"/>
                <w:szCs w:val="21"/>
                <w:highlight w:val="none"/>
              </w:rPr>
            </w:pPr>
            <w:r>
              <w:rPr>
                <w:rFonts w:hint="eastAsia" w:ascii="宋体" w:hAnsi="宋体"/>
                <w:color w:val="auto"/>
                <w:szCs w:val="21"/>
                <w:highlight w:val="none"/>
              </w:rPr>
              <w:t>四、售后服务要求：</w:t>
            </w:r>
          </w:p>
          <w:p>
            <w:pPr>
              <w:shd w:val="clear" w:color="auto" w:fill="FFFFFF"/>
              <w:spacing w:line="440" w:lineRule="exact"/>
              <w:rPr>
                <w:rFonts w:ascii="宋体" w:hAnsi="宋体"/>
                <w:color w:val="auto"/>
                <w:szCs w:val="21"/>
                <w:highlight w:val="none"/>
              </w:rPr>
            </w:pPr>
            <w:r>
              <w:rPr>
                <w:rFonts w:hint="eastAsia" w:ascii="宋体" w:hAnsi="宋体"/>
                <w:color w:val="auto"/>
                <w:szCs w:val="21"/>
                <w:highlight w:val="none"/>
              </w:rPr>
              <w:t>★1.质量保证期</w:t>
            </w:r>
            <w:r>
              <w:rPr>
                <w:rFonts w:hint="eastAsia" w:ascii="宋体" w:hAnsi="宋体"/>
                <w:color w:val="auto"/>
                <w:szCs w:val="21"/>
                <w:highlight w:val="none"/>
                <w:u w:val="single"/>
              </w:rPr>
              <w:t xml:space="preserve">  1  </w:t>
            </w:r>
            <w:r>
              <w:rPr>
                <w:rFonts w:hint="eastAsia" w:ascii="宋体" w:hAnsi="宋体"/>
                <w:color w:val="auto"/>
                <w:szCs w:val="21"/>
                <w:highlight w:val="none"/>
              </w:rPr>
              <w:t>年（自</w:t>
            </w:r>
            <w:r>
              <w:rPr>
                <w:rFonts w:hint="eastAsia" w:ascii="宋体" w:hAnsi="宋体"/>
                <w:bCs/>
                <w:color w:val="auto"/>
                <w:szCs w:val="21"/>
                <w:highlight w:val="none"/>
              </w:rPr>
              <w:t>提交服务成果</w:t>
            </w:r>
            <w:r>
              <w:rPr>
                <w:rFonts w:hint="eastAsia" w:ascii="宋体" w:hAnsi="宋体"/>
                <w:color w:val="auto"/>
                <w:szCs w:val="21"/>
                <w:highlight w:val="none"/>
              </w:rPr>
              <w:t>并验收合格之日起计）。</w:t>
            </w:r>
          </w:p>
          <w:p>
            <w:pPr>
              <w:shd w:val="clear" w:color="auto" w:fill="FFFFFF"/>
              <w:spacing w:line="440" w:lineRule="exact"/>
              <w:rPr>
                <w:rFonts w:ascii="宋体" w:hAnsi="宋体"/>
                <w:color w:val="auto"/>
                <w:szCs w:val="21"/>
                <w:highlight w:val="none"/>
                <w:u w:val="thick"/>
              </w:rPr>
            </w:pPr>
            <w:r>
              <w:rPr>
                <w:rFonts w:hint="eastAsia" w:ascii="宋体" w:hAnsi="宋体"/>
                <w:color w:val="auto"/>
                <w:szCs w:val="21"/>
                <w:highlight w:val="none"/>
              </w:rPr>
              <w:t>2.处理问题响应时间：</w:t>
            </w:r>
            <w:r>
              <w:rPr>
                <w:rFonts w:hint="eastAsia" w:ascii="宋体" w:hAnsi="宋体"/>
                <w:bCs/>
                <w:color w:val="auto"/>
                <w:szCs w:val="21"/>
                <w:highlight w:val="none"/>
              </w:rPr>
              <w:t>接到采购人处理问题通知后</w:t>
            </w:r>
            <w:r>
              <w:rPr>
                <w:rFonts w:hint="eastAsia" w:ascii="宋体" w:hAnsi="宋体"/>
                <w:bCs/>
                <w:color w:val="auto"/>
                <w:szCs w:val="21"/>
                <w:highlight w:val="none"/>
                <w:u w:val="single"/>
              </w:rPr>
              <w:t xml:space="preserve"> 1</w:t>
            </w:r>
            <w:r>
              <w:rPr>
                <w:rFonts w:hint="eastAsia" w:ascii="宋体" w:hAnsi="宋体"/>
                <w:bCs/>
                <w:color w:val="auto"/>
                <w:szCs w:val="21"/>
                <w:highlight w:val="none"/>
              </w:rPr>
              <w:t>小时内到达采购人指定现场。</w:t>
            </w:r>
          </w:p>
          <w:p>
            <w:pPr>
              <w:spacing w:line="440" w:lineRule="exact"/>
              <w:rPr>
                <w:rFonts w:ascii="宋体" w:hAnsi="宋体"/>
                <w:color w:val="auto"/>
                <w:szCs w:val="21"/>
                <w:highlight w:val="none"/>
              </w:rPr>
            </w:pPr>
            <w:r>
              <w:rPr>
                <w:rFonts w:hint="eastAsia" w:ascii="宋体" w:hAnsi="宋体"/>
                <w:color w:val="auto"/>
                <w:szCs w:val="21"/>
                <w:highlight w:val="none"/>
              </w:rPr>
              <w:t>★五、拟派项目组专业技术人员要求</w:t>
            </w:r>
          </w:p>
          <w:p>
            <w:pPr>
              <w:spacing w:line="440" w:lineRule="exact"/>
              <w:rPr>
                <w:rFonts w:ascii="宋体" w:hAnsi="宋体"/>
                <w:color w:val="auto"/>
                <w:szCs w:val="21"/>
                <w:highlight w:val="none"/>
              </w:rPr>
            </w:pPr>
            <w:r>
              <w:rPr>
                <w:rFonts w:hint="eastAsia" w:ascii="宋体" w:hAnsi="宋体"/>
                <w:color w:val="auto"/>
                <w:szCs w:val="21"/>
                <w:highlight w:val="none"/>
              </w:rPr>
              <w:t>1.供应商必须指定项目总监理工程师1名，总监理工程师必须持有有效的《信息系统监理师》证书，同时必须派出至少2人（不含总监理工程师）的监理工程师，监理工程师必须持有有效的《信息系统监理师》证书。投标文件中提供的监理人员技术资格证书、社保信息都必须要与供应商出具的《监理相关人员到位承诺书》中实施人员名单相一致。</w:t>
            </w:r>
          </w:p>
          <w:p>
            <w:pPr>
              <w:spacing w:line="440" w:lineRule="exact"/>
              <w:rPr>
                <w:rFonts w:ascii="宋体" w:hAnsi="宋体"/>
                <w:color w:val="auto"/>
                <w:szCs w:val="21"/>
                <w:highlight w:val="none"/>
              </w:rPr>
            </w:pPr>
            <w:r>
              <w:rPr>
                <w:rFonts w:hint="eastAsia" w:ascii="宋体" w:hAnsi="宋体"/>
                <w:color w:val="auto"/>
                <w:szCs w:val="21"/>
                <w:highlight w:val="none"/>
              </w:rPr>
              <w:t>2.拟派项目组专业技术人员必须为供应商的正式员工，且必须在投标文件中提供有关专业技术资格证书的复印件，同时须提供近半年内连续三个月的社保证明复印件（必须经社保部门盖章确认），否则投标无效。</w:t>
            </w:r>
          </w:p>
          <w:p>
            <w:pPr>
              <w:spacing w:line="440" w:lineRule="exact"/>
              <w:rPr>
                <w:rFonts w:ascii="宋体" w:hAnsi="宋体"/>
                <w:color w:val="auto"/>
                <w:szCs w:val="21"/>
                <w:highlight w:val="none"/>
              </w:rPr>
            </w:pPr>
            <w:r>
              <w:rPr>
                <w:rFonts w:hint="eastAsia" w:ascii="宋体" w:hAnsi="宋体"/>
                <w:color w:val="auto"/>
                <w:szCs w:val="21"/>
                <w:highlight w:val="none"/>
              </w:rPr>
              <w:t>3.供应商必须承诺中标后对负责本项目的监理人员不得随意更换，若要换人，须经采购人同意认可。监理</w:t>
            </w:r>
            <w:r>
              <w:rPr>
                <w:rFonts w:hint="eastAsia" w:ascii="宋体" w:hAnsi="宋体"/>
                <w:bCs/>
                <w:color w:val="auto"/>
                <w:szCs w:val="21"/>
                <w:highlight w:val="none"/>
              </w:rPr>
              <w:t>人员不能满足项目要求时，采购方有权提出人员更换要求。中标供应商因特殊原因确需变更人员时，需提前2周以书面形式向采购方申请。中标供应商须选派等同于或高于被替换人员资历的能够胜任本项目工作任务的人员。</w:t>
            </w:r>
          </w:p>
          <w:p>
            <w:pPr>
              <w:spacing w:line="440" w:lineRule="exact"/>
              <w:rPr>
                <w:rFonts w:ascii="宋体" w:hAnsi="宋体"/>
                <w:color w:val="auto"/>
                <w:szCs w:val="21"/>
                <w:highlight w:val="none"/>
              </w:rPr>
            </w:pPr>
            <w:r>
              <w:rPr>
                <w:rFonts w:hint="eastAsia" w:ascii="宋体" w:hAnsi="宋体"/>
                <w:color w:val="auto"/>
                <w:szCs w:val="21"/>
                <w:highlight w:val="none"/>
              </w:rPr>
              <w:t>六、其他要求：</w:t>
            </w:r>
          </w:p>
          <w:p>
            <w:pPr>
              <w:spacing w:line="440" w:lineRule="exact"/>
              <w:rPr>
                <w:rFonts w:ascii="宋体" w:hAnsi="宋体"/>
                <w:color w:val="auto"/>
                <w:szCs w:val="21"/>
                <w:highlight w:val="none"/>
              </w:rPr>
            </w:pPr>
            <w:r>
              <w:rPr>
                <w:rFonts w:hint="eastAsia" w:ascii="宋体" w:hAnsi="宋体"/>
                <w:color w:val="auto"/>
                <w:szCs w:val="21"/>
                <w:highlight w:val="none"/>
              </w:rPr>
              <w:t>★1.报价必须含以下部分，包括：</w:t>
            </w:r>
          </w:p>
          <w:p>
            <w:pPr>
              <w:spacing w:line="440" w:lineRule="exact"/>
              <w:rPr>
                <w:rFonts w:ascii="宋体" w:hAnsi="宋体"/>
                <w:color w:val="auto"/>
                <w:szCs w:val="21"/>
                <w:highlight w:val="none"/>
              </w:rPr>
            </w:pPr>
            <w:r>
              <w:rPr>
                <w:rFonts w:hint="eastAsia" w:ascii="宋体" w:hAnsi="宋体"/>
                <w:color w:val="auto"/>
                <w:szCs w:val="21"/>
                <w:highlight w:val="none"/>
              </w:rPr>
              <w:t>（1）服务的价格：本项目投标报价为总额报价，即一次性报出本项目的监理服务所需的所有费用，含技术服务、派出工作人员的交通费、住宿费、伙食补助费及其他与监理有关的费用。本项目至验收合格，采购人不另支付任何费用。</w:t>
            </w:r>
          </w:p>
          <w:p>
            <w:pPr>
              <w:spacing w:line="440" w:lineRule="exact"/>
              <w:rPr>
                <w:rFonts w:ascii="宋体" w:hAnsi="宋体"/>
                <w:color w:val="auto"/>
                <w:szCs w:val="21"/>
                <w:highlight w:val="none"/>
              </w:rPr>
            </w:pPr>
            <w:r>
              <w:rPr>
                <w:rFonts w:hint="eastAsia" w:ascii="宋体" w:hAnsi="宋体"/>
                <w:color w:val="auto"/>
                <w:szCs w:val="21"/>
                <w:highlight w:val="none"/>
              </w:rPr>
              <w:t>（2）必要的保险费用和各项税金；</w:t>
            </w:r>
          </w:p>
          <w:p>
            <w:pPr>
              <w:shd w:val="clear" w:color="auto" w:fill="FFFFFF"/>
              <w:spacing w:line="440" w:lineRule="exact"/>
              <w:rPr>
                <w:rFonts w:ascii="宋体" w:hAnsi="宋体"/>
                <w:bCs/>
                <w:color w:val="auto"/>
                <w:szCs w:val="21"/>
                <w:highlight w:val="none"/>
              </w:rPr>
            </w:pPr>
            <w:r>
              <w:rPr>
                <w:rFonts w:hint="eastAsia" w:ascii="宋体" w:hAnsi="宋体"/>
                <w:bCs/>
                <w:color w:val="auto"/>
                <w:szCs w:val="21"/>
                <w:highlight w:val="none"/>
              </w:rPr>
              <w:t>★2.付款方式：本项目无预付款。南宁市公共服务大数据治理与应用平台项目竣工验收合格后，甲方向乙方一次性支付全部合同款。</w:t>
            </w:r>
          </w:p>
          <w:p>
            <w:pPr>
              <w:shd w:val="clear" w:color="auto" w:fill="FFFFFF"/>
              <w:spacing w:line="440" w:lineRule="exact"/>
              <w:rPr>
                <w:rFonts w:ascii="宋体" w:hAnsi="宋体"/>
                <w:color w:val="auto"/>
                <w:szCs w:val="21"/>
                <w:highlight w:val="none"/>
              </w:rPr>
            </w:pPr>
            <w:r>
              <w:rPr>
                <w:rFonts w:hint="eastAsia" w:ascii="宋体" w:hAnsi="宋体"/>
                <w:color w:val="auto"/>
                <w:szCs w:val="21"/>
                <w:highlight w:val="none"/>
              </w:rPr>
              <w:t>3.本项目的采购预算价是经财政部门审核批准。为保证服务质量，根据《政府采购货物和服务招标投标管理办法》（中华人民共和国财政部令第87号）第六十条：“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若供应商的报价明显低于其他通过符合性审查供应商的报价，则供应商需提交相关证明材料，证明材料主要包括（但不限于）：</w:t>
            </w:r>
          </w:p>
          <w:p>
            <w:pPr>
              <w:spacing w:line="440" w:lineRule="exact"/>
              <w:rPr>
                <w:rFonts w:ascii="宋体" w:hAnsi="宋体"/>
                <w:color w:val="auto"/>
                <w:szCs w:val="21"/>
                <w:highlight w:val="none"/>
              </w:rPr>
            </w:pPr>
            <w:r>
              <w:rPr>
                <w:rFonts w:hint="eastAsia" w:ascii="宋体" w:hAnsi="宋体"/>
                <w:color w:val="auto"/>
                <w:szCs w:val="21"/>
                <w:highlight w:val="none"/>
              </w:rPr>
              <w:t>①行政机构税务部门开具的拟派项目组人员的《依法缴纳个人所得税或依法免缴个人所得税的凭证(与本次竞标所提供社保同月份)》（原件备查）；</w:t>
            </w:r>
          </w:p>
          <w:p>
            <w:pPr>
              <w:spacing w:line="440" w:lineRule="exact"/>
              <w:rPr>
                <w:rFonts w:ascii="宋体" w:hAnsi="宋体"/>
                <w:color w:val="auto"/>
                <w:szCs w:val="21"/>
                <w:highlight w:val="none"/>
              </w:rPr>
            </w:pPr>
            <w:r>
              <w:rPr>
                <w:rFonts w:hint="eastAsia" w:ascii="宋体" w:hAnsi="宋体"/>
                <w:color w:val="auto"/>
                <w:szCs w:val="21"/>
                <w:highlight w:val="none"/>
              </w:rPr>
              <w:t>②2017年度～2019年度经第三方具备审计资质的机构出具的审计报告（包括其固定资产成本及折旧、管理成本、人工费成本（如人员工资、奖金、福利及差旅等费用）、技术成本、税收等所有成本及利润）复印件（原件备查），同时提供第三方审计机构的资质证书、人员从业证书、委托合同复印件（原件备查）；</w:t>
            </w:r>
          </w:p>
          <w:p>
            <w:pPr>
              <w:spacing w:line="400" w:lineRule="atLeast"/>
              <w:contextualSpacing/>
              <w:rPr>
                <w:rFonts w:hint="eastAsia" w:ascii="宋体" w:hAnsi="宋体" w:cs="Arial"/>
                <w:b/>
                <w:color w:val="auto"/>
                <w:szCs w:val="21"/>
                <w:highlight w:val="none"/>
              </w:rPr>
            </w:pPr>
            <w:r>
              <w:rPr>
                <w:rFonts w:hint="eastAsia" w:ascii="宋体" w:hAnsi="宋体"/>
                <w:color w:val="auto"/>
                <w:szCs w:val="21"/>
                <w:highlight w:val="none"/>
              </w:rPr>
              <w:t>③提供至少3个类似项目监理业绩的费用成本组成明细（有合同双方盖章证明，提供复印件，原件备查），项目成本组成明细需经第三方造价咨询单位出具的竞标报价审核文件复印件（原件备查），同时提供第三方造价咨询单位的资质证书、人员从业证书、委托合同复印件（原件备查），如不提供或评委认定其资料不能详尽合理说明其成本的，则视为低于成本价报价，报价无效。</w:t>
            </w:r>
          </w:p>
        </w:tc>
      </w:tr>
    </w:tbl>
    <w:p>
      <w:pPr>
        <w:pStyle w:val="22"/>
        <w:numPr>
          <w:ilvl w:val="255"/>
          <w:numId w:val="0"/>
        </w:numPr>
        <w:spacing w:line="440" w:lineRule="exact"/>
        <w:ind w:firstLine="482" w:firstLineChars="200"/>
        <w:rPr>
          <w:rFonts w:hAnsi="宋体" w:cs="宋体"/>
          <w:b/>
          <w:color w:val="auto"/>
          <w:sz w:val="24"/>
          <w:highlight w:val="none"/>
        </w:rPr>
      </w:pPr>
    </w:p>
    <w:p>
      <w:pPr>
        <w:ind w:firstLine="431"/>
        <w:jc w:val="center"/>
        <w:rPr>
          <w:rFonts w:ascii="宋体" w:hAnsi="宋体"/>
          <w:b/>
          <w:color w:val="auto"/>
          <w:sz w:val="32"/>
          <w:szCs w:val="32"/>
          <w:highlight w:val="none"/>
        </w:rPr>
      </w:pPr>
    </w:p>
    <w:p>
      <w:pPr>
        <w:rPr>
          <w:rFonts w:ascii="宋体" w:hAnsi="宋体"/>
          <w:color w:val="auto"/>
          <w:highlight w:val="none"/>
        </w:rPr>
      </w:pPr>
      <w:r>
        <w:rPr>
          <w:rFonts w:ascii="宋体" w:hAnsi="宋体"/>
          <w:color w:val="auto"/>
          <w:highlight w:val="none"/>
        </w:rPr>
        <w:br w:type="page"/>
      </w:r>
    </w:p>
    <w:p>
      <w:pPr>
        <w:pStyle w:val="17"/>
        <w:rPr>
          <w:color w:val="auto"/>
          <w:highlight w:val="none"/>
        </w:rPr>
      </w:pPr>
    </w:p>
    <w:p>
      <w:pPr>
        <w:pStyle w:val="17"/>
        <w:rPr>
          <w:color w:val="auto"/>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bookmarkStart w:id="39" w:name="_Toc28684"/>
      <w:bookmarkStart w:id="40" w:name="_Toc10393"/>
      <w:bookmarkStart w:id="41" w:name="_Toc3476"/>
      <w:r>
        <w:rPr>
          <w:rFonts w:hint="eastAsia" w:ascii="宋体" w:hAnsi="宋体"/>
          <w:b/>
          <w:color w:val="auto"/>
          <w:sz w:val="44"/>
          <w:szCs w:val="44"/>
          <w:highlight w:val="none"/>
        </w:rPr>
        <w:t>第三章  投标人须知</w:t>
      </w:r>
      <w:bookmarkEnd w:id="39"/>
      <w:bookmarkEnd w:id="40"/>
      <w:bookmarkEnd w:id="41"/>
    </w:p>
    <w:p>
      <w:pPr>
        <w:snapToGrid w:val="0"/>
        <w:jc w:val="center"/>
        <w:rPr>
          <w:rFonts w:ascii="宋体" w:hAnsi="宋体"/>
          <w:b/>
          <w:color w:val="auto"/>
          <w:sz w:val="32"/>
          <w:szCs w:val="32"/>
          <w:highlight w:val="none"/>
        </w:rPr>
      </w:pPr>
      <w:bookmarkStart w:id="42" w:name="_Toc254970667"/>
      <w:bookmarkStart w:id="43" w:name="_Toc254970526"/>
      <w:r>
        <w:rPr>
          <w:rFonts w:ascii="宋体" w:hAnsi="宋体"/>
          <w:b/>
          <w:color w:val="auto"/>
          <w:szCs w:val="28"/>
          <w:highlight w:val="none"/>
        </w:rPr>
        <w:br w:type="page"/>
      </w:r>
      <w:r>
        <w:rPr>
          <w:rFonts w:hint="eastAsia" w:ascii="宋体" w:hAnsi="宋体"/>
          <w:b/>
          <w:color w:val="auto"/>
          <w:sz w:val="32"/>
          <w:szCs w:val="32"/>
          <w:highlight w:val="none"/>
        </w:rPr>
        <w:t>前附表</w:t>
      </w:r>
      <w:bookmarkEnd w:id="42"/>
      <w:bookmarkEnd w:id="43"/>
    </w:p>
    <w:tbl>
      <w:tblPr>
        <w:tblStyle w:val="3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 xml:space="preserve">项目名称： </w:t>
            </w:r>
            <w:r>
              <w:rPr>
                <w:rFonts w:hint="eastAsia" w:asciiTheme="minorEastAsia" w:hAnsiTheme="minorEastAsia" w:eastAsiaTheme="minorEastAsia"/>
                <w:b/>
                <w:color w:val="auto"/>
                <w:sz w:val="24"/>
                <w:highlight w:val="none"/>
                <w:lang w:eastAsia="zh-CN"/>
              </w:rPr>
              <w:t>南宁市公共服务大数据治理与应用平台项目监理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总采购预算：</w:t>
            </w:r>
            <w:r>
              <w:rPr>
                <w:rFonts w:hint="eastAsia" w:asciiTheme="minorEastAsia" w:hAnsiTheme="minorEastAsia" w:eastAsiaTheme="minorEastAsia"/>
                <w:b/>
                <w:color w:val="auto"/>
                <w:sz w:val="24"/>
                <w:highlight w:val="none"/>
                <w:lang w:eastAsia="zh-CN"/>
              </w:rPr>
              <w:t>377600</w:t>
            </w:r>
            <w:r>
              <w:rPr>
                <w:rFonts w:hint="eastAsia" w:asciiTheme="minorEastAsia" w:hAnsiTheme="minorEastAsia" w:eastAsiaTheme="minorEastAsia"/>
                <w:b/>
                <w:color w:val="auto"/>
                <w:sz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投标报价及费用：</w:t>
            </w:r>
            <w:r>
              <w:rPr>
                <w:rFonts w:hint="eastAsia" w:asciiTheme="minorEastAsia" w:hAnsiTheme="minorEastAsia" w:eastAsiaTheme="minorEastAsia"/>
                <w:color w:val="auto"/>
                <w:sz w:val="24"/>
                <w:highlight w:val="none"/>
              </w:rPr>
              <w:t>1、本项目投标应以人民币报价；2、不论投标结果如何，投标人均应自行承担所有与投标有关的全部费用；3、本项目代理服务费参照“国家发展计划委员会文件关于印发《招标代理服务收费管理暂行办法》的通知（计价格【2002】1980号）”规定标准向中标人收取，中标人领取中标通知书时,应向采购代理机构以转账形式一次付清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投标有效期</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45天    </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60天    </w:t>
            </w:r>
            <w:r>
              <w:rPr>
                <w:rFonts w:hint="eastAsia" w:asciiTheme="minorEastAsia" w:hAnsiTheme="minorEastAsia" w:eastAsiaTheme="minorEastAsia"/>
                <w:color w:val="auto"/>
                <w:sz w:val="24"/>
                <w:highlight w:val="none"/>
              </w:rPr>
              <w:sym w:font="Wingdings 2" w:char="0052"/>
            </w:r>
            <w:r>
              <w:rPr>
                <w:rFonts w:asciiTheme="minorEastAsia" w:hAnsiTheme="minorEastAsia" w:eastAsiaTheme="minorEastAsia"/>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现场踏勘（</w:t>
            </w:r>
            <w:r>
              <w:rPr>
                <w:rFonts w:hint="eastAsia" w:asciiTheme="minorEastAsia" w:hAnsiTheme="minorEastAsia" w:eastAsiaTheme="minorEastAsia"/>
                <w:color w:val="auto"/>
                <w:sz w:val="24"/>
                <w:highlight w:val="none"/>
              </w:rPr>
              <w:t>如有）：</w:t>
            </w:r>
            <w:r>
              <w:rPr>
                <w:rFonts w:hint="eastAsia" w:cs="Arial" w:asciiTheme="minorEastAsia" w:hAnsiTheme="minorEastAsia" w:eastAsiaTheme="minorEastAsia"/>
                <w:color w:val="auto"/>
                <w:sz w:val="24"/>
                <w:highlight w:val="none"/>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olor w:val="auto"/>
                <w:sz w:val="24"/>
                <w:highlight w:val="none"/>
              </w:rPr>
            </w:pPr>
            <w:r>
              <w:rPr>
                <w:rFonts w:hint="eastAsia" w:asciiTheme="minorEastAsia" w:hAnsiTheme="minorEastAsia" w:eastAsiaTheme="minorEastAsia"/>
                <w:b/>
                <w:color w:val="auto"/>
                <w:sz w:val="24"/>
                <w:highlight w:val="none"/>
              </w:rPr>
              <w:t>答疑、澄清</w:t>
            </w:r>
            <w:r>
              <w:rPr>
                <w:rFonts w:hint="eastAsia" w:asciiTheme="minorEastAsia" w:hAnsiTheme="minorEastAsia" w:eastAsiaTheme="minorEastAsia"/>
                <w:color w:val="auto"/>
                <w:sz w:val="24"/>
                <w:highlight w:val="none"/>
              </w:rPr>
              <w:t>：</w:t>
            </w:r>
            <w:r>
              <w:rPr>
                <w:rFonts w:hint="eastAsia" w:hAnsi="宋体"/>
                <w:bCs/>
                <w:color w:val="auto"/>
                <w:sz w:val="24"/>
                <w:highlight w:val="none"/>
              </w:rPr>
              <w:t>投标人应认真阅读本招标文件，发现其中有误或有不合理要求的，投标人应当于</w:t>
            </w:r>
            <w:r>
              <w:rPr>
                <w:rFonts w:hint="eastAsia" w:hAnsi="宋体"/>
                <w:color w:val="auto"/>
                <w:sz w:val="24"/>
                <w:highlight w:val="none"/>
              </w:rPr>
              <w:t>公告届满之日起7个工作日</w:t>
            </w:r>
            <w:r>
              <w:rPr>
                <w:rFonts w:hint="eastAsia" w:hAnsi="宋体"/>
                <w:bCs/>
                <w:color w:val="auto"/>
                <w:sz w:val="24"/>
                <w:highlight w:val="none"/>
              </w:rPr>
              <w:t>，以书面形式要求招标采购单位澄清</w:t>
            </w:r>
            <w:r>
              <w:rPr>
                <w:rFonts w:hint="eastAsia" w:hAnsi="宋体"/>
                <w:color w:val="auto"/>
                <w:sz w:val="24"/>
                <w:highlight w:val="none"/>
              </w:rPr>
              <w:t>。如果澄清、答复、修改或补充的</w:t>
            </w:r>
            <w:r>
              <w:rPr>
                <w:color w:val="auto"/>
                <w:sz w:val="24"/>
                <w:highlight w:val="none"/>
              </w:rPr>
              <w:t>内容可能影响投标文件编制的，采购人或者采购代理机构应当在投标截止时间至少15日前</w:t>
            </w:r>
            <w:r>
              <w:rPr>
                <w:rFonts w:hint="eastAsia"/>
                <w:color w:val="auto"/>
                <w:sz w:val="24"/>
                <w:highlight w:val="none"/>
              </w:rPr>
              <w:t>发出</w:t>
            </w:r>
            <w:r>
              <w:rPr>
                <w:color w:val="auto"/>
                <w:sz w:val="24"/>
                <w:highlight w:val="none"/>
              </w:rPr>
              <w:t>；不足15日的，采购人或者采购代理机构应当顺延提交投标文件的截止时间。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投标文件份数</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资格审查</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u w:val="single"/>
              </w:rPr>
              <w:t xml:space="preserve"> 3</w:t>
            </w:r>
            <w:r>
              <w:rPr>
                <w:rFonts w:hint="eastAsia" w:cs="Arial"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rPr>
              <w:t>份；投标文件（包括商务文件、技术文件和报价文件）</w:t>
            </w:r>
            <w:r>
              <w:rPr>
                <w:rFonts w:hint="eastAsia" w:asciiTheme="minorEastAsia" w:hAnsiTheme="minorEastAsia" w:eastAsiaTheme="minorEastAsia"/>
                <w:color w:val="auto"/>
                <w:sz w:val="24"/>
                <w:highlight w:val="none"/>
              </w:rPr>
              <w:t>正本</w:t>
            </w:r>
            <w:r>
              <w:rPr>
                <w:rFonts w:hint="eastAsia"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份；副本</w:t>
            </w:r>
            <w:r>
              <w:rPr>
                <w:rFonts w:hint="eastAsia"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u w:val="single"/>
              </w:rPr>
              <w:t xml:space="preserve">4 </w:t>
            </w:r>
            <w:r>
              <w:rPr>
                <w:rFonts w:hint="eastAsia" w:asciiTheme="minorEastAsia" w:hAnsiTheme="minorEastAsia" w:eastAsiaTheme="minorEastAsia"/>
                <w:color w:val="auto"/>
                <w:sz w:val="24"/>
                <w:highlight w:val="none"/>
              </w:rPr>
              <w:t>份；开标一览表</w:t>
            </w:r>
            <w:r>
              <w:rPr>
                <w:rFonts w:hint="eastAsia" w:asciiTheme="minorEastAsia" w:hAnsiTheme="minorEastAsia" w:eastAsiaTheme="minorEastAsia"/>
                <w:color w:val="auto"/>
                <w:sz w:val="24"/>
                <w:highlight w:val="none"/>
                <w:u w:val="single"/>
              </w:rPr>
              <w:t xml:space="preserve"> </w:t>
            </w:r>
            <w:r>
              <w:rPr>
                <w:rFonts w:hint="eastAsia" w:cs="Arial" w:asciiTheme="minorEastAsia" w:hAnsiTheme="minorEastAsia" w:eastAsiaTheme="minorEastAsia"/>
                <w:color w:val="auto"/>
                <w:sz w:val="24"/>
                <w:highlight w:val="none"/>
                <w:u w:val="single"/>
              </w:rPr>
              <w:t xml:space="preserve">2 </w:t>
            </w:r>
            <w:r>
              <w:rPr>
                <w:rFonts w:hint="eastAsia" w:cs="Arial" w:asciiTheme="minorEastAsia" w:hAnsiTheme="minorEastAsia" w:eastAsiaTheme="minorEastAsia"/>
                <w:color w:val="auto"/>
                <w:sz w:val="24"/>
                <w:highlight w:val="none"/>
              </w:rPr>
              <w:t>份；</w:t>
            </w:r>
            <w:r>
              <w:rPr>
                <w:rFonts w:hint="eastAsia" w:asciiTheme="minorEastAsia" w:hAnsiTheme="minorEastAsia" w:eastAsiaTheme="minorEastAsia"/>
                <w:color w:val="auto"/>
                <w:sz w:val="24"/>
                <w:highlight w:val="none"/>
              </w:rPr>
              <w:t>投标文件电子版</w:t>
            </w:r>
            <w:r>
              <w:rPr>
                <w:rFonts w:hint="eastAsia" w:cs="Arial" w:asciiTheme="minorEastAsia" w:hAnsiTheme="minorEastAsia" w:eastAsiaTheme="minorEastAsia"/>
                <w:color w:val="auto"/>
                <w:sz w:val="24"/>
                <w:highlight w:val="none"/>
                <w:u w:val="single"/>
              </w:rPr>
              <w:t>壹</w:t>
            </w:r>
            <w:r>
              <w:rPr>
                <w:rFonts w:hint="eastAsia" w:asciiTheme="minorEastAsia" w:hAnsiTheme="minorEastAsia" w:eastAsiaTheme="minorEastAsia"/>
                <w:color w:val="auto"/>
                <w:sz w:val="24"/>
                <w:highlight w:val="none"/>
              </w:rPr>
              <w:t>份（光盘）；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60" w:hanging="60" w:hangingChars="25"/>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投标文件签署：</w:t>
            </w:r>
            <w:r>
              <w:rPr>
                <w:rFonts w:asciiTheme="minorEastAsia" w:hAnsiTheme="minorEastAsia" w:eastAsiaTheme="minorEastAsia"/>
                <w:color w:val="auto"/>
                <w:sz w:val="24"/>
                <w:highlight w:val="none"/>
              </w:rPr>
              <w:t>投标文件正本与副本均</w:t>
            </w:r>
            <w:r>
              <w:rPr>
                <w:rFonts w:hint="eastAsia" w:asciiTheme="minorEastAsia" w:hAnsiTheme="minorEastAsia" w:eastAsiaTheme="minorEastAsia"/>
                <w:color w:val="auto"/>
                <w:sz w:val="24"/>
                <w:highlight w:val="none"/>
              </w:rPr>
              <w:t>应</w:t>
            </w:r>
            <w:r>
              <w:rPr>
                <w:rFonts w:asciiTheme="minorEastAsia" w:hAnsiTheme="minorEastAsia" w:eastAsiaTheme="minorEastAsia"/>
                <w:color w:val="auto"/>
                <w:sz w:val="24"/>
                <w:highlight w:val="none"/>
              </w:rPr>
              <w:t>由投标人在招标文件规定的相关位置加盖投标人法人单位公章，且经法定代表</w:t>
            </w:r>
            <w:r>
              <w:rPr>
                <w:rFonts w:hint="eastAsia" w:asciiTheme="minorEastAsia" w:hAnsiTheme="minorEastAsia" w:eastAsiaTheme="minorEastAsia"/>
                <w:color w:val="auto"/>
                <w:sz w:val="24"/>
                <w:highlight w:val="none"/>
              </w:rPr>
              <w:t>人签字（</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盖章</w:t>
            </w:r>
            <w:r>
              <w:rPr>
                <w:rFonts w:asciiTheme="minorEastAsia" w:hAnsiTheme="minorEastAsia" w:eastAsiaTheme="minorEastAsia"/>
                <w:color w:val="auto"/>
                <w:sz w:val="24"/>
                <w:highlight w:val="none"/>
              </w:rPr>
              <w:t>）或其委托代理人本人签</w:t>
            </w:r>
            <w:r>
              <w:rPr>
                <w:rFonts w:hint="eastAsia" w:asciiTheme="minorEastAsia" w:hAnsiTheme="minorEastAsia" w:eastAsiaTheme="minorEastAsia"/>
                <w:color w:val="auto"/>
                <w:sz w:val="24"/>
                <w:highlight w:val="none"/>
              </w:rPr>
              <w:t>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装订要求：</w:t>
            </w:r>
            <w:r>
              <w:rPr>
                <w:rFonts w:asciiTheme="minorEastAsia" w:hAnsiTheme="minorEastAsia" w:eastAsiaTheme="minorEastAsia"/>
                <w:color w:val="auto"/>
                <w:sz w:val="24"/>
                <w:highlight w:val="none"/>
              </w:rPr>
              <w:t>按照投标人须知第</w:t>
            </w:r>
            <w:r>
              <w:rPr>
                <w:rFonts w:hint="eastAsia" w:asciiTheme="minorEastAsia" w:hAnsiTheme="minorEastAsia" w:eastAsiaTheme="minorEastAsia"/>
                <w:color w:val="auto"/>
                <w:sz w:val="24"/>
                <w:highlight w:val="none"/>
              </w:rPr>
              <w:t>三部分第（一）项</w:t>
            </w:r>
            <w:r>
              <w:rPr>
                <w:rFonts w:asciiTheme="minorEastAsia" w:hAnsiTheme="minorEastAsia" w:eastAsiaTheme="minorEastAsia"/>
                <w:color w:val="auto"/>
                <w:sz w:val="24"/>
                <w:highlight w:val="none"/>
              </w:rPr>
              <w:t>规定的投标文件组成内容，投标文件应按以下要求装订：分册装订，共分</w:t>
            </w:r>
            <w:r>
              <w:rPr>
                <w:rFonts w:hint="eastAsia" w:asciiTheme="minorEastAsia" w:hAnsiTheme="minorEastAsia" w:eastAsiaTheme="minorEastAsia"/>
                <w:color w:val="auto"/>
                <w:sz w:val="24"/>
                <w:highlight w:val="none"/>
                <w:u w:val="single"/>
              </w:rPr>
              <w:t>三</w:t>
            </w:r>
            <w:r>
              <w:rPr>
                <w:rFonts w:asciiTheme="minorEastAsia" w:hAnsiTheme="minorEastAsia" w:eastAsiaTheme="minorEastAsia"/>
                <w:color w:val="auto"/>
                <w:sz w:val="24"/>
                <w:highlight w:val="none"/>
              </w:rPr>
              <w:t>册，分别为：</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文件为一册；商务文件</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报价文件（开标一览表除外）为一册</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开标一览表为一册</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同时提供投标文件电子版（光盘）。</w:t>
            </w:r>
          </w:p>
          <w:p>
            <w:pPr>
              <w:snapToGrid w:val="0"/>
              <w:spacing w:line="320" w:lineRule="exact"/>
              <w:ind w:left="60" w:hanging="60" w:hangingChars="2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包装、密封：</w:t>
            </w:r>
            <w:r>
              <w:rPr>
                <w:rFonts w:asciiTheme="minorEastAsia" w:hAnsiTheme="minorEastAsia" w:eastAsiaTheme="minorEastAsia"/>
                <w:color w:val="auto"/>
                <w:sz w:val="24"/>
                <w:highlight w:val="none"/>
              </w:rPr>
              <w:t>投标人应将所有投标文件的</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商务及</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w:t>
            </w:r>
            <w:r>
              <w:rPr>
                <w:rFonts w:hint="eastAsia" w:ascii="宋体" w:hAnsi="宋体" w:cs="宋体"/>
                <w:b/>
                <w:color w:val="auto"/>
                <w:szCs w:val="21"/>
                <w:highlight w:val="none"/>
              </w:rPr>
              <w:t>、</w:t>
            </w:r>
            <w:r>
              <w:rPr>
                <w:rFonts w:hint="eastAsia" w:asciiTheme="minorEastAsia" w:hAnsiTheme="minorEastAsia" w:eastAsiaTheme="minorEastAsia"/>
                <w:color w:val="auto"/>
                <w:sz w:val="24"/>
                <w:highlight w:val="none"/>
                <w:u w:val="single"/>
              </w:rPr>
              <w:t>投标文件电子版</w:t>
            </w:r>
            <w:r>
              <w:rPr>
                <w:rFonts w:asciiTheme="minorEastAsia" w:hAnsiTheme="minorEastAsia" w:eastAsiaTheme="minorEastAsia"/>
                <w:color w:val="auto"/>
                <w:sz w:val="24"/>
                <w:highlight w:val="none"/>
              </w:rPr>
              <w:t>分别密封在</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四</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个密封袋内，密封袋上清楚地标明“资格审查</w:t>
            </w:r>
            <w:r>
              <w:rPr>
                <w:rFonts w:hint="eastAsia" w:asciiTheme="minorEastAsia" w:hAnsiTheme="minorEastAsia" w:eastAsiaTheme="minorEastAsia"/>
                <w:color w:val="auto"/>
                <w:sz w:val="24"/>
                <w:highlight w:val="none"/>
              </w:rPr>
              <w:t>文件</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商务及</w:t>
            </w:r>
            <w:r>
              <w:rPr>
                <w:rFonts w:asciiTheme="minorEastAsia" w:hAnsiTheme="minorEastAsia" w:eastAsiaTheme="minorEastAsia"/>
                <w:color w:val="auto"/>
                <w:sz w:val="24"/>
                <w:highlight w:val="none"/>
              </w:rPr>
              <w:t>技术</w:t>
            </w:r>
            <w:r>
              <w:rPr>
                <w:rFonts w:hint="eastAsia" w:asciiTheme="minorEastAsia" w:hAnsiTheme="minorEastAsia" w:eastAsiaTheme="minorEastAsia"/>
                <w:color w:val="auto"/>
                <w:sz w:val="24"/>
                <w:highlight w:val="none"/>
              </w:rPr>
              <w:t>文件、报价文件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或“开标一览表”或“</w:t>
            </w:r>
            <w:r>
              <w:rPr>
                <w:rFonts w:hint="eastAsia" w:asciiTheme="minorEastAsia" w:hAnsiTheme="minorEastAsia" w:eastAsiaTheme="minorEastAsia"/>
                <w:color w:val="auto"/>
                <w:sz w:val="24"/>
                <w:highlight w:val="none"/>
                <w:u w:val="single"/>
              </w:rPr>
              <w:t>投标文件电子版</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提交投标文件时应为</w:t>
            </w:r>
            <w:r>
              <w:rPr>
                <w:rFonts w:hint="eastAsia" w:asciiTheme="minorEastAsia" w:hAnsiTheme="minorEastAsia" w:eastAsiaTheme="minorEastAsia"/>
                <w:color w:val="auto"/>
                <w:sz w:val="24"/>
                <w:highlight w:val="none"/>
                <w:u w:val="single"/>
              </w:rPr>
              <w:t xml:space="preserve"> 一 </w:t>
            </w:r>
            <w:r>
              <w:rPr>
                <w:rFonts w:hint="eastAsia" w:asciiTheme="minorEastAsia" w:hAnsiTheme="minorEastAsia" w:eastAsiaTheme="minorEastAsia"/>
                <w:color w:val="auto"/>
                <w:sz w:val="24"/>
                <w:highlight w:val="none"/>
              </w:rPr>
              <w:t>个密封袋。</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投标文件密封袋的封口处应加贴封条并</w:t>
            </w:r>
            <w:r>
              <w:rPr>
                <w:rFonts w:hint="eastAsia" w:asciiTheme="minorEastAsia" w:hAnsiTheme="minorEastAsia" w:eastAsiaTheme="minorEastAsia"/>
                <w:color w:val="auto"/>
                <w:sz w:val="24"/>
                <w:highlight w:val="none"/>
              </w:rPr>
              <w:t>签章（公章、密封章、法定代表人或其委托代理人签名均可）</w:t>
            </w:r>
            <w:r>
              <w:rPr>
                <w:rFonts w:asciiTheme="minorEastAsia" w:hAnsiTheme="minorEastAsia" w:eastAsiaTheme="minorEastAsia"/>
                <w:color w:val="auto"/>
                <w:sz w:val="24"/>
                <w:highlight w:val="none"/>
              </w:rPr>
              <w:t>以示密封</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封套上写明：</w:t>
            </w:r>
          </w:p>
          <w:p>
            <w:pPr>
              <w:autoSpaceDE w:val="0"/>
              <w:autoSpaceDN w:val="0"/>
              <w:snapToGrid w:val="0"/>
              <w:ind w:firstLine="1320" w:firstLineChars="55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标项（如有）：</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投标人地址：</w:t>
            </w:r>
          </w:p>
          <w:p>
            <w:pPr>
              <w:autoSpaceDE w:val="0"/>
              <w:autoSpaceDN w:val="0"/>
              <w:snapToGrid w:val="0"/>
              <w:jc w:val="righ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投标文件递交截止时间</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年</w:t>
            </w:r>
            <w:r>
              <w:rPr>
                <w:rFonts w:hint="eastAsia" w:asciiTheme="minorEastAsia" w:hAnsiTheme="minorEastAsia" w:eastAsiaTheme="minorEastAsia" w:cstheme="minorEastAsia"/>
                <w:bCs/>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月</w:t>
            </w:r>
            <w:r>
              <w:rPr>
                <w:rFonts w:hint="eastAsia" w:asciiTheme="minorEastAsia" w:hAnsiTheme="minorEastAsia" w:eastAsiaTheme="minorEastAsia" w:cstheme="minorEastAsia"/>
                <w:bCs/>
                <w:color w:val="auto"/>
                <w:sz w:val="24"/>
                <w:highlight w:val="none"/>
                <w:u w:val="single"/>
                <w:lang w:val="en-US" w:eastAsia="zh-CN"/>
              </w:rPr>
              <w:t>25</w:t>
            </w:r>
            <w:r>
              <w:rPr>
                <w:rFonts w:hint="eastAsia" w:asciiTheme="minorEastAsia" w:hAnsiTheme="minorEastAsia" w:eastAsiaTheme="minorEastAsia" w:cstheme="minorEastAsia"/>
                <w:bCs/>
                <w:color w:val="auto"/>
                <w:sz w:val="24"/>
                <w:highlight w:val="none"/>
                <w:u w:val="single"/>
              </w:rPr>
              <w:t>日9点30分</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投标文件递交地点</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详见招标公告</w:t>
            </w:r>
            <w:r>
              <w:rPr>
                <w:rFonts w:hint="eastAsia" w:asciiTheme="minorEastAsia" w:hAnsiTheme="minorEastAsia" w:eastAsiaTheme="minorEastAsia"/>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开标时间：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年</w:t>
            </w:r>
            <w:r>
              <w:rPr>
                <w:rFonts w:hint="eastAsia" w:asciiTheme="minorEastAsia" w:hAnsiTheme="minorEastAsia" w:eastAsiaTheme="minorEastAsia" w:cstheme="minorEastAsia"/>
                <w:bCs/>
                <w:color w:val="auto"/>
                <w:sz w:val="24"/>
                <w:highlight w:val="none"/>
                <w:u w:val="single"/>
                <w:lang w:val="en-US" w:eastAsia="zh-CN"/>
              </w:rPr>
              <w:t>1</w:t>
            </w:r>
            <w:r>
              <w:rPr>
                <w:rFonts w:hint="eastAsia" w:asciiTheme="minorEastAsia" w:hAnsiTheme="minorEastAsia" w:eastAsiaTheme="minorEastAsia" w:cstheme="minorEastAsia"/>
                <w:bCs/>
                <w:color w:val="auto"/>
                <w:sz w:val="24"/>
                <w:highlight w:val="none"/>
                <w:u w:val="single"/>
              </w:rPr>
              <w:t>月</w:t>
            </w:r>
            <w:r>
              <w:rPr>
                <w:rFonts w:hint="eastAsia" w:asciiTheme="minorEastAsia" w:hAnsiTheme="minorEastAsia" w:eastAsiaTheme="minorEastAsia" w:cstheme="minorEastAsia"/>
                <w:bCs/>
                <w:color w:val="auto"/>
                <w:sz w:val="24"/>
                <w:highlight w:val="none"/>
                <w:u w:val="single"/>
                <w:lang w:val="en-US" w:eastAsia="zh-CN"/>
              </w:rPr>
              <w:t>25</w:t>
            </w:r>
            <w:r>
              <w:rPr>
                <w:rFonts w:hint="eastAsia" w:asciiTheme="minorEastAsia" w:hAnsiTheme="minorEastAsia" w:eastAsiaTheme="minorEastAsia" w:cstheme="minorEastAsia"/>
                <w:bCs/>
                <w:color w:val="auto"/>
                <w:sz w:val="24"/>
                <w:highlight w:val="none"/>
                <w:u w:val="single"/>
              </w:rPr>
              <w:t>日9点30分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w:t>
            </w:r>
          </w:p>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地点：</w:t>
            </w:r>
            <w:r>
              <w:rPr>
                <w:rFonts w:hint="eastAsia" w:asciiTheme="minorEastAsia" w:hAnsiTheme="minorEastAsia" w:eastAsiaTheme="minorEastAsia"/>
                <w:b/>
                <w:color w:val="auto"/>
                <w:sz w:val="24"/>
                <w:highlight w:val="none"/>
                <w:u w:val="single"/>
              </w:rPr>
              <w:t xml:space="preserve"> 南宁市良庆区玉洞大道33号（青少年活动中心旁）市民中心9楼（具体安排详见电子大屏幕场地安排表）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olor w:val="auto"/>
                <w:sz w:val="24"/>
                <w:highlight w:val="none"/>
              </w:rPr>
            </w:pPr>
            <w:r>
              <w:rPr>
                <w:rFonts w:hint="eastAsia" w:hAnsi="宋体"/>
                <w:b/>
                <w:color w:val="auto"/>
                <w:sz w:val="24"/>
                <w:highlight w:val="none"/>
              </w:rPr>
              <w:t>信用查询：</w:t>
            </w:r>
            <w:r>
              <w:rPr>
                <w:rFonts w:hint="eastAsia" w:ascii="宋体" w:hAnsi="宋体"/>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⑵查询截止时点：中标通知书发出前；</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⑶信用信息查询记录和证据留存方式：在查询网站中直接打印查询记录，打印材料作为采购活动资料保存。</w:t>
            </w:r>
          </w:p>
          <w:p>
            <w:pPr>
              <w:pStyle w:val="114"/>
              <w:spacing w:line="440" w:lineRule="exact"/>
              <w:ind w:firstLine="480" w:firstLineChars="200"/>
              <w:rPr>
                <w:rFonts w:hAnsi="宋体"/>
                <w:color w:val="auto"/>
                <w:sz w:val="24"/>
                <w:szCs w:val="24"/>
                <w:highlight w:val="none"/>
              </w:rPr>
            </w:pPr>
            <w:r>
              <w:rPr>
                <w:rFonts w:hint="eastAsia" w:hAnsi="宋体"/>
                <w:color w:val="auto"/>
                <w:sz w:val="24"/>
                <w:szCs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2"/>
              <w:spacing w:line="380" w:lineRule="exact"/>
              <w:ind w:firstLine="470" w:firstLineChars="196"/>
              <w:rPr>
                <w:rFonts w:hAnsi="宋体"/>
                <w:b/>
                <w:color w:val="auto"/>
                <w:sz w:val="24"/>
                <w:szCs w:val="24"/>
                <w:highlight w:val="none"/>
              </w:rPr>
            </w:pPr>
            <w:r>
              <w:rPr>
                <w:rFonts w:hint="eastAsia"/>
                <w:color w:val="auto"/>
                <w:sz w:val="24"/>
                <w:szCs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中标公告及中标通知书：</w:t>
            </w:r>
            <w:r>
              <w:rPr>
                <w:rFonts w:hint="eastAsia" w:asciiTheme="minorEastAsia" w:hAnsiTheme="minorEastAsia" w:eastAsiaTheme="minorEastAsia"/>
                <w:color w:val="auto"/>
                <w:sz w:val="24"/>
                <w:highlight w:val="none"/>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签订合同时间：</w:t>
            </w:r>
            <w:r>
              <w:rPr>
                <w:rFonts w:hint="eastAsia" w:ascii="宋体" w:hAnsi="宋体" w:cs="宋体"/>
                <w:color w:val="auto"/>
                <w:sz w:val="24"/>
                <w:highlight w:val="none"/>
              </w:rPr>
              <w:t>自中标通知书发出之日起</w:t>
            </w:r>
            <w:r>
              <w:rPr>
                <w:rFonts w:hint="eastAsia" w:ascii="宋体" w:hAnsi="宋体" w:cs="宋体"/>
                <w:color w:val="auto"/>
                <w:sz w:val="24"/>
                <w:highlight w:val="none"/>
                <w:lang w:val="en-US" w:eastAsia="zh-CN"/>
              </w:rPr>
              <w:t>25日</w:t>
            </w:r>
            <w:r>
              <w:rPr>
                <w:rFonts w:hint="eastAsia" w:ascii="宋体" w:hAnsi="宋体" w:cs="宋体"/>
                <w:color w:val="auto"/>
                <w:sz w:val="24"/>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解释：本招标文件的解释权属于招标采购代理机构。</w:t>
            </w:r>
          </w:p>
        </w:tc>
      </w:tr>
    </w:tbl>
    <w:p>
      <w:pPr>
        <w:pStyle w:val="22"/>
        <w:tabs>
          <w:tab w:val="left" w:pos="426"/>
        </w:tabs>
        <w:snapToGrid w:val="0"/>
        <w:jc w:val="center"/>
        <w:rPr>
          <w:rFonts w:hAnsi="宋体"/>
          <w:b/>
          <w:color w:val="auto"/>
          <w:sz w:val="32"/>
          <w:szCs w:val="32"/>
          <w:highlight w:val="none"/>
        </w:rPr>
      </w:pPr>
      <w:r>
        <w:rPr>
          <w:rFonts w:hAnsi="宋体"/>
          <w:b/>
          <w:color w:val="auto"/>
          <w:highlight w:val="none"/>
        </w:rPr>
        <w:br w:type="page"/>
      </w:r>
      <w:r>
        <w:rPr>
          <w:rFonts w:hint="eastAsia" w:hAnsi="宋体"/>
          <w:b/>
          <w:color w:val="auto"/>
          <w:sz w:val="32"/>
          <w:szCs w:val="32"/>
          <w:highlight w:val="none"/>
        </w:rPr>
        <w:t>一、总  则</w:t>
      </w:r>
    </w:p>
    <w:p>
      <w:pPr>
        <w:snapToGrid w:val="0"/>
        <w:spacing w:line="360" w:lineRule="exact"/>
        <w:jc w:val="left"/>
        <w:rPr>
          <w:rFonts w:asciiTheme="minorEastAsia" w:hAnsiTheme="minorEastAsia" w:eastAsiaTheme="minorEastAsia"/>
          <w:b/>
          <w:color w:val="auto"/>
          <w:sz w:val="24"/>
          <w:highlight w:val="none"/>
        </w:rPr>
      </w:pPr>
      <w:bookmarkStart w:id="44" w:name="_Toc254970668"/>
      <w:bookmarkStart w:id="45" w:name="_Toc254970527"/>
      <w:r>
        <w:rPr>
          <w:rFonts w:hint="eastAsia" w:asciiTheme="minorEastAsia" w:hAnsiTheme="minorEastAsia" w:eastAsiaTheme="minorEastAsia"/>
          <w:b/>
          <w:color w:val="auto"/>
          <w:sz w:val="24"/>
          <w:highlight w:val="none"/>
        </w:rPr>
        <w:t>（一） 适用范围</w:t>
      </w:r>
      <w:bookmarkEnd w:id="44"/>
      <w:bookmarkEnd w:id="45"/>
    </w:p>
    <w:p>
      <w:pPr>
        <w:snapToGrid w:val="0"/>
        <w:spacing w:line="360" w:lineRule="exact"/>
        <w:ind w:firstLine="360" w:firstLineChars="150"/>
        <w:jc w:val="left"/>
        <w:rPr>
          <w:rFonts w:asciiTheme="minorEastAsia" w:hAnsiTheme="minorEastAsia" w:eastAsiaTheme="minorEastAsia"/>
          <w:color w:val="auto"/>
          <w:sz w:val="24"/>
          <w:highlight w:val="none"/>
        </w:rPr>
      </w:pPr>
      <w:bookmarkStart w:id="46" w:name="_Toc254970669"/>
      <w:bookmarkStart w:id="47" w:name="_Toc254970528"/>
      <w:r>
        <w:rPr>
          <w:rFonts w:hint="eastAsia" w:asciiTheme="minorEastAsia" w:hAnsiTheme="minorEastAsia" w:eastAsiaTheme="minorEastAsia"/>
          <w:color w:val="auto"/>
          <w:sz w:val="24"/>
          <w:highlight w:val="none"/>
        </w:rPr>
        <w:t>本招标文件适用于</w:t>
      </w:r>
      <w:r>
        <w:rPr>
          <w:rFonts w:hint="eastAsia" w:ascii="宋体" w:hAnsi="宋体" w:cs="宋体"/>
          <w:color w:val="auto"/>
          <w:sz w:val="24"/>
          <w:highlight w:val="none"/>
        </w:rPr>
        <w:t>南宁市信息网络管理中心</w:t>
      </w:r>
      <w:r>
        <w:rPr>
          <w:rFonts w:hint="eastAsia" w:asciiTheme="minorEastAsia" w:hAnsiTheme="minorEastAsia" w:eastAsiaTheme="minorEastAsia"/>
          <w:color w:val="auto"/>
          <w:sz w:val="24"/>
          <w:highlight w:val="none"/>
        </w:rPr>
        <w:t>的</w:t>
      </w:r>
      <w:r>
        <w:rPr>
          <w:rFonts w:hint="eastAsia" w:ascii="宋体" w:hAnsi="宋体" w:eastAsiaTheme="minorEastAsia"/>
          <w:color w:val="auto"/>
          <w:spacing w:val="-6"/>
          <w:sz w:val="24"/>
          <w:highlight w:val="none"/>
          <w:u w:val="single"/>
          <w:lang w:eastAsia="zh-CN"/>
        </w:rPr>
        <w:t>南宁市公共服务大数据治理与应用平台项目监理</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bookmarkEnd w:id="46"/>
      <w:bookmarkEnd w:id="47"/>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1.招标采购单位系指组织本次招标的采购人和代理机构。</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2.“投标人”系指向招标方提交投标文件的单位或自然人。</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4.“服务”系指招标文件规定投标人须承担的安装、调试、技术协助、校准、培训、技术指导以及其他类似的义务。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5.“项目”系指投标人按招标文件规定向采购人提供的产品和服务。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6.“书面形式”包括信函、传真、电子邮件等。</w:t>
      </w:r>
    </w:p>
    <w:p>
      <w:pPr>
        <w:snapToGrid w:val="0"/>
        <w:spacing w:line="360" w:lineRule="exact"/>
        <w:jc w:val="left"/>
        <w:rPr>
          <w:rFonts w:asciiTheme="minorEastAsia" w:hAnsiTheme="minorEastAsia" w:eastAsiaTheme="minorEastAsia"/>
          <w:b/>
          <w:color w:val="auto"/>
          <w:sz w:val="24"/>
          <w:highlight w:val="none"/>
        </w:rPr>
      </w:pPr>
      <w:bookmarkStart w:id="48" w:name="_Toc254970670"/>
      <w:bookmarkStart w:id="49" w:name="_Toc254970529"/>
      <w:r>
        <w:rPr>
          <w:rFonts w:hint="eastAsia" w:asciiTheme="minorEastAsia" w:hAnsiTheme="minorEastAsia" w:eastAsiaTheme="minorEastAsia"/>
          <w:b/>
          <w:color w:val="auto"/>
          <w:sz w:val="24"/>
          <w:highlight w:val="none"/>
        </w:rPr>
        <w:t>（三）招标方式</w:t>
      </w:r>
      <w:bookmarkEnd w:id="48"/>
      <w:bookmarkEnd w:id="49"/>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公开招标方式。</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50" w:name="_Toc254970671"/>
      <w:bookmarkStart w:id="51" w:name="_Toc254970530"/>
      <w:r>
        <w:rPr>
          <w:rFonts w:hint="eastAsia" w:asciiTheme="minorEastAsia" w:hAnsiTheme="minorEastAsia" w:eastAsiaTheme="minorEastAsia"/>
          <w:b/>
          <w:color w:val="auto"/>
          <w:sz w:val="24"/>
          <w:highlight w:val="none"/>
        </w:rPr>
        <w:t>（四）投标委托</w:t>
      </w:r>
      <w:bookmarkEnd w:id="50"/>
      <w:bookmarkEnd w:id="51"/>
    </w:p>
    <w:p>
      <w:pPr>
        <w:pStyle w:val="18"/>
        <w:snapToGrid w:val="0"/>
        <w:spacing w:line="360" w:lineRule="exact"/>
        <w:ind w:firstLine="360" w:firstLineChars="15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Theme="minorEastAsia" w:hAnsiTheme="minorEastAsia" w:eastAsiaTheme="minorEastAsia"/>
          <w:b/>
          <w:color w:val="auto"/>
          <w:sz w:val="24"/>
          <w:highlight w:val="none"/>
        </w:rPr>
      </w:pPr>
      <w:bookmarkStart w:id="52" w:name="_Toc254970531"/>
      <w:bookmarkStart w:id="53" w:name="_Toc254970672"/>
      <w:r>
        <w:rPr>
          <w:rFonts w:hint="eastAsia" w:asciiTheme="minorEastAsia" w:hAnsiTheme="minorEastAsia" w:eastAsiaTheme="minorEastAsia"/>
          <w:b/>
          <w:color w:val="auto"/>
          <w:sz w:val="24"/>
          <w:highlight w:val="none"/>
        </w:rPr>
        <w:t>（五）投标费用</w:t>
      </w:r>
      <w:bookmarkEnd w:id="52"/>
      <w:bookmarkEnd w:id="53"/>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不论投标结果如何，投标人均应自行承担所有与投标有关的全部费用（招标文件有相关的规定除外）。</w:t>
      </w:r>
    </w:p>
    <w:p>
      <w:pPr>
        <w:snapToGrid w:val="0"/>
        <w:spacing w:before="156" w:beforeLines="50"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（六）联合体投标</w:t>
      </w:r>
    </w:p>
    <w:p>
      <w:pPr>
        <w:widowControl/>
        <w:shd w:val="clear" w:color="auto" w:fill="FFFFFF"/>
        <w:tabs>
          <w:tab w:val="left" w:pos="851"/>
        </w:tabs>
        <w:spacing w:line="360" w:lineRule="exact"/>
        <w:ind w:firstLine="360" w:firstLineChars="150"/>
        <w:jc w:val="left"/>
        <w:rPr>
          <w:rFonts w:cs="Tahoma" w:asciiTheme="minorEastAsia" w:hAnsiTheme="minorEastAsia" w:eastAsiaTheme="minorEastAsia"/>
          <w:color w:val="auto"/>
          <w:kern w:val="0"/>
          <w:sz w:val="24"/>
          <w:highlight w:val="none"/>
        </w:rPr>
      </w:pPr>
      <w:r>
        <w:rPr>
          <w:rFonts w:hint="eastAsia" w:cs="Tahoma" w:asciiTheme="minorEastAsia" w:hAnsiTheme="minorEastAsia" w:eastAsiaTheme="minorEastAsia"/>
          <w:color w:val="auto"/>
          <w:kern w:val="0"/>
          <w:sz w:val="24"/>
          <w:highlight w:val="none"/>
        </w:rPr>
        <w:t>联合体投标要求:</w:t>
      </w:r>
    </w:p>
    <w:p>
      <w:pPr>
        <w:snapToGrid w:val="0"/>
        <w:spacing w:line="360" w:lineRule="exact"/>
        <w:ind w:firstLine="480" w:firstLineChars="200"/>
        <w:rPr>
          <w:rFonts w:cs="Tahoma" w:asciiTheme="minorEastAsia" w:hAnsiTheme="minorEastAsia" w:eastAsiaTheme="minorEastAsia"/>
          <w:color w:val="auto"/>
          <w:kern w:val="0"/>
          <w:sz w:val="24"/>
          <w:highlight w:val="none"/>
        </w:rPr>
      </w:pPr>
      <w:r>
        <w:rPr>
          <w:rFonts w:hint="eastAsia" w:cs="Tahoma" w:asciiTheme="minorEastAsia" w:hAnsiTheme="minorEastAsia" w:eastAsiaTheme="minorEastAsia"/>
          <w:color w:val="auto"/>
          <w:kern w:val="0"/>
          <w:sz w:val="24"/>
          <w:highlight w:val="none"/>
        </w:rPr>
        <w:t>本项目不接受联合体投标</w:t>
      </w:r>
    </w:p>
    <w:p>
      <w:pPr>
        <w:snapToGrid w:val="0"/>
        <w:spacing w:line="360" w:lineRule="exact"/>
        <w:rPr>
          <w:rFonts w:cs="宋体"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（七）</w:t>
      </w:r>
      <w:r>
        <w:rPr>
          <w:rFonts w:hint="eastAsia" w:cs="宋体" w:asciiTheme="minorEastAsia" w:hAnsiTheme="minorEastAsia" w:eastAsiaTheme="minorEastAsia"/>
          <w:b/>
          <w:color w:val="auto"/>
          <w:kern w:val="0"/>
          <w:sz w:val="24"/>
          <w:highlight w:val="none"/>
        </w:rPr>
        <w:t>专业分包 ：</w:t>
      </w:r>
    </w:p>
    <w:p>
      <w:pPr>
        <w:snapToGrid w:val="0"/>
        <w:spacing w:line="360" w:lineRule="exact"/>
        <w:ind w:firstLine="602" w:firstLineChars="25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本项目</w:t>
      </w:r>
      <w:r>
        <w:rPr>
          <w:rFonts w:hint="eastAsia" w:cs="宋体" w:asciiTheme="minorEastAsia" w:hAnsiTheme="minorEastAsia" w:eastAsiaTheme="minorEastAsia"/>
          <w:b/>
          <w:color w:val="auto"/>
          <w:kern w:val="0"/>
          <w:sz w:val="24"/>
          <w:highlight w:val="none"/>
          <w:u w:val="single"/>
        </w:rPr>
        <w:t>不可以</w:t>
      </w:r>
      <w:r>
        <w:rPr>
          <w:rFonts w:hint="eastAsia" w:cs="宋体" w:asciiTheme="minorEastAsia" w:hAnsiTheme="minorEastAsia" w:eastAsiaTheme="minorEastAsia"/>
          <w:b/>
          <w:color w:val="auto"/>
          <w:kern w:val="0"/>
          <w:sz w:val="24"/>
          <w:highlight w:val="none"/>
        </w:rPr>
        <w:t>将</w:t>
      </w:r>
      <w:r>
        <w:rPr>
          <w:rFonts w:hint="eastAsia" w:cs="宋体" w:asciiTheme="minorEastAsia" w:hAnsiTheme="minorEastAsia" w:eastAsiaTheme="minorEastAsia"/>
          <w:color w:val="auto"/>
          <w:kern w:val="0"/>
          <w:sz w:val="24"/>
          <w:highlight w:val="none"/>
        </w:rPr>
        <w:t>非主体、非关键性工作分包。可以分包的内容是：</w:t>
      </w:r>
      <w:r>
        <w:rPr>
          <w:rFonts w:hint="eastAsia" w:cs="宋体" w:asciiTheme="minorEastAsia" w:hAnsiTheme="minorEastAsia" w:eastAsiaTheme="minorEastAsia"/>
          <w:color w:val="auto"/>
          <w:kern w:val="0"/>
          <w:sz w:val="24"/>
          <w:highlight w:val="none"/>
          <w:u w:val="single"/>
        </w:rPr>
        <w:t xml:space="preserve"> / </w:t>
      </w:r>
      <w:r>
        <w:rPr>
          <w:rFonts w:hint="eastAsia" w:cs="宋体" w:asciiTheme="minorEastAsia" w:hAnsiTheme="minorEastAsia" w:eastAsiaTheme="minorEastAsia"/>
          <w:color w:val="auto"/>
          <w:kern w:val="0"/>
          <w:sz w:val="24"/>
          <w:highlight w:val="none"/>
        </w:rPr>
        <w:t>。（可以分包的，投标人应当在投标文件中载明分包承担主体，分包承担主体应当具备相应资质条件且不得再次分包。）</w:t>
      </w:r>
      <w:r>
        <w:rPr>
          <w:rFonts w:hint="eastAsia" w:cs="宋体" w:asciiTheme="minorEastAsia" w:hAnsiTheme="minorEastAsia" w:eastAsiaTheme="minorEastAsia"/>
          <w:b/>
          <w:color w:val="auto"/>
          <w:kern w:val="0"/>
          <w:sz w:val="24"/>
          <w:highlight w:val="none"/>
        </w:rPr>
        <w:t xml:space="preserve">            </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54" w:name="_Toc254970532"/>
      <w:bookmarkStart w:id="55" w:name="_Toc254970673"/>
      <w:r>
        <w:rPr>
          <w:rFonts w:hint="eastAsia" w:asciiTheme="minorEastAsia" w:hAnsiTheme="minorEastAsia" w:eastAsiaTheme="minorEastAsia"/>
          <w:b/>
          <w:color w:val="auto"/>
          <w:sz w:val="24"/>
          <w:highlight w:val="none"/>
        </w:rPr>
        <w:t>（八）特别说明：</w:t>
      </w:r>
      <w:bookmarkEnd w:id="54"/>
      <w:bookmarkEnd w:id="55"/>
    </w:p>
    <w:p>
      <w:pPr>
        <w:snapToGrid w:val="0"/>
        <w:spacing w:line="360" w:lineRule="exact"/>
        <w:ind w:firstLine="600" w:firstLineChars="250"/>
        <w:rPr>
          <w:rFonts w:cs="宋体" w:asciiTheme="minorEastAsia" w:hAnsiTheme="minorEastAsia" w:eastAsiaTheme="minorEastAsia"/>
          <w:color w:val="auto"/>
          <w:kern w:val="0"/>
          <w:sz w:val="24"/>
          <w:highlight w:val="none"/>
        </w:rPr>
      </w:pPr>
      <w:bookmarkStart w:id="56" w:name="_Toc254970674"/>
      <w:bookmarkStart w:id="57" w:name="_Toc254970533"/>
      <w:r>
        <w:rPr>
          <w:rFonts w:hint="eastAsia" w:cs="宋体" w:asciiTheme="minorEastAsia" w:hAnsiTheme="minorEastAsia" w:eastAsiaTheme="minorEastAsia"/>
          <w:color w:val="auto"/>
          <w:kern w:val="0"/>
          <w:sz w:val="24"/>
          <w:highlight w:val="none"/>
        </w:rPr>
        <w:t xml:space="preserve">1、投标人投标所使用的资格、信誉、荣誉、业绩与企业认证必须为本法人或提供服务的服务商所拥有。投标人投标所使用的采购项目实施人员必须为本法人员工（或必须为本法人或控股公司正式员工）。 </w:t>
      </w:r>
    </w:p>
    <w:p>
      <w:pPr>
        <w:snapToGrid w:val="0"/>
        <w:spacing w:line="360" w:lineRule="exact"/>
        <w:ind w:firstLine="600" w:firstLineChars="25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 投标人应仔细阅读招标文件的所有内容，按照招标文件的要求提交投标文件，并对所提供的全部资料的真实性承担法律责任。</w:t>
      </w:r>
    </w:p>
    <w:p>
      <w:pPr>
        <w:snapToGrid w:val="0"/>
        <w:spacing w:line="360" w:lineRule="exact"/>
        <w:ind w:firstLine="600" w:firstLineChars="25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w:t>
      </w:r>
      <w:r>
        <w:rPr>
          <w:rFonts w:hint="eastAsia" w:asciiTheme="minorEastAsia" w:hAnsiTheme="minorEastAsia" w:eastAsiaTheme="minorEastAsia"/>
          <w:color w:val="auto"/>
          <w:sz w:val="24"/>
          <w:highlight w:val="none"/>
        </w:rPr>
        <w:t>人的行政与刑事责任。</w:t>
      </w:r>
    </w:p>
    <w:p>
      <w:pPr>
        <w:pStyle w:val="22"/>
        <w:spacing w:line="36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4.投标截止时间结束后参加投标的供应商不足三家的,不予开标，此时将按《政府采购货物和服务招标投标管理办法》（中华人民共和国财政部第87号令）第43条的有关规定进行办理。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通过资格审查或符合性审查的投标人不足3家的</w:t>
      </w:r>
      <w:r>
        <w:rPr>
          <w:rFonts w:hint="eastAsia" w:asciiTheme="minorEastAsia" w:hAnsiTheme="minorEastAsia" w:eastAsiaTheme="minorEastAsia"/>
          <w:color w:val="auto"/>
          <w:sz w:val="24"/>
          <w:szCs w:val="24"/>
          <w:highlight w:val="none"/>
        </w:rPr>
        <w:t>将按《政府采购货物和服务招标投标管理办法》（中华人民共和国财政部第87号令）第43条的有关规定执行。</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5.有下列情形之一的视为</w:t>
      </w:r>
      <w:r>
        <w:rPr>
          <w:rFonts w:cs="仿宋_GB2312" w:asciiTheme="minorEastAsia" w:hAnsiTheme="minorEastAsia" w:eastAsiaTheme="minorEastAsia"/>
          <w:color w:val="auto"/>
          <w:kern w:val="0"/>
          <w:sz w:val="24"/>
          <w:highlight w:val="none"/>
          <w:lang w:val="zh-CN"/>
        </w:rPr>
        <w:t>投标人相互串通</w:t>
      </w:r>
      <w:r>
        <w:rPr>
          <w:rFonts w:hint="eastAsia" w:cs="仿宋_GB2312" w:asciiTheme="minorEastAsia" w:hAnsiTheme="minorEastAsia" w:eastAsiaTheme="minorEastAsia"/>
          <w:color w:val="auto"/>
          <w:kern w:val="0"/>
          <w:sz w:val="24"/>
          <w:highlight w:val="none"/>
          <w:lang w:val="zh-CN"/>
        </w:rPr>
        <w:t>，投标文件将视为无效：</w:t>
      </w:r>
    </w:p>
    <w:p>
      <w:pPr>
        <w:widowControl/>
        <w:shd w:val="clear" w:color="auto" w:fill="FFFFFF"/>
        <w:spacing w:line="360" w:lineRule="exact"/>
        <w:ind w:firstLine="640"/>
        <w:jc w:val="left"/>
        <w:rPr>
          <w:rFonts w:cs="Tahoma"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1</w:t>
      </w:r>
      <w:r>
        <w:rPr>
          <w:rFonts w:cs="Tahoma" w:asciiTheme="minorEastAsia" w:hAnsiTheme="minorEastAsia" w:eastAsiaTheme="minorEastAsia"/>
          <w:color w:val="auto"/>
          <w:kern w:val="0"/>
          <w:sz w:val="24"/>
          <w:highlight w:val="none"/>
        </w:rPr>
        <w:t>）不同投标人的投标文件由同一单位或者个人编制；</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2</w:t>
      </w:r>
      <w:r>
        <w:rPr>
          <w:rFonts w:cs="Tahoma" w:asciiTheme="minorEastAsia" w:hAnsiTheme="minorEastAsia" w:eastAsiaTheme="minorEastAsia"/>
          <w:color w:val="auto"/>
          <w:kern w:val="0"/>
          <w:sz w:val="24"/>
          <w:highlight w:val="none"/>
        </w:rPr>
        <w:t>）不同投标人委托同一单位或者个人办理投标事宜;</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3</w:t>
      </w:r>
      <w:r>
        <w:rPr>
          <w:rFonts w:cs="Tahoma" w:asciiTheme="minorEastAsia" w:hAnsiTheme="minorEastAsia" w:eastAsiaTheme="minorEastAsia"/>
          <w:color w:val="auto"/>
          <w:kern w:val="0"/>
          <w:sz w:val="24"/>
          <w:highlight w:val="none"/>
        </w:rPr>
        <w:t>）不同的投标人的投标文件载明的项目管理员为同一个人;</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4</w:t>
      </w:r>
      <w:r>
        <w:rPr>
          <w:rFonts w:cs="Tahoma" w:asciiTheme="minorEastAsia" w:hAnsiTheme="minorEastAsia" w:eastAsiaTheme="minorEastAsia"/>
          <w:color w:val="auto"/>
          <w:kern w:val="0"/>
          <w:sz w:val="24"/>
          <w:highlight w:val="none"/>
        </w:rPr>
        <w:t>）不同投标人的投标文件异常一致或投标报价呈规律性差异;</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5</w:t>
      </w:r>
      <w:r>
        <w:rPr>
          <w:rFonts w:cs="Tahoma" w:asciiTheme="minorEastAsia" w:hAnsiTheme="minorEastAsia" w:eastAsiaTheme="minorEastAsia"/>
          <w:color w:val="auto"/>
          <w:kern w:val="0"/>
          <w:sz w:val="24"/>
          <w:highlight w:val="none"/>
        </w:rPr>
        <w:t>）不同投标人的投标文件相互混装;</w:t>
      </w:r>
    </w:p>
    <w:p>
      <w:pPr>
        <w:pStyle w:val="22"/>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（九）质疑和投诉</w:t>
      </w:r>
      <w:bookmarkEnd w:id="56"/>
      <w:bookmarkEnd w:id="57"/>
    </w:p>
    <w:p>
      <w:pPr>
        <w:pStyle w:val="22"/>
        <w:snapToGrid w:val="0"/>
        <w:spacing w:line="36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）对可以质疑的</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文件提出质疑的，为</w:t>
      </w:r>
      <w:r>
        <w:rPr>
          <w:rFonts w:hint="eastAsia" w:hAnsi="宋体"/>
          <w:color w:val="auto"/>
          <w:sz w:val="24"/>
          <w:highlight w:val="none"/>
        </w:rPr>
        <w:t>公告届满之日</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 xml:space="preserve"> </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）对</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过程提出质疑的，为各采购程序环节结束之日；</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）对中标结果提出质疑的，为中标结果公告期限届满之日。</w:t>
      </w:r>
    </w:p>
    <w:p>
      <w:pPr>
        <w:adjustRightInd w:val="0"/>
        <w:spacing w:line="360" w:lineRule="exact"/>
        <w:ind w:firstLine="480" w:firstLineChars="200"/>
        <w:rPr>
          <w:rFonts w:cs="仿宋_GB2312" w:asciiTheme="minorEastAsia" w:hAnsiTheme="minorEastAsia" w:eastAsiaTheme="minorEastAsia"/>
          <w:color w:val="auto"/>
          <w:kern w:val="0"/>
          <w:sz w:val="24"/>
          <w:highlight w:val="none"/>
        </w:rPr>
      </w:pPr>
      <w:r>
        <w:rPr>
          <w:rFonts w:hint="eastAsia" w:asciiTheme="minorEastAsia" w:hAnsiTheme="minorEastAsia" w:eastAsiaTheme="minorEastAsia"/>
          <w:bCs/>
          <w:color w:val="auto"/>
          <w:sz w:val="24"/>
          <w:highlight w:val="none"/>
        </w:rPr>
        <w:t>2.</w:t>
      </w:r>
      <w:r>
        <w:rPr>
          <w:rFonts w:hint="eastAsia" w:cs="仿宋_GB2312" w:asciiTheme="minorEastAsia" w:hAnsiTheme="minorEastAsia" w:eastAsiaTheme="minorEastAsia"/>
          <w:color w:val="auto"/>
          <w:kern w:val="0"/>
          <w:sz w:val="24"/>
          <w:highlight w:val="none"/>
          <w:lang w:val="zh-CN"/>
        </w:rPr>
        <w:t>供应商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时，应当提交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函和必要的证明材料，</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函应当包括下列主要内容：</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）供应商的姓名或者名称、地址、邮编、联系人及联系电话；</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）质疑项目的名称、编号；</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）具体、明确的质疑事项和与质疑事项相关的请求；</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）事实依据；</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）必要的法律依据；</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6</w:t>
      </w:r>
      <w:r>
        <w:rPr>
          <w:rFonts w:asciiTheme="minorEastAsia" w:hAnsiTheme="minorEastAsia" w:eastAsiaTheme="minorEastAsia"/>
          <w:bCs/>
          <w:color w:val="auto"/>
          <w:sz w:val="24"/>
          <w:szCs w:val="24"/>
          <w:highlight w:val="none"/>
        </w:rPr>
        <w:t>）提出质疑的日期。</w:t>
      </w:r>
    </w:p>
    <w:p>
      <w:pPr>
        <w:spacing w:line="360" w:lineRule="exact"/>
        <w:ind w:firstLine="480" w:firstLineChars="200"/>
        <w:rPr>
          <w:rFonts w:cs="宋体"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函应当署名。</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供应商为自然人的，应当由本人签字；</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供应商为法人或者其他组织的，应当由法定代表人、主要负责人或者其授权代表签字或者盖章，并加盖公章。</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供应商可以委托代理人办理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事务时，除提交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函外，还应当提交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供应商的授权委托书原件，</w:t>
      </w:r>
      <w:r>
        <w:rPr>
          <w:rFonts w:hint="eastAsia" w:cs="宋体" w:asciiTheme="minorEastAsia" w:hAnsiTheme="minorEastAsia" w:eastAsiaTheme="minorEastAsia"/>
          <w:color w:val="auto"/>
          <w:kern w:val="0"/>
          <w:sz w:val="24"/>
          <w:highlight w:val="none"/>
        </w:rPr>
        <w:t>授权委托书应载明代理人的姓名或者名称、代理事项、具体权限、期限和相关事项。</w:t>
      </w:r>
    </w:p>
    <w:p>
      <w:pPr>
        <w:spacing w:line="360" w:lineRule="exact"/>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rPr>
        <w:t>3.</w:t>
      </w:r>
      <w:r>
        <w:rPr>
          <w:rFonts w:hint="eastAsia" w:asciiTheme="minorEastAsia" w:hAnsiTheme="minorEastAsia" w:eastAsiaTheme="minorEastAsia"/>
          <w:color w:val="auto"/>
          <w:sz w:val="24"/>
          <w:highlight w:val="none"/>
        </w:rPr>
        <w:t xml:space="preserve"> 投标人对招标采购单位的质疑答复不满意或者招标采购单位未在规定时间内做出答复的，可以在答复期满后十五个工作日内向</w:t>
      </w:r>
      <w:r>
        <w:rPr>
          <w:rFonts w:hint="eastAsia" w:asciiTheme="minorEastAsia" w:hAnsiTheme="minorEastAsia" w:eastAsiaTheme="minorEastAsia"/>
          <w:bCs/>
          <w:color w:val="auto"/>
          <w:sz w:val="24"/>
          <w:highlight w:val="none"/>
        </w:rPr>
        <w:t>同级采购监管部门投诉。</w:t>
      </w:r>
    </w:p>
    <w:p>
      <w:pPr>
        <w:pStyle w:val="22"/>
        <w:snapToGrid w:val="0"/>
        <w:spacing w:line="360" w:lineRule="exact"/>
        <w:ind w:firstLine="472" w:firstLineChars="196"/>
        <w:jc w:val="center"/>
        <w:rPr>
          <w:rFonts w:asciiTheme="minorEastAsia" w:hAnsiTheme="minorEastAsia" w:eastAsiaTheme="minorEastAsia"/>
          <w:b/>
          <w:color w:val="auto"/>
          <w:sz w:val="24"/>
          <w:szCs w:val="24"/>
          <w:highlight w:val="none"/>
        </w:rPr>
      </w:pPr>
      <w:bookmarkStart w:id="58" w:name="_Toc254970675"/>
      <w:bookmarkStart w:id="59" w:name="_Toc254970534"/>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二、招标文件</w:t>
      </w:r>
      <w:bookmarkEnd w:id="58"/>
      <w:bookmarkEnd w:id="59"/>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（一）招标文件的组成：</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1、公开招标公告</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2、招标项目采购需求</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3、投标人须知</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4、评标办法及评分标准</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5、合同主要条款格式</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6、投标文件格式</w:t>
      </w:r>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（二）投标人的风险</w:t>
      </w:r>
    </w:p>
    <w:p>
      <w:pPr>
        <w:pStyle w:val="30"/>
        <w:spacing w:after="0" w:line="360" w:lineRule="exact"/>
        <w:ind w:left="0" w:leftChars="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投标人没有按照招标文件要求提供全部资料，或者投标人没有对招标文件在各方面做出实质性响应是投标人的风险，并可能导致其投标被拒绝。</w:t>
      </w:r>
    </w:p>
    <w:p>
      <w:pPr>
        <w:pStyle w:val="12"/>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 xml:space="preserve">（三）招标文件的澄清与修改 </w:t>
      </w:r>
    </w:p>
    <w:p>
      <w:pPr>
        <w:spacing w:line="360" w:lineRule="exact"/>
        <w:ind w:firstLine="480" w:firstLineChars="200"/>
        <w:rPr>
          <w:rFonts w:asciiTheme="minorEastAsia" w:hAnsiTheme="minorEastAsia" w:eastAsiaTheme="minorEastAsia"/>
          <w:color w:val="auto"/>
          <w:sz w:val="24"/>
          <w:highlight w:val="none"/>
        </w:rPr>
      </w:pPr>
      <w:bookmarkStart w:id="60" w:name="_Toc254970676"/>
      <w:bookmarkStart w:id="61" w:name="_Toc254970535"/>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bCs/>
          <w:color w:val="auto"/>
          <w:sz w:val="24"/>
          <w:highlight w:val="none"/>
        </w:rPr>
        <w:t>投</w:t>
      </w:r>
      <w:r>
        <w:rPr>
          <w:rFonts w:hint="eastAsia" w:asciiTheme="minorEastAsia" w:hAnsiTheme="minorEastAsia" w:eastAsiaTheme="minorEastAsia"/>
          <w:color w:val="auto"/>
          <w:sz w:val="24"/>
          <w:highlight w:val="none"/>
        </w:rPr>
        <w:t>标人应认真阅读本招标文件，发现其中有误或有不合理要求的，</w:t>
      </w:r>
      <w:r>
        <w:rPr>
          <w:rFonts w:hint="eastAsia" w:hAnsi="宋体"/>
          <w:bCs/>
          <w:color w:val="auto"/>
          <w:sz w:val="24"/>
          <w:highlight w:val="none"/>
        </w:rPr>
        <w:t>投标人应当于</w:t>
      </w:r>
      <w:r>
        <w:rPr>
          <w:rFonts w:hint="eastAsia" w:hAnsi="宋体"/>
          <w:color w:val="auto"/>
          <w:sz w:val="24"/>
          <w:highlight w:val="none"/>
        </w:rPr>
        <w:t>公告届满之日起7个工作日</w:t>
      </w:r>
      <w:r>
        <w:rPr>
          <w:rFonts w:hint="eastAsia" w:asciiTheme="minorEastAsia" w:hAnsiTheme="minorEastAsia" w:eastAsiaTheme="minorEastAsia"/>
          <w:color w:val="auto"/>
          <w:sz w:val="24"/>
          <w:highlight w:val="none"/>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Theme="minorEastAsia" w:hAnsiTheme="minorEastAsia" w:eastAsiaTheme="minorEastAsia"/>
          <w:color w:val="auto"/>
          <w:sz w:val="24"/>
          <w:highlight w:val="none"/>
        </w:rPr>
        <w:t>内容可能影响投标文件编制的，采购人或者采购代理机构应当在投标截止时间至少15日前</w:t>
      </w:r>
      <w:r>
        <w:rPr>
          <w:rFonts w:hint="eastAsia" w:asciiTheme="minorEastAsia" w:hAnsiTheme="minorEastAsia" w:eastAsiaTheme="minorEastAsia"/>
          <w:color w:val="auto"/>
          <w:sz w:val="24"/>
          <w:highlight w:val="none"/>
        </w:rPr>
        <w:t>发出</w:t>
      </w:r>
      <w:r>
        <w:rPr>
          <w:rFonts w:asciiTheme="minorEastAsia" w:hAnsiTheme="minorEastAsia" w:eastAsiaTheme="minorEastAsia"/>
          <w:color w:val="auto"/>
          <w:sz w:val="24"/>
          <w:highlight w:val="none"/>
        </w:rPr>
        <w:t>；不足15日的，采购人或者采购代理机构应当顺延提交投标文件的截止时间。</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2.招标文件澄清、答复、修改、补充的内容为招标文件的组成部分。当招标文件与招标文件的答复、澄清、修改、补充通知就同一内容的表述不一致时，以最后发出的文件为准。</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三、投标文件</w:t>
      </w:r>
      <w:bookmarkEnd w:id="60"/>
      <w:bookmarkEnd w:id="61"/>
    </w:p>
    <w:p>
      <w:pPr>
        <w:snapToGrid w:val="0"/>
        <w:spacing w:line="360" w:lineRule="exact"/>
        <w:jc w:val="left"/>
        <w:rPr>
          <w:rFonts w:asciiTheme="minorEastAsia" w:hAnsiTheme="minorEastAsia" w:eastAsiaTheme="minorEastAsia"/>
          <w:b/>
          <w:color w:val="auto"/>
          <w:sz w:val="24"/>
          <w:highlight w:val="none"/>
        </w:rPr>
      </w:pPr>
      <w:bookmarkStart w:id="62" w:name="_Toc254970677"/>
      <w:bookmarkStart w:id="63" w:name="_Toc254970536"/>
      <w:r>
        <w:rPr>
          <w:rFonts w:hint="eastAsia" w:asciiTheme="minorEastAsia" w:hAnsiTheme="minorEastAsia" w:eastAsiaTheme="minorEastAsia"/>
          <w:b/>
          <w:color w:val="auto"/>
          <w:sz w:val="24"/>
          <w:highlight w:val="none"/>
        </w:rPr>
        <w:t>（一）投标文件的组成</w:t>
      </w:r>
      <w:bookmarkEnd w:id="62"/>
      <w:bookmarkEnd w:id="63"/>
      <w:r>
        <w:rPr>
          <w:rFonts w:hint="eastAsia" w:hAnsi="宋体"/>
          <w:b/>
          <w:color w:val="auto"/>
          <w:sz w:val="24"/>
          <w:highlight w:val="none"/>
        </w:rPr>
        <w:t>（可以根据需要进行增减）</w:t>
      </w:r>
    </w:p>
    <w:p>
      <w:pPr>
        <w:tabs>
          <w:tab w:val="left" w:pos="3870"/>
          <w:tab w:val="left" w:pos="4085"/>
        </w:tabs>
        <w:snapToGrid w:val="0"/>
        <w:spacing w:line="360" w:lineRule="exact"/>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投标文件由</w:t>
      </w:r>
      <w:r>
        <w:rPr>
          <w:rFonts w:hint="eastAsia" w:asciiTheme="minorEastAsia" w:hAnsiTheme="minorEastAsia" w:eastAsiaTheme="minorEastAsia"/>
          <w:color w:val="auto"/>
          <w:sz w:val="24"/>
          <w:highlight w:val="none"/>
          <w:u w:val="single"/>
        </w:rPr>
        <w:t>资格审查文件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商务文件、技术文件、报价文件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w:t>
      </w:r>
      <w:r>
        <w:rPr>
          <w:rFonts w:hint="eastAsia" w:ascii="宋体" w:hAnsi="宋体" w:cs="宋体"/>
          <w:b/>
          <w:color w:val="auto"/>
          <w:szCs w:val="21"/>
          <w:highlight w:val="none"/>
        </w:rPr>
        <w:t>、</w:t>
      </w:r>
      <w:r>
        <w:rPr>
          <w:rFonts w:hint="eastAsia" w:asciiTheme="minorEastAsia" w:hAnsiTheme="minorEastAsia" w:eastAsiaTheme="minorEastAsia"/>
          <w:color w:val="auto"/>
          <w:sz w:val="24"/>
          <w:highlight w:val="none"/>
          <w:u w:val="single"/>
        </w:rPr>
        <w:t>投标文件电子版组成。</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1.资格审查文件</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（1）法人或者其他组织的营业执照等证明文件复印件，（投标人属自然人的提供自然人的身份证明）。</w:t>
      </w:r>
    </w:p>
    <w:p>
      <w:pPr>
        <w:pStyle w:val="22"/>
        <w:snapToGrid w:val="0"/>
        <w:spacing w:line="360" w:lineRule="exact"/>
        <w:ind w:firstLine="354" w:firstLineChars="147"/>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注：</w:t>
      </w:r>
      <w:r>
        <w:rPr>
          <w:rFonts w:asciiTheme="minorEastAsia" w:hAnsiTheme="minorEastAsia" w:eastAsiaTheme="minorEastAsia"/>
          <w:b/>
          <w:bCs/>
          <w:color w:val="auto"/>
          <w:sz w:val="24"/>
          <w:szCs w:val="24"/>
          <w:highlight w:val="none"/>
        </w:rPr>
        <w:fldChar w:fldCharType="begin"/>
      </w:r>
      <w:r>
        <w:rPr>
          <w:rFonts w:asciiTheme="minorEastAsia" w:hAnsiTheme="minorEastAsia" w:eastAsiaTheme="minorEastAsia"/>
          <w:b/>
          <w:bCs/>
          <w:color w:val="auto"/>
          <w:sz w:val="24"/>
          <w:szCs w:val="24"/>
          <w:highlight w:val="none"/>
        </w:rPr>
        <w:instrText xml:space="preserve"> </w:instrText>
      </w:r>
      <w:r>
        <w:rPr>
          <w:rFonts w:hint="eastAsia" w:asciiTheme="minorEastAsia" w:hAnsiTheme="minorEastAsia" w:eastAsiaTheme="minorEastAsia"/>
          <w:b/>
          <w:bCs/>
          <w:color w:val="auto"/>
          <w:sz w:val="24"/>
          <w:szCs w:val="24"/>
          <w:highlight w:val="none"/>
        </w:rPr>
        <w:instrText xml:space="preserve">eq \o\ac(○,</w:instrText>
      </w:r>
      <w:r>
        <w:rPr>
          <w:rFonts w:hint="eastAsia" w:hAnsiTheme="minorEastAsia" w:eastAsiaTheme="minorEastAsia"/>
          <w:b/>
          <w:bCs/>
          <w:color w:val="auto"/>
          <w:position w:val="3"/>
          <w:sz w:val="16"/>
          <w:szCs w:val="24"/>
          <w:highlight w:val="none"/>
        </w:rPr>
        <w:instrText xml:space="preserve">1</w:instrText>
      </w:r>
      <w:r>
        <w:rPr>
          <w:rFonts w:hint="eastAsia" w:asciiTheme="minorEastAsia" w:hAnsiTheme="minorEastAsia" w:eastAsiaTheme="minorEastAsia"/>
          <w:b/>
          <w:bCs/>
          <w:color w:val="auto"/>
          <w:sz w:val="24"/>
          <w:szCs w:val="24"/>
          <w:highlight w:val="none"/>
        </w:rPr>
        <w:instrText xml:space="preserve">)</w:instrText>
      </w:r>
      <w:r>
        <w:rPr>
          <w:rFonts w:asciiTheme="minorEastAsia" w:hAnsiTheme="minorEastAsia" w:eastAsiaTheme="minorEastAsia"/>
          <w:b/>
          <w:bCs/>
          <w:color w:val="auto"/>
          <w:sz w:val="24"/>
          <w:szCs w:val="24"/>
          <w:highlight w:val="none"/>
        </w:rPr>
        <w:fldChar w:fldCharType="end"/>
      </w:r>
      <w:r>
        <w:rPr>
          <w:rFonts w:hint="eastAsia" w:asciiTheme="minorEastAsia" w:hAnsiTheme="minorEastAsia" w:eastAsiaTheme="minorEastAsia"/>
          <w:b/>
          <w:bCs/>
          <w:color w:val="auto"/>
          <w:sz w:val="24"/>
          <w:szCs w:val="24"/>
          <w:highlight w:val="none"/>
        </w:rPr>
        <w:t>法人包括企业法人、机关法人和社会团体法人；其他组织主要包括合伙企业、非企业专业服务机构、个体工商户、农村承包经营户。</w:t>
      </w:r>
      <w:r>
        <w:rPr>
          <w:rFonts w:asciiTheme="minorEastAsia" w:hAnsiTheme="minorEastAsia" w:eastAsiaTheme="minorEastAsia"/>
          <w:b/>
          <w:bCs/>
          <w:color w:val="auto"/>
          <w:sz w:val="24"/>
          <w:szCs w:val="24"/>
          <w:highlight w:val="none"/>
        </w:rPr>
        <w:fldChar w:fldCharType="begin"/>
      </w:r>
      <w:r>
        <w:rPr>
          <w:rFonts w:asciiTheme="minorEastAsia" w:hAnsiTheme="minorEastAsia" w:eastAsiaTheme="minorEastAsia"/>
          <w:b/>
          <w:bCs/>
          <w:color w:val="auto"/>
          <w:sz w:val="24"/>
          <w:szCs w:val="24"/>
          <w:highlight w:val="none"/>
        </w:rPr>
        <w:instrText xml:space="preserve"> </w:instrText>
      </w:r>
      <w:r>
        <w:rPr>
          <w:rFonts w:hint="eastAsia" w:asciiTheme="minorEastAsia" w:hAnsiTheme="minorEastAsia" w:eastAsiaTheme="minorEastAsia"/>
          <w:b/>
          <w:bCs/>
          <w:color w:val="auto"/>
          <w:sz w:val="24"/>
          <w:szCs w:val="24"/>
          <w:highlight w:val="none"/>
        </w:rPr>
        <w:instrText xml:space="preserve">eq \o\ac(○,</w:instrText>
      </w:r>
      <w:r>
        <w:rPr>
          <w:rFonts w:hint="eastAsia" w:hAnsiTheme="minorEastAsia" w:eastAsiaTheme="minorEastAsia"/>
          <w:b/>
          <w:bCs/>
          <w:color w:val="auto"/>
          <w:position w:val="3"/>
          <w:sz w:val="16"/>
          <w:szCs w:val="24"/>
          <w:highlight w:val="none"/>
        </w:rPr>
        <w:instrText xml:space="preserve">2</w:instrText>
      </w:r>
      <w:r>
        <w:rPr>
          <w:rFonts w:hint="eastAsia" w:asciiTheme="minorEastAsia" w:hAnsiTheme="minorEastAsia" w:eastAsiaTheme="minorEastAsia"/>
          <w:b/>
          <w:bCs/>
          <w:color w:val="auto"/>
          <w:sz w:val="24"/>
          <w:szCs w:val="24"/>
          <w:highlight w:val="none"/>
        </w:rPr>
        <w:instrText xml:space="preserve">)</w:instrText>
      </w:r>
      <w:r>
        <w:rPr>
          <w:rFonts w:asciiTheme="minorEastAsia" w:hAnsiTheme="minorEastAsia" w:eastAsiaTheme="minorEastAsia"/>
          <w:b/>
          <w:bCs/>
          <w:color w:val="auto"/>
          <w:sz w:val="24"/>
          <w:szCs w:val="24"/>
          <w:highlight w:val="none"/>
        </w:rPr>
        <w:fldChar w:fldCharType="end"/>
      </w:r>
      <w:r>
        <w:rPr>
          <w:rFonts w:hint="eastAsia" w:asciiTheme="minorEastAsia" w:hAnsiTheme="minorEastAsia" w:eastAsiaTheme="minorEastAsia"/>
          <w:b/>
          <w:bCs/>
          <w:color w:val="auto"/>
          <w:sz w:val="24"/>
          <w:szCs w:val="24"/>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2）投标人近半年内连续三个月的依法缴纳税收证明（税费凭证复印件，或者依法缴纳税费或免缴税费的证明，格式自拟）；无纳税记录的，应提供由投标人所在地主管国税或地税部门出具的《依法纳税或依法免税证明》（格式自拟，复印件）。</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3）投标人近半年内连续三个月的依法缴纳社保费的缴费凭证（复印件，原件备查，格式自拟）（必须提供）；无缴费记录的，应提供由投标人所在地社保部门出具的《依法缴纳或依法免缴社保费证明》（格式自拟，复印件）。</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财务状况报告</w:t>
      </w:r>
      <w:r>
        <w:rPr>
          <w:rFonts w:hint="eastAsia" w:asciiTheme="minorEastAsia" w:hAnsiTheme="minorEastAsia" w:eastAsiaTheme="minorEastAsia"/>
          <w:bCs/>
          <w:color w:val="auto"/>
          <w:sz w:val="24"/>
          <w:szCs w:val="24"/>
          <w:highlight w:val="none"/>
        </w:rPr>
        <w:t>（</w:t>
      </w:r>
      <w:r>
        <w:rPr>
          <w:rFonts w:hint="eastAsia" w:hAnsi="宋体"/>
          <w:color w:val="auto"/>
          <w:sz w:val="24"/>
          <w:highlight w:val="none"/>
          <w:u w:val="single"/>
        </w:rPr>
        <w:t>可以是投标人编制的财务报表或第三方审计报告等证明材料，若为新成立的企业，可根据实际情况提供月度财务报表，或投标人开户行2018 年以来出具的银行资信证明文件复印件，格式自拟，如有请提供</w:t>
      </w:r>
      <w:r>
        <w:rPr>
          <w:rFonts w:hint="eastAsia" w:asciiTheme="minorEastAsia" w:hAnsiTheme="minorEastAsia" w:eastAsiaTheme="minorEastAsia"/>
          <w:bCs/>
          <w:color w:val="auto"/>
          <w:sz w:val="24"/>
          <w:szCs w:val="24"/>
          <w:highlight w:val="none"/>
        </w:rPr>
        <w:t>）。</w:t>
      </w:r>
    </w:p>
    <w:p>
      <w:pPr>
        <w:pStyle w:val="22"/>
        <w:snapToGrid w:val="0"/>
        <w:spacing w:line="360" w:lineRule="exact"/>
        <w:ind w:firstLine="354" w:firstLineChars="147"/>
        <w:rPr>
          <w:rFonts w:hAnsi="宋体"/>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（5）具备履行合同所必需的设备和专业技术能力的证明材料（提供投标人基本情况表，格式自拟，须反映投标人履行合同所必需的设备和专业技术能力情况）</w:t>
      </w:r>
      <w:r>
        <w:rPr>
          <w:rFonts w:hint="eastAsia" w:hAnsi="宋体"/>
          <w:bCs/>
          <w:color w:val="auto"/>
          <w:sz w:val="24"/>
          <w:szCs w:val="24"/>
          <w:highlight w:val="none"/>
          <w:u w:val="single"/>
        </w:rPr>
        <w:t>或承诺函（投标人须明确承诺具有履行合同所必需的设备和专业技术能力情况，格式自拟）。</w:t>
      </w:r>
    </w:p>
    <w:p>
      <w:pPr>
        <w:pStyle w:val="22"/>
        <w:snapToGrid w:val="0"/>
        <w:spacing w:line="360" w:lineRule="exact"/>
        <w:ind w:firstLine="354" w:firstLineChars="147"/>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（6）投标人参加政府采购活动前3年内在经营活动中没有重大违法记录的书面声明。</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eastAsia="zh-CN"/>
        </w:rPr>
        <w:t>（</w:t>
      </w:r>
      <w:r>
        <w:rPr>
          <w:rFonts w:hint="eastAsia" w:asciiTheme="minorEastAsia" w:hAnsiTheme="minorEastAsia" w:eastAsiaTheme="minorEastAsia"/>
          <w:bCs/>
          <w:color w:val="auto"/>
          <w:sz w:val="24"/>
          <w:szCs w:val="24"/>
          <w:highlight w:val="none"/>
          <w:lang w:val="en-US" w:eastAsia="zh-CN"/>
        </w:rPr>
        <w:t>7</w:t>
      </w:r>
      <w:r>
        <w:rPr>
          <w:rFonts w:hint="eastAsia" w:asciiTheme="minorEastAsia" w:hAnsiTheme="minorEastAsia" w:eastAsiaTheme="minorEastAsia"/>
          <w:bCs/>
          <w:color w:val="auto"/>
          <w:sz w:val="24"/>
          <w:szCs w:val="24"/>
          <w:highlight w:val="none"/>
          <w:lang w:eastAsia="zh-CN"/>
        </w:rPr>
        <w:t>）</w:t>
      </w:r>
      <w:r>
        <w:rPr>
          <w:rFonts w:hint="eastAsia" w:asciiTheme="minorEastAsia" w:hAnsiTheme="minorEastAsia" w:eastAsiaTheme="minorEastAsia"/>
          <w:bCs/>
          <w:color w:val="auto"/>
          <w:sz w:val="24"/>
          <w:szCs w:val="24"/>
          <w:highlight w:val="none"/>
        </w:rPr>
        <w:t>供应商可在“信用中国”网站（www.creditchina.gov.cn）或中国政府采购网（www.ccgp.gov.cn）查询相关供应商主体信用记录，并提供有关查询结果截图。</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2.商务文件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★必须提供项目:</w:t>
      </w:r>
    </w:p>
    <w:p>
      <w:pPr>
        <w:tabs>
          <w:tab w:val="left" w:pos="1305"/>
        </w:tabs>
        <w:spacing w:line="33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（1）投标声明书</w:t>
      </w:r>
    </w:p>
    <w:p>
      <w:pPr>
        <w:tabs>
          <w:tab w:val="left" w:pos="1305"/>
        </w:tabs>
        <w:spacing w:line="330" w:lineRule="exact"/>
        <w:ind w:firstLine="240" w:firstLineChars="100"/>
        <w:rPr>
          <w:rFonts w:ascii="宋体" w:hAnsi="宋体"/>
          <w:color w:val="auto"/>
          <w:sz w:val="24"/>
          <w:highlight w:val="none"/>
        </w:rPr>
      </w:pPr>
      <w:r>
        <w:rPr>
          <w:rFonts w:hint="eastAsia" w:asciiTheme="minorEastAsia" w:hAnsiTheme="minorEastAsia" w:eastAsiaTheme="minorEastAsia"/>
          <w:color w:val="auto"/>
          <w:sz w:val="24"/>
          <w:highlight w:val="none"/>
        </w:rPr>
        <w:t>（2）</w:t>
      </w:r>
      <w:r>
        <w:rPr>
          <w:rFonts w:hint="eastAsia" w:ascii="宋体" w:hAnsi="宋体"/>
          <w:color w:val="auto"/>
          <w:sz w:val="24"/>
          <w:highlight w:val="none"/>
        </w:rPr>
        <w:t>法定代表人身份证明书、相应的法定代表人身份证正反两面复印件</w:t>
      </w:r>
      <w:r>
        <w:rPr>
          <w:rFonts w:hint="eastAsia" w:ascii="宋体" w:hAnsi="宋体"/>
          <w:b/>
          <w:color w:val="auto"/>
          <w:sz w:val="24"/>
          <w:highlight w:val="none"/>
        </w:rPr>
        <w:t>（必须提供；</w:t>
      </w:r>
      <w:r>
        <w:rPr>
          <w:rFonts w:hint="eastAsia" w:ascii="宋体" w:hAnsi="宋体"/>
          <w:color w:val="auto"/>
          <w:sz w:val="24"/>
          <w:highlight w:val="none"/>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Theme="minorEastAsia" w:hAnsiTheme="minorEastAsia" w:eastAsiaTheme="minorEastAsia"/>
          <w:color w:val="auto"/>
          <w:sz w:val="24"/>
          <w:highlight w:val="none"/>
        </w:rPr>
      </w:pPr>
      <w:r>
        <w:rPr>
          <w:rFonts w:hint="eastAsia" w:ascii="宋体" w:hAnsi="宋体"/>
          <w:color w:val="auto"/>
          <w:sz w:val="24"/>
          <w:highlight w:val="none"/>
        </w:rPr>
        <w:t>（3）授权委托书原件、委托代理人身份证正反面复印件</w:t>
      </w:r>
      <w:r>
        <w:rPr>
          <w:rFonts w:hint="eastAsia" w:ascii="宋体" w:hAnsi="宋体"/>
          <w:b/>
          <w:color w:val="auto"/>
          <w:sz w:val="24"/>
          <w:highlight w:val="none"/>
        </w:rPr>
        <w:t>（委托代理时必须提供）；</w:t>
      </w:r>
    </w:p>
    <w:p>
      <w:pPr>
        <w:spacing w:line="360" w:lineRule="exact"/>
        <w:ind w:left="141" w:leftChars="67"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（4）商务条款偏离表(格式见附件) ；</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（5）招标文件要求投标人必须提供的其他资料（如有要求，必须提供）；</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可作为投标人资信评分的资质证明材料(可选):</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（6）类似案例成功的业绩(投标入同类项目实施情况一览表、合同或中标通知书复印件等);</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（7）质量管理和质量保证体系等方面的认证证书</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（8）投标人认为可以提供的其他材料;</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3.技术文件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（1）技术资料表；（必须提供）</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（2）服务承诺书（应据项目实际要求描述,格式自拟，必须提供）</w:t>
      </w:r>
    </w:p>
    <w:p>
      <w:pPr>
        <w:spacing w:line="360" w:lineRule="exact"/>
        <w:ind w:left="141" w:leftChars="67"/>
        <w:rPr>
          <w:rFonts w:ascii="宋体" w:hAnsi="宋体" w:cs="宋体"/>
          <w:color w:val="auto"/>
          <w:sz w:val="24"/>
          <w:highlight w:val="none"/>
        </w:rPr>
      </w:pPr>
      <w:r>
        <w:rPr>
          <w:rFonts w:hint="eastAsia" w:asciiTheme="minorEastAsia" w:hAnsiTheme="minorEastAsia" w:eastAsiaTheme="minorEastAsia"/>
          <w:color w:val="auto"/>
          <w:sz w:val="24"/>
          <w:highlight w:val="none"/>
        </w:rPr>
        <w:t>（3）</w:t>
      </w:r>
      <w:r>
        <w:rPr>
          <w:rFonts w:hint="eastAsia" w:ascii="宋体" w:hAnsi="宋体" w:cs="宋体"/>
          <w:color w:val="auto"/>
          <w:sz w:val="24"/>
          <w:highlight w:val="none"/>
        </w:rPr>
        <w:t>项目技术方案</w:t>
      </w:r>
      <w:r>
        <w:rPr>
          <w:rFonts w:ascii="宋体" w:hAnsi="宋体" w:cs="宋体"/>
          <w:color w:val="auto"/>
          <w:sz w:val="24"/>
          <w:highlight w:val="none"/>
        </w:rPr>
        <w:t>(如有，请提供)</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（4）项目实施人员一览表； </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（5）投标人需要说明的其他文件和说明（格式略，如有请提供）；</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★4.报价文件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(1)投标函(格式见附件);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(2)投标报价明细表(格式见附件);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(3)投标人针对报价需要说明的其他文件和说明(格式自拟，如有请提供);</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(4)开标一览表(单独分册,格式见附件)。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★注:法定代表人授权委托书必须由法定代表人签名并加盖单位公章；投标声明书、投标函、开标一览表必须由法定代表人或授权代表签名并加盖单位公章。</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5.投标文件电子版（光盘）</w:t>
      </w:r>
      <w:r>
        <w:rPr>
          <w:rFonts w:hint="eastAsia" w:ascii="宋体" w:hAnsi="宋体" w:cs="宋体"/>
          <w:color w:val="auto"/>
          <w:sz w:val="24"/>
          <w:highlight w:val="none"/>
        </w:rPr>
        <w:t>。</w:t>
      </w:r>
    </w:p>
    <w:p>
      <w:pPr>
        <w:snapToGrid w:val="0"/>
        <w:spacing w:line="360" w:lineRule="exact"/>
        <w:jc w:val="left"/>
        <w:rPr>
          <w:rFonts w:asciiTheme="minorEastAsia" w:hAnsiTheme="minorEastAsia" w:eastAsiaTheme="minorEastAsia"/>
          <w:b/>
          <w:color w:val="auto"/>
          <w:sz w:val="24"/>
          <w:highlight w:val="none"/>
        </w:rPr>
      </w:pPr>
      <w:bookmarkStart w:id="64" w:name="_Toc254970678"/>
      <w:bookmarkStart w:id="65" w:name="_Toc254970537"/>
      <w:r>
        <w:rPr>
          <w:rFonts w:hint="eastAsia" w:asciiTheme="minorEastAsia" w:hAnsiTheme="minorEastAsia" w:eastAsiaTheme="minorEastAsia"/>
          <w:b/>
          <w:color w:val="auto"/>
          <w:sz w:val="24"/>
          <w:highlight w:val="none"/>
        </w:rPr>
        <w:t>（二）投标文件的语言及计量</w:t>
      </w:r>
      <w:bookmarkEnd w:id="64"/>
      <w:bookmarkEnd w:id="65"/>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Theme="minorEastAsia" w:hAnsiTheme="minorEastAsia" w:eastAsiaTheme="minorEastAsia"/>
          <w:b/>
          <w:color w:val="auto"/>
          <w:sz w:val="24"/>
          <w:highlight w:val="none"/>
        </w:rPr>
      </w:pPr>
      <w:bookmarkStart w:id="66" w:name="_Toc254970679"/>
      <w:bookmarkStart w:id="67" w:name="_Toc254970538"/>
      <w:r>
        <w:rPr>
          <w:rFonts w:hint="eastAsia" w:asciiTheme="minorEastAsia" w:hAnsiTheme="minorEastAsia" w:eastAsiaTheme="minorEastAsia"/>
          <w:b/>
          <w:color w:val="auto"/>
          <w:sz w:val="24"/>
          <w:highlight w:val="none"/>
        </w:rPr>
        <w:t>（三）投标报价</w:t>
      </w:r>
      <w:bookmarkEnd w:id="66"/>
      <w:bookmarkEnd w:id="67"/>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1.投标报价应按招标文件中相关附表格式填写。</w:t>
      </w:r>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投标报价是履行合同的最终价格，应包括服务、以及培训等一切税金和费用。</w:t>
      </w:r>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投标文件只允许有一个报价，有选择的或有条件的报价将不予接受。</w:t>
      </w:r>
    </w:p>
    <w:p>
      <w:pPr>
        <w:pStyle w:val="12"/>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（四）投标文件的有效期</w:t>
      </w:r>
    </w:p>
    <w:p>
      <w:pPr>
        <w:pStyle w:val="12"/>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1.投标文件有效期按投标人须知前附表规定的时间。有效期不足的投标文件将被拒绝。</w:t>
      </w:r>
    </w:p>
    <w:p>
      <w:pPr>
        <w:pStyle w:val="12"/>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2.在特殊情况下，招标人可与投标人协商延长投标书的有效期，这种要求和答复均以书面形式进行。</w:t>
      </w:r>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68" w:name="_Toc254970539"/>
      <w:bookmarkStart w:id="69" w:name="_Toc254970680"/>
      <w:r>
        <w:rPr>
          <w:rFonts w:hint="eastAsia" w:asciiTheme="minorEastAsia" w:hAnsiTheme="minorEastAsia" w:eastAsiaTheme="minorEastAsia"/>
          <w:color w:val="auto"/>
          <w:sz w:val="24"/>
          <w:highlight w:val="none"/>
        </w:rPr>
        <w:t>3.投标人可拒绝接受延期要求，但不能修改投标文件。</w:t>
      </w:r>
      <w:bookmarkEnd w:id="68"/>
      <w:bookmarkEnd w:id="69"/>
      <w:r>
        <w:rPr>
          <w:rFonts w:hint="eastAsia" w:asciiTheme="minorEastAsia" w:hAnsiTheme="minorEastAsia" w:eastAsiaTheme="minorEastAsia"/>
          <w:b/>
          <w:color w:val="auto"/>
          <w:sz w:val="24"/>
          <w:highlight w:val="none"/>
        </w:rPr>
        <w:t xml:space="preserve"> </w:t>
      </w:r>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70" w:name="_Toc254970681"/>
      <w:bookmarkStart w:id="71" w:name="_Toc254970540"/>
      <w:r>
        <w:rPr>
          <w:rFonts w:hint="eastAsia" w:asciiTheme="minorEastAsia" w:hAnsiTheme="minorEastAsia" w:eastAsiaTheme="minorEastAsia"/>
          <w:color w:val="auto"/>
          <w:sz w:val="24"/>
          <w:highlight w:val="none"/>
        </w:rPr>
        <w:t>4.中标人的投标文件自开标之日起至合同履行完毕止均应保持有效。</w:t>
      </w:r>
      <w:bookmarkEnd w:id="70"/>
      <w:bookmarkEnd w:id="71"/>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（六）投标文件的编制</w:t>
      </w:r>
    </w:p>
    <w:p>
      <w:pPr>
        <w:snapToGrid w:val="0"/>
        <w:spacing w:line="360" w:lineRule="exact"/>
        <w:ind w:firstLine="480" w:firstLineChars="200"/>
        <w:jc w:val="left"/>
        <w:rPr>
          <w:rFonts w:asciiTheme="minorEastAsia" w:hAnsiTheme="minorEastAsia" w:eastAsiaTheme="minorEastAsia"/>
          <w:color w:val="auto"/>
          <w:sz w:val="24"/>
          <w:highlight w:val="none"/>
        </w:rPr>
      </w:pPr>
      <w:bookmarkStart w:id="72" w:name="_Toc254970543"/>
      <w:bookmarkStart w:id="73" w:name="_Toc254970684"/>
      <w:r>
        <w:rPr>
          <w:rFonts w:hint="eastAsia" w:asciiTheme="minorEastAsia" w:hAnsiTheme="minorEastAsia" w:eastAsiaTheme="minorEastAsia"/>
          <w:color w:val="auto"/>
          <w:sz w:val="24"/>
          <w:highlight w:val="none"/>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 xml:space="preserve"> 投标文件正本一份，副本份数见“投标人须知前附表”。正本和副本的封面上应清楚地标记“正本”或“副本”的字样</w:t>
      </w:r>
      <w:r>
        <w:rPr>
          <w:rFonts w:hint="eastAsia" w:asciiTheme="minorEastAsia" w:hAnsiTheme="minorEastAsia" w:eastAsiaTheme="minorEastAsia"/>
          <w:color w:val="auto"/>
          <w:sz w:val="24"/>
          <w:szCs w:val="24"/>
          <w:highlight w:val="none"/>
        </w:rPr>
        <w:t>。书面投标文件副本与书面投标文件正本不符，以投标文件正本为准。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3.投标文件的正本需打印或用不褪色的墨水填写，投标文件正本除本投标人须知中规定的可提供复印件外均须提供原件。副本可为正本的复印件。</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 xml:space="preserve"> 投标文件正本与副本均</w:t>
      </w:r>
      <w:r>
        <w:rPr>
          <w:rFonts w:hint="eastAsia" w:asciiTheme="minorEastAsia" w:hAnsiTheme="minorEastAsia" w:eastAsiaTheme="minorEastAsia"/>
          <w:color w:val="auto"/>
          <w:sz w:val="24"/>
          <w:szCs w:val="24"/>
          <w:highlight w:val="none"/>
        </w:rPr>
        <w:t>应</w:t>
      </w:r>
      <w:r>
        <w:rPr>
          <w:rFonts w:asciiTheme="minorEastAsia" w:hAnsiTheme="minorEastAsia" w:eastAsiaTheme="minorEastAsia"/>
          <w:color w:val="auto"/>
          <w:sz w:val="24"/>
          <w:szCs w:val="24"/>
          <w:highlight w:val="none"/>
        </w:rPr>
        <w:t>由投标人在招标文件规定的相关位置加盖投标人法人单位公章，且经法定代表</w:t>
      </w:r>
      <w:r>
        <w:rPr>
          <w:rFonts w:hint="eastAsia" w:asciiTheme="minorEastAsia" w:hAnsiTheme="minorEastAsia" w:eastAsiaTheme="minorEastAsia"/>
          <w:color w:val="auto"/>
          <w:sz w:val="24"/>
          <w:szCs w:val="24"/>
          <w:highlight w:val="none"/>
        </w:rPr>
        <w:t>人签字（</w:t>
      </w:r>
      <w:r>
        <w:rPr>
          <w:rFonts w:asciiTheme="minorEastAsia" w:hAnsiTheme="minorEastAsia" w:eastAsiaTheme="minorEastAsia"/>
          <w:color w:val="auto"/>
          <w:sz w:val="24"/>
          <w:szCs w:val="24"/>
          <w:highlight w:val="none"/>
        </w:rPr>
        <w:t>或</w:t>
      </w:r>
      <w:r>
        <w:rPr>
          <w:rFonts w:hint="eastAsia" w:asciiTheme="minorEastAsia" w:hAnsiTheme="minorEastAsia" w:eastAsiaTheme="minorEastAsia"/>
          <w:color w:val="auto"/>
          <w:sz w:val="24"/>
          <w:szCs w:val="24"/>
          <w:highlight w:val="none"/>
        </w:rPr>
        <w:t>盖章</w:t>
      </w:r>
      <w:r>
        <w:rPr>
          <w:rFonts w:asciiTheme="minorEastAsia" w:hAnsiTheme="minorEastAsia" w:eastAsiaTheme="minorEastAsia"/>
          <w:color w:val="auto"/>
          <w:sz w:val="24"/>
          <w:szCs w:val="24"/>
          <w:highlight w:val="none"/>
        </w:rPr>
        <w:t>）或其委托代理人本人签</w:t>
      </w:r>
      <w:r>
        <w:rPr>
          <w:rFonts w:hint="eastAsia" w:asciiTheme="minorEastAsia" w:hAnsiTheme="minorEastAsia" w:eastAsiaTheme="minorEastAsia"/>
          <w:color w:val="auto"/>
          <w:sz w:val="24"/>
          <w:szCs w:val="24"/>
          <w:highlight w:val="none"/>
        </w:rPr>
        <w:t>字，否则作否决投标处理。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5.投标文件不得涂改，若有修改错漏处，须加盖单位公章或者法定代表人或授权委托人签字或盖章。投标文件因字迹潦草或表达不清或提供的资料模糊不清所引起的后果由投标人负责。</w:t>
      </w:r>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四、投标</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（一）投标文件的密封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投标文件应按“投标人须知前附表”的要求进行包装</w:t>
      </w:r>
      <w:r>
        <w:rPr>
          <w:rFonts w:hint="eastAsia"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投标文件封套上应写明的其他内容见“投标人须知前附表”。</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（二）投标文件的递交</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投标人应在“投标人须知前附表”规定的投标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截止时间前递交投标文件。</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投标人递交投标文件的地点：见</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除</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另有规定外，投标人所递交的投标文件不予退还。</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招标人收到投标文件后，向投标人出具签收凭证。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逾期送达的或者未送达指定地点的投标文件，招标人不予受理。</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（三）投标文件的修改与撤回</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截止时间前，投标人可以</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修改或撤回已递交的投标文件，但应以书面形式通知招标人</w:t>
      </w:r>
      <w:r>
        <w:rPr>
          <w:rFonts w:hint="eastAsia" w:asciiTheme="minorEastAsia" w:hAnsiTheme="minorEastAsia" w:eastAsiaTheme="minorEastAsia"/>
          <w:color w:val="auto"/>
          <w:sz w:val="24"/>
          <w:szCs w:val="24"/>
          <w:highlight w:val="none"/>
        </w:rPr>
        <w:t>或者招标代理机构</w:t>
      </w:r>
      <w:r>
        <w:rPr>
          <w:rFonts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修改或撤回已递交投标文件的书面通知，应按照本章第</w:t>
      </w:r>
      <w:r>
        <w:rPr>
          <w:rFonts w:hint="eastAsia" w:asciiTheme="minorEastAsia" w:hAnsiTheme="minorEastAsia" w:eastAsiaTheme="minorEastAsia"/>
          <w:color w:val="auto"/>
          <w:sz w:val="24"/>
          <w:szCs w:val="24"/>
          <w:highlight w:val="none"/>
        </w:rPr>
        <w:t>三、投标文件第（六）、投标文件第4款</w:t>
      </w:r>
      <w:r>
        <w:rPr>
          <w:rFonts w:asciiTheme="minorEastAsia" w:hAnsiTheme="minorEastAsia" w:eastAsiaTheme="minorEastAsia"/>
          <w:color w:val="auto"/>
          <w:sz w:val="24"/>
          <w:szCs w:val="24"/>
          <w:highlight w:val="none"/>
        </w:rPr>
        <w:t>的要求签字和盖章。招标人</w:t>
      </w:r>
      <w:r>
        <w:rPr>
          <w:rFonts w:hint="eastAsia" w:asciiTheme="minorEastAsia" w:hAnsiTheme="minorEastAsia" w:eastAsiaTheme="minorEastAsia"/>
          <w:color w:val="auto"/>
          <w:sz w:val="24"/>
          <w:szCs w:val="24"/>
          <w:highlight w:val="none"/>
        </w:rPr>
        <w:t>或招标代理机构</w:t>
      </w:r>
      <w:r>
        <w:rPr>
          <w:rFonts w:asciiTheme="minorEastAsia" w:hAnsiTheme="minorEastAsia" w:eastAsiaTheme="minorEastAsia"/>
          <w:color w:val="auto"/>
          <w:sz w:val="24"/>
          <w:szCs w:val="24"/>
          <w:highlight w:val="none"/>
        </w:rPr>
        <w:t>收到书面通知后，向投标人出具签收凭证。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修改的内容为投标文件的组成部分。修改的投标文件应按照本章第</w:t>
      </w:r>
      <w:r>
        <w:rPr>
          <w:rFonts w:hint="eastAsia" w:asciiTheme="minorEastAsia" w:hAnsiTheme="minorEastAsia" w:eastAsiaTheme="minorEastAsia"/>
          <w:color w:val="auto"/>
          <w:sz w:val="24"/>
          <w:szCs w:val="24"/>
          <w:highlight w:val="none"/>
        </w:rPr>
        <w:t>三、投标文件</w:t>
      </w:r>
      <w:r>
        <w:rPr>
          <w:rFonts w:asciiTheme="minorEastAsia" w:hAnsiTheme="minorEastAsia" w:eastAsiaTheme="minorEastAsia"/>
          <w:color w:val="auto"/>
          <w:sz w:val="24"/>
          <w:szCs w:val="24"/>
          <w:highlight w:val="none"/>
        </w:rPr>
        <w:t>和第</w:t>
      </w:r>
      <w:r>
        <w:rPr>
          <w:rFonts w:hint="eastAsia" w:asciiTheme="minorEastAsia" w:hAnsiTheme="minorEastAsia" w:eastAsiaTheme="minorEastAsia"/>
          <w:color w:val="auto"/>
          <w:sz w:val="24"/>
          <w:szCs w:val="24"/>
          <w:highlight w:val="none"/>
        </w:rPr>
        <w:t>四、投标第（一）投标文件密封</w:t>
      </w:r>
      <w:r>
        <w:rPr>
          <w:rFonts w:asciiTheme="minorEastAsia" w:hAnsiTheme="minorEastAsia" w:eastAsiaTheme="minorEastAsia"/>
          <w:color w:val="auto"/>
          <w:sz w:val="24"/>
          <w:szCs w:val="24"/>
          <w:highlight w:val="none"/>
        </w:rPr>
        <w:t>规定进行编制、密封、标记和递交，并标明“修改”字样。</w:t>
      </w:r>
    </w:p>
    <w:p>
      <w:pPr>
        <w:pStyle w:val="22"/>
        <w:spacing w:line="360" w:lineRule="exact"/>
        <w:ind w:firstLine="480" w:firstLineChars="200"/>
        <w:rPr>
          <w:rFonts w:asciiTheme="minorEastAsia" w:hAnsiTheme="minorEastAsia" w:eastAsiaTheme="minorEastAsia"/>
          <w:color w:val="auto"/>
          <w:sz w:val="24"/>
          <w:szCs w:val="24"/>
          <w:highlight w:val="none"/>
        </w:rPr>
      </w:pPr>
    </w:p>
    <w:bookmarkEnd w:id="72"/>
    <w:bookmarkEnd w:id="73"/>
    <w:p>
      <w:pPr>
        <w:pStyle w:val="18"/>
        <w:snapToGrid w:val="0"/>
        <w:spacing w:line="360" w:lineRule="exact"/>
        <w:ind w:firstLine="630" w:firstLineChars="196"/>
        <w:jc w:val="center"/>
        <w:rPr>
          <w:rFonts w:asciiTheme="minorEastAsia" w:hAnsiTheme="minorEastAsia" w:eastAsiaTheme="minorEastAsia"/>
          <w:b/>
          <w:snapToGrid w:val="0"/>
          <w:color w:val="auto"/>
          <w:szCs w:val="32"/>
          <w:highlight w:val="none"/>
        </w:rPr>
      </w:pPr>
      <w:bookmarkStart w:id="74" w:name="_Toc254970544"/>
      <w:bookmarkStart w:id="75" w:name="_Toc254970685"/>
      <w:r>
        <w:rPr>
          <w:rFonts w:hint="eastAsia" w:asciiTheme="minorEastAsia" w:hAnsiTheme="minorEastAsia" w:eastAsiaTheme="minorEastAsia"/>
          <w:b/>
          <w:color w:val="auto"/>
          <w:szCs w:val="32"/>
          <w:highlight w:val="none"/>
        </w:rPr>
        <w:t>五、开标</w:t>
      </w:r>
      <w:bookmarkEnd w:id="74"/>
      <w:bookmarkEnd w:id="75"/>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（一）开标准备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招标代理机构将在规定的时间和地点进行开标。采购代理机构在开标会现场登陆开标系统并输入投标供应商全称、社会统一信用代码、联系电话等信息，完成投标签到。</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 开标程序：</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1.开标会由招标人人或其委托的招标代理机构主持，主持人宣布开标会议开始；</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 宣布在提交投标文件截止时间前收到的投标文件数量； </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宣布开标纪律，</w:t>
      </w:r>
      <w:r>
        <w:rPr>
          <w:rFonts w:asciiTheme="minorEastAsia" w:hAnsiTheme="minorEastAsia" w:eastAsiaTheme="minorEastAsia"/>
          <w:color w:val="auto"/>
          <w:sz w:val="24"/>
          <w:szCs w:val="24"/>
          <w:highlight w:val="none"/>
        </w:rPr>
        <w:t>开标人、唱标人、记录人、</w:t>
      </w:r>
      <w:r>
        <w:rPr>
          <w:rFonts w:hint="eastAsia" w:asciiTheme="minorEastAsia" w:hAnsiTheme="minorEastAsia" w:eastAsiaTheme="minorEastAsia"/>
          <w:color w:val="auto"/>
          <w:sz w:val="24"/>
          <w:szCs w:val="24"/>
          <w:highlight w:val="none"/>
        </w:rPr>
        <w:t>监督</w:t>
      </w:r>
      <w:r>
        <w:rPr>
          <w:rFonts w:asciiTheme="minorEastAsia" w:hAnsiTheme="minorEastAsia" w:eastAsiaTheme="minorEastAsia"/>
          <w:color w:val="auto"/>
          <w:sz w:val="24"/>
          <w:szCs w:val="24"/>
          <w:highlight w:val="none"/>
        </w:rPr>
        <w:t>人等有关人员</w:t>
      </w:r>
      <w:r>
        <w:rPr>
          <w:rFonts w:hint="eastAsia" w:asciiTheme="minorEastAsia" w:hAnsiTheme="minorEastAsia" w:eastAsiaTheme="minorEastAsia"/>
          <w:color w:val="auto"/>
          <w:sz w:val="24"/>
          <w:szCs w:val="24"/>
          <w:highlight w:val="none"/>
        </w:rPr>
        <w:t>名单</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4.招标人代表检查投标文件的密封情况并签字确认；</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5.由招标人或招标代理机构工作人员当众拆封投标文件，宣布投标人名称、投标价格和其他需要宣布的其他内容；</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6.招标人或招标代理机构做开标记录, 由参加开标的相关工作人员签字确认后随采购文件一并存档。</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7.开标会议结束。</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bookmarkStart w:id="76" w:name="_Toc254970545"/>
      <w:bookmarkStart w:id="77" w:name="_Toc254970686"/>
    </w:p>
    <w:p>
      <w:pPr>
        <w:pStyle w:val="22"/>
        <w:snapToGrid w:val="0"/>
        <w:spacing w:line="360" w:lineRule="exact"/>
        <w:ind w:left="321" w:hanging="321" w:hangingChars="10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六、评标</w:t>
      </w:r>
    </w:p>
    <w:bookmarkEnd w:id="76"/>
    <w:bookmarkEnd w:id="77"/>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（一）组建评标委员会</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评标委员会由采购人代表和评审专家组成，成员人数应当为5人以上单数，其中评审专家不得少于成员总数的三分之二。</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采购项目符合下列情形之一的，评标委员会成员人数应当为7人以上单数：</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1．采购预算金额在1000万元以上；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2．技术复杂；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3．社会影响较大。</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（二）评标的方式</w:t>
      </w:r>
    </w:p>
    <w:p>
      <w:pPr>
        <w:pStyle w:val="22"/>
        <w:snapToGrid w:val="0"/>
        <w:spacing w:line="360" w:lineRule="exact"/>
        <w:ind w:left="210" w:leftChars="10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本项目采用不公开方式评标，评标的依据为招标文件和投标文件。</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（三）资格审查</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采购人代表对投标人的资格进行审查。合格投标人不足3家的，不得评标。</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评标委员会仅对通过资格审查的投标人进行评审。</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（四）</w:t>
      </w:r>
      <w:r>
        <w:rPr>
          <w:rFonts w:hint="eastAsia" w:asciiTheme="minorEastAsia" w:hAnsiTheme="minorEastAsia" w:eastAsiaTheme="minorEastAsia"/>
          <w:b/>
          <w:bCs/>
          <w:color w:val="auto"/>
          <w:sz w:val="24"/>
          <w:szCs w:val="24"/>
          <w:highlight w:val="none"/>
        </w:rPr>
        <w:t>评标程序</w:t>
      </w:r>
    </w:p>
    <w:p>
      <w:pPr>
        <w:snapToGrid w:val="0"/>
        <w:spacing w:line="360" w:lineRule="exact"/>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1.实质审查与比较</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（1）评标委员会对通过资格审查的投标文件进行符合性审查。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（2）评标委员会审查投标文件的实质性内容是否符合招标文件的实质性要求。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（3）评标委员会将根据投标人的投标文件进行审查、核对,如有疑问,将对投标人进行询标,投标人要向评标委员会澄清有关问题,并最终以书面形式进行答复。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（4）各投标人的技术得分为所有评委的有效评分的算术平均数，由指定专人进行计算复核。</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（5）代理机构工作人员协助评标委员会根据本项目的评分标准计算各投标人的商务报价得分。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（6）评标委员会完成评标后,评委对各部分得分汇总,计算出本项目最终得分。评标委员会按评标原则推荐中标候选人同时起草评标报告。</w:t>
      </w:r>
    </w:p>
    <w:p>
      <w:pPr>
        <w:snapToGrid w:val="0"/>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（五）澄清问题的形式</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（六）错误修正</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投标文件如果出现计算或表达上的错误，修正错误的原则如下：</w:t>
      </w:r>
    </w:p>
    <w:p>
      <w:pPr>
        <w:pStyle w:val="34"/>
        <w:spacing w:before="0" w:beforeAutospacing="0" w:after="0" w:afterAutospacing="0" w:line="360" w:lineRule="exact"/>
        <w:ind w:firstLine="480" w:firstLineChars="200"/>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1、投标文件中开标一览表（报价表）内容与投标文件中相应内容不一致的，以开标一览表（报价表）为准；</w:t>
      </w:r>
    </w:p>
    <w:p>
      <w:pPr>
        <w:pStyle w:val="34"/>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2、大写金额和小写金额不一致的，以大写金额为准；</w:t>
      </w:r>
    </w:p>
    <w:p>
      <w:pPr>
        <w:pStyle w:val="34"/>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3、单价金额小数点或者百分比有明显错位的，以开标一览表的总价为准，并修改单价；</w:t>
      </w:r>
    </w:p>
    <w:p>
      <w:pPr>
        <w:pStyle w:val="34"/>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4、总价金额与按单价汇总金额不一致的，以单价金额计算结果为准。</w:t>
      </w:r>
    </w:p>
    <w:p>
      <w:pPr>
        <w:pStyle w:val="22"/>
        <w:tabs>
          <w:tab w:val="left" w:pos="567"/>
        </w:tabs>
        <w:snapToGrid w:val="0"/>
        <w:spacing w:line="36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2"/>
        <w:tabs>
          <w:tab w:val="left" w:pos="630"/>
        </w:tabs>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（七）评标原则和评标办法</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2.评标办法。本项目评标办法是</w:t>
      </w:r>
      <w:r>
        <w:rPr>
          <w:rFonts w:hint="eastAsia" w:asciiTheme="minorEastAsia" w:hAnsiTheme="minorEastAsia" w:eastAsiaTheme="minorEastAsia"/>
          <w:color w:val="auto"/>
          <w:sz w:val="24"/>
          <w:szCs w:val="24"/>
          <w:highlight w:val="none"/>
          <w:u w:val="single"/>
        </w:rPr>
        <w:t xml:space="preserve"> 综合评分法 </w:t>
      </w:r>
      <w:r>
        <w:rPr>
          <w:rFonts w:hint="eastAsia" w:asciiTheme="minorEastAsia" w:hAnsiTheme="minorEastAsia" w:eastAsiaTheme="minorEastAsia"/>
          <w:color w:val="auto"/>
          <w:sz w:val="24"/>
          <w:szCs w:val="24"/>
          <w:highlight w:val="none"/>
        </w:rPr>
        <w:t>，具体评标内容及评分标准等详见《第四章：评标办法及评分标准》。</w:t>
      </w:r>
    </w:p>
    <w:p>
      <w:pPr>
        <w:snapToGrid w:val="0"/>
        <w:spacing w:line="40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8"/>
          <w:szCs w:val="28"/>
          <w:highlight w:val="none"/>
        </w:rPr>
        <w:t>（八）</w:t>
      </w:r>
      <w:r>
        <w:rPr>
          <w:rFonts w:hint="eastAsia" w:asciiTheme="minorEastAsia" w:hAnsiTheme="minorEastAsia" w:eastAsiaTheme="minorEastAsia"/>
          <w:b/>
          <w:color w:val="auto"/>
          <w:sz w:val="24"/>
          <w:szCs w:val="24"/>
          <w:highlight w:val="none"/>
        </w:rPr>
        <w:t>投标无效的情形</w:t>
      </w:r>
    </w:p>
    <w:p>
      <w:pPr>
        <w:spacing w:line="40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72" w:firstLineChars="196"/>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1.在资格性审查时，如发现下列情形之一的，投标文件将被视为无效：</w:t>
      </w:r>
    </w:p>
    <w:p>
      <w:pPr>
        <w:snapToGrid w:val="0"/>
        <w:spacing w:line="400" w:lineRule="exact"/>
        <w:ind w:firstLine="472" w:firstLineChars="196"/>
        <w:rPr>
          <w:rFonts w:cs="Tahoma" w:asciiTheme="minorEastAsia" w:hAnsiTheme="minorEastAsia" w:eastAsiaTheme="minorEastAsia"/>
          <w:b/>
          <w:color w:val="auto"/>
          <w:kern w:val="0"/>
          <w:sz w:val="24"/>
          <w:szCs w:val="24"/>
          <w:highlight w:val="none"/>
        </w:rPr>
      </w:pPr>
      <w:r>
        <w:rPr>
          <w:rFonts w:hint="eastAsia" w:cs="Tahoma" w:asciiTheme="minorEastAsia" w:hAnsiTheme="minorEastAsia" w:eastAsiaTheme="minorEastAsia"/>
          <w:b/>
          <w:color w:val="auto"/>
          <w:kern w:val="0"/>
          <w:sz w:val="24"/>
          <w:szCs w:val="24"/>
          <w:highlight w:val="none"/>
        </w:rPr>
        <w:t>（1）不符合招标公告中对投标人的资格要求的（包括超越了按照法律法规规定必须获得行政许可证或者行政审批的经营范围的）；</w:t>
      </w:r>
    </w:p>
    <w:p>
      <w:pPr>
        <w:snapToGrid w:val="0"/>
        <w:spacing w:line="400" w:lineRule="exact"/>
        <w:ind w:firstLine="472" w:firstLineChars="196"/>
        <w:rPr>
          <w:rFonts w:cs="Tahoma" w:asciiTheme="minorEastAsia" w:hAnsiTheme="minorEastAsia" w:eastAsiaTheme="minorEastAsia"/>
          <w:b/>
          <w:color w:val="auto"/>
          <w:kern w:val="0"/>
          <w:sz w:val="24"/>
          <w:szCs w:val="24"/>
          <w:highlight w:val="none"/>
        </w:rPr>
      </w:pPr>
      <w:r>
        <w:rPr>
          <w:rFonts w:hint="eastAsia" w:cs="Tahoma" w:asciiTheme="minorEastAsia" w:hAnsiTheme="minorEastAsia" w:eastAsiaTheme="minorEastAsia"/>
          <w:b/>
          <w:color w:val="auto"/>
          <w:kern w:val="0"/>
          <w:sz w:val="24"/>
          <w:szCs w:val="24"/>
          <w:highlight w:val="none"/>
        </w:rPr>
        <w:t>（2）资格证明文件不全或不符合招标文件表明的资格要求的。</w:t>
      </w:r>
    </w:p>
    <w:p>
      <w:pPr>
        <w:snapToGrid w:val="0"/>
        <w:spacing w:line="400" w:lineRule="exact"/>
        <w:ind w:firstLine="472" w:firstLineChars="196"/>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2.在符合性审查时，如发现下列情形之一的，投标文件将被视为无效：</w:t>
      </w:r>
    </w:p>
    <w:p>
      <w:pPr>
        <w:snapToGrid w:val="0"/>
        <w:spacing w:line="400" w:lineRule="exact"/>
        <w:ind w:firstLine="472" w:firstLineChars="196"/>
        <w:rPr>
          <w:rFonts w:asciiTheme="minorEastAsia" w:hAnsiTheme="minorEastAsia" w:eastAsiaTheme="minorEastAsia"/>
          <w:b/>
          <w:bCs/>
          <w:color w:val="auto"/>
          <w:kern w:val="0"/>
          <w:sz w:val="24"/>
          <w:szCs w:val="24"/>
          <w:highlight w:val="none"/>
        </w:rPr>
      </w:pPr>
      <w:r>
        <w:rPr>
          <w:rFonts w:hint="eastAsia" w:asciiTheme="minorEastAsia" w:hAnsiTheme="minorEastAsia" w:eastAsiaTheme="minorEastAsia"/>
          <w:b/>
          <w:color w:val="auto"/>
          <w:sz w:val="24"/>
          <w:szCs w:val="24"/>
          <w:highlight w:val="none"/>
        </w:rPr>
        <w:t>（1）投标文件无法定代表人或其授权委托代理人签字,或未</w:t>
      </w:r>
      <w:r>
        <w:rPr>
          <w:rFonts w:hint="eastAsia" w:asciiTheme="minorEastAsia" w:hAnsiTheme="minorEastAsia" w:eastAsiaTheme="minorEastAsia"/>
          <w:b/>
          <w:bCs/>
          <w:color w:val="auto"/>
          <w:kern w:val="0"/>
          <w:sz w:val="24"/>
          <w:szCs w:val="24"/>
          <w:highlight w:val="none"/>
        </w:rPr>
        <w:t>提供法定代表人授权委托书、声明书或者填写项目不齐全的；</w:t>
      </w:r>
    </w:p>
    <w:p>
      <w:pPr>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 xml:space="preserve">（2）投标代表人未能出具身份证明或与法定代表人授权委托人身份不符的； </w:t>
      </w:r>
    </w:p>
    <w:p>
      <w:pPr>
        <w:pStyle w:val="18"/>
        <w:snapToGrid w:val="0"/>
        <w:spacing w:line="400" w:lineRule="exact"/>
        <w:ind w:firstLine="472" w:firstLineChars="196"/>
        <w:rPr>
          <w:rFonts w:asciiTheme="minorEastAsia" w:hAnsiTheme="minorEastAsia" w:eastAsiaTheme="minorEastAsia"/>
          <w:b/>
          <w:snapToGrid w:val="0"/>
          <w:color w:val="auto"/>
          <w:sz w:val="24"/>
          <w:szCs w:val="24"/>
          <w:highlight w:val="none"/>
        </w:rPr>
      </w:pPr>
      <w:r>
        <w:rPr>
          <w:rFonts w:hint="eastAsia" w:asciiTheme="minorEastAsia" w:hAnsiTheme="minorEastAsia" w:eastAsiaTheme="minorEastAsia"/>
          <w:b/>
          <w:color w:val="auto"/>
          <w:sz w:val="24"/>
          <w:szCs w:val="24"/>
          <w:highlight w:val="none"/>
        </w:rPr>
        <w:t>（</w:t>
      </w:r>
      <w:r>
        <w:rPr>
          <w:rFonts w:hint="eastAsia" w:asciiTheme="minorEastAsia" w:hAnsiTheme="minorEastAsia" w:eastAsiaTheme="minorEastAsia"/>
          <w:b/>
          <w:snapToGrid w:val="0"/>
          <w:color w:val="auto"/>
          <w:sz w:val="24"/>
          <w:szCs w:val="24"/>
          <w:highlight w:val="none"/>
        </w:rPr>
        <w:t>3）</w:t>
      </w:r>
      <w:r>
        <w:rPr>
          <w:rFonts w:hint="eastAsia" w:asciiTheme="minorEastAsia" w:hAnsiTheme="minorEastAsia" w:eastAsiaTheme="minorEastAsia"/>
          <w:b/>
          <w:color w:val="auto"/>
          <w:sz w:val="24"/>
          <w:szCs w:val="24"/>
          <w:highlight w:val="none"/>
        </w:rPr>
        <w:t>项目不齐全或者内容虚假的；</w:t>
      </w:r>
    </w:p>
    <w:p>
      <w:pPr>
        <w:pStyle w:val="18"/>
        <w:snapToGrid w:val="0"/>
        <w:spacing w:line="400" w:lineRule="exact"/>
        <w:ind w:firstLine="472" w:firstLineChars="196"/>
        <w:rPr>
          <w:rFonts w:asciiTheme="minorEastAsia" w:hAnsiTheme="minorEastAsia" w:eastAsiaTheme="minorEastAsia"/>
          <w:b/>
          <w:snapToGrid w:val="0"/>
          <w:color w:val="auto"/>
          <w:sz w:val="24"/>
          <w:szCs w:val="24"/>
          <w:highlight w:val="none"/>
        </w:rPr>
      </w:pPr>
      <w:r>
        <w:rPr>
          <w:rFonts w:hint="eastAsia" w:asciiTheme="minorEastAsia" w:hAnsiTheme="minorEastAsia" w:eastAsiaTheme="minorEastAsia"/>
          <w:b/>
          <w:color w:val="auto"/>
          <w:sz w:val="24"/>
          <w:szCs w:val="24"/>
          <w:highlight w:val="none"/>
        </w:rPr>
        <w:t>（4）投标文件的实质性内容未使用中文表述、意思表述不明确、前后矛盾或者使用计量单位不符合招标文件要求的（经评标委员会认定并允许其当场更正的笔误除外）</w:t>
      </w:r>
    </w:p>
    <w:p>
      <w:pPr>
        <w:pStyle w:val="18"/>
        <w:snapToGrid w:val="0"/>
        <w:spacing w:line="400" w:lineRule="exact"/>
        <w:ind w:firstLine="472" w:firstLineChars="196"/>
        <w:rPr>
          <w:rFonts w:asciiTheme="minorEastAsia" w:hAnsiTheme="minorEastAsia" w:eastAsiaTheme="minorEastAsia"/>
          <w:b/>
          <w:snapToGrid w:val="0"/>
          <w:color w:val="auto"/>
          <w:sz w:val="24"/>
          <w:szCs w:val="24"/>
          <w:highlight w:val="none"/>
        </w:rPr>
      </w:pPr>
      <w:r>
        <w:rPr>
          <w:rFonts w:hint="eastAsia" w:asciiTheme="minorEastAsia" w:hAnsiTheme="minorEastAsia" w:eastAsiaTheme="minorEastAsia"/>
          <w:b/>
          <w:color w:val="auto"/>
          <w:sz w:val="24"/>
          <w:szCs w:val="24"/>
          <w:highlight w:val="none"/>
        </w:rPr>
        <w:t>（</w:t>
      </w:r>
      <w:r>
        <w:rPr>
          <w:rFonts w:hint="eastAsia" w:asciiTheme="minorEastAsia" w:hAnsiTheme="minorEastAsia" w:eastAsiaTheme="minorEastAsia"/>
          <w:b/>
          <w:snapToGrid w:val="0"/>
          <w:color w:val="auto"/>
          <w:sz w:val="24"/>
          <w:szCs w:val="24"/>
          <w:highlight w:val="none"/>
        </w:rPr>
        <w:t>5）投标有效期、服务期限等商务条款不能满足招标文件要求的；</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（6）未实质性响应招标文件要求或者投标文件有招标方不能接受的附加条件或者</w:t>
      </w:r>
      <w:r>
        <w:rPr>
          <w:rFonts w:cs="Tahoma" w:asciiTheme="minorEastAsia" w:hAnsiTheme="minorEastAsia" w:eastAsiaTheme="minorEastAsia"/>
          <w:b/>
          <w:color w:val="auto"/>
          <w:kern w:val="0"/>
          <w:sz w:val="24"/>
          <w:szCs w:val="24"/>
          <w:highlight w:val="none"/>
        </w:rPr>
        <w:t>投标人</w:t>
      </w:r>
      <w:r>
        <w:rPr>
          <w:rFonts w:hint="eastAsia" w:cs="Tahoma" w:asciiTheme="minorEastAsia" w:hAnsiTheme="minorEastAsia" w:eastAsiaTheme="minorEastAsia"/>
          <w:b/>
          <w:color w:val="auto"/>
          <w:kern w:val="0"/>
          <w:sz w:val="24"/>
          <w:szCs w:val="24"/>
          <w:highlight w:val="none"/>
        </w:rPr>
        <w:t>有</w:t>
      </w:r>
      <w:r>
        <w:rPr>
          <w:rFonts w:cs="Tahoma" w:asciiTheme="minorEastAsia" w:hAnsiTheme="minorEastAsia" w:eastAsiaTheme="minorEastAsia"/>
          <w:b/>
          <w:color w:val="auto"/>
          <w:kern w:val="0"/>
          <w:sz w:val="24"/>
          <w:szCs w:val="24"/>
          <w:highlight w:val="none"/>
        </w:rPr>
        <w:t>相互串通</w:t>
      </w:r>
      <w:r>
        <w:rPr>
          <w:rFonts w:hint="eastAsia" w:cs="Tahoma" w:asciiTheme="minorEastAsia" w:hAnsiTheme="minorEastAsia" w:eastAsiaTheme="minorEastAsia"/>
          <w:b/>
          <w:color w:val="auto"/>
          <w:kern w:val="0"/>
          <w:sz w:val="24"/>
          <w:szCs w:val="24"/>
          <w:highlight w:val="none"/>
        </w:rPr>
        <w:t>行为</w:t>
      </w:r>
      <w:r>
        <w:rPr>
          <w:rFonts w:hint="eastAsia" w:asciiTheme="minorEastAsia" w:hAnsiTheme="minorEastAsia" w:eastAsiaTheme="minorEastAsia"/>
          <w:b/>
          <w:color w:val="auto"/>
          <w:sz w:val="24"/>
          <w:szCs w:val="24"/>
          <w:highlight w:val="none"/>
        </w:rPr>
        <w:t>的；</w:t>
      </w:r>
    </w:p>
    <w:p>
      <w:pPr>
        <w:pStyle w:val="18"/>
        <w:snapToGrid w:val="0"/>
        <w:spacing w:line="400" w:lineRule="exact"/>
        <w:ind w:firstLine="593" w:firstLineChars="246"/>
        <w:rPr>
          <w:rFonts w:asciiTheme="minorEastAsia" w:hAnsiTheme="minorEastAsia" w:eastAsiaTheme="minorEastAsia"/>
          <w:b/>
          <w:color w:val="auto"/>
          <w:sz w:val="24"/>
          <w:szCs w:val="24"/>
          <w:highlight w:val="none"/>
        </w:rPr>
      </w:pPr>
      <w:r>
        <w:rPr>
          <w:rFonts w:hint="eastAsia" w:asciiTheme="minorEastAsia" w:hAnsiTheme="minorEastAsia" w:eastAsiaTheme="minorEastAsia"/>
          <w:b/>
          <w:snapToGrid w:val="0"/>
          <w:color w:val="auto"/>
          <w:sz w:val="24"/>
          <w:szCs w:val="24"/>
          <w:highlight w:val="none"/>
        </w:rPr>
        <w:t>（8）</w:t>
      </w:r>
      <w:r>
        <w:rPr>
          <w:rFonts w:hint="eastAsia" w:ascii="宋体" w:hAnsi="宋体" w:eastAsia="宋体"/>
          <w:b/>
          <w:color w:val="auto"/>
          <w:sz w:val="24"/>
          <w:szCs w:val="24"/>
          <w:highlight w:val="none"/>
        </w:rPr>
        <w:t>法律、法规规定“投标无效”或招标文件规定的其他“投标无效”的情形的。</w:t>
      </w:r>
    </w:p>
    <w:p>
      <w:pPr>
        <w:pStyle w:val="18"/>
        <w:snapToGrid w:val="0"/>
        <w:spacing w:line="400" w:lineRule="exact"/>
        <w:ind w:firstLine="472" w:firstLineChars="196"/>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3.在技术评审时，如发现下列情形之一的，投标文件将被视为无效：</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（1）未提供或未如实提供投标服务的技术参数，或者投标文件标明的响应或偏离与事实不符或虚假投标的；</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w:t>
      </w:r>
      <w:r>
        <w:rPr>
          <w:rFonts w:hint="eastAsia" w:asciiTheme="minorEastAsia" w:hAnsiTheme="minorEastAsia" w:eastAsiaTheme="minorEastAsia"/>
          <w:b/>
          <w:snapToGrid w:val="0"/>
          <w:color w:val="auto"/>
          <w:sz w:val="24"/>
          <w:szCs w:val="24"/>
          <w:highlight w:val="none"/>
        </w:rPr>
        <w:t>明显不符合招标文件要求的质量标准，或者与</w:t>
      </w:r>
      <w:r>
        <w:rPr>
          <w:rFonts w:hint="eastAsia" w:asciiTheme="minorEastAsia" w:hAnsiTheme="minorEastAsia" w:eastAsiaTheme="minorEastAsia"/>
          <w:b/>
          <w:color w:val="auto"/>
          <w:sz w:val="24"/>
          <w:szCs w:val="24"/>
          <w:highlight w:val="none"/>
        </w:rPr>
        <w:t>招标文件中标“★”的任何一项技术指标、主要功能项目或技术要求发生实质性负偏离的；</w:t>
      </w:r>
    </w:p>
    <w:p>
      <w:pPr>
        <w:pStyle w:val="18"/>
        <w:snapToGrid w:val="0"/>
        <w:spacing w:line="400" w:lineRule="exact"/>
        <w:ind w:firstLine="472" w:firstLineChars="196"/>
        <w:rPr>
          <w:rFonts w:asciiTheme="minorEastAsia" w:hAnsiTheme="minorEastAsia" w:eastAsiaTheme="minorEastAsia"/>
          <w:b/>
          <w:snapToGrid w:val="0"/>
          <w:color w:val="auto"/>
          <w:sz w:val="24"/>
          <w:szCs w:val="24"/>
          <w:highlight w:val="none"/>
        </w:rPr>
      </w:pPr>
      <w:r>
        <w:rPr>
          <w:rFonts w:hint="eastAsia" w:asciiTheme="minorEastAsia" w:hAnsiTheme="minorEastAsia" w:eastAsiaTheme="minorEastAsia"/>
          <w:b/>
          <w:snapToGrid w:val="0"/>
          <w:color w:val="auto"/>
          <w:sz w:val="24"/>
          <w:szCs w:val="24"/>
          <w:highlight w:val="none"/>
        </w:rPr>
        <w:t>（3）允许偏离的技术、性能指标或者辅助功能项目负偏离达</w:t>
      </w:r>
      <w:r>
        <w:rPr>
          <w:rFonts w:hint="eastAsia" w:asciiTheme="minorEastAsia" w:hAnsiTheme="minorEastAsia" w:eastAsiaTheme="minorEastAsia"/>
          <w:b/>
          <w:snapToGrid w:val="0"/>
          <w:color w:val="auto"/>
          <w:sz w:val="24"/>
          <w:szCs w:val="24"/>
          <w:highlight w:val="none"/>
          <w:u w:val="single"/>
          <w:lang w:val="en-US" w:eastAsia="zh-CN"/>
        </w:rPr>
        <w:t xml:space="preserve"> 3 </w:t>
      </w:r>
      <w:r>
        <w:rPr>
          <w:rFonts w:hint="eastAsia" w:asciiTheme="minorEastAsia" w:hAnsiTheme="minorEastAsia" w:eastAsiaTheme="minorEastAsia"/>
          <w:b/>
          <w:snapToGrid w:val="0"/>
          <w:color w:val="auto"/>
          <w:sz w:val="24"/>
          <w:szCs w:val="24"/>
          <w:highlight w:val="none"/>
        </w:rPr>
        <w:t>项以上（含</w:t>
      </w:r>
      <w:r>
        <w:rPr>
          <w:rFonts w:hint="eastAsia" w:asciiTheme="minorEastAsia" w:hAnsiTheme="minorEastAsia" w:eastAsiaTheme="minorEastAsia"/>
          <w:b/>
          <w:snapToGrid w:val="0"/>
          <w:color w:val="auto"/>
          <w:sz w:val="24"/>
          <w:szCs w:val="24"/>
          <w:highlight w:val="none"/>
          <w:u w:val="single"/>
          <w:lang w:eastAsia="zh-CN"/>
        </w:rPr>
        <w:t xml:space="preserve"> </w:t>
      </w:r>
      <w:r>
        <w:rPr>
          <w:rFonts w:hint="eastAsia" w:asciiTheme="minorEastAsia" w:hAnsiTheme="minorEastAsia" w:eastAsiaTheme="minorEastAsia"/>
          <w:b/>
          <w:snapToGrid w:val="0"/>
          <w:color w:val="auto"/>
          <w:sz w:val="24"/>
          <w:szCs w:val="24"/>
          <w:highlight w:val="none"/>
          <w:u w:val="single"/>
          <w:lang w:val="en-US" w:eastAsia="zh-CN"/>
        </w:rPr>
        <w:t xml:space="preserve">3 </w:t>
      </w:r>
      <w:r>
        <w:rPr>
          <w:rFonts w:hint="eastAsia" w:asciiTheme="minorEastAsia" w:hAnsiTheme="minorEastAsia" w:eastAsiaTheme="minorEastAsia"/>
          <w:b/>
          <w:snapToGrid w:val="0"/>
          <w:color w:val="auto"/>
          <w:sz w:val="24"/>
          <w:szCs w:val="24"/>
          <w:highlight w:val="none"/>
        </w:rPr>
        <w:t xml:space="preserve">项）的； </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（4）投标技术方案不明确，存在一个或一个以上备选（替代）投标方案的；</w:t>
      </w:r>
    </w:p>
    <w:p>
      <w:pPr>
        <w:pStyle w:val="18"/>
        <w:snapToGrid w:val="0"/>
        <w:spacing w:line="400" w:lineRule="exact"/>
        <w:ind w:firstLine="472" w:firstLineChars="196"/>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4.在报价评审时，如发现下列情形之一的，投标文件将被视为无效：</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（1）未采用人民币报价或者未按照招标文件标明的币种报价的；</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（2）报价超出最高限价，或者超出总采购预算金额或分项采购预算（根据项目增减），采购人不能支付的；</w:t>
      </w:r>
    </w:p>
    <w:p>
      <w:pPr>
        <w:pStyle w:val="18"/>
        <w:snapToGrid w:val="0"/>
        <w:spacing w:line="40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（3）投标报价具有选择性，或者开标价格与投标文件承诺的优惠（折扣）价格不一致的；</w:t>
      </w:r>
    </w:p>
    <w:p>
      <w:pPr>
        <w:pStyle w:val="18"/>
        <w:snapToGrid w:val="0"/>
        <w:spacing w:line="40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w:t>
      </w:r>
      <w:r>
        <w:rPr>
          <w:rFonts w:hint="eastAsia" w:cs="宋体" w:asciiTheme="minorEastAsia" w:hAnsiTheme="minorEastAsia" w:eastAsiaTheme="minorEastAsia"/>
          <w:b/>
          <w:color w:val="auto"/>
          <w:kern w:val="0"/>
          <w:sz w:val="24"/>
          <w:szCs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8"/>
        <w:snapToGrid w:val="0"/>
        <w:spacing w:line="400" w:lineRule="exact"/>
        <w:ind w:firstLine="472" w:firstLineChars="196"/>
        <w:outlineLvl w:val="0"/>
        <w:rPr>
          <w:rFonts w:asciiTheme="minorEastAsia" w:hAnsiTheme="minorEastAsia" w:eastAsiaTheme="minorEastAsia"/>
          <w:b/>
          <w:color w:val="auto"/>
          <w:sz w:val="24"/>
          <w:szCs w:val="24"/>
          <w:highlight w:val="none"/>
        </w:rPr>
      </w:pPr>
      <w:bookmarkStart w:id="78" w:name="_Toc22379"/>
      <w:bookmarkStart w:id="79" w:name="_Toc24042"/>
      <w:bookmarkStart w:id="80" w:name="_Toc31485"/>
      <w:r>
        <w:rPr>
          <w:rFonts w:hint="eastAsia" w:asciiTheme="minorEastAsia" w:hAnsiTheme="minorEastAsia" w:eastAsiaTheme="minorEastAsia"/>
          <w:b/>
          <w:color w:val="auto"/>
          <w:sz w:val="24"/>
          <w:szCs w:val="24"/>
          <w:highlight w:val="none"/>
        </w:rPr>
        <w:t>5.有下列情形之一的视为关联供应商参加同一合同项下政府采购活动，投标文件将被视为无效:</w:t>
      </w:r>
      <w:bookmarkEnd w:id="78"/>
      <w:bookmarkEnd w:id="79"/>
      <w:bookmarkEnd w:id="80"/>
    </w:p>
    <w:p>
      <w:pPr>
        <w:pStyle w:val="18"/>
        <w:snapToGrid w:val="0"/>
        <w:spacing w:line="400" w:lineRule="exact"/>
        <w:ind w:firstLine="472" w:firstLineChars="196"/>
        <w:outlineLvl w:val="0"/>
        <w:rPr>
          <w:rFonts w:asciiTheme="minorEastAsia" w:hAnsiTheme="minorEastAsia" w:eastAsiaTheme="minorEastAsia"/>
          <w:b/>
          <w:bCs/>
          <w:color w:val="auto"/>
          <w:sz w:val="24"/>
          <w:szCs w:val="24"/>
          <w:highlight w:val="none"/>
        </w:rPr>
      </w:pPr>
      <w:bookmarkStart w:id="81" w:name="_Toc10318"/>
      <w:bookmarkStart w:id="82" w:name="_Toc1082"/>
      <w:bookmarkStart w:id="83" w:name="_Toc31038"/>
      <w:r>
        <w:rPr>
          <w:rFonts w:hint="eastAsia" w:asciiTheme="minorEastAsia" w:hAnsiTheme="minorEastAsia" w:eastAsiaTheme="minorEastAsia"/>
          <w:b/>
          <w:bCs/>
          <w:color w:val="auto"/>
          <w:sz w:val="24"/>
          <w:szCs w:val="24"/>
          <w:highlight w:val="none"/>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81"/>
      <w:bookmarkEnd w:id="82"/>
      <w:bookmarkEnd w:id="83"/>
    </w:p>
    <w:p>
      <w:pPr>
        <w:pStyle w:val="18"/>
        <w:snapToGrid w:val="0"/>
        <w:spacing w:line="400" w:lineRule="exact"/>
        <w:ind w:firstLine="472" w:firstLineChars="196"/>
        <w:outlineLvl w:val="0"/>
        <w:rPr>
          <w:rFonts w:asciiTheme="minorEastAsia" w:hAnsiTheme="minorEastAsia" w:eastAsiaTheme="minorEastAsia"/>
          <w:b/>
          <w:color w:val="auto"/>
          <w:sz w:val="24"/>
          <w:szCs w:val="24"/>
          <w:highlight w:val="none"/>
        </w:rPr>
      </w:pPr>
      <w:bookmarkStart w:id="84" w:name="_Toc663"/>
      <w:bookmarkStart w:id="85" w:name="_Toc15410"/>
      <w:bookmarkStart w:id="86" w:name="_Toc32632"/>
      <w:r>
        <w:rPr>
          <w:rFonts w:hint="eastAsia" w:asciiTheme="minorEastAsia" w:hAnsiTheme="minorEastAsia" w:eastAsiaTheme="minorEastAsia"/>
          <w:b/>
          <w:color w:val="auto"/>
          <w:sz w:val="24"/>
          <w:szCs w:val="24"/>
          <w:highlight w:val="none"/>
        </w:rPr>
        <w:t>6. 有本须知总则特别说明（八）第5款情形之一的视为</w:t>
      </w:r>
      <w:r>
        <w:rPr>
          <w:rFonts w:asciiTheme="minorEastAsia" w:hAnsiTheme="minorEastAsia" w:eastAsiaTheme="minorEastAsia"/>
          <w:b/>
          <w:color w:val="auto"/>
          <w:sz w:val="24"/>
          <w:szCs w:val="24"/>
          <w:highlight w:val="none"/>
        </w:rPr>
        <w:t>投标人相互串通</w:t>
      </w:r>
      <w:r>
        <w:rPr>
          <w:rFonts w:hint="eastAsia" w:asciiTheme="minorEastAsia" w:hAnsiTheme="minorEastAsia" w:eastAsiaTheme="minorEastAsia"/>
          <w:b/>
          <w:color w:val="auto"/>
          <w:sz w:val="24"/>
          <w:szCs w:val="24"/>
          <w:highlight w:val="none"/>
        </w:rPr>
        <w:t>，投标文件将视为无效。</w:t>
      </w:r>
      <w:bookmarkEnd w:id="84"/>
      <w:bookmarkEnd w:id="85"/>
      <w:bookmarkEnd w:id="86"/>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（九）评标过程的监控</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本项目评标过程实行全程录音、录像监控，投标人在评标过程中所进行的试图影响评标结果的不公正活动，可能导致其投标被拒绝。</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 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⑴查询渠道：“信用中国”网站(www.creditchina.gov.cn)、中国政府采购网(www.ccgp.gov.cn)等；</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⑵查询截止时点：中标通知书发出前；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⑶信用信息查询记录和证据留存方式：在查询网站中直接打印查询记录，打印材料作为采购活动资料保存。</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2"/>
        <w:snapToGrid w:val="0"/>
        <w:spacing w:line="360" w:lineRule="exact"/>
        <w:rPr>
          <w:rFonts w:asciiTheme="minorEastAsia" w:hAnsiTheme="minorEastAsia" w:eastAsiaTheme="minorEastAsia"/>
          <w:b/>
          <w:color w:val="auto"/>
          <w:sz w:val="24"/>
          <w:szCs w:val="24"/>
          <w:highlight w:val="none"/>
        </w:rPr>
      </w:pPr>
      <w:bookmarkStart w:id="87" w:name="_Toc254970546"/>
      <w:bookmarkStart w:id="88" w:name="_Toc254970687"/>
      <w:r>
        <w:rPr>
          <w:rFonts w:hint="eastAsia" w:asciiTheme="minorEastAsia" w:hAnsiTheme="minorEastAsia" w:eastAsiaTheme="minorEastAsia"/>
          <w:b/>
          <w:color w:val="auto"/>
          <w:sz w:val="24"/>
          <w:szCs w:val="24"/>
          <w:highlight w:val="none"/>
        </w:rPr>
        <w:t>（十一）、评标结果</w:t>
      </w:r>
    </w:p>
    <w:bookmarkEnd w:id="87"/>
    <w:bookmarkEnd w:id="88"/>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1.</w:t>
      </w:r>
      <w:r>
        <w:rPr>
          <w:rFonts w:hint="eastAsia" w:asciiTheme="minorEastAsia" w:hAnsiTheme="minorEastAsia" w:eastAsiaTheme="minorEastAsia"/>
          <w:color w:val="auto"/>
          <w:sz w:val="24"/>
          <w:highlight w:val="none"/>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2.中标供应商确定后，采购代理机构二个工作日内在原发布招标公告的</w:t>
      </w:r>
      <w:r>
        <w:rPr>
          <w:rFonts w:hint="eastAsia" w:cs="Arial" w:asciiTheme="minorEastAsia" w:hAnsiTheme="minorEastAsia" w:eastAsiaTheme="minorEastAsia"/>
          <w:color w:val="auto"/>
          <w:sz w:val="24"/>
          <w:highlight w:val="none"/>
        </w:rPr>
        <w:t>网</w:t>
      </w:r>
      <w:r>
        <w:rPr>
          <w:rFonts w:hint="eastAsia" w:asciiTheme="minorEastAsia" w:hAnsiTheme="minorEastAsia" w:eastAsiaTheme="minorEastAsia"/>
          <w:bCs/>
          <w:color w:val="auto"/>
          <w:sz w:val="24"/>
          <w:highlight w:val="none"/>
        </w:rPr>
        <w:t>上发布中标公告。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3.发布中标公告的同时，采购代理机构向中标供应商发出中标通知书（格式详见附件）。</w:t>
      </w:r>
    </w:p>
    <w:p>
      <w:pPr>
        <w:pStyle w:val="22"/>
        <w:snapToGrid w:val="0"/>
        <w:spacing w:line="360" w:lineRule="exact"/>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4.投标人认为招标文件、招标过程或中标结果使自己的权益受到损害的，可以在规定的期限内，以书面形式向采购代理机构提出质疑。并及时索要书面回执。</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5.采购代理机构应当按照有关规定就采购人委托授权范围内的事项</w:t>
      </w:r>
      <w:r>
        <w:rPr>
          <w:rFonts w:hint="eastAsia" w:asciiTheme="minorEastAsia" w:hAnsiTheme="minorEastAsia" w:eastAsiaTheme="minorEastAsia"/>
          <w:bCs/>
          <w:color w:val="auto"/>
          <w:sz w:val="24"/>
          <w:szCs w:val="24"/>
          <w:highlight w:val="none"/>
        </w:rPr>
        <w:t>在收到投标人的书面质疑后七个工作日内做出答复，但答复的内容不得涉及商业秘密。</w:t>
      </w:r>
    </w:p>
    <w:p>
      <w:pPr>
        <w:snapToGrid w:val="0"/>
        <w:spacing w:line="360" w:lineRule="exact"/>
        <w:ind w:firstLine="470" w:firstLineChars="19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6.采购代理机构无义务向未中标人退还其投标文件。</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（十二）废标和重新招标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1.在招标过程中，出现下列情形之一的，予以废标：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(1)符合专业条件的供应商或者对招标文件作实质响应的供应商不足三家的；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(3)投标人的报价均超过了总采购预算或分项采购预算(</w:t>
      </w:r>
      <w:r>
        <w:rPr>
          <w:rFonts w:hint="eastAsia" w:ascii="宋体" w:hAnsi="宋体"/>
          <w:color w:val="auto"/>
          <w:sz w:val="24"/>
          <w:highlight w:val="none"/>
        </w:rPr>
        <w:t>根据项目增减</w:t>
      </w:r>
      <w:r>
        <w:rPr>
          <w:rFonts w:hint="eastAsia" w:asciiTheme="minorEastAsia" w:hAnsiTheme="minorEastAsia" w:eastAsiaTheme="minorEastAsia"/>
          <w:color w:val="auto"/>
          <w:sz w:val="24"/>
          <w:highlight w:val="none"/>
        </w:rPr>
        <w:t>)，采购人不能支付的；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废标后，采购代理机构将在原政府采购信息发布媒体上公告废标理由，不再另行通知。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公开招标数额标准以上的采购项目，投标截止后投标人不足3家或者通过资格审查或符合性审查的投标人不足3家的，除采购任务取消情形外，按照以下方式处理：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(2)招标文件没有不合理条款、招标程序符合规定，需要采用其他采购方式采购的，采购人应当依法报同级财政部门批准。</w:t>
      </w: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630" w:firstLineChars="196"/>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七、签订合同</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w:t>
      </w:r>
      <w:r>
        <w:rPr>
          <w:rFonts w:hint="eastAsia" w:asciiTheme="minorEastAsia" w:hAnsiTheme="minorEastAsia" w:eastAsiaTheme="minorEastAsia"/>
          <w:b/>
          <w:color w:val="auto"/>
          <w:sz w:val="24"/>
          <w:highlight w:val="none"/>
        </w:rPr>
        <w:t>合同授予标准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合同将授予被确定为实质上响应招标文件要求，具备履行合同能力，综合评分排名第一的投标人。</w:t>
      </w:r>
    </w:p>
    <w:p>
      <w:pPr>
        <w:pStyle w:val="22"/>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color w:val="auto"/>
          <w:sz w:val="24"/>
          <w:szCs w:val="24"/>
          <w:highlight w:val="none"/>
        </w:rPr>
        <w:t>（二）</w:t>
      </w:r>
      <w:r>
        <w:rPr>
          <w:rFonts w:hint="eastAsia" w:asciiTheme="minorEastAsia" w:hAnsiTheme="minorEastAsia" w:eastAsiaTheme="minorEastAsia"/>
          <w:b/>
          <w:bCs/>
          <w:color w:val="auto"/>
          <w:sz w:val="24"/>
          <w:szCs w:val="24"/>
          <w:highlight w:val="none"/>
        </w:rPr>
        <w:t>签订合同</w:t>
      </w:r>
    </w:p>
    <w:p>
      <w:pPr>
        <w:pStyle w:val="22"/>
        <w:spacing w:line="360" w:lineRule="exact"/>
        <w:ind w:firstLine="42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1.投标人收到中标通知书后，应按中标通知书中规定的时间、地点与采购人签订合同。</w:t>
      </w:r>
    </w:p>
    <w:p>
      <w:pPr>
        <w:pStyle w:val="22"/>
        <w:spacing w:line="360" w:lineRule="exact"/>
        <w:ind w:firstLine="4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2.如果中标供应商不按中标通知书中规定签订合同，则按中标供应商违约处理。</w:t>
      </w:r>
    </w:p>
    <w:p>
      <w:pPr>
        <w:pStyle w:val="22"/>
        <w:spacing w:line="360" w:lineRule="exact"/>
        <w:ind w:firstLine="420"/>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szCs w:val="24"/>
          <w:highlight w:val="none"/>
        </w:rPr>
        <w:t>3.中标供应商因不可抗力或者自身原因不能履行政府采购合同的，采购人可以与中标供应商之后排名第一的中标候选供应商签订采购合同，以此类推。</w:t>
      </w:r>
      <w:r>
        <w:rPr>
          <w:rFonts w:hint="eastAsia" w:asciiTheme="minorEastAsia" w:hAnsiTheme="minorEastAsia" w:eastAsiaTheme="minorEastAsia"/>
          <w:bCs/>
          <w:color w:val="auto"/>
          <w:sz w:val="24"/>
          <w:szCs w:val="24"/>
          <w:highlight w:val="none"/>
        </w:rPr>
        <w:t>采购人也可以重新开展采购活动。</w:t>
      </w:r>
    </w:p>
    <w:p>
      <w:pPr>
        <w:pStyle w:val="22"/>
        <w:spacing w:line="360" w:lineRule="exact"/>
        <w:ind w:firstLine="420"/>
        <w:rPr>
          <w:rFonts w:asciiTheme="minorEastAsia" w:hAnsiTheme="minorEastAsia" w:eastAsiaTheme="minorEastAsia"/>
          <w:b/>
          <w:color w:val="auto"/>
          <w:sz w:val="24"/>
          <w:szCs w:val="24"/>
          <w:highlight w:val="none"/>
        </w:rPr>
      </w:pPr>
    </w:p>
    <w:p>
      <w:pPr>
        <w:pStyle w:val="22"/>
        <w:snapToGrid w:val="0"/>
        <w:spacing w:line="360" w:lineRule="exact"/>
        <w:ind w:firstLine="315" w:firstLineChars="98"/>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八、其他事项</w:t>
      </w:r>
    </w:p>
    <w:p>
      <w:pPr>
        <w:pStyle w:val="22"/>
        <w:snapToGrid w:val="0"/>
        <w:spacing w:line="360" w:lineRule="exact"/>
        <w:outlineLvl w:val="0"/>
        <w:rPr>
          <w:rFonts w:asciiTheme="minorEastAsia" w:hAnsiTheme="minorEastAsia" w:eastAsiaTheme="minorEastAsia"/>
          <w:color w:val="auto"/>
          <w:sz w:val="24"/>
          <w:szCs w:val="24"/>
          <w:highlight w:val="none"/>
        </w:rPr>
      </w:pPr>
      <w:bookmarkStart w:id="89" w:name="_Toc9999"/>
      <w:bookmarkStart w:id="90" w:name="_Toc18115"/>
      <w:bookmarkStart w:id="91" w:name="_Toc16457"/>
      <w:r>
        <w:rPr>
          <w:rFonts w:hint="eastAsia" w:cs="Times New Roman" w:asciiTheme="minorEastAsia" w:hAnsiTheme="minorEastAsia" w:eastAsiaTheme="minorEastAsia"/>
          <w:color w:val="auto"/>
          <w:sz w:val="24"/>
          <w:szCs w:val="24"/>
          <w:highlight w:val="none"/>
        </w:rPr>
        <w:t>（一）</w:t>
      </w:r>
      <w:bookmarkEnd w:id="89"/>
      <w:bookmarkStart w:id="92" w:name="_Toc254970689"/>
      <w:bookmarkStart w:id="93" w:name="_Toc254970548"/>
      <w:r>
        <w:rPr>
          <w:rFonts w:hint="eastAsia" w:cs="Times New Roman" w:asciiTheme="minorEastAsia" w:hAnsiTheme="minorEastAsia" w:eastAsiaTheme="minorEastAsia"/>
          <w:color w:val="auto"/>
          <w:sz w:val="24"/>
          <w:szCs w:val="24"/>
          <w:highlight w:val="none"/>
        </w:rPr>
        <w:t>本项目代理服务费参照“国家发展计划委员会文件关于印发《招标代理服务收费管理暂行办法》的通知（计价格【2002】1980号）”规定标准向中标人收取，中标人领取中标通知书时,应向采购代理机构以转账形式一次付清招标代理服务费。</w:t>
      </w:r>
      <w:bookmarkEnd w:id="90"/>
      <w:bookmarkEnd w:id="91"/>
    </w:p>
    <w:p>
      <w:pPr>
        <w:snapToGrid w:val="0"/>
        <w:spacing w:line="386"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44"/>
          <w:szCs w:val="44"/>
          <w:highlight w:val="none"/>
        </w:rPr>
      </w:pPr>
      <w:bookmarkStart w:id="94" w:name="_Toc16358"/>
      <w:bookmarkStart w:id="95" w:name="_Toc1718"/>
      <w:bookmarkStart w:id="96" w:name="_Toc16542"/>
      <w:r>
        <w:rPr>
          <w:rFonts w:hint="eastAsia" w:hAnsi="宋体"/>
          <w:b/>
          <w:color w:val="auto"/>
          <w:sz w:val="44"/>
          <w:szCs w:val="44"/>
          <w:highlight w:val="none"/>
        </w:rPr>
        <w:t>第四章  评标办法及评分标准</w:t>
      </w:r>
      <w:bookmarkEnd w:id="92"/>
      <w:bookmarkEnd w:id="93"/>
      <w:bookmarkEnd w:id="94"/>
      <w:bookmarkEnd w:id="95"/>
      <w:bookmarkEnd w:id="96"/>
    </w:p>
    <w:p>
      <w:pPr>
        <w:pStyle w:val="22"/>
        <w:outlineLvl w:val="0"/>
        <w:rPr>
          <w:rFonts w:hAnsi="宋体"/>
          <w:b/>
          <w:color w:val="auto"/>
          <w:highlight w:val="none"/>
        </w:rPr>
      </w:pPr>
      <w:bookmarkStart w:id="97" w:name="_Toc254970549"/>
      <w:bookmarkStart w:id="98" w:name="_Toc254970690"/>
    </w:p>
    <w:p>
      <w:pPr>
        <w:ind w:firstLine="420" w:firstLineChars="200"/>
        <w:jc w:val="center"/>
        <w:rPr>
          <w:rFonts w:ascii="宋体" w:hAnsi="宋体"/>
          <w:b/>
          <w:color w:val="auto"/>
          <w:sz w:val="32"/>
          <w:highlight w:val="none"/>
        </w:rPr>
      </w:pPr>
      <w:r>
        <w:rPr>
          <w:rFonts w:ascii="宋体" w:hAnsi="宋体"/>
          <w:color w:val="auto"/>
          <w:highlight w:val="none"/>
        </w:rPr>
        <w:br w:type="page"/>
      </w:r>
      <w:bookmarkEnd w:id="97"/>
      <w:bookmarkEnd w:id="98"/>
      <w:r>
        <w:rPr>
          <w:rFonts w:hint="eastAsia" w:ascii="宋体" w:hAnsi="宋体"/>
          <w:b/>
          <w:color w:val="auto"/>
          <w:sz w:val="32"/>
          <w:highlight w:val="none"/>
        </w:rPr>
        <w:t>评标方法和评标标准（综合评分法）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评标委员会以招标文件为依据，对投标文件进行评审，对投标人的投标报价、技术文件及商务文件等三部分内容按百分制打分，其中价格分10分，技术分79分，商务分11分、诚信分6分（扣分）。（评标时，对于带有主观因素的评分，由评委讨论进档、打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（二）评分细则：（按四舍五入取至小数点后四位）</w:t>
      </w:r>
    </w:p>
    <w:p>
      <w:pPr>
        <w:tabs>
          <w:tab w:val="left" w:pos="5760"/>
        </w:tabs>
        <w:spacing w:line="400" w:lineRule="atLeast"/>
        <w:jc w:val="center"/>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 价格分………………………………………………………………………10分</w:t>
      </w:r>
    </w:p>
    <w:p>
      <w:pPr>
        <w:pStyle w:val="2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（1）对于非专门面向中小企业的项目，对小型和微型企业产品的价格给予10%的价格扣除，扣除后的价格为评标价，即评标价＝投标报价×（1-10%）；（以投标人按“第六章 投标文件格式”要求提供的《报价表》和《中小企业声明函》为评分依据）</w:t>
      </w:r>
    </w:p>
    <w:p>
      <w:pPr>
        <w:pStyle w:val="2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投标报价×（1-2%）；（以投标人按“第六章 投标文件格式”要求提供的《报价表》、《中小企业声明函》和《联合体协</w:t>
      </w:r>
      <w:r>
        <w:rPr>
          <w:rFonts w:hint="eastAsia" w:asciiTheme="minorEastAsia" w:hAnsiTheme="minorEastAsia" w:eastAsiaTheme="minorEastAsia" w:cstheme="minorEastAsia"/>
          <w:bCs/>
          <w:color w:val="auto"/>
          <w:sz w:val="24"/>
          <w:szCs w:val="24"/>
          <w:highlight w:val="none"/>
        </w:rPr>
        <w:t>议书》为评分依据）</w:t>
      </w:r>
    </w:p>
    <w:p>
      <w:pPr>
        <w:pStyle w:val="2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（3）投标产品提供企业按《关于政府采购支持监狱企业发展有关问题的通知》(财库[2014]68号)认定为监狱企业的，在政府采购活动中，监狱企业视同小型、微型企业。（以投标人按“第六章 投标文件格式”要求提供的《报价表》和由省级以上监狱管理局、戒毒管理局(含新疆生产建设兵团)出具的属于监狱企业的证明文件为评分依据。</w:t>
      </w:r>
    </w:p>
    <w:p>
      <w:pPr>
        <w:pStyle w:val="2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六章 投标文件格式”要求提供的《报价表》和《残疾人福利性单位声明函》为评分依据）</w:t>
      </w:r>
    </w:p>
    <w:p>
      <w:pPr>
        <w:pStyle w:val="2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（5）除上述情况外，评标价＝投标报价；</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（6）价格分计算公式：</w:t>
      </w:r>
    </w:p>
    <w:p>
      <w:pPr>
        <w:pStyle w:val="18"/>
        <w:spacing w:line="3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投标人最低评标价金额</w:t>
      </w:r>
    </w:p>
    <w:p>
      <w:pPr>
        <w:pStyle w:val="18"/>
        <w:spacing w:line="3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pict>
          <v:line id="直线 10" o:spid="_x0000_s1027" o:spt="20" style="position:absolute;left:0pt;margin-left:110.25pt;margin-top:8.45pt;height:0pt;width:126pt;z-index:251661312;mso-width-relative:page;mso-height-relative:page;" coordsize="21600,21600">
            <v:path arrowok="t"/>
            <v:fill focussize="0,0"/>
            <v:stroke/>
            <v:imagedata o:title=""/>
            <o:lock v:ext="edit"/>
          </v:line>
        </w:pict>
      </w:r>
      <w:r>
        <w:rPr>
          <w:rFonts w:hint="eastAsia" w:asciiTheme="minorEastAsia" w:hAnsiTheme="minorEastAsia" w:eastAsiaTheme="minorEastAsia" w:cstheme="minorEastAsia"/>
          <w:color w:val="auto"/>
          <w:sz w:val="24"/>
          <w:szCs w:val="24"/>
          <w:highlight w:val="none"/>
        </w:rPr>
        <w:t>某投标人价格分 ＝                            ×　10分</w:t>
      </w:r>
    </w:p>
    <w:p>
      <w:pPr>
        <w:pStyle w:val="18"/>
        <w:spacing w:line="3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某投标人评标价金额</w:t>
      </w:r>
    </w:p>
    <w:p>
      <w:pPr>
        <w:tabs>
          <w:tab w:val="left" w:pos="5760"/>
        </w:tabs>
        <w:spacing w:line="400" w:lineRule="atLeast"/>
        <w:jc w:val="center"/>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 技术分………………………………………………………………………79分</w:t>
      </w:r>
    </w:p>
    <w:p>
      <w:pPr>
        <w:spacing w:before="156" w:beforeLines="50" w:after="156" w:afterLines="50"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（1）监理服务技术方案（32分）</w:t>
      </w:r>
      <w:r>
        <w:rPr>
          <w:rFonts w:hint="eastAsia" w:asciiTheme="minorEastAsia" w:hAnsiTheme="minorEastAsia" w:eastAsiaTheme="minorEastAsia" w:cstheme="minorEastAsia"/>
          <w:color w:val="auto"/>
          <w:sz w:val="24"/>
          <w:highlight w:val="none"/>
        </w:rPr>
        <w:t>无方案、方案脱离本项目采购需求、达不到一档评分标准的均为0分。</w:t>
      </w:r>
    </w:p>
    <w:p>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一档（8分）：</w:t>
      </w:r>
      <w:r>
        <w:rPr>
          <w:rFonts w:hint="eastAsia" w:asciiTheme="minorEastAsia" w:hAnsiTheme="minorEastAsia" w:eastAsiaTheme="minorEastAsia" w:cstheme="minorEastAsia"/>
          <w:color w:val="auto"/>
          <w:sz w:val="24"/>
          <w:highlight w:val="none"/>
        </w:rPr>
        <w:t>提供的监理服务方案基本满足本项目采购需求。</w:t>
      </w:r>
    </w:p>
    <w:p>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二档（16分）：</w:t>
      </w:r>
      <w:r>
        <w:rPr>
          <w:rFonts w:hint="eastAsia" w:asciiTheme="minorEastAsia" w:hAnsiTheme="minorEastAsia" w:eastAsiaTheme="minorEastAsia" w:cstheme="minorEastAsia"/>
          <w:color w:val="auto"/>
          <w:sz w:val="24"/>
          <w:highlight w:val="none"/>
        </w:rPr>
        <w:t>提供的监理服务方案满足本项目的采购需求，对项目的需求的理解较到位，方案可行性、完整性、保障措施较好，有利于项目的实施。</w:t>
      </w:r>
    </w:p>
    <w:p>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三档（24分）：</w:t>
      </w:r>
      <w:r>
        <w:rPr>
          <w:rFonts w:hint="eastAsia" w:asciiTheme="minorEastAsia" w:hAnsiTheme="minorEastAsia" w:eastAsiaTheme="minorEastAsia" w:cstheme="minorEastAsia"/>
          <w:color w:val="auto"/>
          <w:sz w:val="24"/>
          <w:highlight w:val="none"/>
        </w:rPr>
        <w:t>在符合二档得分的基础上，提供的监理服务方案完全满足本项目的采购需求，且针对于本项目的监理工作范围及监理目标、监理组织机构及人员配置、监理工作制度及廉洁自律措施、质量控制的工作任务与方法、进度控制的工作任务与方法、投资控制的工作任务与方法、合同管理及信息管理工作任务与方法、组织协调的工作任务，监理保证措施及并提供监理报告一览表格式等方面的内容展开了详细的描述，描述完整且准确。</w:t>
      </w:r>
    </w:p>
    <w:p>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四档（32分）：</w:t>
      </w:r>
      <w:r>
        <w:rPr>
          <w:rFonts w:hint="eastAsia" w:asciiTheme="minorEastAsia" w:hAnsiTheme="minorEastAsia" w:eastAsiaTheme="minorEastAsia" w:cstheme="minorEastAsia"/>
          <w:color w:val="auto"/>
          <w:sz w:val="24"/>
          <w:highlight w:val="none"/>
        </w:rPr>
        <w:t>在符合三档得分的基础上，提供的监理服务方案更好地满足本项目的采购需求，且对本工程监理重点和难点的进行了分析，对工作中存在的不足与产生原因的分析有较详尽的描述，并提出合理建议，经评委认定符合实际的建议和改进措施。</w:t>
      </w:r>
    </w:p>
    <w:p>
      <w:pPr>
        <w:spacing w:before="156" w:beforeLines="50" w:after="156" w:afterLines="50" w:line="44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szCs w:val="24"/>
          <w:highlight w:val="none"/>
        </w:rPr>
        <w:t>（2）售后服务方案分（满分12分</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无方案、方案脱离本项目采购需求、达不到一档评分标准的均为0分。</w:t>
      </w:r>
    </w:p>
    <w:p>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一档（2分）：</w:t>
      </w:r>
      <w:r>
        <w:rPr>
          <w:rFonts w:hint="eastAsia" w:asciiTheme="minorEastAsia" w:hAnsiTheme="minorEastAsia" w:eastAsiaTheme="minorEastAsia" w:cstheme="minorEastAsia"/>
          <w:color w:val="auto"/>
          <w:sz w:val="24"/>
          <w:highlight w:val="none"/>
        </w:rPr>
        <w:t xml:space="preserve">基本满足采购需求中的服务要求。 </w:t>
      </w:r>
    </w:p>
    <w:p>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二档（4分）：</w:t>
      </w:r>
      <w:r>
        <w:rPr>
          <w:rFonts w:hint="eastAsia" w:asciiTheme="minorEastAsia" w:hAnsiTheme="minorEastAsia" w:eastAsiaTheme="minorEastAsia" w:cstheme="minorEastAsia"/>
          <w:color w:val="auto"/>
          <w:sz w:val="24"/>
          <w:highlight w:val="none"/>
        </w:rPr>
        <w:t xml:space="preserve">在满足一档的基础上，所提供的售后服务方案比较全面，对解决故障和特别要求采取的措施、响应时间等有较详细描述，方案内容可行。 </w:t>
      </w:r>
    </w:p>
    <w:p>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三档（8分）：</w:t>
      </w:r>
      <w:r>
        <w:rPr>
          <w:rFonts w:hint="eastAsia" w:asciiTheme="minorEastAsia" w:hAnsiTheme="minorEastAsia" w:eastAsiaTheme="minorEastAsia" w:cstheme="minorEastAsia"/>
          <w:color w:val="auto"/>
          <w:sz w:val="24"/>
          <w:highlight w:val="none"/>
        </w:rPr>
        <w:t xml:space="preserve">在满足二档的基础上，提供的售后服务方案不仅全面且优于采购文件要求，方案内容可行，针对性好。拟投入的专职技术人员配置经评委从人员数量、专业水平、从业经验、人员资质等方面进行综合评定，认定为专业性强，经验丰富，且在响应文件中承诺拟投入人员必须为本公司职员，项目实施过程中不能更换。 </w:t>
      </w:r>
    </w:p>
    <w:p>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四档（12 分）：</w:t>
      </w:r>
      <w:r>
        <w:rPr>
          <w:rFonts w:hint="eastAsia" w:asciiTheme="minorEastAsia" w:hAnsiTheme="minorEastAsia" w:eastAsiaTheme="minorEastAsia" w:cstheme="minorEastAsia"/>
          <w:color w:val="auto"/>
          <w:sz w:val="24"/>
          <w:highlight w:val="none"/>
        </w:rPr>
        <w:t>在满足三档的基础上，服务方案更加全面，科学合理，对拟投入人员有针对性的培训计划和培训内容。在本地化服务方面优势突出，且在项目所在地设有服务网点或分支机构或授权机构</w:t>
      </w:r>
      <w:r>
        <w:rPr>
          <w:rFonts w:hint="eastAsia" w:asciiTheme="minorEastAsia" w:hAnsiTheme="minorEastAsia" w:eastAsiaTheme="minorEastAsia" w:cstheme="minorEastAsia"/>
          <w:color w:val="auto"/>
          <w:sz w:val="24"/>
          <w:highlight w:val="none"/>
          <w:lang w:eastAsia="zh-CN"/>
        </w:rPr>
        <w:t>或承诺中标后</w:t>
      </w:r>
      <w:r>
        <w:rPr>
          <w:rFonts w:hint="eastAsia" w:asciiTheme="minorEastAsia" w:hAnsiTheme="minorEastAsia" w:eastAsiaTheme="minorEastAsia" w:cstheme="minorEastAsia"/>
          <w:color w:val="auto"/>
          <w:sz w:val="24"/>
          <w:highlight w:val="none"/>
        </w:rPr>
        <w:t>在项目所在地</w:t>
      </w:r>
      <w:r>
        <w:rPr>
          <w:rFonts w:hint="eastAsia" w:asciiTheme="minorEastAsia" w:hAnsiTheme="minorEastAsia" w:eastAsiaTheme="minorEastAsia" w:cstheme="minorEastAsia"/>
          <w:color w:val="auto"/>
          <w:sz w:val="24"/>
          <w:highlight w:val="none"/>
          <w:lang w:eastAsia="zh-CN"/>
        </w:rPr>
        <w:t>设立</w:t>
      </w:r>
      <w:r>
        <w:rPr>
          <w:rFonts w:hint="eastAsia" w:asciiTheme="minorEastAsia" w:hAnsiTheme="minorEastAsia" w:eastAsiaTheme="minorEastAsia" w:cstheme="minorEastAsia"/>
          <w:color w:val="auto"/>
          <w:sz w:val="24"/>
          <w:highlight w:val="none"/>
        </w:rPr>
        <w:t>服务网点或分支机构或授权机构。</w:t>
      </w:r>
    </w:p>
    <w:p>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注：须提供竞标人服务网点或分支机构或授权机构的有效营业执照</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或证明材料</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或承诺函</w:t>
      </w:r>
      <w:r>
        <w:rPr>
          <w:rFonts w:hint="eastAsia" w:asciiTheme="minorEastAsia" w:hAnsiTheme="minorEastAsia" w:eastAsiaTheme="minorEastAsia" w:cstheme="minorEastAsia"/>
          <w:color w:val="auto"/>
          <w:sz w:val="24"/>
          <w:highlight w:val="none"/>
        </w:rPr>
        <w:t>（如是授权机构，授权机构应满足《中华人民共和国政府采购法》第二十二条规定，还应提供有效的授权证明材料复印件，明确授权人与被授权人的责任划分与利益分配），否则将视为未提供相应证明材料不进入相应档次评分。</w:t>
      </w:r>
    </w:p>
    <w:p>
      <w:pPr>
        <w:spacing w:before="156" w:beforeLines="50" w:after="156" w:afterLines="50"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（3）技术服务能力分（满分35分）</w:t>
      </w:r>
    </w:p>
    <w:p>
      <w:pPr>
        <w:pStyle w:val="117"/>
        <w:tabs>
          <w:tab w:val="left" w:pos="426"/>
          <w:tab w:val="left" w:pos="567"/>
          <w:tab w:val="left" w:pos="709"/>
        </w:tabs>
        <w:autoSpaceDE w:val="0"/>
        <w:autoSpaceDN w:val="0"/>
        <w:adjustRightInd w:val="0"/>
        <w:snapToGrid w:val="0"/>
        <w:spacing w:line="430" w:lineRule="exact"/>
        <w:ind w:firstLine="42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1）项目总监理工程师1人（满分16分）</w:t>
      </w:r>
    </w:p>
    <w:p>
      <w:pPr>
        <w:pStyle w:val="117"/>
        <w:tabs>
          <w:tab w:val="left" w:pos="426"/>
          <w:tab w:val="left" w:pos="567"/>
          <w:tab w:val="left" w:pos="709"/>
        </w:tabs>
        <w:autoSpaceDE w:val="0"/>
        <w:autoSpaceDN w:val="0"/>
        <w:adjustRightInd w:val="0"/>
        <w:snapToGrid w:val="0"/>
        <w:spacing w:line="43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项目总监理工程师必须持有有效的《信息系统监理师》，否则此项不得分：</w:t>
      </w:r>
    </w:p>
    <w:p>
      <w:pPr>
        <w:pStyle w:val="117"/>
        <w:tabs>
          <w:tab w:val="left" w:pos="426"/>
          <w:tab w:val="left" w:pos="567"/>
          <w:tab w:val="left" w:pos="709"/>
        </w:tabs>
        <w:autoSpaceDE w:val="0"/>
        <w:autoSpaceDN w:val="0"/>
        <w:adjustRightInd w:val="0"/>
        <w:snapToGrid w:val="0"/>
        <w:spacing w:line="43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同时持有</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1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《中华人民共和国咨询工程师（投资）登记证书》、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2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《全过程工程项目管理师（高级）》证书、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3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《网络工程师》证书、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4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《一级建造师》证书、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5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⑤</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《智能化系统工程师》证书、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6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⑥</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《注册信息安全专业人员证（CISP）》证书、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7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⑦</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《软件测试专业技能培训》证书、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8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⑧</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《系统分析师》证书，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9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⑨</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《信息系统项目管理师》证书的，每项得2分，满分16分。</w:t>
      </w:r>
    </w:p>
    <w:p>
      <w:pPr>
        <w:pStyle w:val="117"/>
        <w:tabs>
          <w:tab w:val="left" w:pos="426"/>
          <w:tab w:val="left" w:pos="567"/>
          <w:tab w:val="left" w:pos="709"/>
        </w:tabs>
        <w:autoSpaceDE w:val="0"/>
        <w:autoSpaceDN w:val="0"/>
        <w:adjustRightInd w:val="0"/>
        <w:snapToGrid w:val="0"/>
        <w:spacing w:line="430" w:lineRule="exact"/>
        <w:ind w:firstLine="42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2）总监理工程师代表1人（除项目总监理工程师外）（满分4分）</w:t>
      </w:r>
    </w:p>
    <w:p>
      <w:pPr>
        <w:pStyle w:val="117"/>
        <w:tabs>
          <w:tab w:val="left" w:pos="426"/>
          <w:tab w:val="left" w:pos="567"/>
          <w:tab w:val="left" w:pos="709"/>
        </w:tabs>
        <w:autoSpaceDE w:val="0"/>
        <w:autoSpaceDN w:val="0"/>
        <w:adjustRightInd w:val="0"/>
        <w:snapToGrid w:val="0"/>
        <w:spacing w:line="43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总监理工程师代表必须持有有效的《信息系统监理师》，否则此项不得分：</w:t>
      </w:r>
    </w:p>
    <w:p>
      <w:pPr>
        <w:pStyle w:val="117"/>
        <w:tabs>
          <w:tab w:val="left" w:pos="426"/>
          <w:tab w:val="left" w:pos="567"/>
          <w:tab w:val="left" w:pos="709"/>
        </w:tabs>
        <w:autoSpaceDE w:val="0"/>
        <w:autoSpaceDN w:val="0"/>
        <w:adjustRightInd w:val="0"/>
        <w:snapToGrid w:val="0"/>
        <w:spacing w:line="43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同时持有</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1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《注册信息安全专业人员证（CISP）》证书、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2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《IT服务项目经理》、</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3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《信息系统项目管理师》证书证书的，每项得2分，满分4分。</w:t>
      </w:r>
    </w:p>
    <w:p>
      <w:pPr>
        <w:pStyle w:val="117"/>
        <w:tabs>
          <w:tab w:val="left" w:pos="426"/>
          <w:tab w:val="left" w:pos="567"/>
          <w:tab w:val="left" w:pos="709"/>
        </w:tabs>
        <w:autoSpaceDE w:val="0"/>
        <w:autoSpaceDN w:val="0"/>
        <w:adjustRightInd w:val="0"/>
        <w:snapToGrid w:val="0"/>
        <w:spacing w:line="430" w:lineRule="exact"/>
        <w:ind w:firstLine="42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kern w:val="0"/>
          <w:sz w:val="24"/>
          <w:szCs w:val="24"/>
          <w:highlight w:val="none"/>
        </w:rPr>
        <w:t>专业监理工程师</w:t>
      </w:r>
      <w:r>
        <w:rPr>
          <w:rFonts w:hint="eastAsia" w:asciiTheme="minorEastAsia" w:hAnsiTheme="minorEastAsia" w:eastAsiaTheme="minorEastAsia" w:cstheme="minorEastAsia"/>
          <w:b/>
          <w:bCs/>
          <w:color w:val="auto"/>
          <w:sz w:val="24"/>
          <w:szCs w:val="24"/>
          <w:highlight w:val="none"/>
        </w:rPr>
        <w:t>（除项目总监理工程师、总监理工程师代表外）（满分15分）</w:t>
      </w:r>
    </w:p>
    <w:p>
      <w:pPr>
        <w:pStyle w:val="117"/>
        <w:tabs>
          <w:tab w:val="left" w:pos="426"/>
          <w:tab w:val="left" w:pos="567"/>
          <w:tab w:val="left" w:pos="709"/>
        </w:tabs>
        <w:autoSpaceDE w:val="0"/>
        <w:autoSpaceDN w:val="0"/>
        <w:adjustRightInd w:val="0"/>
        <w:snapToGrid w:val="0"/>
        <w:spacing w:line="430" w:lineRule="exact"/>
        <w:ind w:left="420" w:leftChars="20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专业监理工程师</w:t>
      </w:r>
      <w:r>
        <w:rPr>
          <w:rFonts w:hint="eastAsia" w:asciiTheme="minorEastAsia" w:hAnsiTheme="minorEastAsia" w:eastAsiaTheme="minorEastAsia" w:cstheme="minorEastAsia"/>
          <w:color w:val="auto"/>
          <w:sz w:val="24"/>
          <w:szCs w:val="24"/>
          <w:highlight w:val="none"/>
        </w:rPr>
        <w:t>必须具有《信息系统监理师》证书，否则此项不得分：</w:t>
      </w:r>
    </w:p>
    <w:p>
      <w:pPr>
        <w:pStyle w:val="22"/>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1 \* GB3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拟投入的技术服务小组中拥有有效的《信息系统项目管理师》的，每有一人得0.5分；（满分3分）</w:t>
      </w:r>
    </w:p>
    <w:p>
      <w:pPr>
        <w:pStyle w:val="22"/>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2 \* GB3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拟投入的技术服务小组中拥有有效的《IT服务项目经理》的，每有一人得0.5分；（满分3分）</w:t>
      </w:r>
    </w:p>
    <w:p>
      <w:pPr>
        <w:pStyle w:val="117"/>
        <w:tabs>
          <w:tab w:val="left" w:pos="426"/>
          <w:tab w:val="left" w:pos="567"/>
          <w:tab w:val="left" w:pos="709"/>
        </w:tabs>
        <w:autoSpaceDE w:val="0"/>
        <w:autoSpaceDN w:val="0"/>
        <w:adjustRightInd w:val="0"/>
        <w:snapToGrid w:val="0"/>
        <w:spacing w:line="43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3 \* GB3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拟投入的技术服务小组中持有</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1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《PPP项目管理师》证书、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2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《网络工程师》证书、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3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《安防系统工程师》证书、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4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《全国建设工程造价员资格证书》（专业：计算机或网络设备或布线安装工程）证书、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5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⑤</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《IT服务工程师》证书、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6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⑥</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《智能化系统工程师》证书、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7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⑦</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《软件工程造价师证书》证书、</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8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⑧</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《建造师》、</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9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⑨</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《物联网工程师》证书，每项证书得1分，此项满分9分。（每项仅评一次，同一人不重复计分）</w:t>
      </w:r>
    </w:p>
    <w:p>
      <w:pPr>
        <w:pStyle w:val="117"/>
        <w:tabs>
          <w:tab w:val="left" w:pos="426"/>
          <w:tab w:val="left" w:pos="567"/>
          <w:tab w:val="left" w:pos="709"/>
        </w:tabs>
        <w:autoSpaceDE w:val="0"/>
        <w:autoSpaceDN w:val="0"/>
        <w:adjustRightInd w:val="0"/>
        <w:snapToGrid w:val="0"/>
        <w:spacing w:line="43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pPr>
        <w:tabs>
          <w:tab w:val="left" w:pos="180"/>
          <w:tab w:val="left" w:pos="1620"/>
        </w:tabs>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①拟投入人员必须为本公司职员或直属分公司职员，</w:t>
      </w:r>
      <w:r>
        <w:rPr>
          <w:rFonts w:hint="eastAsia" w:asciiTheme="minorEastAsia" w:hAnsiTheme="minorEastAsia" w:eastAsiaTheme="minorEastAsia" w:cstheme="minorEastAsia"/>
          <w:color w:val="auto"/>
          <w:kern w:val="0"/>
          <w:sz w:val="24"/>
          <w:szCs w:val="24"/>
          <w:highlight w:val="none"/>
        </w:rPr>
        <w:t>响应文件中须出具《监理相关人员到位承诺书》，且提供的监理人员技术资格证书、社保信息都必须与《监理相关人员到位承诺书》中实施人员名单相一致，供应商必须承诺</w:t>
      </w:r>
      <w:r>
        <w:rPr>
          <w:rFonts w:hint="eastAsia" w:asciiTheme="minorEastAsia" w:hAnsiTheme="minorEastAsia" w:eastAsiaTheme="minorEastAsia" w:cstheme="minorEastAsia"/>
          <w:color w:val="auto"/>
          <w:kern w:val="0"/>
          <w:sz w:val="24"/>
          <w:szCs w:val="24"/>
          <w:highlight w:val="none"/>
          <w:lang w:eastAsia="zh-CN"/>
        </w:rPr>
        <w:t>中标</w:t>
      </w:r>
      <w:r>
        <w:rPr>
          <w:rFonts w:hint="eastAsia" w:asciiTheme="minorEastAsia" w:hAnsiTheme="minorEastAsia" w:eastAsiaTheme="minorEastAsia" w:cstheme="minorEastAsia"/>
          <w:color w:val="auto"/>
          <w:kern w:val="0"/>
          <w:sz w:val="24"/>
          <w:szCs w:val="24"/>
          <w:highlight w:val="none"/>
        </w:rPr>
        <w:t>后对负责本项目的监理人员不得随意更换，若要换人，须经采购人同意认可。</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②竞标人投标时应在投标文件中提供所有技术服务小组成员名单及电话、相关人员相关证书和近半年内连续三个月竞标人为其所缴纳的有效社保证明复印件，否则不予给分。</w:t>
      </w:r>
    </w:p>
    <w:p>
      <w:pPr>
        <w:rPr>
          <w:rFonts w:hint="eastAsia" w:asciiTheme="minorEastAsia" w:hAnsiTheme="minorEastAsia" w:eastAsiaTheme="minorEastAsia" w:cstheme="minorEastAsia"/>
          <w:color w:val="auto"/>
          <w:sz w:val="24"/>
          <w:highlight w:val="none"/>
        </w:rPr>
      </w:pPr>
    </w:p>
    <w:p>
      <w:pPr>
        <w:tabs>
          <w:tab w:val="left" w:pos="5760"/>
        </w:tabs>
        <w:spacing w:line="400" w:lineRule="atLeast"/>
        <w:jc w:val="center"/>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3.商务分………………………………………………………………………11分</w:t>
      </w:r>
    </w:p>
    <w:p>
      <w:pPr>
        <w:pStyle w:val="117"/>
        <w:tabs>
          <w:tab w:val="left" w:pos="426"/>
          <w:tab w:val="left" w:pos="567"/>
          <w:tab w:val="left" w:pos="709"/>
        </w:tabs>
        <w:autoSpaceDE w:val="0"/>
        <w:autoSpaceDN w:val="0"/>
        <w:adjustRightInd w:val="0"/>
        <w:snapToGrid w:val="0"/>
        <w:spacing w:line="43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（1）供应商ISO9001质量管理体系认证证书、ISO/IEC27001信息安全管理体系认证、ISO/IEC20000信息技术服务管理体系认证证书，每具备一项得1分，最高得3分。</w:t>
      </w:r>
    </w:p>
    <w:p>
      <w:pPr>
        <w:pStyle w:val="117"/>
        <w:tabs>
          <w:tab w:val="left" w:pos="426"/>
          <w:tab w:val="left" w:pos="567"/>
          <w:tab w:val="left" w:pos="709"/>
        </w:tabs>
        <w:autoSpaceDE w:val="0"/>
        <w:autoSpaceDN w:val="0"/>
        <w:adjustRightInd w:val="0"/>
        <w:snapToGrid w:val="0"/>
        <w:spacing w:line="43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（2）供应商通过《信息安全服务资质认证证书》的得3分。（认证范围：信息安全风险评估服务，响应文件中提供复印件，否则不计分，原件备查）</w:t>
      </w:r>
    </w:p>
    <w:p>
      <w:pPr>
        <w:pStyle w:val="117"/>
        <w:tabs>
          <w:tab w:val="left" w:pos="426"/>
          <w:tab w:val="left" w:pos="567"/>
          <w:tab w:val="left" w:pos="709"/>
        </w:tabs>
        <w:autoSpaceDE w:val="0"/>
        <w:autoSpaceDN w:val="0"/>
        <w:adjustRightInd w:val="0"/>
        <w:snapToGrid w:val="0"/>
        <w:spacing w:line="43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）供应商具有《工程咨询单位资信证书》得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分。（响应文件中提供复印件，否则不计分，原件备查）</w:t>
      </w:r>
    </w:p>
    <w:p>
      <w:pPr>
        <w:pStyle w:val="117"/>
        <w:tabs>
          <w:tab w:val="left" w:pos="426"/>
          <w:tab w:val="left" w:pos="567"/>
          <w:tab w:val="left" w:pos="709"/>
        </w:tabs>
        <w:autoSpaceDE w:val="0"/>
        <w:autoSpaceDN w:val="0"/>
        <w:adjustRightInd w:val="0"/>
        <w:snapToGrid w:val="0"/>
        <w:spacing w:line="43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供应商自2017年以来具有同类项目业绩（同类项目特指供应商独立完成的信息系统监理类项目，不含分包类业绩，以合同签约或中标/成交通知书时间及项目个数计算。在响应文件中提供合同或中标/成交通知书复印件，否则该项不予计分，原件备查），每个得0.5分，满分3分。</w:t>
      </w:r>
    </w:p>
    <w:p>
      <w:pPr>
        <w:pStyle w:val="22"/>
        <w:spacing w:line="430" w:lineRule="exact"/>
        <w:ind w:firstLine="482" w:firstLineChars="200"/>
        <w:rPr>
          <w:rFonts w:hint="eastAsia" w:asciiTheme="minorEastAsia" w:hAnsiTheme="minorEastAsia" w:eastAsiaTheme="minorEastAsia" w:cstheme="minorEastAsia"/>
          <w:b/>
          <w:color w:val="auto"/>
          <w:sz w:val="24"/>
          <w:szCs w:val="24"/>
          <w:highlight w:val="none"/>
        </w:rPr>
      </w:pPr>
    </w:p>
    <w:p>
      <w:pPr>
        <w:pStyle w:val="22"/>
        <w:spacing w:line="460" w:lineRule="atLeast"/>
        <w:ind w:firstLine="120" w:firstLineChars="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4、诚信分</w:t>
      </w:r>
    </w:p>
    <w:p>
      <w:pPr>
        <w:pStyle w:val="1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4"/>
          <w:sz w:val="24"/>
          <w:highlight w:val="none"/>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p>
      <w:pPr>
        <w:spacing w:line="460" w:lineRule="atLeas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（三）总得分＝1＋2＋3+4。</w:t>
      </w:r>
    </w:p>
    <w:p>
      <w:pPr>
        <w:tabs>
          <w:tab w:val="left" w:pos="6931"/>
        </w:tabs>
        <w:spacing w:line="460" w:lineRule="atLeast"/>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（四）推荐中标候选供应商原则：</w:t>
      </w:r>
      <w:r>
        <w:rPr>
          <w:rFonts w:hint="eastAsia" w:asciiTheme="minorEastAsia" w:hAnsiTheme="minorEastAsia" w:eastAsiaTheme="minorEastAsia" w:cstheme="minorEastAsia"/>
          <w:color w:val="auto"/>
          <w:sz w:val="24"/>
          <w:highlight w:val="none"/>
        </w:rPr>
        <w:tab/>
      </w:r>
    </w:p>
    <w:p>
      <w:pPr>
        <w:spacing w:line="460" w:lineRule="atLeas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r>
        <w:rPr>
          <w:rFonts w:hint="eastAsia" w:asciiTheme="minorEastAsia" w:hAnsiTheme="minorEastAsia" w:eastAsiaTheme="minorEastAsia" w:cstheme="minorEastAsia"/>
          <w:b/>
          <w:bCs/>
          <w:color w:val="auto"/>
          <w:sz w:val="24"/>
          <w:highlight w:val="none"/>
        </w:rPr>
        <w:t>评标委员会</w:t>
      </w:r>
      <w:r>
        <w:rPr>
          <w:rFonts w:hint="eastAsia" w:asciiTheme="minorEastAsia" w:hAnsiTheme="minorEastAsia" w:eastAsiaTheme="minorEastAsia" w:cstheme="minorEastAsia"/>
          <w:b/>
          <w:color w:val="auto"/>
          <w:sz w:val="24"/>
          <w:highlight w:val="none"/>
        </w:rPr>
        <w:t>将按总得分由高到低排列中标候选供应商顺序（总得分相同时，依次按投标报价低优先、技术分高优先、质量保证期长优先、交付使用时间短优先、处理问题到达时间短优先的顺序排列，如得分还是相同的由评标委员会记名投票确定排序），并依照次序确定中标单位。</w:t>
      </w:r>
    </w:p>
    <w:p>
      <w:pPr>
        <w:spacing w:line="460" w:lineRule="atLeas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pStyle w:val="22"/>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ind w:firstLine="883" w:firstLineChars="200"/>
        <w:jc w:val="center"/>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color w:val="auto"/>
          <w:sz w:val="44"/>
          <w:szCs w:val="44"/>
          <w:highlight w:val="none"/>
        </w:rPr>
      </w:pPr>
    </w:p>
    <w:p>
      <w:pPr>
        <w:ind w:firstLine="883" w:firstLineChars="200"/>
        <w:jc w:val="center"/>
        <w:outlineLvl w:val="0"/>
        <w:rPr>
          <w:rFonts w:ascii="宋体" w:hAnsi="宋体"/>
          <w:b/>
          <w:bCs/>
          <w:color w:val="auto"/>
          <w:sz w:val="44"/>
          <w:szCs w:val="44"/>
          <w:highlight w:val="none"/>
        </w:rPr>
      </w:pPr>
      <w:bookmarkStart w:id="99" w:name="_Toc6368"/>
      <w:bookmarkStart w:id="100" w:name="_Toc11727"/>
      <w:bookmarkStart w:id="101" w:name="_Toc23065"/>
      <w:r>
        <w:rPr>
          <w:rFonts w:hint="eastAsia" w:ascii="宋体" w:hAnsi="宋体"/>
          <w:b/>
          <w:color w:val="auto"/>
          <w:sz w:val="44"/>
          <w:szCs w:val="44"/>
          <w:highlight w:val="none"/>
        </w:rPr>
        <w:t xml:space="preserve">第五章 </w:t>
      </w:r>
      <w:r>
        <w:rPr>
          <w:rFonts w:hint="eastAsia" w:ascii="宋体" w:hAnsi="宋体"/>
          <w:b/>
          <w:bCs/>
          <w:color w:val="auto"/>
          <w:sz w:val="44"/>
          <w:szCs w:val="44"/>
          <w:highlight w:val="none"/>
        </w:rPr>
        <w:t>合同主要条款格式</w:t>
      </w:r>
      <w:bookmarkEnd w:id="99"/>
      <w:bookmarkEnd w:id="100"/>
      <w:bookmarkEnd w:id="101"/>
    </w:p>
    <w:p>
      <w:pPr>
        <w:pStyle w:val="22"/>
        <w:jc w:val="center"/>
        <w:rPr>
          <w:rFonts w:hAnsi="宋体"/>
          <w:b/>
          <w:color w:val="auto"/>
          <w:sz w:val="52"/>
          <w:szCs w:val="52"/>
          <w:highlight w:val="none"/>
        </w:rPr>
      </w:pPr>
      <w:r>
        <w:rPr>
          <w:rFonts w:hAnsi="宋体"/>
          <w:b/>
          <w:bCs/>
          <w:color w:val="auto"/>
          <w:sz w:val="44"/>
          <w:szCs w:val="44"/>
          <w:highlight w:val="none"/>
        </w:rPr>
        <w:br w:type="page"/>
      </w:r>
      <w:r>
        <w:rPr>
          <w:rFonts w:hint="eastAsia" w:hAnsi="宋体"/>
          <w:b/>
          <w:color w:val="auto"/>
          <w:sz w:val="52"/>
          <w:szCs w:val="52"/>
          <w:highlight w:val="none"/>
        </w:rPr>
        <w:t>政府采购合同</w:t>
      </w:r>
    </w:p>
    <w:p>
      <w:pPr>
        <w:pStyle w:val="22"/>
        <w:rPr>
          <w:rFonts w:hAnsi="宋体"/>
          <w:color w:val="auto"/>
          <w:highlight w:val="none"/>
        </w:rPr>
      </w:pPr>
    </w:p>
    <w:p>
      <w:pPr>
        <w:pStyle w:val="22"/>
        <w:rPr>
          <w:rFonts w:hAnsi="宋体"/>
          <w:color w:val="auto"/>
          <w:highlight w:val="none"/>
        </w:rPr>
      </w:pPr>
    </w:p>
    <w:p>
      <w:pPr>
        <w:pStyle w:val="22"/>
        <w:rPr>
          <w:rFonts w:hAnsi="宋体"/>
          <w:color w:val="auto"/>
          <w:highlight w:val="none"/>
        </w:rPr>
      </w:pP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22"/>
        <w:ind w:firstLine="1590" w:firstLineChars="495"/>
        <w:rPr>
          <w:rFonts w:hAnsi="宋体"/>
          <w:b/>
          <w:color w:val="auto"/>
          <w:sz w:val="32"/>
          <w:szCs w:val="32"/>
          <w:highlight w:val="none"/>
        </w:rPr>
      </w:pP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spacing w:line="340" w:lineRule="exact"/>
        <w:ind w:firstLine="1590" w:firstLineChars="495"/>
        <w:rPr>
          <w:rFonts w:hAnsi="宋体"/>
          <w:b/>
          <w:color w:val="auto"/>
          <w:sz w:val="32"/>
          <w:szCs w:val="32"/>
          <w:highlight w:val="non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w:t>
      </w:r>
    </w:p>
    <w:p>
      <w:pPr>
        <w:pStyle w:val="22"/>
        <w:spacing w:line="340" w:lineRule="exact"/>
        <w:ind w:firstLine="1590" w:firstLineChars="495"/>
        <w:rPr>
          <w:rFonts w:hAnsi="宋体"/>
          <w:b/>
          <w:color w:val="auto"/>
          <w:sz w:val="32"/>
          <w:szCs w:val="32"/>
          <w:highlight w:val="none"/>
        </w:rPr>
      </w:pPr>
    </w:p>
    <w:p>
      <w:pPr>
        <w:pStyle w:val="22"/>
        <w:spacing w:line="340" w:lineRule="exact"/>
        <w:ind w:firstLine="1590" w:firstLineChars="495"/>
        <w:rPr>
          <w:rFonts w:hAnsi="宋体"/>
          <w:b/>
          <w:color w:val="auto"/>
          <w:sz w:val="32"/>
          <w:szCs w:val="32"/>
          <w:highlight w:val="non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2"/>
        <w:jc w:val="center"/>
        <w:rPr>
          <w:rFonts w:hAnsi="宋体"/>
          <w:color w:val="auto"/>
          <w:highlight w:val="none"/>
        </w:rPr>
      </w:pPr>
      <w:r>
        <w:rPr>
          <w:rFonts w:hint="eastAsia" w:hAnsi="宋体"/>
          <w:color w:val="auto"/>
          <w:highlight w:val="none"/>
        </w:rPr>
        <w:t xml:space="preserve"> </w:t>
      </w: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pPr>
        <w:pStyle w:val="22"/>
        <w:ind w:firstLine="1590" w:firstLineChars="495"/>
        <w:rPr>
          <w:rFonts w:hAnsi="宋体"/>
          <w:b/>
          <w:color w:val="auto"/>
          <w:sz w:val="32"/>
          <w:szCs w:val="32"/>
          <w:highlight w:val="none"/>
        </w:rPr>
      </w:pPr>
    </w:p>
    <w:p>
      <w:pPr>
        <w:pStyle w:val="22"/>
        <w:ind w:firstLine="1590" w:firstLineChars="495"/>
        <w:rPr>
          <w:rFonts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2"/>
        <w:jc w:val="center"/>
        <w:rPr>
          <w:rFonts w:hAnsi="宋体"/>
          <w:color w:val="auto"/>
          <w:highlight w:val="none"/>
        </w:rPr>
      </w:pPr>
    </w:p>
    <w:p>
      <w:pPr>
        <w:pStyle w:val="22"/>
        <w:rPr>
          <w:rFonts w:hAnsi="宋体"/>
          <w:color w:val="auto"/>
          <w:highlight w:val="none"/>
        </w:rPr>
      </w:pPr>
      <w:r>
        <w:rPr>
          <w:rFonts w:hint="eastAsia" w:hAnsi="宋体"/>
          <w:color w:val="auto"/>
          <w:highlight w:val="none"/>
        </w:rPr>
        <w:t xml:space="preserve">   </w:t>
      </w:r>
    </w:p>
    <w:p>
      <w:pPr>
        <w:rPr>
          <w:b/>
          <w:color w:val="auto"/>
          <w:sz w:val="30"/>
          <w:szCs w:val="30"/>
          <w:highlight w:val="none"/>
        </w:rPr>
      </w:pPr>
      <w:r>
        <w:rPr>
          <w:rFonts w:ascii="黑体" w:hAnsi="宋体" w:eastAsia="黑体"/>
          <w:b/>
          <w:color w:val="auto"/>
          <w:sz w:val="44"/>
          <w:szCs w:val="44"/>
          <w:highlight w:val="none"/>
        </w:rPr>
        <w:br w:type="page"/>
      </w:r>
      <w:r>
        <w:rPr>
          <w:rFonts w:hint="eastAsia"/>
          <w:b/>
          <w:color w:val="auto"/>
          <w:sz w:val="30"/>
          <w:szCs w:val="30"/>
          <w:highlight w:val="none"/>
        </w:rPr>
        <w:t>南宁市政府采购合同书</w:t>
      </w:r>
    </w:p>
    <w:p>
      <w:pPr>
        <w:rPr>
          <w:b/>
          <w:color w:val="auto"/>
          <w:sz w:val="30"/>
          <w:szCs w:val="30"/>
          <w:highlight w:val="none"/>
        </w:rPr>
      </w:pPr>
      <w:r>
        <w:rPr>
          <w:rFonts w:hint="eastAsia"/>
          <w:color w:val="auto"/>
          <w:sz w:val="30"/>
          <w:szCs w:val="30"/>
          <w:highlight w:val="none"/>
        </w:rPr>
        <w:t>二、补充协议（如有请提供）</w:t>
      </w:r>
    </w:p>
    <w:p>
      <w:pPr>
        <w:rPr>
          <w:b/>
          <w:color w:val="auto"/>
          <w:sz w:val="30"/>
          <w:szCs w:val="30"/>
          <w:highlight w:val="none"/>
        </w:rPr>
      </w:pPr>
      <w:r>
        <w:rPr>
          <w:rFonts w:hint="eastAsia"/>
          <w:b/>
          <w:color w:val="auto"/>
          <w:sz w:val="30"/>
          <w:szCs w:val="30"/>
          <w:highlight w:val="none"/>
        </w:rPr>
        <w:t>三、合同附件</w:t>
      </w:r>
    </w:p>
    <w:p>
      <w:pPr>
        <w:rPr>
          <w:rFonts w:ascii="宋体" w:hAnsi="宋体"/>
          <w:color w:val="auto"/>
          <w:sz w:val="32"/>
          <w:szCs w:val="32"/>
          <w:highlight w:val="none"/>
        </w:rPr>
      </w:pPr>
      <w:r>
        <w:rPr>
          <w:rFonts w:hint="eastAsia" w:ascii="宋体" w:hAnsi="宋体"/>
          <w:color w:val="auto"/>
          <w:sz w:val="32"/>
          <w:szCs w:val="32"/>
          <w:highlight w:val="none"/>
        </w:rPr>
        <w:t>1、中标通知书</w:t>
      </w:r>
    </w:p>
    <w:p>
      <w:pPr>
        <w:rPr>
          <w:rFonts w:ascii="宋体" w:hAnsi="宋体"/>
          <w:color w:val="auto"/>
          <w:sz w:val="32"/>
          <w:szCs w:val="32"/>
          <w:highlight w:val="none"/>
        </w:rPr>
      </w:pPr>
      <w:r>
        <w:rPr>
          <w:rFonts w:hint="eastAsia" w:ascii="宋体" w:hAnsi="宋体"/>
          <w:color w:val="auto"/>
          <w:sz w:val="32"/>
          <w:szCs w:val="32"/>
          <w:highlight w:val="none"/>
        </w:rPr>
        <w:t>2、招标文件服务需求一览表</w:t>
      </w:r>
    </w:p>
    <w:p>
      <w:pPr>
        <w:rPr>
          <w:rFonts w:ascii="宋体" w:hAnsi="宋体"/>
          <w:color w:val="auto"/>
          <w:sz w:val="32"/>
          <w:szCs w:val="32"/>
          <w:highlight w:val="none"/>
        </w:rPr>
      </w:pPr>
      <w:r>
        <w:rPr>
          <w:rFonts w:hint="eastAsia" w:ascii="宋体" w:hAnsi="宋体"/>
          <w:color w:val="auto"/>
          <w:sz w:val="32"/>
          <w:szCs w:val="32"/>
          <w:highlight w:val="none"/>
        </w:rPr>
        <w:t>3、招标文件的更改通知（如有）</w:t>
      </w:r>
    </w:p>
    <w:p>
      <w:pPr>
        <w:rPr>
          <w:rFonts w:ascii="宋体" w:hAnsi="宋体"/>
          <w:color w:val="auto"/>
          <w:sz w:val="32"/>
          <w:szCs w:val="32"/>
          <w:highlight w:val="none"/>
        </w:rPr>
      </w:pPr>
      <w:r>
        <w:rPr>
          <w:rFonts w:hint="eastAsia" w:ascii="宋体" w:hAnsi="宋体"/>
          <w:color w:val="auto"/>
          <w:sz w:val="32"/>
          <w:szCs w:val="32"/>
          <w:highlight w:val="none"/>
        </w:rPr>
        <w:t>4、投标函</w:t>
      </w:r>
    </w:p>
    <w:p>
      <w:pPr>
        <w:rPr>
          <w:rFonts w:ascii="宋体" w:hAnsi="宋体"/>
          <w:color w:val="auto"/>
          <w:sz w:val="32"/>
          <w:szCs w:val="32"/>
          <w:highlight w:val="none"/>
        </w:rPr>
      </w:pPr>
      <w:r>
        <w:rPr>
          <w:rFonts w:hint="eastAsia" w:ascii="宋体" w:hAnsi="宋体"/>
          <w:color w:val="auto"/>
          <w:sz w:val="32"/>
          <w:szCs w:val="32"/>
          <w:highlight w:val="none"/>
        </w:rPr>
        <w:t>5、报价表</w:t>
      </w:r>
    </w:p>
    <w:p>
      <w:pPr>
        <w:rPr>
          <w:rFonts w:ascii="宋体" w:hAnsi="宋体"/>
          <w:color w:val="auto"/>
          <w:sz w:val="32"/>
          <w:szCs w:val="32"/>
          <w:highlight w:val="none"/>
        </w:rPr>
      </w:pPr>
      <w:r>
        <w:rPr>
          <w:rFonts w:hint="eastAsia" w:ascii="宋体" w:hAnsi="宋体"/>
          <w:color w:val="auto"/>
          <w:sz w:val="32"/>
          <w:szCs w:val="32"/>
          <w:highlight w:val="none"/>
        </w:rPr>
        <w:t>6、投标服务技术资料表</w:t>
      </w:r>
    </w:p>
    <w:p>
      <w:pPr>
        <w:rPr>
          <w:rFonts w:ascii="宋体" w:hAnsi="宋体"/>
          <w:color w:val="auto"/>
          <w:sz w:val="32"/>
          <w:szCs w:val="32"/>
          <w:highlight w:val="none"/>
        </w:rPr>
      </w:pPr>
      <w:r>
        <w:rPr>
          <w:rFonts w:hint="eastAsia" w:ascii="宋体" w:hAnsi="宋体"/>
          <w:color w:val="auto"/>
          <w:sz w:val="32"/>
          <w:szCs w:val="32"/>
          <w:highlight w:val="none"/>
        </w:rPr>
        <w:t>7、商务条款偏离表</w:t>
      </w:r>
    </w:p>
    <w:p>
      <w:pPr>
        <w:rPr>
          <w:rFonts w:ascii="宋体" w:hAnsi="宋体"/>
          <w:color w:val="auto"/>
          <w:sz w:val="32"/>
          <w:szCs w:val="32"/>
          <w:highlight w:val="none"/>
        </w:rPr>
      </w:pPr>
      <w:r>
        <w:rPr>
          <w:rFonts w:hint="eastAsia" w:ascii="宋体" w:hAnsi="宋体"/>
          <w:color w:val="auto"/>
          <w:sz w:val="32"/>
          <w:szCs w:val="32"/>
          <w:highlight w:val="none"/>
        </w:rPr>
        <w:t>8、中标供应商澄清函（如有请提供）</w:t>
      </w:r>
    </w:p>
    <w:p>
      <w:pPr>
        <w:rPr>
          <w:rFonts w:ascii="宋体" w:hAnsi="宋体"/>
          <w:b/>
          <w:bCs/>
          <w:color w:val="auto"/>
          <w:sz w:val="32"/>
          <w:szCs w:val="32"/>
          <w:highlight w:val="none"/>
        </w:rPr>
      </w:pPr>
      <w:r>
        <w:rPr>
          <w:rFonts w:hint="eastAsia" w:ascii="宋体" w:hAnsi="宋体"/>
          <w:color w:val="auto"/>
          <w:sz w:val="32"/>
          <w:szCs w:val="32"/>
          <w:highlight w:val="none"/>
        </w:rPr>
        <w:t>9、其他与本合同相关的资料（如有请提供）</w:t>
      </w:r>
      <w:r>
        <w:rPr>
          <w:rFonts w:hint="eastAsia" w:ascii="宋体" w:hAnsi="宋体"/>
          <w:b/>
          <w:bCs/>
          <w:color w:val="auto"/>
          <w:sz w:val="32"/>
          <w:szCs w:val="32"/>
          <w:highlight w:val="none"/>
        </w:rPr>
        <w:br w:type="page"/>
      </w:r>
    </w:p>
    <w:p>
      <w:pPr>
        <w:spacing w:line="360" w:lineRule="auto"/>
        <w:jc w:val="center"/>
        <w:rPr>
          <w:rFonts w:ascii="宋体" w:hAnsi="宋体"/>
          <w:b/>
          <w:bCs/>
          <w:color w:val="auto"/>
          <w:sz w:val="30"/>
          <w:szCs w:val="30"/>
          <w:highlight w:val="none"/>
        </w:rPr>
      </w:pPr>
      <w:r>
        <w:rPr>
          <w:rFonts w:hint="eastAsia"/>
          <w:b/>
          <w:color w:val="auto"/>
          <w:sz w:val="30"/>
          <w:szCs w:val="30"/>
          <w:highlight w:val="none"/>
        </w:rPr>
        <w:t>南宁市政府采购合同书</w:t>
      </w:r>
    </w:p>
    <w:p>
      <w:pPr>
        <w:pStyle w:val="22"/>
        <w:spacing w:line="360" w:lineRule="auto"/>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项目名称：</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项目编号：</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分标号（有分标时填写）：</w:t>
      </w:r>
      <w:r>
        <w:rPr>
          <w:rFonts w:hint="eastAsia" w:hAnsi="宋体"/>
          <w:color w:val="auto"/>
          <w:highlight w:val="none"/>
          <w:u w:val="single"/>
        </w:rPr>
        <w:t xml:space="preserve">                           </w:t>
      </w:r>
    </w:p>
    <w:p>
      <w:pPr>
        <w:pStyle w:val="22"/>
        <w:spacing w:line="360" w:lineRule="auto"/>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甲方（买方）：</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乙方（卖方）：</w:t>
      </w:r>
      <w:r>
        <w:rPr>
          <w:rFonts w:hint="eastAsia" w:hAnsi="宋体"/>
          <w:color w:val="auto"/>
          <w:highlight w:val="none"/>
          <w:u w:val="single"/>
        </w:rPr>
        <w:t xml:space="preserve">                                     </w:t>
      </w:r>
    </w:p>
    <w:p>
      <w:pPr>
        <w:pStyle w:val="22"/>
        <w:spacing w:line="360" w:lineRule="auto"/>
        <w:rPr>
          <w:rFonts w:hAnsi="宋体"/>
          <w:b/>
          <w:color w:val="auto"/>
          <w:highlight w:val="none"/>
        </w:rPr>
      </w:pPr>
      <w:r>
        <w:rPr>
          <w:rFonts w:hint="eastAsia" w:hAnsi="宋体"/>
          <w:b/>
          <w:color w:val="auto"/>
          <w:highlight w:val="none"/>
        </w:rPr>
        <w:t xml:space="preserve">    </w:t>
      </w:r>
    </w:p>
    <w:p>
      <w:pPr>
        <w:pStyle w:val="22"/>
        <w:spacing w:line="360" w:lineRule="auto"/>
        <w:ind w:firstLine="420" w:firstLineChars="200"/>
        <w:rPr>
          <w:rFonts w:hAnsi="宋体"/>
          <w:b/>
          <w:color w:val="auto"/>
          <w:highlight w:val="none"/>
        </w:rPr>
      </w:pPr>
      <w:r>
        <w:rPr>
          <w:rFonts w:hint="eastAsia" w:hAnsi="宋体"/>
          <w:color w:val="auto"/>
          <w:highlight w:val="none"/>
        </w:rPr>
        <w:t>根据</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日南宁市政府采购项目的采购结果，甲方接受乙方对本项目的投标，甲、乙双方同意签署本合同（以下简称合同）。</w:t>
      </w:r>
    </w:p>
    <w:p>
      <w:pPr>
        <w:pStyle w:val="22"/>
        <w:spacing w:line="360" w:lineRule="auto"/>
        <w:rPr>
          <w:rFonts w:hAnsi="宋体"/>
          <w:b/>
          <w:color w:val="auto"/>
          <w:highlight w:val="none"/>
        </w:rPr>
      </w:pPr>
    </w:p>
    <w:p>
      <w:pPr>
        <w:pStyle w:val="22"/>
        <w:spacing w:line="360" w:lineRule="auto"/>
        <w:rPr>
          <w:rFonts w:hAnsi="宋体"/>
          <w:b/>
          <w:bCs/>
          <w:color w:val="auto"/>
          <w:sz w:val="24"/>
          <w:highlight w:val="none"/>
        </w:rPr>
      </w:pPr>
      <w:r>
        <w:rPr>
          <w:rFonts w:hint="eastAsia" w:hAnsi="宋体"/>
          <w:b/>
          <w:bCs/>
          <w:color w:val="auto"/>
          <w:sz w:val="24"/>
          <w:highlight w:val="none"/>
        </w:rPr>
        <w:t>1.  采购内容</w:t>
      </w:r>
    </w:p>
    <w:p>
      <w:pPr>
        <w:pStyle w:val="22"/>
        <w:tabs>
          <w:tab w:val="left" w:pos="5220"/>
        </w:tabs>
        <w:spacing w:line="360" w:lineRule="auto"/>
        <w:ind w:firstLine="420" w:firstLineChars="200"/>
        <w:rPr>
          <w:rFonts w:hAnsi="宋体"/>
          <w:color w:val="auto"/>
          <w:highlight w:val="none"/>
          <w:u w:val="single"/>
        </w:rPr>
      </w:pPr>
      <w:r>
        <w:rPr>
          <w:rFonts w:hint="eastAsia" w:hAnsi="宋体"/>
          <w:color w:val="auto"/>
          <w:highlight w:val="none"/>
        </w:rPr>
        <w:t>1.1 服务名称：</w:t>
      </w:r>
      <w:r>
        <w:rPr>
          <w:rFonts w:hint="eastAsia" w:hAnsi="宋体"/>
          <w:color w:val="auto"/>
          <w:highlight w:val="none"/>
          <w:u w:val="single"/>
        </w:rPr>
        <w:t>详见合同附件中报价表</w:t>
      </w:r>
    </w:p>
    <w:p>
      <w:pPr>
        <w:pStyle w:val="22"/>
        <w:tabs>
          <w:tab w:val="left" w:pos="5220"/>
        </w:tabs>
        <w:spacing w:line="360" w:lineRule="auto"/>
        <w:ind w:firstLine="420" w:firstLineChars="200"/>
        <w:rPr>
          <w:rFonts w:hAnsi="宋体"/>
          <w:color w:val="auto"/>
          <w:highlight w:val="none"/>
        </w:rPr>
      </w:pPr>
      <w:r>
        <w:rPr>
          <w:rFonts w:hint="eastAsia" w:hAnsi="宋体"/>
          <w:color w:val="auto"/>
          <w:highlight w:val="none"/>
        </w:rPr>
        <w:t>1.2 数量：</w:t>
      </w:r>
      <w:r>
        <w:rPr>
          <w:rFonts w:hint="eastAsia" w:hAnsi="宋体"/>
          <w:color w:val="auto"/>
          <w:highlight w:val="none"/>
          <w:u w:val="single"/>
        </w:rPr>
        <w:t>详见合同附件中报价表</w:t>
      </w:r>
    </w:p>
    <w:p>
      <w:pPr>
        <w:pStyle w:val="22"/>
        <w:tabs>
          <w:tab w:val="left" w:pos="5220"/>
        </w:tabs>
        <w:spacing w:line="360" w:lineRule="auto"/>
        <w:ind w:firstLine="420" w:firstLineChars="200"/>
        <w:rPr>
          <w:rFonts w:hAnsi="宋体"/>
          <w:color w:val="auto"/>
          <w:highlight w:val="none"/>
        </w:rPr>
      </w:pPr>
      <w:r>
        <w:rPr>
          <w:rFonts w:hint="eastAsia" w:hAnsi="宋体"/>
          <w:color w:val="auto"/>
          <w:highlight w:val="none"/>
        </w:rPr>
        <w:t xml:space="preserve">1.2 </w:t>
      </w:r>
      <w:r>
        <w:rPr>
          <w:rFonts w:hint="eastAsia"/>
          <w:color w:val="auto"/>
          <w:highlight w:val="none"/>
        </w:rPr>
        <w:t>服务内容及要求</w:t>
      </w:r>
      <w:r>
        <w:rPr>
          <w:rFonts w:hint="eastAsia" w:ascii="Times New Roman" w:hAnsi="Times New Roman"/>
          <w:color w:val="auto"/>
          <w:highlight w:val="none"/>
        </w:rPr>
        <w:t>：</w:t>
      </w:r>
      <w:r>
        <w:rPr>
          <w:rFonts w:hint="eastAsia" w:hAnsi="宋体"/>
          <w:color w:val="auto"/>
          <w:highlight w:val="none"/>
          <w:u w:val="single"/>
        </w:rPr>
        <w:t>详见合同附件中投标服务技术资料表</w:t>
      </w:r>
    </w:p>
    <w:p>
      <w:pPr>
        <w:pStyle w:val="22"/>
        <w:tabs>
          <w:tab w:val="left" w:pos="5145"/>
        </w:tabs>
        <w:spacing w:line="360" w:lineRule="auto"/>
        <w:rPr>
          <w:rFonts w:hAnsi="宋体"/>
          <w:b/>
          <w:bCs/>
          <w:color w:val="auto"/>
          <w:sz w:val="24"/>
          <w:highlight w:val="none"/>
        </w:rPr>
      </w:pPr>
      <w:r>
        <w:rPr>
          <w:rFonts w:hint="eastAsia" w:hAnsi="宋体"/>
          <w:b/>
          <w:bCs/>
          <w:color w:val="auto"/>
          <w:sz w:val="24"/>
          <w:highlight w:val="none"/>
        </w:rPr>
        <w:t>2.  合同金额</w:t>
      </w:r>
    </w:p>
    <w:p>
      <w:pPr>
        <w:pStyle w:val="22"/>
        <w:spacing w:line="360" w:lineRule="auto"/>
        <w:ind w:firstLine="411" w:firstLineChars="196"/>
        <w:rPr>
          <w:rFonts w:hAnsi="宋体"/>
          <w:b/>
          <w:bCs/>
          <w:color w:val="auto"/>
          <w:sz w:val="24"/>
          <w:highlight w:val="none"/>
        </w:rPr>
      </w:pPr>
      <w:r>
        <w:rPr>
          <w:rFonts w:hint="eastAsia" w:hAnsi="宋体"/>
          <w:color w:val="auto"/>
          <w:highlight w:val="none"/>
        </w:rPr>
        <w:t>2.1 本合同总金额为（大写）人民币</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元）。（详见报价表）</w:t>
      </w:r>
    </w:p>
    <w:p>
      <w:pPr>
        <w:pStyle w:val="22"/>
        <w:tabs>
          <w:tab w:val="left" w:pos="5940"/>
        </w:tabs>
        <w:spacing w:line="360" w:lineRule="auto"/>
        <w:rPr>
          <w:rFonts w:hAnsi="宋体"/>
          <w:b/>
          <w:bCs/>
          <w:color w:val="auto"/>
          <w:sz w:val="24"/>
          <w:highlight w:val="none"/>
        </w:rPr>
      </w:pPr>
      <w:r>
        <w:rPr>
          <w:rFonts w:hint="eastAsia" w:hAnsi="宋体"/>
          <w:b/>
          <w:bCs/>
          <w:color w:val="auto"/>
          <w:sz w:val="24"/>
          <w:highlight w:val="none"/>
        </w:rPr>
        <w:t>3.  提交服务成果时间和地点</w:t>
      </w:r>
    </w:p>
    <w:p>
      <w:pPr>
        <w:pStyle w:val="22"/>
        <w:tabs>
          <w:tab w:val="left" w:pos="5250"/>
          <w:tab w:val="left" w:pos="5940"/>
        </w:tabs>
        <w:spacing w:line="360" w:lineRule="auto"/>
        <w:ind w:firstLine="411" w:firstLineChars="196"/>
        <w:rPr>
          <w:rFonts w:hAnsi="宋体"/>
          <w:b/>
          <w:bCs/>
          <w:color w:val="auto"/>
          <w:sz w:val="24"/>
          <w:highlight w:val="none"/>
        </w:rPr>
      </w:pPr>
      <w:r>
        <w:rPr>
          <w:rFonts w:hint="eastAsia" w:hAnsi="宋体"/>
          <w:bCs/>
          <w:color w:val="auto"/>
          <w:highlight w:val="none"/>
        </w:rPr>
        <w:t xml:space="preserve">3.1 </w:t>
      </w:r>
      <w:r>
        <w:rPr>
          <w:rFonts w:hint="eastAsia"/>
          <w:bCs/>
          <w:color w:val="auto"/>
          <w:highlight w:val="none"/>
        </w:rPr>
        <w:t>提交服务成果时间</w:t>
      </w:r>
      <w:r>
        <w:rPr>
          <w:rFonts w:hint="eastAsia" w:hAnsi="宋体"/>
          <w:bCs/>
          <w:color w:val="auto"/>
          <w:highlight w:val="none"/>
        </w:rPr>
        <w:t>：</w:t>
      </w:r>
      <w:r>
        <w:rPr>
          <w:rFonts w:hint="eastAsia" w:hAnsi="宋体"/>
          <w:color w:val="auto"/>
          <w:highlight w:val="none"/>
          <w:u w:val="single"/>
        </w:rPr>
        <w:t xml:space="preserve">                        </w:t>
      </w:r>
    </w:p>
    <w:p>
      <w:pPr>
        <w:pStyle w:val="22"/>
        <w:tabs>
          <w:tab w:val="left" w:pos="5940"/>
        </w:tabs>
        <w:spacing w:line="360" w:lineRule="auto"/>
        <w:ind w:firstLine="411" w:firstLineChars="196"/>
        <w:rPr>
          <w:rFonts w:hAnsi="宋体"/>
          <w:b/>
          <w:bCs/>
          <w:color w:val="auto"/>
          <w:sz w:val="24"/>
          <w:highlight w:val="none"/>
        </w:rPr>
      </w:pPr>
      <w:r>
        <w:rPr>
          <w:rFonts w:hint="eastAsia" w:hAnsi="宋体"/>
          <w:bCs/>
          <w:color w:val="auto"/>
          <w:highlight w:val="none"/>
        </w:rPr>
        <w:t xml:space="preserve">3.2 </w:t>
      </w:r>
      <w:r>
        <w:rPr>
          <w:rFonts w:hint="eastAsia"/>
          <w:bCs/>
          <w:color w:val="auto"/>
          <w:highlight w:val="none"/>
        </w:rPr>
        <w:t>提交服务成果</w:t>
      </w:r>
      <w:r>
        <w:rPr>
          <w:rFonts w:hint="eastAsia" w:hAnsi="宋体"/>
          <w:bCs/>
          <w:color w:val="auto"/>
          <w:highlight w:val="none"/>
        </w:rPr>
        <w:t>地点：</w:t>
      </w:r>
      <w:r>
        <w:rPr>
          <w:rFonts w:hint="eastAsia" w:hAnsi="宋体"/>
          <w:color w:val="auto"/>
          <w:highlight w:val="none"/>
          <w:u w:val="single"/>
        </w:rPr>
        <w:t xml:space="preserve">                        </w:t>
      </w:r>
    </w:p>
    <w:p>
      <w:pPr>
        <w:pStyle w:val="22"/>
        <w:tabs>
          <w:tab w:val="left" w:pos="5940"/>
        </w:tabs>
        <w:spacing w:line="360" w:lineRule="auto"/>
        <w:ind w:firstLine="411" w:firstLineChars="196"/>
        <w:rPr>
          <w:rFonts w:hAnsi="宋体"/>
          <w:b/>
          <w:bCs/>
          <w:color w:val="auto"/>
          <w:sz w:val="24"/>
          <w:highlight w:val="none"/>
        </w:rPr>
      </w:pPr>
      <w:r>
        <w:rPr>
          <w:rFonts w:hint="eastAsia" w:hAnsi="宋体"/>
          <w:bCs/>
          <w:color w:val="auto"/>
          <w:highlight w:val="none"/>
        </w:rPr>
        <w:t xml:space="preserve">3.3 </w:t>
      </w:r>
      <w:r>
        <w:rPr>
          <w:rFonts w:hint="eastAsia" w:hAnsi="宋体"/>
          <w:color w:val="auto"/>
          <w:highlight w:val="none"/>
        </w:rPr>
        <w:t>乙方必须按投标文件承诺的服务响应条款向甲方提供服务。</w:t>
      </w:r>
    </w:p>
    <w:p>
      <w:pPr>
        <w:pStyle w:val="22"/>
        <w:spacing w:line="360" w:lineRule="auto"/>
        <w:ind w:left="410" w:hanging="410" w:hangingChars="170"/>
        <w:rPr>
          <w:rFonts w:hAnsi="宋体"/>
          <w:b/>
          <w:color w:val="auto"/>
          <w:highlight w:val="none"/>
        </w:rPr>
      </w:pPr>
      <w:r>
        <w:rPr>
          <w:rFonts w:hint="eastAsia" w:hAnsi="宋体"/>
          <w:b/>
          <w:bCs/>
          <w:color w:val="auto"/>
          <w:sz w:val="24"/>
          <w:highlight w:val="none"/>
        </w:rPr>
        <w:t>4.  履约保证金</w:t>
      </w:r>
    </w:p>
    <w:p>
      <w:pPr>
        <w:pStyle w:val="22"/>
        <w:spacing w:line="360" w:lineRule="auto"/>
        <w:ind w:left="359" w:hanging="359" w:hangingChars="171"/>
        <w:rPr>
          <w:rFonts w:hAnsi="宋体"/>
          <w:color w:val="auto"/>
          <w:highlight w:val="none"/>
        </w:rPr>
      </w:pPr>
      <w:r>
        <w:rPr>
          <w:rFonts w:hint="eastAsia" w:hAnsi="宋体"/>
          <w:color w:val="auto"/>
          <w:highlight w:val="none"/>
        </w:rPr>
        <w:t>本项目无须交纳履约保证金。</w:t>
      </w:r>
    </w:p>
    <w:p>
      <w:pPr>
        <w:pStyle w:val="22"/>
        <w:spacing w:line="360" w:lineRule="auto"/>
        <w:ind w:left="412" w:hanging="412" w:hangingChars="171"/>
        <w:rPr>
          <w:rFonts w:hAnsi="宋体"/>
          <w:b/>
          <w:color w:val="auto"/>
          <w:highlight w:val="none"/>
        </w:rPr>
      </w:pPr>
      <w:r>
        <w:rPr>
          <w:rFonts w:hint="eastAsia" w:hAnsi="宋体"/>
          <w:b/>
          <w:bCs/>
          <w:color w:val="auto"/>
          <w:sz w:val="24"/>
          <w:highlight w:val="none"/>
        </w:rPr>
        <w:t>5.  产权</w:t>
      </w:r>
    </w:p>
    <w:p>
      <w:pPr>
        <w:pStyle w:val="22"/>
        <w:spacing w:line="360" w:lineRule="auto"/>
        <w:ind w:firstLine="420" w:firstLineChars="200"/>
        <w:rPr>
          <w:rFonts w:hAnsi="宋体"/>
          <w:b/>
          <w:color w:val="auto"/>
          <w:highlight w:val="none"/>
        </w:rPr>
      </w:pPr>
      <w:r>
        <w:rPr>
          <w:rFonts w:hint="eastAsia" w:hAnsi="宋体"/>
          <w:color w:val="auto"/>
          <w:highlight w:val="none"/>
        </w:rPr>
        <w:t xml:space="preserve">5.1 </w:t>
      </w:r>
      <w:r>
        <w:rPr>
          <w:rFonts w:hint="eastAsia" w:ascii="Times New Roman" w:hAnsi="Times New Roman"/>
          <w:color w:val="auto"/>
          <w:highlight w:val="none"/>
        </w:rPr>
        <w:t>乙方应保证所提供的服务或其任何一部分均不会侵犯任何第三方的专利权、商标权或著作权</w:t>
      </w:r>
      <w:r>
        <w:rPr>
          <w:rFonts w:hint="eastAsia" w:hAnsi="宋体"/>
          <w:bCs/>
          <w:color w:val="auto"/>
          <w:highlight w:val="none"/>
        </w:rPr>
        <w:t>。</w:t>
      </w:r>
    </w:p>
    <w:p>
      <w:pPr>
        <w:pStyle w:val="22"/>
        <w:spacing w:line="360" w:lineRule="auto"/>
        <w:ind w:firstLine="420" w:firstLineChars="200"/>
        <w:rPr>
          <w:rFonts w:hAnsi="宋体"/>
          <w:b/>
          <w:color w:val="auto"/>
          <w:highlight w:val="none"/>
        </w:rPr>
      </w:pPr>
      <w:r>
        <w:rPr>
          <w:rFonts w:hint="eastAsia" w:hAnsi="宋体"/>
          <w:color w:val="auto"/>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2"/>
        <w:spacing w:line="360" w:lineRule="auto"/>
        <w:rPr>
          <w:rFonts w:hAnsi="宋体"/>
          <w:b/>
          <w:color w:val="auto"/>
          <w:highlight w:val="none"/>
        </w:rPr>
      </w:pPr>
      <w:r>
        <w:rPr>
          <w:rFonts w:hint="eastAsia" w:hAnsi="宋体"/>
          <w:b/>
          <w:bCs/>
          <w:color w:val="auto"/>
          <w:sz w:val="24"/>
          <w:highlight w:val="none"/>
        </w:rPr>
        <w:t>6.  技术资料</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6.1 甲方应向乙方提供提交服务成果所必需的有关数据、资料等。</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pacing w:line="360" w:lineRule="auto"/>
        <w:rPr>
          <w:rFonts w:hAnsi="宋体"/>
          <w:b/>
          <w:bCs/>
          <w:color w:val="auto"/>
          <w:sz w:val="24"/>
          <w:highlight w:val="none"/>
        </w:rPr>
      </w:pPr>
      <w:r>
        <w:rPr>
          <w:rFonts w:hint="eastAsia" w:hAnsi="宋体"/>
          <w:b/>
          <w:bCs/>
          <w:color w:val="auto"/>
          <w:sz w:val="24"/>
          <w:highlight w:val="none"/>
        </w:rPr>
        <w:t>7.  验收</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7.1 乙方应对提交的服务成果作出全面检查和整理，并列出清单，作为甲方验收和使用的技术条件依据，清单应随提交的服务成果交给甲方。</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7.2 乙方在指定地点提交服务成果后，甲方应在5个工作日内依据招标文件、乙方的投标文件等组织验收，验收完毕后作出书面验收报告。验收时乙方必须在现场。</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7.3 对复杂的服务，甲方可请国家认可的专业机构参与验收，并由其出具验收报告，相关费用由甲方承担。</w:t>
      </w:r>
    </w:p>
    <w:p>
      <w:pPr>
        <w:pStyle w:val="22"/>
        <w:spacing w:line="360" w:lineRule="auto"/>
        <w:rPr>
          <w:rFonts w:hAnsi="宋体"/>
          <w:b/>
          <w:bCs/>
          <w:color w:val="auto"/>
          <w:sz w:val="24"/>
          <w:highlight w:val="none"/>
        </w:rPr>
      </w:pPr>
      <w:r>
        <w:rPr>
          <w:rFonts w:hint="eastAsia" w:hAnsi="宋体"/>
          <w:b/>
          <w:bCs/>
          <w:color w:val="auto"/>
          <w:sz w:val="24"/>
          <w:highlight w:val="none"/>
        </w:rPr>
        <w:t>8.  合同款支付</w:t>
      </w:r>
    </w:p>
    <w:p>
      <w:pPr>
        <w:pStyle w:val="22"/>
        <w:tabs>
          <w:tab w:val="left" w:pos="5145"/>
          <w:tab w:val="left" w:pos="5355"/>
          <w:tab w:val="left" w:pos="6195"/>
        </w:tabs>
        <w:spacing w:line="360" w:lineRule="auto"/>
        <w:ind w:firstLine="420" w:firstLineChars="200"/>
        <w:rPr>
          <w:rFonts w:hAnsi="宋体"/>
          <w:bCs/>
          <w:color w:val="auto"/>
          <w:highlight w:val="none"/>
          <w:u w:val="single"/>
        </w:rPr>
      </w:pPr>
      <w:r>
        <w:rPr>
          <w:rFonts w:hint="eastAsia" w:hAnsi="宋体"/>
          <w:bCs/>
          <w:color w:val="auto"/>
          <w:highlight w:val="none"/>
        </w:rPr>
        <w:t>8.1 付款方式：</w:t>
      </w:r>
      <w:r>
        <w:rPr>
          <w:rFonts w:hint="eastAsia" w:hAnsi="宋体"/>
          <w:bCs/>
          <w:color w:val="auto"/>
          <w:highlight w:val="none"/>
          <w:u w:val="single"/>
        </w:rPr>
        <w:t xml:space="preserve">                               </w:t>
      </w:r>
    </w:p>
    <w:p>
      <w:pPr>
        <w:pStyle w:val="22"/>
        <w:tabs>
          <w:tab w:val="left" w:pos="5145"/>
          <w:tab w:val="left" w:pos="5355"/>
          <w:tab w:val="left" w:pos="6195"/>
        </w:tabs>
        <w:spacing w:line="360" w:lineRule="auto"/>
        <w:ind w:firstLine="420" w:firstLineChars="200"/>
        <w:rPr>
          <w:rFonts w:hAnsi="宋体"/>
          <w:bCs/>
          <w:color w:val="auto"/>
          <w:highlight w:val="none"/>
          <w:u w:val="single"/>
        </w:rPr>
      </w:pPr>
      <w:r>
        <w:rPr>
          <w:rFonts w:hint="eastAsia" w:hAnsi="宋体"/>
          <w:color w:val="auto"/>
          <w:highlight w:val="none"/>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22"/>
        <w:tabs>
          <w:tab w:val="left" w:pos="5145"/>
          <w:tab w:val="left" w:pos="5355"/>
          <w:tab w:val="left" w:pos="6195"/>
        </w:tabs>
        <w:spacing w:line="360" w:lineRule="auto"/>
        <w:ind w:firstLine="420" w:firstLineChars="200"/>
        <w:rPr>
          <w:rFonts w:hAnsi="宋体"/>
          <w:bCs/>
          <w:color w:val="auto"/>
          <w:highlight w:val="none"/>
          <w:u w:val="single"/>
        </w:rPr>
      </w:pPr>
      <w:r>
        <w:rPr>
          <w:rFonts w:hint="eastAsia" w:hAnsi="宋体"/>
          <w:color w:val="auto"/>
          <w:highlight w:val="none"/>
        </w:rPr>
        <w:t>8.3 政府采购监督管理部门在处理投诉事项期间，可以视具体情况书面通知采购人暂停采购活动</w:t>
      </w:r>
      <w:r>
        <w:rPr>
          <w:rFonts w:hint="eastAsia" w:hAnsi="宋体"/>
          <w:bCs/>
          <w:color w:val="auto"/>
          <w:highlight w:val="none"/>
        </w:rPr>
        <w:t>，并延期支付合同款。</w:t>
      </w:r>
    </w:p>
    <w:p>
      <w:pPr>
        <w:pStyle w:val="22"/>
        <w:spacing w:line="360" w:lineRule="auto"/>
        <w:rPr>
          <w:rFonts w:hAnsi="宋体"/>
          <w:b/>
          <w:bCs/>
          <w:color w:val="auto"/>
          <w:sz w:val="24"/>
          <w:highlight w:val="none"/>
        </w:rPr>
      </w:pPr>
      <w:r>
        <w:rPr>
          <w:rFonts w:hint="eastAsia" w:hAnsi="宋体"/>
          <w:b/>
          <w:bCs/>
          <w:color w:val="auto"/>
          <w:sz w:val="24"/>
          <w:highlight w:val="none"/>
        </w:rPr>
        <w:t>9.  售后服务要求</w:t>
      </w:r>
    </w:p>
    <w:p>
      <w:pPr>
        <w:pStyle w:val="22"/>
        <w:spacing w:line="360" w:lineRule="auto"/>
        <w:ind w:firstLine="420" w:firstLineChars="200"/>
        <w:rPr>
          <w:rFonts w:hAnsi="宋体"/>
          <w:color w:val="auto"/>
          <w:highlight w:val="none"/>
        </w:rPr>
      </w:pPr>
      <w:r>
        <w:rPr>
          <w:rFonts w:hint="eastAsia" w:hAnsi="宋体"/>
          <w:color w:val="auto"/>
          <w:highlight w:val="none"/>
        </w:rPr>
        <w:t>9.1 乙方提供服务的质量保证期为：</w:t>
      </w:r>
      <w:r>
        <w:rPr>
          <w:rFonts w:hint="eastAsia" w:hAnsi="宋体"/>
          <w:color w:val="auto"/>
          <w:highlight w:val="none"/>
          <w:u w:val="single"/>
        </w:rPr>
        <w:t xml:space="preserve">　　　　　　   </w:t>
      </w:r>
      <w:r>
        <w:rPr>
          <w:rFonts w:hint="eastAsia" w:hAnsi="宋体"/>
          <w:color w:val="auto"/>
          <w:highlight w:val="none"/>
        </w:rPr>
        <w:t>（自提交服务验收合格之日起计）</w:t>
      </w:r>
    </w:p>
    <w:p>
      <w:pPr>
        <w:pStyle w:val="22"/>
        <w:spacing w:line="360" w:lineRule="auto"/>
        <w:ind w:firstLine="420" w:firstLineChars="200"/>
        <w:rPr>
          <w:rFonts w:hAnsi="宋体"/>
          <w:color w:val="auto"/>
          <w:highlight w:val="none"/>
        </w:rPr>
      </w:pPr>
      <w:r>
        <w:rPr>
          <w:rFonts w:hint="eastAsia" w:hAnsi="宋体"/>
          <w:color w:val="auto"/>
          <w:highlight w:val="none"/>
        </w:rPr>
        <w:t>9.2 在本合同第9.1项约定的质量保证期内，乙方应对服务出现的问题负责处理解决并承担一切费用。</w:t>
      </w:r>
    </w:p>
    <w:p>
      <w:pPr>
        <w:pStyle w:val="22"/>
        <w:tabs>
          <w:tab w:val="left" w:pos="5250"/>
        </w:tabs>
        <w:spacing w:line="360" w:lineRule="auto"/>
        <w:ind w:firstLine="420" w:firstLineChars="200"/>
        <w:rPr>
          <w:rFonts w:hAnsi="宋体"/>
          <w:color w:val="auto"/>
          <w:highlight w:val="none"/>
          <w:u w:val="single"/>
        </w:rPr>
      </w:pPr>
      <w:r>
        <w:rPr>
          <w:rFonts w:hint="eastAsia" w:hAnsi="宋体"/>
          <w:color w:val="auto"/>
          <w:highlight w:val="none"/>
        </w:rPr>
        <w:t>9.3其他售后服务要求：</w:t>
      </w:r>
      <w:r>
        <w:rPr>
          <w:rFonts w:hint="eastAsia" w:hAnsi="宋体"/>
          <w:color w:val="auto"/>
          <w:highlight w:val="none"/>
          <w:u w:val="single"/>
        </w:rPr>
        <w:t>按投标文件商务条款偏离表内容执行。</w:t>
      </w:r>
    </w:p>
    <w:p>
      <w:pPr>
        <w:pStyle w:val="22"/>
        <w:spacing w:line="360" w:lineRule="auto"/>
        <w:rPr>
          <w:rFonts w:hAnsi="宋体"/>
          <w:b/>
          <w:bCs/>
          <w:color w:val="auto"/>
          <w:sz w:val="24"/>
          <w:highlight w:val="none"/>
        </w:rPr>
      </w:pPr>
      <w:r>
        <w:rPr>
          <w:rFonts w:hint="eastAsia" w:hAnsi="宋体"/>
          <w:b/>
          <w:bCs/>
          <w:color w:val="auto"/>
          <w:sz w:val="24"/>
          <w:highlight w:val="none"/>
        </w:rPr>
        <w:t>10.  违约责任</w:t>
      </w:r>
    </w:p>
    <w:p>
      <w:pPr>
        <w:pStyle w:val="22"/>
        <w:spacing w:line="360" w:lineRule="auto"/>
        <w:ind w:firstLine="420" w:firstLineChars="200"/>
        <w:rPr>
          <w:rFonts w:hAnsi="宋体"/>
          <w:color w:val="auto"/>
          <w:highlight w:val="none"/>
        </w:rPr>
      </w:pPr>
      <w:r>
        <w:rPr>
          <w:rFonts w:hint="eastAsia" w:hAnsi="宋体"/>
          <w:color w:val="auto"/>
          <w:highlight w:val="none"/>
        </w:rPr>
        <w:t>10.1 甲方无正当理由拒收服务的，甲方向乙方偿付合同总金额的百分之五违约金。</w:t>
      </w:r>
    </w:p>
    <w:p>
      <w:pPr>
        <w:pStyle w:val="22"/>
        <w:spacing w:line="360" w:lineRule="auto"/>
        <w:ind w:firstLine="420" w:firstLineChars="200"/>
        <w:rPr>
          <w:rFonts w:hAnsi="宋体"/>
          <w:color w:val="auto"/>
          <w:highlight w:val="none"/>
        </w:rPr>
      </w:pPr>
      <w:r>
        <w:rPr>
          <w:rFonts w:hint="eastAsia" w:hAnsi="宋体"/>
          <w:color w:val="auto"/>
          <w:highlight w:val="none"/>
        </w:rPr>
        <w:t>10.2 甲方无故逾期验收或办理合同款支付手续的，甲方应按合同总金额每日万分之五向乙方支付违约金。</w:t>
      </w:r>
    </w:p>
    <w:p>
      <w:pPr>
        <w:pStyle w:val="22"/>
        <w:spacing w:line="360" w:lineRule="auto"/>
        <w:ind w:firstLine="420" w:firstLineChars="200"/>
        <w:rPr>
          <w:rFonts w:hAnsi="宋体"/>
          <w:color w:val="auto"/>
          <w:highlight w:val="none"/>
        </w:rPr>
      </w:pPr>
      <w:r>
        <w:rPr>
          <w:rFonts w:hint="eastAsia" w:hAnsi="宋体"/>
          <w:color w:val="auto"/>
          <w:highlight w:val="none"/>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金额百分之五的违约金，如造成甲方损失超过违约金的，超出部分由乙方继续承担赔偿责任。</w:t>
      </w:r>
    </w:p>
    <w:p>
      <w:pPr>
        <w:pStyle w:val="22"/>
        <w:spacing w:line="360" w:lineRule="auto"/>
        <w:ind w:firstLine="420" w:firstLineChars="200"/>
        <w:rPr>
          <w:rFonts w:hAnsi="宋体"/>
          <w:color w:val="auto"/>
          <w:highlight w:val="none"/>
        </w:rPr>
      </w:pPr>
      <w:r>
        <w:rPr>
          <w:rFonts w:hint="eastAsia" w:hAnsi="宋体"/>
          <w:color w:val="auto"/>
          <w:highlight w:val="none"/>
        </w:rPr>
        <w:t>10.4乙方应按本合同约定的质量标准提供服务，并经甲方验收合格，如验收不合格的，应无条件进行整改、修正，直至通过甲方验收，如因此造成逾期完成服务的，则按本合同第10.3条约定承担逾期违约责任。</w:t>
      </w:r>
    </w:p>
    <w:p>
      <w:pPr>
        <w:pStyle w:val="22"/>
        <w:spacing w:line="360" w:lineRule="auto"/>
        <w:ind w:firstLine="420" w:firstLineChars="200"/>
        <w:rPr>
          <w:rFonts w:hAnsi="宋体"/>
          <w:color w:val="auto"/>
          <w:highlight w:val="none"/>
        </w:rPr>
      </w:pPr>
      <w:r>
        <w:rPr>
          <w:rFonts w:hint="eastAsia" w:hAnsi="宋体"/>
          <w:color w:val="auto"/>
          <w:highlight w:val="none"/>
        </w:rPr>
        <w:t>10.5 乙方应按国家相关规定及行业有关规范规程、本合同约定完成服务，并对服务的合法性、完整性、有效性负责，由于乙方提供的服务不合格（以第三方具备资质的机构出具证明材料）所造成的损失，乙方应承担责任。</w:t>
      </w:r>
    </w:p>
    <w:p>
      <w:pPr>
        <w:pStyle w:val="22"/>
        <w:spacing w:line="360" w:lineRule="auto"/>
        <w:ind w:firstLine="420" w:firstLineChars="200"/>
        <w:rPr>
          <w:rFonts w:hAnsi="宋体"/>
          <w:color w:val="auto"/>
          <w:highlight w:val="none"/>
        </w:rPr>
      </w:pPr>
      <w:r>
        <w:rPr>
          <w:rFonts w:hint="eastAsia" w:hAnsi="宋体"/>
          <w:color w:val="auto"/>
          <w:highlight w:val="none"/>
        </w:rPr>
        <w:t>10.6乙方提供的服务如侵犯了第三方合法权益而引发的任何纠纷或诉讼，均由乙方负责交涉并承担全部责任。如甲方为解决纠纷先行垫支了费用，乙方须在接到甲方通知之日起5个工作日内向甲方偿还完毕，并赔偿甲方全部经济损失。</w:t>
      </w:r>
    </w:p>
    <w:p>
      <w:pPr>
        <w:pStyle w:val="22"/>
        <w:spacing w:line="360" w:lineRule="auto"/>
        <w:ind w:firstLine="420" w:firstLineChars="200"/>
        <w:rPr>
          <w:rFonts w:hAnsi="宋体"/>
          <w:color w:val="auto"/>
          <w:highlight w:val="none"/>
        </w:rPr>
      </w:pPr>
      <w:r>
        <w:rPr>
          <w:rFonts w:hint="eastAsia" w:hAnsi="宋体"/>
          <w:color w:val="auto"/>
          <w:highlight w:val="none"/>
        </w:rPr>
        <w:t>10.7本合同有效期内，除本合同约定原因外，甲乙双方不得擅自单方提前终止本合同，否则应当赔偿由此给对方造成的损失。</w:t>
      </w:r>
    </w:p>
    <w:p>
      <w:pPr>
        <w:pStyle w:val="22"/>
        <w:spacing w:line="360" w:lineRule="auto"/>
        <w:ind w:firstLine="420" w:firstLineChars="200"/>
        <w:rPr>
          <w:rFonts w:hAnsi="宋体"/>
          <w:color w:val="auto"/>
          <w:highlight w:val="none"/>
        </w:rPr>
      </w:pPr>
      <w:r>
        <w:rPr>
          <w:rFonts w:hint="eastAsia" w:hAnsi="宋体"/>
          <w:color w:val="auto"/>
          <w:highlight w:val="none"/>
        </w:rPr>
        <w:t>10.8乙方未按本合同和投标文件中规定的服务承诺提供售后服务的，乙方应按合同总金额5%向甲方支付违约金。</w:t>
      </w:r>
    </w:p>
    <w:p>
      <w:pPr>
        <w:pStyle w:val="22"/>
        <w:spacing w:line="360" w:lineRule="auto"/>
        <w:ind w:firstLine="420" w:firstLineChars="200"/>
        <w:rPr>
          <w:rFonts w:hAnsi="宋体"/>
          <w:color w:val="auto"/>
          <w:highlight w:val="none"/>
        </w:rPr>
      </w:pPr>
      <w:r>
        <w:rPr>
          <w:rFonts w:hint="eastAsia" w:hAnsi="宋体"/>
          <w:color w:val="auto"/>
          <w:highlight w:val="none"/>
        </w:rPr>
        <w:t>10.9 乙方提供的服务在质量保证期内，因设计、工艺或材料的缺陷和其它质量原因造成的问题，由乙方负责解决并按实际情况赔偿甲方损失。</w:t>
      </w:r>
    </w:p>
    <w:p>
      <w:pPr>
        <w:pStyle w:val="22"/>
        <w:spacing w:line="360" w:lineRule="auto"/>
        <w:ind w:firstLine="420" w:firstLineChars="200"/>
        <w:rPr>
          <w:rFonts w:hAnsi="宋体"/>
          <w:color w:val="auto"/>
          <w:highlight w:val="none"/>
        </w:rPr>
      </w:pPr>
      <w:r>
        <w:rPr>
          <w:rFonts w:hint="eastAsia" w:hAnsi="宋体"/>
          <w:color w:val="auto"/>
          <w:highlight w:val="none"/>
        </w:rPr>
        <w:t>10.10乙方有其它违约行为的，每发生一次按合同总金额5%收取违约金。</w:t>
      </w:r>
    </w:p>
    <w:p>
      <w:pPr>
        <w:pStyle w:val="22"/>
        <w:spacing w:line="360" w:lineRule="auto"/>
        <w:ind w:firstLine="420" w:firstLineChars="200"/>
        <w:rPr>
          <w:rFonts w:hAnsi="宋体"/>
          <w:color w:val="auto"/>
          <w:highlight w:val="none"/>
        </w:rPr>
      </w:pPr>
      <w:r>
        <w:rPr>
          <w:rFonts w:hint="eastAsia" w:hAnsi="宋体"/>
          <w:color w:val="auto"/>
          <w:highlight w:val="none"/>
        </w:rPr>
        <w:t>10.11甲方根据本合同约定而解除合同的，有权不予支付任何款项给乙方，已经支付的，乙方应当自甲方要求返还之日起5日内予以返还，此外乙方还应支付合同总金额5%的违约金给甲方并赔偿甲方经济损失。</w:t>
      </w:r>
    </w:p>
    <w:p>
      <w:pPr>
        <w:pStyle w:val="22"/>
        <w:spacing w:line="360" w:lineRule="auto"/>
        <w:ind w:firstLine="420" w:firstLineChars="200"/>
        <w:rPr>
          <w:rFonts w:hAnsi="宋体"/>
          <w:color w:val="auto"/>
          <w:highlight w:val="none"/>
        </w:rPr>
      </w:pPr>
      <w:r>
        <w:rPr>
          <w:rFonts w:hint="eastAsia" w:hAnsi="宋体"/>
          <w:color w:val="auto"/>
          <w:highlight w:val="none"/>
        </w:rPr>
        <w:t>9.12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w:t>
      </w:r>
    </w:p>
    <w:p>
      <w:pPr>
        <w:pStyle w:val="22"/>
        <w:spacing w:line="360" w:lineRule="auto"/>
        <w:rPr>
          <w:rFonts w:hAnsi="宋体"/>
          <w:b/>
          <w:bCs/>
          <w:color w:val="auto"/>
          <w:sz w:val="24"/>
          <w:highlight w:val="none"/>
        </w:rPr>
      </w:pPr>
      <w:r>
        <w:rPr>
          <w:rFonts w:hint="eastAsia" w:hAnsi="宋体"/>
          <w:b/>
          <w:bCs/>
          <w:color w:val="auto"/>
          <w:sz w:val="24"/>
          <w:highlight w:val="none"/>
        </w:rPr>
        <w:t>11.  不可抗力事件处理</w:t>
      </w:r>
    </w:p>
    <w:p>
      <w:pPr>
        <w:pStyle w:val="22"/>
        <w:spacing w:line="360" w:lineRule="auto"/>
        <w:ind w:firstLine="420" w:firstLineChars="200"/>
        <w:rPr>
          <w:rFonts w:hAnsi="宋体"/>
          <w:color w:val="auto"/>
          <w:highlight w:val="none"/>
        </w:rPr>
      </w:pPr>
      <w:r>
        <w:rPr>
          <w:rFonts w:hint="eastAsia" w:hAnsi="宋体"/>
          <w:color w:val="auto"/>
          <w:highlight w:val="none"/>
        </w:rPr>
        <w:t>11.1 在合同有效期内，任何一方因不可抗力事件导致不能履行合同，则合同履行期可延长，其延长期与不可抗力影响期相同。</w:t>
      </w:r>
    </w:p>
    <w:p>
      <w:pPr>
        <w:pStyle w:val="22"/>
        <w:spacing w:line="360" w:lineRule="auto"/>
        <w:ind w:firstLine="420" w:firstLineChars="200"/>
        <w:rPr>
          <w:rFonts w:hAnsi="宋体"/>
          <w:color w:val="auto"/>
          <w:highlight w:val="none"/>
        </w:rPr>
      </w:pPr>
      <w:r>
        <w:rPr>
          <w:rFonts w:hint="eastAsia" w:hAnsi="宋体"/>
          <w:color w:val="auto"/>
          <w:highlight w:val="none"/>
        </w:rPr>
        <w:t>11.2 不可抗力事件发生后，应立即通知对方，并寄送有关权威机构出具的证明。</w:t>
      </w:r>
    </w:p>
    <w:p>
      <w:pPr>
        <w:pStyle w:val="22"/>
        <w:spacing w:line="360" w:lineRule="auto"/>
        <w:ind w:firstLine="420" w:firstLineChars="200"/>
        <w:rPr>
          <w:rFonts w:hAnsi="宋体"/>
          <w:color w:val="auto"/>
          <w:highlight w:val="none"/>
        </w:rPr>
      </w:pPr>
      <w:r>
        <w:rPr>
          <w:rFonts w:hint="eastAsia" w:hAnsi="宋体"/>
          <w:color w:val="auto"/>
          <w:highlight w:val="none"/>
        </w:rPr>
        <w:t>11.3 不可抗力事件延续120天以上，双方应通过友好协商，确定是否继续履行合同。</w:t>
      </w:r>
    </w:p>
    <w:p>
      <w:pPr>
        <w:pStyle w:val="22"/>
        <w:spacing w:line="360" w:lineRule="auto"/>
        <w:rPr>
          <w:rFonts w:hAnsi="宋体"/>
          <w:b/>
          <w:bCs/>
          <w:color w:val="auto"/>
          <w:sz w:val="24"/>
          <w:highlight w:val="none"/>
        </w:rPr>
      </w:pPr>
      <w:r>
        <w:rPr>
          <w:rFonts w:hint="eastAsia" w:hAnsi="宋体"/>
          <w:b/>
          <w:bCs/>
          <w:color w:val="auto"/>
          <w:sz w:val="24"/>
          <w:highlight w:val="none"/>
        </w:rPr>
        <w:t>12.  诉讼</w:t>
      </w:r>
    </w:p>
    <w:p>
      <w:pPr>
        <w:pStyle w:val="22"/>
        <w:tabs>
          <w:tab w:val="left" w:pos="0"/>
        </w:tabs>
        <w:spacing w:line="360" w:lineRule="auto"/>
        <w:ind w:firstLine="420" w:firstLineChars="200"/>
        <w:rPr>
          <w:rFonts w:hAnsi="宋体"/>
          <w:color w:val="auto"/>
          <w:highlight w:val="none"/>
        </w:rPr>
      </w:pPr>
      <w:r>
        <w:rPr>
          <w:rFonts w:hint="eastAsia" w:hAnsi="宋体"/>
          <w:color w:val="auto"/>
          <w:highlight w:val="none"/>
        </w:rPr>
        <w:t>12.1 双方在执行合同中所发生的一切争议，应通过协商解决。如协商不成，可向合同签订地法院起诉，合同签订地在此约定为广西南宁市。</w:t>
      </w:r>
    </w:p>
    <w:p>
      <w:pPr>
        <w:pStyle w:val="22"/>
        <w:spacing w:line="360" w:lineRule="auto"/>
        <w:rPr>
          <w:rFonts w:hAnsi="宋体"/>
          <w:b/>
          <w:bCs/>
          <w:color w:val="auto"/>
          <w:sz w:val="24"/>
          <w:highlight w:val="none"/>
        </w:rPr>
      </w:pPr>
      <w:r>
        <w:rPr>
          <w:rFonts w:hint="eastAsia" w:hAnsi="宋体"/>
          <w:b/>
          <w:bCs/>
          <w:color w:val="auto"/>
          <w:sz w:val="24"/>
          <w:highlight w:val="none"/>
        </w:rPr>
        <w:t>13.  合同生效及其它</w:t>
      </w:r>
    </w:p>
    <w:p>
      <w:pPr>
        <w:pStyle w:val="22"/>
        <w:spacing w:line="360" w:lineRule="auto"/>
        <w:ind w:firstLine="420" w:firstLineChars="200"/>
        <w:rPr>
          <w:rFonts w:hAnsi="宋体"/>
          <w:color w:val="auto"/>
          <w:highlight w:val="none"/>
        </w:rPr>
      </w:pPr>
      <w:r>
        <w:rPr>
          <w:rFonts w:hint="eastAsia" w:hAnsi="宋体"/>
          <w:color w:val="auto"/>
          <w:highlight w:val="none"/>
        </w:rPr>
        <w:t>13.1 合同经双方法定代表人或授权委托代理人签字并加盖单位公章后生效。</w:t>
      </w:r>
    </w:p>
    <w:p>
      <w:pPr>
        <w:pStyle w:val="22"/>
        <w:spacing w:line="360" w:lineRule="auto"/>
        <w:ind w:firstLine="420" w:firstLineChars="200"/>
        <w:rPr>
          <w:rFonts w:hAnsi="宋体"/>
          <w:color w:val="auto"/>
          <w:highlight w:val="none"/>
        </w:rPr>
      </w:pPr>
      <w:r>
        <w:rPr>
          <w:rFonts w:hint="eastAsia" w:hAnsi="宋体"/>
          <w:color w:val="auto"/>
          <w:highlight w:val="none"/>
        </w:rPr>
        <w:t>13.2 合同执行中涉及采购资金和采购内容修改或补充的，须经市财政部门审批，并签书面补充协议报南宁市政府采购监督管理部门备案，方可作为主合同不可分割的一部分。</w:t>
      </w:r>
    </w:p>
    <w:p>
      <w:pPr>
        <w:pStyle w:val="22"/>
        <w:spacing w:line="360" w:lineRule="auto"/>
        <w:ind w:firstLine="420" w:firstLineChars="200"/>
        <w:rPr>
          <w:rFonts w:hAnsi="宋体"/>
          <w:color w:val="auto"/>
          <w:highlight w:val="none"/>
        </w:rPr>
      </w:pPr>
      <w:r>
        <w:rPr>
          <w:rFonts w:hint="eastAsia" w:hAnsi="宋体"/>
          <w:color w:val="auto"/>
          <w:highlight w:val="none"/>
        </w:rPr>
        <w:t>13.3 下述合同附件为本合同不可分割的部分并与本合同具有同等效力：</w:t>
      </w:r>
    </w:p>
    <w:p>
      <w:pPr>
        <w:pStyle w:val="22"/>
        <w:spacing w:line="360" w:lineRule="auto"/>
        <w:ind w:firstLine="420" w:firstLineChars="200"/>
        <w:rPr>
          <w:rFonts w:hAnsi="宋体"/>
          <w:color w:val="auto"/>
          <w:highlight w:val="none"/>
        </w:rPr>
      </w:pPr>
      <w:r>
        <w:rPr>
          <w:rFonts w:hint="eastAsia" w:hAnsi="宋体"/>
          <w:color w:val="auto"/>
          <w:highlight w:val="none"/>
        </w:rPr>
        <w:t>(1)中标通知书</w:t>
      </w:r>
    </w:p>
    <w:p>
      <w:pPr>
        <w:pStyle w:val="22"/>
        <w:spacing w:line="360" w:lineRule="auto"/>
        <w:ind w:firstLine="420" w:firstLineChars="200"/>
        <w:rPr>
          <w:rFonts w:hAnsi="宋体"/>
          <w:color w:val="auto"/>
          <w:highlight w:val="none"/>
        </w:rPr>
      </w:pPr>
      <w:r>
        <w:rPr>
          <w:rFonts w:hint="eastAsia" w:hAnsi="宋体"/>
          <w:color w:val="auto"/>
          <w:highlight w:val="none"/>
        </w:rPr>
        <w:t>(2)招标文件服务需求一览表</w:t>
      </w:r>
    </w:p>
    <w:p>
      <w:pPr>
        <w:pStyle w:val="22"/>
        <w:spacing w:line="360" w:lineRule="auto"/>
        <w:ind w:firstLine="420" w:firstLineChars="200"/>
        <w:rPr>
          <w:rFonts w:hAnsi="宋体"/>
          <w:color w:val="auto"/>
          <w:highlight w:val="none"/>
        </w:rPr>
      </w:pPr>
      <w:r>
        <w:rPr>
          <w:rFonts w:hint="eastAsia" w:hAnsi="宋体"/>
          <w:color w:val="auto"/>
          <w:highlight w:val="none"/>
        </w:rPr>
        <w:t>(3)招标文件的更改通知（如有）</w:t>
      </w:r>
    </w:p>
    <w:p>
      <w:pPr>
        <w:pStyle w:val="22"/>
        <w:spacing w:line="360" w:lineRule="auto"/>
        <w:ind w:firstLine="420" w:firstLineChars="200"/>
        <w:rPr>
          <w:rFonts w:hAnsi="宋体"/>
          <w:color w:val="auto"/>
          <w:highlight w:val="none"/>
        </w:rPr>
      </w:pPr>
      <w:r>
        <w:rPr>
          <w:rFonts w:hint="eastAsia" w:hAnsi="宋体"/>
          <w:color w:val="auto"/>
          <w:highlight w:val="none"/>
        </w:rPr>
        <w:t>(4)投标函</w:t>
      </w:r>
    </w:p>
    <w:p>
      <w:pPr>
        <w:pStyle w:val="22"/>
        <w:spacing w:line="360" w:lineRule="auto"/>
        <w:ind w:firstLine="420" w:firstLineChars="200"/>
        <w:rPr>
          <w:rFonts w:hAnsi="宋体"/>
          <w:color w:val="auto"/>
          <w:highlight w:val="none"/>
        </w:rPr>
      </w:pPr>
      <w:r>
        <w:rPr>
          <w:rFonts w:hint="eastAsia" w:hAnsi="宋体"/>
          <w:color w:val="auto"/>
          <w:highlight w:val="none"/>
        </w:rPr>
        <w:t>(5)报价表</w:t>
      </w:r>
    </w:p>
    <w:p>
      <w:pPr>
        <w:pStyle w:val="22"/>
        <w:spacing w:line="360" w:lineRule="auto"/>
        <w:ind w:firstLine="420" w:firstLineChars="200"/>
        <w:rPr>
          <w:rFonts w:hAnsi="宋体"/>
          <w:color w:val="auto"/>
          <w:highlight w:val="none"/>
        </w:rPr>
      </w:pPr>
      <w:r>
        <w:rPr>
          <w:rFonts w:hint="eastAsia" w:hAnsi="宋体"/>
          <w:color w:val="auto"/>
          <w:highlight w:val="none"/>
        </w:rPr>
        <w:t>(6)投标服务技术资料表</w:t>
      </w:r>
    </w:p>
    <w:p>
      <w:pPr>
        <w:pStyle w:val="22"/>
        <w:spacing w:line="360" w:lineRule="auto"/>
        <w:ind w:firstLine="420" w:firstLineChars="200"/>
        <w:rPr>
          <w:rFonts w:hAnsi="宋体"/>
          <w:color w:val="auto"/>
          <w:highlight w:val="none"/>
        </w:rPr>
      </w:pPr>
      <w:r>
        <w:rPr>
          <w:rFonts w:hint="eastAsia" w:hAnsi="宋体"/>
          <w:color w:val="auto"/>
          <w:highlight w:val="none"/>
        </w:rPr>
        <w:t>(7)商务条款偏离表</w:t>
      </w:r>
    </w:p>
    <w:p>
      <w:pPr>
        <w:pStyle w:val="22"/>
        <w:spacing w:line="360" w:lineRule="auto"/>
        <w:ind w:firstLine="420" w:firstLineChars="200"/>
        <w:rPr>
          <w:rFonts w:hAnsi="宋体"/>
          <w:color w:val="auto"/>
          <w:highlight w:val="none"/>
        </w:rPr>
      </w:pPr>
      <w:r>
        <w:rPr>
          <w:rFonts w:hint="eastAsia" w:hAnsi="宋体"/>
          <w:color w:val="auto"/>
          <w:highlight w:val="none"/>
        </w:rPr>
        <w:t>(8)中标供应商澄清函（如有请提供）</w:t>
      </w:r>
    </w:p>
    <w:p>
      <w:pPr>
        <w:pStyle w:val="22"/>
        <w:spacing w:line="360" w:lineRule="auto"/>
        <w:ind w:firstLine="420" w:firstLineChars="200"/>
        <w:rPr>
          <w:rFonts w:hAnsi="宋体"/>
          <w:color w:val="auto"/>
          <w:highlight w:val="none"/>
        </w:rPr>
      </w:pPr>
      <w:r>
        <w:rPr>
          <w:rFonts w:hint="eastAsia" w:hAnsi="宋体"/>
          <w:color w:val="auto"/>
          <w:highlight w:val="none"/>
        </w:rPr>
        <w:t>(9)其他与本合同相关的资料（如有请提供）</w:t>
      </w:r>
    </w:p>
    <w:p>
      <w:pPr>
        <w:pStyle w:val="22"/>
        <w:spacing w:line="360" w:lineRule="auto"/>
        <w:ind w:firstLine="420" w:firstLineChars="200"/>
        <w:rPr>
          <w:rFonts w:hAnsi="宋体"/>
          <w:color w:val="auto"/>
          <w:highlight w:val="none"/>
        </w:rPr>
      </w:pPr>
      <w:r>
        <w:rPr>
          <w:rFonts w:hint="eastAsia" w:hAnsi="宋体"/>
          <w:color w:val="auto"/>
          <w:highlight w:val="none"/>
        </w:rPr>
        <w:t>13.4 本合同未尽事宜，遵照《中华人民共和国合同法》有关条文执行。</w:t>
      </w:r>
    </w:p>
    <w:p>
      <w:pPr>
        <w:pStyle w:val="22"/>
        <w:spacing w:line="360" w:lineRule="auto"/>
        <w:ind w:firstLine="420" w:firstLineChars="200"/>
        <w:rPr>
          <w:rFonts w:hAnsi="宋体"/>
          <w:color w:val="auto"/>
          <w:highlight w:val="none"/>
        </w:rPr>
      </w:pPr>
      <w:r>
        <w:rPr>
          <w:rFonts w:hint="eastAsia" w:hAnsi="宋体"/>
          <w:color w:val="auto"/>
          <w:highlight w:val="none"/>
        </w:rPr>
        <w:t>13.5 本合同正本一式两份，具有同等法律效力，甲乙双方各执一份；副本肆份。</w:t>
      </w:r>
    </w:p>
    <w:p>
      <w:pPr>
        <w:pStyle w:val="22"/>
        <w:spacing w:line="360" w:lineRule="auto"/>
        <w:rPr>
          <w:rFonts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 xml:space="preserve">    法定代表人：</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统一社会代码：</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开户银行：</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 xml:space="preserve">                                              银行账号：</w:t>
      </w:r>
      <w:r>
        <w:rPr>
          <w:rFonts w:hint="eastAsia" w:hAnsi="宋体"/>
          <w:color w:val="auto"/>
          <w:highlight w:val="none"/>
          <w:u w:val="single"/>
        </w:rPr>
        <w:t xml:space="preserve">                              </w:t>
      </w:r>
    </w:p>
    <w:p>
      <w:pPr>
        <w:pStyle w:val="22"/>
        <w:spacing w:line="360" w:lineRule="auto"/>
        <w:jc w:val="right"/>
        <w:rPr>
          <w:rFonts w:hAnsi="宋体"/>
          <w:color w:val="auto"/>
          <w:highlight w:val="none"/>
        </w:rPr>
      </w:pPr>
      <w:r>
        <w:rPr>
          <w:rFonts w:hint="eastAsia" w:hAnsi="宋体"/>
          <w:color w:val="auto"/>
          <w:highlight w:val="none"/>
        </w:rPr>
        <w:t xml:space="preserve">合同签订地点：广西南宁市 </w:t>
      </w:r>
    </w:p>
    <w:p>
      <w:pPr>
        <w:pStyle w:val="22"/>
        <w:spacing w:line="360" w:lineRule="auto"/>
        <w:jc w:val="right"/>
        <w:rPr>
          <w:rFonts w:hAnsi="宋体"/>
          <w:color w:val="auto"/>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pStyle w:val="22"/>
        <w:tabs>
          <w:tab w:val="left" w:pos="2472"/>
        </w:tabs>
        <w:snapToGrid w:val="0"/>
        <w:jc w:val="center"/>
        <w:rPr>
          <w:rFonts w:hAnsi="宋体"/>
          <w:color w:val="auto"/>
          <w:highlight w:val="none"/>
        </w:rPr>
      </w:pPr>
    </w:p>
    <w:p>
      <w:pPr>
        <w:pStyle w:val="22"/>
        <w:spacing w:line="360" w:lineRule="auto"/>
        <w:jc w:val="center"/>
        <w:rPr>
          <w:rFonts w:hAnsi="宋体" w:cs="宋体"/>
          <w:b/>
          <w:bCs/>
          <w:color w:val="auto"/>
          <w:sz w:val="36"/>
          <w:szCs w:val="36"/>
          <w:highlight w:val="none"/>
        </w:rPr>
      </w:pPr>
      <w:r>
        <w:rPr>
          <w:rFonts w:hint="eastAsia" w:hAnsi="宋体" w:cs="宋体"/>
          <w:color w:val="auto"/>
          <w:sz w:val="36"/>
          <w:szCs w:val="36"/>
          <w:highlight w:val="none"/>
        </w:rPr>
        <w:t>政府采购项目合同验收报告（格式）</w:t>
      </w:r>
    </w:p>
    <w:p>
      <w:pPr>
        <w:widowControl/>
        <w:snapToGrid w:val="0"/>
        <w:spacing w:before="100" w:beforeAutospacing="1" w:after="100" w:afterAutospacing="1" w:line="440" w:lineRule="exact"/>
        <w:ind w:firstLine="659"/>
        <w:jc w:val="left"/>
        <w:rPr>
          <w:rFonts w:ascii="宋体" w:hAnsi="宋体"/>
          <w:color w:val="auto"/>
          <w:kern w:val="0"/>
          <w:szCs w:val="21"/>
          <w:highlight w:val="none"/>
        </w:rPr>
      </w:pPr>
      <w:r>
        <w:rPr>
          <w:rFonts w:hint="eastAsia" w:ascii="宋体" w:hAnsi="宋体"/>
          <w:color w:val="auto"/>
          <w:kern w:val="0"/>
          <w:szCs w:val="21"/>
          <w:highlight w:val="none"/>
        </w:rPr>
        <w:t>根据政府采购合同</w:t>
      </w:r>
      <w:r>
        <w:rPr>
          <w:rFonts w:hint="eastAsia" w:ascii="宋体" w:hAnsi="宋体"/>
          <w:color w:val="auto"/>
          <w:kern w:val="0"/>
          <w:szCs w:val="21"/>
          <w:highlight w:val="none"/>
          <w:u w:val="single"/>
        </w:rPr>
        <w:t xml:space="preserve">（采购合同编号：    ）的约定，我单位对（项目名称）       政府采购项目中标（或成交）供应商（公司名称）       </w:t>
      </w:r>
      <w:r>
        <w:rPr>
          <w:rFonts w:hint="eastAsia" w:ascii="宋体" w:hAnsi="宋体"/>
          <w:color w:val="auto"/>
          <w:kern w:val="0"/>
          <w:szCs w:val="21"/>
          <w:highlight w:val="none"/>
        </w:rPr>
        <w:t>提供的或服务进行了验收，验收情况如下：</w:t>
      </w:r>
    </w:p>
    <w:tbl>
      <w:tblPr>
        <w:tblStyle w:val="37"/>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验收方式：</w:t>
            </w:r>
          </w:p>
        </w:tc>
        <w:tc>
          <w:tcPr>
            <w:tcW w:w="6218" w:type="dxa"/>
            <w:gridSpan w:val="5"/>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963"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名  称</w:t>
            </w:r>
          </w:p>
        </w:tc>
        <w:tc>
          <w:tcPr>
            <w:tcW w:w="3441" w:type="dxa"/>
            <w:gridSpan w:val="2"/>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服务内容、标准</w:t>
            </w:r>
          </w:p>
        </w:tc>
        <w:tc>
          <w:tcPr>
            <w:tcW w:w="998" w:type="dxa"/>
            <w:gridSpan w:val="2"/>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数量</w:t>
            </w:r>
          </w:p>
        </w:tc>
        <w:tc>
          <w:tcPr>
            <w:tcW w:w="1779"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与合同约定</w:t>
            </w:r>
          </w:p>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实际供货日期</w:t>
            </w:r>
          </w:p>
        </w:tc>
        <w:tc>
          <w:tcPr>
            <w:tcW w:w="3542" w:type="dxa"/>
            <w:gridSpan w:val="2"/>
            <w:vAlign w:val="center"/>
          </w:tcPr>
          <w:p>
            <w:pPr>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2522" w:type="dxa"/>
            <w:gridSpan w:val="2"/>
            <w:vAlign w:val="center"/>
          </w:tcPr>
          <w:p>
            <w:pPr>
              <w:snapToGrid w:val="0"/>
              <w:ind w:left="590"/>
              <w:jc w:val="left"/>
              <w:rPr>
                <w:rFonts w:ascii="宋体" w:hAnsi="宋体"/>
                <w:color w:val="auto"/>
                <w:kern w:val="0"/>
                <w:szCs w:val="21"/>
                <w:highlight w:val="none"/>
              </w:rPr>
            </w:pPr>
            <w:r>
              <w:rPr>
                <w:rFonts w:hint="eastAsia" w:ascii="宋体" w:hAnsi="宋体"/>
                <w:color w:val="auto"/>
                <w:kern w:val="0"/>
                <w:szCs w:val="21"/>
                <w:highlight w:val="none"/>
              </w:rPr>
              <w:t>合同交货验收日期</w:t>
            </w:r>
          </w:p>
        </w:tc>
        <w:tc>
          <w:tcPr>
            <w:tcW w:w="2117" w:type="dxa"/>
            <w:gridSpan w:val="2"/>
            <w:vAlign w:val="center"/>
          </w:tcPr>
          <w:p>
            <w:pPr>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验收小组意见</w:t>
            </w:r>
          </w:p>
        </w:tc>
        <w:tc>
          <w:tcPr>
            <w:tcW w:w="8181" w:type="dxa"/>
            <w:gridSpan w:val="6"/>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供应商签字或盖章：</w:t>
            </w:r>
          </w:p>
          <w:p>
            <w:pPr>
              <w:widowControl/>
              <w:jc w:val="left"/>
              <w:rPr>
                <w:rFonts w:ascii="宋体" w:hAnsi="宋体"/>
                <w:color w:val="auto"/>
                <w:kern w:val="0"/>
                <w:szCs w:val="21"/>
                <w:highlight w:val="none"/>
              </w:rPr>
            </w:pPr>
            <w:r>
              <w:rPr>
                <w:rFonts w:hint="eastAsia" w:ascii="宋体" w:hAnsi="宋体"/>
                <w:color w:val="auto"/>
                <w:kern w:val="0"/>
                <w:szCs w:val="21"/>
                <w:highlight w:val="none"/>
              </w:rPr>
              <w:t>联系方式：         年 月 日</w:t>
            </w:r>
          </w:p>
        </w:tc>
        <w:tc>
          <w:tcPr>
            <w:tcW w:w="4639" w:type="dxa"/>
            <w:gridSpan w:val="4"/>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采购单位盖章：</w:t>
            </w:r>
          </w:p>
          <w:p>
            <w:pPr>
              <w:widowControl/>
              <w:ind w:firstLine="2119"/>
              <w:jc w:val="left"/>
              <w:rPr>
                <w:rFonts w:ascii="宋体" w:hAnsi="宋体"/>
                <w:color w:val="auto"/>
                <w:kern w:val="0"/>
                <w:szCs w:val="21"/>
                <w:highlight w:val="none"/>
              </w:rPr>
            </w:pPr>
            <w:r>
              <w:rPr>
                <w:rFonts w:hint="eastAsia" w:ascii="宋体" w:hAnsi="宋体"/>
                <w:color w:val="auto"/>
                <w:kern w:val="0"/>
                <w:szCs w:val="21"/>
                <w:highlight w:val="none"/>
              </w:rPr>
              <w:t>年 月 日</w:t>
            </w:r>
          </w:p>
        </w:tc>
      </w:tr>
    </w:tbl>
    <w:p>
      <w:pPr>
        <w:widowControl/>
        <w:jc w:val="left"/>
        <w:rPr>
          <w:rFonts w:ascii="宋体" w:hAnsi="宋体" w:cs="宋体"/>
          <w:color w:val="auto"/>
          <w:kern w:val="0"/>
          <w:szCs w:val="21"/>
          <w:highlight w:val="none"/>
        </w:rPr>
      </w:pPr>
      <w:r>
        <w:rPr>
          <w:rFonts w:hint="eastAsia" w:ascii="宋体" w:hAnsi="宋体" w:cs="宋体"/>
          <w:color w:val="auto"/>
          <w:spacing w:val="-20"/>
          <w:kern w:val="0"/>
          <w:szCs w:val="21"/>
          <w:highlight w:val="none"/>
        </w:rPr>
        <w:t xml:space="preserve">备注：本 报 告 单 一 式 4 份 （ 采 购 单 位 1 份 、 供 应 商 1 份 、 采 购 监 督 部 门 备 案 1 份 、 采 购 代 理 机 构 1 份 </w:t>
      </w:r>
      <w:r>
        <w:rPr>
          <w:rFonts w:hint="eastAsia" w:ascii="宋体" w:hAnsi="宋体" w:cs="宋体"/>
          <w:color w:val="auto"/>
          <w:kern w:val="0"/>
          <w:szCs w:val="21"/>
          <w:highlight w:val="none"/>
        </w:rPr>
        <w:t>）。</w:t>
      </w:r>
    </w:p>
    <w:p>
      <w:pPr>
        <w:jc w:val="left"/>
        <w:rPr>
          <w:rFonts w:ascii="宋体" w:hAnsi="宋体"/>
          <w:color w:val="auto"/>
          <w:sz w:val="24"/>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outlineLvl w:val="0"/>
        <w:rPr>
          <w:rFonts w:hAnsi="宋体"/>
          <w:b/>
          <w:color w:val="auto"/>
          <w:sz w:val="44"/>
          <w:szCs w:val="44"/>
          <w:highlight w:val="none"/>
        </w:rPr>
      </w:pPr>
      <w:bookmarkStart w:id="102" w:name="_Toc20398"/>
      <w:bookmarkStart w:id="103" w:name="_Toc23334"/>
      <w:bookmarkStart w:id="104" w:name="_Toc17669"/>
      <w:r>
        <w:rPr>
          <w:rFonts w:hint="eastAsia" w:hAnsi="宋体"/>
          <w:b/>
          <w:color w:val="auto"/>
          <w:sz w:val="44"/>
          <w:szCs w:val="44"/>
          <w:highlight w:val="none"/>
        </w:rPr>
        <w:t>第六章 投标文件格式</w:t>
      </w:r>
      <w:bookmarkEnd w:id="102"/>
      <w:bookmarkEnd w:id="103"/>
      <w:bookmarkEnd w:id="104"/>
    </w:p>
    <w:p>
      <w:pPr>
        <w:spacing w:line="440" w:lineRule="atLeast"/>
        <w:jc w:val="center"/>
        <w:rPr>
          <w:rFonts w:ascii="宋体" w:hAnsi="宋体"/>
          <w:b/>
          <w:color w:val="auto"/>
          <w:sz w:val="32"/>
          <w:szCs w:val="32"/>
          <w:highlight w:val="none"/>
        </w:rPr>
      </w:pPr>
      <w:r>
        <w:rPr>
          <w:rFonts w:hint="eastAsia" w:ascii="宋体" w:hAnsi="宋体"/>
          <w:b/>
          <w:color w:val="auto"/>
          <w:sz w:val="32"/>
          <w:szCs w:val="32"/>
          <w:highlight w:val="none"/>
        </w:rPr>
        <w:t>（应根据项目的实际要求进行增减）</w:t>
      </w:r>
    </w:p>
    <w:p>
      <w:pPr>
        <w:snapToGrid w:val="0"/>
        <w:rPr>
          <w:rFonts w:ascii="宋体" w:hAnsi="宋体"/>
          <w:b/>
          <w:color w:val="auto"/>
          <w:sz w:val="24"/>
          <w:highlight w:val="none"/>
        </w:rPr>
      </w:pPr>
      <w:r>
        <w:rPr>
          <w:rFonts w:ascii="宋体" w:hAnsi="宋体"/>
          <w:color w:val="auto"/>
          <w:highlight w:val="none"/>
        </w:rPr>
        <w:br w:type="page"/>
      </w:r>
      <w:r>
        <w:rPr>
          <w:rFonts w:hint="eastAsia" w:ascii="宋体" w:hAnsi="宋体"/>
          <w:b/>
          <w:color w:val="auto"/>
          <w:sz w:val="24"/>
          <w:highlight w:val="none"/>
        </w:rPr>
        <w:t>开标一览表信封封面格式（可以手写，密封）：</w:t>
      </w:r>
    </w:p>
    <w:p>
      <w:pPr>
        <w:snapToGrid w:val="0"/>
        <w:rPr>
          <w:rFonts w:ascii="宋体" w:hAnsi="宋体"/>
          <w:color w:val="auto"/>
          <w:sz w:val="24"/>
          <w:highlight w:val="none"/>
        </w:rPr>
      </w:pPr>
    </w:p>
    <w:p>
      <w:pPr>
        <w:snapToGrid w:val="0"/>
        <w:rPr>
          <w:rFonts w:ascii="宋体" w:hAnsi="宋体"/>
          <w:color w:val="auto"/>
          <w:sz w:val="24"/>
          <w:highlight w:val="none"/>
        </w:rPr>
      </w:pPr>
    </w:p>
    <w:p>
      <w:pPr>
        <w:pStyle w:val="22"/>
        <w:snapToGrid w:val="0"/>
        <w:jc w:val="center"/>
        <w:rPr>
          <w:rFonts w:hAnsi="宋体"/>
          <w:color w:val="auto"/>
          <w:sz w:val="24"/>
          <w:szCs w:val="24"/>
          <w:highlight w:val="none"/>
        </w:rPr>
      </w:pPr>
      <w:r>
        <w:rPr>
          <w:rFonts w:hint="eastAsia" w:hAnsi="宋体"/>
          <w:color w:val="auto"/>
          <w:sz w:val="24"/>
          <w:szCs w:val="24"/>
          <w:highlight w:val="none"/>
        </w:rPr>
        <w:t>开标一览表</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p>
    <w:p>
      <w:pPr>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rPr>
        <w:t>　　</w:t>
      </w:r>
      <w:r>
        <w:rPr>
          <w:rFonts w:asciiTheme="minorEastAsia" w:hAnsiTheme="minorEastAsia" w:eastAsiaTheme="minorEastAsia"/>
          <w:color w:val="auto"/>
          <w:sz w:val="24"/>
          <w:highlight w:val="none"/>
        </w:rPr>
        <w:t>分标（此处有分标时填写具体分标号，无分标时填写“无”）</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Style w:val="22"/>
        <w:snapToGrid w:val="0"/>
        <w:jc w:val="center"/>
        <w:rPr>
          <w:rFonts w:hAnsi="宋体"/>
          <w:color w:val="auto"/>
          <w:sz w:val="24"/>
          <w:szCs w:val="24"/>
          <w:highlight w:val="none"/>
        </w:rPr>
      </w:pPr>
    </w:p>
    <w:p>
      <w:pPr>
        <w:pStyle w:val="22"/>
        <w:snapToGrid w:val="0"/>
        <w:jc w:val="center"/>
        <w:rPr>
          <w:rFonts w:hAnsi="宋体"/>
          <w:color w:val="auto"/>
          <w:sz w:val="24"/>
          <w:szCs w:val="24"/>
          <w:highlight w:val="none"/>
        </w:rPr>
      </w:pPr>
    </w:p>
    <w:p>
      <w:pPr>
        <w:rPr>
          <w:rFonts w:ascii="宋体" w:hAnsi="宋体"/>
          <w:color w:val="auto"/>
          <w:sz w:val="24"/>
          <w:highlight w:val="none"/>
        </w:rPr>
      </w:pPr>
    </w:p>
    <w:p>
      <w:pPr>
        <w:pStyle w:val="7"/>
        <w:snapToGrid w:val="0"/>
        <w:ind w:firstLine="3960" w:firstLineChars="1650"/>
        <w:rPr>
          <w:rFonts w:ascii="宋体" w:hAnsi="宋体"/>
          <w:color w:val="auto"/>
          <w:sz w:val="24"/>
          <w:szCs w:val="24"/>
          <w:highlight w:val="none"/>
        </w:rPr>
      </w:pPr>
      <w:r>
        <w:rPr>
          <w:rFonts w:hint="eastAsia" w:ascii="宋体" w:hAnsi="宋体"/>
          <w:color w:val="auto"/>
          <w:sz w:val="24"/>
          <w:szCs w:val="24"/>
          <w:highlight w:val="none"/>
        </w:rPr>
        <w:t>在开标时间之前不得启封</w:t>
      </w:r>
    </w:p>
    <w:p>
      <w:pPr>
        <w:pStyle w:val="7"/>
        <w:snapToGrid w:val="0"/>
        <w:ind w:firstLine="998" w:firstLineChars="416"/>
        <w:rPr>
          <w:rFonts w:ascii="宋体" w:hAnsi="宋体"/>
          <w:color w:val="auto"/>
          <w:sz w:val="24"/>
          <w:szCs w:val="24"/>
          <w:highlight w:val="none"/>
        </w:rPr>
      </w:pPr>
    </w:p>
    <w:p>
      <w:pPr>
        <w:snapToGrid w:val="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pPr>
        <w:snapToGrid w:val="0"/>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开标一览表（格式）</w:t>
      </w:r>
    </w:p>
    <w:p>
      <w:pPr>
        <w:snapToGrid w:val="0"/>
        <w:jc w:val="center"/>
        <w:rPr>
          <w:rFonts w:ascii="宋体" w:hAnsi="宋体"/>
          <w:b/>
          <w:color w:val="auto"/>
          <w:sz w:val="32"/>
          <w:szCs w:val="32"/>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snapToGrid w:val="0"/>
        <w:jc w:val="center"/>
        <w:rPr>
          <w:rFonts w:ascii="宋体" w:hAnsi="宋体"/>
          <w:b/>
          <w:color w:val="auto"/>
          <w:sz w:val="24"/>
          <w:highlight w:val="none"/>
        </w:rPr>
      </w:pP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 xml:space="preserve">编号：                                   </w:t>
      </w:r>
    </w:p>
    <w:p>
      <w:pPr>
        <w:snapToGrid w:val="0"/>
        <w:rPr>
          <w:rFonts w:ascii="仿宋_GB2312" w:eastAsia="仿宋_GB2312"/>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ind w:firstLine="480" w:firstLineChars="200"/>
        <w:jc w:val="left"/>
        <w:rPr>
          <w:rFonts w:ascii="仿宋_GB2312" w:eastAsia="仿宋_GB2312"/>
          <w:color w:val="auto"/>
          <w:sz w:val="24"/>
          <w:highlight w:val="none"/>
        </w:rPr>
      </w:pPr>
    </w:p>
    <w:tbl>
      <w:tblPr>
        <w:tblStyle w:val="37"/>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tabs>
                <w:tab w:val="left" w:pos="864"/>
              </w:tabs>
              <w:rPr>
                <w:rFonts w:hint="eastAsia" w:eastAsia="仿宋_GB2312"/>
                <w:color w:val="auto"/>
                <w:szCs w:val="21"/>
                <w:highlight w:val="none"/>
                <w:u w:val="single"/>
                <w:lang w:eastAsia="zh-CN"/>
              </w:rPr>
            </w:pPr>
            <w:r>
              <w:rPr>
                <w:rFonts w:hint="default" w:ascii="Times New Roman" w:hAnsi="Times New Roman" w:eastAsia="仿宋_GB2312" w:cs="Times New Roman"/>
                <w:color w:val="auto"/>
                <w:szCs w:val="21"/>
                <w:highlight w:val="none"/>
                <w:u w:val="none"/>
                <w:lang w:eastAsia="zh-CN"/>
              </w:rPr>
              <w:t>提交服务成果时间</w:t>
            </w:r>
            <w:r>
              <w:rPr>
                <w:rFonts w:hint="eastAsia" w:ascii="Times New Roman" w:hAnsi="Times New Roman" w:eastAsia="仿宋_GB2312" w:cs="Times New Roman"/>
                <w:color w:val="auto"/>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snapToGrid w:val="0"/>
        <w:ind w:firstLine="480" w:firstLineChars="200"/>
        <w:jc w:val="left"/>
        <w:rPr>
          <w:rFonts w:ascii="仿宋_GB2312" w:eastAsia="仿宋_GB2312"/>
          <w:color w:val="auto"/>
          <w:sz w:val="24"/>
          <w:highlight w:val="none"/>
        </w:rPr>
      </w:pPr>
    </w:p>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注：1、表格内容均需按要求填写并盖章，不得留空, 否则按投标无效处理。</w:t>
      </w:r>
    </w:p>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 xml:space="preserve">    2、以上“报价合计”应与“投标报价明细表”中的“报价合计”相一致。</w:t>
      </w:r>
    </w:p>
    <w:p>
      <w:pPr>
        <w:pStyle w:val="7"/>
        <w:snapToGrid w:val="0"/>
        <w:ind w:firstLine="960" w:firstLineChars="4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3、此表请单独用信封封装，信封封面请注明招标编号、标项、投标人名称及“开标一览表”字样。如有多个标段的，每表须分别单独用信封密封。</w:t>
      </w:r>
    </w:p>
    <w:p>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 xml:space="preserve">   </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b/>
          <w:bCs/>
          <w:color w:val="auto"/>
          <w:sz w:val="24"/>
          <w:highlight w:val="none"/>
        </w:rPr>
      </w:pPr>
      <w:r>
        <w:rPr>
          <w:rFonts w:ascii="宋体" w:hAnsi="宋体"/>
          <w:b/>
          <w:bCs/>
          <w:color w:val="auto"/>
          <w:sz w:val="32"/>
          <w:szCs w:val="32"/>
          <w:highlight w:val="none"/>
        </w:rPr>
        <w:br w:type="page"/>
      </w:r>
      <w:r>
        <w:rPr>
          <w:rFonts w:hint="eastAsia" w:ascii="宋体" w:hAnsi="宋体"/>
          <w:b/>
          <w:color w:val="auto"/>
          <w:sz w:val="24"/>
          <w:highlight w:val="none"/>
        </w:rPr>
        <w:t>1.封套</w:t>
      </w:r>
      <w:r>
        <w:rPr>
          <w:rFonts w:hint="eastAsia" w:ascii="宋体" w:hAnsi="宋体"/>
          <w:b/>
          <w:bCs/>
          <w:color w:val="auto"/>
          <w:sz w:val="24"/>
          <w:highlight w:val="none"/>
        </w:rPr>
        <w:t>格式：</w:t>
      </w:r>
    </w:p>
    <w:p>
      <w:pPr>
        <w:snapToGrid w:val="0"/>
        <w:rPr>
          <w:rFonts w:ascii="宋体" w:hAnsi="宋体"/>
          <w:bCs/>
          <w:color w:val="auto"/>
          <w:sz w:val="2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r>
        <w:rPr>
          <w:rFonts w:hint="eastAsia" w:ascii="宋体" w:hAnsi="宋体"/>
          <w:b/>
          <w:bCs/>
          <w:color w:val="auto"/>
          <w:sz w:val="44"/>
          <w:szCs w:val="44"/>
          <w:highlight w:val="none"/>
        </w:rPr>
        <w:t>投标文件</w:t>
      </w:r>
    </w:p>
    <w:p>
      <w:pPr>
        <w:snapToGrid w:val="0"/>
        <w:ind w:firstLine="1424" w:firstLineChars="445"/>
        <w:rPr>
          <w:rFonts w:ascii="宋体" w:hAnsi="宋体"/>
          <w:bCs/>
          <w:color w:val="auto"/>
          <w:sz w:val="32"/>
          <w:szCs w:val="32"/>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项目编号： </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标项（如有）：</w:t>
      </w: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7"/>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7"/>
        <w:snapToGrid w:val="0"/>
        <w:ind w:firstLine="1336" w:firstLineChars="416"/>
        <w:rPr>
          <w:rFonts w:ascii="宋体" w:hAnsi="宋体"/>
          <w:b/>
          <w:bCs/>
          <w:color w:val="auto"/>
          <w:sz w:val="32"/>
          <w:szCs w:val="32"/>
          <w:highlight w:val="none"/>
        </w:rPr>
      </w:pPr>
    </w:p>
    <w:p>
      <w:pPr>
        <w:pStyle w:val="7"/>
        <w:snapToGrid w:val="0"/>
        <w:ind w:firstLine="1336" w:firstLineChars="416"/>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在    年   月  日  时  分前不得开启日</w:t>
      </w:r>
    </w:p>
    <w:p>
      <w:pPr>
        <w:snapToGrid w:val="0"/>
        <w:rPr>
          <w:rFonts w:ascii="宋体" w:hAnsi="宋体"/>
          <w:b/>
          <w:color w:val="auto"/>
          <w:sz w:val="24"/>
          <w:highlight w:val="none"/>
        </w:rPr>
      </w:pPr>
    </w:p>
    <w:p>
      <w:pPr>
        <w:snapToGrid w:val="0"/>
        <w:rPr>
          <w:rFonts w:ascii="宋体" w:hAnsi="宋体"/>
          <w:b/>
          <w:color w:val="auto"/>
          <w:sz w:val="24"/>
          <w:highlight w:val="none"/>
        </w:rPr>
      </w:pPr>
      <w:r>
        <w:rPr>
          <w:rFonts w:ascii="宋体" w:hAnsi="宋体"/>
          <w:b/>
          <w:color w:val="auto"/>
          <w:sz w:val="24"/>
          <w:highlight w:val="none"/>
        </w:rPr>
        <w:br w:type="textWrapping"/>
      </w:r>
      <w:r>
        <w:rPr>
          <w:rFonts w:ascii="宋体" w:hAnsi="宋体"/>
          <w:b/>
          <w:color w:val="auto"/>
          <w:sz w:val="24"/>
          <w:highlight w:val="none"/>
        </w:rPr>
        <w:br w:type="page"/>
      </w:r>
      <w:r>
        <w:rPr>
          <w:rFonts w:hint="eastAsia" w:ascii="宋体" w:hAnsi="宋体"/>
          <w:b/>
          <w:color w:val="auto"/>
          <w:sz w:val="24"/>
          <w:highlight w:val="none"/>
        </w:rPr>
        <w:t xml:space="preserve">2.投标文件封面格式： </w:t>
      </w:r>
    </w:p>
    <w:p>
      <w:pPr>
        <w:snapToGrid w:val="0"/>
        <w:rPr>
          <w:rFonts w:ascii="宋体" w:hAnsi="宋体"/>
          <w:b/>
          <w:bCs/>
          <w:color w:val="auto"/>
          <w:sz w:val="44"/>
          <w:szCs w:val="44"/>
          <w:highlight w:val="none"/>
        </w:rPr>
      </w:pPr>
      <w:r>
        <w:rPr>
          <w:rFonts w:hint="eastAsia" w:ascii="宋体" w:hAnsi="宋体"/>
          <w:color w:val="auto"/>
          <w:sz w:val="24"/>
          <w:highlight w:val="none"/>
        </w:rPr>
        <w:t xml:space="preserve">                                              </w:t>
      </w:r>
      <w:r>
        <w:rPr>
          <w:rFonts w:hint="eastAsia" w:ascii="宋体" w:hAnsi="宋体"/>
          <w:b/>
          <w:bCs/>
          <w:color w:val="auto"/>
          <w:sz w:val="44"/>
          <w:szCs w:val="44"/>
          <w:highlight w:val="none"/>
        </w:rPr>
        <w:t>正本/或副本</w:t>
      </w:r>
    </w:p>
    <w:p>
      <w:pPr>
        <w:snapToGrid w:val="0"/>
        <w:rPr>
          <w:rFonts w:ascii="宋体" w:hAnsi="宋体"/>
          <w:b/>
          <w:color w:val="auto"/>
          <w:sz w:val="44"/>
          <w:szCs w:val="44"/>
          <w:highlight w:val="none"/>
        </w:rPr>
      </w:pPr>
    </w:p>
    <w:p>
      <w:pPr>
        <w:snapToGrid w:val="0"/>
        <w:jc w:val="center"/>
        <w:rPr>
          <w:rFonts w:ascii="宋体" w:hAnsi="宋体"/>
          <w:b/>
          <w:bCs/>
          <w:color w:val="auto"/>
          <w:sz w:val="44"/>
          <w:szCs w:val="44"/>
          <w:highlight w:val="none"/>
        </w:rPr>
      </w:pPr>
      <w:r>
        <w:rPr>
          <w:rFonts w:hint="eastAsia" w:ascii="宋体" w:hAnsi="宋体"/>
          <w:b/>
          <w:bCs/>
          <w:color w:val="auto"/>
          <w:sz w:val="44"/>
          <w:szCs w:val="44"/>
          <w:highlight w:val="none"/>
        </w:rPr>
        <w:t>投 标 文 件</w:t>
      </w:r>
    </w:p>
    <w:p>
      <w:pPr>
        <w:snapToGrid w:val="0"/>
        <w:rPr>
          <w:rFonts w:ascii="宋体" w:hAnsi="宋体"/>
          <w:bCs/>
          <w:color w:val="auto"/>
          <w:sz w:val="24"/>
          <w:highlight w:val="none"/>
        </w:rPr>
      </w:pPr>
    </w:p>
    <w:p>
      <w:pPr>
        <w:snapToGrid w:val="0"/>
        <w:ind w:firstLine="1424" w:firstLineChars="445"/>
        <w:rPr>
          <w:rFonts w:ascii="宋体" w:hAnsi="宋体"/>
          <w:bCs/>
          <w:color w:val="auto"/>
          <w:sz w:val="32"/>
          <w:szCs w:val="32"/>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 xml:space="preserve">项目编号： </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标    项：</w:t>
      </w:r>
    </w:p>
    <w:p>
      <w:pPr>
        <w:snapToGrid w:val="0"/>
        <w:ind w:firstLine="643" w:firstLineChars="200"/>
        <w:rPr>
          <w:rFonts w:ascii="宋体" w:hAnsi="宋体"/>
          <w:b/>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1" w:firstLineChars="416"/>
        <w:rPr>
          <w:rFonts w:ascii="宋体" w:hAnsi="宋体"/>
          <w:bCs/>
          <w:color w:val="auto"/>
          <w:sz w:val="32"/>
          <w:szCs w:val="32"/>
          <w:highlight w:val="none"/>
        </w:rPr>
      </w:pPr>
    </w:p>
    <w:p>
      <w:pPr>
        <w:pStyle w:val="7"/>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7"/>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7"/>
        <w:snapToGrid w:val="0"/>
        <w:ind w:firstLine="1285" w:firstLineChars="400"/>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年  月  日</w:t>
      </w:r>
    </w:p>
    <w:p>
      <w:pPr>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3.</w:t>
      </w:r>
      <w:r>
        <w:rPr>
          <w:rFonts w:hint="eastAsia" w:ascii="宋体" w:hAnsi="宋体"/>
          <w:b/>
          <w:bCs/>
          <w:color w:val="auto"/>
          <w:sz w:val="24"/>
          <w:highlight w:val="none"/>
        </w:rPr>
        <w:t>投标文件目录</w:t>
      </w:r>
    </w:p>
    <w:p>
      <w:pPr>
        <w:snapToGrid w:val="0"/>
        <w:rPr>
          <w:rFonts w:ascii="宋体" w:hAnsi="宋体"/>
          <w:color w:val="auto"/>
          <w:sz w:val="24"/>
          <w:highlight w:val="none"/>
        </w:rPr>
      </w:pPr>
    </w:p>
    <w:p>
      <w:pPr>
        <w:snapToGrid w:val="0"/>
        <w:jc w:val="left"/>
        <w:rPr>
          <w:rFonts w:ascii="宋体" w:hAnsi="宋体"/>
          <w:color w:val="auto"/>
          <w:sz w:val="24"/>
          <w:highlight w:val="none"/>
        </w:rPr>
      </w:pPr>
      <w:r>
        <w:rPr>
          <w:rFonts w:hint="eastAsia" w:ascii="宋体" w:hAnsi="宋体"/>
          <w:color w:val="auto"/>
          <w:sz w:val="24"/>
          <w:highlight w:val="none"/>
        </w:rPr>
        <w:t>按照招标文件第三章“投标人须知”中“三之（一）投标文件的组成”的顺序编排</w:t>
      </w:r>
    </w:p>
    <w:p>
      <w:pPr>
        <w:snapToGrid w:val="0"/>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投标函格式：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 标 函</w:t>
      </w:r>
    </w:p>
    <w:p>
      <w:pPr>
        <w:snapToGrid w:val="0"/>
        <w:jc w:val="center"/>
        <w:rPr>
          <w:rFonts w:ascii="宋体" w:hAnsi="宋体"/>
          <w:b/>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_（招标采购单位名称）：</w:t>
      </w:r>
    </w:p>
    <w:p>
      <w:pPr>
        <w:snapToGrid w:val="0"/>
        <w:ind w:firstLine="480"/>
        <w:rPr>
          <w:rFonts w:ascii="宋体" w:hAnsi="宋体"/>
          <w:color w:val="auto"/>
          <w:sz w:val="24"/>
          <w:highlight w:val="none"/>
        </w:rPr>
      </w:pPr>
      <w:r>
        <w:rPr>
          <w:rFonts w:hint="eastAsia" w:ascii="宋体" w:hAnsi="宋体"/>
          <w:color w:val="auto"/>
          <w:sz w:val="24"/>
          <w:highlight w:val="none"/>
        </w:rPr>
        <w:t>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项目的招标公告（项目编号：____），签字代表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（投标人名称）提交投标文件正本</w:t>
      </w:r>
      <w:r>
        <w:rPr>
          <w:rFonts w:hint="eastAsia" w:ascii="宋体" w:hAnsi="宋体"/>
          <w:color w:val="auto"/>
          <w:sz w:val="24"/>
          <w:highlight w:val="none"/>
          <w:u w:val="single"/>
        </w:rPr>
        <w:t xml:space="preserve">    </w:t>
      </w:r>
      <w:r>
        <w:rPr>
          <w:rFonts w:hint="eastAsia" w:ascii="宋体" w:hAnsi="宋体"/>
          <w:color w:val="auto"/>
          <w:sz w:val="24"/>
          <w:highlight w:val="none"/>
        </w:rPr>
        <w:t>份、副本</w:t>
      </w:r>
      <w:r>
        <w:rPr>
          <w:rFonts w:hint="eastAsia" w:ascii="宋体" w:hAnsi="宋体"/>
          <w:color w:val="auto"/>
          <w:sz w:val="24"/>
          <w:highlight w:val="none"/>
          <w:u w:val="single"/>
        </w:rPr>
        <w:t xml:space="preserve">   </w:t>
      </w:r>
      <w:r>
        <w:rPr>
          <w:rFonts w:hint="eastAsia" w:ascii="宋体" w:hAnsi="宋体"/>
          <w:color w:val="auto"/>
          <w:sz w:val="24"/>
          <w:highlight w:val="none"/>
        </w:rPr>
        <w:t>份。</w:t>
      </w:r>
    </w:p>
    <w:p>
      <w:pPr>
        <w:snapToGrid w:val="0"/>
        <w:ind w:firstLine="480" w:firstLineChars="200"/>
        <w:rPr>
          <w:rFonts w:ascii="宋体" w:hAnsi="宋体"/>
          <w:color w:val="auto"/>
          <w:sz w:val="24"/>
          <w:highlight w:val="none"/>
        </w:rPr>
      </w:pPr>
      <w:r>
        <w:rPr>
          <w:rFonts w:hint="eastAsia" w:ascii="宋体" w:hAnsi="宋体"/>
          <w:color w:val="auto"/>
          <w:sz w:val="24"/>
          <w:highlight w:val="none"/>
        </w:rPr>
        <w:t>据此函，签字代表宣布同意如下：</w:t>
      </w:r>
    </w:p>
    <w:p>
      <w:pPr>
        <w:snapToGrid w:val="0"/>
        <w:ind w:firstLine="480" w:firstLineChars="200"/>
        <w:rPr>
          <w:rFonts w:ascii="宋体" w:hAnsi="宋体"/>
          <w:color w:val="auto"/>
          <w:sz w:val="24"/>
          <w:highlight w:val="none"/>
        </w:rPr>
      </w:pPr>
      <w:r>
        <w:rPr>
          <w:rFonts w:hint="eastAsia" w:ascii="宋体" w:hAnsi="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pStyle w:val="22"/>
        <w:snapToGrid w:val="0"/>
        <w:ind w:firstLine="480" w:firstLineChars="200"/>
        <w:rPr>
          <w:rFonts w:hAnsi="宋体" w:cs="Times New Roman"/>
          <w:color w:val="auto"/>
          <w:sz w:val="24"/>
          <w:szCs w:val="24"/>
          <w:highlight w:val="none"/>
        </w:rPr>
      </w:pPr>
      <w:r>
        <w:rPr>
          <w:rFonts w:hint="eastAsia" w:hAnsi="宋体"/>
          <w:color w:val="auto"/>
          <w:sz w:val="24"/>
          <w:highlight w:val="none"/>
        </w:rPr>
        <w:t>2</w:t>
      </w:r>
      <w:r>
        <w:rPr>
          <w:rFonts w:hint="eastAsia" w:hAnsi="宋体" w:cs="Times New Roman"/>
          <w:color w:val="auto"/>
          <w:sz w:val="24"/>
          <w:szCs w:val="24"/>
          <w:highlight w:val="none"/>
        </w:rPr>
        <w:t>、按投标报价明细表报价。</w:t>
      </w:r>
    </w:p>
    <w:p>
      <w:pPr>
        <w:snapToGrid w:val="0"/>
        <w:ind w:firstLine="480" w:firstLineChars="200"/>
        <w:rPr>
          <w:rFonts w:ascii="宋体" w:hAnsi="宋体"/>
          <w:color w:val="auto"/>
          <w:sz w:val="24"/>
          <w:highlight w:val="none"/>
        </w:rPr>
      </w:pPr>
      <w:r>
        <w:rPr>
          <w:rFonts w:hint="eastAsia" w:ascii="宋体" w:hAnsi="宋体"/>
          <w:color w:val="auto"/>
          <w:sz w:val="24"/>
          <w:highlight w:val="none"/>
        </w:rPr>
        <w:t>3.投标人在投标之前已经与贵方进行了充分的沟通，完全理解并接受招标文件的各项规定和要求，对招标文件的合理性、合法性不再有异议。</w:t>
      </w:r>
    </w:p>
    <w:p>
      <w:pPr>
        <w:snapToGrid w:val="0"/>
        <w:ind w:firstLine="480" w:firstLineChars="200"/>
        <w:rPr>
          <w:rFonts w:ascii="宋体" w:hAnsi="宋体"/>
          <w:color w:val="auto"/>
          <w:sz w:val="24"/>
          <w:highlight w:val="none"/>
        </w:rPr>
      </w:pPr>
      <w:r>
        <w:rPr>
          <w:rFonts w:hint="eastAsia" w:ascii="宋体" w:hAnsi="宋体"/>
          <w:color w:val="auto"/>
          <w:sz w:val="24"/>
          <w:highlight w:val="none"/>
        </w:rPr>
        <w:t>4.本项目投标有效期为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天</w:t>
      </w:r>
    </w:p>
    <w:p>
      <w:pPr>
        <w:snapToGrid w:val="0"/>
        <w:ind w:firstLine="480" w:firstLineChars="200"/>
        <w:rPr>
          <w:rFonts w:ascii="宋体" w:hAnsi="宋体"/>
          <w:color w:val="auto"/>
          <w:sz w:val="24"/>
          <w:highlight w:val="none"/>
        </w:rPr>
      </w:pPr>
      <w:r>
        <w:rPr>
          <w:rFonts w:hint="eastAsia" w:ascii="宋体" w:hAnsi="宋体"/>
          <w:color w:val="auto"/>
          <w:sz w:val="24"/>
          <w:highlight w:val="none"/>
        </w:rPr>
        <w:t>5.如中标，本投标文件至本项目合同履行完毕止均保持有效，本投标人将按“招标文件”及政府采购法律、法规的规定履行合同责任和义务。</w:t>
      </w:r>
    </w:p>
    <w:p>
      <w:pPr>
        <w:snapToGrid w:val="0"/>
        <w:ind w:firstLine="480" w:firstLineChars="200"/>
        <w:rPr>
          <w:rFonts w:ascii="宋体" w:hAnsi="宋体"/>
          <w:color w:val="auto"/>
          <w:sz w:val="24"/>
          <w:highlight w:val="none"/>
        </w:rPr>
      </w:pPr>
      <w:r>
        <w:rPr>
          <w:rFonts w:hint="eastAsia" w:ascii="宋体" w:hAnsi="宋体"/>
          <w:color w:val="auto"/>
          <w:sz w:val="24"/>
          <w:highlight w:val="none"/>
        </w:rPr>
        <w:t>6.投标人同意按照贵方要求提供与投标有关的一切数据或资料。</w:t>
      </w:r>
    </w:p>
    <w:p>
      <w:pPr>
        <w:snapToGrid w:val="0"/>
        <w:ind w:firstLine="480" w:firstLineChars="200"/>
        <w:rPr>
          <w:rFonts w:ascii="宋体" w:hAnsi="宋体"/>
          <w:color w:val="auto"/>
          <w:sz w:val="24"/>
          <w:highlight w:val="none"/>
        </w:rPr>
      </w:pPr>
      <w:r>
        <w:rPr>
          <w:rFonts w:hint="eastAsia" w:ascii="宋体" w:hAnsi="宋体"/>
          <w:color w:val="auto"/>
          <w:sz w:val="24"/>
          <w:highlight w:val="none"/>
        </w:rPr>
        <w:t>7.与本投标有关的一切正式往来信函请寄：</w:t>
      </w:r>
    </w:p>
    <w:p>
      <w:pPr>
        <w:snapToGrid w:val="0"/>
        <w:ind w:firstLine="480" w:firstLineChars="200"/>
        <w:rPr>
          <w:rFonts w:ascii="宋体" w:hAnsi="宋体"/>
          <w:color w:val="auto"/>
          <w:sz w:val="24"/>
          <w:highlight w:val="none"/>
        </w:rPr>
      </w:pPr>
      <w:r>
        <w:rPr>
          <w:rFonts w:hint="eastAsia" w:ascii="宋体" w:hAnsi="宋体"/>
          <w:color w:val="auto"/>
          <w:sz w:val="24"/>
          <w:highlight w:val="none"/>
        </w:rPr>
        <w:t>地址：__________</w:t>
      </w:r>
      <w:r>
        <w:rPr>
          <w:rFonts w:hint="eastAsia" w:ascii="宋体" w:hAnsi="宋体"/>
          <w:color w:val="auto"/>
          <w:sz w:val="24"/>
          <w:highlight w:val="none"/>
          <w:u w:val="single"/>
        </w:rPr>
        <w:t xml:space="preserve">        </w:t>
      </w:r>
      <w:r>
        <w:rPr>
          <w:rFonts w:hint="eastAsia" w:ascii="宋体" w:hAnsi="宋体"/>
          <w:color w:val="auto"/>
          <w:sz w:val="24"/>
          <w:highlight w:val="none"/>
        </w:rPr>
        <w:t>__邮编：__________   电话：_____________</w:t>
      </w: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r>
        <w:rPr>
          <w:rFonts w:hint="eastAsia" w:ascii="宋体" w:hAnsi="宋体"/>
          <w:color w:val="auto"/>
          <w:sz w:val="24"/>
          <w:highlight w:val="none"/>
        </w:rPr>
        <w:t>传真：___________   投标人代表姓名 _________ 职务：______</w:t>
      </w:r>
      <w:r>
        <w:rPr>
          <w:rFonts w:hint="eastAsia" w:ascii="宋体" w:hAnsi="宋体"/>
          <w:color w:val="auto"/>
          <w:sz w:val="24"/>
          <w:highlight w:val="none"/>
          <w:u w:val="single"/>
        </w:rPr>
        <w:t xml:space="preserve"> </w:t>
      </w:r>
      <w:r>
        <w:rPr>
          <w:rFonts w:hint="eastAsia" w:ascii="宋体" w:hAnsi="宋体"/>
          <w:color w:val="auto"/>
          <w:sz w:val="24"/>
          <w:highlight w:val="none"/>
        </w:rPr>
        <w:t>_______</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ind w:firstLine="360" w:firstLineChars="150"/>
        <w:rPr>
          <w:rFonts w:ascii="宋体" w:hAnsi="宋体"/>
          <w:color w:val="auto"/>
          <w:sz w:val="24"/>
          <w:highlight w:val="none"/>
        </w:rPr>
      </w:pPr>
      <w:r>
        <w:rPr>
          <w:rFonts w:hint="eastAsia" w:ascii="宋体" w:hAnsi="宋体"/>
          <w:color w:val="auto"/>
          <w:sz w:val="24"/>
          <w:highlight w:val="none"/>
        </w:rPr>
        <w:t>投标人名称:_________________</w:t>
      </w:r>
    </w:p>
    <w:p>
      <w:pPr>
        <w:snapToGrid w:val="0"/>
        <w:ind w:firstLine="360" w:firstLineChars="150"/>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jc w:val="center"/>
        <w:rPr>
          <w:rFonts w:ascii="宋体" w:hAnsi="宋体"/>
          <w:color w:val="auto"/>
          <w:sz w:val="24"/>
          <w:highlight w:val="none"/>
        </w:rPr>
      </w:pPr>
    </w:p>
    <w:p>
      <w:pPr>
        <w:snapToGrid w:val="0"/>
        <w:jc w:val="center"/>
        <w:rPr>
          <w:rFonts w:ascii="宋体" w:hAnsi="宋体"/>
          <w:color w:val="auto"/>
          <w:sz w:val="24"/>
          <w:highlight w:val="none"/>
        </w:rPr>
      </w:pPr>
    </w:p>
    <w:p>
      <w:pPr>
        <w:snapToGrid w:val="0"/>
        <w:ind w:firstLine="5040" w:firstLineChars="2100"/>
        <w:rPr>
          <w:rFonts w:ascii="宋体" w:hAnsi="宋体"/>
          <w:color w:val="auto"/>
          <w:sz w:val="24"/>
          <w:highlight w:val="none"/>
        </w:rPr>
      </w:pPr>
    </w:p>
    <w:p>
      <w:pPr>
        <w:snapToGrid w:val="0"/>
        <w:ind w:firstLine="1920" w:firstLineChars="800"/>
        <w:rPr>
          <w:rFonts w:asciiTheme="minorEastAsia" w:hAnsiTheme="minorEastAsia" w:eastAsiaTheme="minorEastAsia"/>
          <w:color w:val="auto"/>
          <w:sz w:val="24"/>
          <w:highlight w:val="none"/>
        </w:rPr>
      </w:pPr>
      <w:r>
        <w:rPr>
          <w:rFonts w:hint="eastAsia" w:ascii="宋体" w:hAnsi="宋体"/>
          <w:color w:val="auto"/>
          <w:sz w:val="24"/>
          <w:highlight w:val="none"/>
        </w:rPr>
        <w:t xml:space="preserve">  </w:t>
      </w:r>
      <w:r>
        <w:rPr>
          <w:rFonts w:hint="eastAsia" w:asciiTheme="minorEastAsia" w:hAnsiTheme="minorEastAsia" w:eastAsiaTheme="minorEastAsia"/>
          <w:color w:val="auto"/>
          <w:sz w:val="24"/>
          <w:highlight w:val="none"/>
        </w:rPr>
        <w:t xml:space="preserve">                  </w:t>
      </w:r>
    </w:p>
    <w:p>
      <w:pPr>
        <w:snapToGrid w:val="0"/>
        <w:ind w:left="149" w:hanging="148" w:hangingChars="6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widowControl/>
        <w:jc w:val="left"/>
        <w:rPr>
          <w:rFonts w:ascii="宋体" w:hAnsi="宋体"/>
          <w:color w:val="auto"/>
          <w:highlight w:val="none"/>
        </w:rPr>
      </w:pPr>
      <w:r>
        <w:rPr>
          <w:rFonts w:ascii="宋体" w:hAnsi="宋体"/>
          <w:color w:val="auto"/>
          <w:highlight w:val="none"/>
        </w:rPr>
        <w:br w:type="page"/>
      </w:r>
    </w:p>
    <w:p>
      <w:pPr>
        <w:snapToGrid w:val="0"/>
        <w:ind w:firstLine="2289" w:firstLineChars="950"/>
        <w:rPr>
          <w:rFonts w:ascii="宋体" w:hAnsi="宋体"/>
          <w:b/>
          <w:color w:val="auto"/>
          <w:sz w:val="24"/>
          <w:highlight w:val="none"/>
        </w:rPr>
      </w:pPr>
    </w:p>
    <w:p>
      <w:pPr>
        <w:snapToGrid w:val="0"/>
        <w:rPr>
          <w:rFonts w:ascii="宋体" w:hAnsi="宋体"/>
          <w:b/>
          <w:color w:val="auto"/>
          <w:sz w:val="24"/>
          <w:highlight w:val="none"/>
        </w:rPr>
      </w:pPr>
      <w:r>
        <w:rPr>
          <w:rFonts w:hint="eastAsia" w:ascii="宋体" w:hAnsi="宋体"/>
          <w:b/>
          <w:color w:val="auto"/>
          <w:sz w:val="24"/>
          <w:highlight w:val="none"/>
        </w:rPr>
        <w:t xml:space="preserve">投标报价明细表格式： </w:t>
      </w:r>
    </w:p>
    <w:p>
      <w:pPr>
        <w:pStyle w:val="22"/>
        <w:snapToGrid w:val="0"/>
        <w:jc w:val="center"/>
        <w:rPr>
          <w:rFonts w:hAnsi="宋体"/>
          <w:b/>
          <w:color w:val="auto"/>
          <w:sz w:val="32"/>
          <w:szCs w:val="32"/>
          <w:highlight w:val="none"/>
        </w:rPr>
      </w:pPr>
    </w:p>
    <w:p>
      <w:pPr>
        <w:pStyle w:val="22"/>
        <w:snapToGrid w:val="0"/>
        <w:jc w:val="center"/>
        <w:rPr>
          <w:rFonts w:hAnsi="宋体"/>
          <w:b/>
          <w:color w:val="auto"/>
          <w:sz w:val="32"/>
          <w:szCs w:val="32"/>
          <w:highlight w:val="none"/>
        </w:rPr>
      </w:pPr>
      <w:r>
        <w:rPr>
          <w:rFonts w:hint="eastAsia" w:hAnsi="宋体"/>
          <w:b/>
          <w:color w:val="auto"/>
          <w:sz w:val="32"/>
          <w:szCs w:val="32"/>
          <w:highlight w:val="none"/>
        </w:rPr>
        <w:t>投标报价明细表</w:t>
      </w:r>
    </w:p>
    <w:tbl>
      <w:tblPr>
        <w:tblStyle w:val="37"/>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ind w:firstLine="480" w:firstLineChars="200"/>
        <w:rPr>
          <w:rFonts w:ascii="仿宋_GB2312" w:eastAsia="仿宋_GB2312"/>
          <w:color w:val="auto"/>
          <w:sz w:val="24"/>
          <w:highlight w:val="none"/>
        </w:rPr>
      </w:pP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注：表格内容均需按要求填写并盖章，不得留空,</w:t>
      </w:r>
      <w:r>
        <w:rPr>
          <w:rFonts w:hint="eastAsia" w:ascii="仿宋_GB2312" w:eastAsia="仿宋_GB2312"/>
          <w:bCs/>
          <w:color w:val="auto"/>
          <w:sz w:val="24"/>
          <w:highlight w:val="none"/>
        </w:rPr>
        <w:t xml:space="preserve"> 否则按投标无效处理</w:t>
      </w:r>
      <w:r>
        <w:rPr>
          <w:rFonts w:hint="eastAsia" w:ascii="仿宋_GB2312" w:eastAsia="仿宋_GB2312"/>
          <w:color w:val="auto"/>
          <w:sz w:val="24"/>
          <w:highlight w:val="none"/>
        </w:rPr>
        <w:t>。</w:t>
      </w: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pStyle w:val="22"/>
        <w:ind w:firstLine="600" w:firstLineChars="250"/>
        <w:rPr>
          <w:rFonts w:hAnsi="宋体"/>
          <w:b/>
          <w:bCs/>
          <w:color w:val="auto"/>
          <w:sz w:val="24"/>
          <w:szCs w:val="24"/>
          <w:highlight w:val="none"/>
        </w:rPr>
      </w:pPr>
      <w:r>
        <w:rPr>
          <w:rFonts w:hint="eastAsia" w:hAnsi="宋体"/>
          <w:color w:val="auto"/>
          <w:sz w:val="24"/>
          <w:highlight w:val="none"/>
        </w:rPr>
        <w:t xml:space="preserve">     </w:t>
      </w:r>
    </w:p>
    <w:p>
      <w:pPr>
        <w:tabs>
          <w:tab w:val="left" w:pos="3870"/>
          <w:tab w:val="left" w:pos="4085"/>
        </w:tabs>
        <w:snapToGrid w:val="0"/>
        <w:ind w:firstLine="480" w:firstLineChars="200"/>
        <w:rPr>
          <w:rFonts w:ascii="宋体" w:hAnsi="宋体"/>
          <w:color w:val="auto"/>
          <w:highlight w:val="none"/>
        </w:rPr>
      </w:pPr>
      <w:r>
        <w:rPr>
          <w:rFonts w:hAnsi="宋体"/>
          <w:color w:val="auto"/>
          <w:sz w:val="24"/>
          <w:highlight w:val="none"/>
        </w:rPr>
        <w:br w:type="page"/>
      </w:r>
    </w:p>
    <w:p>
      <w:pPr>
        <w:rPr>
          <w:rFonts w:ascii="宋体" w:hAnsi="宋体"/>
          <w:color w:val="auto"/>
          <w:highlight w:val="none"/>
        </w:rPr>
      </w:pPr>
    </w:p>
    <w:p>
      <w:pPr>
        <w:tabs>
          <w:tab w:val="left" w:pos="3870"/>
          <w:tab w:val="left" w:pos="4085"/>
        </w:tabs>
        <w:snapToGrid w:val="0"/>
        <w:ind w:firstLine="482" w:firstLineChars="200"/>
        <w:rPr>
          <w:rFonts w:ascii="宋体" w:hAnsi="宋体"/>
          <w:b/>
          <w:color w:val="auto"/>
          <w:sz w:val="24"/>
          <w:highlight w:val="none"/>
        </w:rPr>
      </w:pPr>
      <w:r>
        <w:rPr>
          <w:rFonts w:hint="eastAsia" w:ascii="宋体" w:hAnsi="宋体"/>
          <w:b/>
          <w:color w:val="auto"/>
          <w:sz w:val="24"/>
          <w:highlight w:val="none"/>
        </w:rPr>
        <w:t>投标声明书格式：</w:t>
      </w:r>
    </w:p>
    <w:p>
      <w:pPr>
        <w:snapToGrid w:val="0"/>
        <w:jc w:val="left"/>
        <w:rPr>
          <w:rFonts w:ascii="宋体" w:hAnsi="宋体"/>
          <w:color w:val="auto"/>
          <w:sz w:val="24"/>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投标声明书</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spacing w:line="4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（招标采购单位名称）：</w:t>
      </w:r>
    </w:p>
    <w:p>
      <w:pPr>
        <w:snapToGrid w:val="0"/>
        <w:spacing w:line="460" w:lineRule="exact"/>
        <w:ind w:firstLine="630" w:firstLineChars="300"/>
        <w:rPr>
          <w:rFonts w:ascii="宋体" w:hAnsi="宋体"/>
          <w:color w:val="auto"/>
          <w:szCs w:val="21"/>
          <w:highlight w:val="none"/>
        </w:rPr>
      </w:pPr>
      <w:r>
        <w:rPr>
          <w:rFonts w:hint="eastAsia" w:ascii="宋体" w:hAnsi="宋体"/>
          <w:color w:val="auto"/>
          <w:szCs w:val="21"/>
          <w:highlight w:val="none"/>
        </w:rPr>
        <w:t>______（投标人名称）系中华人民共和国合法企业，经营地址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460" w:lineRule="exact"/>
        <w:ind w:firstLine="645"/>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3.我方在参加政府采购活动前3年内在经营活动中</w:t>
      </w:r>
      <w:r>
        <w:rPr>
          <w:rFonts w:hint="eastAsia" w:cs="Arial"/>
          <w:bCs/>
          <w:color w:val="auto"/>
          <w:szCs w:val="21"/>
          <w:highlight w:val="none"/>
          <w:u w:val="single"/>
        </w:rPr>
        <w:t xml:space="preserve">        （填</w:t>
      </w:r>
      <w:r>
        <w:rPr>
          <w:rFonts w:hint="eastAsia" w:ascii="宋体" w:hAnsi="宋体"/>
          <w:color w:val="auto"/>
          <w:szCs w:val="21"/>
          <w:highlight w:val="none"/>
          <w:u w:val="single"/>
        </w:rPr>
        <w:t>没有或有</w:t>
      </w:r>
      <w:r>
        <w:rPr>
          <w:rFonts w:hint="eastAsia" w:cs="Arial"/>
          <w:bCs/>
          <w:color w:val="auto"/>
          <w:szCs w:val="21"/>
          <w:highlight w:val="none"/>
          <w:u w:val="single"/>
        </w:rPr>
        <w:t>）</w:t>
      </w:r>
      <w:r>
        <w:rPr>
          <w:rFonts w:hint="eastAsia" w:ascii="宋体" w:hAnsi="宋体"/>
          <w:color w:val="auto"/>
          <w:szCs w:val="21"/>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4、我方在“信用中国”或“中国政府采购网”的被列为失信被执行人、重大税收违法案件当事人名单、政府采购严重违法失信行为记录名单情况：</w:t>
      </w:r>
      <w:r>
        <w:rPr>
          <w:rFonts w:hint="eastAsia" w:cs="Arial"/>
          <w:bCs/>
          <w:color w:val="auto"/>
          <w:szCs w:val="21"/>
          <w:highlight w:val="none"/>
          <w:u w:val="single"/>
        </w:rPr>
        <w:t xml:space="preserve">            </w:t>
      </w:r>
      <w:r>
        <w:rPr>
          <w:rFonts w:hint="eastAsia" w:cs="Arial"/>
          <w:bCs/>
          <w:color w:val="auto"/>
          <w:szCs w:val="21"/>
          <w:highlight w:val="none"/>
        </w:rPr>
        <w:t xml:space="preserve"> 。</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5.以上事项如有虚假或隐瞒，我方愿意承担一切后果，并不再寻求任何旨在减轻或免除法律责任的辩解。</w:t>
      </w:r>
    </w:p>
    <w:p>
      <w:pPr>
        <w:pStyle w:val="20"/>
        <w:tabs>
          <w:tab w:val="left" w:pos="939"/>
        </w:tabs>
        <w:snapToGrid w:val="0"/>
        <w:spacing w:line="460" w:lineRule="exact"/>
        <w:ind w:left="401" w:leftChars="0" w:hanging="401" w:hangingChars="191"/>
        <w:rPr>
          <w:rFonts w:ascii="宋体" w:hAnsi="宋体"/>
          <w:color w:val="auto"/>
          <w:sz w:val="21"/>
          <w:szCs w:val="21"/>
          <w:highlight w:val="none"/>
        </w:rPr>
      </w:pPr>
    </w:p>
    <w:p>
      <w:pPr>
        <w:pStyle w:val="20"/>
        <w:tabs>
          <w:tab w:val="left" w:pos="939"/>
        </w:tabs>
        <w:snapToGrid w:val="0"/>
        <w:spacing w:line="420" w:lineRule="exact"/>
        <w:ind w:left="401" w:leftChars="0" w:hanging="401" w:hangingChars="191"/>
        <w:rPr>
          <w:rFonts w:ascii="宋体" w:hAnsi="宋体"/>
          <w:color w:val="auto"/>
          <w:sz w:val="21"/>
          <w:szCs w:val="21"/>
          <w:highlight w:val="none"/>
        </w:rPr>
      </w:pPr>
    </w:p>
    <w:p>
      <w:pPr>
        <w:pStyle w:val="20"/>
        <w:tabs>
          <w:tab w:val="left" w:pos="939"/>
        </w:tabs>
        <w:snapToGrid w:val="0"/>
        <w:spacing w:line="420" w:lineRule="exact"/>
        <w:ind w:left="401" w:leftChars="0" w:hanging="401" w:hangingChars="191"/>
        <w:rPr>
          <w:rFonts w:ascii="宋体" w:hAnsi="宋体"/>
          <w:color w:val="auto"/>
          <w:sz w:val="21"/>
          <w:szCs w:val="21"/>
          <w:highlight w:val="none"/>
        </w:rPr>
      </w:pPr>
    </w:p>
    <w:p>
      <w:pPr>
        <w:pStyle w:val="20"/>
        <w:tabs>
          <w:tab w:val="left" w:pos="939"/>
        </w:tabs>
        <w:snapToGrid w:val="0"/>
        <w:spacing w:line="420" w:lineRule="exact"/>
        <w:ind w:left="401" w:leftChars="0" w:hanging="401" w:hangingChars="191"/>
        <w:rPr>
          <w:rFonts w:ascii="宋体" w:hAnsi="宋体"/>
          <w:color w:val="auto"/>
          <w:sz w:val="21"/>
          <w:szCs w:val="21"/>
          <w:highlight w:val="none"/>
        </w:rPr>
      </w:pPr>
    </w:p>
    <w:p>
      <w:pPr>
        <w:pStyle w:val="101"/>
        <w:snapToGrid w:val="0"/>
        <w:spacing w:line="420" w:lineRule="exact"/>
        <w:ind w:firstLine="200"/>
        <w:rPr>
          <w:rFonts w:ascii="宋体" w:hAnsi="宋体"/>
          <w:color w:val="auto"/>
          <w:sz w:val="21"/>
          <w:szCs w:val="21"/>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color w:val="auto"/>
          <w:highlight w:val="none"/>
        </w:rPr>
      </w:pPr>
    </w:p>
    <w:p>
      <w:pPr>
        <w:snapToGrid w:val="0"/>
        <w:jc w:val="left"/>
        <w:rPr>
          <w:rFonts w:ascii="宋体" w:hAnsi="宋体"/>
          <w:color w:val="auto"/>
          <w:highlight w:val="none"/>
        </w:rPr>
      </w:pPr>
    </w:p>
    <w:p>
      <w:pPr>
        <w:widowControl/>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投标人参加政府采购活动前3年内在经营活动中没有重大违法记录的声明</w:t>
      </w: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致：广西建设工程机电设备招标中心有限公司</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color w:val="auto"/>
          <w:sz w:val="24"/>
          <w:highlight w:val="none"/>
        </w:rPr>
        <w:t>款等行政处</w:t>
      </w:r>
      <w:r>
        <w:rPr>
          <w:rFonts w:hint="eastAsia" w:ascii="宋体" w:hAnsi="宋体" w:cs="宋体"/>
          <w:color w:val="auto"/>
          <w:kern w:val="0"/>
          <w:sz w:val="24"/>
          <w:highlight w:val="none"/>
        </w:rPr>
        <w:t>罚）</w:t>
      </w: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法定代表人身份证明书格式：</w:t>
      </w:r>
    </w:p>
    <w:p>
      <w:pPr>
        <w:jc w:val="center"/>
        <w:rPr>
          <w:rFonts w:ascii="宋体" w:hAnsi="宋体"/>
          <w:b/>
          <w:color w:val="auto"/>
          <w:sz w:val="32"/>
          <w:highlight w:val="none"/>
        </w:rPr>
      </w:pPr>
      <w:r>
        <w:rPr>
          <w:rFonts w:hint="eastAsia" w:ascii="宋体" w:hAnsi="宋体"/>
          <w:b/>
          <w:color w:val="auto"/>
          <w:sz w:val="32"/>
          <w:highlight w:val="none"/>
        </w:rPr>
        <w:t>法定代表人身份证明书</w:t>
      </w:r>
    </w:p>
    <w:p>
      <w:pPr>
        <w:ind w:firstLine="840" w:firstLineChars="400"/>
        <w:rPr>
          <w:rFonts w:ascii="宋体" w:hAnsi="宋体"/>
          <w:color w:val="auto"/>
          <w:highlight w:val="none"/>
          <w:u w:val="single"/>
        </w:rPr>
      </w:pPr>
    </w:p>
    <w:p>
      <w:pPr>
        <w:ind w:firstLine="960" w:firstLineChars="400"/>
        <w:rPr>
          <w:rFonts w:ascii="宋体" w:hAnsi="宋体"/>
          <w:color w:val="auto"/>
          <w:sz w:val="24"/>
          <w:highlight w:val="none"/>
        </w:rPr>
      </w:pPr>
      <w:r>
        <w:rPr>
          <w:rFonts w:hint="eastAsia" w:ascii="宋体" w:hAnsi="宋体"/>
          <w:color w:val="auto"/>
          <w:sz w:val="24"/>
          <w:highlight w:val="none"/>
          <w:u w:val="single"/>
        </w:rPr>
        <w:t xml:space="preserve">   （法定代表人名字）       </w:t>
      </w:r>
      <w:r>
        <w:rPr>
          <w:rFonts w:hint="eastAsia" w:ascii="宋体" w:hAnsi="宋体"/>
          <w:color w:val="auto"/>
          <w:sz w:val="24"/>
          <w:highlight w:val="none"/>
        </w:rPr>
        <w:t xml:space="preserve"> 在</w:t>
      </w:r>
      <w:r>
        <w:rPr>
          <w:rFonts w:hint="eastAsia" w:ascii="宋体" w:hAnsi="宋体"/>
          <w:color w:val="auto"/>
          <w:sz w:val="24"/>
          <w:highlight w:val="none"/>
          <w:u w:val="single"/>
        </w:rPr>
        <w:t xml:space="preserve">（ 单位名称）     </w:t>
      </w:r>
      <w:r>
        <w:rPr>
          <w:rFonts w:hint="eastAsia" w:ascii="宋体" w:hAnsi="宋体"/>
          <w:color w:val="auto"/>
          <w:sz w:val="24"/>
          <w:highlight w:val="none"/>
        </w:rPr>
        <w:t>任</w:t>
      </w:r>
      <w:r>
        <w:rPr>
          <w:rFonts w:hint="eastAsia" w:ascii="宋体" w:hAnsi="宋体"/>
          <w:color w:val="auto"/>
          <w:sz w:val="24"/>
          <w:highlight w:val="none"/>
          <w:u w:val="single"/>
        </w:rPr>
        <w:t xml:space="preserve">          </w:t>
      </w:r>
      <w:r>
        <w:rPr>
          <w:rFonts w:hint="eastAsia" w:ascii="宋体" w:hAnsi="宋体"/>
          <w:color w:val="auto"/>
          <w:sz w:val="24"/>
          <w:highlight w:val="none"/>
        </w:rPr>
        <w:t>职务，是</w:t>
      </w:r>
      <w:r>
        <w:rPr>
          <w:rFonts w:hint="eastAsia" w:ascii="宋体" w:hAnsi="宋体"/>
          <w:color w:val="auto"/>
          <w:sz w:val="24"/>
          <w:highlight w:val="none"/>
          <w:u w:val="single"/>
        </w:rPr>
        <w:t xml:space="preserve">（ 单位名称）    </w:t>
      </w:r>
      <w:r>
        <w:rPr>
          <w:rFonts w:hint="eastAsia" w:ascii="宋体" w:hAnsi="宋体"/>
          <w:color w:val="auto"/>
          <w:sz w:val="24"/>
          <w:highlight w:val="none"/>
        </w:rPr>
        <w:t>的法定代表人。</w:t>
      </w:r>
    </w:p>
    <w:p>
      <w:pPr>
        <w:ind w:firstLine="840" w:firstLineChars="350"/>
        <w:rPr>
          <w:rFonts w:ascii="宋体" w:hAnsi="宋体"/>
          <w:color w:val="auto"/>
          <w:sz w:val="24"/>
          <w:highlight w:val="none"/>
        </w:rPr>
      </w:pPr>
      <w:r>
        <w:rPr>
          <w:rFonts w:hint="eastAsia" w:ascii="宋体" w:hAnsi="宋体"/>
          <w:color w:val="auto"/>
          <w:sz w:val="24"/>
          <w:highlight w:val="none"/>
        </w:rPr>
        <w:t>特此证明。</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 xml:space="preserve">                                     单位名称：</w:t>
      </w:r>
      <w:r>
        <w:rPr>
          <w:rFonts w:hint="eastAsia" w:ascii="宋体" w:hAnsi="宋体"/>
          <w:color w:val="auto"/>
          <w:sz w:val="24"/>
          <w:highlight w:val="none"/>
          <w:u w:val="single"/>
        </w:rPr>
        <w:t xml:space="preserve">                              </w:t>
      </w:r>
    </w:p>
    <w:p>
      <w:pPr>
        <w:rPr>
          <w:rFonts w:ascii="宋体" w:hAnsi="宋体"/>
          <w:color w:val="auto"/>
          <w:sz w:val="24"/>
          <w:highlight w:val="none"/>
        </w:rPr>
      </w:pPr>
      <w:r>
        <w:rPr>
          <w:rFonts w:hint="eastAsia" w:ascii="宋体" w:hAnsi="宋体"/>
          <w:color w:val="auto"/>
          <w:sz w:val="24"/>
          <w:highlight w:val="none"/>
        </w:rPr>
        <w:t xml:space="preserve">                                                        （单位公章）</w:t>
      </w:r>
    </w:p>
    <w:p>
      <w:pPr>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法定代表人身份证号码：</w:t>
      </w:r>
    </w:p>
    <w:p>
      <w:pPr>
        <w:ind w:firstLine="360" w:firstLineChars="150"/>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住    址：</w:t>
      </w:r>
    </w:p>
    <w:p>
      <w:pPr>
        <w:pStyle w:val="22"/>
        <w:jc w:val="center"/>
        <w:rPr>
          <w:rFonts w:hAnsi="宋体"/>
          <w:color w:val="auto"/>
          <w:sz w:val="24"/>
          <w:szCs w:val="24"/>
          <w:highlight w:val="none"/>
        </w:rPr>
      </w:pPr>
    </w:p>
    <w:p>
      <w:pPr>
        <w:snapToGrid w:val="0"/>
        <w:ind w:firstLine="470" w:firstLineChars="196"/>
        <w:jc w:val="center"/>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投标人法定代表人身份证复印件</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投标人法定代表人身份证复印件：</w:t>
      </w:r>
    </w:p>
    <w:p>
      <w:pPr>
        <w:rPr>
          <w:rFonts w:ascii="宋体" w:hAnsi="宋体"/>
          <w:color w:val="auto"/>
          <w:szCs w:val="21"/>
          <w:highlight w:val="none"/>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p>
            <w:pPr>
              <w:jc w:val="center"/>
              <w:rPr>
                <w:rFonts w:ascii="宋体" w:hAnsi="宋体"/>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法定代表人签名：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投标单位（公章）：</w:t>
      </w:r>
    </w:p>
    <w:p>
      <w:pPr>
        <w:rPr>
          <w:rFonts w:ascii="宋体" w:hAnsi="宋体"/>
          <w:color w:val="auto"/>
          <w:highlight w:val="none"/>
        </w:rPr>
      </w:pPr>
    </w:p>
    <w:p>
      <w:pPr>
        <w:ind w:firstLine="735" w:firstLineChars="350"/>
        <w:rPr>
          <w:rFonts w:ascii="宋体" w:hAnsi="宋体"/>
          <w:b/>
          <w:color w:val="auto"/>
          <w:sz w:val="24"/>
          <w:highlight w:val="none"/>
        </w:rPr>
      </w:pPr>
      <w:r>
        <w:rPr>
          <w:rFonts w:hint="eastAsia" w:ascii="宋体" w:hAnsi="宋体"/>
          <w:color w:val="auto"/>
          <w:highlight w:val="none"/>
        </w:rPr>
        <w:t>年    月    日</w:t>
      </w:r>
      <w:r>
        <w:rPr>
          <w:rFonts w:ascii="宋体" w:hAnsi="宋体"/>
          <w:color w:val="auto"/>
          <w:highlight w:val="none"/>
        </w:rPr>
        <w:br w:type="page"/>
      </w:r>
      <w:r>
        <w:rPr>
          <w:rFonts w:hint="eastAsia" w:ascii="宋体" w:hAnsi="宋体"/>
          <w:b/>
          <w:color w:val="auto"/>
          <w:sz w:val="24"/>
          <w:highlight w:val="none"/>
        </w:rPr>
        <w:t>授权委托书格式：</w:t>
      </w: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授权委托书（格式一）</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r>
        <w:rPr>
          <w:rFonts w:hint="eastAsia" w:asciiTheme="minorEastAsia" w:hAnsiTheme="minorEastAsia" w:eastAsiaTheme="minorEastAsia"/>
          <w:color w:val="auto"/>
          <w:sz w:val="24"/>
          <w:highlight w:val="none"/>
        </w:rPr>
        <w:t>投标人若为其他组织形式无法定代表人的应为机构负责人</w:t>
      </w:r>
      <w:r>
        <w:rPr>
          <w:rFonts w:hint="eastAsia" w:ascii="宋体" w:hAnsi="宋体"/>
          <w:color w:val="auto"/>
          <w:sz w:val="24"/>
          <w:highlight w:val="none"/>
        </w:rPr>
        <w:t xml:space="preserve">），现授权委托本单位在职职工 </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项目的投标活动，并代表我方全权办理针对上述项目的投标、开标、评标、签约等具体事务和签署相关文件。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我方对被授权人的签名事项负全部责任。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r>
        <w:rPr>
          <w:rFonts w:hint="eastAsia" w:ascii="宋体" w:hAnsi="宋体"/>
          <w:color w:val="auto"/>
          <w:sz w:val="24"/>
          <w:highlight w:val="none"/>
        </w:rPr>
        <w:t>所在部门：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r>
        <w:rPr>
          <w:rFonts w:hint="eastAsia" w:ascii="宋体" w:hAnsi="宋体"/>
          <w:color w:val="auto"/>
          <w:sz w:val="24"/>
          <w:highlight w:val="none"/>
        </w:rPr>
        <w:t>被授权人身份证号码：</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法定代表人签名：</w:t>
      </w:r>
      <w:r>
        <w:rPr>
          <w:rFonts w:hint="eastAsia" w:ascii="宋体" w:hAnsi="宋体"/>
          <w:color w:val="auto"/>
          <w:sz w:val="24"/>
          <w:highlight w:val="none"/>
          <w:u w:val="single"/>
        </w:rPr>
        <w:t xml:space="preserve">              </w:t>
      </w:r>
    </w:p>
    <w:p>
      <w:pPr>
        <w:snapToGrid w:val="0"/>
        <w:ind w:left="4845" w:leftChars="2250" w:hanging="120" w:hangingChars="50"/>
        <w:rPr>
          <w:rFonts w:ascii="宋体" w:hAnsi="宋体"/>
          <w:color w:val="auto"/>
          <w:sz w:val="24"/>
          <w:highlight w:val="none"/>
        </w:rPr>
      </w:pPr>
      <w:r>
        <w:rPr>
          <w:rFonts w:hint="eastAsia" w:ascii="宋体" w:hAnsi="宋体"/>
          <w:color w:val="auto"/>
          <w:sz w:val="24"/>
          <w:highlight w:val="none"/>
        </w:rPr>
        <w:t>（投标人若为其他组织形式无法定代表人的应由机构负责人签名）</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 xml:space="preserve"> 投标人公章：</w:t>
      </w:r>
    </w:p>
    <w:p>
      <w:pPr>
        <w:snapToGrid w:val="0"/>
        <w:ind w:firstLine="470" w:firstLineChars="196"/>
        <w:jc w:val="left"/>
        <w:rPr>
          <w:rFonts w:asciiTheme="minorEastAsia" w:hAnsiTheme="minorEastAsia" w:eastAsiaTheme="minorEastAsia"/>
          <w:color w:val="auto"/>
          <w:sz w:val="24"/>
          <w:highlight w:val="none"/>
        </w:rPr>
      </w:pPr>
      <w:r>
        <w:rPr>
          <w:rFonts w:hint="eastAsia" w:ascii="宋体" w:hAnsi="宋体"/>
          <w:color w:val="auto"/>
          <w:sz w:val="24"/>
          <w:highlight w:val="none"/>
        </w:rPr>
        <w:t xml:space="preserve">                                           </w:t>
      </w:r>
      <w:r>
        <w:rPr>
          <w:rFonts w:hint="eastAsia" w:asciiTheme="minorEastAsia" w:hAnsiTheme="minorEastAsia" w:eastAsiaTheme="minorEastAsia"/>
          <w:color w:val="auto"/>
          <w:sz w:val="24"/>
          <w:highlight w:val="none"/>
        </w:rPr>
        <w:t>日期:_____年_____月_____日</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授权委托书（格式二）</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（姓名）系自然人，现授权委托 </w:t>
      </w:r>
      <w:r>
        <w:rPr>
          <w:rFonts w:hint="eastAsia" w:ascii="宋体" w:hAnsi="宋体"/>
          <w:color w:val="auto"/>
          <w:sz w:val="24"/>
          <w:highlight w:val="none"/>
          <w:u w:val="single"/>
        </w:rPr>
        <w:t xml:space="preserve">              </w:t>
      </w:r>
      <w:r>
        <w:rPr>
          <w:rFonts w:hint="eastAsia" w:ascii="宋体" w:hAnsi="宋体"/>
          <w:color w:val="auto"/>
          <w:sz w:val="24"/>
          <w:highlight w:val="none"/>
        </w:rPr>
        <w:t>（姓名）以本人名义参加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项目的投标活动，并代表本人全权办理针对上述项目的投标、开标、评标、签约等具体事务和签署相关文件。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本人对被授权人的签名事项负全部责任。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rPr>
          <w:rFonts w:ascii="宋体" w:hAnsi="宋体"/>
          <w:color w:val="auto"/>
          <w:sz w:val="24"/>
          <w:highlight w:val="none"/>
        </w:rPr>
      </w:pPr>
      <w:r>
        <w:rPr>
          <w:rFonts w:hint="eastAsia" w:ascii="宋体" w:hAnsi="宋体"/>
          <w:color w:val="auto"/>
          <w:sz w:val="24"/>
          <w:highlight w:val="none"/>
        </w:rPr>
        <w:t>被授权人身份证号码：</w:t>
      </w:r>
      <w:r>
        <w:rPr>
          <w:rFonts w:hint="eastAsia" w:ascii="宋体" w:hAnsi="宋体"/>
          <w:color w:val="auto"/>
          <w:sz w:val="24"/>
          <w:highlight w:val="none"/>
          <w:u w:val="single"/>
        </w:rPr>
        <w:t xml:space="preserve">              </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ind w:firstLine="3000" w:firstLineChars="1250"/>
        <w:rPr>
          <w:rFonts w:ascii="宋体" w:hAnsi="宋体"/>
          <w:color w:val="auto"/>
          <w:sz w:val="24"/>
          <w:highlight w:val="none"/>
        </w:rPr>
      </w:pPr>
      <w:r>
        <w:rPr>
          <w:rFonts w:hint="eastAsia" w:ascii="宋体" w:hAnsi="宋体"/>
          <w:color w:val="auto"/>
          <w:sz w:val="24"/>
          <w:highlight w:val="none"/>
        </w:rPr>
        <w:t>自然人签名并在签名处加盖指印：</w:t>
      </w:r>
      <w:r>
        <w:rPr>
          <w:rFonts w:hint="eastAsia" w:ascii="宋体" w:hAnsi="宋体"/>
          <w:color w:val="auto"/>
          <w:sz w:val="24"/>
          <w:highlight w:val="none"/>
          <w:u w:val="single"/>
        </w:rPr>
        <w:t xml:space="preserve">              </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 xml:space="preserve"> </w:t>
      </w:r>
    </w:p>
    <w:p>
      <w:pPr>
        <w:snapToGrid w:val="0"/>
        <w:ind w:firstLine="470" w:firstLineChars="196"/>
        <w:jc w:val="left"/>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委托代理人身份证复印件：</w:t>
      </w:r>
    </w:p>
    <w:p>
      <w:pPr>
        <w:rPr>
          <w:rFonts w:ascii="宋体" w:hAnsi="宋体"/>
          <w:color w:val="auto"/>
          <w:szCs w:val="21"/>
          <w:highlight w:val="none"/>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7"/>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委托代理人签名：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委托单位（公章，自然人除外）：</w:t>
      </w:r>
    </w:p>
    <w:p>
      <w:pPr>
        <w:widowControl/>
        <w:jc w:val="left"/>
        <w:rPr>
          <w:rFonts w:ascii="宋体" w:hAnsi="宋体"/>
          <w:b/>
          <w:color w:val="auto"/>
          <w:sz w:val="24"/>
          <w:highlight w:val="none"/>
        </w:rPr>
      </w:pPr>
      <w:r>
        <w:rPr>
          <w:rFonts w:ascii="宋体" w:hAnsi="宋体"/>
          <w:b/>
          <w:color w:val="auto"/>
          <w:sz w:val="24"/>
          <w:highlight w:val="none"/>
        </w:rPr>
        <w:br w:type="page"/>
      </w:r>
    </w:p>
    <w:p>
      <w:pPr>
        <w:widowControl/>
        <w:jc w:val="left"/>
        <w:rPr>
          <w:rFonts w:ascii="宋体" w:hAnsi="宋体"/>
          <w:b/>
          <w:color w:val="auto"/>
          <w:sz w:val="24"/>
          <w:highlight w:val="none"/>
        </w:rPr>
      </w:pPr>
    </w:p>
    <w:p>
      <w:pPr>
        <w:snapToGrid w:val="0"/>
        <w:jc w:val="left"/>
        <w:rPr>
          <w:rFonts w:ascii="宋体" w:hAnsi="宋体"/>
          <w:b/>
          <w:color w:val="auto"/>
          <w:sz w:val="24"/>
          <w:highlight w:val="none"/>
        </w:rPr>
      </w:pPr>
      <w:r>
        <w:rPr>
          <w:rFonts w:hint="eastAsia" w:ascii="宋体" w:hAnsi="宋体"/>
          <w:b/>
          <w:color w:val="auto"/>
          <w:sz w:val="24"/>
          <w:highlight w:val="none"/>
        </w:rPr>
        <w:t>商务条款偏离表格式：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商务条款偏离表</w:t>
      </w:r>
    </w:p>
    <w:p>
      <w:pPr>
        <w:pStyle w:val="22"/>
        <w:spacing w:line="4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请逐条对应本项目招标文件第二章“</w:t>
      </w:r>
      <w:r>
        <w:rPr>
          <w:rFonts w:hint="eastAsia" w:ascii="Times New Roman" w:hAnsi="Times New Roman" w:eastAsia="仿宋_GB2312"/>
          <w:color w:val="auto"/>
          <w:sz w:val="32"/>
          <w:szCs w:val="32"/>
          <w:highlight w:val="none"/>
        </w:rPr>
        <w:t>服务</w:t>
      </w:r>
      <w:r>
        <w:rPr>
          <w:rFonts w:ascii="Times New Roman" w:hAnsi="Times New Roman" w:eastAsia="仿宋_GB2312"/>
          <w:color w:val="auto"/>
          <w:sz w:val="32"/>
          <w:szCs w:val="32"/>
          <w:highlight w:val="none"/>
        </w:rPr>
        <w:t>需求一览表”中“商务条款”的要求，详细填写相应的具体内容。“偏离说明”一栏应当选择“正偏离”、“负偏离”或“无偏离”进行填写。</w:t>
      </w:r>
    </w:p>
    <w:p>
      <w:pPr>
        <w:pStyle w:val="22"/>
        <w:ind w:firstLine="640" w:firstLineChars="200"/>
        <w:rPr>
          <w:rFonts w:ascii="Times New Roman" w:hAnsi="Times New Roman" w:eastAsia="仿宋_GB2312"/>
          <w:color w:val="auto"/>
          <w:sz w:val="32"/>
          <w:szCs w:val="32"/>
          <w:highlight w:val="none"/>
        </w:rPr>
      </w:pPr>
    </w:p>
    <w:tbl>
      <w:tblPr>
        <w:tblStyle w:val="37"/>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 ……</w:t>
            </w:r>
          </w:p>
        </w:tc>
        <w:tc>
          <w:tcPr>
            <w:tcW w:w="3720"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 ……</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p>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u w:val="single"/>
              </w:rPr>
              <w:t>　　</w:t>
            </w:r>
            <w:r>
              <w:rPr>
                <w:rFonts w:ascii="Times New Roman" w:hAnsi="Times New Roman" w:eastAsia="仿宋_GB2312"/>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pStyle w:val="22"/>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ascii="Times New Roman" w:hAnsi="Times New Roman" w:eastAsia="仿宋_GB2312"/>
          <w:bCs/>
          <w:color w:val="auto"/>
          <w:sz w:val="24"/>
          <w:szCs w:val="24"/>
          <w:highlight w:val="none"/>
        </w:rPr>
        <w:t>投标文件</w:t>
      </w:r>
      <w:r>
        <w:rPr>
          <w:rFonts w:hint="eastAsia" w:ascii="Times New Roman" w:hAnsi="Times New Roman" w:eastAsia="仿宋_GB2312"/>
          <w:bCs/>
          <w:color w:val="auto"/>
          <w:sz w:val="24"/>
          <w:szCs w:val="24"/>
          <w:highlight w:val="none"/>
        </w:rPr>
        <w:t>需求</w:t>
      </w:r>
      <w:r>
        <w:rPr>
          <w:rFonts w:ascii="Times New Roman" w:hAnsi="Times New Roman" w:eastAsia="仿宋_GB2312"/>
          <w:bCs/>
          <w:color w:val="auto"/>
          <w:sz w:val="24"/>
          <w:szCs w:val="24"/>
          <w:highlight w:val="none"/>
        </w:rPr>
        <w:t>小于或大于招标文件某个数值标准时，</w:t>
      </w:r>
      <w:r>
        <w:rPr>
          <w:rFonts w:hint="eastAsia" w:ascii="Times New Roman" w:hAnsi="Times New Roman" w:eastAsia="仿宋_GB2312"/>
          <w:bCs/>
          <w:color w:val="auto"/>
          <w:sz w:val="24"/>
          <w:szCs w:val="24"/>
          <w:highlight w:val="none"/>
        </w:rPr>
        <w:t>投</w:t>
      </w:r>
      <w:r>
        <w:rPr>
          <w:rFonts w:ascii="Times New Roman" w:hAnsi="Times New Roman" w:eastAsia="仿宋_GB2312"/>
          <w:bCs/>
          <w:color w:val="auto"/>
          <w:sz w:val="24"/>
          <w:szCs w:val="24"/>
          <w:highlight w:val="none"/>
        </w:rPr>
        <w:t>标文件</w:t>
      </w:r>
      <w:r>
        <w:rPr>
          <w:rFonts w:hint="eastAsia" w:ascii="Times New Roman" w:hAnsi="Times New Roman" w:eastAsia="仿宋_GB2312"/>
          <w:bCs/>
          <w:color w:val="auto"/>
          <w:sz w:val="24"/>
          <w:szCs w:val="24"/>
          <w:highlight w:val="none"/>
        </w:rPr>
        <w:t>不得直接复制招标文件需求，投标文件对应</w:t>
      </w:r>
      <w:r>
        <w:rPr>
          <w:rFonts w:ascii="Times New Roman" w:hAnsi="Times New Roman" w:eastAsia="仿宋_GB2312"/>
          <w:bCs/>
          <w:color w:val="auto"/>
          <w:sz w:val="24"/>
          <w:szCs w:val="24"/>
          <w:highlight w:val="none"/>
        </w:rPr>
        <w:t>内容应当写明投标</w:t>
      </w:r>
      <w:r>
        <w:rPr>
          <w:rFonts w:hint="eastAsia" w:ascii="Times New Roman" w:hAnsi="Times New Roman" w:eastAsia="仿宋_GB2312"/>
          <w:bCs/>
          <w:color w:val="auto"/>
          <w:sz w:val="24"/>
          <w:szCs w:val="24"/>
          <w:highlight w:val="none"/>
        </w:rPr>
        <w:t>服务内容</w:t>
      </w:r>
      <w:r>
        <w:rPr>
          <w:rFonts w:ascii="Times New Roman" w:hAnsi="Times New Roman" w:eastAsia="仿宋_GB2312"/>
          <w:bCs/>
          <w:color w:val="auto"/>
          <w:sz w:val="24"/>
          <w:szCs w:val="24"/>
          <w:highlight w:val="none"/>
        </w:rPr>
        <w:t>具体参数或商务响应的</w:t>
      </w:r>
      <w:r>
        <w:rPr>
          <w:rFonts w:hint="eastAsia" w:ascii="Times New Roman" w:hAnsi="Times New Roman" w:eastAsia="仿宋_GB2312"/>
          <w:bCs/>
          <w:color w:val="auto"/>
          <w:sz w:val="24"/>
          <w:szCs w:val="24"/>
          <w:highlight w:val="none"/>
        </w:rPr>
        <w:t>实际</w:t>
      </w:r>
      <w:r>
        <w:rPr>
          <w:rFonts w:ascii="Times New Roman" w:hAnsi="Times New Roman" w:eastAsia="仿宋_GB2312"/>
          <w:bCs/>
          <w:color w:val="auto"/>
          <w:sz w:val="24"/>
          <w:szCs w:val="24"/>
          <w:highlight w:val="none"/>
        </w:rPr>
        <w:t>数值，否则按投标无效处理。</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⑶当投标文件的服务内容低于招标文件要求时，投标人应当如实写明“负偏离”，否则视为虚假应标。</w:t>
      </w:r>
    </w:p>
    <w:p>
      <w:pPr>
        <w:widowControl/>
        <w:jc w:val="left"/>
        <w:rPr>
          <w:rFonts w:ascii="宋体" w:hAnsi="宋体" w:cs="Courier New"/>
          <w:b/>
          <w:color w:val="auto"/>
          <w:sz w:val="32"/>
          <w:szCs w:val="32"/>
          <w:highlight w:val="none"/>
        </w:rPr>
      </w:pPr>
      <w:r>
        <w:rPr>
          <w:rFonts w:hAnsi="宋体"/>
          <w:b/>
          <w:color w:val="auto"/>
          <w:sz w:val="32"/>
          <w:szCs w:val="32"/>
          <w:highlight w:val="none"/>
        </w:rPr>
        <w:br w:type="page"/>
      </w:r>
    </w:p>
    <w:p>
      <w:pPr>
        <w:pStyle w:val="22"/>
        <w:ind w:firstLine="380"/>
        <w:jc w:val="center"/>
        <w:rPr>
          <w:rFonts w:hAnsi="宋体"/>
          <w:b/>
          <w:color w:val="auto"/>
          <w:sz w:val="32"/>
          <w:szCs w:val="32"/>
          <w:highlight w:val="none"/>
        </w:rPr>
      </w:pPr>
      <w:r>
        <w:rPr>
          <w:rFonts w:hint="eastAsia" w:hAnsi="宋体"/>
          <w:b/>
          <w:color w:val="auto"/>
          <w:sz w:val="32"/>
          <w:szCs w:val="32"/>
          <w:highlight w:val="none"/>
        </w:rPr>
        <w:t>售后服务承诺书</w:t>
      </w:r>
    </w:p>
    <w:p>
      <w:pPr>
        <w:snapToGrid w:val="0"/>
        <w:jc w:val="center"/>
        <w:rPr>
          <w:rFonts w:ascii="宋体" w:hAnsi="宋体"/>
          <w:color w:val="auto"/>
          <w:sz w:val="24"/>
          <w:highlight w:val="none"/>
        </w:rPr>
      </w:pPr>
      <w:r>
        <w:rPr>
          <w:rFonts w:hint="eastAsia" w:ascii="宋体" w:hAnsi="宋体"/>
          <w:color w:val="auto"/>
          <w:sz w:val="24"/>
          <w:highlight w:val="none"/>
        </w:rPr>
        <w:t>(由投标人按《招标需求》及评分办法的要求自行分别填写)</w:t>
      </w:r>
    </w:p>
    <w:p>
      <w:pPr>
        <w:rPr>
          <w:rFonts w:ascii="宋体" w:hAnsi="宋体"/>
          <w:color w:val="auto"/>
          <w:szCs w:val="21"/>
          <w:highlight w:val="none"/>
        </w:rPr>
      </w:pPr>
      <w:r>
        <w:rPr>
          <w:rFonts w:ascii="宋体" w:hAnsi="宋体"/>
          <w:b/>
          <w:color w:val="auto"/>
          <w:sz w:val="24"/>
          <w:highlight w:val="none"/>
        </w:rPr>
        <w:br w:type="page"/>
      </w:r>
    </w:p>
    <w:p>
      <w:pPr>
        <w:snapToGrid w:val="0"/>
        <w:ind w:firstLine="472" w:firstLineChars="196"/>
        <w:jc w:val="center"/>
        <w:rPr>
          <w:rFonts w:ascii="宋体" w:hAnsi="宋体"/>
          <w:b/>
          <w:color w:val="auto"/>
          <w:sz w:val="24"/>
          <w:highlight w:val="none"/>
        </w:rPr>
      </w:pPr>
    </w:p>
    <w:p>
      <w:pPr>
        <w:snapToGrid w:val="0"/>
        <w:rPr>
          <w:rFonts w:ascii="宋体" w:hAnsi="宋体"/>
          <w:b/>
          <w:color w:val="auto"/>
          <w:highlight w:val="none"/>
        </w:rPr>
      </w:pPr>
      <w:r>
        <w:rPr>
          <w:rFonts w:hint="eastAsia" w:ascii="宋体" w:hAnsi="宋体"/>
          <w:b/>
          <w:color w:val="auto"/>
          <w:sz w:val="24"/>
          <w:highlight w:val="none"/>
        </w:rPr>
        <w:t>投标人类似项目业绩情况一览表格式：</w:t>
      </w:r>
    </w:p>
    <w:tbl>
      <w:tblPr>
        <w:tblStyle w:val="3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080"/>
        <w:gridCol w:w="144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0" w:hRule="atLeast"/>
        </w:trPr>
        <w:tc>
          <w:tcPr>
            <w:tcW w:w="21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采购单位名称</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设备名称、型号</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采购</w:t>
            </w:r>
          </w:p>
          <w:p>
            <w:pPr>
              <w:snapToGrid w:val="0"/>
              <w:jc w:val="center"/>
              <w:rPr>
                <w:rFonts w:ascii="宋体" w:hAnsi="宋体"/>
                <w:color w:val="auto"/>
                <w:sz w:val="24"/>
                <w:highlight w:val="none"/>
              </w:rPr>
            </w:pPr>
            <w:r>
              <w:rPr>
                <w:rFonts w:hint="eastAsia" w:ascii="宋体" w:hAnsi="宋体"/>
                <w:color w:val="auto"/>
                <w:sz w:val="24"/>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单价（元）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合同</w:t>
            </w:r>
          </w:p>
          <w:p>
            <w:pPr>
              <w:snapToGrid w:val="0"/>
              <w:jc w:val="center"/>
              <w:rPr>
                <w:rFonts w:ascii="宋体" w:hAnsi="宋体"/>
                <w:color w:val="auto"/>
                <w:sz w:val="24"/>
                <w:highlight w:val="none"/>
              </w:rPr>
            </w:pPr>
            <w:r>
              <w:rPr>
                <w:rFonts w:hint="eastAsia" w:ascii="宋体" w:hAnsi="宋体"/>
                <w:color w:val="auto"/>
                <w:sz w:val="24"/>
                <w:highlight w:val="none"/>
              </w:rPr>
              <w:t>金额</w:t>
            </w:r>
          </w:p>
          <w:p>
            <w:pPr>
              <w:snapToGrid w:val="0"/>
              <w:jc w:val="center"/>
              <w:rPr>
                <w:rFonts w:ascii="宋体" w:hAnsi="宋体"/>
                <w:color w:val="auto"/>
                <w:sz w:val="24"/>
                <w:highlight w:val="none"/>
              </w:rPr>
            </w:pPr>
            <w:r>
              <w:rPr>
                <w:rFonts w:hint="eastAsia" w:ascii="宋体" w:hAnsi="宋体"/>
                <w:color w:val="auto"/>
                <w:sz w:val="24"/>
                <w:highlight w:val="none"/>
              </w:rPr>
              <w:t>（万元）</w:t>
            </w:r>
          </w:p>
        </w:tc>
        <w:tc>
          <w:tcPr>
            <w:tcW w:w="1080" w:type="dxa"/>
            <w:tcBorders>
              <w:top w:val="single" w:color="auto" w:sz="4" w:space="0"/>
              <w:left w:val="single" w:color="auto" w:sz="4" w:space="0"/>
              <w:right w:val="single" w:color="auto" w:sz="4" w:space="0"/>
            </w:tcBorders>
          </w:tcPr>
          <w:p>
            <w:pPr>
              <w:snapToGrid w:val="0"/>
              <w:jc w:val="center"/>
              <w:rPr>
                <w:rFonts w:ascii="宋体" w:hAnsi="宋体"/>
                <w:color w:val="auto"/>
                <w:sz w:val="24"/>
                <w:highlight w:val="none"/>
              </w:rPr>
            </w:pPr>
          </w:p>
          <w:p>
            <w:pPr>
              <w:snapToGrid w:val="0"/>
              <w:jc w:val="center"/>
              <w:rPr>
                <w:rFonts w:ascii="宋体" w:hAnsi="宋体"/>
                <w:color w:val="auto"/>
                <w:sz w:val="24"/>
                <w:highlight w:val="none"/>
              </w:rPr>
            </w:pPr>
          </w:p>
          <w:p>
            <w:pPr>
              <w:snapToGrid w:val="0"/>
              <w:jc w:val="center"/>
              <w:rPr>
                <w:rFonts w:ascii="宋体" w:hAnsi="宋体"/>
                <w:color w:val="auto"/>
                <w:sz w:val="24"/>
                <w:highlight w:val="none"/>
              </w:rPr>
            </w:pPr>
            <w:r>
              <w:rPr>
                <w:rFonts w:hint="eastAsia" w:ascii="宋体" w:hAnsi="宋体"/>
                <w:color w:val="auto"/>
                <w:sz w:val="24"/>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bl>
    <w:p>
      <w:pPr>
        <w:snapToGrid w:val="0"/>
        <w:rPr>
          <w:rFonts w:ascii="宋体" w:hAnsi="宋体"/>
          <w:color w:val="auto"/>
          <w:sz w:val="24"/>
          <w:highlight w:val="none"/>
        </w:rPr>
      </w:pPr>
      <w:r>
        <w:rPr>
          <w:rFonts w:hint="eastAsia" w:ascii="宋体" w:hAnsi="宋体"/>
          <w:color w:val="auto"/>
          <w:sz w:val="24"/>
          <w:highlight w:val="none"/>
        </w:rPr>
        <w:t>附：销售合同等其他证明复印件</w:t>
      </w: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1995" w:firstLineChars="950"/>
        <w:rPr>
          <w:rFonts w:ascii="宋体" w:hAnsi="宋体"/>
          <w:color w:val="auto"/>
          <w:highlight w:val="none"/>
        </w:rPr>
      </w:pPr>
    </w:p>
    <w:p>
      <w:pPr>
        <w:snapToGrid w:val="0"/>
        <w:rPr>
          <w:rFonts w:ascii="宋体" w:hAnsi="宋体"/>
          <w:color w:val="auto"/>
          <w:sz w:val="24"/>
          <w:highlight w:val="none"/>
        </w:rPr>
      </w:pPr>
      <w:r>
        <w:rPr>
          <w:rFonts w:hint="eastAsia" w:ascii="宋体" w:hAnsi="宋体"/>
          <w:color w:val="auto"/>
          <w:sz w:val="24"/>
          <w:highlight w:val="none"/>
        </w:rPr>
        <w:t>日期:_____年_____月_____日</w:t>
      </w:r>
    </w:p>
    <w:p>
      <w:pPr>
        <w:snapToGrid w:val="0"/>
        <w:jc w:val="center"/>
        <w:rPr>
          <w:rFonts w:ascii="宋体" w:hAnsi="宋体"/>
          <w:color w:val="auto"/>
          <w:sz w:val="24"/>
          <w:highlight w:val="none"/>
        </w:rPr>
      </w:pPr>
    </w:p>
    <w:p>
      <w:pPr>
        <w:jc w:val="center"/>
        <w:rPr>
          <w:rFonts w:ascii="宋体" w:hAnsi="宋体"/>
          <w:b/>
          <w:color w:val="auto"/>
          <w:sz w:val="28"/>
          <w:szCs w:val="28"/>
          <w:highlight w:val="none"/>
        </w:rPr>
      </w:pPr>
      <w:r>
        <w:rPr>
          <w:rFonts w:ascii="宋体" w:hAnsi="宋体"/>
          <w:b/>
          <w:color w:val="auto"/>
          <w:sz w:val="24"/>
          <w:highlight w:val="none"/>
        </w:rPr>
        <w:br w:type="page"/>
      </w:r>
      <w:r>
        <w:rPr>
          <w:rFonts w:hint="eastAsia" w:ascii="宋体" w:hAnsi="宋体"/>
          <w:b/>
          <w:color w:val="auto"/>
          <w:sz w:val="28"/>
          <w:szCs w:val="28"/>
          <w:highlight w:val="none"/>
        </w:rPr>
        <w:t>技术资料表</w:t>
      </w:r>
    </w:p>
    <w:p>
      <w:pPr>
        <w:pStyle w:val="22"/>
        <w:spacing w:line="6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请根据所投服务的实际技术参数，逐条对应本项目招标文件第二章“服务需求一览表”中的服务内容及要求详细填写相应的具体内容。“偏离说明”一栏应当选择“正偏离”、“负偏离”或“无偏离”进行填写</w:t>
      </w:r>
    </w:p>
    <w:tbl>
      <w:tblPr>
        <w:tblStyle w:val="3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pStyle w:val="22"/>
        <w:spacing w:line="400" w:lineRule="exac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2"/>
        <w:spacing w:line="4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ascii="Times New Roman" w:hAnsi="Times New Roman" w:eastAsia="仿宋_GB2312"/>
          <w:bCs/>
          <w:color w:val="auto"/>
          <w:sz w:val="24"/>
          <w:szCs w:val="24"/>
          <w:highlight w:val="none"/>
        </w:rPr>
        <w:t>当投标文件的服务内容低于招标文件要求时，投标人应当如实写明“负偏离”，否则视为虚假应标。</w:t>
      </w:r>
    </w:p>
    <w:p>
      <w:pPr>
        <w:pStyle w:val="22"/>
        <w:spacing w:line="600" w:lineRule="exact"/>
        <w:ind w:left="719" w:leftChars="228" w:hanging="240" w:hangingChars="100"/>
        <w:rPr>
          <w:rFonts w:ascii="Times New Roman" w:hAnsi="Times New Roman" w:eastAsia="仿宋_GB2312"/>
          <w:bCs/>
          <w:color w:val="auto"/>
          <w:sz w:val="24"/>
          <w:szCs w:val="24"/>
          <w:highlight w:val="none"/>
        </w:rPr>
      </w:pPr>
    </w:p>
    <w:p>
      <w:pPr>
        <w:snapToGrid w:val="0"/>
        <w:jc w:val="center"/>
        <w:rPr>
          <w:rFonts w:ascii="宋体" w:hAnsi="宋体"/>
          <w:color w:val="auto"/>
          <w:sz w:val="24"/>
          <w:highlight w:val="none"/>
        </w:rPr>
      </w:pPr>
    </w:p>
    <w:p>
      <w:pPr>
        <w:widowControl/>
        <w:shd w:val="clear" w:color="auto" w:fill="FFFFFF"/>
        <w:spacing w:after="240" w:line="360" w:lineRule="atLeast"/>
        <w:ind w:firstLine="480"/>
        <w:jc w:val="center"/>
        <w:rPr>
          <w:rFonts w:ascii="宋体" w:hAnsi="宋体" w:cs="宋体"/>
          <w:b/>
          <w:color w:val="auto"/>
          <w:kern w:val="0"/>
          <w:sz w:val="28"/>
          <w:szCs w:val="28"/>
          <w:highlight w:val="none"/>
        </w:rPr>
      </w:pPr>
      <w:r>
        <w:rPr>
          <w:rFonts w:ascii="宋体" w:hAnsi="宋体"/>
          <w:color w:val="auto"/>
          <w:highlight w:val="none"/>
        </w:rPr>
        <w:br w:type="page"/>
      </w:r>
      <w:r>
        <w:rPr>
          <w:rFonts w:hint="eastAsia" w:ascii="宋体" w:hAnsi="宋体" w:cs="宋体"/>
          <w:b/>
          <w:color w:val="auto"/>
          <w:kern w:val="0"/>
          <w:sz w:val="28"/>
          <w:szCs w:val="28"/>
          <w:highlight w:val="none"/>
        </w:rPr>
        <w:t>中小企业声明函</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本公司对上述声明的真实性负责。如有虚假，将依法承担相应责任。</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日期：  年 月  日</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588" w:lineRule="exact"/>
        <w:jc w:val="center"/>
        <w:rPr>
          <w:rFonts w:ascii="宋体" w:hAnsi="宋体"/>
          <w:b/>
          <w:color w:val="auto"/>
          <w:spacing w:val="6"/>
          <w:sz w:val="24"/>
          <w:highlight w:val="none"/>
        </w:rPr>
      </w:pPr>
      <w:bookmarkStart w:id="105" w:name="OLE_LINK14"/>
      <w:bookmarkStart w:id="106" w:name="OLE_LINK13"/>
      <w:r>
        <w:rPr>
          <w:rFonts w:hint="eastAsia" w:ascii="宋体" w:hAnsi="宋体"/>
          <w:b/>
          <w:color w:val="auto"/>
          <w:spacing w:val="6"/>
          <w:sz w:val="24"/>
          <w:highlight w:val="none"/>
        </w:rPr>
        <w:t>残疾人福利性单位声明函</w:t>
      </w:r>
    </w:p>
    <w:bookmarkEnd w:id="105"/>
    <w:bookmarkEnd w:id="106"/>
    <w:p>
      <w:pPr>
        <w:spacing w:line="588" w:lineRule="exact"/>
        <w:rPr>
          <w:rFonts w:ascii="宋体" w:hAnsi="宋体"/>
          <w:b/>
          <w:color w:val="auto"/>
          <w:spacing w:val="6"/>
          <w:sz w:val="24"/>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日  期：</w:t>
      </w:r>
      <w:r>
        <w:rPr>
          <w:rFonts w:hint="eastAsia" w:ascii="宋体" w:hAnsi="宋体" w:cs="宋体"/>
          <w:color w:val="auto"/>
          <w:kern w:val="0"/>
          <w:sz w:val="24"/>
          <w:highlight w:val="none"/>
        </w:rPr>
        <w:t xml:space="preserve">  年 月  日</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widowControl/>
        <w:shd w:val="clear" w:color="auto" w:fill="FFFFFF"/>
        <w:spacing w:line="360" w:lineRule="auto"/>
        <w:ind w:firstLine="480"/>
        <w:jc w:val="center"/>
        <w:outlineLvl w:val="0"/>
        <w:rPr>
          <w:rFonts w:ascii="宋体" w:hAnsi="宋体" w:cs="宋体"/>
          <w:b/>
          <w:color w:val="auto"/>
          <w:kern w:val="0"/>
          <w:sz w:val="36"/>
          <w:szCs w:val="36"/>
          <w:highlight w:val="none"/>
        </w:rPr>
      </w:pPr>
      <w:bookmarkStart w:id="107" w:name="_Toc25446"/>
      <w:r>
        <w:rPr>
          <w:rFonts w:hint="eastAsia" w:ascii="宋体" w:hAnsi="宋体" w:cs="宋体"/>
          <w:b/>
          <w:color w:val="auto"/>
          <w:kern w:val="0"/>
          <w:sz w:val="36"/>
          <w:szCs w:val="36"/>
          <w:highlight w:val="none"/>
        </w:rPr>
        <w:t>第七章  质疑函及投诉书格式</w:t>
      </w:r>
      <w:bookmarkEnd w:id="107"/>
    </w:p>
    <w:p>
      <w:pPr>
        <w:spacing w:line="360" w:lineRule="exact"/>
        <w:jc w:val="center"/>
        <w:rPr>
          <w:rFonts w:cs="仿宋" w:asciiTheme="majorEastAsia" w:hAnsiTheme="majorEastAsia" w:eastAsiaTheme="majorEastAsia"/>
          <w:b/>
          <w:bCs/>
          <w:color w:val="auto"/>
          <w:sz w:val="28"/>
          <w:szCs w:val="28"/>
          <w:highlight w:val="none"/>
        </w:rPr>
      </w:pPr>
      <w:r>
        <w:rPr>
          <w:rFonts w:hint="eastAsia"/>
          <w:color w:val="auto"/>
          <w:highlight w:val="none"/>
        </w:rPr>
        <w:t xml:space="preserve">  </w:t>
      </w:r>
      <w:r>
        <w:rPr>
          <w:rFonts w:hint="eastAsia" w:cs="仿宋" w:asciiTheme="majorEastAsia" w:hAnsiTheme="majorEastAsia" w:eastAsiaTheme="majorEastAsia"/>
          <w:b/>
          <w:bCs/>
          <w:color w:val="auto"/>
          <w:sz w:val="28"/>
          <w:szCs w:val="28"/>
          <w:highlight w:val="none"/>
        </w:rPr>
        <w:t>质疑函</w:t>
      </w:r>
    </w:p>
    <w:p>
      <w:pPr>
        <w:tabs>
          <w:tab w:val="left" w:pos="606"/>
        </w:tabs>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一、质疑供应商基本信息</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质疑供应商：</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邮编：</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联系人：</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联系电话：</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授权代表：</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联系电话：</w:t>
      </w:r>
      <w:r>
        <w:rPr>
          <w:rFonts w:hint="eastAsia" w:cs="仿宋" w:asciiTheme="majorEastAsia" w:hAnsiTheme="majorEastAsia" w:eastAsiaTheme="majorEastAsia"/>
          <w:color w:val="auto"/>
          <w:sz w:val="24"/>
          <w:highlight w:val="none"/>
          <w:u w:val="dotted"/>
        </w:rPr>
        <w:t xml:space="preserve">                                           </w:t>
      </w:r>
      <w:r>
        <w:rPr>
          <w:rFonts w:cs="仿宋" w:asciiTheme="majorEastAsia" w:hAnsiTheme="majorEastAsia" w:eastAsiaTheme="majorEastAsia"/>
          <w:color w:val="auto"/>
          <w:sz w:val="24"/>
          <w:highlight w:val="none"/>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w:t>
      </w:r>
      <w:r>
        <w:rPr>
          <w:rFonts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邮编：</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二、质疑项目基本情况</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质疑项目的名称：</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质疑项目的编号：</w:t>
      </w:r>
      <w:r>
        <w:rPr>
          <w:rFonts w:hint="eastAsia" w:cs="仿宋" w:asciiTheme="majorEastAsia" w:hAnsiTheme="majorEastAsia" w:eastAsiaTheme="majorEastAsia"/>
          <w:color w:val="auto"/>
          <w:sz w:val="24"/>
          <w:highlight w:val="none"/>
          <w:u w:val="dotted"/>
        </w:rPr>
        <w:t xml:space="preserve">               </w:t>
      </w:r>
      <w:r>
        <w:rPr>
          <w:rFonts w:hint="eastAsia" w:cs="仿宋" w:asciiTheme="majorEastAsia" w:hAnsiTheme="majorEastAsia" w:eastAsiaTheme="majorEastAsia"/>
          <w:color w:val="auto"/>
          <w:sz w:val="24"/>
          <w:highlight w:val="none"/>
        </w:rPr>
        <w:t>包号：</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采购人名称：</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采购文件获取日期：</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三、质疑事项具体内容</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质疑事项1：</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事实依据：</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法律依据：</w:t>
      </w: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u w:val="dotted"/>
        </w:rPr>
        <w:t xml:space="preserve">                                                     </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质疑事项2</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p>
      <w:pPr>
        <w:adjustRightInd w:val="0"/>
        <w:snapToGrid w:val="0"/>
        <w:spacing w:line="360" w:lineRule="exac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四、与质疑事项相关的质疑请求</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请求：</w:t>
      </w:r>
      <w:r>
        <w:rPr>
          <w:rFonts w:hint="eastAsia" w:cs="仿宋"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签字(签章)：                   公章：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日期：    </w:t>
      </w:r>
    </w:p>
    <w:p>
      <w:pPr>
        <w:adjustRightInd w:val="0"/>
        <w:snapToGrid w:val="0"/>
        <w:spacing w:line="360" w:lineRule="exact"/>
        <w:rPr>
          <w:rFonts w:cs="仿宋" w:asciiTheme="majorEastAsia" w:hAnsiTheme="majorEastAsia" w:eastAsiaTheme="majorEastAsia"/>
          <w:color w:val="auto"/>
          <w:sz w:val="24"/>
          <w:highlight w:val="none"/>
        </w:rPr>
      </w:pPr>
    </w:p>
    <w:p>
      <w:pPr>
        <w:spacing w:line="3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质疑函制作说明：</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1.供应商提出质疑时，应提交质疑函和必要的证明材料。</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2.质疑供应商若委托代理人进行质疑的，质疑函应按要求列明“授权代表”的有关内容，并在附件中提交由质疑</w:t>
      </w:r>
      <w:r>
        <w:rPr>
          <w:rFonts w:hint="eastAsia" w:cs="宋体" w:asciiTheme="majorEastAsia" w:hAnsiTheme="majorEastAsia" w:eastAsiaTheme="majorEastAsia"/>
          <w:color w:val="auto"/>
          <w:kern w:val="0"/>
          <w:sz w:val="24"/>
          <w:highlight w:val="none"/>
        </w:rPr>
        <w:t>供应商签署的授权委托书。授权委托书应载明代理人的姓名或者名称、代理事项、具体权限、期限和相关事项。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3.质疑供应商若对项目的某一分包进行质疑，质疑函中应列明具体分包号。</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4.质疑函的质疑事项应具体、明确，并有必要的事实依据和法律依据。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5.质疑函的质疑请求应与质疑事项相关。</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exact"/>
        <w:rPr>
          <w:rFonts w:asciiTheme="majorEastAsia" w:hAnsiTheme="majorEastAsia" w:eastAsiaTheme="majorEastAsia"/>
          <w:color w:val="auto"/>
          <w:sz w:val="28"/>
          <w:szCs w:val="28"/>
          <w:highlight w:val="none"/>
        </w:rPr>
      </w:pPr>
    </w:p>
    <w:p>
      <w:pPr>
        <w:widowControl/>
        <w:jc w:val="left"/>
        <w:rPr>
          <w:rFonts w:ascii="仿宋_GB2312" w:eastAsia="仿宋_GB2312"/>
          <w:color w:val="auto"/>
          <w:kern w:val="0"/>
          <w:sz w:val="24"/>
          <w:highlight w:val="none"/>
        </w:rPr>
      </w:pPr>
    </w:p>
    <w:p>
      <w:pPr>
        <w:pStyle w:val="111"/>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highlight w:val="none"/>
        </w:rPr>
      </w:pPr>
    </w:p>
    <w:p>
      <w:pPr>
        <w:spacing w:line="360" w:lineRule="exact"/>
        <w:jc w:val="center"/>
        <w:rPr>
          <w:rFonts w:asciiTheme="majorEastAsia" w:hAnsiTheme="majorEastAsia" w:eastAsiaTheme="majorEastAsia"/>
          <w:b/>
          <w:color w:val="auto"/>
          <w:sz w:val="28"/>
          <w:szCs w:val="28"/>
          <w:highlight w:val="none"/>
        </w:rPr>
      </w:pPr>
      <w:bookmarkStart w:id="108" w:name="page2"/>
      <w:bookmarkEnd w:id="108"/>
      <w:r>
        <w:rPr>
          <w:rFonts w:hint="eastAsia" w:asciiTheme="majorEastAsia" w:hAnsiTheme="majorEastAsia" w:eastAsiaTheme="majorEastAsia"/>
          <w:b/>
          <w:color w:val="auto"/>
          <w:sz w:val="28"/>
          <w:szCs w:val="28"/>
          <w:highlight w:val="none"/>
        </w:rPr>
        <w:t>投诉书</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一、投诉相关主体基本情况</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投诉人：</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邮编：</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tabs>
          <w:tab w:val="left" w:pos="6510"/>
        </w:tabs>
        <w:spacing w:line="360" w:lineRule="exact"/>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法定代表人/主要负责人：</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 xml:space="preserve">  </w:t>
      </w:r>
    </w:p>
    <w:p>
      <w:pPr>
        <w:tabs>
          <w:tab w:val="left" w:pos="6510"/>
        </w:tabs>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联系电话：</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授权代表：</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联系电话</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地     址：</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邮编：</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被投诉人1：</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邮编：</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联系人：</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联系电话：</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被投诉人2</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相关供应商：</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邮编：</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联系人：</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联系电话：</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二、投诉项目基本情况</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采购项目名称：</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采购项目编号：</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包号：</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采购人名称：</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u w:val="singl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代理机构名称：</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采购文件公告:</w:t>
      </w:r>
      <w:r>
        <w:rPr>
          <w:rFonts w:hint="eastAsia" w:asciiTheme="majorEastAsia" w:hAnsiTheme="majorEastAsia" w:eastAsiaTheme="majorEastAsia"/>
          <w:color w:val="auto"/>
          <w:sz w:val="24"/>
          <w:highlight w:val="none"/>
          <w:u w:val="dotted"/>
        </w:rPr>
        <w:t xml:space="preserve">是/否 </w:t>
      </w:r>
      <w:r>
        <w:rPr>
          <w:rFonts w:hint="eastAsia" w:asciiTheme="majorEastAsia" w:hAnsiTheme="majorEastAsia" w:eastAsiaTheme="majorEastAsia"/>
          <w:color w:val="auto"/>
          <w:sz w:val="24"/>
          <w:highlight w:val="none"/>
        </w:rPr>
        <w:t>公告期限：</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采购结果公告:</w:t>
      </w:r>
      <w:r>
        <w:rPr>
          <w:rFonts w:hint="eastAsia" w:asciiTheme="majorEastAsia" w:hAnsiTheme="majorEastAsia" w:eastAsiaTheme="majorEastAsia"/>
          <w:color w:val="auto"/>
          <w:sz w:val="24"/>
          <w:highlight w:val="none"/>
          <w:u w:val="dotted"/>
        </w:rPr>
        <w:t xml:space="preserve">是/否 </w:t>
      </w:r>
      <w:r>
        <w:rPr>
          <w:rFonts w:hint="eastAsia" w:asciiTheme="majorEastAsia" w:hAnsiTheme="majorEastAsia" w:eastAsiaTheme="majorEastAsia"/>
          <w:color w:val="auto"/>
          <w:sz w:val="24"/>
          <w:highlight w:val="none"/>
        </w:rPr>
        <w:t>公告期限：</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三、质疑基本情况</w:t>
      </w:r>
    </w:p>
    <w:p>
      <w:pPr>
        <w:spacing w:line="360" w:lineRule="exact"/>
        <w:ind w:firstLine="480" w:firstLineChars="200"/>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投诉人于</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年</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月</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日,向</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提出质疑，质疑事项为：</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 xml:space="preserve">  </w:t>
      </w:r>
    </w:p>
    <w:p>
      <w:pPr>
        <w:spacing w:line="360" w:lineRule="exact"/>
        <w:ind w:firstLine="360" w:firstLineChars="1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u w:val="dotted"/>
        </w:rPr>
        <w:t>采购人/代理机构</w:t>
      </w:r>
      <w:r>
        <w:rPr>
          <w:rFonts w:hint="eastAsia" w:asciiTheme="majorEastAsia" w:hAnsiTheme="majorEastAsia" w:eastAsiaTheme="majorEastAsia"/>
          <w:color w:val="auto"/>
          <w:sz w:val="24"/>
          <w:highlight w:val="none"/>
        </w:rPr>
        <w:t>于</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年</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月</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日,就质疑事项作出了答复/没有在法定期限内作出答复。</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四、投诉事项具体内容</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投诉事项 1：</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事实依据：</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法律依据：</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投诉事项2</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五、与投诉事项相关的投诉请求</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请求：</w:t>
      </w:r>
      <w:r>
        <w:rPr>
          <w:rFonts w:hint="eastAsia" w:asciiTheme="majorEastAsia" w:hAnsiTheme="majorEastAsia" w:eastAsiaTheme="majorEastAsia"/>
          <w:color w:val="auto"/>
          <w:sz w:val="24"/>
          <w:highlight w:val="none"/>
          <w:u w:val="dotted"/>
        </w:rPr>
        <w:t xml:space="preserve">                                              </w:t>
      </w:r>
      <w:r>
        <w:rPr>
          <w:rFonts w:hint="eastAsia" w:asciiTheme="majorEastAsia" w:hAnsiTheme="majorEastAsia" w:eastAsiaTheme="majorEastAsia"/>
          <w:color w:val="auto"/>
          <w:sz w:val="24"/>
          <w:highlight w:val="none"/>
        </w:rPr>
        <w:t xml:space="preserve"> </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 xml:space="preserve">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签字(签章)：                   公章：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日期：    </w:t>
      </w:r>
    </w:p>
    <w:p>
      <w:pPr>
        <w:spacing w:line="360" w:lineRule="exact"/>
        <w:rPr>
          <w:rFonts w:asciiTheme="majorEastAsia" w:hAnsiTheme="majorEastAsia" w:eastAsiaTheme="majorEastAsia"/>
          <w:b/>
          <w:color w:val="auto"/>
          <w:sz w:val="24"/>
          <w:highlight w:val="none"/>
        </w:rPr>
      </w:pPr>
    </w:p>
    <w:p>
      <w:pPr>
        <w:spacing w:line="360" w:lineRule="exact"/>
        <w:rPr>
          <w:rFonts w:asciiTheme="majorEastAsia" w:hAnsiTheme="majorEastAsia" w:eastAsiaTheme="majorEastAsia"/>
          <w:b/>
          <w:color w:val="auto"/>
          <w:sz w:val="24"/>
          <w:highlight w:val="none"/>
        </w:rPr>
      </w:pPr>
    </w:p>
    <w:p>
      <w:pPr>
        <w:spacing w:line="3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投诉书制作说明：</w:t>
      </w:r>
    </w:p>
    <w:p>
      <w:pPr>
        <w:widowControl/>
        <w:spacing w:line="360" w:lineRule="exact"/>
        <w:ind w:firstLine="480" w:firstLineChars="200"/>
        <w:rPr>
          <w:rFonts w:cs="宋体"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1.投诉人提起投诉时，应当提交投诉书和必要的证明材料，并按照被投诉人和与投诉事项有关的供应商数量提供投诉书副本。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cs="宋体"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2.投诉人若委托代理人进行投诉的，投诉书应按照要求列明“授权代表”的有关内容，并在附件中提交由</w:t>
      </w:r>
      <w:r>
        <w:rPr>
          <w:rFonts w:hint="eastAsia" w:cs="宋体" w:asciiTheme="majorEastAsia" w:hAnsiTheme="majorEastAsia" w:eastAsiaTheme="majorEastAsia"/>
          <w:color w:val="auto"/>
          <w:kern w:val="0"/>
          <w:sz w:val="24"/>
          <w:highlight w:val="none"/>
        </w:rPr>
        <w:t>投诉人签署的授权委托书。授权委托书应当载明代理人的姓名或者名称、代理事项、具体权限、期限和相关事项。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3.投诉人若对项目的某一分包进行投诉，投诉书应列明具体分包号。</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4.投诉书应简要列明质疑事项，质疑函、质疑答复等作为附件材料提供。</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5.投诉书的投诉事项应具体、明确，并有必要的事实依据和法律依据。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6.投诉书的投诉请求应与投诉事项相关。</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exact"/>
        <w:rPr>
          <w:rFonts w:asciiTheme="majorEastAsia" w:hAnsiTheme="majorEastAsia" w:eastAsiaTheme="majorEastAsia"/>
          <w:color w:val="auto"/>
          <w:sz w:val="28"/>
          <w:szCs w:val="28"/>
          <w:highlight w:val="none"/>
        </w:rPr>
      </w:pPr>
    </w:p>
    <w:p>
      <w:pPr>
        <w:tabs>
          <w:tab w:val="left" w:pos="1087"/>
        </w:tabs>
        <w:spacing w:line="360" w:lineRule="auto"/>
        <w:rPr>
          <w:color w:val="auto"/>
          <w:sz w:val="24"/>
          <w:highlight w:val="none"/>
        </w:rPr>
      </w:pPr>
      <w:r>
        <w:rPr>
          <w:color w:val="auto"/>
          <w:sz w:val="24"/>
          <w:highlight w:val="none"/>
        </w:rPr>
        <w:tab/>
      </w:r>
    </w:p>
    <w:p>
      <w:pPr>
        <w:spacing w:line="360" w:lineRule="auto"/>
        <w:rPr>
          <w:color w:val="auto"/>
          <w:sz w:val="24"/>
          <w:highlight w:val="none"/>
        </w:rPr>
      </w:pPr>
    </w:p>
    <w:p>
      <w:pPr>
        <w:spacing w:line="360" w:lineRule="auto"/>
        <w:rPr>
          <w:color w:val="auto"/>
          <w:sz w:val="24"/>
          <w:highlight w:val="none"/>
        </w:rPr>
      </w:pPr>
    </w:p>
    <w:p>
      <w:pPr>
        <w:tabs>
          <w:tab w:val="left" w:pos="606"/>
        </w:tabs>
        <w:rPr>
          <w:color w:val="auto"/>
          <w:highlight w:val="none"/>
        </w:rPr>
      </w:pPr>
      <w:r>
        <w:rPr>
          <w:rFonts w:hint="eastAsia"/>
          <w:color w:val="auto"/>
          <w:highlight w:val="none"/>
        </w:rPr>
        <w:t xml:space="preserve"> </w:t>
      </w: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p>
    <w:p>
      <w:pPr>
        <w:tabs>
          <w:tab w:val="left" w:pos="606"/>
        </w:tabs>
        <w:rPr>
          <w:color w:val="auto"/>
          <w:highlight w:val="none"/>
        </w:rPr>
      </w:pPr>
      <w:r>
        <w:rPr>
          <w:rFonts w:hint="eastAsia" w:ascii="宋体" w:hAnsi="宋体" w:cs="宋体"/>
          <w:b/>
          <w:color w:val="auto"/>
          <w:kern w:val="0"/>
          <w:sz w:val="36"/>
          <w:szCs w:val="36"/>
          <w:highlight w:val="none"/>
        </w:rPr>
        <w:t>附件</w:t>
      </w:r>
    </w:p>
    <w:p>
      <w:pPr>
        <w:tabs>
          <w:tab w:val="left" w:pos="606"/>
        </w:tabs>
        <w:rPr>
          <w:color w:val="auto"/>
          <w:highlight w:val="none"/>
        </w:rPr>
      </w:pPr>
      <w:r>
        <w:rPr>
          <w:rFonts w:hint="eastAsia"/>
          <w:color w:val="auto"/>
          <w:highlight w:val="none"/>
        </w:rPr>
        <w:t xml:space="preserve"> </w:t>
      </w:r>
    </w:p>
    <w:p>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中标通知书</w:t>
      </w:r>
    </w:p>
    <w:p>
      <w:pPr>
        <w:tabs>
          <w:tab w:val="left" w:pos="606"/>
        </w:tabs>
        <w:rPr>
          <w:color w:val="auto"/>
          <w:sz w:val="24"/>
          <w:highlight w:val="none"/>
        </w:rPr>
      </w:pPr>
    </w:p>
    <w:p>
      <w:pPr>
        <w:tabs>
          <w:tab w:val="left" w:pos="606"/>
        </w:tabs>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公司：</w:t>
      </w:r>
    </w:p>
    <w:p>
      <w:pPr>
        <w:tabs>
          <w:tab w:val="left" w:pos="606"/>
        </w:tabs>
        <w:ind w:firstLine="420"/>
        <w:rPr>
          <w:color w:val="auto"/>
          <w:sz w:val="28"/>
          <w:szCs w:val="28"/>
          <w:highlight w:val="none"/>
        </w:rPr>
      </w:pPr>
      <w:r>
        <w:rPr>
          <w:rFonts w:hint="eastAsia"/>
          <w:color w:val="auto"/>
          <w:sz w:val="28"/>
          <w:szCs w:val="28"/>
          <w:highlight w:val="none"/>
          <w:u w:val="single"/>
        </w:rPr>
        <w:t>（代理机构名称）</w:t>
      </w:r>
      <w:r>
        <w:rPr>
          <w:rFonts w:hint="eastAsia"/>
          <w:color w:val="auto"/>
          <w:sz w:val="28"/>
          <w:szCs w:val="28"/>
          <w:highlight w:val="none"/>
        </w:rPr>
        <w:t>受</w:t>
      </w:r>
      <w:r>
        <w:rPr>
          <w:rFonts w:hint="eastAsia"/>
          <w:color w:val="auto"/>
          <w:sz w:val="28"/>
          <w:szCs w:val="28"/>
          <w:highlight w:val="none"/>
          <w:u w:val="single"/>
        </w:rPr>
        <w:t>（采购单位名称）</w:t>
      </w:r>
      <w:r>
        <w:rPr>
          <w:rFonts w:hint="eastAsia"/>
          <w:color w:val="auto"/>
          <w:sz w:val="28"/>
          <w:szCs w:val="28"/>
          <w:highlight w:val="none"/>
        </w:rPr>
        <w:t>的委托，就</w:t>
      </w:r>
      <w:r>
        <w:rPr>
          <w:rFonts w:hint="eastAsia"/>
          <w:color w:val="auto"/>
          <w:sz w:val="28"/>
          <w:szCs w:val="28"/>
          <w:highlight w:val="none"/>
          <w:u w:val="single"/>
        </w:rPr>
        <w:t xml:space="preserve">              项目</w:t>
      </w:r>
      <w:r>
        <w:rPr>
          <w:rFonts w:hint="eastAsia"/>
          <w:color w:val="auto"/>
          <w:sz w:val="28"/>
          <w:szCs w:val="28"/>
          <w:highlight w:val="none"/>
        </w:rPr>
        <w:t>（项目编号：</w:t>
      </w:r>
      <w:r>
        <w:rPr>
          <w:rFonts w:hint="eastAsia"/>
          <w:color w:val="auto"/>
          <w:sz w:val="28"/>
          <w:szCs w:val="28"/>
          <w:highlight w:val="none"/>
          <w:u w:val="single"/>
        </w:rPr>
        <w:t xml:space="preserve">            </w:t>
      </w:r>
      <w:r>
        <w:rPr>
          <w:rFonts w:hint="eastAsia"/>
          <w:color w:val="auto"/>
          <w:sz w:val="28"/>
          <w:szCs w:val="28"/>
          <w:highlight w:val="none"/>
        </w:rPr>
        <w:t>；审批编号：</w:t>
      </w:r>
      <w:r>
        <w:rPr>
          <w:rFonts w:hint="eastAsia"/>
          <w:color w:val="auto"/>
          <w:sz w:val="28"/>
          <w:szCs w:val="28"/>
          <w:highlight w:val="none"/>
          <w:u w:val="single"/>
        </w:rPr>
        <w:t xml:space="preserve">            </w:t>
      </w:r>
      <w:r>
        <w:rPr>
          <w:rFonts w:hint="eastAsia"/>
          <w:color w:val="auto"/>
          <w:sz w:val="28"/>
          <w:szCs w:val="28"/>
          <w:highlight w:val="none"/>
        </w:rPr>
        <w:t>）采用</w:t>
      </w:r>
      <w:r>
        <w:rPr>
          <w:rFonts w:hint="eastAsia"/>
          <w:color w:val="auto"/>
          <w:sz w:val="28"/>
          <w:szCs w:val="28"/>
          <w:highlight w:val="none"/>
          <w:u w:val="single"/>
        </w:rPr>
        <w:t xml:space="preserve">   </w:t>
      </w:r>
      <w:r>
        <w:rPr>
          <w:rFonts w:hint="eastAsia"/>
          <w:color w:val="auto"/>
          <w:sz w:val="28"/>
          <w:szCs w:val="28"/>
          <w:highlight w:val="none"/>
        </w:rPr>
        <w:t>方式进行采购。经采购人确认，贵单位为</w:t>
      </w:r>
      <w:r>
        <w:rPr>
          <w:rFonts w:hint="eastAsia"/>
          <w:color w:val="auto"/>
          <w:sz w:val="28"/>
          <w:szCs w:val="28"/>
          <w:highlight w:val="none"/>
          <w:u w:val="single"/>
        </w:rPr>
        <w:t xml:space="preserve">            </w:t>
      </w:r>
      <w:r>
        <w:rPr>
          <w:rFonts w:hint="eastAsia"/>
          <w:color w:val="auto"/>
          <w:sz w:val="28"/>
          <w:szCs w:val="28"/>
          <w:highlight w:val="none"/>
        </w:rPr>
        <w:t>项目的中标单位，具体内容如下：</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olor w:val="auto"/>
          <w:sz w:val="28"/>
          <w:szCs w:val="28"/>
          <w:highlight w:val="none"/>
        </w:rPr>
        <w:t>中标单位：</w:t>
      </w:r>
      <w:r>
        <w:rPr>
          <w:rFonts w:hint="eastAsia"/>
          <w:color w:val="auto"/>
          <w:sz w:val="28"/>
          <w:szCs w:val="28"/>
          <w:highlight w:val="none"/>
          <w:u w:val="single"/>
        </w:rPr>
        <w:t xml:space="preserve">             </w:t>
      </w:r>
      <w:r>
        <w:rPr>
          <w:rFonts w:hint="eastAsia"/>
          <w:color w:val="auto"/>
          <w:sz w:val="28"/>
          <w:szCs w:val="28"/>
          <w:highlight w:val="none"/>
        </w:rPr>
        <w:t>公司</w:t>
      </w:r>
    </w:p>
    <w:p>
      <w:pPr>
        <w:tabs>
          <w:tab w:val="left" w:pos="606"/>
        </w:tabs>
        <w:ind w:firstLine="420"/>
        <w:rPr>
          <w:color w:val="auto"/>
          <w:sz w:val="28"/>
          <w:szCs w:val="28"/>
          <w:highlight w:val="none"/>
        </w:rPr>
      </w:pPr>
      <w:r>
        <w:rPr>
          <w:rFonts w:hint="eastAsia"/>
          <w:color w:val="auto"/>
          <w:sz w:val="28"/>
          <w:szCs w:val="28"/>
          <w:highlight w:val="none"/>
        </w:rPr>
        <w:t>企业规模：□中型 □小型 □微型 □其他</w:t>
      </w:r>
    </w:p>
    <w:p>
      <w:pPr>
        <w:tabs>
          <w:tab w:val="left" w:pos="606"/>
        </w:tabs>
        <w:ind w:firstLine="420"/>
        <w:rPr>
          <w:color w:val="auto"/>
          <w:sz w:val="28"/>
          <w:szCs w:val="28"/>
          <w:highlight w:val="none"/>
        </w:rPr>
      </w:pPr>
      <w:r>
        <w:rPr>
          <w:rFonts w:hint="eastAsia"/>
          <w:color w:val="auto"/>
          <w:sz w:val="28"/>
          <w:szCs w:val="28"/>
          <w:highlight w:val="none"/>
        </w:rPr>
        <w:t>中标金额：</w:t>
      </w:r>
      <w:r>
        <w:rPr>
          <w:rFonts w:hint="eastAsia"/>
          <w:color w:val="auto"/>
          <w:sz w:val="28"/>
          <w:szCs w:val="28"/>
          <w:highlight w:val="none"/>
          <w:u w:val="single"/>
        </w:rPr>
        <w:t xml:space="preserve">                </w:t>
      </w:r>
      <w:r>
        <w:rPr>
          <w:rFonts w:hint="eastAsia"/>
          <w:color w:val="auto"/>
          <w:sz w:val="28"/>
          <w:szCs w:val="28"/>
          <w:highlight w:val="none"/>
        </w:rPr>
        <w:t xml:space="preserve">（￥ </w:t>
      </w:r>
      <w:r>
        <w:rPr>
          <w:rFonts w:hint="eastAsia"/>
          <w:color w:val="auto"/>
          <w:sz w:val="28"/>
          <w:szCs w:val="28"/>
          <w:highlight w:val="none"/>
          <w:u w:val="single"/>
        </w:rPr>
        <w:t xml:space="preserve">         </w:t>
      </w:r>
      <w:r>
        <w:rPr>
          <w:rFonts w:hint="eastAsia"/>
          <w:color w:val="auto"/>
          <w:sz w:val="28"/>
          <w:szCs w:val="28"/>
          <w:highlight w:val="none"/>
        </w:rPr>
        <w:t xml:space="preserve"> 元）</w:t>
      </w:r>
    </w:p>
    <w:p>
      <w:pPr>
        <w:tabs>
          <w:tab w:val="left" w:pos="606"/>
        </w:tabs>
        <w:ind w:firstLine="420"/>
        <w:rPr>
          <w:color w:val="auto"/>
          <w:sz w:val="28"/>
          <w:szCs w:val="28"/>
          <w:highlight w:val="none"/>
        </w:rPr>
      </w:pPr>
      <w:r>
        <w:rPr>
          <w:rFonts w:hint="eastAsia"/>
          <w:color w:val="auto"/>
          <w:sz w:val="28"/>
          <w:szCs w:val="28"/>
          <w:highlight w:val="none"/>
        </w:rPr>
        <w:t>交货时间：自合同签定之日起</w:t>
      </w:r>
      <w:r>
        <w:rPr>
          <w:rFonts w:hint="eastAsia"/>
          <w:color w:val="auto"/>
          <w:sz w:val="28"/>
          <w:szCs w:val="28"/>
          <w:highlight w:val="none"/>
          <w:u w:val="single"/>
        </w:rPr>
        <w:t xml:space="preserve">    </w:t>
      </w:r>
      <w:r>
        <w:rPr>
          <w:rFonts w:hint="eastAsia"/>
          <w:color w:val="auto"/>
          <w:sz w:val="28"/>
          <w:szCs w:val="28"/>
          <w:highlight w:val="none"/>
        </w:rPr>
        <w:t>天内</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olor w:val="auto"/>
          <w:sz w:val="28"/>
          <w:szCs w:val="28"/>
          <w:highlight w:val="none"/>
        </w:rPr>
        <w:t>请贵单位接此通知书后</w:t>
      </w:r>
      <w:r>
        <w:rPr>
          <w:rFonts w:hint="eastAsia"/>
          <w:color w:val="auto"/>
          <w:sz w:val="28"/>
          <w:szCs w:val="28"/>
          <w:highlight w:val="none"/>
          <w:u w:val="single"/>
        </w:rPr>
        <w:t xml:space="preserve">    </w:t>
      </w:r>
      <w:r>
        <w:rPr>
          <w:rFonts w:hint="eastAsia"/>
          <w:color w:val="auto"/>
          <w:sz w:val="28"/>
          <w:szCs w:val="28"/>
          <w:highlight w:val="none"/>
        </w:rPr>
        <w:t>日内尽快与采购人签订合同，并按采购文件要求和投标文件的承诺履行合同。</w:t>
      </w:r>
    </w:p>
    <w:p>
      <w:pPr>
        <w:tabs>
          <w:tab w:val="left" w:pos="606"/>
        </w:tabs>
        <w:ind w:firstLine="420"/>
        <w:rPr>
          <w:color w:val="auto"/>
          <w:sz w:val="28"/>
          <w:szCs w:val="28"/>
          <w:highlight w:val="none"/>
        </w:rPr>
      </w:pPr>
      <w:r>
        <w:rPr>
          <w:rFonts w:hint="eastAsia"/>
          <w:color w:val="auto"/>
          <w:sz w:val="28"/>
          <w:szCs w:val="28"/>
          <w:highlight w:val="none"/>
        </w:rPr>
        <w:t>特此通知！</w:t>
      </w:r>
    </w:p>
    <w:p>
      <w:pPr>
        <w:tabs>
          <w:tab w:val="left" w:pos="606"/>
        </w:tabs>
        <w:rPr>
          <w:color w:val="auto"/>
          <w:sz w:val="28"/>
          <w:szCs w:val="28"/>
          <w:highlight w:val="none"/>
        </w:rPr>
      </w:pPr>
    </w:p>
    <w:p>
      <w:pPr>
        <w:tabs>
          <w:tab w:val="left" w:pos="606"/>
        </w:tabs>
        <w:ind w:firstLine="4480" w:firstLineChars="1600"/>
        <w:rPr>
          <w:color w:val="auto"/>
          <w:sz w:val="28"/>
          <w:szCs w:val="28"/>
          <w:highlight w:val="none"/>
        </w:rPr>
      </w:pPr>
      <w:r>
        <w:rPr>
          <w:rFonts w:hint="eastAsia"/>
          <w:color w:val="auto"/>
          <w:sz w:val="28"/>
          <w:szCs w:val="28"/>
          <w:highlight w:val="none"/>
        </w:rPr>
        <w:t>采购单位（盖章）：</w:t>
      </w:r>
    </w:p>
    <w:p>
      <w:pPr>
        <w:tabs>
          <w:tab w:val="left" w:pos="606"/>
        </w:tabs>
        <w:ind w:firstLine="4480" w:firstLineChars="1600"/>
        <w:rPr>
          <w:color w:val="auto"/>
          <w:sz w:val="28"/>
          <w:szCs w:val="28"/>
          <w:highlight w:val="none"/>
        </w:rPr>
      </w:pPr>
      <w:r>
        <w:rPr>
          <w:rFonts w:hint="eastAsia"/>
          <w:color w:val="auto"/>
          <w:sz w:val="28"/>
          <w:szCs w:val="28"/>
          <w:highlight w:val="none"/>
        </w:rPr>
        <w:t>代理机构（盖章）：</w:t>
      </w:r>
    </w:p>
    <w:p>
      <w:pPr>
        <w:tabs>
          <w:tab w:val="left" w:pos="606"/>
        </w:tabs>
        <w:ind w:firstLine="4480" w:firstLineChars="1600"/>
        <w:rPr>
          <w:color w:val="auto"/>
          <w:sz w:val="28"/>
          <w:szCs w:val="28"/>
          <w:highlight w:val="none"/>
        </w:rPr>
      </w:pPr>
      <w:r>
        <w:rPr>
          <w:rFonts w:hint="eastAsia"/>
          <w:color w:val="auto"/>
          <w:sz w:val="28"/>
          <w:szCs w:val="28"/>
          <w:highlight w:val="none"/>
        </w:rPr>
        <w:t>日期：  年  月  日</w:t>
      </w:r>
    </w:p>
    <w:p>
      <w:pPr>
        <w:tabs>
          <w:tab w:val="left" w:pos="606"/>
        </w:tabs>
        <w:rPr>
          <w:color w:val="auto"/>
          <w:highlight w:val="none"/>
        </w:rPr>
      </w:pPr>
    </w:p>
    <w:bookmarkEnd w:id="109"/>
    <w:sectPr>
      <w:headerReference r:id="rId3" w:type="default"/>
      <w:footerReference r:id="rId4" w:type="default"/>
      <w:footerReference r:id="rId5" w:type="even"/>
      <w:pgSz w:w="11906" w:h="16838"/>
      <w:pgMar w:top="1134" w:right="1469" w:bottom="1134"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nsum">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9837" w:y="120"/>
      <w:rPr>
        <w:rStyle w:val="41"/>
        <w:rFonts w:ascii="仿宋" w:hAnsi="仿宋" w:eastAsia="仿宋"/>
        <w:sz w:val="28"/>
        <w:szCs w:val="28"/>
      </w:rPr>
    </w:pPr>
    <w:r>
      <w:rPr>
        <w:rFonts w:ascii="仿宋" w:hAnsi="仿宋" w:eastAsia="仿宋"/>
        <w:sz w:val="28"/>
        <w:szCs w:val="28"/>
      </w:rPr>
      <w:fldChar w:fldCharType="begin"/>
    </w:r>
    <w:r>
      <w:rPr>
        <w:rStyle w:val="41"/>
        <w:rFonts w:ascii="仿宋" w:hAnsi="仿宋" w:eastAsia="仿宋"/>
        <w:sz w:val="28"/>
        <w:szCs w:val="28"/>
      </w:rPr>
      <w:instrText xml:space="preserve">PAGE  </w:instrText>
    </w:r>
    <w:r>
      <w:rPr>
        <w:rFonts w:ascii="仿宋" w:hAnsi="仿宋" w:eastAsia="仿宋"/>
        <w:sz w:val="28"/>
        <w:szCs w:val="28"/>
      </w:rPr>
      <w:fldChar w:fldCharType="separate"/>
    </w:r>
    <w:r>
      <w:rPr>
        <w:rStyle w:val="41"/>
        <w:rFonts w:ascii="仿宋" w:hAnsi="仿宋" w:eastAsia="仿宋"/>
        <w:sz w:val="28"/>
        <w:szCs w:val="28"/>
      </w:rPr>
      <w:t>- 9 -</w:t>
    </w:r>
    <w:r>
      <w:rPr>
        <w:rFonts w:ascii="仿宋" w:hAnsi="仿宋" w:eastAsia="仿宋"/>
        <w:sz w:val="28"/>
        <w:szCs w:val="28"/>
      </w:rPr>
      <w:fldChar w:fldCharType="end"/>
    </w:r>
  </w:p>
  <w:p>
    <w:pPr>
      <w:pStyle w:val="26"/>
      <w:wordWrap w:val="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5</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914"/>
    <w:rsid w:val="00042EAA"/>
    <w:rsid w:val="00043BC4"/>
    <w:rsid w:val="00044292"/>
    <w:rsid w:val="0004471C"/>
    <w:rsid w:val="00044AFC"/>
    <w:rsid w:val="00045544"/>
    <w:rsid w:val="00047850"/>
    <w:rsid w:val="00047B43"/>
    <w:rsid w:val="00047DE2"/>
    <w:rsid w:val="00051654"/>
    <w:rsid w:val="00051AB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6217"/>
    <w:rsid w:val="000970AC"/>
    <w:rsid w:val="00097C11"/>
    <w:rsid w:val="000A039F"/>
    <w:rsid w:val="000A0C3A"/>
    <w:rsid w:val="000A0D4E"/>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1869"/>
    <w:rsid w:val="001421B0"/>
    <w:rsid w:val="001431A2"/>
    <w:rsid w:val="00143F6C"/>
    <w:rsid w:val="00145F39"/>
    <w:rsid w:val="00146229"/>
    <w:rsid w:val="0015130F"/>
    <w:rsid w:val="00152112"/>
    <w:rsid w:val="00152A00"/>
    <w:rsid w:val="00152F44"/>
    <w:rsid w:val="00153268"/>
    <w:rsid w:val="001539F5"/>
    <w:rsid w:val="00153C62"/>
    <w:rsid w:val="0015431C"/>
    <w:rsid w:val="00154774"/>
    <w:rsid w:val="001576DC"/>
    <w:rsid w:val="00157B5E"/>
    <w:rsid w:val="001610A9"/>
    <w:rsid w:val="00161318"/>
    <w:rsid w:val="00162436"/>
    <w:rsid w:val="00162933"/>
    <w:rsid w:val="00163720"/>
    <w:rsid w:val="00163AC9"/>
    <w:rsid w:val="00163E3E"/>
    <w:rsid w:val="0016511C"/>
    <w:rsid w:val="001651AC"/>
    <w:rsid w:val="0016544B"/>
    <w:rsid w:val="00165540"/>
    <w:rsid w:val="00165BE5"/>
    <w:rsid w:val="001661C8"/>
    <w:rsid w:val="00166B37"/>
    <w:rsid w:val="001673D1"/>
    <w:rsid w:val="001708A0"/>
    <w:rsid w:val="001718A3"/>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91828"/>
    <w:rsid w:val="00191EE3"/>
    <w:rsid w:val="001925D6"/>
    <w:rsid w:val="001929B1"/>
    <w:rsid w:val="00192BB1"/>
    <w:rsid w:val="00192EAE"/>
    <w:rsid w:val="0019336D"/>
    <w:rsid w:val="001936FC"/>
    <w:rsid w:val="00194697"/>
    <w:rsid w:val="001946BA"/>
    <w:rsid w:val="00195FAD"/>
    <w:rsid w:val="001A04E3"/>
    <w:rsid w:val="001A1890"/>
    <w:rsid w:val="001A2D19"/>
    <w:rsid w:val="001A3C11"/>
    <w:rsid w:val="001A4663"/>
    <w:rsid w:val="001A4A4E"/>
    <w:rsid w:val="001A4B8D"/>
    <w:rsid w:val="001A4C0D"/>
    <w:rsid w:val="001A4F50"/>
    <w:rsid w:val="001A5A2D"/>
    <w:rsid w:val="001A6969"/>
    <w:rsid w:val="001A6FF8"/>
    <w:rsid w:val="001A7307"/>
    <w:rsid w:val="001A76BF"/>
    <w:rsid w:val="001A78AC"/>
    <w:rsid w:val="001A7A8C"/>
    <w:rsid w:val="001B0343"/>
    <w:rsid w:val="001B0DB9"/>
    <w:rsid w:val="001B14EF"/>
    <w:rsid w:val="001B170C"/>
    <w:rsid w:val="001B26C9"/>
    <w:rsid w:val="001B2961"/>
    <w:rsid w:val="001B367C"/>
    <w:rsid w:val="001B390C"/>
    <w:rsid w:val="001B54BF"/>
    <w:rsid w:val="001C0E03"/>
    <w:rsid w:val="001C1415"/>
    <w:rsid w:val="001C1598"/>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0771"/>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5F19"/>
    <w:rsid w:val="00265FA8"/>
    <w:rsid w:val="00266ACD"/>
    <w:rsid w:val="00271260"/>
    <w:rsid w:val="00272691"/>
    <w:rsid w:val="0027586C"/>
    <w:rsid w:val="002760F5"/>
    <w:rsid w:val="0028067B"/>
    <w:rsid w:val="00282766"/>
    <w:rsid w:val="0028501D"/>
    <w:rsid w:val="002872DF"/>
    <w:rsid w:val="0029198C"/>
    <w:rsid w:val="00291A75"/>
    <w:rsid w:val="002930FA"/>
    <w:rsid w:val="0029402C"/>
    <w:rsid w:val="002944A1"/>
    <w:rsid w:val="002965FE"/>
    <w:rsid w:val="00296843"/>
    <w:rsid w:val="002969C5"/>
    <w:rsid w:val="00297897"/>
    <w:rsid w:val="00297B4E"/>
    <w:rsid w:val="002A0A45"/>
    <w:rsid w:val="002A0BA5"/>
    <w:rsid w:val="002A5011"/>
    <w:rsid w:val="002A56B5"/>
    <w:rsid w:val="002A68B4"/>
    <w:rsid w:val="002B1210"/>
    <w:rsid w:val="002B1227"/>
    <w:rsid w:val="002B184E"/>
    <w:rsid w:val="002B47C9"/>
    <w:rsid w:val="002B6F4C"/>
    <w:rsid w:val="002B7383"/>
    <w:rsid w:val="002B760E"/>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3FDF"/>
    <w:rsid w:val="002D41A7"/>
    <w:rsid w:val="002D49AA"/>
    <w:rsid w:val="002D4AE8"/>
    <w:rsid w:val="002D5288"/>
    <w:rsid w:val="002D5702"/>
    <w:rsid w:val="002D7055"/>
    <w:rsid w:val="002D71CB"/>
    <w:rsid w:val="002D72CD"/>
    <w:rsid w:val="002D7920"/>
    <w:rsid w:val="002D7A45"/>
    <w:rsid w:val="002D7D66"/>
    <w:rsid w:val="002E1235"/>
    <w:rsid w:val="002E31E0"/>
    <w:rsid w:val="002E3300"/>
    <w:rsid w:val="002E409D"/>
    <w:rsid w:val="002E44B9"/>
    <w:rsid w:val="002E4869"/>
    <w:rsid w:val="002E4A87"/>
    <w:rsid w:val="002E5932"/>
    <w:rsid w:val="002F1032"/>
    <w:rsid w:val="002F1CB1"/>
    <w:rsid w:val="002F2046"/>
    <w:rsid w:val="002F477C"/>
    <w:rsid w:val="002F603B"/>
    <w:rsid w:val="002F626F"/>
    <w:rsid w:val="003007B7"/>
    <w:rsid w:val="00301578"/>
    <w:rsid w:val="003020F2"/>
    <w:rsid w:val="00302E13"/>
    <w:rsid w:val="003067E9"/>
    <w:rsid w:val="0031025B"/>
    <w:rsid w:val="003110B1"/>
    <w:rsid w:val="00311184"/>
    <w:rsid w:val="003162BD"/>
    <w:rsid w:val="003178A8"/>
    <w:rsid w:val="00321E4E"/>
    <w:rsid w:val="0032217D"/>
    <w:rsid w:val="00322397"/>
    <w:rsid w:val="00322E72"/>
    <w:rsid w:val="003249B8"/>
    <w:rsid w:val="0032588B"/>
    <w:rsid w:val="00325C46"/>
    <w:rsid w:val="00325C4C"/>
    <w:rsid w:val="00326F66"/>
    <w:rsid w:val="00327D3C"/>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675E8"/>
    <w:rsid w:val="003721CD"/>
    <w:rsid w:val="0037238D"/>
    <w:rsid w:val="00372B87"/>
    <w:rsid w:val="00372BCF"/>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A0600"/>
    <w:rsid w:val="003A0FBC"/>
    <w:rsid w:val="003A1395"/>
    <w:rsid w:val="003A17E0"/>
    <w:rsid w:val="003A1C4F"/>
    <w:rsid w:val="003A1EA5"/>
    <w:rsid w:val="003A2C33"/>
    <w:rsid w:val="003A50FF"/>
    <w:rsid w:val="003A6122"/>
    <w:rsid w:val="003A6291"/>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5F0"/>
    <w:rsid w:val="003F266A"/>
    <w:rsid w:val="003F2680"/>
    <w:rsid w:val="003F2A8A"/>
    <w:rsid w:val="003F378D"/>
    <w:rsid w:val="003F4C74"/>
    <w:rsid w:val="003F4D4F"/>
    <w:rsid w:val="003F65CB"/>
    <w:rsid w:val="003F6F61"/>
    <w:rsid w:val="003F6FF6"/>
    <w:rsid w:val="00401B66"/>
    <w:rsid w:val="00401DEF"/>
    <w:rsid w:val="004023C3"/>
    <w:rsid w:val="00402447"/>
    <w:rsid w:val="00403F3A"/>
    <w:rsid w:val="00404FD6"/>
    <w:rsid w:val="00405031"/>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9AC"/>
    <w:rsid w:val="00433C3C"/>
    <w:rsid w:val="00434B75"/>
    <w:rsid w:val="00434D0D"/>
    <w:rsid w:val="00436580"/>
    <w:rsid w:val="004410C9"/>
    <w:rsid w:val="00441232"/>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4F0"/>
    <w:rsid w:val="004564F6"/>
    <w:rsid w:val="00456E98"/>
    <w:rsid w:val="0046029F"/>
    <w:rsid w:val="00461C4D"/>
    <w:rsid w:val="0046305D"/>
    <w:rsid w:val="004645C7"/>
    <w:rsid w:val="00464C9F"/>
    <w:rsid w:val="004673E2"/>
    <w:rsid w:val="00467751"/>
    <w:rsid w:val="00467B09"/>
    <w:rsid w:val="004734AB"/>
    <w:rsid w:val="00474A5F"/>
    <w:rsid w:val="00476484"/>
    <w:rsid w:val="0047703F"/>
    <w:rsid w:val="004776B6"/>
    <w:rsid w:val="0047776A"/>
    <w:rsid w:val="0048029F"/>
    <w:rsid w:val="0048083B"/>
    <w:rsid w:val="00480E49"/>
    <w:rsid w:val="00481766"/>
    <w:rsid w:val="00481B0F"/>
    <w:rsid w:val="00482922"/>
    <w:rsid w:val="004832E5"/>
    <w:rsid w:val="004836BA"/>
    <w:rsid w:val="00484809"/>
    <w:rsid w:val="00484D66"/>
    <w:rsid w:val="00485ADE"/>
    <w:rsid w:val="00485D4F"/>
    <w:rsid w:val="00486292"/>
    <w:rsid w:val="004903AA"/>
    <w:rsid w:val="00491072"/>
    <w:rsid w:val="00492196"/>
    <w:rsid w:val="0049378B"/>
    <w:rsid w:val="00493CA0"/>
    <w:rsid w:val="00494271"/>
    <w:rsid w:val="00494E0D"/>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E51"/>
    <w:rsid w:val="004B0462"/>
    <w:rsid w:val="004B1823"/>
    <w:rsid w:val="004B30A6"/>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D09"/>
    <w:rsid w:val="004C2E4E"/>
    <w:rsid w:val="004C348C"/>
    <w:rsid w:val="004C3D14"/>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FE0"/>
    <w:rsid w:val="00613019"/>
    <w:rsid w:val="00613A2E"/>
    <w:rsid w:val="00613C5A"/>
    <w:rsid w:val="006143D7"/>
    <w:rsid w:val="006144FE"/>
    <w:rsid w:val="00614FA8"/>
    <w:rsid w:val="0061619C"/>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479E"/>
    <w:rsid w:val="0063552A"/>
    <w:rsid w:val="00637ACC"/>
    <w:rsid w:val="00640662"/>
    <w:rsid w:val="00642F11"/>
    <w:rsid w:val="006434CB"/>
    <w:rsid w:val="006439C6"/>
    <w:rsid w:val="00644D53"/>
    <w:rsid w:val="00644E33"/>
    <w:rsid w:val="00644E78"/>
    <w:rsid w:val="00644F73"/>
    <w:rsid w:val="00644FC0"/>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A9C"/>
    <w:rsid w:val="00656C5A"/>
    <w:rsid w:val="00656E78"/>
    <w:rsid w:val="006571BD"/>
    <w:rsid w:val="006573CA"/>
    <w:rsid w:val="00657C59"/>
    <w:rsid w:val="00660C25"/>
    <w:rsid w:val="00661794"/>
    <w:rsid w:val="006625AC"/>
    <w:rsid w:val="00663640"/>
    <w:rsid w:val="00663E5B"/>
    <w:rsid w:val="00665EE2"/>
    <w:rsid w:val="00666E90"/>
    <w:rsid w:val="0067114C"/>
    <w:rsid w:val="006711B2"/>
    <w:rsid w:val="0067202E"/>
    <w:rsid w:val="00673A13"/>
    <w:rsid w:val="006758B8"/>
    <w:rsid w:val="00676634"/>
    <w:rsid w:val="006812F0"/>
    <w:rsid w:val="006813F1"/>
    <w:rsid w:val="00681B0C"/>
    <w:rsid w:val="0068257E"/>
    <w:rsid w:val="006828FB"/>
    <w:rsid w:val="00682E9E"/>
    <w:rsid w:val="00683108"/>
    <w:rsid w:val="00683348"/>
    <w:rsid w:val="006838E5"/>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5BE7"/>
    <w:rsid w:val="006B6523"/>
    <w:rsid w:val="006C03AA"/>
    <w:rsid w:val="006C0AB1"/>
    <w:rsid w:val="006C0B18"/>
    <w:rsid w:val="006C36CE"/>
    <w:rsid w:val="006C39A1"/>
    <w:rsid w:val="006C3D05"/>
    <w:rsid w:val="006C40AA"/>
    <w:rsid w:val="006C568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CA0"/>
    <w:rsid w:val="007342EA"/>
    <w:rsid w:val="00734411"/>
    <w:rsid w:val="00735EB9"/>
    <w:rsid w:val="007360CA"/>
    <w:rsid w:val="00736D48"/>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8C1"/>
    <w:rsid w:val="007A57A9"/>
    <w:rsid w:val="007A6C52"/>
    <w:rsid w:val="007A6D8D"/>
    <w:rsid w:val="007A70A6"/>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2AFA"/>
    <w:rsid w:val="007C428F"/>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EB"/>
    <w:rsid w:val="007E2903"/>
    <w:rsid w:val="007E292B"/>
    <w:rsid w:val="007E303F"/>
    <w:rsid w:val="007E34F9"/>
    <w:rsid w:val="007E6658"/>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29ED"/>
    <w:rsid w:val="008344B1"/>
    <w:rsid w:val="008364BD"/>
    <w:rsid w:val="0083740A"/>
    <w:rsid w:val="0083749A"/>
    <w:rsid w:val="0083750A"/>
    <w:rsid w:val="00837F42"/>
    <w:rsid w:val="00841FE8"/>
    <w:rsid w:val="00842202"/>
    <w:rsid w:val="008422B7"/>
    <w:rsid w:val="0084262D"/>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3EA2"/>
    <w:rsid w:val="00874E61"/>
    <w:rsid w:val="00876D70"/>
    <w:rsid w:val="00876E3A"/>
    <w:rsid w:val="00877417"/>
    <w:rsid w:val="00877EFC"/>
    <w:rsid w:val="0088176B"/>
    <w:rsid w:val="00881DD3"/>
    <w:rsid w:val="008834CB"/>
    <w:rsid w:val="008836ED"/>
    <w:rsid w:val="008839C7"/>
    <w:rsid w:val="00884CC9"/>
    <w:rsid w:val="00885437"/>
    <w:rsid w:val="00890687"/>
    <w:rsid w:val="00891385"/>
    <w:rsid w:val="008916EF"/>
    <w:rsid w:val="00892E46"/>
    <w:rsid w:val="008933EB"/>
    <w:rsid w:val="00893AEC"/>
    <w:rsid w:val="00894ABA"/>
    <w:rsid w:val="00894EAB"/>
    <w:rsid w:val="00896B8C"/>
    <w:rsid w:val="008A0589"/>
    <w:rsid w:val="008A0D3F"/>
    <w:rsid w:val="008A155E"/>
    <w:rsid w:val="008A52DB"/>
    <w:rsid w:val="008A5E23"/>
    <w:rsid w:val="008B0339"/>
    <w:rsid w:val="008B09A0"/>
    <w:rsid w:val="008B3CC4"/>
    <w:rsid w:val="008B4AA4"/>
    <w:rsid w:val="008B507A"/>
    <w:rsid w:val="008B5608"/>
    <w:rsid w:val="008B59D2"/>
    <w:rsid w:val="008B70EB"/>
    <w:rsid w:val="008C0028"/>
    <w:rsid w:val="008C0F2D"/>
    <w:rsid w:val="008C1A4D"/>
    <w:rsid w:val="008C22F4"/>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573A"/>
    <w:rsid w:val="008F7244"/>
    <w:rsid w:val="00902A0B"/>
    <w:rsid w:val="009031D1"/>
    <w:rsid w:val="009046F7"/>
    <w:rsid w:val="00905C23"/>
    <w:rsid w:val="00905F95"/>
    <w:rsid w:val="00906B2A"/>
    <w:rsid w:val="009078E4"/>
    <w:rsid w:val="00910919"/>
    <w:rsid w:val="00910DF3"/>
    <w:rsid w:val="009112B6"/>
    <w:rsid w:val="009117B4"/>
    <w:rsid w:val="0091395E"/>
    <w:rsid w:val="00914544"/>
    <w:rsid w:val="00915213"/>
    <w:rsid w:val="0091678B"/>
    <w:rsid w:val="00917405"/>
    <w:rsid w:val="00917E2E"/>
    <w:rsid w:val="009205D0"/>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7091"/>
    <w:rsid w:val="00982F54"/>
    <w:rsid w:val="009842CD"/>
    <w:rsid w:val="0098431C"/>
    <w:rsid w:val="00984CEC"/>
    <w:rsid w:val="009857A2"/>
    <w:rsid w:val="00985A8B"/>
    <w:rsid w:val="00985D3C"/>
    <w:rsid w:val="00985F7B"/>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82B"/>
    <w:rsid w:val="009B5293"/>
    <w:rsid w:val="009B798F"/>
    <w:rsid w:val="009C07D6"/>
    <w:rsid w:val="009C09C7"/>
    <w:rsid w:val="009C0F8D"/>
    <w:rsid w:val="009C147B"/>
    <w:rsid w:val="009C17AA"/>
    <w:rsid w:val="009C1A38"/>
    <w:rsid w:val="009C202F"/>
    <w:rsid w:val="009C3412"/>
    <w:rsid w:val="009C38D7"/>
    <w:rsid w:val="009C3900"/>
    <w:rsid w:val="009C4308"/>
    <w:rsid w:val="009C46AB"/>
    <w:rsid w:val="009C599B"/>
    <w:rsid w:val="009C59E4"/>
    <w:rsid w:val="009C7B8A"/>
    <w:rsid w:val="009D000A"/>
    <w:rsid w:val="009D142B"/>
    <w:rsid w:val="009D205F"/>
    <w:rsid w:val="009D3DBD"/>
    <w:rsid w:val="009D51AC"/>
    <w:rsid w:val="009D5A52"/>
    <w:rsid w:val="009D6014"/>
    <w:rsid w:val="009D6361"/>
    <w:rsid w:val="009D63C6"/>
    <w:rsid w:val="009E0D00"/>
    <w:rsid w:val="009E1699"/>
    <w:rsid w:val="009E355A"/>
    <w:rsid w:val="009E41E3"/>
    <w:rsid w:val="009E56D5"/>
    <w:rsid w:val="009E7397"/>
    <w:rsid w:val="009F09ED"/>
    <w:rsid w:val="009F1EE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BC5"/>
    <w:rsid w:val="00A12CA4"/>
    <w:rsid w:val="00A13B8C"/>
    <w:rsid w:val="00A13F53"/>
    <w:rsid w:val="00A14F76"/>
    <w:rsid w:val="00A155CD"/>
    <w:rsid w:val="00A165EB"/>
    <w:rsid w:val="00A16D29"/>
    <w:rsid w:val="00A17B40"/>
    <w:rsid w:val="00A207F7"/>
    <w:rsid w:val="00A2135E"/>
    <w:rsid w:val="00A217DF"/>
    <w:rsid w:val="00A23B8A"/>
    <w:rsid w:val="00A242C4"/>
    <w:rsid w:val="00A24D20"/>
    <w:rsid w:val="00A254FD"/>
    <w:rsid w:val="00A25524"/>
    <w:rsid w:val="00A263B3"/>
    <w:rsid w:val="00A26AE2"/>
    <w:rsid w:val="00A26F65"/>
    <w:rsid w:val="00A27F42"/>
    <w:rsid w:val="00A31D9F"/>
    <w:rsid w:val="00A3358A"/>
    <w:rsid w:val="00A34A78"/>
    <w:rsid w:val="00A3551B"/>
    <w:rsid w:val="00A35BB1"/>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937"/>
    <w:rsid w:val="00A512CF"/>
    <w:rsid w:val="00A51D10"/>
    <w:rsid w:val="00A5367C"/>
    <w:rsid w:val="00A543CB"/>
    <w:rsid w:val="00A553C9"/>
    <w:rsid w:val="00A55E4C"/>
    <w:rsid w:val="00A564EC"/>
    <w:rsid w:val="00A6013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261"/>
    <w:rsid w:val="00AC46D4"/>
    <w:rsid w:val="00AC62D3"/>
    <w:rsid w:val="00AC7218"/>
    <w:rsid w:val="00AD08A7"/>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0C6E"/>
    <w:rsid w:val="00AF152A"/>
    <w:rsid w:val="00AF3859"/>
    <w:rsid w:val="00AF426E"/>
    <w:rsid w:val="00AF6334"/>
    <w:rsid w:val="00AF64C9"/>
    <w:rsid w:val="00AF6E5D"/>
    <w:rsid w:val="00AF7111"/>
    <w:rsid w:val="00AF714C"/>
    <w:rsid w:val="00B000C1"/>
    <w:rsid w:val="00B008BD"/>
    <w:rsid w:val="00B012C2"/>
    <w:rsid w:val="00B02173"/>
    <w:rsid w:val="00B025B3"/>
    <w:rsid w:val="00B02C12"/>
    <w:rsid w:val="00B02E41"/>
    <w:rsid w:val="00B032C2"/>
    <w:rsid w:val="00B03A2C"/>
    <w:rsid w:val="00B04543"/>
    <w:rsid w:val="00B04876"/>
    <w:rsid w:val="00B04878"/>
    <w:rsid w:val="00B05123"/>
    <w:rsid w:val="00B052C6"/>
    <w:rsid w:val="00B055F6"/>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752C"/>
    <w:rsid w:val="00B37F1F"/>
    <w:rsid w:val="00B40EDE"/>
    <w:rsid w:val="00B421F6"/>
    <w:rsid w:val="00B422DC"/>
    <w:rsid w:val="00B43798"/>
    <w:rsid w:val="00B45020"/>
    <w:rsid w:val="00B46698"/>
    <w:rsid w:val="00B46AD9"/>
    <w:rsid w:val="00B4740A"/>
    <w:rsid w:val="00B47A82"/>
    <w:rsid w:val="00B505C8"/>
    <w:rsid w:val="00B50D3C"/>
    <w:rsid w:val="00B50DDB"/>
    <w:rsid w:val="00B50EEA"/>
    <w:rsid w:val="00B5138C"/>
    <w:rsid w:val="00B51549"/>
    <w:rsid w:val="00B51AE5"/>
    <w:rsid w:val="00B51D5E"/>
    <w:rsid w:val="00B52237"/>
    <w:rsid w:val="00B53F2F"/>
    <w:rsid w:val="00B550A2"/>
    <w:rsid w:val="00B56878"/>
    <w:rsid w:val="00B569FA"/>
    <w:rsid w:val="00B57D49"/>
    <w:rsid w:val="00B57E6D"/>
    <w:rsid w:val="00B61747"/>
    <w:rsid w:val="00B62E97"/>
    <w:rsid w:val="00B635A5"/>
    <w:rsid w:val="00B640DC"/>
    <w:rsid w:val="00B66F17"/>
    <w:rsid w:val="00B67F8F"/>
    <w:rsid w:val="00B70176"/>
    <w:rsid w:val="00B710B5"/>
    <w:rsid w:val="00B7244D"/>
    <w:rsid w:val="00B729FE"/>
    <w:rsid w:val="00B7339D"/>
    <w:rsid w:val="00B736A1"/>
    <w:rsid w:val="00B7370A"/>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6158"/>
    <w:rsid w:val="00B9620B"/>
    <w:rsid w:val="00B978A9"/>
    <w:rsid w:val="00BA0054"/>
    <w:rsid w:val="00BA1226"/>
    <w:rsid w:val="00BA16EE"/>
    <w:rsid w:val="00BA2231"/>
    <w:rsid w:val="00BA3AD1"/>
    <w:rsid w:val="00BA3BA6"/>
    <w:rsid w:val="00BA48F9"/>
    <w:rsid w:val="00BA5652"/>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35BB"/>
    <w:rsid w:val="00BD3DDD"/>
    <w:rsid w:val="00BD4F55"/>
    <w:rsid w:val="00BD5279"/>
    <w:rsid w:val="00BD5E04"/>
    <w:rsid w:val="00BD79B7"/>
    <w:rsid w:val="00BE01FE"/>
    <w:rsid w:val="00BE33D2"/>
    <w:rsid w:val="00BE3B61"/>
    <w:rsid w:val="00BE46A1"/>
    <w:rsid w:val="00BE68A2"/>
    <w:rsid w:val="00BF0FD9"/>
    <w:rsid w:val="00BF43AF"/>
    <w:rsid w:val="00BF5709"/>
    <w:rsid w:val="00BF5C38"/>
    <w:rsid w:val="00BF5FE4"/>
    <w:rsid w:val="00BF67A2"/>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3F2D"/>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6442"/>
    <w:rsid w:val="00C47BF8"/>
    <w:rsid w:val="00C50988"/>
    <w:rsid w:val="00C54581"/>
    <w:rsid w:val="00C54953"/>
    <w:rsid w:val="00C55CDD"/>
    <w:rsid w:val="00C56114"/>
    <w:rsid w:val="00C577F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4029"/>
    <w:rsid w:val="00C84435"/>
    <w:rsid w:val="00C84EE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4F6F"/>
    <w:rsid w:val="00CC600E"/>
    <w:rsid w:val="00CC687C"/>
    <w:rsid w:val="00CC7713"/>
    <w:rsid w:val="00CC7772"/>
    <w:rsid w:val="00CD040A"/>
    <w:rsid w:val="00CD255F"/>
    <w:rsid w:val="00CD296D"/>
    <w:rsid w:val="00CD4DA0"/>
    <w:rsid w:val="00CD4E5B"/>
    <w:rsid w:val="00CD50ED"/>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5829"/>
    <w:rsid w:val="00D35FE2"/>
    <w:rsid w:val="00D414C8"/>
    <w:rsid w:val="00D42E3B"/>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68CF"/>
    <w:rsid w:val="00D67005"/>
    <w:rsid w:val="00D67DF7"/>
    <w:rsid w:val="00D703CE"/>
    <w:rsid w:val="00D70FE0"/>
    <w:rsid w:val="00D711B6"/>
    <w:rsid w:val="00D71DC2"/>
    <w:rsid w:val="00D720FE"/>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63E4"/>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74A"/>
    <w:rsid w:val="00DA7DA4"/>
    <w:rsid w:val="00DB0B5C"/>
    <w:rsid w:val="00DB0E24"/>
    <w:rsid w:val="00DB17B8"/>
    <w:rsid w:val="00DB25DD"/>
    <w:rsid w:val="00DB494A"/>
    <w:rsid w:val="00DB5877"/>
    <w:rsid w:val="00DB5D9D"/>
    <w:rsid w:val="00DB5F6D"/>
    <w:rsid w:val="00DB6E83"/>
    <w:rsid w:val="00DC083B"/>
    <w:rsid w:val="00DC14DF"/>
    <w:rsid w:val="00DC15F4"/>
    <w:rsid w:val="00DC1F0C"/>
    <w:rsid w:val="00DC22F8"/>
    <w:rsid w:val="00DC2ADD"/>
    <w:rsid w:val="00DC3389"/>
    <w:rsid w:val="00DC37B3"/>
    <w:rsid w:val="00DC3C43"/>
    <w:rsid w:val="00DC3E1F"/>
    <w:rsid w:val="00DC529B"/>
    <w:rsid w:val="00DC5C67"/>
    <w:rsid w:val="00DC6940"/>
    <w:rsid w:val="00DC7354"/>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ADD"/>
    <w:rsid w:val="00E511E7"/>
    <w:rsid w:val="00E52000"/>
    <w:rsid w:val="00E532AF"/>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7B4"/>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036C"/>
    <w:rsid w:val="00E9223D"/>
    <w:rsid w:val="00E938C2"/>
    <w:rsid w:val="00E943C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EF6FDB"/>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911"/>
    <w:rsid w:val="00F26AD2"/>
    <w:rsid w:val="00F279B7"/>
    <w:rsid w:val="00F31D27"/>
    <w:rsid w:val="00F33C3B"/>
    <w:rsid w:val="00F36BFA"/>
    <w:rsid w:val="00F36E2B"/>
    <w:rsid w:val="00F40839"/>
    <w:rsid w:val="00F40A79"/>
    <w:rsid w:val="00F40BD2"/>
    <w:rsid w:val="00F41115"/>
    <w:rsid w:val="00F44905"/>
    <w:rsid w:val="00F4490F"/>
    <w:rsid w:val="00F44DCF"/>
    <w:rsid w:val="00F45C2E"/>
    <w:rsid w:val="00F46537"/>
    <w:rsid w:val="00F46A31"/>
    <w:rsid w:val="00F51D03"/>
    <w:rsid w:val="00F523E8"/>
    <w:rsid w:val="00F52BF6"/>
    <w:rsid w:val="00F5309E"/>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795"/>
    <w:rsid w:val="00FB5BEE"/>
    <w:rsid w:val="00FB7D22"/>
    <w:rsid w:val="00FC0390"/>
    <w:rsid w:val="00FC1CF1"/>
    <w:rsid w:val="00FC1EF5"/>
    <w:rsid w:val="00FC3EAA"/>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6083"/>
    <w:rsid w:val="00FE781E"/>
    <w:rsid w:val="00FF11A5"/>
    <w:rsid w:val="00FF4CFE"/>
    <w:rsid w:val="00FF4E3B"/>
    <w:rsid w:val="00FF5DCD"/>
    <w:rsid w:val="01C759C5"/>
    <w:rsid w:val="020536EB"/>
    <w:rsid w:val="02382DDE"/>
    <w:rsid w:val="03795DEE"/>
    <w:rsid w:val="03F362FB"/>
    <w:rsid w:val="05DF58DF"/>
    <w:rsid w:val="0619226A"/>
    <w:rsid w:val="064A30D4"/>
    <w:rsid w:val="09F93B90"/>
    <w:rsid w:val="0D8A642F"/>
    <w:rsid w:val="0DD0173B"/>
    <w:rsid w:val="0F43506A"/>
    <w:rsid w:val="0FEA6EEC"/>
    <w:rsid w:val="100B4F14"/>
    <w:rsid w:val="124E5EF1"/>
    <w:rsid w:val="1385438C"/>
    <w:rsid w:val="1487284F"/>
    <w:rsid w:val="159E2E02"/>
    <w:rsid w:val="170245FA"/>
    <w:rsid w:val="17642F7D"/>
    <w:rsid w:val="17A0223B"/>
    <w:rsid w:val="17B91401"/>
    <w:rsid w:val="18A313AC"/>
    <w:rsid w:val="18AC0737"/>
    <w:rsid w:val="1A9136BA"/>
    <w:rsid w:val="1AC64865"/>
    <w:rsid w:val="1BB3705B"/>
    <w:rsid w:val="1CBF3FAC"/>
    <w:rsid w:val="1F1872FC"/>
    <w:rsid w:val="23442FD2"/>
    <w:rsid w:val="242C20CF"/>
    <w:rsid w:val="257B5A82"/>
    <w:rsid w:val="25E14458"/>
    <w:rsid w:val="279662E3"/>
    <w:rsid w:val="27E379AD"/>
    <w:rsid w:val="29233C93"/>
    <w:rsid w:val="2968303D"/>
    <w:rsid w:val="29D72F37"/>
    <w:rsid w:val="2B235820"/>
    <w:rsid w:val="2C2375A4"/>
    <w:rsid w:val="2C2A0CC4"/>
    <w:rsid w:val="2D112BF8"/>
    <w:rsid w:val="2D1C1381"/>
    <w:rsid w:val="2E364565"/>
    <w:rsid w:val="2F224420"/>
    <w:rsid w:val="30B11D1F"/>
    <w:rsid w:val="31274C0F"/>
    <w:rsid w:val="315B3D53"/>
    <w:rsid w:val="31971208"/>
    <w:rsid w:val="33A36384"/>
    <w:rsid w:val="33BF622C"/>
    <w:rsid w:val="349B7D92"/>
    <w:rsid w:val="377819A9"/>
    <w:rsid w:val="379D4BFC"/>
    <w:rsid w:val="38506A19"/>
    <w:rsid w:val="398426E4"/>
    <w:rsid w:val="3DA02DE7"/>
    <w:rsid w:val="3DCB2D4F"/>
    <w:rsid w:val="3F3A4EF2"/>
    <w:rsid w:val="3F456218"/>
    <w:rsid w:val="40FE76B2"/>
    <w:rsid w:val="42A51567"/>
    <w:rsid w:val="46633F55"/>
    <w:rsid w:val="46C14E45"/>
    <w:rsid w:val="47B44A14"/>
    <w:rsid w:val="480B346F"/>
    <w:rsid w:val="4963367C"/>
    <w:rsid w:val="4A2B62BC"/>
    <w:rsid w:val="4A7E5780"/>
    <w:rsid w:val="4CF211F0"/>
    <w:rsid w:val="4D0A6F77"/>
    <w:rsid w:val="4DF31C20"/>
    <w:rsid w:val="4E6A7AA9"/>
    <w:rsid w:val="4F3120D9"/>
    <w:rsid w:val="4F6C29FB"/>
    <w:rsid w:val="50391098"/>
    <w:rsid w:val="50674669"/>
    <w:rsid w:val="53E0432F"/>
    <w:rsid w:val="56470D5D"/>
    <w:rsid w:val="570B2279"/>
    <w:rsid w:val="57804A56"/>
    <w:rsid w:val="582317A5"/>
    <w:rsid w:val="59434C65"/>
    <w:rsid w:val="5A211CC7"/>
    <w:rsid w:val="5C9A0172"/>
    <w:rsid w:val="5CC90D38"/>
    <w:rsid w:val="5D124915"/>
    <w:rsid w:val="5F061477"/>
    <w:rsid w:val="60682812"/>
    <w:rsid w:val="607E0381"/>
    <w:rsid w:val="61354FE3"/>
    <w:rsid w:val="62886A65"/>
    <w:rsid w:val="634E739E"/>
    <w:rsid w:val="63F94DF5"/>
    <w:rsid w:val="652B34FB"/>
    <w:rsid w:val="66E5279F"/>
    <w:rsid w:val="66ED565E"/>
    <w:rsid w:val="66FF5D56"/>
    <w:rsid w:val="679B0775"/>
    <w:rsid w:val="67DA029A"/>
    <w:rsid w:val="68AC408D"/>
    <w:rsid w:val="696634C3"/>
    <w:rsid w:val="69DC54FE"/>
    <w:rsid w:val="6A713C22"/>
    <w:rsid w:val="6B6F668D"/>
    <w:rsid w:val="6B7A2541"/>
    <w:rsid w:val="6E581B78"/>
    <w:rsid w:val="6FD439DF"/>
    <w:rsid w:val="70324703"/>
    <w:rsid w:val="70BD665D"/>
    <w:rsid w:val="724661A5"/>
    <w:rsid w:val="73E77901"/>
    <w:rsid w:val="75AE53DC"/>
    <w:rsid w:val="76AB623E"/>
    <w:rsid w:val="793C51A6"/>
    <w:rsid w:val="795507C0"/>
    <w:rsid w:val="79B26D29"/>
    <w:rsid w:val="7AB748CD"/>
    <w:rsid w:val="7ABB4A9F"/>
    <w:rsid w:val="7B137DF5"/>
    <w:rsid w:val="7E69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qFormat/>
    <w:uiPriority w:val="0"/>
    <w:pPr>
      <w:keepNext/>
      <w:keepLines/>
      <w:spacing w:before="280" w:after="290" w:line="376" w:lineRule="auto"/>
      <w:outlineLvl w:val="4"/>
    </w:pPr>
    <w:rPr>
      <w:b/>
      <w:sz w:val="28"/>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spacing w:before="240" w:after="64" w:line="320" w:lineRule="auto"/>
      <w:outlineLvl w:val="6"/>
    </w:pPr>
    <w:rPr>
      <w:b/>
      <w:sz w:val="24"/>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qFormat/>
    <w:uiPriority w:val="0"/>
    <w:pPr>
      <w:shd w:val="clear" w:color="auto" w:fill="000080"/>
    </w:pPr>
  </w:style>
  <w:style w:type="paragraph" w:styleId="15">
    <w:name w:val="annotation text"/>
    <w:basedOn w:val="1"/>
    <w:link w:val="52"/>
    <w:qFormat/>
    <w:uiPriority w:val="99"/>
    <w:pPr>
      <w:jc w:val="left"/>
    </w:pPr>
  </w:style>
  <w:style w:type="paragraph" w:styleId="16">
    <w:name w:val="Body Text 3"/>
    <w:basedOn w:val="1"/>
    <w:qFormat/>
    <w:uiPriority w:val="0"/>
    <w:pPr>
      <w:spacing w:line="500" w:lineRule="exact"/>
    </w:pPr>
    <w:rPr>
      <w:b/>
      <w:bCs/>
      <w:sz w:val="24"/>
    </w:rPr>
  </w:style>
  <w:style w:type="paragraph" w:styleId="17">
    <w:name w:val="Body Text"/>
    <w:basedOn w:val="1"/>
    <w:qFormat/>
    <w:uiPriority w:val="0"/>
    <w:pPr>
      <w:spacing w:line="380" w:lineRule="exact"/>
    </w:pPr>
    <w:rPr>
      <w:sz w:val="24"/>
    </w:rPr>
  </w:style>
  <w:style w:type="paragraph" w:styleId="18">
    <w:name w:val="Body Text Indent"/>
    <w:basedOn w:val="1"/>
    <w:link w:val="110"/>
    <w:qFormat/>
    <w:uiPriority w:val="0"/>
    <w:pPr>
      <w:ind w:firstLine="830" w:firstLineChars="352"/>
    </w:pPr>
    <w:rPr>
      <w:rFonts w:ascii="仿宋_GB2312" w:eastAsia="仿宋_GB2312"/>
      <w:sz w:val="32"/>
      <w:szCs w:val="20"/>
    </w:rPr>
  </w:style>
  <w:style w:type="paragraph" w:styleId="19">
    <w:name w:val="List Number 3"/>
    <w:basedOn w:val="1"/>
    <w:qFormat/>
    <w:uiPriority w:val="0"/>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47"/>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113"/>
    <w:qFormat/>
    <w:uiPriority w:val="99"/>
    <w:pPr>
      <w:tabs>
        <w:tab w:val="center" w:pos="4153"/>
        <w:tab w:val="right" w:pos="8306"/>
      </w:tabs>
      <w:snapToGrid w:val="0"/>
      <w:jc w:val="left"/>
    </w:pPr>
    <w:rPr>
      <w:sz w:val="18"/>
      <w:szCs w:val="18"/>
    </w:rPr>
  </w:style>
  <w:style w:type="paragraph" w:styleId="27">
    <w:name w:val="header"/>
    <w:basedOn w:val="1"/>
    <w:link w:val="11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line="480" w:lineRule="auto"/>
    </w:pPr>
  </w:style>
  <w:style w:type="paragraph" w:styleId="33">
    <w:name w:val="List 4"/>
    <w:basedOn w:val="1"/>
    <w:qFormat/>
    <w:uiPriority w:val="0"/>
    <w:pPr>
      <w:ind w:left="100" w:leftChars="600" w:hanging="200" w:hangingChars="200"/>
    </w:pPr>
    <w:rPr>
      <w:rFonts w:ascii="Times New Roman" w:hAnsi="Times New Roman" w:eastAsia="宋体"/>
    </w:rPr>
  </w:style>
  <w:style w:type="paragraph" w:styleId="34">
    <w:name w:val="Normal (Web)"/>
    <w:basedOn w:val="1"/>
    <w:link w:val="49"/>
    <w:qFormat/>
    <w:uiPriority w:val="99"/>
    <w:pPr>
      <w:widowControl/>
      <w:spacing w:before="100" w:beforeAutospacing="1" w:after="100" w:afterAutospacing="1"/>
      <w:jc w:val="left"/>
    </w:pPr>
    <w:rPr>
      <w:rFonts w:ascii="宋体" w:hAnsi="宋体"/>
      <w:kern w:val="0"/>
      <w:sz w:val="24"/>
    </w:rPr>
  </w:style>
  <w:style w:type="paragraph" w:styleId="35">
    <w:name w:val="index 1"/>
    <w:basedOn w:val="1"/>
    <w:next w:val="1"/>
    <w:qFormat/>
    <w:uiPriority w:val="0"/>
    <w:pPr>
      <w:spacing w:line="400" w:lineRule="exact"/>
      <w:ind w:firstLine="420" w:firstLineChars="200"/>
    </w:pPr>
    <w:rPr>
      <w:rFonts w:ascii="宋体" w:hAnsi="Courier New"/>
      <w:b/>
      <w:szCs w:val="20"/>
    </w:rPr>
  </w:style>
  <w:style w:type="paragraph" w:styleId="36">
    <w:name w:val="annotation subject"/>
    <w:basedOn w:val="15"/>
    <w:next w:val="15"/>
    <w:link w:val="53"/>
    <w:qFormat/>
    <w:uiPriority w:val="0"/>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character" w:customStyle="1" w:styleId="45">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46">
    <w:name w:val="Char Char4"/>
    <w:qFormat/>
    <w:uiPriority w:val="0"/>
    <w:rPr>
      <w:rFonts w:ascii="宋体" w:hAnsi="Courier New" w:eastAsia="宋体" w:cs="Courier New"/>
      <w:kern w:val="2"/>
      <w:sz w:val="21"/>
      <w:szCs w:val="21"/>
      <w:lang w:val="en-US" w:eastAsia="zh-CN" w:bidi="ar-SA"/>
    </w:rPr>
  </w:style>
  <w:style w:type="character" w:customStyle="1" w:styleId="47">
    <w:name w:val="纯文本 Char"/>
    <w:link w:val="22"/>
    <w:qFormat/>
    <w:uiPriority w:val="0"/>
    <w:rPr>
      <w:rFonts w:ascii="宋体" w:hAnsi="Courier New" w:eastAsia="宋体" w:cs="Courier New"/>
      <w:kern w:val="2"/>
      <w:sz w:val="21"/>
      <w:szCs w:val="21"/>
      <w:lang w:val="en-US" w:eastAsia="zh-CN" w:bidi="ar-SA"/>
    </w:rPr>
  </w:style>
  <w:style w:type="character" w:customStyle="1" w:styleId="48">
    <w:name w:val="Plain Text Char"/>
    <w:qFormat/>
    <w:locked/>
    <w:uiPriority w:val="0"/>
    <w:rPr>
      <w:rFonts w:ascii="宋体" w:hAnsi="Courier New" w:eastAsia="宋体" w:cs="Courier New"/>
      <w:kern w:val="2"/>
      <w:sz w:val="21"/>
      <w:szCs w:val="21"/>
      <w:lang w:val="en-US" w:eastAsia="zh-CN" w:bidi="ar-SA"/>
    </w:rPr>
  </w:style>
  <w:style w:type="character" w:customStyle="1" w:styleId="49">
    <w:name w:val="普通(网站) Char"/>
    <w:link w:val="34"/>
    <w:qFormat/>
    <w:locked/>
    <w:uiPriority w:val="0"/>
    <w:rPr>
      <w:rFonts w:ascii="宋体" w:hAnsi="宋体"/>
      <w:sz w:val="24"/>
      <w:szCs w:val="24"/>
    </w:rPr>
  </w:style>
  <w:style w:type="character" w:customStyle="1" w:styleId="50">
    <w:name w:val="apple-converted-space"/>
    <w:basedOn w:val="39"/>
    <w:qFormat/>
    <w:uiPriority w:val="0"/>
  </w:style>
  <w:style w:type="character" w:customStyle="1" w:styleId="51">
    <w:name w:val="标题 4 Char"/>
    <w:link w:val="5"/>
    <w:qFormat/>
    <w:uiPriority w:val="0"/>
    <w:rPr>
      <w:rFonts w:ascii="Arial" w:hAnsi="Arial"/>
      <w:b/>
      <w:bCs/>
      <w:kern w:val="2"/>
      <w:sz w:val="28"/>
      <w:szCs w:val="28"/>
    </w:rPr>
  </w:style>
  <w:style w:type="character" w:customStyle="1" w:styleId="52">
    <w:name w:val="批注文字 Char"/>
    <w:link w:val="15"/>
    <w:qFormat/>
    <w:uiPriority w:val="99"/>
    <w:rPr>
      <w:kern w:val="2"/>
      <w:sz w:val="21"/>
      <w:szCs w:val="24"/>
    </w:rPr>
  </w:style>
  <w:style w:type="character" w:customStyle="1" w:styleId="53">
    <w:name w:val="批注主题 Char"/>
    <w:link w:val="36"/>
    <w:qFormat/>
    <w:uiPriority w:val="0"/>
    <w:rPr>
      <w:b/>
      <w:bCs/>
      <w:kern w:val="2"/>
      <w:sz w:val="21"/>
      <w:szCs w:val="24"/>
    </w:rPr>
  </w:style>
  <w:style w:type="character" w:customStyle="1" w:styleId="54">
    <w:name w:val="Char Char2"/>
    <w:qFormat/>
    <w:uiPriority w:val="0"/>
    <w:rPr>
      <w:rFonts w:ascii="宋体" w:hAnsi="宋体" w:eastAsia="宋体"/>
      <w:kern w:val="2"/>
      <w:sz w:val="21"/>
      <w:szCs w:val="24"/>
      <w:lang w:val="en-US" w:eastAsia="zh-CN" w:bidi="ar-SA"/>
    </w:rPr>
  </w:style>
  <w:style w:type="character" w:customStyle="1" w:styleId="55">
    <w:name w:val="无间隔 Char"/>
    <w:link w:val="56"/>
    <w:qFormat/>
    <w:uiPriority w:val="0"/>
    <w:rPr>
      <w:rFonts w:ascii="Calibri" w:hAnsi="Calibri"/>
      <w:sz w:val="22"/>
      <w:szCs w:val="22"/>
      <w:lang w:val="en-US" w:eastAsia="zh-CN" w:bidi="ar-SA"/>
    </w:rPr>
  </w:style>
  <w:style w:type="paragraph" w:styleId="56">
    <w:name w:val="No Spacing"/>
    <w:link w:val="55"/>
    <w:qFormat/>
    <w:uiPriority w:val="0"/>
    <w:rPr>
      <w:rFonts w:ascii="Calibri" w:hAnsi="Calibri" w:eastAsia="宋体" w:cs="Times New Roman"/>
      <w:sz w:val="22"/>
      <w:szCs w:val="22"/>
      <w:lang w:val="en-US" w:eastAsia="zh-CN" w:bidi="ar-SA"/>
    </w:rPr>
  </w:style>
  <w:style w:type="character" w:customStyle="1" w:styleId="57">
    <w:name w:val="case31"/>
    <w:qFormat/>
    <w:uiPriority w:val="0"/>
    <w:rPr>
      <w:rFonts w:hint="default"/>
      <w:sz w:val="21"/>
      <w:szCs w:val="21"/>
    </w:rPr>
  </w:style>
  <w:style w:type="character" w:customStyle="1" w:styleId="58">
    <w:name w:val="样式 body + 仿宋_GB2312 三号"/>
    <w:qFormat/>
    <w:uiPriority w:val="0"/>
    <w:rPr>
      <w:rFonts w:ascii="宋体" w:eastAsia="宋体"/>
      <w:kern w:val="0"/>
      <w:sz w:val="24"/>
      <w:szCs w:val="24"/>
      <w:lang w:val="en-US" w:eastAsia="zh-CN" w:bidi="ar-SA"/>
    </w:rPr>
  </w:style>
  <w:style w:type="character" w:customStyle="1" w:styleId="59">
    <w:name w:val="14"/>
    <w:basedOn w:val="39"/>
    <w:qFormat/>
    <w:uiPriority w:val="0"/>
  </w:style>
  <w:style w:type="character" w:customStyle="1" w:styleId="60">
    <w:name w:val="lb1"/>
    <w:qFormat/>
    <w:uiPriority w:val="0"/>
    <w:rPr>
      <w:rFonts w:hint="default"/>
      <w:b/>
      <w:bCs/>
      <w:color w:val="0851A5"/>
      <w:sz w:val="27"/>
      <w:szCs w:val="27"/>
    </w:rPr>
  </w:style>
  <w:style w:type="character" w:customStyle="1" w:styleId="61">
    <w:name w:val="textcontents"/>
    <w:basedOn w:val="39"/>
    <w:qFormat/>
    <w:uiPriority w:val="0"/>
  </w:style>
  <w:style w:type="character" w:customStyle="1" w:styleId="62">
    <w:name w:val="Char Char Char"/>
    <w:qFormat/>
    <w:uiPriority w:val="0"/>
    <w:rPr>
      <w:rFonts w:ascii="宋体" w:hAnsi="Courier New" w:eastAsia="宋体"/>
      <w:kern w:val="2"/>
      <w:sz w:val="21"/>
      <w:lang w:val="en-US" w:eastAsia="zh-CN" w:bidi="ar-SA"/>
    </w:rPr>
  </w:style>
  <w:style w:type="paragraph" w:customStyle="1" w:styleId="63">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66">
    <w:name w:val="正文段"/>
    <w:basedOn w:val="1"/>
    <w:qFormat/>
    <w:uiPriority w:val="0"/>
    <w:pPr>
      <w:widowControl/>
      <w:snapToGrid w:val="0"/>
      <w:spacing w:afterLines="50"/>
      <w:ind w:firstLine="200" w:firstLineChars="200"/>
    </w:pPr>
    <w:rPr>
      <w:kern w:val="0"/>
      <w:sz w:val="24"/>
      <w:szCs w:val="20"/>
    </w:rPr>
  </w:style>
  <w:style w:type="paragraph" w:customStyle="1" w:styleId="6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69">
    <w:name w:val="正文首行缩进两字符"/>
    <w:basedOn w:val="1"/>
    <w:qFormat/>
    <w:uiPriority w:val="0"/>
    <w:pPr>
      <w:spacing w:line="360" w:lineRule="auto"/>
      <w:ind w:firstLine="200" w:firstLineChars="200"/>
    </w:pPr>
  </w:style>
  <w:style w:type="paragraph" w:customStyle="1" w:styleId="70">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1">
    <w:name w:val="Char2"/>
    <w:basedOn w:val="14"/>
    <w:semiHidden/>
    <w:qFormat/>
    <w:uiPriority w:val="0"/>
    <w:rPr>
      <w:rFonts w:ascii="Tahoma" w:hAnsi="Tahoma" w:cs="Tahoma"/>
      <w:kern w:val="0"/>
      <w:sz w:val="18"/>
    </w:rPr>
  </w:style>
  <w:style w:type="paragraph" w:customStyle="1" w:styleId="7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3">
    <w:name w:val="样式 标题 1第A章标题 1 Char Char CharH1h1Level 1 Topic HeadingH11..."/>
    <w:basedOn w:val="3"/>
    <w:qFormat/>
    <w:uiPriority w:val="0"/>
    <w:pPr>
      <w:spacing w:before="0" w:after="0" w:line="460" w:lineRule="exact"/>
      <w:ind w:left="-4"/>
      <w:jc w:val="left"/>
    </w:pPr>
    <w:rPr>
      <w:rFonts w:ascii="仿宋_GB2312" w:hAnsi="宋体" w:eastAsia="仿宋_GB2312" w:cs="宋体"/>
      <w:sz w:val="32"/>
      <w:szCs w:val="32"/>
    </w:rPr>
  </w:style>
  <w:style w:type="paragraph" w:customStyle="1" w:styleId="74">
    <w:name w:val="表格"/>
    <w:basedOn w:val="1"/>
    <w:qFormat/>
    <w:uiPriority w:val="0"/>
    <w:pPr>
      <w:spacing w:line="400" w:lineRule="exact"/>
    </w:pPr>
    <w:rPr>
      <w:sz w:val="24"/>
    </w:rPr>
  </w:style>
  <w:style w:type="paragraph" w:customStyle="1" w:styleId="75">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6">
    <w:name w:val="_Style 81"/>
    <w:basedOn w:val="14"/>
    <w:qFormat/>
    <w:uiPriority w:val="0"/>
    <w:pPr>
      <w:widowControl/>
      <w:ind w:firstLine="454"/>
      <w:jc w:val="left"/>
    </w:pPr>
  </w:style>
  <w:style w:type="paragraph" w:customStyle="1" w:styleId="77">
    <w:name w:val="样式 首行缩进:  2 字符"/>
    <w:basedOn w:val="1"/>
    <w:qFormat/>
    <w:uiPriority w:val="0"/>
    <w:pPr>
      <w:spacing w:line="400" w:lineRule="exact"/>
      <w:ind w:firstLine="200" w:firstLineChars="200"/>
    </w:pPr>
    <w:rPr>
      <w:rFonts w:cs="宋体"/>
      <w:sz w:val="24"/>
    </w:rPr>
  </w:style>
  <w:style w:type="paragraph" w:customStyle="1" w:styleId="78">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79">
    <w:name w:val="Char1"/>
    <w:basedOn w:val="1"/>
    <w:qFormat/>
    <w:uiPriority w:val="0"/>
    <w:rPr>
      <w:szCs w:val="21"/>
    </w:rPr>
  </w:style>
  <w:style w:type="paragraph" w:customStyle="1" w:styleId="80">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8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2">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83">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87">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8">
    <w:name w:val="Char Char Char Char Char Char"/>
    <w:basedOn w:val="1"/>
    <w:qFormat/>
    <w:uiPriority w:val="0"/>
  </w:style>
  <w:style w:type="paragraph" w:customStyle="1" w:styleId="8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0">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1">
    <w:name w:val="修订1"/>
    <w:qFormat/>
    <w:uiPriority w:val="0"/>
    <w:rPr>
      <w:rFonts w:ascii="Times New Roman" w:hAnsi="Times New Roman" w:eastAsia="宋体" w:cs="Times New Roman"/>
      <w:kern w:val="2"/>
      <w:sz w:val="21"/>
      <w:szCs w:val="24"/>
      <w:lang w:val="en-US" w:eastAsia="zh-CN" w:bidi="ar-SA"/>
    </w:rPr>
  </w:style>
  <w:style w:type="paragraph" w:customStyle="1" w:styleId="9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4">
    <w:name w:val="font7"/>
    <w:basedOn w:val="1"/>
    <w:qFormat/>
    <w:uiPriority w:val="0"/>
    <w:pPr>
      <w:widowControl/>
      <w:spacing w:before="100" w:beforeAutospacing="1" w:after="100" w:afterAutospacing="1"/>
      <w:jc w:val="left"/>
    </w:pPr>
    <w:rPr>
      <w:kern w:val="0"/>
      <w:sz w:val="16"/>
      <w:szCs w:val="16"/>
    </w:rPr>
  </w:style>
  <w:style w:type="paragraph" w:customStyle="1" w:styleId="95">
    <w:name w:val="Char"/>
    <w:basedOn w:val="1"/>
    <w:qFormat/>
    <w:uiPriority w:val="0"/>
  </w:style>
  <w:style w:type="paragraph" w:customStyle="1" w:styleId="96">
    <w:name w:val="默认段落字体 Para Char"/>
    <w:basedOn w:val="1"/>
    <w:qFormat/>
    <w:uiPriority w:val="0"/>
    <w:pPr>
      <w:adjustRightInd w:val="0"/>
      <w:spacing w:line="360" w:lineRule="auto"/>
    </w:pPr>
    <w:rPr>
      <w:kern w:val="0"/>
      <w:sz w:val="24"/>
      <w:szCs w:val="20"/>
    </w:rPr>
  </w:style>
  <w:style w:type="paragraph" w:customStyle="1" w:styleId="9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8">
    <w:name w:val="Char3"/>
    <w:basedOn w:val="14"/>
    <w:qFormat/>
    <w:uiPriority w:val="0"/>
    <w:pPr>
      <w:widowControl/>
      <w:ind w:firstLine="454"/>
      <w:jc w:val="left"/>
    </w:pPr>
    <w:rPr>
      <w:rFonts w:ascii="Tahoma" w:hAnsi="Tahoma" w:cs="宋体"/>
      <w:kern w:val="0"/>
      <w:sz w:val="24"/>
      <w:szCs w:val="20"/>
    </w:rPr>
  </w:style>
  <w:style w:type="paragraph" w:customStyle="1" w:styleId="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styleId="100">
    <w:name w:val="List Paragraph"/>
    <w:basedOn w:val="1"/>
    <w:qFormat/>
    <w:uiPriority w:val="0"/>
    <w:pPr>
      <w:widowControl/>
      <w:ind w:firstLine="420" w:firstLineChars="200"/>
      <w:jc w:val="left"/>
    </w:pPr>
    <w:rPr>
      <w:rFonts w:ascii="宋体" w:hAnsi="宋体" w:cs="宋体"/>
      <w:kern w:val="0"/>
      <w:sz w:val="24"/>
    </w:rPr>
  </w:style>
  <w:style w:type="paragraph" w:customStyle="1" w:styleId="101">
    <w:name w:val="默认段落字体 Para Char Char Char Char Char Char Char Char Char1 Char Char Char Char"/>
    <w:basedOn w:val="1"/>
    <w:qFormat/>
    <w:uiPriority w:val="0"/>
    <w:rPr>
      <w:rFonts w:ascii="Tahoma" w:hAnsi="Tahoma"/>
      <w:sz w:val="24"/>
      <w:szCs w:val="20"/>
    </w:rPr>
  </w:style>
  <w:style w:type="paragraph" w:customStyle="1" w:styleId="10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3">
    <w:name w:val="表内文字"/>
    <w:basedOn w:val="1"/>
    <w:qFormat/>
    <w:uiPriority w:val="0"/>
    <w:pPr>
      <w:snapToGrid w:val="0"/>
      <w:jc w:val="center"/>
    </w:pPr>
    <w:rPr>
      <w:rFonts w:ascii="宋体" w:hAnsi="宋体"/>
      <w:color w:val="FF0000"/>
      <w:sz w:val="24"/>
    </w:rPr>
  </w:style>
  <w:style w:type="paragraph" w:customStyle="1" w:styleId="10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0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7">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9">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10">
    <w:name w:val="正文文本缩进 Char"/>
    <w:link w:val="18"/>
    <w:qFormat/>
    <w:uiPriority w:val="0"/>
    <w:rPr>
      <w:rFonts w:ascii="仿宋_GB2312" w:eastAsia="仿宋_GB2312"/>
      <w:kern w:val="2"/>
      <w:sz w:val="32"/>
    </w:rPr>
  </w:style>
  <w:style w:type="paragraph" w:customStyle="1" w:styleId="11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2">
    <w:name w:val="页眉 Char"/>
    <w:basedOn w:val="39"/>
    <w:link w:val="27"/>
    <w:qFormat/>
    <w:uiPriority w:val="99"/>
    <w:rPr>
      <w:kern w:val="2"/>
      <w:sz w:val="18"/>
      <w:szCs w:val="18"/>
    </w:rPr>
  </w:style>
  <w:style w:type="character" w:customStyle="1" w:styleId="113">
    <w:name w:val="页脚 Char"/>
    <w:basedOn w:val="39"/>
    <w:link w:val="26"/>
    <w:qFormat/>
    <w:uiPriority w:val="99"/>
    <w:rPr>
      <w:kern w:val="2"/>
      <w:sz w:val="18"/>
      <w:szCs w:val="18"/>
    </w:rPr>
  </w:style>
  <w:style w:type="paragraph" w:customStyle="1" w:styleId="114">
    <w:name w:val="1"/>
    <w:basedOn w:val="1"/>
    <w:next w:val="22"/>
    <w:qFormat/>
    <w:uiPriority w:val="0"/>
    <w:rPr>
      <w:rFonts w:ascii="宋体" w:hAnsi="Courier New"/>
      <w:szCs w:val="20"/>
    </w:rPr>
  </w:style>
  <w:style w:type="paragraph" w:customStyle="1" w:styleId="115">
    <w:name w:val="link_wenben"/>
    <w:basedOn w:val="3"/>
    <w:qFormat/>
    <w:uiPriority w:val="0"/>
    <w:pPr>
      <w:keepNext w:val="0"/>
      <w:keepLines w:val="0"/>
      <w:tabs>
        <w:tab w:val="left" w:pos="420"/>
      </w:tabs>
      <w:adjustRightInd w:val="0"/>
      <w:spacing w:before="0" w:afterLines="25" w:line="360" w:lineRule="auto"/>
      <w:ind w:firstLine="200" w:firstLineChars="200"/>
      <w:jc w:val="left"/>
      <w:outlineLvl w:val="9"/>
    </w:pPr>
    <w:rPr>
      <w:rFonts w:ascii="宋体" w:hAnsi="宋体" w:eastAsia="仿宋"/>
      <w:b w:val="0"/>
      <w:bCs w:val="0"/>
      <w:kern w:val="2"/>
      <w:sz w:val="24"/>
      <w:szCs w:val="24"/>
    </w:rPr>
  </w:style>
  <w:style w:type="paragraph" w:customStyle="1" w:styleId="116">
    <w:name w:val="_正文段落"/>
    <w:basedOn w:val="1"/>
    <w:qFormat/>
    <w:uiPriority w:val="0"/>
    <w:pPr>
      <w:spacing w:line="360" w:lineRule="auto"/>
      <w:ind w:firstLine="200" w:firstLineChars="200"/>
    </w:pPr>
    <w:rPr>
      <w:rFonts w:ascii="仿宋_GB2312" w:hAnsi="宋体" w:eastAsia="仿宋_GB2312" w:cstheme="minorBidi"/>
      <w:kern w:val="0"/>
      <w:sz w:val="28"/>
    </w:rPr>
  </w:style>
  <w:style w:type="paragraph" w:customStyle="1" w:styleId="117">
    <w:name w:val="列出段落4"/>
    <w:basedOn w:val="1"/>
    <w:uiPriority w:val="0"/>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5522</Words>
  <Characters>31478</Characters>
  <Lines>262</Lines>
  <Paragraphs>73</Paragraphs>
  <TotalTime>1</TotalTime>
  <ScaleCrop>false</ScaleCrop>
  <LinksUpToDate>false</LinksUpToDate>
  <CharactersWithSpaces>36927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2018-12-12T07:00:00Z</dcterms:created>
  <dc:creator>User</dc:creator>
  <cp:lastModifiedBy>NTKO</cp:lastModifiedBy>
  <cp:lastPrinted>2018-10-23T02:55:00Z</cp:lastPrinted>
  <dcterms:modified xsi:type="dcterms:W3CDTF">2020-12-31T06:33:08Z</dcterms:modified>
  <dc:title>广西壮族自治区建设工程机电设备招标中心</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