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南宁政府采购服务</w:t>
      </w:r>
    </w:p>
    <w:p>
      <w:pPr>
        <w:jc w:val="center"/>
        <w:rPr>
          <w:rFonts w:ascii="宋体" w:hAnsi="宋体"/>
          <w:b/>
          <w:color w:val="auto"/>
          <w:sz w:val="58"/>
          <w:szCs w:val="72"/>
          <w:highlight w:val="none"/>
        </w:rPr>
      </w:pPr>
    </w:p>
    <w:p>
      <w:pPr>
        <w:rPr>
          <w:rFonts w:ascii="宋体" w:hAnsi="宋体"/>
          <w:b/>
          <w:color w:val="auto"/>
          <w:sz w:val="84"/>
          <w:szCs w:val="84"/>
          <w:highlight w:val="none"/>
        </w:rPr>
      </w:pPr>
      <w:r>
        <w:rPr>
          <w:rFonts w:hint="eastAsia" w:ascii="宋体" w:hAnsi="宋体"/>
          <w:b/>
          <w:color w:val="auto"/>
          <w:sz w:val="84"/>
          <w:szCs w:val="84"/>
          <w:highlight w:val="none"/>
        </w:rPr>
        <w:t>竞 争 性 谈 判 文 件</w:t>
      </w:r>
    </w:p>
    <w:p>
      <w:pPr>
        <w:jc w:val="center"/>
        <w:rPr>
          <w:rFonts w:ascii="宋体" w:hAnsi="宋体"/>
          <w:b/>
          <w:color w:val="auto"/>
          <w:sz w:val="56"/>
          <w:szCs w:val="72"/>
          <w:highlight w:val="none"/>
        </w:rPr>
      </w:pPr>
      <w:r>
        <w:rPr>
          <w:rFonts w:hint="eastAsia" w:ascii="宋体" w:hAnsi="宋体"/>
          <w:b/>
          <w:color w:val="auto"/>
          <w:sz w:val="56"/>
          <w:szCs w:val="72"/>
          <w:highlight w:val="none"/>
        </w:rPr>
        <w:t xml:space="preserve"> </w:t>
      </w:r>
    </w:p>
    <w:p>
      <w:pPr>
        <w:pStyle w:val="24"/>
        <w:snapToGrid w:val="0"/>
        <w:ind w:firstLine="708" w:firstLineChars="196"/>
        <w:jc w:val="center"/>
        <w:rPr>
          <w:rFonts w:hAnsi="宋体"/>
          <w:b/>
          <w:bCs/>
          <w:color w:val="auto"/>
          <w:sz w:val="36"/>
          <w:szCs w:val="36"/>
          <w:highlight w:val="none"/>
        </w:rPr>
      </w:pPr>
    </w:p>
    <w:p>
      <w:pPr>
        <w:pStyle w:val="24"/>
        <w:snapToGrid w:val="0"/>
        <w:ind w:firstLine="708" w:firstLineChars="196"/>
        <w:jc w:val="center"/>
        <w:rPr>
          <w:rFonts w:hAnsi="宋体"/>
          <w:b/>
          <w:bCs/>
          <w:color w:val="auto"/>
          <w:sz w:val="36"/>
          <w:szCs w:val="36"/>
          <w:highlight w:val="none"/>
        </w:rPr>
      </w:pPr>
    </w:p>
    <w:p>
      <w:pPr>
        <w:pStyle w:val="24"/>
        <w:snapToGrid w:val="0"/>
        <w:ind w:firstLine="708" w:firstLineChars="196"/>
        <w:jc w:val="center"/>
        <w:rPr>
          <w:rFonts w:hAnsi="宋体"/>
          <w:b/>
          <w:bCs/>
          <w:color w:val="auto"/>
          <w:sz w:val="36"/>
          <w:szCs w:val="36"/>
          <w:highlight w:val="none"/>
        </w:rPr>
      </w:pPr>
    </w:p>
    <w:p>
      <w:pPr>
        <w:pStyle w:val="24"/>
        <w:snapToGrid w:val="0"/>
        <w:ind w:firstLine="708" w:firstLineChars="196"/>
        <w:jc w:val="center"/>
        <w:rPr>
          <w:rFonts w:hAnsi="宋体"/>
          <w:b/>
          <w:bCs/>
          <w:color w:val="auto"/>
          <w:sz w:val="36"/>
          <w:szCs w:val="36"/>
          <w:highlight w:val="none"/>
        </w:rPr>
      </w:pPr>
    </w:p>
    <w:p>
      <w:pPr>
        <w:pStyle w:val="24"/>
        <w:snapToGrid w:val="0"/>
        <w:ind w:firstLine="708" w:firstLineChars="196"/>
        <w:jc w:val="center"/>
        <w:rPr>
          <w:rFonts w:hAnsi="宋体"/>
          <w:b/>
          <w:bCs/>
          <w:color w:val="auto"/>
          <w:sz w:val="36"/>
          <w:szCs w:val="36"/>
          <w:highlight w:val="none"/>
        </w:rPr>
      </w:pPr>
    </w:p>
    <w:p>
      <w:pPr>
        <w:pStyle w:val="24"/>
        <w:snapToGrid w:val="0"/>
        <w:ind w:firstLine="708" w:firstLineChars="196"/>
        <w:jc w:val="center"/>
        <w:rPr>
          <w:rFonts w:hAnsi="宋体"/>
          <w:b/>
          <w:bCs/>
          <w:color w:val="auto"/>
          <w:sz w:val="36"/>
          <w:szCs w:val="36"/>
          <w:highlight w:val="none"/>
        </w:rPr>
      </w:pPr>
    </w:p>
    <w:p>
      <w:pPr>
        <w:pStyle w:val="24"/>
        <w:tabs>
          <w:tab w:val="left" w:pos="5640"/>
        </w:tabs>
        <w:snapToGrid w:val="0"/>
        <w:spacing w:line="360" w:lineRule="auto"/>
        <w:ind w:left="907" w:leftChars="432" w:firstLine="542" w:firstLineChars="150"/>
        <w:rPr>
          <w:rFonts w:hAnsi="宋体"/>
          <w:b/>
          <w:color w:val="auto"/>
          <w:sz w:val="36"/>
          <w:szCs w:val="36"/>
          <w:highlight w:val="none"/>
        </w:rPr>
      </w:pPr>
      <w:r>
        <w:rPr>
          <w:rFonts w:hint="eastAsia" w:hAnsi="宋体"/>
          <w:b/>
          <w:bCs/>
          <w:color w:val="auto"/>
          <w:sz w:val="36"/>
          <w:szCs w:val="36"/>
          <w:highlight w:val="none"/>
        </w:rPr>
        <w:t>项目名称：</w:t>
      </w:r>
      <w:r>
        <w:rPr>
          <w:rFonts w:hint="eastAsia" w:hAnsi="宋体"/>
          <w:b/>
          <w:bCs/>
          <w:color w:val="auto"/>
          <w:sz w:val="36"/>
          <w:szCs w:val="36"/>
          <w:highlight w:val="none"/>
          <w:lang w:eastAsia="zh-CN"/>
        </w:rPr>
        <w:t>2020年道路运输信息系统安全等级评测服务</w:t>
      </w:r>
      <w:r>
        <w:rPr>
          <w:rFonts w:hint="eastAsia" w:hAnsi="宋体"/>
          <w:b/>
          <w:color w:val="auto"/>
          <w:sz w:val="28"/>
          <w:szCs w:val="36"/>
          <w:highlight w:val="none"/>
          <w:u w:val="single"/>
        </w:rPr>
        <w:t xml:space="preserve">                         </w:t>
      </w:r>
      <w:r>
        <w:rPr>
          <w:rFonts w:hint="eastAsia" w:hAnsi="宋体"/>
          <w:b/>
          <w:color w:val="auto"/>
          <w:sz w:val="36"/>
          <w:szCs w:val="36"/>
          <w:highlight w:val="none"/>
        </w:rPr>
        <w:t xml:space="preserve"> </w:t>
      </w:r>
    </w:p>
    <w:p>
      <w:pPr>
        <w:pStyle w:val="24"/>
        <w:tabs>
          <w:tab w:val="left" w:pos="5640"/>
        </w:tabs>
        <w:snapToGrid w:val="0"/>
        <w:spacing w:line="360" w:lineRule="auto"/>
        <w:ind w:left="907" w:leftChars="432" w:firstLine="542" w:firstLineChars="150"/>
        <w:rPr>
          <w:rFonts w:hint="eastAsia" w:hAnsi="宋体" w:eastAsia="宋体"/>
          <w:b/>
          <w:bCs/>
          <w:color w:val="auto"/>
          <w:sz w:val="36"/>
          <w:szCs w:val="36"/>
          <w:highlight w:val="none"/>
          <w:lang w:eastAsia="zh-CN"/>
        </w:rPr>
      </w:pPr>
      <w:r>
        <w:rPr>
          <w:rFonts w:hint="eastAsia" w:hAnsi="宋体"/>
          <w:b/>
          <w:bCs/>
          <w:color w:val="auto"/>
          <w:sz w:val="36"/>
          <w:szCs w:val="36"/>
          <w:highlight w:val="none"/>
        </w:rPr>
        <w:t>项目编号：</w:t>
      </w:r>
      <w:r>
        <w:rPr>
          <w:rFonts w:hint="eastAsia" w:hAnsi="宋体"/>
          <w:b/>
          <w:bCs/>
          <w:color w:val="auto"/>
          <w:sz w:val="36"/>
          <w:szCs w:val="36"/>
          <w:highlight w:val="none"/>
          <w:lang w:eastAsia="zh-CN"/>
        </w:rPr>
        <w:t>FC(3)2020551JNN</w:t>
      </w:r>
    </w:p>
    <w:p>
      <w:pPr>
        <w:pStyle w:val="24"/>
        <w:tabs>
          <w:tab w:val="left" w:pos="5640"/>
        </w:tabs>
        <w:snapToGrid w:val="0"/>
        <w:spacing w:line="360" w:lineRule="auto"/>
        <w:ind w:left="907" w:leftChars="432" w:firstLine="542" w:firstLineChars="150"/>
        <w:rPr>
          <w:rFonts w:hAnsi="宋体"/>
          <w:b/>
          <w:bCs/>
          <w:color w:val="auto"/>
          <w:w w:val="95"/>
          <w:sz w:val="36"/>
          <w:szCs w:val="36"/>
          <w:highlight w:val="none"/>
        </w:rPr>
      </w:pPr>
      <w:r>
        <w:rPr>
          <w:rFonts w:hint="eastAsia" w:hAnsi="宋体"/>
          <w:b/>
          <w:bCs/>
          <w:color w:val="auto"/>
          <w:sz w:val="36"/>
          <w:szCs w:val="36"/>
          <w:highlight w:val="none"/>
        </w:rPr>
        <w:t>审批编号</w:t>
      </w:r>
      <w:r>
        <w:rPr>
          <w:rFonts w:hint="eastAsia" w:hAnsi="宋体"/>
          <w:b/>
          <w:bCs/>
          <w:color w:val="auto"/>
          <w:sz w:val="36"/>
          <w:szCs w:val="36"/>
          <w:highlight w:val="none"/>
          <w:lang w:val="en-US" w:eastAsia="zh-CN"/>
        </w:rPr>
        <w:t>:[2020]NCCGJ094</w:t>
      </w:r>
      <w:r>
        <w:rPr>
          <w:rFonts w:hint="eastAsia" w:hAnsi="宋体"/>
          <w:b/>
          <w:color w:val="auto"/>
          <w:sz w:val="28"/>
          <w:szCs w:val="36"/>
          <w:highlight w:val="none"/>
          <w:u w:val="single"/>
        </w:rPr>
        <w:t xml:space="preserve">                        </w:t>
      </w:r>
    </w:p>
    <w:p>
      <w:pPr>
        <w:pStyle w:val="24"/>
        <w:snapToGrid w:val="0"/>
        <w:ind w:firstLine="670" w:firstLineChars="196"/>
        <w:jc w:val="center"/>
        <w:rPr>
          <w:rFonts w:hAnsi="宋体"/>
          <w:bCs/>
          <w:color w:val="auto"/>
          <w:w w:val="95"/>
          <w:sz w:val="36"/>
          <w:szCs w:val="36"/>
          <w:highlight w:val="none"/>
        </w:rPr>
      </w:pPr>
    </w:p>
    <w:p>
      <w:pPr>
        <w:pStyle w:val="24"/>
        <w:snapToGrid w:val="0"/>
        <w:ind w:firstLine="673" w:firstLineChars="196"/>
        <w:jc w:val="center"/>
        <w:rPr>
          <w:rFonts w:hAnsi="宋体"/>
          <w:b/>
          <w:bCs/>
          <w:color w:val="auto"/>
          <w:w w:val="95"/>
          <w:sz w:val="36"/>
          <w:szCs w:val="36"/>
          <w:highlight w:val="none"/>
        </w:rPr>
      </w:pPr>
    </w:p>
    <w:p>
      <w:pPr>
        <w:pStyle w:val="24"/>
        <w:snapToGrid w:val="0"/>
        <w:ind w:firstLine="673" w:firstLineChars="196"/>
        <w:jc w:val="center"/>
        <w:rPr>
          <w:rFonts w:hAnsi="宋体"/>
          <w:b/>
          <w:bCs/>
          <w:color w:val="auto"/>
          <w:w w:val="95"/>
          <w:sz w:val="36"/>
          <w:szCs w:val="36"/>
          <w:highlight w:val="none"/>
        </w:rPr>
      </w:pPr>
    </w:p>
    <w:p>
      <w:pPr>
        <w:pStyle w:val="24"/>
        <w:snapToGrid w:val="0"/>
        <w:spacing w:line="360" w:lineRule="auto"/>
        <w:ind w:firstLine="1068" w:firstLineChars="400"/>
        <w:jc w:val="left"/>
        <w:rPr>
          <w:rFonts w:hint="eastAsia" w:hAnsi="宋体" w:eastAsia="宋体"/>
          <w:b/>
          <w:bCs/>
          <w:color w:val="auto"/>
          <w:w w:val="95"/>
          <w:sz w:val="28"/>
          <w:szCs w:val="36"/>
          <w:highlight w:val="none"/>
          <w:lang w:eastAsia="zh-CN"/>
        </w:rPr>
      </w:pPr>
      <w:r>
        <w:rPr>
          <w:rFonts w:hint="eastAsia" w:hAnsi="宋体"/>
          <w:b/>
          <w:bCs/>
          <w:color w:val="auto"/>
          <w:w w:val="95"/>
          <w:sz w:val="28"/>
          <w:szCs w:val="36"/>
          <w:highlight w:val="none"/>
        </w:rPr>
        <w:t>采购单位：</w:t>
      </w:r>
      <w:r>
        <w:rPr>
          <w:rFonts w:hint="eastAsia" w:hAnsi="宋体"/>
          <w:b/>
          <w:bCs/>
          <w:color w:val="auto"/>
          <w:w w:val="95"/>
          <w:sz w:val="28"/>
          <w:szCs w:val="36"/>
          <w:highlight w:val="none"/>
          <w:lang w:eastAsia="zh-CN"/>
        </w:rPr>
        <w:t>南宁市交通运输信息中心</w:t>
      </w:r>
    </w:p>
    <w:p>
      <w:pPr>
        <w:pStyle w:val="24"/>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u w:val="single"/>
          <w:lang w:eastAsia="zh-CN"/>
        </w:rPr>
        <w:t xml:space="preserve"> </w:t>
      </w:r>
      <w:r>
        <w:rPr>
          <w:rFonts w:hint="eastAsia" w:hAnsi="宋体"/>
          <w:b/>
          <w:color w:val="auto"/>
          <w:sz w:val="28"/>
          <w:szCs w:val="36"/>
          <w:highlight w:val="none"/>
          <w:u w:val="single"/>
        </w:rPr>
        <w:t xml:space="preserve">                                      </w:t>
      </w:r>
    </w:p>
    <w:p>
      <w:pPr>
        <w:pStyle w:val="24"/>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4"/>
        <w:snapToGrid w:val="0"/>
        <w:spacing w:line="360" w:lineRule="auto"/>
        <w:ind w:firstLine="2601" w:firstLineChars="974"/>
        <w:rPr>
          <w:rFonts w:hAnsi="宋体"/>
          <w:b/>
          <w:color w:val="auto"/>
          <w:w w:val="95"/>
          <w:sz w:val="28"/>
          <w:szCs w:val="36"/>
          <w:highlight w:val="none"/>
        </w:rPr>
      </w:pPr>
      <w:r>
        <w:rPr>
          <w:rFonts w:hint="eastAsia" w:hAnsi="宋体"/>
          <w:b/>
          <w:bCs/>
          <w:color w:val="auto"/>
          <w:w w:val="95"/>
          <w:sz w:val="28"/>
          <w:szCs w:val="36"/>
          <w:highlight w:val="none"/>
        </w:rPr>
        <w:t xml:space="preserve"> </w:t>
      </w:r>
      <w:r>
        <w:rPr>
          <w:rFonts w:hint="eastAsia" w:hAnsi="宋体"/>
          <w:b/>
          <w:color w:val="auto"/>
          <w:sz w:val="28"/>
          <w:szCs w:val="36"/>
          <w:highlight w:val="none"/>
          <w:u w:val="single"/>
        </w:rPr>
        <w:t xml:space="preserve"> </w:t>
      </w:r>
      <w:r>
        <w:rPr>
          <w:rFonts w:hint="eastAsia" w:hAnsi="宋体"/>
          <w:b/>
          <w:color w:val="auto"/>
          <w:sz w:val="28"/>
          <w:szCs w:val="36"/>
          <w:highlight w:val="none"/>
          <w:u w:val="single"/>
          <w:lang w:val="en-US" w:eastAsia="zh-CN"/>
        </w:rPr>
        <w:t>2020</w:t>
      </w:r>
      <w:r>
        <w:rPr>
          <w:rFonts w:hint="eastAsia" w:hAnsi="宋体"/>
          <w:b/>
          <w:bCs/>
          <w:color w:val="auto"/>
          <w:w w:val="95"/>
          <w:sz w:val="28"/>
          <w:szCs w:val="36"/>
          <w:highlight w:val="none"/>
        </w:rPr>
        <w:t>年</w:t>
      </w:r>
      <w:r>
        <w:rPr>
          <w:rFonts w:hint="eastAsia" w:hAnsi="宋体"/>
          <w:b/>
          <w:color w:val="auto"/>
          <w:sz w:val="28"/>
          <w:szCs w:val="36"/>
          <w:highlight w:val="none"/>
          <w:u w:val="single"/>
        </w:rPr>
        <w:t xml:space="preserve"> </w:t>
      </w:r>
      <w:r>
        <w:rPr>
          <w:rFonts w:hint="eastAsia" w:hAnsi="宋体"/>
          <w:b/>
          <w:color w:val="auto"/>
          <w:sz w:val="28"/>
          <w:szCs w:val="36"/>
          <w:highlight w:val="none"/>
          <w:u w:val="single"/>
          <w:lang w:val="en-US" w:eastAsia="zh-CN"/>
        </w:rPr>
        <w:t>11</w:t>
      </w:r>
      <w:r>
        <w:rPr>
          <w:rFonts w:hint="eastAsia" w:hAnsi="宋体"/>
          <w:b/>
          <w:bCs/>
          <w:color w:val="auto"/>
          <w:w w:val="95"/>
          <w:sz w:val="28"/>
          <w:szCs w:val="36"/>
          <w:highlight w:val="none"/>
        </w:rPr>
        <w:t>月</w:t>
      </w:r>
      <w:r>
        <w:rPr>
          <w:rFonts w:hint="eastAsia" w:hAnsi="宋体"/>
          <w:b/>
          <w:color w:val="auto"/>
          <w:sz w:val="28"/>
          <w:szCs w:val="36"/>
          <w:highlight w:val="none"/>
          <w:u w:val="single"/>
          <w:lang w:val="en-US" w:eastAsia="zh-CN"/>
        </w:rPr>
        <w:t>24</w:t>
      </w:r>
      <w:r>
        <w:rPr>
          <w:rFonts w:hint="eastAsia" w:hAnsi="宋体"/>
          <w:b/>
          <w:bCs/>
          <w:color w:val="auto"/>
          <w:w w:val="95"/>
          <w:sz w:val="28"/>
          <w:szCs w:val="36"/>
          <w:highlight w:val="none"/>
        </w:rPr>
        <w:t>日</w:t>
      </w:r>
    </w:p>
    <w:p>
      <w:pPr>
        <w:widowControl/>
        <w:jc w:val="left"/>
        <w:rPr>
          <w:rFonts w:ascii="宋体" w:hAnsi="宋体" w:cs="Courier New"/>
          <w:b/>
          <w:color w:val="auto"/>
          <w:sz w:val="44"/>
          <w:szCs w:val="44"/>
          <w:highlight w:val="none"/>
        </w:rPr>
      </w:pPr>
      <w:r>
        <w:rPr>
          <w:rFonts w:hAnsi="宋体"/>
          <w:b/>
          <w:color w:val="auto"/>
          <w:sz w:val="44"/>
          <w:szCs w:val="44"/>
          <w:highlight w:val="none"/>
        </w:rPr>
        <w:br w:type="page"/>
      </w:r>
    </w:p>
    <w:sdt>
      <w:sdtPr>
        <w:rPr>
          <w:rFonts w:ascii="宋体" w:hAnsi="宋体" w:eastAsia="宋体" w:cs="Times New Roman"/>
          <w:color w:val="auto"/>
          <w:kern w:val="2"/>
          <w:sz w:val="21"/>
          <w:szCs w:val="24"/>
          <w:highlight w:val="none"/>
          <w:lang w:val="en-US" w:eastAsia="zh-CN" w:bidi="ar-SA"/>
        </w:rPr>
        <w:id w:val="14748198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77"/>
            <w:tabs>
              <w:tab w:val="right" w:leader="dot" w:pos="9236"/>
            </w:tabs>
            <w:rPr>
              <w:color w:val="auto"/>
              <w:highlight w:val="none"/>
            </w:rPr>
          </w:pPr>
          <w:r>
            <w:rPr>
              <w:rFonts w:hAnsi="宋体" w:cs="Times New Roman"/>
              <w:b/>
              <w:color w:val="auto"/>
              <w:sz w:val="30"/>
              <w:szCs w:val="24"/>
              <w:highlight w:val="none"/>
            </w:rPr>
            <w:fldChar w:fldCharType="begin"/>
          </w:r>
          <w:r>
            <w:rPr>
              <w:rFonts w:hAnsi="宋体" w:cs="Times New Roman"/>
              <w:b/>
              <w:color w:val="auto"/>
              <w:sz w:val="30"/>
              <w:szCs w:val="24"/>
              <w:highlight w:val="none"/>
            </w:rPr>
            <w:instrText xml:space="preserve">TOC \o "1-1" \h \u </w:instrText>
          </w:r>
          <w:r>
            <w:rPr>
              <w:rFonts w:hAnsi="宋体" w:cs="Times New Roman"/>
              <w:b/>
              <w:color w:val="auto"/>
              <w:sz w:val="30"/>
              <w:szCs w:val="24"/>
              <w:highlight w:val="none"/>
            </w:rPr>
            <w:fldChar w:fldCharType="separate"/>
          </w: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_Toc18835 </w:instrText>
          </w:r>
          <w:r>
            <w:rPr>
              <w:rFonts w:hAnsi="宋体" w:cs="Times New Roman"/>
              <w:color w:val="auto"/>
              <w:szCs w:val="24"/>
              <w:highlight w:val="none"/>
            </w:rPr>
            <w:fldChar w:fldCharType="separate"/>
          </w:r>
          <w:r>
            <w:rPr>
              <w:rFonts w:hint="eastAsia" w:hAnsi="宋体"/>
              <w:color w:val="auto"/>
              <w:szCs w:val="44"/>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_Toc18835 </w:instrText>
          </w:r>
          <w:r>
            <w:rPr>
              <w:color w:val="auto"/>
              <w:highlight w:val="none"/>
            </w:rPr>
            <w:fldChar w:fldCharType="separate"/>
          </w:r>
          <w:r>
            <w:rPr>
              <w:color w:val="auto"/>
              <w:highlight w:val="none"/>
            </w:rPr>
            <w:t>2</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_Toc27158 </w:instrText>
          </w:r>
          <w:r>
            <w:rPr>
              <w:rFonts w:hAnsi="宋体" w:cs="Times New Roman"/>
              <w:color w:val="auto"/>
              <w:szCs w:val="24"/>
              <w:highlight w:val="none"/>
            </w:rPr>
            <w:fldChar w:fldCharType="separate"/>
          </w:r>
          <w:r>
            <w:rPr>
              <w:rFonts w:hint="eastAsia" w:ascii="宋体" w:hAnsi="宋体"/>
              <w:color w:val="auto"/>
              <w:szCs w:val="44"/>
              <w:highlight w:val="none"/>
            </w:rPr>
            <w:t xml:space="preserve">第二章 </w:t>
          </w:r>
          <w:r>
            <w:rPr>
              <w:rFonts w:hint="eastAsia" w:hAnsi="宋体"/>
              <w:bCs/>
              <w:color w:val="auto"/>
              <w:szCs w:val="44"/>
              <w:highlight w:val="none"/>
            </w:rPr>
            <w:t>供应商须知</w:t>
          </w:r>
          <w:r>
            <w:rPr>
              <w:color w:val="auto"/>
              <w:highlight w:val="none"/>
            </w:rPr>
            <w:tab/>
          </w:r>
          <w:r>
            <w:rPr>
              <w:color w:val="auto"/>
              <w:highlight w:val="none"/>
            </w:rPr>
            <w:fldChar w:fldCharType="begin"/>
          </w:r>
          <w:r>
            <w:rPr>
              <w:color w:val="auto"/>
              <w:highlight w:val="none"/>
            </w:rPr>
            <w:instrText xml:space="preserve"> PAGEREF _Toc27158 </w:instrText>
          </w:r>
          <w:r>
            <w:rPr>
              <w:color w:val="auto"/>
              <w:highlight w:val="none"/>
            </w:rPr>
            <w:fldChar w:fldCharType="separate"/>
          </w:r>
          <w:r>
            <w:rPr>
              <w:color w:val="auto"/>
              <w:highlight w:val="none"/>
            </w:rPr>
            <w:t>6</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_Toc30806 </w:instrText>
          </w:r>
          <w:r>
            <w:rPr>
              <w:rFonts w:hAnsi="宋体" w:cs="Times New Roman"/>
              <w:color w:val="auto"/>
              <w:szCs w:val="24"/>
              <w:highlight w:val="none"/>
            </w:rPr>
            <w:fldChar w:fldCharType="separate"/>
          </w:r>
          <w:r>
            <w:rPr>
              <w:rFonts w:hint="eastAsia" w:hAnsi="宋体"/>
              <w:color w:val="auto"/>
              <w:szCs w:val="32"/>
              <w:highlight w:val="none"/>
            </w:rPr>
            <w:t>供应商须知前附表</w:t>
          </w:r>
          <w:bookmarkStart w:id="71" w:name="_GoBack"/>
          <w:bookmarkEnd w:id="71"/>
          <w:r>
            <w:rPr>
              <w:color w:val="auto"/>
              <w:highlight w:val="none"/>
            </w:rPr>
            <w:tab/>
          </w:r>
          <w:r>
            <w:rPr>
              <w:color w:val="auto"/>
              <w:highlight w:val="none"/>
            </w:rPr>
            <w:fldChar w:fldCharType="begin"/>
          </w:r>
          <w:r>
            <w:rPr>
              <w:color w:val="auto"/>
              <w:highlight w:val="none"/>
            </w:rPr>
            <w:instrText xml:space="preserve"> PAGEREF _Toc30806 </w:instrText>
          </w:r>
          <w:r>
            <w:rPr>
              <w:color w:val="auto"/>
              <w:highlight w:val="none"/>
            </w:rPr>
            <w:fldChar w:fldCharType="separate"/>
          </w:r>
          <w:r>
            <w:rPr>
              <w:color w:val="auto"/>
              <w:highlight w:val="none"/>
            </w:rPr>
            <w:t>7</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_Toc14443 </w:instrText>
          </w:r>
          <w:r>
            <w:rPr>
              <w:rFonts w:hAnsi="宋体" w:cs="Times New Roman"/>
              <w:color w:val="auto"/>
              <w:szCs w:val="24"/>
              <w:highlight w:val="none"/>
            </w:rPr>
            <w:fldChar w:fldCharType="separate"/>
          </w:r>
          <w:r>
            <w:rPr>
              <w:rFonts w:hint="eastAsia" w:ascii="宋体" w:hAnsi="宋体"/>
              <w:color w:val="auto"/>
              <w:szCs w:val="44"/>
              <w:highlight w:val="none"/>
            </w:rPr>
            <w:t xml:space="preserve">第三章 </w:t>
          </w:r>
          <w:r>
            <w:rPr>
              <w:rFonts w:hint="eastAsia" w:ascii="宋体" w:hAnsi="宋体"/>
              <w:bCs/>
              <w:color w:val="auto"/>
              <w:szCs w:val="44"/>
              <w:highlight w:val="none"/>
            </w:rPr>
            <w:t>项目</w:t>
          </w:r>
          <w:r>
            <w:rPr>
              <w:rFonts w:hint="eastAsia" w:ascii="宋体" w:hAnsi="宋体"/>
              <w:color w:val="auto"/>
              <w:szCs w:val="44"/>
              <w:highlight w:val="none"/>
            </w:rPr>
            <w:t>需求</w:t>
          </w:r>
          <w:r>
            <w:rPr>
              <w:color w:val="auto"/>
              <w:highlight w:val="none"/>
            </w:rPr>
            <w:tab/>
          </w:r>
          <w:r>
            <w:rPr>
              <w:color w:val="auto"/>
              <w:highlight w:val="none"/>
            </w:rPr>
            <w:fldChar w:fldCharType="begin"/>
          </w:r>
          <w:r>
            <w:rPr>
              <w:color w:val="auto"/>
              <w:highlight w:val="none"/>
            </w:rPr>
            <w:instrText xml:space="preserve"> PAGEREF _Toc14443 </w:instrText>
          </w:r>
          <w:r>
            <w:rPr>
              <w:color w:val="auto"/>
              <w:highlight w:val="none"/>
            </w:rPr>
            <w:fldChar w:fldCharType="separate"/>
          </w:r>
          <w:r>
            <w:rPr>
              <w:color w:val="auto"/>
              <w:highlight w:val="none"/>
            </w:rPr>
            <w:t>22</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_Toc18715 </w:instrText>
          </w:r>
          <w:r>
            <w:rPr>
              <w:rFonts w:hAnsi="宋体" w:cs="Times New Roman"/>
              <w:color w:val="auto"/>
              <w:szCs w:val="24"/>
              <w:highlight w:val="none"/>
            </w:rPr>
            <w:fldChar w:fldCharType="separate"/>
          </w:r>
          <w:r>
            <w:rPr>
              <w:rFonts w:hint="eastAsia" w:hAnsi="宋体"/>
              <w:color w:val="auto"/>
              <w:szCs w:val="44"/>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_Toc18715 </w:instrText>
          </w:r>
          <w:r>
            <w:rPr>
              <w:color w:val="auto"/>
              <w:highlight w:val="none"/>
            </w:rPr>
            <w:fldChar w:fldCharType="separate"/>
          </w:r>
          <w:r>
            <w:rPr>
              <w:color w:val="auto"/>
              <w:highlight w:val="none"/>
            </w:rPr>
            <w:t>25</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_Toc12271 </w:instrText>
          </w:r>
          <w:r>
            <w:rPr>
              <w:rFonts w:hAnsi="宋体" w:cs="Times New Roman"/>
              <w:color w:val="auto"/>
              <w:szCs w:val="24"/>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w:t>
          </w:r>
          <w:r>
            <w:rPr>
              <w:color w:val="auto"/>
              <w:highlight w:val="none"/>
            </w:rPr>
            <w:tab/>
          </w:r>
          <w:r>
            <w:rPr>
              <w:color w:val="auto"/>
              <w:highlight w:val="none"/>
            </w:rPr>
            <w:fldChar w:fldCharType="begin"/>
          </w:r>
          <w:r>
            <w:rPr>
              <w:color w:val="auto"/>
              <w:highlight w:val="none"/>
            </w:rPr>
            <w:instrText xml:space="preserve"> PAGEREF _Toc12271 </w:instrText>
          </w:r>
          <w:r>
            <w:rPr>
              <w:color w:val="auto"/>
              <w:highlight w:val="none"/>
            </w:rPr>
            <w:fldChar w:fldCharType="separate"/>
          </w:r>
          <w:r>
            <w:rPr>
              <w:color w:val="auto"/>
              <w:highlight w:val="none"/>
            </w:rPr>
            <w:t>38</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_Toc19899 </w:instrText>
          </w:r>
          <w:r>
            <w:rPr>
              <w:rFonts w:hAnsi="宋体" w:cs="Times New Roman"/>
              <w:color w:val="auto"/>
              <w:szCs w:val="24"/>
              <w:highlight w:val="none"/>
            </w:rPr>
            <w:fldChar w:fldCharType="separate"/>
          </w:r>
          <w:r>
            <w:rPr>
              <w:rFonts w:hint="eastAsia" w:hAnsi="宋体"/>
              <w:color w:val="auto"/>
              <w:szCs w:val="44"/>
              <w:highlight w:val="none"/>
            </w:rPr>
            <w:t>第六章  评审办法及评审标准</w:t>
          </w:r>
          <w:r>
            <w:rPr>
              <w:color w:val="auto"/>
              <w:highlight w:val="none"/>
            </w:rPr>
            <w:tab/>
          </w:r>
          <w:r>
            <w:rPr>
              <w:color w:val="auto"/>
              <w:highlight w:val="none"/>
            </w:rPr>
            <w:fldChar w:fldCharType="begin"/>
          </w:r>
          <w:r>
            <w:rPr>
              <w:color w:val="auto"/>
              <w:highlight w:val="none"/>
            </w:rPr>
            <w:instrText xml:space="preserve"> PAGEREF _Toc19899 </w:instrText>
          </w:r>
          <w:r>
            <w:rPr>
              <w:color w:val="auto"/>
              <w:highlight w:val="none"/>
            </w:rPr>
            <w:fldChar w:fldCharType="separate"/>
          </w:r>
          <w:r>
            <w:rPr>
              <w:color w:val="auto"/>
              <w:highlight w:val="none"/>
            </w:rPr>
            <w:t>45</w:t>
          </w:r>
          <w:r>
            <w:rPr>
              <w:color w:val="auto"/>
              <w:highlight w:val="none"/>
            </w:rPr>
            <w:fldChar w:fldCharType="end"/>
          </w:r>
          <w:r>
            <w:rPr>
              <w:rFonts w:hAnsi="宋体" w:cs="Times New Roman"/>
              <w:color w:val="auto"/>
              <w:szCs w:val="24"/>
              <w:highlight w:val="none"/>
            </w:rPr>
            <w:fldChar w:fldCharType="end"/>
          </w:r>
        </w:p>
        <w:p>
          <w:pPr>
            <w:pStyle w:val="177"/>
            <w:tabs>
              <w:tab w:val="right" w:leader="dot" w:pos="9236"/>
            </w:tabs>
            <w:rPr>
              <w:color w:val="auto"/>
              <w:highlight w:val="none"/>
            </w:rPr>
          </w:pPr>
          <w:r>
            <w:rPr>
              <w:rFonts w:hAnsi="宋体" w:cs="Times New Roman"/>
              <w:color w:val="auto"/>
              <w:szCs w:val="24"/>
              <w:highlight w:val="none"/>
            </w:rPr>
            <w:fldChar w:fldCharType="begin"/>
          </w:r>
          <w:r>
            <w:rPr>
              <w:rFonts w:hAnsi="宋体" w:cs="Times New Roman"/>
              <w:color w:val="auto"/>
              <w:szCs w:val="24"/>
              <w:highlight w:val="none"/>
            </w:rPr>
            <w:instrText xml:space="preserve"> HYPERLINK \l _Toc18759 </w:instrText>
          </w:r>
          <w:r>
            <w:rPr>
              <w:rFonts w:hAnsi="宋体" w:cs="Times New Roman"/>
              <w:color w:val="auto"/>
              <w:szCs w:val="24"/>
              <w:highlight w:val="none"/>
            </w:rPr>
            <w:fldChar w:fldCharType="separate"/>
          </w:r>
          <w:r>
            <w:rPr>
              <w:rFonts w:hint="eastAsia" w:ascii="宋体" w:hAnsi="宋体" w:cs="宋体"/>
              <w:color w:val="auto"/>
              <w:kern w:val="0"/>
              <w:szCs w:val="36"/>
              <w:highlight w:val="none"/>
            </w:rPr>
            <w:t>第七章  质疑书及投诉书格式</w:t>
          </w:r>
          <w:r>
            <w:rPr>
              <w:color w:val="auto"/>
              <w:highlight w:val="none"/>
            </w:rPr>
            <w:tab/>
          </w:r>
          <w:r>
            <w:rPr>
              <w:color w:val="auto"/>
              <w:highlight w:val="none"/>
            </w:rPr>
            <w:fldChar w:fldCharType="begin"/>
          </w:r>
          <w:r>
            <w:rPr>
              <w:color w:val="auto"/>
              <w:highlight w:val="none"/>
            </w:rPr>
            <w:instrText xml:space="preserve"> PAGEREF _Toc18759 </w:instrText>
          </w:r>
          <w:r>
            <w:rPr>
              <w:color w:val="auto"/>
              <w:highlight w:val="none"/>
            </w:rPr>
            <w:fldChar w:fldCharType="separate"/>
          </w:r>
          <w:r>
            <w:rPr>
              <w:color w:val="auto"/>
              <w:highlight w:val="none"/>
            </w:rPr>
            <w:t>48</w:t>
          </w:r>
          <w:r>
            <w:rPr>
              <w:color w:val="auto"/>
              <w:highlight w:val="none"/>
            </w:rPr>
            <w:fldChar w:fldCharType="end"/>
          </w:r>
          <w:r>
            <w:rPr>
              <w:rFonts w:hAnsi="宋体" w:cs="Times New Roman"/>
              <w:color w:val="auto"/>
              <w:szCs w:val="24"/>
              <w:highlight w:val="none"/>
            </w:rPr>
            <w:fldChar w:fldCharType="end"/>
          </w:r>
        </w:p>
        <w:p>
          <w:pPr>
            <w:pStyle w:val="24"/>
            <w:snapToGrid w:val="0"/>
            <w:spacing w:before="120" w:after="120" w:line="360" w:lineRule="auto"/>
            <w:ind w:firstLine="102" w:firstLineChars="49"/>
            <w:rPr>
              <w:rFonts w:hAnsi="宋体" w:cs="Times New Roman"/>
              <w:b/>
              <w:color w:val="auto"/>
              <w:sz w:val="30"/>
              <w:szCs w:val="24"/>
              <w:highlight w:val="none"/>
            </w:rPr>
          </w:pPr>
          <w:r>
            <w:rPr>
              <w:rFonts w:hAnsi="宋体" w:cs="Times New Roman"/>
              <w:color w:val="auto"/>
              <w:szCs w:val="24"/>
              <w:highlight w:val="none"/>
            </w:rPr>
            <w:fldChar w:fldCharType="end"/>
          </w:r>
          <w:r>
            <w:rPr>
              <w:rFonts w:hint="eastAsia" w:hAnsi="宋体" w:cs="Times New Roman"/>
              <w:color w:val="auto"/>
              <w:szCs w:val="24"/>
              <w:highlight w:val="none"/>
            </w:rPr>
            <w:t>成交通知书</w:t>
          </w:r>
        </w:p>
      </w:sdtContent>
    </w:sdt>
    <w:p>
      <w:pPr>
        <w:pStyle w:val="24"/>
        <w:snapToGrid w:val="0"/>
        <w:spacing w:before="120" w:after="120"/>
        <w:jc w:val="center"/>
        <w:outlineLvl w:val="9"/>
        <w:rPr>
          <w:rFonts w:hAnsi="宋体"/>
          <w:b/>
          <w:color w:val="auto"/>
          <w:kern w:val="0"/>
          <w:sz w:val="24"/>
          <w:highlight w:val="none"/>
        </w:rPr>
      </w:pPr>
      <w:r>
        <w:rPr>
          <w:rFonts w:hAnsi="宋体"/>
          <w:b/>
          <w:color w:val="auto"/>
          <w:kern w:val="0"/>
          <w:sz w:val="24"/>
          <w:highlight w:val="none"/>
        </w:rPr>
        <w:br w:type="page"/>
      </w: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9"/>
        <w:rPr>
          <w:rFonts w:hAnsi="宋体"/>
          <w:b/>
          <w:color w:val="auto"/>
          <w:kern w:val="0"/>
          <w:sz w:val="24"/>
          <w:highlight w:val="none"/>
        </w:rPr>
      </w:pPr>
    </w:p>
    <w:p>
      <w:pPr>
        <w:pStyle w:val="24"/>
        <w:snapToGrid w:val="0"/>
        <w:spacing w:before="120" w:after="120"/>
        <w:jc w:val="center"/>
        <w:outlineLvl w:val="0"/>
        <w:rPr>
          <w:rFonts w:hAnsi="宋体"/>
          <w:b/>
          <w:color w:val="auto"/>
          <w:sz w:val="44"/>
          <w:szCs w:val="44"/>
          <w:highlight w:val="none"/>
        </w:rPr>
      </w:pPr>
      <w:bookmarkStart w:id="0" w:name="_Toc18835"/>
      <w:r>
        <w:rPr>
          <w:rFonts w:hint="eastAsia" w:hAnsi="宋体"/>
          <w:b/>
          <w:color w:val="auto"/>
          <w:sz w:val="44"/>
          <w:szCs w:val="44"/>
          <w:highlight w:val="none"/>
        </w:rPr>
        <w:t>第一章 竞争性谈判公告</w:t>
      </w:r>
      <w:bookmarkEnd w:id="0"/>
    </w:p>
    <w:p>
      <w:pPr>
        <w:rPr>
          <w:rFonts w:ascii="宋体" w:hAnsi="宋体"/>
          <w:b/>
          <w:color w:val="auto"/>
          <w:kern w:val="0"/>
          <w:sz w:val="24"/>
          <w:highlight w:val="none"/>
        </w:rPr>
      </w:pPr>
    </w:p>
    <w:p>
      <w:pPr>
        <w:jc w:val="center"/>
        <w:rPr>
          <w:rFonts w:ascii="宋体" w:hAnsi="宋体"/>
          <w:color w:val="auto"/>
          <w:sz w:val="32"/>
          <w:szCs w:val="32"/>
          <w:highlight w:val="none"/>
        </w:rPr>
      </w:pPr>
      <w:r>
        <w:rPr>
          <w:rFonts w:hint="eastAsia" w:ascii="宋体" w:hAnsi="宋体"/>
          <w:color w:val="auto"/>
          <w:sz w:val="24"/>
          <w:highlight w:val="none"/>
        </w:rPr>
        <w:t xml:space="preserve"> </w:t>
      </w:r>
      <w:r>
        <w:rPr>
          <w:rFonts w:hint="eastAsia" w:ascii="宋体" w:hAnsi="宋体"/>
          <w:color w:val="auto"/>
          <w:sz w:val="32"/>
          <w:szCs w:val="32"/>
          <w:highlight w:val="none"/>
        </w:rPr>
        <w:t xml:space="preserve"> </w:t>
      </w:r>
    </w:p>
    <w:p>
      <w:pPr>
        <w:shd w:val="clear" w:color="auto" w:fill="FFFFFF"/>
        <w:snapToGrid w:val="0"/>
        <w:ind w:left="-359" w:leftChars="-171"/>
        <w:jc w:val="center"/>
        <w:rPr>
          <w:rFonts w:ascii="宋体" w:hAnsi="宋体"/>
          <w:b/>
          <w:color w:val="auto"/>
          <w:sz w:val="32"/>
          <w:szCs w:val="32"/>
          <w:highlight w:val="none"/>
        </w:rPr>
      </w:pPr>
      <w:r>
        <w:rPr>
          <w:rFonts w:ascii="宋体" w:hAnsi="宋体"/>
          <w:color w:val="auto"/>
          <w:sz w:val="32"/>
          <w:szCs w:val="32"/>
          <w:highlight w:val="none"/>
        </w:rPr>
        <w:br w:type="page"/>
      </w:r>
      <w:r>
        <w:rPr>
          <w:rFonts w:hint="eastAsia" w:ascii="宋体" w:hAnsi="宋体"/>
          <w:b/>
          <w:color w:val="auto"/>
          <w:sz w:val="32"/>
          <w:szCs w:val="32"/>
          <w:highlight w:val="none"/>
        </w:rPr>
        <w:t>广西建设工程机电设备招标中心有限公司</w:t>
      </w:r>
    </w:p>
    <w:p>
      <w:pPr>
        <w:shd w:val="clear" w:color="auto" w:fill="FFFFFF"/>
        <w:snapToGrid w:val="0"/>
        <w:ind w:left="-359" w:leftChars="-171"/>
        <w:jc w:val="center"/>
        <w:rPr>
          <w:rFonts w:hAnsi="宋体"/>
          <w:b/>
          <w:color w:val="auto"/>
          <w:sz w:val="32"/>
          <w:szCs w:val="32"/>
          <w:highlight w:val="none"/>
        </w:rPr>
      </w:pPr>
      <w:r>
        <w:rPr>
          <w:rFonts w:hint="eastAsia" w:ascii="宋体" w:hAnsi="宋体"/>
          <w:b/>
          <w:color w:val="auto"/>
          <w:sz w:val="32"/>
          <w:szCs w:val="32"/>
          <w:highlight w:val="none"/>
          <w:lang w:eastAsia="zh-CN"/>
        </w:rPr>
        <w:t>2020年道路运输信息系统安全等级评测服务</w:t>
      </w:r>
      <w:r>
        <w:rPr>
          <w:rFonts w:hint="eastAsia" w:ascii="宋体" w:hAnsi="宋体"/>
          <w:b/>
          <w:color w:val="auto"/>
          <w:sz w:val="32"/>
          <w:szCs w:val="32"/>
          <w:highlight w:val="none"/>
        </w:rPr>
        <w:t>采购项目</w:t>
      </w:r>
      <w:r>
        <w:rPr>
          <w:rFonts w:hint="eastAsia" w:hAnsi="宋体"/>
          <w:b/>
          <w:color w:val="auto"/>
          <w:sz w:val="32"/>
          <w:szCs w:val="32"/>
          <w:highlight w:val="none"/>
        </w:rPr>
        <w:t>（采购编号：</w:t>
      </w:r>
      <w:r>
        <w:rPr>
          <w:rFonts w:hint="eastAsia" w:hAnsi="宋体"/>
          <w:b/>
          <w:color w:val="auto"/>
          <w:sz w:val="32"/>
          <w:szCs w:val="32"/>
          <w:highlight w:val="none"/>
          <w:lang w:eastAsia="zh-CN"/>
        </w:rPr>
        <w:t>FC(3)2020551JNN</w:t>
      </w:r>
      <w:r>
        <w:rPr>
          <w:rFonts w:hint="eastAsia" w:hAnsi="宋体"/>
          <w:b/>
          <w:color w:val="auto"/>
          <w:sz w:val="32"/>
          <w:szCs w:val="32"/>
          <w:highlight w:val="none"/>
        </w:rPr>
        <w:t>）竞争性谈判公告</w:t>
      </w:r>
    </w:p>
    <w:p>
      <w:pPr>
        <w:rPr>
          <w:rFonts w:hint="eastAsia" w:asciiTheme="minorEastAsia" w:hAnsiTheme="minorEastAsia" w:eastAsiaTheme="minorEastAsia" w:cstheme="minorEastAsia"/>
          <w:i w:val="0"/>
          <w:iCs w:val="0"/>
          <w:color w:val="auto"/>
          <w:sz w:val="21"/>
          <w:szCs w:val="21"/>
          <w:highlight w:val="none"/>
        </w:rPr>
      </w:pPr>
      <w:r>
        <w:rPr>
          <w:rFonts w:ascii="宋体" w:hAnsi="宋体"/>
          <w:color w:val="auto"/>
          <w:sz w:val="28"/>
          <w:szCs w:val="28"/>
          <w:highlight w:val="none"/>
        </w:rPr>
        <w:t xml:space="preserve"> </w:t>
      </w:r>
      <w:r>
        <w:rPr>
          <w:rFonts w:ascii="宋体" w:hAnsi="宋体"/>
          <w:i w:val="0"/>
          <w:iCs w:val="0"/>
          <w:color w:val="auto"/>
          <w:sz w:val="28"/>
          <w:szCs w:val="28"/>
          <w:highlight w:val="none"/>
        </w:rPr>
        <w:t xml:space="preserve">  </w:t>
      </w:r>
      <w:r>
        <w:rPr>
          <w:rFonts w:ascii="宋体" w:hAnsi="宋体"/>
          <w:i w:val="0"/>
          <w:iCs w:val="0"/>
          <w:color w:val="auto"/>
          <w:sz w:val="24"/>
          <w:highlight w:val="none"/>
        </w:rPr>
        <w:t xml:space="preserve"> </w:t>
      </w:r>
    </w:p>
    <w:p>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u w:val="single"/>
          <w:lang w:eastAsia="zh-CN"/>
        </w:rPr>
        <w:t>2020年道路运输信息系统安全等级评测服务</w:t>
      </w:r>
      <w:r>
        <w:rPr>
          <w:rFonts w:hint="eastAsia" w:asciiTheme="minorEastAsia" w:hAnsiTheme="minorEastAsia" w:eastAsiaTheme="minorEastAsia" w:cstheme="minorEastAsia"/>
          <w:i w:val="0"/>
          <w:iCs w:val="0"/>
          <w:color w:val="auto"/>
          <w:sz w:val="21"/>
          <w:szCs w:val="21"/>
          <w:highlight w:val="none"/>
          <w:u w:val="single"/>
        </w:rPr>
        <w:t>采购项目</w:t>
      </w:r>
      <w:r>
        <w:rPr>
          <w:rFonts w:hint="eastAsia" w:asciiTheme="minorEastAsia" w:hAnsiTheme="minorEastAsia" w:eastAsiaTheme="minorEastAsia" w:cstheme="minorEastAsia"/>
          <w:i w:val="0"/>
          <w:iCs w:val="0"/>
          <w:color w:val="auto"/>
          <w:sz w:val="21"/>
          <w:szCs w:val="21"/>
          <w:highlight w:val="none"/>
        </w:rPr>
        <w:t xml:space="preserve"> 采购项目的潜在供应商应在</w:t>
      </w:r>
      <w:r>
        <w:rPr>
          <w:rFonts w:hint="eastAsia" w:ascii="宋体" w:hAnsi="宋体"/>
          <w:i w:val="0"/>
          <w:iCs w:val="0"/>
          <w:color w:val="auto"/>
          <w:szCs w:val="21"/>
          <w:highlight w:val="none"/>
          <w:u w:val="single"/>
        </w:rPr>
        <w:t>南宁市公共资源交易平台（https://www.nnggzy.org.cn/gxnnzbw/）免费下载</w:t>
      </w:r>
      <w:r>
        <w:rPr>
          <w:rFonts w:hint="eastAsia" w:asciiTheme="minorEastAsia" w:hAnsiTheme="minorEastAsia" w:eastAsiaTheme="minorEastAsia" w:cstheme="minorEastAsia"/>
          <w:i w:val="0"/>
          <w:iCs w:val="0"/>
          <w:color w:val="auto"/>
          <w:sz w:val="21"/>
          <w:szCs w:val="21"/>
          <w:highlight w:val="none"/>
        </w:rPr>
        <w:t>获取采购文件，并于</w:t>
      </w:r>
      <w:r>
        <w:rPr>
          <w:rFonts w:hint="eastAsia" w:asciiTheme="minorEastAsia" w:hAnsiTheme="minorEastAsia" w:eastAsiaTheme="minorEastAsia" w:cstheme="minorEastAsia"/>
          <w:i w:val="0"/>
          <w:iCs w:val="0"/>
          <w:color w:val="auto"/>
          <w:sz w:val="21"/>
          <w:szCs w:val="21"/>
          <w:highlight w:val="none"/>
          <w:u w:val="single"/>
          <w:lang w:val="en-US" w:eastAsia="zh-CN"/>
        </w:rPr>
        <w:t>2020</w:t>
      </w:r>
      <w:r>
        <w:rPr>
          <w:rFonts w:hint="eastAsia" w:asciiTheme="minorEastAsia" w:hAnsiTheme="minorEastAsia" w:eastAsiaTheme="minorEastAsia" w:cstheme="minorEastAsia"/>
          <w:bCs/>
          <w:i w:val="0"/>
          <w:iCs w:val="0"/>
          <w:color w:val="auto"/>
          <w:sz w:val="21"/>
          <w:szCs w:val="21"/>
          <w:highlight w:val="none"/>
          <w:u w:val="single"/>
        </w:rPr>
        <w:t>年</w:t>
      </w:r>
      <w:r>
        <w:rPr>
          <w:rFonts w:hint="eastAsia" w:asciiTheme="minorEastAsia" w:hAnsiTheme="minorEastAsia" w:eastAsiaTheme="minorEastAsia" w:cstheme="minorEastAsia"/>
          <w:bCs/>
          <w:i w:val="0"/>
          <w:iCs w:val="0"/>
          <w:color w:val="auto"/>
          <w:sz w:val="21"/>
          <w:szCs w:val="21"/>
          <w:highlight w:val="none"/>
          <w:u w:val="single"/>
          <w:lang w:val="en-US" w:eastAsia="zh-CN"/>
        </w:rPr>
        <w:t>11</w:t>
      </w:r>
      <w:r>
        <w:rPr>
          <w:rFonts w:hint="eastAsia" w:asciiTheme="minorEastAsia" w:hAnsiTheme="minorEastAsia" w:eastAsiaTheme="minorEastAsia" w:cstheme="minorEastAsia"/>
          <w:bCs/>
          <w:i w:val="0"/>
          <w:iCs w:val="0"/>
          <w:color w:val="auto"/>
          <w:sz w:val="21"/>
          <w:szCs w:val="21"/>
          <w:highlight w:val="none"/>
          <w:u w:val="single"/>
        </w:rPr>
        <w:t>月</w:t>
      </w:r>
      <w:r>
        <w:rPr>
          <w:rFonts w:hint="eastAsia" w:asciiTheme="minorEastAsia" w:hAnsiTheme="minorEastAsia" w:eastAsiaTheme="minorEastAsia" w:cstheme="minorEastAsia"/>
          <w:bCs/>
          <w:i w:val="0"/>
          <w:iCs w:val="0"/>
          <w:color w:val="auto"/>
          <w:sz w:val="21"/>
          <w:szCs w:val="21"/>
          <w:highlight w:val="none"/>
          <w:u w:val="single"/>
          <w:lang w:val="en-US" w:eastAsia="zh-CN"/>
        </w:rPr>
        <w:t xml:space="preserve">    30</w:t>
      </w:r>
      <w:r>
        <w:rPr>
          <w:rFonts w:hint="eastAsia" w:asciiTheme="minorEastAsia" w:hAnsiTheme="minorEastAsia" w:eastAsiaTheme="minorEastAsia" w:cstheme="minorEastAsia"/>
          <w:bCs/>
          <w:i w:val="0"/>
          <w:iCs w:val="0"/>
          <w:color w:val="auto"/>
          <w:sz w:val="21"/>
          <w:szCs w:val="21"/>
          <w:highlight w:val="none"/>
          <w:u w:val="single"/>
        </w:rPr>
        <w:t>日</w:t>
      </w:r>
      <w:r>
        <w:rPr>
          <w:rFonts w:hint="eastAsia" w:asciiTheme="minorEastAsia" w:hAnsiTheme="minorEastAsia" w:eastAsiaTheme="minorEastAsia" w:cstheme="minorEastAsia"/>
          <w:bCs/>
          <w:i w:val="0"/>
          <w:iCs w:val="0"/>
          <w:color w:val="auto"/>
          <w:sz w:val="21"/>
          <w:szCs w:val="21"/>
          <w:highlight w:val="none"/>
          <w:u w:val="single"/>
          <w:lang w:val="en-US" w:eastAsia="zh-CN"/>
        </w:rPr>
        <w:t>13</w:t>
      </w:r>
      <w:r>
        <w:rPr>
          <w:rFonts w:hint="eastAsia" w:asciiTheme="minorEastAsia" w:hAnsiTheme="minorEastAsia" w:eastAsiaTheme="minorEastAsia" w:cstheme="minorEastAsia"/>
          <w:bCs/>
          <w:i w:val="0"/>
          <w:iCs w:val="0"/>
          <w:color w:val="auto"/>
          <w:sz w:val="21"/>
          <w:szCs w:val="21"/>
          <w:highlight w:val="none"/>
          <w:u w:val="single"/>
        </w:rPr>
        <w:t>点</w:t>
      </w:r>
      <w:r>
        <w:rPr>
          <w:rFonts w:hint="eastAsia" w:asciiTheme="minorEastAsia" w:hAnsiTheme="minorEastAsia" w:eastAsiaTheme="minorEastAsia" w:cstheme="minorEastAsia"/>
          <w:bCs/>
          <w:i w:val="0"/>
          <w:iCs w:val="0"/>
          <w:color w:val="auto"/>
          <w:sz w:val="21"/>
          <w:szCs w:val="21"/>
          <w:highlight w:val="none"/>
          <w:u w:val="single"/>
          <w:lang w:val="en-US" w:eastAsia="zh-CN"/>
        </w:rPr>
        <w:t>00</w:t>
      </w:r>
      <w:r>
        <w:rPr>
          <w:rFonts w:hint="eastAsia" w:asciiTheme="minorEastAsia" w:hAnsiTheme="minorEastAsia" w:eastAsiaTheme="minorEastAsia" w:cstheme="minorEastAsia"/>
          <w:bCs/>
          <w:i w:val="0"/>
          <w:iCs w:val="0"/>
          <w:color w:val="auto"/>
          <w:sz w:val="21"/>
          <w:szCs w:val="21"/>
          <w:highlight w:val="none"/>
          <w:u w:val="single"/>
        </w:rPr>
        <w:t>分</w:t>
      </w:r>
      <w:r>
        <w:rPr>
          <w:rFonts w:hint="eastAsia" w:asciiTheme="minorEastAsia" w:hAnsiTheme="minorEastAsia" w:eastAsiaTheme="minorEastAsia" w:cstheme="minorEastAsia"/>
          <w:bCs/>
          <w:i w:val="0"/>
          <w:iCs w:val="0"/>
          <w:color w:val="auto"/>
          <w:sz w:val="21"/>
          <w:szCs w:val="21"/>
          <w:highlight w:val="none"/>
        </w:rPr>
        <w:t>（北京时间）前提交响应文件</w:t>
      </w:r>
      <w:r>
        <w:rPr>
          <w:rFonts w:hint="eastAsia" w:asciiTheme="minorEastAsia" w:hAnsiTheme="minorEastAsia" w:eastAsiaTheme="minorEastAsia" w:cstheme="minorEastAsia"/>
          <w:i w:val="0"/>
          <w:iCs w:val="0"/>
          <w:color w:val="auto"/>
          <w:sz w:val="21"/>
          <w:szCs w:val="21"/>
          <w:highlight w:val="none"/>
        </w:rPr>
        <w:t>。</w:t>
      </w:r>
    </w:p>
    <w:p>
      <w:pPr>
        <w:rPr>
          <w:rFonts w:hint="eastAsia" w:asciiTheme="minorEastAsia" w:hAnsiTheme="minorEastAsia" w:eastAsiaTheme="minorEastAsia" w:cstheme="minorEastAsia"/>
          <w:i w:val="0"/>
          <w:iCs w:val="0"/>
          <w:color w:val="auto"/>
          <w:sz w:val="21"/>
          <w:szCs w:val="21"/>
          <w:highlight w:val="none"/>
        </w:rPr>
      </w:pPr>
    </w:p>
    <w:p>
      <w:pPr>
        <w:pStyle w:val="4"/>
        <w:spacing w:line="360" w:lineRule="auto"/>
        <w:rPr>
          <w:rFonts w:hint="eastAsia" w:asciiTheme="minorEastAsia" w:hAnsiTheme="minorEastAsia" w:eastAsiaTheme="minorEastAsia" w:cstheme="minorEastAsia"/>
          <w:b/>
          <w:bCs w:val="0"/>
          <w:i w:val="0"/>
          <w:iCs w:val="0"/>
          <w:color w:val="auto"/>
          <w:sz w:val="21"/>
          <w:szCs w:val="21"/>
          <w:highlight w:val="none"/>
        </w:rPr>
      </w:pPr>
      <w:bookmarkStart w:id="1" w:name="_Toc35393629"/>
      <w:bookmarkStart w:id="2" w:name="_Toc28359089"/>
      <w:bookmarkStart w:id="3" w:name="_Toc35393798"/>
      <w:bookmarkStart w:id="4" w:name="_Toc28359012"/>
      <w:r>
        <w:rPr>
          <w:rFonts w:hint="eastAsia" w:asciiTheme="minorEastAsia" w:hAnsiTheme="minorEastAsia" w:eastAsiaTheme="minorEastAsia" w:cstheme="minorEastAsia"/>
          <w:b/>
          <w:bCs w:val="0"/>
          <w:i w:val="0"/>
          <w:iCs w:val="0"/>
          <w:color w:val="auto"/>
          <w:sz w:val="21"/>
          <w:szCs w:val="21"/>
          <w:highlight w:val="none"/>
        </w:rPr>
        <w:t>一、项目基本情况</w:t>
      </w:r>
      <w:bookmarkEnd w:id="1"/>
      <w:bookmarkEnd w:id="2"/>
      <w:bookmarkEnd w:id="3"/>
      <w:bookmarkEnd w:id="4"/>
    </w:p>
    <w:p>
      <w:pP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项目编号</w:t>
      </w:r>
      <w:r>
        <w:rPr>
          <w:rFonts w:hint="eastAsia" w:asciiTheme="minorEastAsia" w:hAnsiTheme="minorEastAsia" w:eastAsiaTheme="minorEastAsia" w:cstheme="minorEastAsia"/>
          <w:i w:val="0"/>
          <w:iCs w:val="0"/>
          <w:color w:val="auto"/>
          <w:sz w:val="21"/>
          <w:szCs w:val="21"/>
          <w:highlight w:val="none"/>
          <w:lang w:eastAsia="zh-CN"/>
        </w:rPr>
        <w:t>：FC(3)2020551JNN</w:t>
      </w:r>
      <w:r>
        <w:rPr>
          <w:rFonts w:hint="eastAsia" w:asciiTheme="minorEastAsia" w:hAnsiTheme="minorEastAsia" w:eastAsiaTheme="minorEastAsia" w:cstheme="minorEastAsia"/>
          <w:i w:val="0"/>
          <w:iCs w:val="0"/>
          <w:color w:val="auto"/>
          <w:sz w:val="21"/>
          <w:szCs w:val="21"/>
          <w:highlight w:val="none"/>
        </w:rPr>
        <w:t>（审批编号:</w:t>
      </w:r>
      <w:r>
        <w:rPr>
          <w:rFonts w:hint="eastAsia" w:asciiTheme="minorEastAsia" w:hAnsiTheme="minorEastAsia" w:eastAsiaTheme="minorEastAsia" w:cstheme="minorEastAsia"/>
          <w:i w:val="0"/>
          <w:iCs w:val="0"/>
          <w:color w:val="auto"/>
          <w:sz w:val="21"/>
          <w:szCs w:val="21"/>
          <w:highlight w:val="none"/>
          <w:lang w:eastAsia="zh-CN"/>
        </w:rPr>
        <w:t>[2020]NCCGJ094</w:t>
      </w:r>
      <w:r>
        <w:rPr>
          <w:rFonts w:hint="eastAsia" w:asciiTheme="minorEastAsia" w:hAnsiTheme="minorEastAsia" w:eastAsiaTheme="minorEastAsia" w:cstheme="minorEastAsia"/>
          <w:i w:val="0"/>
          <w:iCs w:val="0"/>
          <w:color w:val="auto"/>
          <w:sz w:val="21"/>
          <w:szCs w:val="21"/>
          <w:highlight w:val="none"/>
        </w:rPr>
        <w:t>）</w:t>
      </w:r>
    </w:p>
    <w:p>
      <w:pPr>
        <w:ind w:firstLine="420" w:firstLineChars="200"/>
        <w:rPr>
          <w:rFonts w:hint="eastAsia" w:asciiTheme="minorEastAsia" w:hAnsiTheme="minorEastAsia" w:eastAsiaTheme="minorEastAsia" w:cstheme="minorEastAsia"/>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rPr>
        <w:t>项目名称：</w:t>
      </w:r>
      <w:r>
        <w:rPr>
          <w:rFonts w:hint="eastAsia" w:asciiTheme="minorEastAsia" w:hAnsiTheme="minorEastAsia" w:eastAsiaTheme="minorEastAsia" w:cstheme="minorEastAsia"/>
          <w:i w:val="0"/>
          <w:iCs w:val="0"/>
          <w:color w:val="auto"/>
          <w:sz w:val="21"/>
          <w:szCs w:val="21"/>
          <w:highlight w:val="none"/>
          <w:lang w:eastAsia="zh-CN"/>
        </w:rPr>
        <w:t>2020年道路运输信息系统安全等级评测服务</w:t>
      </w:r>
      <w:r>
        <w:rPr>
          <w:rFonts w:hint="eastAsia" w:asciiTheme="minorEastAsia" w:hAnsiTheme="minorEastAsia" w:eastAsiaTheme="minorEastAsia" w:cstheme="minorEastAsia"/>
          <w:i w:val="0"/>
          <w:iCs w:val="0"/>
          <w:color w:val="auto"/>
          <w:sz w:val="21"/>
          <w:szCs w:val="21"/>
          <w:highlight w:val="none"/>
        </w:rPr>
        <w:t>采购项目</w:t>
      </w:r>
    </w:p>
    <w:p>
      <w:pP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采购方式：</w:t>
      </w:r>
      <w:r>
        <w:rPr>
          <w:rFonts w:hint="eastAsia" w:asciiTheme="minorEastAsia" w:hAnsiTheme="minorEastAsia" w:eastAsiaTheme="minorEastAsia" w:cstheme="minorEastAsia"/>
          <w:i w:val="0"/>
          <w:iCs w:val="0"/>
          <w:color w:val="auto"/>
          <w:sz w:val="21"/>
          <w:szCs w:val="21"/>
          <w:highlight w:val="none"/>
        </w:rPr>
        <w:sym w:font="Wingdings 2" w:char="0052"/>
      </w:r>
      <w:r>
        <w:rPr>
          <w:rFonts w:hint="eastAsia" w:asciiTheme="minorEastAsia" w:hAnsiTheme="minorEastAsia" w:eastAsiaTheme="minorEastAsia" w:cstheme="minorEastAsia"/>
          <w:i w:val="0"/>
          <w:iCs w:val="0"/>
          <w:color w:val="auto"/>
          <w:sz w:val="21"/>
          <w:szCs w:val="21"/>
          <w:highlight w:val="none"/>
        </w:rPr>
        <w:t>竞争性谈判 □竞争性磋商 □询价</w:t>
      </w:r>
    </w:p>
    <w:p>
      <w:pPr>
        <w:ind w:firstLine="420" w:firstLineChars="200"/>
        <w:rPr>
          <w:rFonts w:hint="default"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rPr>
        <w:t>预算金额：</w:t>
      </w:r>
      <w:r>
        <w:rPr>
          <w:rFonts w:hint="eastAsia" w:asciiTheme="minorEastAsia" w:hAnsiTheme="minorEastAsia" w:eastAsiaTheme="minorEastAsia" w:cstheme="minorEastAsia"/>
          <w:i w:val="0"/>
          <w:iCs w:val="0"/>
          <w:color w:val="auto"/>
          <w:sz w:val="21"/>
          <w:szCs w:val="21"/>
          <w:highlight w:val="none"/>
          <w:lang w:val="en-US" w:eastAsia="zh-CN"/>
        </w:rPr>
        <w:t>300000元</w:t>
      </w:r>
    </w:p>
    <w:p>
      <w:pP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最高限价（如有）：</w:t>
      </w:r>
      <w:r>
        <w:rPr>
          <w:rFonts w:hint="eastAsia" w:asciiTheme="minorEastAsia" w:hAnsiTheme="minorEastAsia" w:eastAsiaTheme="minorEastAsia" w:cstheme="minorEastAsia"/>
          <w:i w:val="0"/>
          <w:iCs w:val="0"/>
          <w:color w:val="auto"/>
          <w:sz w:val="21"/>
          <w:szCs w:val="21"/>
          <w:highlight w:val="none"/>
          <w:lang w:val="en-US" w:eastAsia="zh-CN"/>
        </w:rPr>
        <w:t>300000元</w:t>
      </w:r>
    </w:p>
    <w:p>
      <w:pPr>
        <w:ind w:firstLine="420" w:firstLineChars="200"/>
        <w:rPr>
          <w:rFonts w:hint="eastAsia" w:asciiTheme="minorEastAsia" w:hAnsiTheme="minorEastAsia" w:eastAsiaTheme="minorEastAsia" w:cstheme="minorEastAsia"/>
          <w:i w:val="0"/>
          <w:iCs w:val="0"/>
          <w:color w:val="auto"/>
          <w:sz w:val="21"/>
          <w:szCs w:val="21"/>
          <w:highlight w:val="none"/>
          <w:u w:val="single"/>
          <w:lang w:val="en-US" w:eastAsia="zh-CN"/>
        </w:rPr>
      </w:pPr>
      <w:r>
        <w:rPr>
          <w:rFonts w:hint="eastAsia" w:asciiTheme="minorEastAsia" w:hAnsiTheme="minorEastAsia" w:eastAsiaTheme="minorEastAsia" w:cstheme="minorEastAsia"/>
          <w:i w:val="0"/>
          <w:iCs w:val="0"/>
          <w:color w:val="auto"/>
          <w:sz w:val="21"/>
          <w:szCs w:val="21"/>
          <w:highlight w:val="none"/>
        </w:rPr>
        <w:t>采购需求：</w:t>
      </w:r>
      <w:r>
        <w:rPr>
          <w:rFonts w:hint="eastAsia" w:asciiTheme="minorEastAsia" w:hAnsiTheme="minorEastAsia" w:eastAsiaTheme="minorEastAsia" w:cstheme="minorEastAsia"/>
          <w:i w:val="0"/>
          <w:iCs w:val="0"/>
          <w:color w:val="auto"/>
          <w:sz w:val="21"/>
          <w:szCs w:val="21"/>
          <w:highlight w:val="none"/>
          <w:lang w:eastAsia="zh-CN"/>
        </w:rPr>
        <w:t>2020年道路运输信息系统安全等级评测服务</w:t>
      </w:r>
      <w:r>
        <w:rPr>
          <w:rFonts w:hint="eastAsia" w:asciiTheme="minorEastAsia" w:hAnsiTheme="minorEastAsia" w:eastAsiaTheme="minorEastAsia" w:cstheme="minorEastAsia"/>
          <w:i w:val="0"/>
          <w:iCs w:val="0"/>
          <w:color w:val="auto"/>
          <w:sz w:val="21"/>
          <w:szCs w:val="21"/>
          <w:highlight w:val="none"/>
          <w:lang w:val="en-US" w:eastAsia="zh-CN"/>
        </w:rPr>
        <w:t>1项</w:t>
      </w:r>
    </w:p>
    <w:p>
      <w:pPr>
        <w:ind w:firstLine="420" w:firstLineChars="200"/>
        <w:rPr>
          <w:rFonts w:hint="eastAsia" w:asciiTheme="minorEastAsia" w:hAnsiTheme="minorEastAsia" w:eastAsiaTheme="minorEastAsia" w:cstheme="minorEastAsia"/>
          <w:i w:val="0"/>
          <w:iCs w:val="0"/>
          <w:color w:val="auto"/>
          <w:sz w:val="21"/>
          <w:szCs w:val="21"/>
          <w:highlight w:val="none"/>
          <w:u w:val="single"/>
          <w:lang w:eastAsia="zh-CN"/>
        </w:rPr>
      </w:pPr>
      <w:r>
        <w:rPr>
          <w:rFonts w:hint="eastAsia" w:asciiTheme="minorEastAsia" w:hAnsiTheme="minorEastAsia" w:eastAsiaTheme="minorEastAsia" w:cstheme="minorEastAsia"/>
          <w:i w:val="0"/>
          <w:iCs w:val="0"/>
          <w:color w:val="auto"/>
          <w:sz w:val="21"/>
          <w:szCs w:val="21"/>
          <w:highlight w:val="none"/>
        </w:rPr>
        <w:t>合同履行期限：</w:t>
      </w:r>
      <w:r>
        <w:rPr>
          <w:rFonts w:hint="eastAsia" w:asciiTheme="minorEastAsia" w:hAnsiTheme="minorEastAsia" w:eastAsiaTheme="minorEastAsia" w:cstheme="minorEastAsia"/>
          <w:i w:val="0"/>
          <w:iCs w:val="0"/>
          <w:color w:val="auto"/>
          <w:sz w:val="21"/>
          <w:szCs w:val="21"/>
          <w:highlight w:val="none"/>
          <w:lang w:eastAsia="zh-CN"/>
        </w:rPr>
        <w:t>详见采购文件</w:t>
      </w:r>
    </w:p>
    <w:p>
      <w:pPr>
        <w:spacing w:line="360" w:lineRule="auto"/>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本项目</w:t>
      </w:r>
      <w:r>
        <w:rPr>
          <w:rFonts w:hint="eastAsia" w:asciiTheme="minorEastAsia" w:hAnsiTheme="minorEastAsia" w:eastAsiaTheme="minorEastAsia" w:cstheme="minorEastAsia"/>
          <w:i w:val="0"/>
          <w:iCs w:val="0"/>
          <w:color w:val="auto"/>
          <w:sz w:val="21"/>
          <w:szCs w:val="21"/>
          <w:highlight w:val="none"/>
          <w:lang w:eastAsia="zh-CN"/>
        </w:rPr>
        <w:t>不</w:t>
      </w:r>
      <w:r>
        <w:rPr>
          <w:rFonts w:hint="eastAsia" w:asciiTheme="minorEastAsia" w:hAnsiTheme="minorEastAsia" w:eastAsiaTheme="minorEastAsia" w:cstheme="minorEastAsia"/>
          <w:i w:val="0"/>
          <w:iCs w:val="0"/>
          <w:color w:val="auto"/>
          <w:sz w:val="21"/>
          <w:szCs w:val="21"/>
          <w:highlight w:val="none"/>
        </w:rPr>
        <w:t>接受联合体。</w:t>
      </w:r>
    </w:p>
    <w:p>
      <w:pPr>
        <w:pStyle w:val="4"/>
        <w:spacing w:line="360" w:lineRule="auto"/>
        <w:rPr>
          <w:rFonts w:hint="eastAsia" w:asciiTheme="minorEastAsia" w:hAnsiTheme="minorEastAsia" w:eastAsiaTheme="minorEastAsia" w:cstheme="minorEastAsia"/>
          <w:b/>
          <w:bCs w:val="0"/>
          <w:i w:val="0"/>
          <w:iCs w:val="0"/>
          <w:color w:val="auto"/>
          <w:sz w:val="21"/>
          <w:szCs w:val="21"/>
          <w:highlight w:val="none"/>
        </w:rPr>
      </w:pPr>
      <w:bookmarkStart w:id="5" w:name="_Toc28359090"/>
      <w:bookmarkStart w:id="6" w:name="_Toc35393799"/>
      <w:bookmarkStart w:id="7" w:name="_Toc35393630"/>
      <w:bookmarkStart w:id="8" w:name="_Toc28359013"/>
      <w:r>
        <w:rPr>
          <w:rFonts w:hint="eastAsia" w:asciiTheme="minorEastAsia" w:hAnsiTheme="minorEastAsia" w:eastAsiaTheme="minorEastAsia" w:cstheme="minorEastAsia"/>
          <w:b/>
          <w:bCs w:val="0"/>
          <w:i w:val="0"/>
          <w:iCs w:val="0"/>
          <w:color w:val="auto"/>
          <w:sz w:val="21"/>
          <w:szCs w:val="21"/>
          <w:highlight w:val="none"/>
        </w:rPr>
        <w:t>二、申请人的资格要求：</w:t>
      </w:r>
      <w:bookmarkEnd w:id="5"/>
      <w:bookmarkEnd w:id="6"/>
      <w:bookmarkEnd w:id="7"/>
      <w:bookmarkEnd w:id="8"/>
    </w:p>
    <w:p>
      <w:pP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1.满足《中华人民共和国政府采购法》第二十二条规定；</w:t>
      </w:r>
    </w:p>
    <w:p>
      <w:pPr>
        <w:ind w:firstLine="420" w:firstLineChars="200"/>
        <w:rPr>
          <w:rFonts w:hint="eastAsia" w:asciiTheme="minorEastAsia" w:hAnsiTheme="minorEastAsia" w:eastAsiaTheme="minorEastAsia" w:cstheme="minorEastAsia"/>
          <w:i w:val="0"/>
          <w:iCs w:val="0"/>
          <w:color w:val="auto"/>
          <w:sz w:val="21"/>
          <w:szCs w:val="21"/>
          <w:highlight w:val="none"/>
          <w:lang w:eastAsia="zh-CN"/>
        </w:rPr>
      </w:pPr>
      <w:bookmarkStart w:id="9" w:name="_Toc28359091"/>
      <w:bookmarkStart w:id="10" w:name="_Toc28359014"/>
      <w:r>
        <w:rPr>
          <w:rFonts w:hint="eastAsia" w:asciiTheme="minorEastAsia" w:hAnsiTheme="minorEastAsia" w:eastAsiaTheme="minorEastAsia" w:cstheme="minorEastAsia"/>
          <w:i w:val="0"/>
          <w:iCs w:val="0"/>
          <w:color w:val="auto"/>
          <w:sz w:val="21"/>
          <w:szCs w:val="21"/>
          <w:highlight w:val="none"/>
        </w:rPr>
        <w:t xml:space="preserve"> 2.国内注册，经营本次采购服务的供应商</w:t>
      </w:r>
      <w:r>
        <w:rPr>
          <w:rFonts w:hint="eastAsia" w:asciiTheme="minorEastAsia" w:hAnsiTheme="minorEastAsia" w:eastAsiaTheme="minorEastAsia" w:cstheme="minorEastAsia"/>
          <w:i w:val="0"/>
          <w:iCs w:val="0"/>
          <w:color w:val="auto"/>
          <w:sz w:val="21"/>
          <w:szCs w:val="21"/>
          <w:highlight w:val="none"/>
          <w:lang w:eastAsia="zh-CN"/>
        </w:rPr>
        <w:t>；</w:t>
      </w:r>
    </w:p>
    <w:p>
      <w:pPr>
        <w:ind w:firstLine="420" w:firstLineChars="200"/>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rPr>
        <w:t>3. 参加政府采购活动前3年内在经营活动中没有重大违法记录</w:t>
      </w:r>
      <w:r>
        <w:rPr>
          <w:rFonts w:hint="eastAsia" w:asciiTheme="minorEastAsia" w:hAnsiTheme="minorEastAsia" w:eastAsiaTheme="minorEastAsia" w:cstheme="minorEastAsia"/>
          <w:i w:val="0"/>
          <w:iCs w:val="0"/>
          <w:color w:val="auto"/>
          <w:sz w:val="21"/>
          <w:szCs w:val="21"/>
          <w:highlight w:val="none"/>
          <w:lang w:eastAsia="zh-CN"/>
        </w:rPr>
        <w:t>；</w:t>
      </w:r>
    </w:p>
    <w:p>
      <w:pPr>
        <w:ind w:firstLine="420" w:firstLineChars="200"/>
        <w:rPr>
          <w:rFonts w:hint="eastAsia" w:asciiTheme="minorEastAsia" w:hAnsiTheme="minorEastAsia" w:eastAsiaTheme="minorEastAsia" w:cstheme="minorEastAsia"/>
          <w:i w:val="0"/>
          <w:iCs w:val="0"/>
          <w:color w:val="auto"/>
          <w:sz w:val="21"/>
          <w:szCs w:val="21"/>
          <w:highlight w:val="none"/>
          <w:lang w:eastAsia="zh-CN"/>
        </w:rPr>
      </w:pPr>
      <w:r>
        <w:rPr>
          <w:rFonts w:hint="eastAsia" w:asciiTheme="minorEastAsia" w:hAnsiTheme="minorEastAsia" w:eastAsiaTheme="minorEastAsia" w:cstheme="minorEastAsia"/>
          <w:i w:val="0"/>
          <w:iCs w:val="0"/>
          <w:color w:val="auto"/>
          <w:sz w:val="21"/>
          <w:szCs w:val="21"/>
          <w:highlight w:val="none"/>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r>
        <w:rPr>
          <w:rFonts w:hint="eastAsia" w:asciiTheme="minorEastAsia" w:hAnsiTheme="minorEastAsia" w:eastAsiaTheme="minorEastAsia" w:cstheme="minorEastAsia"/>
          <w:i w:val="0"/>
          <w:iCs w:val="0"/>
          <w:color w:val="auto"/>
          <w:sz w:val="21"/>
          <w:szCs w:val="21"/>
          <w:highlight w:val="none"/>
          <w:lang w:eastAsia="zh-CN"/>
        </w:rPr>
        <w:t>；</w:t>
      </w:r>
    </w:p>
    <w:p>
      <w:pPr>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5.本项目不接受联合体竞标。</w:t>
      </w:r>
      <w:bookmarkStart w:id="11" w:name="_Toc35393631"/>
      <w:bookmarkStart w:id="12" w:name="_Toc35393800"/>
    </w:p>
    <w:p>
      <w:pPr>
        <w:rPr>
          <w:rFonts w:hint="eastAsia" w:asciiTheme="minorEastAsia" w:hAnsiTheme="minorEastAsia" w:eastAsiaTheme="minorEastAsia" w:cstheme="minorEastAsia"/>
          <w:b/>
          <w:bCs/>
          <w:i w:val="0"/>
          <w:iCs w:val="0"/>
          <w:color w:val="auto"/>
          <w:sz w:val="21"/>
          <w:szCs w:val="21"/>
          <w:highlight w:val="none"/>
        </w:rPr>
      </w:pPr>
      <w:r>
        <w:rPr>
          <w:rFonts w:hint="eastAsia" w:asciiTheme="minorEastAsia" w:hAnsiTheme="minorEastAsia" w:eastAsiaTheme="minorEastAsia" w:cstheme="minorEastAsia"/>
          <w:b/>
          <w:bCs/>
          <w:i w:val="0"/>
          <w:iCs w:val="0"/>
          <w:color w:val="auto"/>
          <w:sz w:val="21"/>
          <w:szCs w:val="21"/>
          <w:highlight w:val="none"/>
        </w:rPr>
        <w:t>三、获取采购文件</w:t>
      </w:r>
      <w:bookmarkEnd w:id="9"/>
      <w:bookmarkEnd w:id="10"/>
      <w:bookmarkEnd w:id="11"/>
      <w:bookmarkEnd w:id="12"/>
      <w:bookmarkStart w:id="13" w:name="_Toc35393632"/>
      <w:bookmarkStart w:id="14" w:name="_Toc35393801"/>
      <w:bookmarkStart w:id="15" w:name="_Toc28359015"/>
      <w:bookmarkStart w:id="16" w:name="_Toc28359092"/>
    </w:p>
    <w:p>
      <w:pPr>
        <w:ind w:firstLine="420" w:firstLineChars="200"/>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网上下载。本项目不发放纸质文件，供应商可登陆南宁市公共资源交易中心网站（网址：</w:t>
      </w:r>
      <w:r>
        <w:rPr>
          <w:rFonts w:hint="eastAsia" w:asciiTheme="minorEastAsia" w:hAnsiTheme="minorEastAsia" w:eastAsiaTheme="minorEastAsia" w:cstheme="minorEastAsia"/>
          <w:b w:val="0"/>
          <w:i w:val="0"/>
          <w:iCs w:val="0"/>
          <w:color w:val="auto"/>
          <w:sz w:val="21"/>
          <w:szCs w:val="21"/>
          <w:highlight w:val="none"/>
        </w:rPr>
        <w:fldChar w:fldCharType="begin"/>
      </w:r>
      <w:r>
        <w:rPr>
          <w:rFonts w:hint="eastAsia" w:asciiTheme="minorEastAsia" w:hAnsiTheme="minorEastAsia" w:eastAsiaTheme="minorEastAsia" w:cstheme="minorEastAsia"/>
          <w:b w:val="0"/>
          <w:i w:val="0"/>
          <w:iCs w:val="0"/>
          <w:color w:val="auto"/>
          <w:sz w:val="21"/>
          <w:szCs w:val="21"/>
          <w:highlight w:val="none"/>
        </w:rPr>
        <w:instrText xml:space="preserve"> HYPERLINK "http://www.nnggzy.org.cn），在南宁市公共资源交易中心或各分支机构的采购公告栏内查找相关项目的采购公告，并点击该公告的附件，即可免费浏览或下载项目的谈判文件。" </w:instrText>
      </w:r>
      <w:r>
        <w:rPr>
          <w:rFonts w:hint="eastAsia" w:asciiTheme="minorEastAsia" w:hAnsiTheme="minorEastAsia" w:eastAsiaTheme="minorEastAsia" w:cstheme="minorEastAsia"/>
          <w:b w:val="0"/>
          <w:i w:val="0"/>
          <w:iCs w:val="0"/>
          <w:color w:val="auto"/>
          <w:sz w:val="21"/>
          <w:szCs w:val="21"/>
          <w:highlight w:val="none"/>
        </w:rPr>
        <w:fldChar w:fldCharType="separate"/>
      </w:r>
      <w:r>
        <w:rPr>
          <w:rStyle w:val="53"/>
          <w:rFonts w:hint="eastAsia" w:asciiTheme="minorEastAsia" w:hAnsiTheme="minorEastAsia" w:eastAsiaTheme="minorEastAsia" w:cstheme="minorEastAsia"/>
          <w:b w:val="0"/>
          <w:i w:val="0"/>
          <w:iCs w:val="0"/>
          <w:color w:val="auto"/>
          <w:sz w:val="21"/>
          <w:szCs w:val="21"/>
          <w:highlight w:val="none"/>
        </w:rPr>
        <w:t>www.nnggzy.org.cn），在南宁市公共资源交易中心或各分支机构的采购公告栏内查找相关项目的采购公告，并点击该公告的附件，即可免费浏览或下载项目的谈判文件。</w:t>
      </w:r>
      <w:r>
        <w:rPr>
          <w:rFonts w:hint="eastAsia" w:asciiTheme="minorEastAsia" w:hAnsiTheme="minorEastAsia" w:eastAsiaTheme="minorEastAsia" w:cstheme="minorEastAsia"/>
          <w:b w:val="0"/>
          <w:i w:val="0"/>
          <w:iCs w:val="0"/>
          <w:color w:val="auto"/>
          <w:sz w:val="21"/>
          <w:szCs w:val="21"/>
          <w:highlight w:val="none"/>
        </w:rPr>
        <w:fldChar w:fldCharType="end"/>
      </w:r>
    </w:p>
    <w:p>
      <w:pPr>
        <w:numPr>
          <w:ilvl w:val="0"/>
          <w:numId w:val="0"/>
        </w:numPr>
        <w:rPr>
          <w:rFonts w:hint="eastAsia" w:asciiTheme="minorEastAsia" w:hAnsiTheme="minorEastAsia" w:eastAsiaTheme="minorEastAsia" w:cstheme="minorEastAsia"/>
          <w:b/>
          <w:bCs/>
          <w:i w:val="0"/>
          <w:iCs w:val="0"/>
          <w:color w:val="auto"/>
          <w:sz w:val="21"/>
          <w:szCs w:val="21"/>
          <w:highlight w:val="none"/>
        </w:rPr>
      </w:pPr>
      <w:r>
        <w:rPr>
          <w:rFonts w:hint="eastAsia" w:asciiTheme="minorEastAsia" w:hAnsiTheme="minorEastAsia" w:eastAsiaTheme="minorEastAsia" w:cstheme="minorEastAsia"/>
          <w:b/>
          <w:bCs/>
          <w:i w:val="0"/>
          <w:iCs w:val="0"/>
          <w:color w:val="auto"/>
          <w:sz w:val="21"/>
          <w:szCs w:val="21"/>
          <w:highlight w:val="none"/>
          <w:lang w:eastAsia="zh-CN"/>
        </w:rPr>
        <w:t>四、</w:t>
      </w:r>
      <w:r>
        <w:rPr>
          <w:rFonts w:hint="eastAsia" w:asciiTheme="minorEastAsia" w:hAnsiTheme="minorEastAsia" w:eastAsiaTheme="minorEastAsia" w:cstheme="minorEastAsia"/>
          <w:b/>
          <w:bCs/>
          <w:i w:val="0"/>
          <w:iCs w:val="0"/>
          <w:color w:val="auto"/>
          <w:sz w:val="21"/>
          <w:szCs w:val="21"/>
          <w:highlight w:val="none"/>
        </w:rPr>
        <w:t>响应文件提交</w:t>
      </w:r>
      <w:bookmarkEnd w:id="13"/>
      <w:bookmarkEnd w:id="14"/>
      <w:bookmarkEnd w:id="15"/>
      <w:bookmarkEnd w:id="16"/>
      <w:bookmarkStart w:id="17" w:name="_Toc35393802"/>
      <w:bookmarkStart w:id="18" w:name="_Toc28359016"/>
      <w:bookmarkStart w:id="19" w:name="_Toc28359093"/>
      <w:bookmarkStart w:id="20" w:name="_Toc35393633"/>
    </w:p>
    <w:p>
      <w:pPr>
        <w:numPr>
          <w:ilvl w:val="0"/>
          <w:numId w:val="0"/>
        </w:numPr>
        <w:ind w:firstLine="420" w:firstLineChars="200"/>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8.1根据《南宁市机关事务管理局关于疫情防控期间恢复全市公共资源现场交易活动的通知》文件精神，疫情防控期间，按照“不见面、少接触”的原则，竞标人原则上应通过邮寄快递方式送达响应文件。如确实需要现场递交至采购代理公司或南宁市公共资源交易中心的，应与采购代理公司或南宁市公共资源交易中心确认后方可递交，否则后果自行负责。</w:t>
      </w:r>
    </w:p>
    <w:p>
      <w:pPr>
        <w:pStyle w:val="4"/>
        <w:spacing w:line="360" w:lineRule="auto"/>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①接收邮寄包裹的时间为递交响应文件截止时间前工作日9：00～17：30。</w:t>
      </w:r>
    </w:p>
    <w:p>
      <w:pPr>
        <w:pStyle w:val="4"/>
        <w:spacing w:line="360" w:lineRule="auto"/>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②响应文件必须在递交响应文件截止时间前送达，采购代理机构签收邮寄包裹的时间即为响应文件的送达时间，逾期送达的响应文件无效，后果由供应商自行承担。</w:t>
      </w:r>
    </w:p>
    <w:p>
      <w:pPr>
        <w:pStyle w:val="4"/>
        <w:spacing w:line="360" w:lineRule="auto"/>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③采购代理机构将在投标截止时间前</w:t>
      </w:r>
      <w:r>
        <w:rPr>
          <w:rFonts w:hint="eastAsia" w:asciiTheme="minorEastAsia" w:hAnsiTheme="minorEastAsia" w:eastAsiaTheme="minorEastAsia" w:cstheme="minorEastAsia"/>
          <w:b w:val="0"/>
          <w:i w:val="0"/>
          <w:iCs w:val="0"/>
          <w:color w:val="auto"/>
          <w:sz w:val="21"/>
          <w:szCs w:val="21"/>
          <w:highlight w:val="none"/>
          <w:lang w:eastAsia="zh-CN"/>
        </w:rPr>
        <w:t>二</w:t>
      </w:r>
      <w:r>
        <w:rPr>
          <w:rFonts w:hint="eastAsia" w:asciiTheme="minorEastAsia" w:hAnsiTheme="minorEastAsia" w:eastAsiaTheme="minorEastAsia" w:cstheme="minorEastAsia"/>
          <w:b w:val="0"/>
          <w:i w:val="0"/>
          <w:iCs w:val="0"/>
          <w:color w:val="auto"/>
          <w:sz w:val="21"/>
          <w:szCs w:val="21"/>
          <w:highlight w:val="none"/>
        </w:rPr>
        <w:t>小时统一将收到的响应文件运送至南宁市公共资源交易中心（地点为南宁市良庆区玉洞大道33号南宁市民中心9楼南宁市公共资源交易中心开标厅），以确保本项目能在投标截止（开标）时间准时截标。供应商应充分预留投标文件邮寄、送达所需要的时间。为确保疫情防控期间邮寄包裹能及时送达，应选择邮寄运送时间有保障的快递公司寄送响应文件，并尽量在投标截止日期1日前送达。</w:t>
      </w:r>
    </w:p>
    <w:p>
      <w:pPr>
        <w:pStyle w:val="4"/>
        <w:spacing w:line="360" w:lineRule="auto"/>
        <w:ind w:firstLine="420" w:firstLineChars="200"/>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8.2竞标供应商在按照采购文件的要求装订、密封好响应文件后，应使用不透明、防水的邮寄袋（或箱）再次包裹已密封好的响应文件，并在邮寄袋（或箱）上粘牢注明</w:t>
      </w:r>
      <w:r>
        <w:rPr>
          <w:rFonts w:hint="eastAsia" w:asciiTheme="minorEastAsia" w:hAnsiTheme="minorEastAsia" w:eastAsiaTheme="minorEastAsia" w:cstheme="minorEastAsia"/>
          <w:b/>
          <w:bCs w:val="0"/>
          <w:i w:val="0"/>
          <w:iCs w:val="0"/>
          <w:color w:val="auto"/>
          <w:sz w:val="21"/>
          <w:szCs w:val="21"/>
          <w:highlight w:val="none"/>
        </w:rPr>
        <w:t>项目名称、项目编号、有效的电子邮箱、联系方式等</w:t>
      </w:r>
      <w:r>
        <w:rPr>
          <w:rFonts w:hint="eastAsia" w:asciiTheme="minorEastAsia" w:hAnsiTheme="minorEastAsia" w:eastAsiaTheme="minorEastAsia" w:cstheme="minorEastAsia"/>
          <w:b w:val="0"/>
          <w:i w:val="0"/>
          <w:iCs w:val="0"/>
          <w:color w:val="auto"/>
          <w:sz w:val="21"/>
          <w:szCs w:val="21"/>
          <w:highlight w:val="none"/>
        </w:rPr>
        <w:t>内容的纸质表格。</w:t>
      </w:r>
    </w:p>
    <w:p>
      <w:pPr>
        <w:pStyle w:val="4"/>
        <w:spacing w:line="360" w:lineRule="auto"/>
        <w:ind w:firstLine="420" w:firstLineChars="200"/>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8.3采购代理机构工作人员在收到响应文件的邮寄包裹后，会按照供应商在邮寄包裹上所预留的电子邮箱告知响应文件收件的情况，请供应商务必确保所预留的电子邮箱的有效性，并注意查收邮件。</w:t>
      </w:r>
    </w:p>
    <w:p>
      <w:pPr>
        <w:pStyle w:val="4"/>
        <w:spacing w:line="360" w:lineRule="auto"/>
        <w:ind w:firstLine="420" w:firstLineChars="200"/>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8.4响应文件邮寄地址：南宁市纬武路165号广西建设工程机电设备招标中心有限公司206室。</w:t>
      </w:r>
    </w:p>
    <w:p>
      <w:pPr>
        <w:pStyle w:val="4"/>
        <w:spacing w:line="360" w:lineRule="auto"/>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收件人：周剑</w:t>
      </w:r>
    </w:p>
    <w:p>
      <w:pPr>
        <w:pStyle w:val="4"/>
        <w:spacing w:line="360" w:lineRule="auto"/>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联系电话：0771- 2807659</w:t>
      </w:r>
    </w:p>
    <w:p>
      <w:pPr>
        <w:pStyle w:val="4"/>
        <w:spacing w:line="360" w:lineRule="auto"/>
        <w:rPr>
          <w:rFonts w:hint="eastAsia" w:asciiTheme="minorEastAsia" w:hAnsiTheme="minorEastAsia" w:eastAsiaTheme="minorEastAsia" w:cstheme="minorEastAsia"/>
          <w:bCs/>
          <w:i w:val="0"/>
          <w:iCs w:val="0"/>
          <w:color w:val="auto"/>
          <w:sz w:val="21"/>
          <w:szCs w:val="21"/>
          <w:highlight w:val="none"/>
          <w:u w:val="single"/>
        </w:rPr>
      </w:pPr>
      <w:r>
        <w:rPr>
          <w:rFonts w:hint="eastAsia" w:asciiTheme="minorEastAsia" w:hAnsiTheme="minorEastAsia" w:eastAsiaTheme="minorEastAsia" w:cstheme="minorEastAsia"/>
          <w:b/>
          <w:bCs w:val="0"/>
          <w:i w:val="0"/>
          <w:iCs w:val="0"/>
          <w:color w:val="auto"/>
          <w:sz w:val="21"/>
          <w:szCs w:val="21"/>
          <w:highlight w:val="none"/>
        </w:rPr>
        <w:t>响应文件递交截止时间：</w:t>
      </w:r>
      <w:bookmarkEnd w:id="17"/>
      <w:bookmarkEnd w:id="18"/>
      <w:bookmarkEnd w:id="19"/>
      <w:bookmarkEnd w:id="20"/>
      <w:bookmarkStart w:id="21" w:name="_Toc35393634"/>
      <w:bookmarkStart w:id="22" w:name="_Toc28359017"/>
      <w:bookmarkStart w:id="23" w:name="_Toc35393803"/>
      <w:bookmarkStart w:id="24" w:name="_Toc28359094"/>
      <w:r>
        <w:rPr>
          <w:rFonts w:hint="eastAsia" w:asciiTheme="minorEastAsia" w:hAnsiTheme="minorEastAsia" w:eastAsiaTheme="minorEastAsia" w:cstheme="minorEastAsia"/>
          <w:i w:val="0"/>
          <w:iCs w:val="0"/>
          <w:color w:val="auto"/>
          <w:sz w:val="21"/>
          <w:szCs w:val="21"/>
          <w:highlight w:val="none"/>
          <w:u w:val="single"/>
          <w:lang w:val="en-US" w:eastAsia="zh-CN"/>
        </w:rPr>
        <w:t>2020</w:t>
      </w:r>
      <w:r>
        <w:rPr>
          <w:rFonts w:hint="eastAsia" w:asciiTheme="minorEastAsia" w:hAnsiTheme="minorEastAsia" w:eastAsiaTheme="minorEastAsia" w:cstheme="minorEastAsia"/>
          <w:bCs/>
          <w:i w:val="0"/>
          <w:iCs w:val="0"/>
          <w:color w:val="auto"/>
          <w:sz w:val="21"/>
          <w:szCs w:val="21"/>
          <w:highlight w:val="none"/>
          <w:u w:val="single"/>
        </w:rPr>
        <w:t>年</w:t>
      </w:r>
      <w:r>
        <w:rPr>
          <w:rFonts w:hint="eastAsia" w:asciiTheme="minorEastAsia" w:hAnsiTheme="minorEastAsia" w:eastAsiaTheme="minorEastAsia" w:cstheme="minorEastAsia"/>
          <w:bCs/>
          <w:i w:val="0"/>
          <w:iCs w:val="0"/>
          <w:color w:val="auto"/>
          <w:sz w:val="21"/>
          <w:szCs w:val="21"/>
          <w:highlight w:val="none"/>
          <w:u w:val="single"/>
          <w:lang w:val="en-US" w:eastAsia="zh-CN"/>
        </w:rPr>
        <w:t>11</w:t>
      </w:r>
      <w:r>
        <w:rPr>
          <w:rFonts w:hint="eastAsia" w:asciiTheme="minorEastAsia" w:hAnsiTheme="minorEastAsia" w:eastAsiaTheme="minorEastAsia" w:cstheme="minorEastAsia"/>
          <w:bCs/>
          <w:i w:val="0"/>
          <w:iCs w:val="0"/>
          <w:color w:val="auto"/>
          <w:sz w:val="21"/>
          <w:szCs w:val="21"/>
          <w:highlight w:val="none"/>
          <w:u w:val="single"/>
        </w:rPr>
        <w:t>月</w:t>
      </w:r>
      <w:r>
        <w:rPr>
          <w:rFonts w:hint="eastAsia" w:asciiTheme="minorEastAsia" w:hAnsiTheme="minorEastAsia" w:eastAsiaTheme="minorEastAsia" w:cstheme="minorEastAsia"/>
          <w:bCs/>
          <w:i w:val="0"/>
          <w:iCs w:val="0"/>
          <w:color w:val="auto"/>
          <w:sz w:val="21"/>
          <w:szCs w:val="21"/>
          <w:highlight w:val="none"/>
          <w:u w:val="single"/>
          <w:lang w:val="en-US" w:eastAsia="zh-CN"/>
        </w:rPr>
        <w:t>30</w:t>
      </w:r>
      <w:r>
        <w:rPr>
          <w:rFonts w:hint="eastAsia" w:asciiTheme="minorEastAsia" w:hAnsiTheme="minorEastAsia" w:eastAsiaTheme="minorEastAsia" w:cstheme="minorEastAsia"/>
          <w:bCs/>
          <w:i w:val="0"/>
          <w:iCs w:val="0"/>
          <w:color w:val="auto"/>
          <w:sz w:val="21"/>
          <w:szCs w:val="21"/>
          <w:highlight w:val="none"/>
          <w:u w:val="single"/>
        </w:rPr>
        <w:t>日</w:t>
      </w:r>
      <w:r>
        <w:rPr>
          <w:rFonts w:hint="eastAsia" w:asciiTheme="minorEastAsia" w:hAnsiTheme="minorEastAsia" w:eastAsiaTheme="minorEastAsia" w:cstheme="minorEastAsia"/>
          <w:bCs/>
          <w:i w:val="0"/>
          <w:iCs w:val="0"/>
          <w:color w:val="auto"/>
          <w:sz w:val="21"/>
          <w:szCs w:val="21"/>
          <w:highlight w:val="none"/>
          <w:u w:val="single"/>
          <w:lang w:val="en-US" w:eastAsia="zh-CN"/>
        </w:rPr>
        <w:t>13</w:t>
      </w:r>
      <w:r>
        <w:rPr>
          <w:rFonts w:hint="eastAsia" w:asciiTheme="minorEastAsia" w:hAnsiTheme="minorEastAsia" w:eastAsiaTheme="minorEastAsia" w:cstheme="minorEastAsia"/>
          <w:bCs/>
          <w:i w:val="0"/>
          <w:iCs w:val="0"/>
          <w:color w:val="auto"/>
          <w:sz w:val="21"/>
          <w:szCs w:val="21"/>
          <w:highlight w:val="none"/>
          <w:u w:val="single"/>
        </w:rPr>
        <w:t>点</w:t>
      </w:r>
      <w:r>
        <w:rPr>
          <w:rFonts w:hint="eastAsia" w:asciiTheme="minorEastAsia" w:hAnsiTheme="minorEastAsia" w:eastAsiaTheme="minorEastAsia" w:cstheme="minorEastAsia"/>
          <w:bCs/>
          <w:i w:val="0"/>
          <w:iCs w:val="0"/>
          <w:color w:val="auto"/>
          <w:sz w:val="21"/>
          <w:szCs w:val="21"/>
          <w:highlight w:val="none"/>
          <w:u w:val="single"/>
          <w:lang w:val="en-US" w:eastAsia="zh-CN"/>
        </w:rPr>
        <w:t>00</w:t>
      </w:r>
      <w:r>
        <w:rPr>
          <w:rFonts w:hint="eastAsia" w:asciiTheme="minorEastAsia" w:hAnsiTheme="minorEastAsia" w:eastAsiaTheme="minorEastAsia" w:cstheme="minorEastAsia"/>
          <w:bCs/>
          <w:i w:val="0"/>
          <w:iCs w:val="0"/>
          <w:color w:val="auto"/>
          <w:sz w:val="21"/>
          <w:szCs w:val="21"/>
          <w:highlight w:val="none"/>
          <w:u w:val="single"/>
        </w:rPr>
        <w:t>分</w:t>
      </w:r>
    </w:p>
    <w:p>
      <w:pPr>
        <w:pStyle w:val="4"/>
        <w:spacing w:line="360" w:lineRule="auto"/>
        <w:rPr>
          <w:rFonts w:hint="eastAsia" w:asciiTheme="minorEastAsia" w:hAnsiTheme="minorEastAsia" w:eastAsiaTheme="minorEastAsia" w:cstheme="minorEastAsia"/>
          <w:b/>
          <w:bCs w:val="0"/>
          <w:i w:val="0"/>
          <w:iCs w:val="0"/>
          <w:color w:val="auto"/>
          <w:sz w:val="21"/>
          <w:szCs w:val="21"/>
          <w:highlight w:val="none"/>
        </w:rPr>
      </w:pPr>
      <w:r>
        <w:rPr>
          <w:rFonts w:hint="eastAsia" w:asciiTheme="minorEastAsia" w:hAnsiTheme="minorEastAsia" w:eastAsiaTheme="minorEastAsia" w:cstheme="minorEastAsia"/>
          <w:b/>
          <w:bCs w:val="0"/>
          <w:i w:val="0"/>
          <w:iCs w:val="0"/>
          <w:color w:val="auto"/>
          <w:sz w:val="21"/>
          <w:szCs w:val="21"/>
          <w:highlight w:val="none"/>
          <w:lang w:eastAsia="zh-CN"/>
        </w:rPr>
        <w:t>五</w:t>
      </w:r>
      <w:r>
        <w:rPr>
          <w:rFonts w:hint="eastAsia" w:asciiTheme="minorEastAsia" w:hAnsiTheme="minorEastAsia" w:eastAsiaTheme="minorEastAsia" w:cstheme="minorEastAsia"/>
          <w:b/>
          <w:bCs w:val="0"/>
          <w:i w:val="0"/>
          <w:iCs w:val="0"/>
          <w:color w:val="auto"/>
          <w:sz w:val="21"/>
          <w:szCs w:val="21"/>
          <w:highlight w:val="none"/>
        </w:rPr>
        <w:t>、公告期限</w:t>
      </w:r>
      <w:bookmarkEnd w:id="21"/>
      <w:bookmarkEnd w:id="22"/>
      <w:bookmarkEnd w:id="23"/>
      <w:bookmarkEnd w:id="24"/>
    </w:p>
    <w:p>
      <w:pPr>
        <w:ind w:firstLine="420" w:firstLineChars="200"/>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自本公告发布之日起3个工作日。</w:t>
      </w:r>
    </w:p>
    <w:p>
      <w:pPr>
        <w:pStyle w:val="4"/>
        <w:spacing w:line="360" w:lineRule="auto"/>
        <w:rPr>
          <w:rFonts w:hint="eastAsia" w:asciiTheme="minorEastAsia" w:hAnsiTheme="minorEastAsia" w:eastAsiaTheme="minorEastAsia" w:cstheme="minorEastAsia"/>
          <w:b/>
          <w:bCs w:val="0"/>
          <w:i w:val="0"/>
          <w:iCs w:val="0"/>
          <w:color w:val="auto"/>
          <w:sz w:val="21"/>
          <w:szCs w:val="21"/>
          <w:highlight w:val="none"/>
        </w:rPr>
      </w:pPr>
      <w:bookmarkStart w:id="25" w:name="_Toc35393635"/>
      <w:bookmarkStart w:id="26" w:name="_Toc35393804"/>
      <w:r>
        <w:rPr>
          <w:rFonts w:hint="eastAsia" w:asciiTheme="minorEastAsia" w:hAnsiTheme="minorEastAsia" w:eastAsiaTheme="minorEastAsia" w:cstheme="minorEastAsia"/>
          <w:b/>
          <w:bCs w:val="0"/>
          <w:i w:val="0"/>
          <w:iCs w:val="0"/>
          <w:color w:val="auto"/>
          <w:sz w:val="21"/>
          <w:szCs w:val="21"/>
          <w:highlight w:val="none"/>
          <w:lang w:eastAsia="zh-CN"/>
        </w:rPr>
        <w:t>六</w:t>
      </w:r>
      <w:r>
        <w:rPr>
          <w:rFonts w:hint="eastAsia" w:asciiTheme="minorEastAsia" w:hAnsiTheme="minorEastAsia" w:eastAsiaTheme="minorEastAsia" w:cstheme="minorEastAsia"/>
          <w:b/>
          <w:bCs w:val="0"/>
          <w:i w:val="0"/>
          <w:iCs w:val="0"/>
          <w:color w:val="auto"/>
          <w:sz w:val="21"/>
          <w:szCs w:val="21"/>
          <w:highlight w:val="none"/>
        </w:rPr>
        <w:t>、其他补充事宜</w:t>
      </w:r>
      <w:bookmarkEnd w:id="25"/>
      <w:bookmarkEnd w:id="26"/>
    </w:p>
    <w:p>
      <w:pPr>
        <w:ind w:firstLine="420" w:firstLineChars="200"/>
        <w:rPr>
          <w:rFonts w:hint="eastAsia" w:asciiTheme="minorEastAsia" w:hAnsiTheme="minorEastAsia" w:eastAsiaTheme="minorEastAsia" w:cstheme="minorEastAsia"/>
          <w:b w:val="0"/>
          <w:i w:val="0"/>
          <w:iCs w:val="0"/>
          <w:color w:val="auto"/>
          <w:sz w:val="21"/>
          <w:szCs w:val="21"/>
          <w:highlight w:val="none"/>
        </w:rPr>
      </w:pPr>
      <w:r>
        <w:rPr>
          <w:rFonts w:hint="eastAsia" w:asciiTheme="minorEastAsia" w:hAnsiTheme="minorEastAsia" w:eastAsiaTheme="minorEastAsia" w:cstheme="minorEastAsia"/>
          <w:b w:val="0"/>
          <w:i w:val="0"/>
          <w:iCs w:val="0"/>
          <w:color w:val="auto"/>
          <w:sz w:val="21"/>
          <w:szCs w:val="21"/>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Theme="minorEastAsia" w:hAnsiTheme="minorEastAsia" w:eastAsiaTheme="minorEastAsia" w:cstheme="minorEastAsia"/>
          <w:b w:val="0"/>
          <w:i w:val="0"/>
          <w:iCs w:val="0"/>
          <w:color w:val="auto"/>
          <w:sz w:val="21"/>
          <w:szCs w:val="21"/>
          <w:highlight w:val="none"/>
          <w:lang w:val="en-US" w:eastAsia="zh-CN"/>
        </w:rPr>
        <w:t>10</w:t>
      </w:r>
      <w:r>
        <w:rPr>
          <w:rFonts w:hint="eastAsia" w:asciiTheme="minorEastAsia" w:hAnsiTheme="minorEastAsia" w:eastAsiaTheme="minorEastAsia" w:cstheme="minorEastAsia"/>
          <w:b w:val="0"/>
          <w:i w:val="0"/>
          <w:iCs w:val="0"/>
          <w:color w:val="auto"/>
          <w:sz w:val="21"/>
          <w:szCs w:val="21"/>
          <w:highlight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ind w:firstLine="420" w:firstLineChars="200"/>
        <w:rPr>
          <w:rFonts w:hint="eastAsia" w:asciiTheme="minorEastAsia" w:hAnsiTheme="minorEastAsia" w:eastAsiaTheme="minorEastAsia" w:cstheme="minorEastAsia"/>
          <w:b w:val="0"/>
          <w:i w:val="0"/>
          <w:iCs w:val="0"/>
          <w:color w:val="auto"/>
          <w:sz w:val="21"/>
          <w:szCs w:val="21"/>
          <w:highlight w:val="none"/>
          <w:lang w:val="en-US" w:eastAsia="zh-CN"/>
        </w:rPr>
      </w:pPr>
      <w:r>
        <w:rPr>
          <w:rFonts w:hint="eastAsia" w:asciiTheme="minorEastAsia" w:hAnsiTheme="minorEastAsia" w:eastAsiaTheme="minorEastAsia" w:cstheme="minorEastAsia"/>
          <w:b w:val="0"/>
          <w:i w:val="0"/>
          <w:iCs w:val="0"/>
          <w:color w:val="auto"/>
          <w:sz w:val="21"/>
          <w:szCs w:val="21"/>
          <w:highlight w:val="none"/>
          <w:lang w:val="en-US" w:eastAsia="zh-CN"/>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ind w:firstLine="420" w:firstLineChars="200"/>
        <w:rPr>
          <w:rFonts w:hint="eastAsia" w:asciiTheme="minorEastAsia" w:hAnsiTheme="minorEastAsia" w:eastAsiaTheme="minorEastAsia" w:cstheme="minorEastAsia"/>
          <w:b w:val="0"/>
          <w:i w:val="0"/>
          <w:iCs w:val="0"/>
          <w:color w:val="auto"/>
          <w:sz w:val="21"/>
          <w:szCs w:val="21"/>
          <w:highlight w:val="none"/>
          <w:lang w:val="en-US" w:eastAsia="zh-CN"/>
        </w:rPr>
      </w:pPr>
      <w:r>
        <w:rPr>
          <w:rFonts w:hint="eastAsia" w:asciiTheme="minorEastAsia" w:hAnsiTheme="minorEastAsia" w:eastAsiaTheme="minorEastAsia" w:cstheme="minorEastAsia"/>
          <w:b w:val="0"/>
          <w:i w:val="0"/>
          <w:iCs w:val="0"/>
          <w:color w:val="auto"/>
          <w:sz w:val="21"/>
          <w:szCs w:val="21"/>
          <w:highlight w:val="none"/>
          <w:lang w:val="en-US" w:eastAsia="zh-CN"/>
        </w:rPr>
        <w:t>网上查询地址：中国政府采购网、广西壮族自治区政府采购网、南宁政府采购网、南宁市公共资源交易中心网、广西招标网。</w:t>
      </w:r>
    </w:p>
    <w:p>
      <w:pPr>
        <w:pStyle w:val="4"/>
        <w:spacing w:line="360" w:lineRule="auto"/>
        <w:rPr>
          <w:rFonts w:hint="eastAsia" w:asciiTheme="minorEastAsia" w:hAnsiTheme="minorEastAsia" w:eastAsiaTheme="minorEastAsia" w:cstheme="minorEastAsia"/>
          <w:b w:val="0"/>
          <w:bCs/>
          <w:i w:val="0"/>
          <w:iCs w:val="0"/>
          <w:color w:val="auto"/>
          <w:sz w:val="21"/>
          <w:szCs w:val="21"/>
          <w:highlight w:val="none"/>
        </w:rPr>
      </w:pPr>
      <w:bookmarkStart w:id="27" w:name="_Toc35393805"/>
      <w:bookmarkStart w:id="28" w:name="_Toc35393636"/>
      <w:bookmarkStart w:id="29" w:name="_Toc28359018"/>
      <w:bookmarkStart w:id="30" w:name="_Toc28359095"/>
      <w:r>
        <w:rPr>
          <w:rFonts w:hint="eastAsia" w:asciiTheme="minorEastAsia" w:hAnsiTheme="minorEastAsia" w:eastAsiaTheme="minorEastAsia" w:cstheme="minorEastAsia"/>
          <w:b w:val="0"/>
          <w:bCs/>
          <w:i w:val="0"/>
          <w:iCs w:val="0"/>
          <w:color w:val="auto"/>
          <w:sz w:val="21"/>
          <w:szCs w:val="21"/>
          <w:highlight w:val="none"/>
          <w:lang w:eastAsia="zh-CN"/>
        </w:rPr>
        <w:t>七</w:t>
      </w:r>
      <w:r>
        <w:rPr>
          <w:rFonts w:hint="eastAsia" w:asciiTheme="minorEastAsia" w:hAnsiTheme="minorEastAsia" w:eastAsiaTheme="minorEastAsia" w:cstheme="minorEastAsia"/>
          <w:b w:val="0"/>
          <w:bCs/>
          <w:i w:val="0"/>
          <w:iCs w:val="0"/>
          <w:color w:val="auto"/>
          <w:sz w:val="21"/>
          <w:szCs w:val="21"/>
          <w:highlight w:val="none"/>
        </w:rPr>
        <w:t>、凡对本次采购提出询问，请按以下方式联系。</w:t>
      </w:r>
      <w:bookmarkEnd w:id="27"/>
      <w:bookmarkEnd w:id="28"/>
      <w:bookmarkEnd w:id="29"/>
      <w:bookmarkEnd w:id="30"/>
    </w:p>
    <w:p>
      <w:pPr>
        <w:pStyle w:val="4"/>
        <w:spacing w:line="360" w:lineRule="auto"/>
        <w:ind w:firstLine="630" w:firstLineChars="300"/>
        <w:rPr>
          <w:rFonts w:hint="eastAsia" w:asciiTheme="minorEastAsia" w:hAnsiTheme="minorEastAsia" w:eastAsiaTheme="minorEastAsia" w:cstheme="minorEastAsia"/>
          <w:b w:val="0"/>
          <w:i w:val="0"/>
          <w:iCs w:val="0"/>
          <w:color w:val="auto"/>
          <w:sz w:val="21"/>
          <w:szCs w:val="21"/>
          <w:highlight w:val="none"/>
        </w:rPr>
      </w:pPr>
      <w:bookmarkStart w:id="31" w:name="_Toc35393637"/>
      <w:bookmarkStart w:id="32" w:name="_Toc28359019"/>
      <w:bookmarkStart w:id="33" w:name="_Toc28359096"/>
      <w:bookmarkStart w:id="34" w:name="_Toc35393806"/>
      <w:r>
        <w:rPr>
          <w:rFonts w:hint="eastAsia" w:asciiTheme="minorEastAsia" w:hAnsiTheme="minorEastAsia" w:eastAsiaTheme="minorEastAsia" w:cstheme="minorEastAsia"/>
          <w:b w:val="0"/>
          <w:i w:val="0"/>
          <w:iCs w:val="0"/>
          <w:color w:val="auto"/>
          <w:sz w:val="21"/>
          <w:szCs w:val="21"/>
          <w:highlight w:val="none"/>
        </w:rPr>
        <w:t>1.采购人信息</w:t>
      </w:r>
      <w:bookmarkEnd w:id="31"/>
      <w:bookmarkEnd w:id="32"/>
      <w:bookmarkEnd w:id="33"/>
      <w:bookmarkEnd w:id="34"/>
    </w:p>
    <w:p>
      <w:pPr>
        <w:spacing w:line="360" w:lineRule="auto"/>
        <w:ind w:left="1041" w:leftChars="371" w:hanging="262" w:hangingChars="125"/>
        <w:jc w:val="left"/>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名    称：</w:t>
      </w:r>
      <w:r>
        <w:rPr>
          <w:rFonts w:hint="eastAsia" w:asciiTheme="minorEastAsia" w:hAnsiTheme="minorEastAsia" w:eastAsiaTheme="minorEastAsia" w:cstheme="minorEastAsia"/>
          <w:i w:val="0"/>
          <w:iCs w:val="0"/>
          <w:color w:val="auto"/>
          <w:sz w:val="21"/>
          <w:szCs w:val="21"/>
          <w:highlight w:val="none"/>
          <w:u w:val="single"/>
          <w:lang w:eastAsia="zh-CN"/>
        </w:rPr>
        <w:t>南宁市交通运输信息中心</w:t>
      </w:r>
      <w:r>
        <w:rPr>
          <w:rFonts w:hint="eastAsia" w:asciiTheme="minorEastAsia" w:hAnsiTheme="minorEastAsia" w:eastAsiaTheme="minorEastAsia" w:cstheme="minorEastAsia"/>
          <w:i w:val="0"/>
          <w:iCs w:val="0"/>
          <w:color w:val="auto"/>
          <w:sz w:val="21"/>
          <w:szCs w:val="21"/>
          <w:highlight w:val="none"/>
          <w:u w:val="single"/>
        </w:rPr>
        <w:t>　</w:t>
      </w:r>
    </w:p>
    <w:p>
      <w:pPr>
        <w:pStyle w:val="39"/>
        <w:keepNext w:val="0"/>
        <w:keepLines w:val="0"/>
        <w:widowControl/>
        <w:suppressLineNumbers w:val="0"/>
        <w:spacing w:before="0" w:beforeAutospacing="0" w:after="0" w:afterAutospacing="0" w:line="21" w:lineRule="atLeast"/>
        <w:ind w:left="0" w:right="0" w:firstLine="840" w:firstLineChars="400"/>
        <w:rPr>
          <w:rFonts w:hint="eastAsia" w:asciiTheme="minorEastAsia" w:hAnsiTheme="minorEastAsia" w:eastAsiaTheme="minorEastAsia" w:cstheme="minorEastAsia"/>
          <w:i w:val="0"/>
          <w:iCs w:val="0"/>
          <w:color w:val="auto"/>
          <w:kern w:val="2"/>
          <w:sz w:val="21"/>
          <w:szCs w:val="21"/>
          <w:highlight w:val="none"/>
          <w:u w:val="single"/>
          <w:lang w:val="en-US" w:eastAsia="zh-CN" w:bidi="ar-SA"/>
        </w:rPr>
      </w:pPr>
      <w:r>
        <w:rPr>
          <w:rFonts w:hint="eastAsia" w:asciiTheme="minorEastAsia" w:hAnsiTheme="minorEastAsia" w:eastAsiaTheme="minorEastAsia" w:cstheme="minorEastAsia"/>
          <w:i w:val="0"/>
          <w:iCs w:val="0"/>
          <w:color w:val="auto"/>
          <w:sz w:val="21"/>
          <w:szCs w:val="21"/>
          <w:highlight w:val="none"/>
        </w:rPr>
        <w:t>地    址：</w:t>
      </w:r>
      <w:r>
        <w:rPr>
          <w:rFonts w:hint="eastAsia" w:asciiTheme="minorEastAsia" w:hAnsiTheme="minorEastAsia" w:eastAsiaTheme="minorEastAsia" w:cstheme="minorEastAsia"/>
          <w:i w:val="0"/>
          <w:iCs w:val="0"/>
          <w:color w:val="auto"/>
          <w:sz w:val="21"/>
          <w:szCs w:val="21"/>
          <w:highlight w:val="none"/>
          <w:u w:val="single"/>
        </w:rPr>
        <w:t>新竹路43号</w:t>
      </w:r>
    </w:p>
    <w:p>
      <w:pPr>
        <w:pStyle w:val="39"/>
        <w:keepNext w:val="0"/>
        <w:keepLines w:val="0"/>
        <w:widowControl/>
        <w:suppressLineNumbers w:val="0"/>
        <w:spacing w:before="0" w:beforeAutospacing="0" w:after="0" w:afterAutospacing="0" w:line="21" w:lineRule="atLeast"/>
        <w:ind w:left="0" w:right="0" w:firstLine="840" w:firstLineChars="400"/>
        <w:rPr>
          <w:rFonts w:hint="default" w:asciiTheme="minorEastAsia" w:hAnsiTheme="minorEastAsia" w:eastAsiaTheme="minorEastAsia" w:cstheme="minorEastAsia"/>
          <w:i w:val="0"/>
          <w:iCs w:val="0"/>
          <w:color w:val="auto"/>
          <w:kern w:val="2"/>
          <w:sz w:val="21"/>
          <w:szCs w:val="21"/>
          <w:highlight w:val="none"/>
          <w:u w:val="singl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联系人</w:t>
      </w:r>
      <w:r>
        <w:rPr>
          <w:rFonts w:hint="eastAsia" w:asciiTheme="minorEastAsia" w:hAnsiTheme="minorEastAsia" w:eastAsiaTheme="minorEastAsia" w:cstheme="minorEastAsia"/>
          <w:i w:val="0"/>
          <w:iCs w:val="0"/>
          <w:color w:val="auto"/>
          <w:kern w:val="2"/>
          <w:sz w:val="21"/>
          <w:szCs w:val="21"/>
          <w:highlight w:val="none"/>
          <w:u w:val="single"/>
          <w:lang w:val="en-US" w:eastAsia="zh-CN" w:bidi="ar-SA"/>
        </w:rPr>
        <w:t>：韦念</w:t>
      </w:r>
    </w:p>
    <w:p>
      <w:pPr>
        <w:spacing w:line="360" w:lineRule="auto"/>
        <w:ind w:left="1041" w:leftChars="371" w:hanging="262" w:hangingChars="125"/>
        <w:jc w:val="left"/>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联系方式：</w:t>
      </w:r>
      <w:r>
        <w:rPr>
          <w:rFonts w:hint="eastAsia" w:asciiTheme="minorEastAsia" w:hAnsiTheme="minorEastAsia" w:eastAsiaTheme="minorEastAsia" w:cstheme="minorEastAsia"/>
          <w:i w:val="0"/>
          <w:iCs w:val="0"/>
          <w:color w:val="auto"/>
          <w:sz w:val="21"/>
          <w:szCs w:val="21"/>
          <w:highlight w:val="none"/>
          <w:u w:val="single"/>
          <w:lang w:val="en-US" w:eastAsia="zh-CN"/>
        </w:rPr>
        <w:t xml:space="preserve"> 0771-5638966</w:t>
      </w:r>
      <w:r>
        <w:rPr>
          <w:rFonts w:hint="eastAsia" w:asciiTheme="minorEastAsia" w:hAnsiTheme="minorEastAsia" w:eastAsiaTheme="minorEastAsia" w:cstheme="minorEastAsia"/>
          <w:i w:val="0"/>
          <w:iCs w:val="0"/>
          <w:color w:val="auto"/>
          <w:sz w:val="21"/>
          <w:szCs w:val="21"/>
          <w:highlight w:val="none"/>
          <w:u w:val="single"/>
        </w:rPr>
        <w:t xml:space="preserve">　 </w:t>
      </w:r>
    </w:p>
    <w:p>
      <w:pPr>
        <w:pStyle w:val="4"/>
        <w:spacing w:line="360" w:lineRule="auto"/>
        <w:ind w:firstLine="630" w:firstLineChars="300"/>
        <w:rPr>
          <w:rFonts w:hint="eastAsia" w:asciiTheme="minorEastAsia" w:hAnsiTheme="minorEastAsia" w:eastAsiaTheme="minorEastAsia" w:cstheme="minorEastAsia"/>
          <w:b w:val="0"/>
          <w:i w:val="0"/>
          <w:iCs w:val="0"/>
          <w:color w:val="auto"/>
          <w:sz w:val="21"/>
          <w:szCs w:val="21"/>
          <w:highlight w:val="none"/>
        </w:rPr>
      </w:pPr>
      <w:bookmarkStart w:id="35" w:name="_Toc35393638"/>
      <w:bookmarkStart w:id="36" w:name="_Toc28359020"/>
      <w:bookmarkStart w:id="37" w:name="_Toc28359097"/>
      <w:bookmarkStart w:id="38" w:name="_Toc35393807"/>
      <w:r>
        <w:rPr>
          <w:rFonts w:hint="eastAsia" w:asciiTheme="minorEastAsia" w:hAnsiTheme="minorEastAsia" w:eastAsiaTheme="minorEastAsia" w:cstheme="minorEastAsia"/>
          <w:b w:val="0"/>
          <w:i w:val="0"/>
          <w:iCs w:val="0"/>
          <w:color w:val="auto"/>
          <w:sz w:val="21"/>
          <w:szCs w:val="21"/>
          <w:highlight w:val="none"/>
        </w:rPr>
        <w:t>2.采购代理机构信息</w:t>
      </w:r>
      <w:bookmarkEnd w:id="35"/>
      <w:bookmarkEnd w:id="36"/>
      <w:bookmarkEnd w:id="37"/>
      <w:bookmarkEnd w:id="38"/>
    </w:p>
    <w:p>
      <w:pPr>
        <w:spacing w:line="360" w:lineRule="auto"/>
        <w:ind w:firstLine="630" w:firstLineChars="3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名    称：</w:t>
      </w:r>
      <w:r>
        <w:rPr>
          <w:rFonts w:hint="eastAsia" w:asciiTheme="minorEastAsia" w:hAnsiTheme="minorEastAsia" w:eastAsiaTheme="minorEastAsia" w:cstheme="minorEastAsia"/>
          <w:i w:val="0"/>
          <w:iCs w:val="0"/>
          <w:color w:val="auto"/>
          <w:sz w:val="21"/>
          <w:szCs w:val="21"/>
          <w:highlight w:val="none"/>
          <w:u w:val="single"/>
        </w:rPr>
        <w:t>广西建设工程机电设备招标中心有限公司　</w:t>
      </w:r>
    </w:p>
    <w:p>
      <w:pPr>
        <w:spacing w:line="360" w:lineRule="auto"/>
        <w:ind w:firstLine="630" w:firstLineChars="3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地　　址：</w:t>
      </w:r>
      <w:r>
        <w:rPr>
          <w:rFonts w:hint="eastAsia" w:asciiTheme="minorEastAsia" w:hAnsiTheme="minorEastAsia" w:eastAsiaTheme="minorEastAsia" w:cstheme="minorEastAsia"/>
          <w:i w:val="0"/>
          <w:iCs w:val="0"/>
          <w:color w:val="auto"/>
          <w:sz w:val="21"/>
          <w:szCs w:val="21"/>
          <w:highlight w:val="none"/>
          <w:u w:val="single"/>
        </w:rPr>
        <w:t>南宁市青秀区纬武路165号区成套局办公大楼　</w:t>
      </w:r>
    </w:p>
    <w:p>
      <w:pPr>
        <w:spacing w:line="360" w:lineRule="auto"/>
        <w:ind w:firstLine="630" w:firstLineChars="300"/>
        <w:rPr>
          <w:rFonts w:hint="eastAsia" w:asciiTheme="minorEastAsia" w:hAnsiTheme="minorEastAsia" w:eastAsiaTheme="minorEastAsia" w:cstheme="minorEastAsia"/>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rPr>
        <w:t>联系方式：</w:t>
      </w:r>
      <w:r>
        <w:rPr>
          <w:rFonts w:hint="eastAsia" w:asciiTheme="minorEastAsia" w:hAnsiTheme="minorEastAsia" w:eastAsiaTheme="minorEastAsia" w:cstheme="minorEastAsia"/>
          <w:i w:val="0"/>
          <w:iCs w:val="0"/>
          <w:color w:val="auto"/>
          <w:sz w:val="21"/>
          <w:szCs w:val="21"/>
          <w:highlight w:val="none"/>
          <w:u w:val="single"/>
        </w:rPr>
        <w:t>0771-2807659 　</w:t>
      </w:r>
    </w:p>
    <w:p>
      <w:pPr>
        <w:pStyle w:val="4"/>
        <w:spacing w:line="360" w:lineRule="auto"/>
        <w:ind w:firstLine="630" w:firstLineChars="300"/>
        <w:rPr>
          <w:rFonts w:hint="eastAsia" w:asciiTheme="minorEastAsia" w:hAnsiTheme="minorEastAsia" w:eastAsiaTheme="minorEastAsia" w:cstheme="minorEastAsia"/>
          <w:b w:val="0"/>
          <w:i w:val="0"/>
          <w:iCs w:val="0"/>
          <w:color w:val="auto"/>
          <w:sz w:val="21"/>
          <w:szCs w:val="21"/>
          <w:highlight w:val="none"/>
        </w:rPr>
      </w:pPr>
      <w:bookmarkStart w:id="39" w:name="_Toc35393639"/>
      <w:bookmarkStart w:id="40" w:name="_Toc28359021"/>
      <w:bookmarkStart w:id="41" w:name="_Toc28359098"/>
      <w:bookmarkStart w:id="42" w:name="_Toc35393808"/>
      <w:r>
        <w:rPr>
          <w:rFonts w:hint="eastAsia" w:asciiTheme="minorEastAsia" w:hAnsiTheme="minorEastAsia" w:eastAsiaTheme="minorEastAsia" w:cstheme="minorEastAsia"/>
          <w:b w:val="0"/>
          <w:i w:val="0"/>
          <w:iCs w:val="0"/>
          <w:color w:val="auto"/>
          <w:sz w:val="21"/>
          <w:szCs w:val="21"/>
          <w:highlight w:val="none"/>
        </w:rPr>
        <w:t>3.项目联系方式</w:t>
      </w:r>
      <w:bookmarkEnd w:id="39"/>
      <w:bookmarkEnd w:id="40"/>
      <w:bookmarkEnd w:id="41"/>
      <w:bookmarkEnd w:id="42"/>
    </w:p>
    <w:p>
      <w:pPr>
        <w:pStyle w:val="24"/>
        <w:spacing w:line="360" w:lineRule="auto"/>
        <w:ind w:firstLine="630" w:firstLineChars="3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项目联系人：</w:t>
      </w:r>
      <w:r>
        <w:rPr>
          <w:rFonts w:hint="eastAsia" w:asciiTheme="minorEastAsia" w:hAnsiTheme="minorEastAsia" w:eastAsiaTheme="minorEastAsia" w:cstheme="minorEastAsia"/>
          <w:i w:val="0"/>
          <w:iCs w:val="0"/>
          <w:color w:val="auto"/>
          <w:sz w:val="21"/>
          <w:szCs w:val="21"/>
          <w:highlight w:val="none"/>
          <w:u w:val="single"/>
          <w:lang w:eastAsia="zh-CN"/>
        </w:rPr>
        <w:t>周剑</w:t>
      </w:r>
    </w:p>
    <w:p>
      <w:pPr>
        <w:spacing w:line="360" w:lineRule="auto"/>
        <w:ind w:firstLine="630" w:firstLineChars="300"/>
        <w:rPr>
          <w:rFonts w:hint="eastAsia" w:asciiTheme="minorEastAsia" w:hAnsiTheme="minorEastAsia" w:eastAsiaTheme="minorEastAsia" w:cstheme="minorEastAsia"/>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rPr>
        <w:t>电　　 话：</w:t>
      </w:r>
      <w:r>
        <w:rPr>
          <w:rFonts w:hint="eastAsia" w:asciiTheme="minorEastAsia" w:hAnsiTheme="minorEastAsia" w:eastAsiaTheme="minorEastAsia" w:cstheme="minorEastAsia"/>
          <w:i w:val="0"/>
          <w:iCs w:val="0"/>
          <w:color w:val="auto"/>
          <w:sz w:val="21"/>
          <w:szCs w:val="21"/>
          <w:highlight w:val="none"/>
          <w:u w:val="single"/>
        </w:rPr>
        <w:t>　0771-2807659 　</w:t>
      </w:r>
    </w:p>
    <w:p>
      <w:pPr>
        <w:rPr>
          <w:rFonts w:hint="eastAsia" w:ascii="宋体" w:hAnsi="宋体" w:cs="Arial"/>
          <w:color w:val="auto"/>
          <w:sz w:val="24"/>
          <w:highlight w:val="none"/>
          <w:u w:val="none"/>
        </w:rPr>
      </w:pPr>
    </w:p>
    <w:p>
      <w:pPr>
        <w:snapToGrid w:val="0"/>
        <w:jc w:val="center"/>
        <w:rPr>
          <w:rFonts w:ascii="宋体" w:hAnsi="宋体"/>
          <w:b/>
          <w:color w:val="auto"/>
          <w:sz w:val="24"/>
          <w:highlight w:val="none"/>
        </w:rPr>
      </w:pPr>
      <w:r>
        <w:rPr>
          <w:rFonts w:ascii="宋体" w:hAnsi="宋体"/>
          <w:color w:val="auto"/>
          <w:sz w:val="30"/>
          <w:szCs w:val="30"/>
          <w:highlight w:val="none"/>
        </w:rPr>
        <w:br w:type="page"/>
      </w:r>
    </w:p>
    <w:p>
      <w:pPr>
        <w:jc w:val="center"/>
        <w:rPr>
          <w:rFonts w:ascii="宋体" w:hAnsi="宋体"/>
          <w:b/>
          <w:color w:val="auto"/>
          <w:sz w:val="24"/>
          <w:highlight w:val="none"/>
        </w:rPr>
      </w:pPr>
    </w:p>
    <w:p>
      <w:pPr>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rPr>
          <w:rFonts w:ascii="宋体" w:hAnsi="宋体"/>
          <w:b/>
          <w:color w:val="auto"/>
          <w:sz w:val="24"/>
          <w:highlight w:val="none"/>
        </w:rPr>
      </w:pPr>
    </w:p>
    <w:p>
      <w:pPr>
        <w:snapToGrid w:val="0"/>
        <w:spacing w:beforeLines="50" w:afterLines="50"/>
        <w:ind w:left="238"/>
        <w:jc w:val="center"/>
        <w:outlineLvl w:val="0"/>
        <w:rPr>
          <w:rFonts w:ascii="宋体" w:hAnsi="宋体"/>
          <w:b/>
          <w:color w:val="auto"/>
          <w:sz w:val="44"/>
          <w:szCs w:val="44"/>
          <w:highlight w:val="none"/>
        </w:rPr>
      </w:pPr>
      <w:bookmarkStart w:id="43" w:name="_Toc27158"/>
      <w:r>
        <w:rPr>
          <w:rFonts w:hint="eastAsia" w:ascii="宋体" w:hAnsi="宋体"/>
          <w:b/>
          <w:color w:val="auto"/>
          <w:sz w:val="44"/>
          <w:szCs w:val="44"/>
          <w:highlight w:val="none"/>
        </w:rPr>
        <w:t xml:space="preserve">第二章 </w:t>
      </w:r>
      <w:r>
        <w:rPr>
          <w:rFonts w:hint="eastAsia" w:hAnsi="宋体"/>
          <w:b/>
          <w:bCs/>
          <w:color w:val="auto"/>
          <w:sz w:val="44"/>
          <w:szCs w:val="44"/>
          <w:highlight w:val="none"/>
        </w:rPr>
        <w:t>供应商须知</w:t>
      </w:r>
      <w:bookmarkEnd w:id="43"/>
    </w:p>
    <w:p>
      <w:pPr>
        <w:jc w:val="center"/>
        <w:rPr>
          <w:rFonts w:ascii="宋体" w:hAnsi="宋体"/>
          <w:b/>
          <w:color w:val="auto"/>
          <w:sz w:val="24"/>
          <w:highlight w:val="none"/>
        </w:rPr>
      </w:pPr>
    </w:p>
    <w:p>
      <w:pPr>
        <w:jc w:val="center"/>
        <w:rPr>
          <w:rFonts w:ascii="宋体" w:hAnsi="宋体"/>
          <w:b/>
          <w:color w:val="auto"/>
          <w:sz w:val="24"/>
          <w:highlight w:val="none"/>
        </w:rPr>
      </w:pPr>
      <w:r>
        <w:rPr>
          <w:rFonts w:hint="eastAsia" w:ascii="宋体" w:hAnsi="宋体"/>
          <w:b/>
          <w:color w:val="auto"/>
          <w:sz w:val="24"/>
          <w:highlight w:val="none"/>
        </w:rPr>
        <w:t xml:space="preserve">  </w:t>
      </w:r>
    </w:p>
    <w:p>
      <w:pPr>
        <w:pStyle w:val="24"/>
        <w:ind w:firstLine="525"/>
        <w:jc w:val="center"/>
        <w:outlineLvl w:val="0"/>
        <w:rPr>
          <w:rFonts w:hAnsi="宋体"/>
          <w:b/>
          <w:color w:val="auto"/>
          <w:highlight w:val="none"/>
        </w:rPr>
      </w:pPr>
      <w:r>
        <w:rPr>
          <w:rFonts w:hAnsi="宋体"/>
          <w:b/>
          <w:color w:val="auto"/>
          <w:sz w:val="24"/>
          <w:highlight w:val="none"/>
        </w:rPr>
        <w:br w:type="page"/>
      </w:r>
      <w:bookmarkStart w:id="44" w:name="_Toc30806"/>
      <w:r>
        <w:rPr>
          <w:rFonts w:hint="eastAsia" w:hAnsi="宋体"/>
          <w:b/>
          <w:color w:val="auto"/>
          <w:sz w:val="32"/>
          <w:szCs w:val="32"/>
          <w:highlight w:val="none"/>
        </w:rPr>
        <w:t>供应商须知前附表</w:t>
      </w:r>
      <w:r>
        <w:rPr>
          <w:rFonts w:hint="eastAsia" w:hAnsi="宋体"/>
          <w:b/>
          <w:color w:val="auto"/>
          <w:sz w:val="32"/>
          <w:szCs w:val="32"/>
          <w:highlight w:val="none"/>
        </w:rPr>
        <w:cr/>
      </w:r>
      <w:bookmarkEnd w:id="44"/>
    </w:p>
    <w:tbl>
      <w:tblPr>
        <w:tblStyle w:val="43"/>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714" w:type="dxa"/>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条款号</w:t>
            </w:r>
          </w:p>
        </w:tc>
        <w:tc>
          <w:tcPr>
            <w:tcW w:w="1701"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条款名称</w:t>
            </w:r>
          </w:p>
        </w:tc>
        <w:tc>
          <w:tcPr>
            <w:tcW w:w="7273" w:type="dxa"/>
            <w:vAlign w:val="center"/>
          </w:tcPr>
          <w:p>
            <w:pPr>
              <w:pStyle w:val="24"/>
              <w:spacing w:line="420" w:lineRule="exact"/>
              <w:ind w:firstLine="2951" w:firstLineChars="140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714" w:type="dxa"/>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p>
        </w:tc>
        <w:tc>
          <w:tcPr>
            <w:tcW w:w="1701"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项目名称及编号</w:t>
            </w:r>
          </w:p>
        </w:tc>
        <w:tc>
          <w:tcPr>
            <w:tcW w:w="7273" w:type="dxa"/>
            <w:vAlign w:val="center"/>
          </w:tcPr>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2020年道路运输信息系统安全等级评测服务</w:t>
            </w:r>
            <w:r>
              <w:rPr>
                <w:rFonts w:hint="eastAsia" w:asciiTheme="minorEastAsia" w:hAnsiTheme="minorEastAsia" w:eastAsiaTheme="minorEastAsia"/>
                <w:color w:val="auto"/>
                <w:szCs w:val="21"/>
                <w:highlight w:val="none"/>
              </w:rPr>
              <w:t xml:space="preserve">采购 </w:t>
            </w:r>
          </w:p>
          <w:p>
            <w:pPr>
              <w:spacing w:line="440" w:lineRule="exact"/>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lang w:eastAsia="zh-CN"/>
              </w:rPr>
              <w:t>FC(3)2020551JNN</w:t>
            </w:r>
            <w:r>
              <w:rPr>
                <w:rFonts w:hint="eastAsia" w:asciiTheme="minorEastAsia" w:hAnsiTheme="minorEastAsia" w:eastAsia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供应商资格</w:t>
            </w:r>
          </w:p>
        </w:tc>
        <w:tc>
          <w:tcPr>
            <w:tcW w:w="7273" w:type="dxa"/>
            <w:vAlign w:val="center"/>
          </w:tcPr>
          <w:p>
            <w:pPr>
              <w:spacing w:line="40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w:t>
            </w:r>
          </w:p>
          <w:p>
            <w:pPr>
              <w:spacing w:line="40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2.国内注册，经营本次采购服务的供应商；</w:t>
            </w:r>
          </w:p>
          <w:p>
            <w:pPr>
              <w:spacing w:line="40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参加政府采购活动前3年内在经营活动中没有重大违法记录；</w:t>
            </w:r>
          </w:p>
          <w:p>
            <w:pPr>
              <w:spacing w:line="40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谈判费用</w:t>
            </w:r>
          </w:p>
        </w:tc>
        <w:tc>
          <w:tcPr>
            <w:tcW w:w="7273" w:type="dxa"/>
            <w:vAlign w:val="center"/>
          </w:tcPr>
          <w:p>
            <w:pPr>
              <w:spacing w:line="3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不论</w:t>
            </w:r>
            <w:r>
              <w:rPr>
                <w:rFonts w:hint="eastAsia" w:cs="宋体" w:asciiTheme="minorEastAsia" w:hAnsiTheme="minorEastAsia" w:eastAsiaTheme="minorEastAsia"/>
                <w:color w:val="auto"/>
                <w:szCs w:val="21"/>
                <w:highlight w:val="none"/>
              </w:rPr>
              <w:t>谈判</w:t>
            </w:r>
            <w:r>
              <w:rPr>
                <w:rFonts w:hint="eastAsia" w:asciiTheme="minorEastAsia" w:hAnsiTheme="minorEastAsia" w:eastAsiaTheme="minorEastAsia"/>
                <w:color w:val="auto"/>
                <w:szCs w:val="21"/>
                <w:highlight w:val="none"/>
              </w:rPr>
              <w:t>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澄清或者修改</w:t>
            </w:r>
          </w:p>
        </w:tc>
        <w:tc>
          <w:tcPr>
            <w:tcW w:w="7273" w:type="dxa"/>
          </w:tcPr>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p>
        </w:tc>
        <w:tc>
          <w:tcPr>
            <w:tcW w:w="714"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总采购预算</w:t>
            </w:r>
          </w:p>
        </w:tc>
        <w:tc>
          <w:tcPr>
            <w:tcW w:w="7273" w:type="dxa"/>
            <w:vAlign w:val="center"/>
          </w:tcPr>
          <w:p>
            <w:pPr>
              <w:spacing w:line="320" w:lineRule="exact"/>
              <w:rPr>
                <w:rFonts w:asciiTheme="minorEastAsia" w:hAnsiTheme="minorEastAsia" w:eastAsiaTheme="minorEastAsia"/>
                <w:color w:val="auto"/>
                <w:szCs w:val="21"/>
                <w:highlight w:val="none"/>
              </w:rPr>
            </w:pPr>
            <w:r>
              <w:rPr>
                <w:rFonts w:hint="eastAsia" w:ascii="宋体" w:hAnsi="宋体"/>
                <w:color w:val="auto"/>
                <w:sz w:val="24"/>
                <w:highlight w:val="none"/>
                <w:lang w:val="en-US" w:eastAsia="zh-CN"/>
              </w:rPr>
              <w:t xml:space="preserve"> 300000</w:t>
            </w:r>
            <w:r>
              <w:rPr>
                <w:rFonts w:hint="eastAsia" w:ascii="宋体" w:hAnsi="宋体"/>
                <w:color w:val="auto"/>
                <w:sz w:val="24"/>
                <w:highlight w:val="none"/>
                <w:lang w:eastAsia="zh-CN"/>
              </w:rPr>
              <w:t>元</w:t>
            </w:r>
            <w:r>
              <w:rPr>
                <w:rFonts w:hint="eastAsia" w:ascii="宋体" w:hAnsi="宋体"/>
                <w:color w:val="auto"/>
                <w:sz w:val="24"/>
                <w:highlight w:val="none"/>
              </w:rPr>
              <w:t>；</w:t>
            </w:r>
            <w:r>
              <w:rPr>
                <w:rFonts w:hint="eastAsia" w:ascii="宋体" w:hAnsi="宋体"/>
                <w:color w:val="auto"/>
                <w:szCs w:val="21"/>
                <w:highlight w:val="none"/>
              </w:rPr>
              <w:t>（采购项目涉及</w:t>
            </w:r>
            <w:r>
              <w:rPr>
                <w:rFonts w:hint="eastAsia" w:ascii="宋体" w:hAnsi="宋体"/>
                <w:color w:val="auto"/>
                <w:szCs w:val="21"/>
                <w:highlight w:val="none"/>
              </w:rPr>
              <w:t>多个分标，按每个分标公布）</w:t>
            </w:r>
            <w:r>
              <w:rPr>
                <w:rFonts w:hint="eastAsia" w:asciiTheme="minorEastAsia" w:hAnsiTheme="minorEastAsia" w:eastAsiaTheme="minorEastAsia"/>
                <w:color w:val="auto"/>
                <w:szCs w:val="21"/>
                <w:highlight w:val="none"/>
              </w:rPr>
              <w:t xml:space="preserve"> 。</w:t>
            </w:r>
          </w:p>
          <w:p>
            <w:pPr>
              <w:spacing w:line="32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报价</w:t>
            </w:r>
            <w:r>
              <w:rPr>
                <w:rFonts w:hint="eastAsia" w:asciiTheme="minorEastAsia" w:hAnsiTheme="minorEastAsia" w:eastAsiaTheme="minorEastAsia"/>
                <w:color w:val="auto"/>
                <w:kern w:val="0"/>
                <w:szCs w:val="21"/>
                <w:highlight w:val="none"/>
              </w:rPr>
              <w:t>超过总采购预算金额（或分项采购预算，</w:t>
            </w:r>
            <w:r>
              <w:rPr>
                <w:rFonts w:hint="eastAsia" w:ascii="宋体" w:hAnsi="宋体"/>
                <w:color w:val="auto"/>
                <w:szCs w:val="21"/>
                <w:highlight w:val="none"/>
              </w:rPr>
              <w:t>根据项目增减</w:t>
            </w:r>
            <w:r>
              <w:rPr>
                <w:rFonts w:hint="eastAsia" w:asciiTheme="minorEastAsia" w:hAnsiTheme="minorEastAsia" w:eastAsiaTheme="minorEastAsia"/>
                <w:color w:val="auto"/>
                <w:kern w:val="0"/>
                <w:szCs w:val="21"/>
                <w:highlight w:val="none"/>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p>
        </w:tc>
        <w:tc>
          <w:tcPr>
            <w:tcW w:w="714"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701" w:type="dxa"/>
            <w:vAlign w:val="center"/>
          </w:tcPr>
          <w:p>
            <w:pPr>
              <w:spacing w:line="360" w:lineRule="exact"/>
              <w:jc w:val="center"/>
              <w:rPr>
                <w:rFonts w:asciiTheme="minorEastAsia" w:hAnsiTheme="minorEastAsia" w:eastAsiaTheme="minorEastAsia"/>
                <w:color w:val="auto"/>
                <w:position w:val="-2"/>
                <w:szCs w:val="21"/>
                <w:highlight w:val="none"/>
              </w:rPr>
            </w:pPr>
            <w:r>
              <w:rPr>
                <w:rFonts w:hint="eastAsia" w:asciiTheme="minorEastAsia" w:hAnsiTheme="minorEastAsia" w:eastAsiaTheme="minorEastAsia"/>
                <w:color w:val="auto"/>
                <w:szCs w:val="21"/>
                <w:highlight w:val="none"/>
              </w:rPr>
              <w:t>谈判报价</w:t>
            </w:r>
          </w:p>
        </w:tc>
        <w:tc>
          <w:tcPr>
            <w:tcW w:w="7273" w:type="dxa"/>
            <w:vAlign w:val="center"/>
          </w:tcPr>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供应商须就项目需求和说明中的所有分标服务内容作完整唯一报价。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w:t>
            </w:r>
          </w:p>
        </w:tc>
        <w:tc>
          <w:tcPr>
            <w:tcW w:w="714" w:type="dxa"/>
            <w:vAlign w:val="center"/>
          </w:tcPr>
          <w:p>
            <w:pPr>
              <w:spacing w:line="360" w:lineRule="exact"/>
              <w:jc w:val="center"/>
              <w:rPr>
                <w:rFonts w:asciiTheme="minorEastAsia" w:hAnsiTheme="minorEastAsia" w:eastAsiaTheme="minorEastAsia"/>
                <w:color w:val="auto"/>
                <w:position w:val="-2"/>
                <w:szCs w:val="21"/>
                <w:highlight w:val="none"/>
              </w:rPr>
            </w:pPr>
            <w:r>
              <w:rPr>
                <w:rFonts w:hint="eastAsia" w:asciiTheme="minorEastAsia" w:hAnsiTheme="minorEastAsia" w:eastAsiaTheme="minorEastAsia"/>
                <w:color w:val="auto"/>
                <w:position w:val="-2"/>
                <w:szCs w:val="21"/>
                <w:highlight w:val="none"/>
              </w:rPr>
              <w:t>15.1</w:t>
            </w:r>
          </w:p>
        </w:tc>
        <w:tc>
          <w:tcPr>
            <w:tcW w:w="1701" w:type="dxa"/>
            <w:vAlign w:val="center"/>
          </w:tcPr>
          <w:p>
            <w:pPr>
              <w:spacing w:line="360" w:lineRule="exact"/>
              <w:jc w:val="center"/>
              <w:rPr>
                <w:rFonts w:asciiTheme="minorEastAsia" w:hAnsiTheme="minorEastAsia" w:eastAsiaTheme="minorEastAsia"/>
                <w:color w:val="auto"/>
                <w:position w:val="-2"/>
                <w:szCs w:val="21"/>
                <w:highlight w:val="none"/>
              </w:rPr>
            </w:pPr>
            <w:r>
              <w:rPr>
                <w:rFonts w:hint="eastAsia" w:asciiTheme="minorEastAsia" w:hAnsiTheme="minorEastAsia" w:eastAsiaTheme="minorEastAsia"/>
                <w:color w:val="auto"/>
                <w:position w:val="-2"/>
                <w:szCs w:val="21"/>
                <w:highlight w:val="none"/>
              </w:rPr>
              <w:t>响应文件有效期</w:t>
            </w:r>
          </w:p>
        </w:tc>
        <w:tc>
          <w:tcPr>
            <w:tcW w:w="7273" w:type="dxa"/>
            <w:vAlign w:val="center"/>
          </w:tcPr>
          <w:p>
            <w:pPr>
              <w:tabs>
                <w:tab w:val="left" w:pos="1305"/>
              </w:tabs>
              <w:spacing w:line="3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w:t>
            </w:r>
          </w:p>
        </w:tc>
        <w:tc>
          <w:tcPr>
            <w:tcW w:w="714"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响应文件份数</w:t>
            </w:r>
          </w:p>
        </w:tc>
        <w:tc>
          <w:tcPr>
            <w:tcW w:w="7273" w:type="dxa"/>
            <w:vAlign w:val="center"/>
          </w:tcPr>
          <w:p>
            <w:pPr>
              <w:spacing w:line="35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正本</w:t>
            </w:r>
            <w:r>
              <w:rPr>
                <w:rFonts w:hint="eastAsia" w:asciiTheme="minorEastAsia" w:hAnsiTheme="minorEastAsia" w:eastAsiaTheme="minorEastAsia"/>
                <w:color w:val="auto"/>
                <w:szCs w:val="21"/>
                <w:highlight w:val="none"/>
                <w:u w:val="single"/>
                <w:lang w:eastAsia="zh-CN"/>
              </w:rPr>
              <w:t>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份，副本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叁</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份,电子版响应文件一份（</w:t>
            </w:r>
            <w:r>
              <w:rPr>
                <w:rFonts w:hint="eastAsia" w:asciiTheme="minorEastAsia" w:hAnsiTheme="minorEastAsia" w:eastAsiaTheme="minorEastAsia"/>
                <w:color w:val="auto"/>
                <w:szCs w:val="21"/>
                <w:highlight w:val="none"/>
                <w:lang w:eastAsia="zh-CN"/>
              </w:rPr>
              <w:t>光</w:t>
            </w:r>
            <w:r>
              <w:rPr>
                <w:rFonts w:hint="eastAsia" w:asciiTheme="minorEastAsia" w:hAnsiTheme="minorEastAsia" w:eastAsiaTheme="minorEastAsia"/>
                <w:color w:val="auto"/>
                <w:szCs w:val="21"/>
                <w:highlight w:val="none"/>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16.2</w:t>
            </w:r>
          </w:p>
        </w:tc>
        <w:tc>
          <w:tcPr>
            <w:tcW w:w="1701" w:type="dxa"/>
            <w:vAlign w:val="center"/>
          </w:tcPr>
          <w:p>
            <w:pPr>
              <w:spacing w:line="360" w:lineRule="exact"/>
              <w:jc w:val="center"/>
              <w:rPr>
                <w:rFonts w:asciiTheme="minorEastAsia" w:hAnsiTheme="minorEastAsia" w:eastAsiaTheme="minorEastAsia"/>
                <w:color w:val="auto"/>
                <w:position w:val="10"/>
                <w:szCs w:val="21"/>
                <w:highlight w:val="none"/>
              </w:rPr>
            </w:pPr>
            <w:r>
              <w:rPr>
                <w:rFonts w:hint="eastAsia" w:asciiTheme="minorEastAsia" w:hAnsiTheme="minorEastAsia" w:eastAsiaTheme="minorEastAsia"/>
                <w:color w:val="auto"/>
                <w:szCs w:val="21"/>
                <w:highlight w:val="none"/>
              </w:rPr>
              <w:t>响应文件装订要求</w:t>
            </w:r>
          </w:p>
        </w:tc>
        <w:tc>
          <w:tcPr>
            <w:tcW w:w="7273" w:type="dxa"/>
            <w:vAlign w:val="center"/>
          </w:tcPr>
          <w:p>
            <w:pPr>
              <w:spacing w:line="35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供应商应按 “响应文件组成”规定的顺序自编目录及页码。响应文件的“正本”、“副本”应当单独装订成册并标注页码，装订应牢固，不易拆散和换页。封面应注明“正本”、“副本”字样，封面上写明采购项目名称、采购项目编号、标项、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16.6</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响应文件包装、密封、标记                  </w:t>
            </w:r>
          </w:p>
        </w:tc>
        <w:tc>
          <w:tcPr>
            <w:tcW w:w="7273" w:type="dxa"/>
            <w:vAlign w:val="center"/>
          </w:tcPr>
          <w:p>
            <w:pPr>
              <w:snapToGrid w:val="0"/>
              <w:spacing w:line="380" w:lineRule="exact"/>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响应文件包装、密封：</w:t>
            </w:r>
            <w:r>
              <w:rPr>
                <w:rFonts w:hint="eastAsia" w:cs="宋体" w:asciiTheme="minorEastAsia" w:hAnsiTheme="minorEastAsia" w:eastAsiaTheme="minorEastAsia"/>
                <w:color w:val="auto"/>
                <w:szCs w:val="21"/>
                <w:highlight w:val="none"/>
              </w:rPr>
              <w:t>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p>
          <w:p>
            <w:pPr>
              <w:spacing w:line="35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响应文件袋标记：</w:t>
            </w:r>
          </w:p>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项目名称： </w:t>
            </w:r>
          </w:p>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项目编号： </w:t>
            </w:r>
          </w:p>
          <w:p>
            <w:pPr>
              <w:spacing w:line="340" w:lineRule="exact"/>
              <w:rPr>
                <w:rFonts w:cs="宋体"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szCs w:val="21"/>
                <w:highlight w:val="none"/>
              </w:rPr>
              <w:t>采购代理机构：</w:t>
            </w:r>
            <w:r>
              <w:rPr>
                <w:rFonts w:hint="eastAsia" w:cs="宋体" w:asciiTheme="minorEastAsia" w:hAnsiTheme="minorEastAsia" w:eastAsiaTheme="minorEastAsia"/>
                <w:color w:val="auto"/>
                <w:kern w:val="0"/>
                <w:szCs w:val="21"/>
                <w:highlight w:val="none"/>
              </w:rPr>
              <w:t>广西建设工程机电设备招标中心有限公司</w:t>
            </w:r>
          </w:p>
          <w:p>
            <w:pPr>
              <w:spacing w:line="35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w:t>
            </w:r>
          </w:p>
          <w:p>
            <w:pPr>
              <w:spacing w:line="35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  年</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月  日 时 分前不得开启</w:t>
            </w:r>
            <w:r>
              <w:rPr>
                <w:rFonts w:hint="eastAsia" w:asciiTheme="minorEastAsia" w:hAnsiTheme="minorEastAsia" w:eastAsiaTheme="minorEastAsia"/>
                <w:b/>
                <w:color w:val="auto"/>
                <w:szCs w:val="21"/>
                <w:highlight w:val="none"/>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16.7</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供应商公章</w:t>
            </w:r>
          </w:p>
        </w:tc>
        <w:tc>
          <w:tcPr>
            <w:tcW w:w="7273" w:type="dxa"/>
            <w:vAlign w:val="center"/>
          </w:tcPr>
          <w:p>
            <w:pPr>
              <w:spacing w:line="35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本</w:t>
            </w:r>
            <w:r>
              <w:rPr>
                <w:rFonts w:hint="eastAsia" w:cs="宋体" w:asciiTheme="minorEastAsia" w:hAnsiTheme="minorEastAsia" w:eastAsiaTheme="minorEastAsia"/>
                <w:color w:val="auto"/>
                <w:szCs w:val="21"/>
                <w:highlight w:val="none"/>
              </w:rPr>
              <w:t>竞争性谈判文件</w:t>
            </w:r>
            <w:r>
              <w:rPr>
                <w:rFonts w:cs="宋体" w:asciiTheme="minorEastAsia" w:hAnsiTheme="minorEastAsia" w:eastAsiaTheme="minorEastAsia"/>
                <w:color w:val="auto"/>
                <w:szCs w:val="21"/>
                <w:highlight w:val="none"/>
              </w:rPr>
              <w:t>中描述</w:t>
            </w:r>
            <w:r>
              <w:rPr>
                <w:rFonts w:hint="eastAsia" w:cs="宋体" w:asciiTheme="minorEastAsia" w:hAnsiTheme="minorEastAsia" w:eastAsiaTheme="minorEastAsia"/>
                <w:color w:val="auto"/>
                <w:szCs w:val="21"/>
                <w:highlight w:val="none"/>
              </w:rPr>
              <w:t>供应商</w:t>
            </w:r>
            <w:r>
              <w:rPr>
                <w:rFonts w:cs="宋体" w:asciiTheme="minorEastAsia" w:hAnsiTheme="minorEastAsia" w:eastAsiaTheme="minorEastAsia"/>
                <w:color w:val="auto"/>
                <w:szCs w:val="21"/>
                <w:highlight w:val="none"/>
              </w:rPr>
              <w:t>的“公章”是指根据我国对公章的管理规定，用</w:t>
            </w:r>
            <w:r>
              <w:rPr>
                <w:rFonts w:hint="eastAsia" w:cs="宋体" w:asciiTheme="minorEastAsia" w:hAnsiTheme="minorEastAsia" w:eastAsiaTheme="minorEastAsia"/>
                <w:color w:val="auto"/>
                <w:szCs w:val="21"/>
                <w:highlight w:val="none"/>
              </w:rPr>
              <w:t>供应商</w:t>
            </w:r>
            <w:r>
              <w:rPr>
                <w:rFonts w:cs="宋体" w:asciiTheme="minorEastAsia" w:hAnsiTheme="minorEastAsia" w:eastAsiaTheme="minorEastAsia"/>
                <w:color w:val="auto"/>
                <w:szCs w:val="21"/>
                <w:highlight w:val="none"/>
              </w:rPr>
              <w:t>法定主体行为名称制作的印章，除本文件有特殊规定外，</w:t>
            </w:r>
            <w:r>
              <w:rPr>
                <w:rFonts w:hint="eastAsia" w:cs="宋体" w:asciiTheme="minorEastAsia" w:hAnsiTheme="minorEastAsia" w:eastAsiaTheme="minorEastAsia"/>
                <w:color w:val="auto"/>
                <w:szCs w:val="21"/>
                <w:highlight w:val="none"/>
              </w:rPr>
              <w:t>供应商</w:t>
            </w:r>
            <w:r>
              <w:rPr>
                <w:rFonts w:cs="宋体" w:asciiTheme="minorEastAsia" w:hAnsiTheme="minorEastAsia" w:eastAsiaTheme="minorEastAsia"/>
                <w:color w:val="auto"/>
                <w:szCs w:val="21"/>
                <w:highlight w:val="none"/>
              </w:rPr>
              <w:t>的财务章、部门章、分公司章、工会章、合同章、</w:t>
            </w:r>
            <w:r>
              <w:rPr>
                <w:rFonts w:hint="eastAsia" w:cs="宋体" w:asciiTheme="minorEastAsia" w:hAnsiTheme="minorEastAsia" w:eastAsiaTheme="minorEastAsia"/>
                <w:color w:val="auto"/>
                <w:szCs w:val="21"/>
                <w:highlight w:val="none"/>
              </w:rPr>
              <w:t>投标</w:t>
            </w:r>
            <w:r>
              <w:rPr>
                <w:rFonts w:cs="宋体" w:asciiTheme="minorEastAsia" w:hAnsiTheme="minorEastAsia" w:eastAsiaTheme="minorEastAsia"/>
                <w:color w:val="auto"/>
                <w:szCs w:val="21"/>
                <w:highlight w:val="none"/>
              </w:rPr>
              <w:t>专用章、业务专用章及银行的转账章、现金收讫章、现金付讫章等其它形式印章均不能代替公章</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17.1</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响应文件递交</w:t>
            </w:r>
          </w:p>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截止时间、地点</w:t>
            </w:r>
          </w:p>
        </w:tc>
        <w:tc>
          <w:tcPr>
            <w:tcW w:w="7273" w:type="dxa"/>
            <w:vAlign w:val="center"/>
          </w:tcPr>
          <w:p>
            <w:pPr>
              <w:spacing w:line="360" w:lineRule="exact"/>
              <w:rPr>
                <w:rFonts w:cs="Arial"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时  间：</w:t>
            </w:r>
            <w:r>
              <w:rPr>
                <w:rFonts w:hint="eastAsia" w:asciiTheme="minorEastAsia" w:hAnsiTheme="minorEastAsia" w:eastAsiaTheme="minorEastAsia" w:cstheme="minorEastAsia"/>
                <w:i w:val="0"/>
                <w:iCs w:val="0"/>
                <w:color w:val="auto"/>
                <w:sz w:val="21"/>
                <w:szCs w:val="21"/>
                <w:highlight w:val="none"/>
                <w:u w:val="single"/>
                <w:lang w:val="en-US" w:eastAsia="zh-CN"/>
              </w:rPr>
              <w:t>2020</w:t>
            </w:r>
            <w:r>
              <w:rPr>
                <w:rFonts w:hint="eastAsia" w:asciiTheme="minorEastAsia" w:hAnsiTheme="minorEastAsia" w:eastAsiaTheme="minorEastAsia" w:cstheme="minorEastAsia"/>
                <w:bCs/>
                <w:i w:val="0"/>
                <w:iCs w:val="0"/>
                <w:color w:val="auto"/>
                <w:sz w:val="21"/>
                <w:szCs w:val="21"/>
                <w:highlight w:val="none"/>
                <w:u w:val="single"/>
              </w:rPr>
              <w:t>年</w:t>
            </w:r>
            <w:r>
              <w:rPr>
                <w:rFonts w:hint="eastAsia" w:asciiTheme="minorEastAsia" w:hAnsiTheme="minorEastAsia" w:eastAsiaTheme="minorEastAsia" w:cstheme="minorEastAsia"/>
                <w:bCs/>
                <w:i w:val="0"/>
                <w:iCs w:val="0"/>
                <w:color w:val="auto"/>
                <w:sz w:val="21"/>
                <w:szCs w:val="21"/>
                <w:highlight w:val="none"/>
                <w:u w:val="single"/>
                <w:lang w:val="en-US" w:eastAsia="zh-CN"/>
              </w:rPr>
              <w:t>11</w:t>
            </w:r>
            <w:r>
              <w:rPr>
                <w:rFonts w:hint="eastAsia" w:asciiTheme="minorEastAsia" w:hAnsiTheme="minorEastAsia" w:eastAsiaTheme="minorEastAsia" w:cstheme="minorEastAsia"/>
                <w:bCs/>
                <w:i w:val="0"/>
                <w:iCs w:val="0"/>
                <w:color w:val="auto"/>
                <w:sz w:val="21"/>
                <w:szCs w:val="21"/>
                <w:highlight w:val="none"/>
                <w:u w:val="single"/>
              </w:rPr>
              <w:t>月</w:t>
            </w:r>
            <w:r>
              <w:rPr>
                <w:rFonts w:hint="eastAsia" w:asciiTheme="minorEastAsia" w:hAnsiTheme="minorEastAsia" w:eastAsiaTheme="minorEastAsia" w:cstheme="minorEastAsia"/>
                <w:bCs/>
                <w:i w:val="0"/>
                <w:iCs w:val="0"/>
                <w:color w:val="auto"/>
                <w:sz w:val="21"/>
                <w:szCs w:val="21"/>
                <w:highlight w:val="none"/>
                <w:u w:val="single"/>
                <w:lang w:val="en-US" w:eastAsia="zh-CN"/>
              </w:rPr>
              <w:t>30</w:t>
            </w:r>
            <w:r>
              <w:rPr>
                <w:rFonts w:hint="eastAsia" w:asciiTheme="minorEastAsia" w:hAnsiTheme="minorEastAsia" w:eastAsiaTheme="minorEastAsia" w:cstheme="minorEastAsia"/>
                <w:bCs/>
                <w:i w:val="0"/>
                <w:iCs w:val="0"/>
                <w:color w:val="auto"/>
                <w:sz w:val="21"/>
                <w:szCs w:val="21"/>
                <w:highlight w:val="none"/>
                <w:u w:val="single"/>
              </w:rPr>
              <w:t>日</w:t>
            </w:r>
            <w:r>
              <w:rPr>
                <w:rFonts w:hint="eastAsia" w:asciiTheme="minorEastAsia" w:hAnsiTheme="minorEastAsia" w:eastAsiaTheme="minorEastAsia" w:cstheme="minorEastAsia"/>
                <w:bCs/>
                <w:i w:val="0"/>
                <w:iCs w:val="0"/>
                <w:color w:val="auto"/>
                <w:sz w:val="21"/>
                <w:szCs w:val="21"/>
                <w:highlight w:val="none"/>
                <w:u w:val="single"/>
                <w:lang w:val="en-US" w:eastAsia="zh-CN"/>
              </w:rPr>
              <w:t>13</w:t>
            </w:r>
            <w:r>
              <w:rPr>
                <w:rFonts w:hint="eastAsia" w:asciiTheme="minorEastAsia" w:hAnsiTheme="minorEastAsia" w:eastAsiaTheme="minorEastAsia" w:cstheme="minorEastAsia"/>
                <w:bCs/>
                <w:i w:val="0"/>
                <w:iCs w:val="0"/>
                <w:color w:val="auto"/>
                <w:sz w:val="21"/>
                <w:szCs w:val="21"/>
                <w:highlight w:val="none"/>
                <w:u w:val="single"/>
              </w:rPr>
              <w:t>点</w:t>
            </w:r>
            <w:r>
              <w:rPr>
                <w:rFonts w:hint="eastAsia" w:asciiTheme="minorEastAsia" w:hAnsiTheme="minorEastAsia" w:eastAsiaTheme="minorEastAsia" w:cstheme="minorEastAsia"/>
                <w:bCs/>
                <w:i w:val="0"/>
                <w:iCs w:val="0"/>
                <w:color w:val="auto"/>
                <w:sz w:val="21"/>
                <w:szCs w:val="21"/>
                <w:highlight w:val="none"/>
                <w:u w:val="single"/>
                <w:lang w:val="en-US" w:eastAsia="zh-CN"/>
              </w:rPr>
              <w:t>00</w:t>
            </w:r>
            <w:r>
              <w:rPr>
                <w:rFonts w:hint="eastAsia" w:asciiTheme="minorEastAsia" w:hAnsiTheme="minorEastAsia" w:eastAsiaTheme="minorEastAsia" w:cstheme="minorEastAsia"/>
                <w:bCs/>
                <w:i w:val="0"/>
                <w:iCs w:val="0"/>
                <w:color w:val="auto"/>
                <w:sz w:val="21"/>
                <w:szCs w:val="21"/>
                <w:highlight w:val="none"/>
                <w:u w:val="single"/>
              </w:rPr>
              <w:t>分</w:t>
            </w:r>
            <w:r>
              <w:rPr>
                <w:rFonts w:hint="eastAsia" w:cs="Arial" w:asciiTheme="minorEastAsia" w:hAnsiTheme="minorEastAsia" w:eastAsiaTheme="minorEastAsia"/>
                <w:color w:val="auto"/>
                <w:szCs w:val="21"/>
                <w:highlight w:val="none"/>
                <w:u w:val="single"/>
              </w:rPr>
              <w:t xml:space="preserve"> </w:t>
            </w:r>
          </w:p>
          <w:p>
            <w:pPr>
              <w:spacing w:line="36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点： 南宁市良庆区玉洞大道33号（青少年活动中心旁）市民中心9楼南宁市公共资源交易中心开标厅（具体安排详见9楼电子大屏幕场地安排表）</w:t>
            </w:r>
            <w:r>
              <w:rPr>
                <w:rFonts w:hint="eastAsia" w:cs="Arial" w:asciiTheme="minorEastAsia" w:hAnsiTheme="minorEastAsia" w:eastAsiaTheme="minorEastAsia"/>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18.2</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谈判时间、地点、人员</w:t>
            </w:r>
          </w:p>
        </w:tc>
        <w:tc>
          <w:tcPr>
            <w:tcW w:w="7273" w:type="dxa"/>
          </w:tcPr>
          <w:p>
            <w:pPr>
              <w:spacing w:line="350" w:lineRule="exact"/>
              <w:ind w:left="315" w:hanging="315" w:hanging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谈判时间：响应文件递交截止时间后，具体时间由采购代理机构另行通知。</w:t>
            </w:r>
          </w:p>
          <w:p>
            <w:pPr>
              <w:tabs>
                <w:tab w:val="left" w:pos="1140"/>
              </w:tabs>
              <w:spacing w:line="35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谈判地点： 南宁市良庆区玉洞大道33号（青少年活动中心旁）市民中心</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楼南宁市公共资源交易中心</w:t>
            </w:r>
          </w:p>
          <w:p>
            <w:pPr>
              <w:spacing w:line="35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谈判参加人员：评审当天竞标人务必保持电话畅通。如果评审过程中需要与竞标人进行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、要求竞标人进行报价以及对响应文件作出澄清、说明或者补正的，</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小组会通知竞标人在规定的时间内通过电子邮件</w:t>
            </w:r>
            <w:r>
              <w:rPr>
                <w:rFonts w:hint="eastAsia" w:asciiTheme="minorEastAsia" w:hAnsiTheme="minorEastAsia" w:eastAsiaTheme="minorEastAsia"/>
                <w:color w:val="auto"/>
                <w:szCs w:val="21"/>
                <w:highlight w:val="none"/>
                <w:lang w:eastAsia="zh-CN"/>
              </w:rPr>
              <w:t>或</w:t>
            </w:r>
            <w:r>
              <w:rPr>
                <w:rFonts w:hint="eastAsia" w:asciiTheme="minorEastAsia" w:hAnsiTheme="minorEastAsia" w:eastAsiaTheme="minorEastAsia"/>
                <w:color w:val="auto"/>
                <w:szCs w:val="21"/>
                <w:highlight w:val="none"/>
              </w:rPr>
              <w:t>传真等方式提交。竞标人所提交的</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应答文件、报价、澄清、说明或者补正等材料必须加盖供应商的公章确认。如竞标人未按采购文件要求填写联系电话、传真号码或电子邮箱，致使采购代理机构或</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小组在项目</w:t>
            </w:r>
            <w:r>
              <w:rPr>
                <w:rFonts w:hint="eastAsia" w:asciiTheme="minorEastAsia" w:hAnsiTheme="minorEastAsia" w:eastAsiaTheme="minorEastAsia"/>
                <w:color w:val="auto"/>
                <w:szCs w:val="21"/>
                <w:highlight w:val="none"/>
                <w:lang w:eastAsia="zh-CN"/>
              </w:rPr>
              <w:t>评审</w:t>
            </w:r>
            <w:r>
              <w:rPr>
                <w:rFonts w:hint="eastAsia" w:asciiTheme="minorEastAsia" w:hAnsiTheme="minorEastAsia" w:eastAsiaTheme="minorEastAsia"/>
                <w:color w:val="auto"/>
                <w:szCs w:val="21"/>
                <w:highlight w:val="none"/>
              </w:rPr>
              <w:t>期间无法与其取得联系的，或因自身原因未能保持电话畅通或未按谈判小组要求提交澄清、说明、报价或者补正的，后果由竞标人自行承担。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评审办法</w:t>
            </w:r>
          </w:p>
        </w:tc>
        <w:tc>
          <w:tcPr>
            <w:tcW w:w="7273" w:type="dxa"/>
          </w:tcPr>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w:t>
            </w:r>
          </w:p>
        </w:tc>
        <w:tc>
          <w:tcPr>
            <w:tcW w:w="714"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w:t>
            </w:r>
          </w:p>
        </w:tc>
        <w:tc>
          <w:tcPr>
            <w:tcW w:w="170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信用查询</w:t>
            </w:r>
          </w:p>
        </w:tc>
        <w:tc>
          <w:tcPr>
            <w:tcW w:w="7273" w:type="dxa"/>
            <w:vAlign w:val="center"/>
          </w:tcPr>
          <w:p>
            <w:pPr>
              <w:autoSpaceDE w:val="0"/>
              <w:autoSpaceDN w:val="0"/>
              <w:snapToGrid w:val="0"/>
              <w:spacing w:line="440" w:lineRule="exact"/>
              <w:textAlignment w:val="bottom"/>
              <w:rPr>
                <w:rFonts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40" w:lineRule="exact"/>
              <w:textAlignment w:val="bottom"/>
              <w:rPr>
                <w:rFonts w:ascii="宋体" w:hAnsi="宋体"/>
                <w:color w:val="auto"/>
                <w:highlight w:val="none"/>
              </w:rPr>
            </w:pPr>
            <w:r>
              <w:rPr>
                <w:rFonts w:hint="eastAsia" w:ascii="宋体" w:hAnsi="宋体"/>
                <w:color w:val="auto"/>
                <w:highlight w:val="none"/>
              </w:rPr>
              <w:t>⑴查询渠道：“信用中国”网站(www.creditchina.gov.cn)、中国政府采购网(www.ccgp.gov.cn)等；</w:t>
            </w:r>
          </w:p>
          <w:p>
            <w:pPr>
              <w:autoSpaceDE w:val="0"/>
              <w:autoSpaceDN w:val="0"/>
              <w:snapToGrid w:val="0"/>
              <w:spacing w:line="440" w:lineRule="exact"/>
              <w:textAlignment w:val="bottom"/>
              <w:rPr>
                <w:rFonts w:ascii="宋体" w:hAnsi="宋体"/>
                <w:color w:val="auto"/>
                <w:highlight w:val="none"/>
              </w:rPr>
            </w:pPr>
            <w:r>
              <w:rPr>
                <w:rFonts w:hint="eastAsia" w:ascii="宋体" w:hAnsi="宋体"/>
                <w:color w:val="auto"/>
                <w:highlight w:val="none"/>
              </w:rPr>
              <w:t>⑵查询截止时点：成交通知书发出前；</w:t>
            </w:r>
          </w:p>
          <w:p>
            <w:pPr>
              <w:autoSpaceDE w:val="0"/>
              <w:autoSpaceDN w:val="0"/>
              <w:snapToGrid w:val="0"/>
              <w:spacing w:line="440" w:lineRule="exact"/>
              <w:textAlignment w:val="bottom"/>
              <w:rPr>
                <w:rFonts w:ascii="宋体" w:hAnsi="宋体"/>
                <w:color w:val="auto"/>
                <w:highlight w:val="none"/>
              </w:rPr>
            </w:pPr>
            <w:r>
              <w:rPr>
                <w:rFonts w:hint="eastAsia" w:ascii="宋体" w:hAnsi="宋体"/>
                <w:color w:val="auto"/>
                <w:highlight w:val="none"/>
              </w:rPr>
              <w:t>⑶信用信息查询记录和证据留存方式：在查询网站中直接打印查询记录，打印材料作为采购活动资料保存。</w:t>
            </w:r>
          </w:p>
          <w:p>
            <w:pPr>
              <w:pStyle w:val="176"/>
              <w:spacing w:line="440" w:lineRule="exact"/>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spacing w:line="400" w:lineRule="exact"/>
              <w:ind w:firstLine="420" w:firstLineChars="200"/>
              <w:rPr>
                <w:rFonts w:ascii="宋体" w:hAnsi="宋体"/>
                <w:color w:val="auto"/>
                <w:szCs w:val="21"/>
                <w:highlight w:val="none"/>
              </w:rPr>
            </w:pPr>
            <w:r>
              <w:rPr>
                <w:rFonts w:hint="eastAsia"/>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w:t>
            </w:r>
          </w:p>
        </w:tc>
        <w:tc>
          <w:tcPr>
            <w:tcW w:w="714" w:type="dxa"/>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w:t>
            </w:r>
          </w:p>
        </w:tc>
        <w:tc>
          <w:tcPr>
            <w:tcW w:w="1701" w:type="dxa"/>
            <w:vAlign w:val="center"/>
          </w:tcPr>
          <w:p>
            <w:pPr>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成交公告及成交通知书</w:t>
            </w:r>
          </w:p>
        </w:tc>
        <w:tc>
          <w:tcPr>
            <w:tcW w:w="7273"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w:t>
            </w:r>
          </w:p>
        </w:tc>
        <w:tc>
          <w:tcPr>
            <w:tcW w:w="714"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w:t>
            </w:r>
          </w:p>
        </w:tc>
        <w:tc>
          <w:tcPr>
            <w:tcW w:w="1701"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w:t>
            </w:r>
          </w:p>
        </w:tc>
        <w:tc>
          <w:tcPr>
            <w:tcW w:w="7273" w:type="dxa"/>
          </w:tcPr>
          <w:p>
            <w:pPr>
              <w:spacing w:line="3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w:t>
            </w:r>
          </w:p>
        </w:tc>
        <w:tc>
          <w:tcPr>
            <w:tcW w:w="714" w:type="dxa"/>
          </w:tcPr>
          <w:p>
            <w:pPr>
              <w:snapToGrid w:val="0"/>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w:t>
            </w:r>
          </w:p>
        </w:tc>
        <w:tc>
          <w:tcPr>
            <w:tcW w:w="1701" w:type="dxa"/>
            <w:vAlign w:val="center"/>
          </w:tcPr>
          <w:p>
            <w:pPr>
              <w:snapToGrid w:val="0"/>
              <w:spacing w:line="36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代理服务费</w:t>
            </w:r>
          </w:p>
        </w:tc>
        <w:tc>
          <w:tcPr>
            <w:tcW w:w="7273" w:type="dxa"/>
            <w:vAlign w:val="center"/>
          </w:tcPr>
          <w:p>
            <w:pPr>
              <w:spacing w:line="36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交服务费参照“国家发展计划委员会文件关于印发《招标代理服务收费管理暂行办法》的通知（计价格【2002】1980号）”规定标准向成交人收取，成交人领取中标通知书时,应向采购代理机构以转账形式一次付清招标代理服务费</w:t>
            </w:r>
            <w:r>
              <w:rPr>
                <w:rFonts w:hint="eastAsia" w:asciiTheme="minorEastAsia" w:hAnsiTheme="minorEastAsia" w:eastAsiaTheme="minor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w:t>
            </w:r>
          </w:p>
        </w:tc>
        <w:tc>
          <w:tcPr>
            <w:tcW w:w="714" w:type="dxa"/>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w:t>
            </w:r>
          </w:p>
        </w:tc>
        <w:tc>
          <w:tcPr>
            <w:tcW w:w="1701"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解释权</w:t>
            </w:r>
          </w:p>
        </w:tc>
        <w:tc>
          <w:tcPr>
            <w:tcW w:w="7273" w:type="dxa"/>
            <w:vAlign w:val="center"/>
          </w:tcPr>
          <w:p>
            <w:pPr>
              <w:spacing w:line="34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本竞争性谈判文件的解释权属于采购代理机构。</w:t>
            </w:r>
          </w:p>
        </w:tc>
      </w:tr>
    </w:tbl>
    <w:p>
      <w:pPr>
        <w:pStyle w:val="24"/>
        <w:jc w:val="center"/>
        <w:rPr>
          <w:rFonts w:hAnsi="宋体"/>
          <w:b/>
          <w:color w:val="auto"/>
          <w:sz w:val="36"/>
          <w:szCs w:val="36"/>
          <w:highlight w:val="none"/>
        </w:rPr>
      </w:pPr>
      <w:r>
        <w:rPr>
          <w:rFonts w:hAnsi="宋体"/>
          <w:b/>
          <w:color w:val="auto"/>
          <w:sz w:val="36"/>
          <w:szCs w:val="36"/>
          <w:highlight w:val="none"/>
        </w:rPr>
        <w:br w:type="page"/>
      </w:r>
      <w:r>
        <w:rPr>
          <w:rFonts w:hint="eastAsia" w:hAnsi="宋体"/>
          <w:b/>
          <w:color w:val="auto"/>
          <w:sz w:val="36"/>
          <w:szCs w:val="36"/>
          <w:highlight w:val="none"/>
        </w:rPr>
        <w:t>供应商须知</w:t>
      </w:r>
    </w:p>
    <w:p>
      <w:pPr>
        <w:jc w:val="center"/>
        <w:rPr>
          <w:rFonts w:ascii="宋体" w:hAnsi="宋体"/>
          <w:b/>
          <w:color w:val="auto"/>
          <w:sz w:val="24"/>
          <w:highlight w:val="none"/>
        </w:rPr>
      </w:pPr>
      <w:r>
        <w:rPr>
          <w:rFonts w:hint="eastAsia" w:ascii="宋体" w:hAnsi="宋体"/>
          <w:b/>
          <w:color w:val="auto"/>
          <w:sz w:val="24"/>
          <w:highlight w:val="none"/>
        </w:rPr>
        <w:t>一、总 则</w:t>
      </w:r>
    </w:p>
    <w:p>
      <w:pPr>
        <w:spacing w:line="360" w:lineRule="auto"/>
        <w:rPr>
          <w:rFonts w:ascii="宋体" w:hAnsi="宋体"/>
          <w:b/>
          <w:color w:val="auto"/>
          <w:sz w:val="24"/>
          <w:highlight w:val="none"/>
        </w:rPr>
      </w:pPr>
      <w:r>
        <w:rPr>
          <w:rFonts w:hint="eastAsia" w:ascii="宋体" w:hAnsi="宋体"/>
          <w:b/>
          <w:color w:val="auto"/>
          <w:sz w:val="24"/>
          <w:highlight w:val="none"/>
        </w:rPr>
        <w:t>1. 适用范围</w:t>
      </w:r>
    </w:p>
    <w:p>
      <w:pPr>
        <w:spacing w:line="360" w:lineRule="auto"/>
        <w:ind w:left="-61" w:leftChars="-29" w:firstLine="120" w:firstLineChars="50"/>
        <w:rPr>
          <w:rFonts w:ascii="宋体" w:hAnsi="宋体"/>
          <w:color w:val="auto"/>
          <w:sz w:val="24"/>
          <w:highlight w:val="none"/>
        </w:rPr>
      </w:pPr>
      <w:r>
        <w:rPr>
          <w:rFonts w:hint="eastAsia" w:ascii="宋体" w:hAnsi="宋体"/>
          <w:color w:val="auto"/>
          <w:sz w:val="24"/>
          <w:highlight w:val="none"/>
        </w:rPr>
        <w:t>1.1 本文件仅适用于下列项目所叙述的服务类政府采购。</w:t>
      </w:r>
    </w:p>
    <w:p>
      <w:pPr>
        <w:spacing w:line="360" w:lineRule="auto"/>
        <w:ind w:left="-61" w:leftChars="-29" w:firstLine="120" w:firstLineChars="5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2020年道路运输信息系统安全等级评测服务</w:t>
      </w:r>
      <w:r>
        <w:rPr>
          <w:rFonts w:hint="eastAsia" w:ascii="宋体" w:hAnsi="宋体"/>
          <w:color w:val="auto"/>
          <w:sz w:val="24"/>
          <w:highlight w:val="none"/>
        </w:rPr>
        <w:t>采购</w:t>
      </w:r>
    </w:p>
    <w:p>
      <w:pPr>
        <w:spacing w:line="360" w:lineRule="auto"/>
        <w:ind w:left="-61" w:leftChars="-29" w:firstLine="120" w:firstLineChars="5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FC(3)2020551JNN</w:t>
      </w:r>
    </w:p>
    <w:p>
      <w:pPr>
        <w:spacing w:line="360" w:lineRule="auto"/>
        <w:rPr>
          <w:rFonts w:ascii="宋体" w:hAnsi="宋体"/>
          <w:color w:val="auto"/>
          <w:sz w:val="24"/>
          <w:highlight w:val="none"/>
        </w:rPr>
      </w:pPr>
      <w:r>
        <w:rPr>
          <w:rFonts w:hint="eastAsia" w:ascii="宋体" w:hAnsi="宋体"/>
          <w:b/>
          <w:color w:val="auto"/>
          <w:sz w:val="24"/>
          <w:highlight w:val="none"/>
        </w:rPr>
        <w:t>2. 定义</w:t>
      </w:r>
    </w:p>
    <w:p>
      <w:pPr>
        <w:spacing w:line="360" w:lineRule="auto"/>
        <w:rPr>
          <w:rFonts w:ascii="宋体" w:hAnsi="宋体"/>
          <w:color w:val="auto"/>
          <w:sz w:val="24"/>
          <w:highlight w:val="none"/>
          <w:u w:val="single"/>
        </w:rPr>
      </w:pPr>
      <w:r>
        <w:rPr>
          <w:rFonts w:hint="eastAsia" w:ascii="宋体" w:hAnsi="宋体"/>
          <w:color w:val="auto"/>
          <w:sz w:val="24"/>
          <w:highlight w:val="none"/>
        </w:rPr>
        <w:t>2.1“采购人”是指：</w:t>
      </w:r>
      <w:r>
        <w:rPr>
          <w:rFonts w:hint="eastAsia" w:ascii="宋体" w:hAnsi="宋体"/>
          <w:color w:val="auto"/>
          <w:sz w:val="24"/>
          <w:highlight w:val="none"/>
          <w:lang w:eastAsia="zh-CN"/>
        </w:rPr>
        <w:t>南宁市交通运输信息中心</w:t>
      </w:r>
      <w:r>
        <w:rPr>
          <w:rFonts w:hint="eastAsia"/>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2.2“政府采购代理机构”是指：广西建设工程机电设备招标中心有限公司</w:t>
      </w:r>
    </w:p>
    <w:p>
      <w:pPr>
        <w:spacing w:line="360" w:lineRule="auto"/>
        <w:rPr>
          <w:rFonts w:ascii="宋体" w:hAnsi="宋体"/>
          <w:color w:val="auto"/>
          <w:sz w:val="24"/>
          <w:highlight w:val="none"/>
        </w:rPr>
      </w:pPr>
      <w:r>
        <w:rPr>
          <w:rFonts w:hint="eastAsia" w:ascii="宋体" w:hAnsi="宋体"/>
          <w:color w:val="auto"/>
          <w:sz w:val="24"/>
          <w:highlight w:val="none"/>
        </w:rPr>
        <w:t>2.3“供应商”是指符合本次采购项目的供应商资格并提交响应文件、参加谈判的供应商。如果该供应商在本次谈判中成交，即成为“成交供应商”。</w:t>
      </w:r>
    </w:p>
    <w:p>
      <w:pPr>
        <w:spacing w:line="360" w:lineRule="auto"/>
        <w:rPr>
          <w:rFonts w:ascii="宋体" w:hAnsi="宋体"/>
          <w:color w:val="auto"/>
          <w:sz w:val="24"/>
          <w:highlight w:val="none"/>
        </w:rPr>
      </w:pPr>
      <w:r>
        <w:rPr>
          <w:rFonts w:hint="eastAsia" w:ascii="宋体" w:hAnsi="宋体"/>
          <w:color w:val="auto"/>
          <w:sz w:val="24"/>
          <w:highlight w:val="none"/>
        </w:rPr>
        <w:t>2.4“货物”系指按谈判文件规定，供应商须向采购人提供的一切设备、保险、税金、备品备件、工具、手册及其它有关技术资料和材料。</w:t>
      </w:r>
    </w:p>
    <w:p>
      <w:pPr>
        <w:spacing w:line="360" w:lineRule="auto"/>
        <w:rPr>
          <w:rFonts w:ascii="宋体" w:hAnsi="宋体"/>
          <w:color w:val="auto"/>
          <w:sz w:val="24"/>
          <w:highlight w:val="none"/>
        </w:rPr>
      </w:pPr>
      <w:r>
        <w:rPr>
          <w:rFonts w:hint="eastAsia" w:ascii="宋体" w:hAnsi="宋体"/>
          <w:color w:val="auto"/>
          <w:sz w:val="24"/>
          <w:highlight w:val="none"/>
        </w:rPr>
        <w:t>2.5“服务”系指按谈判文件规定，供应商须承担的安装、调试、技术协助、校准、培训、技术指导以及其他类似的义务。</w:t>
      </w:r>
    </w:p>
    <w:p>
      <w:pPr>
        <w:spacing w:line="360" w:lineRule="auto"/>
        <w:rPr>
          <w:rFonts w:ascii="宋体" w:hAnsi="宋体"/>
          <w:color w:val="auto"/>
          <w:sz w:val="24"/>
          <w:highlight w:val="none"/>
        </w:rPr>
      </w:pPr>
      <w:r>
        <w:rPr>
          <w:rFonts w:hint="eastAsia" w:ascii="宋体" w:hAnsi="宋体"/>
          <w:color w:val="auto"/>
          <w:sz w:val="24"/>
          <w:highlight w:val="none"/>
        </w:rPr>
        <w:t>2.6“项目”系指供应商按谈判文件规定向采购人提供的货物和服务。</w:t>
      </w:r>
    </w:p>
    <w:p>
      <w:pPr>
        <w:spacing w:line="360" w:lineRule="auto"/>
        <w:rPr>
          <w:rFonts w:ascii="宋体" w:hAnsi="宋体"/>
          <w:color w:val="auto"/>
          <w:sz w:val="24"/>
          <w:highlight w:val="none"/>
        </w:rPr>
      </w:pPr>
      <w:r>
        <w:rPr>
          <w:rFonts w:hint="eastAsia" w:ascii="宋体" w:hAnsi="宋体"/>
          <w:color w:val="auto"/>
          <w:sz w:val="24"/>
          <w:highlight w:val="none"/>
        </w:rPr>
        <w:t>2.7“书面形式”包括信函、传真、电报等。</w:t>
      </w:r>
    </w:p>
    <w:p>
      <w:pPr>
        <w:spacing w:line="360" w:lineRule="auto"/>
        <w:rPr>
          <w:rFonts w:ascii="宋体" w:hAnsi="宋体"/>
          <w:b/>
          <w:color w:val="auto"/>
          <w:sz w:val="24"/>
          <w:highlight w:val="none"/>
        </w:rPr>
      </w:pPr>
      <w:r>
        <w:rPr>
          <w:rFonts w:hint="eastAsia" w:ascii="宋体" w:hAnsi="宋体"/>
          <w:b/>
          <w:color w:val="auto"/>
          <w:sz w:val="24"/>
          <w:highlight w:val="none"/>
        </w:rPr>
        <w:t>3. 供应商资格</w:t>
      </w:r>
    </w:p>
    <w:p>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符合《中华人民共和国政府采购法》第二十二条规定。</w:t>
      </w:r>
    </w:p>
    <w:p>
      <w:pPr>
        <w:spacing w:line="360"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国内注册</w:t>
      </w:r>
      <w:r>
        <w:rPr>
          <w:rFonts w:hint="eastAsia" w:ascii="宋体" w:hAnsi="宋体"/>
          <w:color w:val="auto"/>
          <w:sz w:val="24"/>
          <w:highlight w:val="none"/>
        </w:rPr>
        <w:t>，经营本次采购服务</w:t>
      </w:r>
      <w:r>
        <w:rPr>
          <w:rFonts w:ascii="宋体" w:hAnsi="宋体"/>
          <w:color w:val="auto"/>
          <w:sz w:val="24"/>
          <w:highlight w:val="none"/>
        </w:rPr>
        <w:t>的</w:t>
      </w:r>
      <w:r>
        <w:rPr>
          <w:rFonts w:hint="eastAsia" w:ascii="宋体" w:hAnsi="宋体"/>
          <w:color w:val="auto"/>
          <w:sz w:val="24"/>
          <w:highlight w:val="none"/>
        </w:rPr>
        <w:t>供应商。</w:t>
      </w:r>
    </w:p>
    <w:p>
      <w:pPr>
        <w:spacing w:line="360" w:lineRule="auto"/>
        <w:rPr>
          <w:rFonts w:asciiTheme="minorEastAsia" w:hAnsiTheme="minorEastAsia" w:eastAsiaTheme="minorEastAsia"/>
          <w:color w:val="auto"/>
          <w:sz w:val="24"/>
          <w:highlight w:val="none"/>
        </w:rPr>
      </w:pPr>
      <w:r>
        <w:rPr>
          <w:rFonts w:hint="eastAsia" w:ascii="宋体" w:hAnsi="宋体"/>
          <w:color w:val="auto"/>
          <w:sz w:val="24"/>
          <w:highlight w:val="none"/>
        </w:rPr>
        <w:t>3.3. 参加政府采购活动前3年内在经营活动中没有重大违法记录</w:t>
      </w:r>
      <w:r>
        <w:rPr>
          <w:rFonts w:hint="eastAsia" w:asciiTheme="minorEastAsia" w:hAnsiTheme="minorEastAsia" w:eastAsiaTheme="minorEastAsia"/>
          <w:color w:val="auto"/>
          <w:sz w:val="24"/>
          <w:highlight w:val="none"/>
        </w:rPr>
        <w:t>。</w:t>
      </w:r>
    </w:p>
    <w:p>
      <w:pPr>
        <w:spacing w:line="360" w:lineRule="auto"/>
        <w:rPr>
          <w:rFonts w:ascii="宋体" w:hAnsi="宋体"/>
          <w:color w:val="auto"/>
          <w:sz w:val="24"/>
          <w:highlight w:val="none"/>
        </w:rPr>
      </w:pPr>
      <w:r>
        <w:rPr>
          <w:rFonts w:hint="eastAsia" w:asciiTheme="minorEastAsia" w:hAnsiTheme="minorEastAsia" w:eastAsiaTheme="minorEastAsia"/>
          <w:color w:val="auto"/>
          <w:sz w:val="24"/>
          <w:highlight w:val="none"/>
        </w:rPr>
        <w:t>3.4</w:t>
      </w:r>
      <w:r>
        <w:rPr>
          <w:rFonts w:hint="eastAsia" w:ascii="宋体" w:hAnsi="宋体"/>
          <w:color w:val="auto"/>
          <w:sz w:val="24"/>
          <w:highlight w:val="none"/>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rPr>
          <w:rFonts w:ascii="宋体" w:hAnsi="宋体"/>
          <w:color w:val="auto"/>
          <w:sz w:val="24"/>
          <w:highlight w:val="none"/>
        </w:rPr>
      </w:pPr>
      <w:r>
        <w:rPr>
          <w:rFonts w:hint="eastAsia" w:ascii="宋体" w:hAnsi="宋体"/>
          <w:color w:val="auto"/>
          <w:sz w:val="24"/>
          <w:highlight w:val="none"/>
        </w:rPr>
        <w:t>3.5.本项目不接受联合体竞标。</w:t>
      </w:r>
    </w:p>
    <w:p>
      <w:pPr>
        <w:spacing w:line="360" w:lineRule="auto"/>
        <w:rPr>
          <w:rFonts w:ascii="宋体" w:hAnsi="宋体"/>
          <w:b/>
          <w:color w:val="auto"/>
          <w:sz w:val="24"/>
          <w:highlight w:val="none"/>
        </w:rPr>
      </w:pPr>
      <w:r>
        <w:rPr>
          <w:rFonts w:hint="eastAsia" w:ascii="宋体" w:hAnsi="宋体"/>
          <w:b/>
          <w:color w:val="auto"/>
          <w:sz w:val="24"/>
          <w:highlight w:val="none"/>
        </w:rPr>
        <w:t>4. 谈判费用及其他事项</w:t>
      </w:r>
    </w:p>
    <w:p>
      <w:pPr>
        <w:spacing w:line="360" w:lineRule="auto"/>
        <w:ind w:left="-61"/>
        <w:rPr>
          <w:rFonts w:ascii="宋体" w:hAnsi="宋体"/>
          <w:color w:val="auto"/>
          <w:sz w:val="24"/>
          <w:highlight w:val="none"/>
        </w:rPr>
      </w:pPr>
      <w:r>
        <w:rPr>
          <w:rFonts w:hint="eastAsia" w:ascii="宋体" w:hAnsi="宋体"/>
          <w:color w:val="auto"/>
          <w:sz w:val="24"/>
          <w:highlight w:val="none"/>
        </w:rPr>
        <w:t>4.1 谈判供应商应自行承担所有与编写和提交竞争性谈判响应文件有关的费用，不论谈判结果如何，采购人和</w:t>
      </w:r>
      <w:r>
        <w:rPr>
          <w:rFonts w:hint="eastAsia" w:ascii="宋体" w:hAnsi="宋体"/>
          <w:color w:val="auto"/>
          <w:sz w:val="24"/>
          <w:highlight w:val="none"/>
          <w:u w:val="single"/>
        </w:rPr>
        <w:t>广西建设工程机电设备招标中心有限公司</w:t>
      </w:r>
      <w:r>
        <w:rPr>
          <w:rFonts w:hint="eastAsia" w:ascii="宋体" w:hAnsi="宋体"/>
          <w:color w:val="auto"/>
          <w:sz w:val="24"/>
          <w:highlight w:val="none"/>
        </w:rPr>
        <w:t>在任何情况下无义务和责任承担此类费用。</w:t>
      </w:r>
    </w:p>
    <w:p>
      <w:pPr>
        <w:snapToGrid w:val="0"/>
        <w:spacing w:line="400" w:lineRule="exact"/>
        <w:jc w:val="left"/>
        <w:rPr>
          <w:rFonts w:hint="eastAsia" w:ascii="宋体" w:hAnsi="宋体" w:eastAsia="宋体"/>
          <w:color w:val="auto"/>
          <w:sz w:val="24"/>
          <w:highlight w:val="none"/>
          <w:lang w:eastAsia="zh-CN"/>
        </w:rPr>
      </w:pPr>
      <w:r>
        <w:rPr>
          <w:rFonts w:hint="eastAsia" w:ascii="宋体" w:hAnsi="宋体"/>
          <w:b/>
          <w:color w:val="auto"/>
          <w:sz w:val="24"/>
          <w:highlight w:val="none"/>
        </w:rPr>
        <w:t>5. 联合体要求</w:t>
      </w:r>
      <w:r>
        <w:rPr>
          <w:rFonts w:hint="eastAsia" w:ascii="宋体" w:hAnsi="宋体"/>
          <w:b/>
          <w:color w:val="auto"/>
          <w:sz w:val="24"/>
          <w:highlight w:val="none"/>
          <w:lang w:eastAsia="zh-CN"/>
        </w:rPr>
        <w:t>：</w:t>
      </w:r>
      <w:r>
        <w:rPr>
          <w:rFonts w:hint="eastAsia" w:ascii="宋体" w:hAnsi="宋体"/>
          <w:b w:val="0"/>
          <w:bCs/>
          <w:color w:val="auto"/>
          <w:sz w:val="24"/>
          <w:highlight w:val="none"/>
          <w:lang w:eastAsia="zh-CN"/>
        </w:rPr>
        <w:t>本项目不接受联合体竞标</w:t>
      </w:r>
    </w:p>
    <w:p>
      <w:pPr>
        <w:tabs>
          <w:tab w:val="left" w:pos="2190"/>
        </w:tabs>
        <w:spacing w:line="380" w:lineRule="exact"/>
        <w:rPr>
          <w:rFonts w:ascii="宋体" w:hAnsi="宋体"/>
          <w:b/>
          <w:color w:val="auto"/>
          <w:sz w:val="24"/>
          <w:highlight w:val="none"/>
        </w:rPr>
      </w:pPr>
      <w:r>
        <w:rPr>
          <w:rFonts w:hint="eastAsia" w:ascii="宋体" w:hAnsi="宋体"/>
          <w:b/>
          <w:color w:val="auto"/>
          <w:sz w:val="24"/>
          <w:highlight w:val="none"/>
        </w:rPr>
        <w:t>6. 质疑和投诉</w:t>
      </w:r>
      <w:r>
        <w:rPr>
          <w:rFonts w:ascii="宋体" w:hAnsi="宋体"/>
          <w:b/>
          <w:color w:val="auto"/>
          <w:sz w:val="24"/>
          <w:highlight w:val="none"/>
        </w:rPr>
        <w:tab/>
      </w:r>
    </w:p>
    <w:p>
      <w:pPr>
        <w:tabs>
          <w:tab w:val="left" w:pos="2190"/>
        </w:tabs>
        <w:spacing w:line="380" w:lineRule="exact"/>
        <w:rPr>
          <w:rFonts w:ascii="宋体" w:hAnsi="宋体"/>
          <w:color w:val="auto"/>
          <w:sz w:val="24"/>
          <w:highlight w:val="none"/>
        </w:rPr>
      </w:pPr>
      <w:r>
        <w:rPr>
          <w:rFonts w:hint="eastAsia" w:ascii="宋体" w:hAnsi="宋体"/>
          <w:color w:val="auto"/>
          <w:sz w:val="24"/>
          <w:highlight w:val="none"/>
        </w:rPr>
        <w:t>6.1供应商认为谈判文件使自己的合法权益受到损害的，应当在公告届满之日起7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color w:val="auto"/>
          <w:sz w:val="24"/>
          <w:highlight w:val="none"/>
        </w:rPr>
      </w:pPr>
      <w:r>
        <w:rPr>
          <w:rFonts w:hint="eastAsia" w:ascii="宋体" w:hAnsi="宋体"/>
          <w:color w:val="auto"/>
          <w:sz w:val="24"/>
          <w:highlight w:val="none"/>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color w:val="auto"/>
          <w:sz w:val="24"/>
          <w:highlight w:val="none"/>
        </w:rPr>
      </w:pPr>
      <w:r>
        <w:rPr>
          <w:rFonts w:hint="eastAsia" w:ascii="宋体" w:hAnsi="宋体"/>
          <w:color w:val="auto"/>
          <w:sz w:val="24"/>
          <w:highlight w:val="none"/>
        </w:rPr>
        <w:t>6.3质疑、投诉应当采用书面形式，均应明确阐述谈判文件、谈判过程或成交结果中使自己合法权益受到损害的实质性内容，并提供必要的证明材料。</w:t>
      </w:r>
    </w:p>
    <w:p>
      <w:pPr>
        <w:tabs>
          <w:tab w:val="left" w:pos="2190"/>
        </w:tabs>
        <w:spacing w:line="380" w:lineRule="exact"/>
        <w:rPr>
          <w:rFonts w:ascii="宋体" w:hAnsi="宋体"/>
          <w:b/>
          <w:color w:val="auto"/>
          <w:sz w:val="24"/>
          <w:highlight w:val="none"/>
        </w:rPr>
      </w:pPr>
      <w:r>
        <w:rPr>
          <w:rFonts w:hint="eastAsia" w:ascii="宋体" w:hAnsi="宋体"/>
          <w:b/>
          <w:color w:val="auto"/>
          <w:sz w:val="24"/>
          <w:highlight w:val="none"/>
        </w:rPr>
        <w:t>7. 转包与分包</w:t>
      </w:r>
    </w:p>
    <w:p>
      <w:pPr>
        <w:tabs>
          <w:tab w:val="left" w:pos="2190"/>
        </w:tabs>
        <w:spacing w:line="380" w:lineRule="exact"/>
        <w:rPr>
          <w:rFonts w:ascii="宋体" w:hAnsi="宋体"/>
          <w:color w:val="auto"/>
          <w:sz w:val="24"/>
          <w:highlight w:val="none"/>
        </w:rPr>
      </w:pPr>
      <w:r>
        <w:rPr>
          <w:rFonts w:hint="eastAsia" w:ascii="宋体" w:hAnsi="宋体"/>
          <w:color w:val="auto"/>
          <w:sz w:val="24"/>
          <w:highlight w:val="none"/>
        </w:rPr>
        <w:t>7.1 本项目不允许转包。</w:t>
      </w:r>
    </w:p>
    <w:p>
      <w:pPr>
        <w:tabs>
          <w:tab w:val="left" w:pos="2190"/>
        </w:tabs>
        <w:spacing w:line="380" w:lineRule="exact"/>
        <w:rPr>
          <w:rFonts w:ascii="宋体" w:hAnsi="宋体"/>
          <w:color w:val="auto"/>
          <w:sz w:val="24"/>
          <w:highlight w:val="none"/>
        </w:rPr>
      </w:pPr>
      <w:r>
        <w:rPr>
          <w:rFonts w:hint="eastAsia" w:ascii="宋体" w:hAnsi="宋体"/>
          <w:color w:val="auto"/>
          <w:sz w:val="24"/>
          <w:highlight w:val="none"/>
        </w:rPr>
        <w:t>7.2 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val="0"/>
          <w:bCs/>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r>
        <w:rPr>
          <w:rFonts w:hint="eastAsia" w:cs="宋体" w:asciiTheme="minorEastAsia" w:hAnsiTheme="minorEastAsia" w:eastAsiaTheme="minorEastAsia"/>
          <w:b/>
          <w:color w:val="auto"/>
          <w:kern w:val="0"/>
          <w:sz w:val="24"/>
          <w:highlight w:val="none"/>
        </w:rPr>
        <w:t xml:space="preserve">     </w:t>
      </w:r>
      <w:r>
        <w:rPr>
          <w:rFonts w:hint="eastAsia" w:ascii="宋体" w:hAnsi="宋体"/>
          <w:color w:val="auto"/>
          <w:sz w:val="24"/>
          <w:highlight w:val="none"/>
        </w:rPr>
        <w:t>。</w:t>
      </w:r>
    </w:p>
    <w:p>
      <w:pPr>
        <w:tabs>
          <w:tab w:val="left" w:pos="1635"/>
        </w:tabs>
        <w:spacing w:line="380" w:lineRule="exact"/>
        <w:rPr>
          <w:rFonts w:ascii="宋体" w:hAnsi="宋体"/>
          <w:b/>
          <w:color w:val="auto"/>
          <w:sz w:val="24"/>
          <w:highlight w:val="none"/>
        </w:rPr>
      </w:pPr>
      <w:r>
        <w:rPr>
          <w:rFonts w:hint="eastAsia" w:ascii="宋体" w:hAnsi="宋体"/>
          <w:b/>
          <w:color w:val="auto"/>
          <w:sz w:val="24"/>
          <w:highlight w:val="none"/>
        </w:rPr>
        <w:t>8. 关联供应商不得参加同一合同项下政府采购活动，否则响应文件将被视为无效：</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8.1单位负责人为同一人或者存在直接控股、管理关系的，不得参加同一合同项下的政府采购活动。</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8.3为本采购项目提供整体设计、规范编制或者项目管理、监理、检测等服务的供应商，不得再参加本次采购活动。</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rPr>
          <w:rFonts w:ascii="宋体" w:hAnsi="宋体" w:cs="宋体"/>
          <w:b/>
          <w:color w:val="auto"/>
          <w:kern w:val="0"/>
          <w:sz w:val="24"/>
          <w:highlight w:val="none"/>
        </w:rPr>
      </w:pPr>
      <w:r>
        <w:rPr>
          <w:rFonts w:hint="eastAsia" w:ascii="宋体" w:hAnsi="宋体" w:cs="Tahoma"/>
          <w:b/>
          <w:color w:val="auto"/>
          <w:kern w:val="0"/>
          <w:sz w:val="24"/>
          <w:highlight w:val="none"/>
        </w:rPr>
        <w:t>9. 有下列情形之一的视为</w:t>
      </w:r>
      <w:r>
        <w:rPr>
          <w:rFonts w:ascii="宋体" w:hAnsi="宋体" w:cs="Tahoma"/>
          <w:b/>
          <w:color w:val="auto"/>
          <w:kern w:val="0"/>
          <w:sz w:val="24"/>
          <w:highlight w:val="none"/>
        </w:rPr>
        <w:t>供应商相互串通</w:t>
      </w:r>
      <w:r>
        <w:rPr>
          <w:rFonts w:hint="eastAsia" w:ascii="宋体" w:hAnsi="宋体" w:cs="Tahoma"/>
          <w:b/>
          <w:color w:val="auto"/>
          <w:kern w:val="0"/>
          <w:sz w:val="24"/>
          <w:highlight w:val="none"/>
        </w:rPr>
        <w:t>，响应文件将视为无效：</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不同</w:t>
      </w:r>
      <w:r>
        <w:rPr>
          <w:rFonts w:hint="eastAsia" w:ascii="宋体" w:hAnsi="宋体"/>
          <w:color w:val="auto"/>
          <w:sz w:val="24"/>
          <w:highlight w:val="none"/>
        </w:rPr>
        <w:t>谈判供应商</w:t>
      </w:r>
      <w:r>
        <w:rPr>
          <w:rFonts w:ascii="宋体" w:hAnsi="宋体"/>
          <w:color w:val="auto"/>
          <w:sz w:val="24"/>
          <w:highlight w:val="none"/>
        </w:rPr>
        <w:t>的</w:t>
      </w:r>
      <w:r>
        <w:rPr>
          <w:rFonts w:hint="eastAsia" w:ascii="宋体" w:hAnsi="宋体"/>
          <w:color w:val="auto"/>
          <w:sz w:val="24"/>
          <w:highlight w:val="none"/>
        </w:rPr>
        <w:t>竞争性谈判响应文件</w:t>
      </w:r>
      <w:r>
        <w:rPr>
          <w:rFonts w:ascii="宋体" w:hAnsi="宋体"/>
          <w:color w:val="auto"/>
          <w:sz w:val="24"/>
          <w:highlight w:val="none"/>
        </w:rPr>
        <w:t>由同一单位或者个人编制；</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9.2</w:t>
      </w:r>
      <w:r>
        <w:rPr>
          <w:rFonts w:ascii="宋体" w:hAnsi="宋体"/>
          <w:color w:val="auto"/>
          <w:sz w:val="24"/>
          <w:highlight w:val="none"/>
        </w:rPr>
        <w:t>不同</w:t>
      </w:r>
      <w:r>
        <w:rPr>
          <w:rFonts w:hint="eastAsia" w:ascii="宋体" w:hAnsi="宋体"/>
          <w:color w:val="auto"/>
          <w:sz w:val="24"/>
          <w:highlight w:val="none"/>
        </w:rPr>
        <w:t>谈判供应商</w:t>
      </w:r>
      <w:r>
        <w:rPr>
          <w:rFonts w:ascii="宋体" w:hAnsi="宋体"/>
          <w:color w:val="auto"/>
          <w:sz w:val="24"/>
          <w:highlight w:val="none"/>
        </w:rPr>
        <w:t>委托同一单位或者个人办理竞标事宜;</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9.3</w:t>
      </w:r>
      <w:r>
        <w:rPr>
          <w:rFonts w:ascii="宋体" w:hAnsi="宋体"/>
          <w:color w:val="auto"/>
          <w:sz w:val="24"/>
          <w:highlight w:val="none"/>
        </w:rPr>
        <w:t>不同的</w:t>
      </w:r>
      <w:r>
        <w:rPr>
          <w:rFonts w:hint="eastAsia" w:ascii="宋体" w:hAnsi="宋体"/>
          <w:color w:val="auto"/>
          <w:sz w:val="24"/>
          <w:highlight w:val="none"/>
        </w:rPr>
        <w:t>谈判供应商</w:t>
      </w:r>
      <w:r>
        <w:rPr>
          <w:rFonts w:ascii="宋体" w:hAnsi="宋体"/>
          <w:color w:val="auto"/>
          <w:sz w:val="24"/>
          <w:highlight w:val="none"/>
        </w:rPr>
        <w:t>的</w:t>
      </w:r>
      <w:r>
        <w:rPr>
          <w:rFonts w:hint="eastAsia" w:ascii="宋体" w:hAnsi="宋体"/>
          <w:color w:val="auto"/>
          <w:sz w:val="24"/>
          <w:highlight w:val="none"/>
        </w:rPr>
        <w:t>竞争性谈判响应文件</w:t>
      </w:r>
      <w:r>
        <w:rPr>
          <w:rFonts w:ascii="宋体" w:hAnsi="宋体"/>
          <w:color w:val="auto"/>
          <w:sz w:val="24"/>
          <w:highlight w:val="none"/>
        </w:rPr>
        <w:t>载明的项目管理员为同一个人;</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9.4</w:t>
      </w:r>
      <w:r>
        <w:rPr>
          <w:rFonts w:ascii="宋体" w:hAnsi="宋体"/>
          <w:color w:val="auto"/>
          <w:sz w:val="24"/>
          <w:highlight w:val="none"/>
        </w:rPr>
        <w:t>不同</w:t>
      </w:r>
      <w:r>
        <w:rPr>
          <w:rFonts w:hint="eastAsia" w:ascii="宋体" w:hAnsi="宋体"/>
          <w:color w:val="auto"/>
          <w:sz w:val="24"/>
          <w:highlight w:val="none"/>
        </w:rPr>
        <w:t>谈判供应商</w:t>
      </w:r>
      <w:r>
        <w:rPr>
          <w:rFonts w:ascii="宋体" w:hAnsi="宋体"/>
          <w:color w:val="auto"/>
          <w:sz w:val="24"/>
          <w:highlight w:val="none"/>
        </w:rPr>
        <w:t>的</w:t>
      </w:r>
      <w:r>
        <w:rPr>
          <w:rFonts w:hint="eastAsia" w:ascii="宋体" w:hAnsi="宋体"/>
          <w:color w:val="auto"/>
          <w:sz w:val="24"/>
          <w:highlight w:val="none"/>
        </w:rPr>
        <w:t>竞争性谈判响应文件</w:t>
      </w:r>
      <w:r>
        <w:rPr>
          <w:rFonts w:ascii="宋体" w:hAnsi="宋体"/>
          <w:color w:val="auto"/>
          <w:sz w:val="24"/>
          <w:highlight w:val="none"/>
        </w:rPr>
        <w:t>异常一致或竞标报价呈规律性差异;</w:t>
      </w:r>
    </w:p>
    <w:p>
      <w:pPr>
        <w:tabs>
          <w:tab w:val="left" w:pos="1635"/>
        </w:tabs>
        <w:spacing w:line="380" w:lineRule="exact"/>
        <w:rPr>
          <w:rFonts w:ascii="宋体" w:hAnsi="宋体"/>
          <w:color w:val="auto"/>
          <w:sz w:val="24"/>
          <w:highlight w:val="none"/>
        </w:rPr>
      </w:pPr>
      <w:r>
        <w:rPr>
          <w:rFonts w:hint="eastAsia" w:ascii="宋体" w:hAnsi="宋体"/>
          <w:color w:val="auto"/>
          <w:sz w:val="24"/>
          <w:highlight w:val="none"/>
        </w:rPr>
        <w:t>9.5</w:t>
      </w:r>
      <w:r>
        <w:rPr>
          <w:rFonts w:ascii="宋体" w:hAnsi="宋体"/>
          <w:color w:val="auto"/>
          <w:sz w:val="24"/>
          <w:highlight w:val="none"/>
        </w:rPr>
        <w:t>不同</w:t>
      </w:r>
      <w:r>
        <w:rPr>
          <w:rFonts w:hint="eastAsia" w:ascii="宋体" w:hAnsi="宋体"/>
          <w:color w:val="auto"/>
          <w:sz w:val="24"/>
          <w:highlight w:val="none"/>
        </w:rPr>
        <w:t>谈判供应商</w:t>
      </w:r>
      <w:r>
        <w:rPr>
          <w:rFonts w:ascii="宋体" w:hAnsi="宋体"/>
          <w:color w:val="auto"/>
          <w:sz w:val="24"/>
          <w:highlight w:val="none"/>
        </w:rPr>
        <w:t>的</w:t>
      </w:r>
      <w:r>
        <w:rPr>
          <w:rFonts w:hint="eastAsia" w:ascii="宋体" w:hAnsi="宋体"/>
          <w:color w:val="auto"/>
          <w:sz w:val="24"/>
          <w:highlight w:val="none"/>
        </w:rPr>
        <w:t>竞争性谈判响应文件</w:t>
      </w:r>
      <w:r>
        <w:rPr>
          <w:rFonts w:ascii="宋体" w:hAnsi="宋体"/>
          <w:color w:val="auto"/>
          <w:sz w:val="24"/>
          <w:highlight w:val="none"/>
        </w:rPr>
        <w:t>相互混装;</w:t>
      </w:r>
    </w:p>
    <w:p>
      <w:pPr>
        <w:spacing w:line="360" w:lineRule="auto"/>
        <w:jc w:val="left"/>
        <w:rPr>
          <w:rFonts w:ascii="宋体" w:hAnsi="宋体"/>
          <w:b/>
          <w:color w:val="auto"/>
          <w:sz w:val="24"/>
          <w:highlight w:val="none"/>
        </w:rPr>
      </w:pPr>
    </w:p>
    <w:p>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pPr>
        <w:tabs>
          <w:tab w:val="left" w:pos="2190"/>
        </w:tabs>
        <w:spacing w:line="380" w:lineRule="exact"/>
        <w:ind w:firstLine="437"/>
        <w:rPr>
          <w:rFonts w:ascii="宋体" w:hAnsi="宋体"/>
          <w:b/>
          <w:color w:val="auto"/>
          <w:sz w:val="24"/>
          <w:highlight w:val="none"/>
        </w:rPr>
      </w:pPr>
      <w:r>
        <w:rPr>
          <w:rFonts w:hint="eastAsia" w:ascii="宋体" w:hAnsi="宋体"/>
          <w:b/>
          <w:color w:val="auto"/>
          <w:sz w:val="24"/>
          <w:highlight w:val="none"/>
        </w:rPr>
        <w:t>10. 谈判文件的构成</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第一章  竞争性谈判公告</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第二章  供应商须知</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第三章  项目需求</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第四章  响应文件格式</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第五章  合同主要条款</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第六章  评审办法及评审标准</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第七章  质疑书及投诉书格式</w:t>
      </w:r>
    </w:p>
    <w:p>
      <w:pPr>
        <w:tabs>
          <w:tab w:val="left" w:pos="2190"/>
        </w:tabs>
        <w:spacing w:line="380" w:lineRule="exact"/>
        <w:ind w:firstLine="437"/>
        <w:rPr>
          <w:rFonts w:ascii="宋体" w:hAnsi="宋体"/>
          <w:b/>
          <w:color w:val="auto"/>
          <w:sz w:val="24"/>
          <w:highlight w:val="none"/>
        </w:rPr>
      </w:pPr>
      <w:r>
        <w:rPr>
          <w:rFonts w:hint="eastAsia" w:ascii="宋体" w:hAnsi="宋体"/>
          <w:b/>
          <w:color w:val="auto"/>
          <w:sz w:val="24"/>
          <w:highlight w:val="none"/>
        </w:rPr>
        <w:t>11. 谈判文件的澄清与修改</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11.1 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11.2</w:t>
      </w:r>
      <w:r>
        <w:rPr>
          <w:rFonts w:hint="eastAsia" w:ascii="宋体" w:hAnsi="宋体"/>
          <w:b/>
          <w:color w:val="auto"/>
          <w:sz w:val="24"/>
          <w:highlight w:val="none"/>
        </w:rPr>
        <w:t>供应商下载竞争性谈判文件后应实时关注相关网站了解澄清、修改等与项目有关的内容，如因供应商未及时登录相关网站了解澄清、修改等与项目有关的内容，从而导致竞标无效的，由供应商自行承担责任。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11.3澄清或者修改的内容为谈判文件的组成部分。当澄清或者修改通知就同一内容的表述不一致时，以最后发出的文件为准。</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11.4 谈判文件的澄清或者修改都应该通过本项目采购代理机构以法定形式发布，采购人非通过本机构，不得擅自澄清或者修改谈判文件。</w:t>
      </w:r>
    </w:p>
    <w:p>
      <w:pPr>
        <w:tabs>
          <w:tab w:val="left" w:pos="2190"/>
        </w:tabs>
        <w:spacing w:line="380" w:lineRule="exact"/>
        <w:ind w:firstLine="437"/>
        <w:rPr>
          <w:rFonts w:ascii="宋体" w:hAnsi="宋体"/>
          <w:color w:val="auto"/>
          <w:sz w:val="24"/>
          <w:highlight w:val="none"/>
        </w:rPr>
      </w:pPr>
      <w:r>
        <w:rPr>
          <w:rFonts w:hint="eastAsia" w:ascii="宋体" w:hAnsi="宋体"/>
          <w:color w:val="auto"/>
          <w:sz w:val="24"/>
          <w:highlight w:val="none"/>
        </w:rPr>
        <w:t>11.5采购代理机构可以视采购具体情况，延长首次响应文件递交截止时间和谈判时间，并将变更时间在本项目竞争性谈判公告发布的同一媒体上发布变更公告。</w:t>
      </w:r>
    </w:p>
    <w:p>
      <w:pPr>
        <w:spacing w:line="360" w:lineRule="auto"/>
        <w:jc w:val="left"/>
        <w:rPr>
          <w:rFonts w:ascii="宋体" w:hAnsi="宋体"/>
          <w:b/>
          <w:color w:val="auto"/>
          <w:sz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pPr>
        <w:spacing w:line="360" w:lineRule="auto"/>
        <w:rPr>
          <w:rFonts w:ascii="宋体" w:hAnsi="宋体"/>
          <w:b/>
          <w:color w:val="auto"/>
          <w:sz w:val="24"/>
          <w:highlight w:val="none"/>
        </w:rPr>
      </w:pPr>
      <w:r>
        <w:rPr>
          <w:rFonts w:hint="eastAsia" w:ascii="宋体" w:hAnsi="宋体"/>
          <w:b/>
          <w:color w:val="auto"/>
          <w:sz w:val="24"/>
          <w:highlight w:val="none"/>
        </w:rPr>
        <w:t>12. 竞争性谈判响应文件编制基本要求</w:t>
      </w:r>
    </w:p>
    <w:p>
      <w:pPr>
        <w:spacing w:line="360" w:lineRule="auto"/>
        <w:ind w:left="-1" w:leftChars="-29" w:hanging="60" w:hangingChars="25"/>
        <w:rPr>
          <w:rFonts w:ascii="宋体" w:hAnsi="宋体"/>
          <w:color w:val="auto"/>
          <w:sz w:val="24"/>
          <w:highlight w:val="none"/>
        </w:rPr>
      </w:pPr>
      <w:r>
        <w:rPr>
          <w:rFonts w:hint="eastAsia" w:ascii="宋体" w:hAnsi="宋体"/>
          <w:color w:val="auto"/>
          <w:sz w:val="24"/>
          <w:highlight w:val="none"/>
        </w:rPr>
        <w:t>12.1谈判供应商对竞争性谈判响应文件的编制应按要求装订和封装。</w:t>
      </w:r>
    </w:p>
    <w:p>
      <w:pPr>
        <w:spacing w:line="360" w:lineRule="auto"/>
        <w:ind w:left="-1" w:leftChars="-29" w:hanging="60" w:hangingChars="25"/>
        <w:rPr>
          <w:rFonts w:ascii="宋体" w:hAnsi="宋体"/>
          <w:color w:val="auto"/>
          <w:sz w:val="24"/>
          <w:highlight w:val="none"/>
        </w:rPr>
      </w:pPr>
      <w:r>
        <w:rPr>
          <w:rFonts w:hint="eastAsia" w:ascii="宋体" w:hAnsi="宋体"/>
          <w:color w:val="auto"/>
          <w:sz w:val="24"/>
          <w:highlight w:val="none"/>
        </w:rPr>
        <w:t>12.2谈判供应商提交的竞争性谈判响应文件以及谈判供应商与</w:t>
      </w:r>
      <w:r>
        <w:rPr>
          <w:rFonts w:hint="eastAsia" w:ascii="宋体" w:hAnsi="宋体"/>
          <w:color w:val="auto"/>
          <w:sz w:val="24"/>
          <w:highlight w:val="none"/>
          <w:u w:val="single"/>
        </w:rPr>
        <w:t>广西建设工程机电设备招标中心有限公司（以下简称“本中心”）</w:t>
      </w:r>
      <w:r>
        <w:rPr>
          <w:rFonts w:hint="eastAsia" w:ascii="宋体" w:hAnsi="宋体"/>
          <w:color w:val="auto"/>
          <w:sz w:val="24"/>
          <w:highlight w:val="none"/>
        </w:rPr>
        <w:t>和采购人就有关谈判的所有来往函电均应使用中文。谈判供应商提交的支持文件和印刷的文件可以使用别的语言，但其相应内容必须附有中文翻译文本，在解释竞争性谈判响应文件时以翻译文本为主。</w:t>
      </w:r>
    </w:p>
    <w:p>
      <w:pPr>
        <w:spacing w:line="360" w:lineRule="auto"/>
        <w:ind w:left="-1" w:leftChars="-29" w:hanging="60" w:hangingChars="25"/>
        <w:rPr>
          <w:rFonts w:ascii="宋体" w:hAnsi="宋体"/>
          <w:color w:val="auto"/>
          <w:sz w:val="24"/>
          <w:highlight w:val="none"/>
        </w:rPr>
      </w:pPr>
      <w:r>
        <w:rPr>
          <w:rFonts w:hint="eastAsia" w:ascii="宋体" w:hAnsi="宋体"/>
          <w:color w:val="auto"/>
          <w:sz w:val="24"/>
          <w:highlight w:val="none"/>
        </w:rPr>
        <w:t>12.3谈判供应商应认真阅读、并充分理解本文件的全部内容（包括所有的补充、修改内容），承诺并履行本文件中各项条款规定及要求。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color w:val="auto"/>
          <w:sz w:val="24"/>
          <w:highlight w:val="none"/>
        </w:rPr>
      </w:pPr>
      <w:r>
        <w:rPr>
          <w:rFonts w:hint="eastAsia" w:ascii="宋体" w:hAnsi="宋体"/>
          <w:color w:val="auto"/>
          <w:sz w:val="24"/>
          <w:highlight w:val="none"/>
        </w:rPr>
        <w:t>12.4竞争性谈判响应文件必须按本文件的全部内容，包括所有的补充通知及附件进行编制。</w:t>
      </w:r>
    </w:p>
    <w:p>
      <w:pPr>
        <w:spacing w:line="360" w:lineRule="auto"/>
        <w:ind w:left="-1" w:leftChars="-29" w:hanging="60" w:hangingChars="25"/>
        <w:rPr>
          <w:rFonts w:ascii="宋体" w:hAnsi="宋体"/>
          <w:b/>
          <w:color w:val="auto"/>
          <w:sz w:val="24"/>
          <w:highlight w:val="none"/>
        </w:rPr>
      </w:pPr>
      <w:r>
        <w:rPr>
          <w:rFonts w:hint="eastAsia" w:ascii="宋体" w:hAnsi="宋体"/>
          <w:color w:val="auto"/>
          <w:sz w:val="24"/>
          <w:highlight w:val="none"/>
        </w:rPr>
        <w:t>12.5</w:t>
      </w:r>
      <w:r>
        <w:rPr>
          <w:rFonts w:hint="eastAsia" w:ascii="宋体" w:hAnsi="宋体"/>
          <w:b/>
          <w:color w:val="auto"/>
          <w:sz w:val="24"/>
          <w:highlight w:val="none"/>
        </w:rPr>
        <w:t>如因谈判供应商只填写和提供了本文件要求的部分内容和附件，而给评审造成困难，其可能导致的结果和责任由谈判供应商自行承担。</w:t>
      </w:r>
    </w:p>
    <w:p>
      <w:pPr>
        <w:spacing w:line="360" w:lineRule="auto"/>
        <w:rPr>
          <w:rFonts w:ascii="宋体" w:hAnsi="宋体"/>
          <w:b/>
          <w:color w:val="auto"/>
          <w:sz w:val="24"/>
          <w:highlight w:val="none"/>
        </w:rPr>
      </w:pPr>
      <w:r>
        <w:rPr>
          <w:rFonts w:hint="eastAsia" w:ascii="宋体" w:hAnsi="宋体"/>
          <w:b/>
          <w:color w:val="auto"/>
          <w:sz w:val="24"/>
          <w:highlight w:val="none"/>
        </w:rPr>
        <w:t>12.6竞争性谈判响应文件的组成</w:t>
      </w:r>
      <w:r>
        <w:rPr>
          <w:rFonts w:hint="eastAsia" w:hAnsi="宋体"/>
          <w:b/>
          <w:color w:val="auto"/>
          <w:sz w:val="24"/>
          <w:highlight w:val="none"/>
        </w:rPr>
        <w:t>（可以根据需要进行增减）</w:t>
      </w:r>
    </w:p>
    <w:p>
      <w:pPr>
        <w:spacing w:line="360" w:lineRule="auto"/>
        <w:ind w:firstLine="420"/>
        <w:rPr>
          <w:rFonts w:ascii="宋体" w:hAnsi="宋体"/>
          <w:color w:val="auto"/>
          <w:sz w:val="24"/>
          <w:highlight w:val="none"/>
        </w:rPr>
      </w:pPr>
      <w:r>
        <w:rPr>
          <w:rFonts w:hint="eastAsia" w:ascii="宋体" w:hAnsi="宋体"/>
          <w:color w:val="auto"/>
          <w:sz w:val="24"/>
          <w:highlight w:val="none"/>
        </w:rPr>
        <w:t>竞争性谈判响应文件应分为价格部分、资信及商务部分、技术部分组成。三部分装订成一册，同时提供电子文档一份。装订应牢固，不易拆散和换页。</w:t>
      </w:r>
    </w:p>
    <w:p>
      <w:pPr>
        <w:spacing w:line="360" w:lineRule="auto"/>
        <w:rPr>
          <w:rFonts w:ascii="宋体" w:hAnsi="宋体"/>
          <w:b/>
          <w:color w:val="auto"/>
          <w:sz w:val="24"/>
          <w:highlight w:val="none"/>
        </w:rPr>
      </w:pPr>
      <w:r>
        <w:rPr>
          <w:rFonts w:hint="eastAsia" w:ascii="宋体" w:hAnsi="宋体"/>
          <w:b/>
          <w:color w:val="auto"/>
          <w:sz w:val="24"/>
          <w:highlight w:val="none"/>
        </w:rPr>
        <w:t>12.6.1价格部分</w:t>
      </w:r>
    </w:p>
    <w:p>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1）响应函（必须提供）；（附件一）</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2）报价明细表（必须提供）；（附件二）</w:t>
      </w:r>
    </w:p>
    <w:p>
      <w:pPr>
        <w:spacing w:line="360" w:lineRule="exact"/>
        <w:ind w:left="-2" w:leftChars="-1"/>
        <w:rPr>
          <w:rFonts w:ascii="宋体" w:hAnsi="宋体"/>
          <w:color w:val="auto"/>
          <w:sz w:val="24"/>
          <w:highlight w:val="none"/>
        </w:rPr>
      </w:pPr>
      <w:r>
        <w:rPr>
          <w:rFonts w:hint="eastAsia" w:ascii="宋体" w:hAnsi="宋体"/>
          <w:b/>
          <w:color w:val="auto"/>
          <w:sz w:val="24"/>
          <w:highlight w:val="none"/>
        </w:rPr>
        <w:t>12.6.2 资信及商务部分</w:t>
      </w:r>
    </w:p>
    <w:p>
      <w:pPr>
        <w:tabs>
          <w:tab w:val="left" w:pos="130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1）供应商的法人或者其他组织营业执照等证明文件（必须提供，自然人除外）；</w:t>
      </w:r>
    </w:p>
    <w:p>
      <w:pPr>
        <w:tabs>
          <w:tab w:val="left" w:pos="1305"/>
        </w:tabs>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240" w:firstLineChars="100"/>
        <w:rPr>
          <w:rFonts w:ascii="宋体" w:hAnsi="宋体"/>
          <w:color w:val="auto"/>
          <w:sz w:val="24"/>
          <w:highlight w:val="none"/>
        </w:rPr>
      </w:pPr>
      <w:r>
        <w:rPr>
          <w:rFonts w:hint="eastAsia" w:ascii="宋体" w:hAnsi="宋体"/>
          <w:color w:val="auto"/>
          <w:sz w:val="24"/>
          <w:highlight w:val="none"/>
        </w:rPr>
        <w:t>2）供应商法定代表人身份证明书、相应的法定代表人身份证正反两面复印件</w:t>
      </w:r>
      <w:r>
        <w:rPr>
          <w:rFonts w:hint="eastAsia" w:ascii="宋体" w:hAnsi="宋体"/>
          <w:b/>
          <w:color w:val="auto"/>
          <w:sz w:val="24"/>
          <w:highlight w:val="none"/>
        </w:rPr>
        <w:t>（必须提供；</w:t>
      </w:r>
      <w:r>
        <w:rPr>
          <w:rFonts w:hint="eastAsia" w:ascii="宋体" w:hAnsi="宋体"/>
          <w:color w:val="auto"/>
          <w:sz w:val="24"/>
          <w:highlight w:val="none"/>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rPr>
          <w:rFonts w:ascii="宋体" w:hAnsi="宋体"/>
          <w:color w:val="auto"/>
          <w:sz w:val="24"/>
          <w:highlight w:val="none"/>
        </w:rPr>
      </w:pPr>
      <w:r>
        <w:rPr>
          <w:rFonts w:hint="eastAsia" w:ascii="宋体" w:hAnsi="宋体"/>
          <w:color w:val="auto"/>
          <w:sz w:val="24"/>
          <w:highlight w:val="none"/>
        </w:rPr>
        <w:t>3）授权委托书原件、委托代理人身份证正反面复印件（附件四，委托代理时必须提供）；</w:t>
      </w:r>
    </w:p>
    <w:p>
      <w:pPr>
        <w:tabs>
          <w:tab w:val="left" w:pos="130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4）供应商参加政府采购活动前3年内在经营活动中没有重大违法记录的书面声明（附件五，必须提供）；</w:t>
      </w:r>
    </w:p>
    <w:p>
      <w:pPr>
        <w:tabs>
          <w:tab w:val="left" w:pos="130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5）联合体协议书（如有，请提供）；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6）供应商可在“信用中国”网站（www.creditchina.gov.cn）或中国政府采购网（www.ccgp.gov.cn）查询相关供应商主体信用记录，同时将查询结果截图加盖公章与上述书面声明一并提交（附件</w:t>
      </w:r>
      <w:r>
        <w:rPr>
          <w:rFonts w:hint="eastAsia" w:ascii="宋体" w:hAnsi="宋体"/>
          <w:color w:val="auto"/>
          <w:sz w:val="24"/>
          <w:highlight w:val="none"/>
          <w:lang w:eastAsia="zh-CN"/>
        </w:rPr>
        <w:t>五</w:t>
      </w:r>
      <w:r>
        <w:rPr>
          <w:rFonts w:hint="eastAsia" w:ascii="宋体" w:hAnsi="宋体"/>
          <w:color w:val="auto"/>
          <w:sz w:val="24"/>
          <w:highlight w:val="none"/>
        </w:rPr>
        <w:t>）</w:t>
      </w:r>
    </w:p>
    <w:p>
      <w:pPr>
        <w:spacing w:line="360" w:lineRule="exact"/>
        <w:ind w:firstLine="480" w:firstLineChars="200"/>
        <w:jc w:val="left"/>
        <w:rPr>
          <w:rFonts w:ascii="宋体" w:hAnsi="宋体"/>
          <w:color w:val="auto"/>
          <w:sz w:val="24"/>
          <w:highlight w:val="none"/>
        </w:rPr>
      </w:pPr>
      <w:r>
        <w:rPr>
          <w:rFonts w:hint="eastAsia" w:ascii="宋体" w:hAnsi="宋体"/>
          <w:color w:val="auto"/>
          <w:sz w:val="24"/>
          <w:highlight w:val="none"/>
        </w:rPr>
        <w:t>7）供应商近</w:t>
      </w:r>
      <w:r>
        <w:rPr>
          <w:rFonts w:hint="eastAsia" w:ascii="宋体" w:hAnsi="宋体"/>
          <w:color w:val="auto"/>
          <w:sz w:val="24"/>
          <w:highlight w:val="none"/>
          <w:lang w:eastAsia="zh-CN"/>
        </w:rPr>
        <w:t>半年内连续三个月</w:t>
      </w:r>
      <w:r>
        <w:rPr>
          <w:rFonts w:hint="eastAsia" w:ascii="宋体" w:hAnsi="宋体"/>
          <w:color w:val="auto"/>
          <w:sz w:val="24"/>
          <w:highlight w:val="none"/>
        </w:rPr>
        <w:t>依法缴纳税费或依法免缴税费的证明（复印件，原件备查，格式自拟），供应商为新注册成立的企业（距</w:t>
      </w:r>
      <w:r>
        <w:rPr>
          <w:rFonts w:hint="eastAsia" w:ascii="宋体" w:hAnsi="宋体"/>
          <w:color w:val="auto"/>
          <w:sz w:val="24"/>
          <w:highlight w:val="none"/>
          <w:lang w:eastAsia="zh-CN"/>
        </w:rPr>
        <w:t>谈判</w:t>
      </w:r>
      <w:r>
        <w:rPr>
          <w:rFonts w:hint="eastAsia" w:ascii="宋体" w:hAnsi="宋体"/>
          <w:color w:val="auto"/>
          <w:sz w:val="24"/>
          <w:highlight w:val="none"/>
        </w:rPr>
        <w:t>截止日不足三个月），须提供企业自成立至今的依法缴纳税收证明材料，原件备查；（必须提供）</w:t>
      </w:r>
    </w:p>
    <w:p>
      <w:pPr>
        <w:tabs>
          <w:tab w:val="left" w:pos="1305"/>
        </w:tabs>
        <w:spacing w:line="360" w:lineRule="exact"/>
        <w:ind w:firstLine="480" w:firstLineChars="200"/>
        <w:rPr>
          <w:rFonts w:ascii="宋体" w:hAnsi="宋体"/>
          <w:color w:val="auto"/>
          <w:sz w:val="24"/>
          <w:highlight w:val="none"/>
        </w:rPr>
      </w:pPr>
      <w:r>
        <w:rPr>
          <w:rFonts w:hint="eastAsia" w:ascii="宋体" w:hAnsi="宋体"/>
          <w:color w:val="auto"/>
          <w:sz w:val="24"/>
          <w:highlight w:val="none"/>
        </w:rPr>
        <w:t>8）供应商近</w:t>
      </w:r>
      <w:r>
        <w:rPr>
          <w:rFonts w:hint="eastAsia" w:ascii="宋体" w:hAnsi="宋体"/>
          <w:color w:val="auto"/>
          <w:sz w:val="24"/>
          <w:highlight w:val="none"/>
          <w:lang w:eastAsia="zh-CN"/>
        </w:rPr>
        <w:t>半年内连续三个月</w:t>
      </w:r>
      <w:r>
        <w:rPr>
          <w:rFonts w:hint="eastAsia" w:ascii="宋体" w:hAnsi="宋体"/>
          <w:color w:val="auto"/>
          <w:sz w:val="24"/>
          <w:highlight w:val="none"/>
        </w:rPr>
        <w:t>依法缴纳社保费的缴费凭证（复印件，原件备查，格式自拟），供应商为新注册成立的企业（距</w:t>
      </w:r>
      <w:r>
        <w:rPr>
          <w:rFonts w:hint="eastAsia" w:ascii="宋体" w:hAnsi="宋体"/>
          <w:color w:val="auto"/>
          <w:sz w:val="24"/>
          <w:highlight w:val="none"/>
          <w:lang w:eastAsia="zh-CN"/>
        </w:rPr>
        <w:t>谈判</w:t>
      </w:r>
      <w:r>
        <w:rPr>
          <w:rFonts w:hint="eastAsia" w:ascii="宋体" w:hAnsi="宋体"/>
          <w:color w:val="auto"/>
          <w:sz w:val="24"/>
          <w:highlight w:val="none"/>
        </w:rPr>
        <w:t>截止日不足三个月），须提供企业自成立至今的社保证明，原件备查；（必须提供）</w:t>
      </w:r>
    </w:p>
    <w:p>
      <w:pPr>
        <w:snapToGrid w:val="0"/>
        <w:spacing w:line="360" w:lineRule="exact"/>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财务状况报告</w:t>
      </w:r>
      <w:r>
        <w:rPr>
          <w:rFonts w:hint="eastAsia" w:asciiTheme="minorEastAsia" w:hAnsiTheme="minorEastAsia" w:eastAsiaTheme="minorEastAsia"/>
          <w:bCs/>
          <w:color w:val="auto"/>
          <w:sz w:val="24"/>
          <w:highlight w:val="none"/>
        </w:rPr>
        <w:t>（</w:t>
      </w:r>
      <w:r>
        <w:rPr>
          <w:rFonts w:hint="eastAsia" w:hAnsi="宋体"/>
          <w:color w:val="auto"/>
          <w:sz w:val="24"/>
          <w:highlight w:val="none"/>
          <w:u w:val="single"/>
        </w:rPr>
        <w:t xml:space="preserve">可以是供应商编制的财务报表或第三方审计报告等证明材料，若为新成立的企业，可根据实际情况提供月度财务报表，或供应商开户行 </w:t>
      </w:r>
      <w:r>
        <w:rPr>
          <w:rFonts w:hint="eastAsia" w:hAnsi="宋体"/>
          <w:color w:val="auto"/>
          <w:sz w:val="24"/>
          <w:highlight w:val="none"/>
          <w:u w:val="single"/>
          <w:lang w:val="en-US" w:eastAsia="zh-CN"/>
        </w:rPr>
        <w:t>2017</w:t>
      </w:r>
      <w:r>
        <w:rPr>
          <w:rFonts w:hint="eastAsia" w:hAnsi="宋体"/>
          <w:color w:val="auto"/>
          <w:sz w:val="24"/>
          <w:highlight w:val="none"/>
          <w:u w:val="single"/>
        </w:rPr>
        <w:t>年以来出具的银行资信证明文件复印件，格式自拟</w:t>
      </w:r>
      <w:r>
        <w:rPr>
          <w:rFonts w:hint="eastAsia" w:asciiTheme="minorEastAsia" w:hAnsiTheme="minorEastAsia" w:eastAsiaTheme="minorEastAsia"/>
          <w:bCs/>
          <w:color w:val="auto"/>
          <w:sz w:val="24"/>
          <w:highlight w:val="none"/>
        </w:rPr>
        <w:t>）（必须提供）</w:t>
      </w:r>
    </w:p>
    <w:p>
      <w:pPr>
        <w:spacing w:line="360" w:lineRule="exact"/>
        <w:ind w:firstLine="480" w:firstLineChars="200"/>
        <w:rPr>
          <w:rFonts w:ascii="宋体" w:hAnsi="宋体"/>
          <w:bCs/>
          <w:color w:val="auto"/>
          <w:sz w:val="24"/>
          <w:highlight w:val="none"/>
        </w:rPr>
      </w:pPr>
      <w:r>
        <w:rPr>
          <w:rFonts w:hint="eastAsia" w:ascii="宋体" w:hAnsi="宋体"/>
          <w:color w:val="auto"/>
          <w:sz w:val="24"/>
          <w:highlight w:val="none"/>
        </w:rPr>
        <w:t>10）</w:t>
      </w:r>
      <w:r>
        <w:rPr>
          <w:rFonts w:hint="eastAsia" w:ascii="宋体" w:hAnsi="宋体"/>
          <w:bCs/>
          <w:color w:val="auto"/>
          <w:sz w:val="24"/>
          <w:highlight w:val="none"/>
        </w:rPr>
        <w:t>商务条款偏离表</w:t>
      </w:r>
      <w:r>
        <w:rPr>
          <w:rFonts w:hint="eastAsia" w:ascii="宋体" w:hAnsi="宋体"/>
          <w:color w:val="auto"/>
          <w:sz w:val="24"/>
          <w:highlight w:val="none"/>
        </w:rPr>
        <w:t>（必须提供）</w:t>
      </w:r>
      <w:r>
        <w:rPr>
          <w:rFonts w:hint="eastAsia" w:ascii="宋体" w:hAnsi="宋体"/>
          <w:bCs/>
          <w:color w:val="auto"/>
          <w:sz w:val="24"/>
          <w:highlight w:val="none"/>
        </w:rPr>
        <w:t>；</w:t>
      </w:r>
      <w:r>
        <w:rPr>
          <w:rFonts w:hint="eastAsia" w:ascii="宋体" w:hAnsi="宋体"/>
          <w:color w:val="auto"/>
          <w:sz w:val="24"/>
          <w:highlight w:val="none"/>
        </w:rPr>
        <w:t>（附件六）</w:t>
      </w:r>
    </w:p>
    <w:p>
      <w:pPr>
        <w:snapToGrid w:val="0"/>
        <w:spacing w:line="400" w:lineRule="exact"/>
        <w:ind w:firstLine="480" w:firstLineChars="200"/>
        <w:outlineLvl w:val="4"/>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2016</w:t>
      </w:r>
      <w:r>
        <w:rPr>
          <w:rFonts w:hint="eastAsia" w:ascii="宋体" w:hAnsi="宋体"/>
          <w:color w:val="auto"/>
          <w:sz w:val="24"/>
          <w:highlight w:val="none"/>
          <w:u w:val="single"/>
        </w:rPr>
        <w:t xml:space="preserve"> </w:t>
      </w:r>
      <w:r>
        <w:rPr>
          <w:rFonts w:hint="eastAsia" w:ascii="宋体" w:hAnsi="宋体"/>
          <w:color w:val="auto"/>
          <w:sz w:val="24"/>
          <w:highlight w:val="none"/>
        </w:rPr>
        <w:t>年以来具有同类服务业绩的相关证明材料（如中标、成交通知书或签订的服务合同，如有请提供）；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）谈判文件要求（具体按第三章要求,如有要求必须提供的则必须提供，否则响应文件无效）或供应商认为有必要提交的其他文件资料；</w:t>
      </w:r>
    </w:p>
    <w:p>
      <w:pPr>
        <w:spacing w:line="360" w:lineRule="auto"/>
        <w:ind w:left="-2" w:leftChars="-1"/>
        <w:rPr>
          <w:rFonts w:ascii="宋体" w:hAnsi="宋体"/>
          <w:b/>
          <w:color w:val="auto"/>
          <w:sz w:val="24"/>
          <w:highlight w:val="none"/>
        </w:rPr>
      </w:pPr>
      <w:r>
        <w:rPr>
          <w:rFonts w:hint="eastAsia" w:ascii="宋体" w:hAnsi="宋体"/>
          <w:b/>
          <w:color w:val="auto"/>
          <w:sz w:val="24"/>
          <w:highlight w:val="none"/>
        </w:rPr>
        <w:t>12.6.3技术部分</w:t>
      </w:r>
    </w:p>
    <w:p>
      <w:pPr>
        <w:snapToGrid w:val="0"/>
        <w:spacing w:line="400" w:lineRule="exact"/>
        <w:ind w:firstLine="480" w:firstLineChars="200"/>
        <w:outlineLvl w:val="4"/>
        <w:rPr>
          <w:rFonts w:ascii="宋体" w:hAnsi="宋体"/>
          <w:color w:val="auto"/>
          <w:sz w:val="24"/>
          <w:highlight w:val="none"/>
        </w:rPr>
      </w:pPr>
      <w:r>
        <w:rPr>
          <w:rFonts w:hint="eastAsia" w:ascii="宋体" w:hAnsi="宋体"/>
          <w:color w:val="auto"/>
          <w:sz w:val="24"/>
          <w:highlight w:val="none"/>
        </w:rPr>
        <w:t>1）技术资料表；（附件七）（必须提供，否则响应文件无效）；</w:t>
      </w:r>
    </w:p>
    <w:p>
      <w:pPr>
        <w:snapToGrid w:val="0"/>
        <w:spacing w:line="400" w:lineRule="exact"/>
        <w:ind w:firstLine="480" w:firstLineChars="200"/>
        <w:outlineLvl w:val="4"/>
        <w:rPr>
          <w:rFonts w:ascii="宋体" w:hAnsi="宋体"/>
          <w:color w:val="auto"/>
          <w:sz w:val="24"/>
          <w:highlight w:val="none"/>
        </w:rPr>
      </w:pPr>
      <w:r>
        <w:rPr>
          <w:rFonts w:hint="eastAsia" w:asciiTheme="minorEastAsia" w:hAnsiTheme="minorEastAsia" w:eastAsiaTheme="minorEastAsia"/>
          <w:color w:val="auto"/>
          <w:sz w:val="24"/>
          <w:highlight w:val="none"/>
        </w:rPr>
        <w:t>2）技术服务、技术培训、服务的内容和措施等</w:t>
      </w:r>
      <w:r>
        <w:rPr>
          <w:rFonts w:hint="eastAsia" w:ascii="宋体" w:hAnsi="宋体"/>
          <w:color w:val="auto"/>
          <w:sz w:val="24"/>
          <w:highlight w:val="none"/>
        </w:rPr>
        <w:t>（必须提供</w:t>
      </w:r>
      <w:r>
        <w:rPr>
          <w:rFonts w:hint="eastAsia" w:ascii="宋体" w:hAnsi="宋体"/>
          <w:color w:val="auto"/>
          <w:sz w:val="24"/>
          <w:highlight w:val="none"/>
          <w:lang w:eastAsia="zh-CN"/>
        </w:rPr>
        <w:t>，格式自拟</w:t>
      </w:r>
      <w:r>
        <w:rPr>
          <w:rFonts w:hint="eastAsia" w:ascii="宋体" w:hAnsi="宋体"/>
          <w:color w:val="auto"/>
          <w:sz w:val="24"/>
          <w:highlight w:val="none"/>
        </w:rPr>
        <w:t>）</w:t>
      </w:r>
    </w:p>
    <w:p>
      <w:pPr>
        <w:snapToGrid w:val="0"/>
        <w:spacing w:line="400" w:lineRule="exact"/>
        <w:ind w:firstLine="480" w:firstLineChars="200"/>
        <w:outlineLvl w:val="4"/>
        <w:rPr>
          <w:rFonts w:ascii="宋体" w:hAnsi="宋体"/>
          <w:color w:val="auto"/>
          <w:sz w:val="24"/>
          <w:highlight w:val="none"/>
        </w:rPr>
      </w:pPr>
      <w:r>
        <w:rPr>
          <w:rFonts w:hint="eastAsia" w:ascii="宋体" w:hAnsi="宋体"/>
          <w:color w:val="auto"/>
          <w:sz w:val="24"/>
          <w:highlight w:val="none"/>
        </w:rPr>
        <w:t>3）项目实施人员一览表(如有，请提供)</w:t>
      </w:r>
    </w:p>
    <w:p>
      <w:pPr>
        <w:snapToGrid w:val="0"/>
        <w:spacing w:line="400" w:lineRule="exact"/>
        <w:ind w:firstLine="480" w:firstLineChars="200"/>
        <w:outlineLvl w:val="4"/>
        <w:rPr>
          <w:rFonts w:ascii="宋体" w:hAnsi="宋体"/>
          <w:color w:val="auto"/>
          <w:sz w:val="24"/>
          <w:highlight w:val="none"/>
        </w:rPr>
      </w:pPr>
      <w:r>
        <w:rPr>
          <w:rFonts w:hint="eastAsia" w:ascii="宋体" w:hAnsi="宋体"/>
          <w:color w:val="auto"/>
          <w:sz w:val="24"/>
          <w:highlight w:val="none"/>
        </w:rPr>
        <w:t>4）谈判文件要求（具体按第三章要求,如有要求必须提供的则必须提供，否则响应文件无效）或谈判供应商认为需要提供的有关技术资料；</w:t>
      </w:r>
    </w:p>
    <w:p>
      <w:pPr>
        <w:snapToGrid w:val="0"/>
        <w:spacing w:line="400" w:lineRule="exact"/>
        <w:outlineLvl w:val="4"/>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注：要求必须提供的，如未按要求提供，竞标无效</w:t>
      </w:r>
      <w:r>
        <w:rPr>
          <w:rFonts w:hint="eastAsia" w:ascii="宋体" w:hAnsi="宋体"/>
          <w:color w:val="auto"/>
          <w:sz w:val="24"/>
          <w:highlight w:val="none"/>
          <w:lang w:eastAsia="zh-CN"/>
        </w:rPr>
        <w:t>。</w:t>
      </w:r>
    </w:p>
    <w:p>
      <w:pPr>
        <w:spacing w:line="360" w:lineRule="auto"/>
        <w:rPr>
          <w:rFonts w:ascii="宋体" w:hAnsi="宋体"/>
          <w:b/>
          <w:color w:val="auto"/>
          <w:sz w:val="24"/>
          <w:highlight w:val="none"/>
        </w:rPr>
      </w:pPr>
      <w:r>
        <w:rPr>
          <w:rFonts w:hint="eastAsia" w:ascii="宋体" w:hAnsi="宋体"/>
          <w:b/>
          <w:color w:val="auto"/>
          <w:sz w:val="24"/>
          <w:highlight w:val="none"/>
        </w:rPr>
        <w:t>13.计量单位</w:t>
      </w:r>
    </w:p>
    <w:p>
      <w:pPr>
        <w:spacing w:line="360" w:lineRule="auto"/>
        <w:ind w:left="-61" w:leftChars="-29" w:firstLine="480" w:firstLineChars="200"/>
        <w:rPr>
          <w:rFonts w:ascii="宋体" w:hAnsi="宋体"/>
          <w:color w:val="auto"/>
          <w:sz w:val="24"/>
          <w:highlight w:val="none"/>
        </w:rPr>
      </w:pPr>
      <w:r>
        <w:rPr>
          <w:rFonts w:hint="eastAsia" w:ascii="宋体" w:hAnsi="宋体"/>
          <w:color w:val="auto"/>
          <w:sz w:val="24"/>
          <w:highlight w:val="none"/>
        </w:rPr>
        <w:t>13.1除技术要求中另有规定外，本文件所要求使用的计量单位均应采用国家法定计量单位。</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三、谈判报价要求</w:t>
      </w:r>
    </w:p>
    <w:p>
      <w:pPr>
        <w:spacing w:line="360" w:lineRule="auto"/>
        <w:ind w:left="-61"/>
        <w:rPr>
          <w:rFonts w:hAnsi="宋体"/>
          <w:b/>
          <w:color w:val="auto"/>
          <w:sz w:val="24"/>
          <w:highlight w:val="none"/>
        </w:rPr>
      </w:pPr>
      <w:r>
        <w:rPr>
          <w:rFonts w:hint="eastAsia" w:hAnsi="宋体"/>
          <w:b/>
          <w:color w:val="auto"/>
          <w:sz w:val="24"/>
          <w:highlight w:val="none"/>
        </w:rPr>
        <w:t>14</w:t>
      </w:r>
      <w:r>
        <w:rPr>
          <w:rFonts w:hint="eastAsia" w:ascii="宋体" w:hAnsi="宋体"/>
          <w:b/>
          <w:color w:val="auto"/>
          <w:sz w:val="24"/>
          <w:highlight w:val="none"/>
        </w:rPr>
        <w:t>.</w:t>
      </w:r>
      <w:r>
        <w:rPr>
          <w:rFonts w:hint="eastAsia" w:hAnsi="宋体"/>
          <w:b/>
          <w:color w:val="auto"/>
          <w:sz w:val="24"/>
          <w:highlight w:val="none"/>
        </w:rPr>
        <w:t>谈判报价</w:t>
      </w:r>
    </w:p>
    <w:p>
      <w:pPr>
        <w:spacing w:line="360" w:lineRule="auto"/>
        <w:ind w:left="-61" w:leftChars="-29" w:firstLine="480" w:firstLineChars="200"/>
        <w:rPr>
          <w:rFonts w:ascii="宋体" w:hAnsi="宋体"/>
          <w:color w:val="auto"/>
          <w:sz w:val="24"/>
          <w:highlight w:val="none"/>
        </w:rPr>
      </w:pPr>
      <w:r>
        <w:rPr>
          <w:rFonts w:hint="eastAsia" w:ascii="宋体" w:hAnsi="宋体"/>
          <w:color w:val="auto"/>
          <w:sz w:val="24"/>
          <w:highlight w:val="none"/>
        </w:rPr>
        <w:t>14.1 谈判报价应按谈判文件中相关附表格式填写，报价超过所竞分标总采购预算金额或分项采购预算（根据项目增减）的，响应文件按分标作相应无效处理。总采购预算按供应商须知前附表。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bCs/>
          <w:color w:val="auto"/>
          <w:sz w:val="24"/>
          <w:highlight w:val="none"/>
        </w:rPr>
      </w:pPr>
      <w:r>
        <w:rPr>
          <w:rFonts w:hint="eastAsia" w:ascii="宋体" w:hAnsi="宋体"/>
          <w:color w:val="auto"/>
          <w:sz w:val="24"/>
          <w:highlight w:val="none"/>
        </w:rPr>
        <w:t>14.2</w:t>
      </w:r>
      <w:r>
        <w:rPr>
          <w:rFonts w:hint="eastAsia"/>
          <w:bCs/>
          <w:color w:val="auto"/>
          <w:sz w:val="24"/>
          <w:highlight w:val="none"/>
        </w:rPr>
        <w:t>供应商须就项目物需求和说明中的所有服务内容作完整唯一报价。（多个标段时：供应商可以就项目需求和说明中全部分标或某几个分标分别报价，但就某一分标的所有服务内容须作完整唯一报价。</w:t>
      </w:r>
    </w:p>
    <w:p>
      <w:pPr>
        <w:spacing w:line="360" w:lineRule="auto"/>
        <w:ind w:left="-61" w:leftChars="-29" w:firstLine="480" w:firstLineChars="200"/>
        <w:rPr>
          <w:bCs/>
          <w:color w:val="auto"/>
          <w:sz w:val="24"/>
          <w:highlight w:val="none"/>
        </w:rPr>
      </w:pPr>
      <w:r>
        <w:rPr>
          <w:rFonts w:hint="eastAsia"/>
          <w:bCs/>
          <w:color w:val="auto"/>
          <w:sz w:val="24"/>
          <w:highlight w:val="none"/>
        </w:rPr>
        <w:t>14.3谈判报价应包括</w:t>
      </w:r>
      <w:r>
        <w:rPr>
          <w:rFonts w:hint="eastAsia" w:asciiTheme="minorEastAsia" w:hAnsiTheme="minorEastAsia" w:eastAsiaTheme="minorEastAsia"/>
          <w:color w:val="auto"/>
          <w:sz w:val="24"/>
          <w:highlight w:val="none"/>
        </w:rPr>
        <w:t>履行合同的最终价格，应包括服务、以及培训等一切税金和费用</w:t>
      </w:r>
      <w:r>
        <w:rPr>
          <w:rFonts w:hint="eastAsia"/>
          <w:bCs/>
          <w:color w:val="auto"/>
          <w:sz w:val="24"/>
          <w:highlight w:val="none"/>
        </w:rPr>
        <w:t>及其他所有成本费用的总和；供应商综合考虑在报价中。</w:t>
      </w:r>
    </w:p>
    <w:p>
      <w:pPr>
        <w:tabs>
          <w:tab w:val="left" w:pos="1305"/>
        </w:tabs>
        <w:spacing w:line="380" w:lineRule="exact"/>
        <w:ind w:firstLine="480" w:firstLineChars="200"/>
        <w:rPr>
          <w:rFonts w:ascii="宋体" w:hAnsi="宋体"/>
          <w:color w:val="auto"/>
          <w:sz w:val="24"/>
          <w:highlight w:val="none"/>
        </w:rPr>
      </w:pPr>
      <w:r>
        <w:rPr>
          <w:rFonts w:hint="eastAsia" w:ascii="宋体" w:hAnsi="宋体"/>
          <w:color w:val="auto"/>
          <w:sz w:val="24"/>
          <w:highlight w:val="none"/>
        </w:rPr>
        <w:t>14.4对于本文件中未列明，而谈判供应商认为必需的费用也需列入总报价。在合同实施时，采购人将不予支付成交供应商没有列入的项目费用，并认为此项目的费用已包括在总报价中。</w:t>
      </w:r>
    </w:p>
    <w:p>
      <w:pPr>
        <w:spacing w:line="360" w:lineRule="auto"/>
        <w:ind w:left="-61"/>
        <w:rPr>
          <w:rFonts w:hAnsi="宋体"/>
          <w:b/>
          <w:color w:val="auto"/>
          <w:sz w:val="24"/>
          <w:highlight w:val="none"/>
        </w:rPr>
      </w:pPr>
      <w:r>
        <w:rPr>
          <w:rFonts w:hint="eastAsia" w:hAnsi="宋体"/>
          <w:b/>
          <w:color w:val="auto"/>
          <w:sz w:val="24"/>
          <w:highlight w:val="none"/>
        </w:rPr>
        <w:t>15. 响应文件有效期</w:t>
      </w:r>
    </w:p>
    <w:p>
      <w:pPr>
        <w:spacing w:line="360" w:lineRule="auto"/>
        <w:ind w:left="-61" w:leftChars="-29" w:firstLine="480" w:firstLineChars="200"/>
        <w:rPr>
          <w:rFonts w:ascii="宋体" w:hAnsi="宋体"/>
          <w:color w:val="auto"/>
          <w:sz w:val="24"/>
          <w:highlight w:val="none"/>
        </w:rPr>
      </w:pPr>
      <w:r>
        <w:rPr>
          <w:rFonts w:hint="eastAsia" w:ascii="宋体" w:hAnsi="宋体"/>
          <w:color w:val="auto"/>
          <w:sz w:val="24"/>
          <w:highlight w:val="none"/>
        </w:rPr>
        <w:t>15.1 响应文件有效期：响应文件递交截止时间之日起60天，有效期不足的响应文件将被拒绝。</w:t>
      </w:r>
    </w:p>
    <w:p>
      <w:pPr>
        <w:spacing w:line="360" w:lineRule="auto"/>
        <w:ind w:left="-61" w:leftChars="-29" w:firstLine="480" w:firstLineChars="200"/>
        <w:rPr>
          <w:rFonts w:ascii="宋体" w:hAnsi="宋体"/>
          <w:color w:val="auto"/>
          <w:sz w:val="24"/>
          <w:highlight w:val="none"/>
        </w:rPr>
      </w:pPr>
      <w:r>
        <w:rPr>
          <w:rFonts w:hint="eastAsia" w:ascii="宋体" w:hAnsi="宋体"/>
          <w:color w:val="auto"/>
          <w:sz w:val="24"/>
          <w:highlight w:val="none"/>
        </w:rPr>
        <w:t>15.2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480" w:firstLineChars="200"/>
        <w:jc w:val="left"/>
        <w:rPr>
          <w:rFonts w:hAnsi="宋体"/>
          <w:color w:val="auto"/>
          <w:sz w:val="24"/>
          <w:highlight w:val="none"/>
        </w:rPr>
      </w:pPr>
    </w:p>
    <w:p>
      <w:pPr>
        <w:snapToGrid w:val="0"/>
        <w:spacing w:line="360" w:lineRule="auto"/>
        <w:ind w:firstLine="360" w:firstLineChars="150"/>
        <w:jc w:val="left"/>
        <w:rPr>
          <w:rFonts w:ascii="宋体" w:hAnsi="Courier New" w:cs="Courier New"/>
          <w:color w:val="auto"/>
          <w:sz w:val="24"/>
          <w:highlight w:val="none"/>
        </w:rPr>
      </w:pPr>
      <w:r>
        <w:rPr>
          <w:rFonts w:hint="eastAsia" w:ascii="宋体" w:hAnsi="Courier New" w:cs="Courier New"/>
          <w:color w:val="auto"/>
          <w:sz w:val="24"/>
          <w:highlight w:val="none"/>
        </w:rPr>
        <w:t xml:space="preserve"> </w:t>
      </w:r>
    </w:p>
    <w:p>
      <w:pPr>
        <w:tabs>
          <w:tab w:val="left" w:pos="1305"/>
        </w:tabs>
        <w:spacing w:line="380" w:lineRule="exact"/>
        <w:ind w:firstLine="420" w:firstLineChars="200"/>
        <w:rPr>
          <w:rFonts w:ascii="宋体" w:hAnsi="宋体"/>
          <w:color w:val="auto"/>
          <w:szCs w:val="21"/>
          <w:highlight w:val="none"/>
        </w:rPr>
      </w:pPr>
    </w:p>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四、竞争性谈判响应文件的份数、封装和递交</w:t>
      </w:r>
    </w:p>
    <w:p>
      <w:pPr>
        <w:spacing w:line="360" w:lineRule="auto"/>
        <w:ind w:left="-1" w:leftChars="-29" w:hanging="60" w:hangingChars="25"/>
        <w:rPr>
          <w:rFonts w:ascii="宋体" w:hAnsi="宋体"/>
          <w:b/>
          <w:color w:val="auto"/>
          <w:sz w:val="24"/>
          <w:highlight w:val="none"/>
        </w:rPr>
      </w:pPr>
      <w:r>
        <w:rPr>
          <w:rFonts w:hint="eastAsia" w:ascii="宋体" w:hAnsi="宋体"/>
          <w:b/>
          <w:color w:val="auto"/>
          <w:sz w:val="24"/>
          <w:highlight w:val="none"/>
        </w:rPr>
        <w:t>16. 谈判响应文件的份数和封装</w:t>
      </w:r>
    </w:p>
    <w:p>
      <w:pPr>
        <w:spacing w:line="360" w:lineRule="auto"/>
        <w:ind w:left="-61"/>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.1</w:t>
      </w:r>
      <w:r>
        <w:rPr>
          <w:rFonts w:hint="eastAsia" w:ascii="宋体" w:hAnsi="宋体"/>
          <w:color w:val="auto"/>
          <w:sz w:val="24"/>
          <w:highlight w:val="none"/>
        </w:rPr>
        <w:t xml:space="preserve"> 响应文件份数：正本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壹</w:t>
      </w:r>
      <w:r>
        <w:rPr>
          <w:rFonts w:hint="eastAsia" w:ascii="宋体" w:hAnsi="宋体"/>
          <w:color w:val="auto"/>
          <w:sz w:val="24"/>
          <w:highlight w:val="none"/>
          <w:u w:val="single"/>
        </w:rPr>
        <w:t xml:space="preserve"> </w:t>
      </w:r>
      <w:r>
        <w:rPr>
          <w:rFonts w:hint="eastAsia" w:ascii="宋体" w:hAnsi="宋体"/>
          <w:color w:val="auto"/>
          <w:sz w:val="24"/>
          <w:highlight w:val="none"/>
        </w:rPr>
        <w:t>册，副本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rPr>
        <w:t>册，须完整提交（</w:t>
      </w:r>
      <w:r>
        <w:rPr>
          <w:rFonts w:ascii="宋体" w:hAnsi="宋体"/>
          <w:color w:val="auto"/>
          <w:sz w:val="24"/>
          <w:highlight w:val="none"/>
        </w:rPr>
        <w:t>A4</w:t>
      </w:r>
      <w:r>
        <w:rPr>
          <w:rFonts w:hint="eastAsia" w:ascii="宋体" w:hAnsi="宋体"/>
          <w:color w:val="auto"/>
          <w:sz w:val="24"/>
          <w:highlight w:val="none"/>
        </w:rPr>
        <w:t>纸装订）。</w:t>
      </w:r>
    </w:p>
    <w:p>
      <w:pPr>
        <w:spacing w:line="360" w:lineRule="auto"/>
        <w:ind w:left="-6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标项</w:t>
      </w:r>
      <w:r>
        <w:rPr>
          <w:rFonts w:hint="eastAsia" w:ascii="宋体" w:hAnsi="宋体"/>
          <w:color w:val="auto"/>
          <w:sz w:val="24"/>
          <w:highlight w:val="none"/>
          <w:lang w:eastAsia="zh-CN"/>
        </w:rPr>
        <w:t>（如有）</w:t>
      </w:r>
      <w:r>
        <w:rPr>
          <w:rFonts w:hint="eastAsia" w:ascii="宋体" w:hAnsi="宋体"/>
          <w:color w:val="auto"/>
          <w:sz w:val="24"/>
          <w:highlight w:val="none"/>
        </w:rPr>
        <w:t>、供应商单位名称。</w:t>
      </w:r>
    </w:p>
    <w:p>
      <w:pPr>
        <w:spacing w:line="360" w:lineRule="auto"/>
        <w:ind w:left="-6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.3</w:t>
      </w:r>
      <w:r>
        <w:rPr>
          <w:rFonts w:hint="eastAsia" w:ascii="宋体" w:hAnsi="宋体"/>
          <w:color w:val="auto"/>
          <w:sz w:val="24"/>
          <w:highlight w:val="none"/>
        </w:rPr>
        <w:t xml:space="preserve"> 响应文件的正本需打印或用不褪色的墨水填写，响应文件正本除本谈判文件中规定的可提供复印件外均须提供原件。</w:t>
      </w:r>
    </w:p>
    <w:p>
      <w:pPr>
        <w:spacing w:line="360" w:lineRule="auto"/>
        <w:ind w:left="-6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.4</w:t>
      </w:r>
      <w:r>
        <w:rPr>
          <w:rFonts w:hint="eastAsia" w:ascii="宋体" w:hAnsi="宋体"/>
          <w:color w:val="auto"/>
          <w:sz w:val="24"/>
          <w:highlight w:val="none"/>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.5</w:t>
      </w:r>
      <w:r>
        <w:rPr>
          <w:rFonts w:hint="eastAsia" w:ascii="宋体" w:hAnsi="宋体"/>
          <w:color w:val="auto"/>
          <w:sz w:val="24"/>
          <w:highlight w:val="none"/>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6 响应文件包装、密封、标记：</w:t>
      </w:r>
    </w:p>
    <w:p>
      <w:pPr>
        <w:spacing w:line="360" w:lineRule="auto"/>
        <w:ind w:left="-61"/>
        <w:rPr>
          <w:rFonts w:ascii="宋体" w:hAnsi="宋体"/>
          <w:color w:val="auto"/>
          <w:sz w:val="24"/>
          <w:highlight w:val="none"/>
        </w:rPr>
      </w:pPr>
      <w:r>
        <w:rPr>
          <w:rFonts w:hint="eastAsia" w:ascii="宋体" w:hAnsi="宋体"/>
          <w:color w:val="auto"/>
          <w:sz w:val="24"/>
          <w:highlight w:val="none"/>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color w:val="auto"/>
          <w:sz w:val="24"/>
          <w:highlight w:val="none"/>
        </w:rPr>
        <w:t>】</w:t>
      </w:r>
      <w:r>
        <w:rPr>
          <w:rFonts w:hint="eastAsia" w:ascii="宋体" w:hAnsi="宋体"/>
          <w:color w:val="auto"/>
          <w:sz w:val="24"/>
          <w:highlight w:val="none"/>
        </w:rPr>
        <w:t>。</w:t>
      </w:r>
    </w:p>
    <w:p>
      <w:pPr>
        <w:spacing w:line="360" w:lineRule="auto"/>
        <w:ind w:left="-61"/>
        <w:rPr>
          <w:rFonts w:ascii="宋体" w:hAnsi="宋体"/>
          <w:color w:val="auto"/>
          <w:sz w:val="24"/>
          <w:highlight w:val="none"/>
        </w:rPr>
      </w:pPr>
      <w:r>
        <w:rPr>
          <w:rFonts w:hint="eastAsia" w:ascii="宋体" w:hAnsi="宋体"/>
          <w:color w:val="auto"/>
          <w:sz w:val="24"/>
          <w:highlight w:val="none"/>
        </w:rPr>
        <w:t>16.6.2 响应文件袋（盒、箱）标记：</w:t>
      </w:r>
    </w:p>
    <w:p>
      <w:pPr>
        <w:spacing w:line="360" w:lineRule="auto"/>
        <w:ind w:left="-61"/>
        <w:rPr>
          <w:rFonts w:ascii="宋体" w:hAnsi="宋体"/>
          <w:color w:val="auto"/>
          <w:sz w:val="24"/>
          <w:highlight w:val="none"/>
        </w:rPr>
      </w:pPr>
      <w:r>
        <w:rPr>
          <w:rFonts w:hint="eastAsia" w:ascii="宋体" w:hAnsi="宋体"/>
          <w:color w:val="auto"/>
          <w:sz w:val="24"/>
          <w:highlight w:val="none"/>
        </w:rPr>
        <w:t xml:space="preserve">项目名称： </w:t>
      </w:r>
    </w:p>
    <w:p>
      <w:pPr>
        <w:spacing w:line="360" w:lineRule="auto"/>
        <w:ind w:left="-61"/>
        <w:rPr>
          <w:rFonts w:ascii="宋体" w:hAnsi="宋体"/>
          <w:color w:val="auto"/>
          <w:sz w:val="24"/>
          <w:highlight w:val="none"/>
        </w:rPr>
      </w:pPr>
      <w:r>
        <w:rPr>
          <w:rFonts w:hint="eastAsia" w:ascii="宋体" w:hAnsi="宋体"/>
          <w:color w:val="auto"/>
          <w:sz w:val="24"/>
          <w:highlight w:val="none"/>
        </w:rPr>
        <w:t>项目编号：</w:t>
      </w:r>
    </w:p>
    <w:p>
      <w:pPr>
        <w:spacing w:line="360" w:lineRule="auto"/>
        <w:ind w:left="-61"/>
        <w:rPr>
          <w:rFonts w:ascii="宋体" w:hAnsi="宋体"/>
          <w:color w:val="auto"/>
          <w:sz w:val="24"/>
          <w:highlight w:val="none"/>
        </w:rPr>
      </w:pPr>
      <w:r>
        <w:rPr>
          <w:rFonts w:hint="eastAsia" w:ascii="宋体" w:hAnsi="宋体"/>
          <w:color w:val="auto"/>
          <w:sz w:val="24"/>
          <w:highlight w:val="none"/>
        </w:rPr>
        <w:t>采购代理机构：</w:t>
      </w:r>
    </w:p>
    <w:p>
      <w:pPr>
        <w:spacing w:line="360" w:lineRule="auto"/>
        <w:ind w:left="-61"/>
        <w:rPr>
          <w:rFonts w:ascii="宋体" w:hAnsi="宋体"/>
          <w:color w:val="auto"/>
          <w:sz w:val="24"/>
          <w:highlight w:val="none"/>
        </w:rPr>
      </w:pPr>
      <w:r>
        <w:rPr>
          <w:rFonts w:hint="eastAsia" w:ascii="宋体" w:hAnsi="宋体"/>
          <w:color w:val="auto"/>
          <w:sz w:val="24"/>
          <w:highlight w:val="none"/>
        </w:rPr>
        <w:t>供应商单位名称：</w:t>
      </w:r>
    </w:p>
    <w:p>
      <w:pPr>
        <w:spacing w:line="360" w:lineRule="auto"/>
        <w:ind w:left="-61"/>
        <w:rPr>
          <w:rFonts w:ascii="宋体" w:hAnsi="宋体"/>
          <w:color w:val="auto"/>
          <w:sz w:val="24"/>
          <w:highlight w:val="none"/>
        </w:rPr>
      </w:pPr>
      <w:r>
        <w:rPr>
          <w:rFonts w:hint="eastAsia" w:ascii="宋体" w:hAnsi="宋体"/>
          <w:color w:val="auto"/>
          <w:sz w:val="24"/>
          <w:highlight w:val="none"/>
        </w:rPr>
        <w:t xml:space="preserve">在  </w:t>
      </w:r>
      <w:r>
        <w:rPr>
          <w:rFonts w:hint="eastAsia" w:ascii="宋体" w:hAnsi="宋体"/>
          <w:color w:val="auto"/>
          <w:sz w:val="24"/>
          <w:highlight w:val="none"/>
          <w:u w:val="single"/>
        </w:rPr>
        <w:t xml:space="preserve"> 年 月  日上午  时 分</w:t>
      </w:r>
      <w:r>
        <w:rPr>
          <w:rFonts w:hint="eastAsia" w:ascii="宋体" w:hAnsi="宋体"/>
          <w:color w:val="auto"/>
          <w:sz w:val="24"/>
          <w:highlight w:val="none"/>
        </w:rPr>
        <w:t>前不得开启(此处供应商填写响应文件递交截止时间)</w:t>
      </w:r>
    </w:p>
    <w:p>
      <w:pPr>
        <w:spacing w:line="360" w:lineRule="auto"/>
        <w:ind w:left="-6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7 供应商公章：</w:t>
      </w:r>
      <w:r>
        <w:rPr>
          <w:rFonts w:ascii="宋体" w:hAnsi="宋体"/>
          <w:color w:val="auto"/>
          <w:sz w:val="24"/>
          <w:highlight w:val="none"/>
        </w:rPr>
        <w:t>本</w:t>
      </w:r>
      <w:r>
        <w:rPr>
          <w:rFonts w:hint="eastAsia" w:ascii="宋体" w:hAnsi="宋体"/>
          <w:color w:val="auto"/>
          <w:sz w:val="24"/>
          <w:highlight w:val="none"/>
        </w:rPr>
        <w:t>竞争性谈判文件</w:t>
      </w:r>
      <w:r>
        <w:rPr>
          <w:rFonts w:ascii="宋体" w:hAnsi="宋体"/>
          <w:color w:val="auto"/>
          <w:sz w:val="24"/>
          <w:highlight w:val="none"/>
        </w:rPr>
        <w:t>中描述</w:t>
      </w:r>
      <w:r>
        <w:rPr>
          <w:rFonts w:hint="eastAsia" w:ascii="宋体" w:hAnsi="宋体"/>
          <w:color w:val="auto"/>
          <w:sz w:val="24"/>
          <w:highlight w:val="none"/>
        </w:rPr>
        <w:t>供应商</w:t>
      </w:r>
      <w:r>
        <w:rPr>
          <w:rFonts w:ascii="宋体" w:hAnsi="宋体"/>
          <w:color w:val="auto"/>
          <w:sz w:val="24"/>
          <w:highlight w:val="none"/>
        </w:rPr>
        <w:t>的“公章”是指根据我国对公章的管理规定，用</w:t>
      </w:r>
      <w:r>
        <w:rPr>
          <w:rFonts w:hint="eastAsia" w:ascii="宋体" w:hAnsi="宋体"/>
          <w:color w:val="auto"/>
          <w:sz w:val="24"/>
          <w:highlight w:val="none"/>
        </w:rPr>
        <w:t>供应商</w:t>
      </w:r>
      <w:r>
        <w:rPr>
          <w:rFonts w:ascii="宋体" w:hAnsi="宋体"/>
          <w:color w:val="auto"/>
          <w:sz w:val="24"/>
          <w:highlight w:val="none"/>
        </w:rPr>
        <w:t>法定主体行为名称制作的印章，除本文件有特殊规定外，</w:t>
      </w:r>
      <w:r>
        <w:rPr>
          <w:rFonts w:hint="eastAsia" w:ascii="宋体" w:hAnsi="宋体"/>
          <w:color w:val="auto"/>
          <w:sz w:val="24"/>
          <w:highlight w:val="none"/>
        </w:rPr>
        <w:t>供应商</w:t>
      </w:r>
      <w:r>
        <w:rPr>
          <w:rFonts w:ascii="宋体" w:hAnsi="宋体"/>
          <w:color w:val="auto"/>
          <w:sz w:val="24"/>
          <w:highlight w:val="none"/>
        </w:rPr>
        <w:t>的财务章、部门章、分公司章、工会章、合同章、</w:t>
      </w:r>
      <w:r>
        <w:rPr>
          <w:rFonts w:hint="eastAsia" w:ascii="宋体" w:hAnsi="宋体"/>
          <w:color w:val="auto"/>
          <w:sz w:val="24"/>
          <w:highlight w:val="none"/>
        </w:rPr>
        <w:t>投</w:t>
      </w:r>
      <w:r>
        <w:rPr>
          <w:rFonts w:ascii="宋体" w:hAnsi="宋体"/>
          <w:color w:val="auto"/>
          <w:sz w:val="24"/>
          <w:highlight w:val="none"/>
        </w:rPr>
        <w:t>标专用章、业务专用章及银行的转账章、现金收讫章、现金付讫章等其它形式印章均不能代替公章</w:t>
      </w:r>
      <w:r>
        <w:rPr>
          <w:rFonts w:hint="eastAsia" w:ascii="宋体" w:hAnsi="宋体"/>
          <w:color w:val="auto"/>
          <w:sz w:val="24"/>
          <w:highlight w:val="none"/>
        </w:rPr>
        <w:t>。</w:t>
      </w:r>
    </w:p>
    <w:p>
      <w:pPr>
        <w:spacing w:line="360" w:lineRule="auto"/>
        <w:rPr>
          <w:rFonts w:ascii="宋体" w:hAnsi="宋体"/>
          <w:b/>
          <w:color w:val="auto"/>
          <w:sz w:val="24"/>
          <w:highlight w:val="none"/>
        </w:rPr>
      </w:pPr>
      <w:r>
        <w:rPr>
          <w:rFonts w:hint="eastAsia" w:ascii="宋体" w:hAnsi="宋体"/>
          <w:b/>
          <w:color w:val="auto"/>
          <w:sz w:val="24"/>
          <w:highlight w:val="none"/>
        </w:rPr>
        <w:t>17. 竞争性谈判响应文件的递交</w:t>
      </w:r>
    </w:p>
    <w:p>
      <w:pPr>
        <w:spacing w:line="360" w:lineRule="auto"/>
        <w:ind w:left="-61"/>
        <w:rPr>
          <w:rFonts w:ascii="宋体" w:hAnsi="宋体"/>
          <w:color w:val="auto"/>
          <w:sz w:val="24"/>
          <w:highlight w:val="none"/>
        </w:rPr>
      </w:pPr>
      <w:r>
        <w:rPr>
          <w:rFonts w:hint="eastAsia" w:ascii="宋体" w:hAnsi="宋体"/>
          <w:color w:val="auto"/>
          <w:sz w:val="24"/>
          <w:highlight w:val="none"/>
        </w:rPr>
        <w:t>17.1所有竞争性谈判响应文件必须按“供应商须知前附表”第12项规定的时间和地点密封递交。</w:t>
      </w:r>
    </w:p>
    <w:p>
      <w:pPr>
        <w:tabs>
          <w:tab w:val="left" w:pos="1305"/>
        </w:tabs>
        <w:spacing w:line="380" w:lineRule="exact"/>
        <w:rPr>
          <w:rFonts w:ascii="宋体" w:hAnsi="宋体"/>
          <w:color w:val="auto"/>
          <w:sz w:val="24"/>
          <w:highlight w:val="none"/>
        </w:rPr>
      </w:pPr>
      <w:r>
        <w:rPr>
          <w:rFonts w:hint="eastAsia" w:ascii="宋体" w:hAnsi="宋体"/>
          <w:color w:val="auto"/>
          <w:sz w:val="24"/>
          <w:highlight w:val="none"/>
        </w:rPr>
        <w:t>17.2 除竞争性谈判文件另有规定外，供应商所递交的响应文件不予退还。</w:t>
      </w:r>
    </w:p>
    <w:p>
      <w:pPr>
        <w:spacing w:line="360" w:lineRule="auto"/>
        <w:rPr>
          <w:rFonts w:ascii="宋体" w:hAnsi="宋体"/>
          <w:color w:val="auto"/>
          <w:sz w:val="24"/>
          <w:highlight w:val="none"/>
        </w:rPr>
      </w:pPr>
      <w:r>
        <w:rPr>
          <w:rFonts w:hint="eastAsia" w:ascii="宋体" w:hAnsi="宋体"/>
          <w:color w:val="auto"/>
          <w:sz w:val="24"/>
          <w:highlight w:val="none"/>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color w:val="auto"/>
          <w:sz w:val="28"/>
          <w:szCs w:val="28"/>
          <w:highlight w:val="none"/>
        </w:rPr>
      </w:pPr>
    </w:p>
    <w:p>
      <w:pPr>
        <w:tabs>
          <w:tab w:val="left" w:pos="1305"/>
        </w:tabs>
        <w:spacing w:line="38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五、竞争性谈判（简称谈判）与评审</w:t>
      </w:r>
    </w:p>
    <w:p>
      <w:pPr>
        <w:tabs>
          <w:tab w:val="center" w:pos="4411"/>
          <w:tab w:val="left" w:pos="5475"/>
        </w:tabs>
        <w:spacing w:line="360" w:lineRule="auto"/>
        <w:ind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 谈判小组组成及谈判时间、地点、人员</w:t>
      </w:r>
    </w:p>
    <w:p>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18.1 谈判小组组成：</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谈判及评审工作由采购代理机构负责组织，具体谈判、评审工作由依法组建的谈判小组负责，谈判小组由采购人代表和有关方面的专家组成。谈判小组的构成：</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rPr>
        <w:t>人，其中采购人代表</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rPr>
        <w:t xml:space="preserve"> 人，专家 </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w:t>
      </w:r>
    </w:p>
    <w:p>
      <w:pPr>
        <w:tabs>
          <w:tab w:val="left" w:pos="1140"/>
        </w:tabs>
        <w:spacing w:line="360" w:lineRule="auto"/>
        <w:ind w:left="428" w:leftChars="172" w:hanging="67" w:hangingChars="28"/>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18.2 谈判时间、地点、人员：</w:t>
      </w:r>
    </w:p>
    <w:p>
      <w:pPr>
        <w:spacing w:line="360" w:lineRule="auto"/>
        <w:ind w:left="315" w:leftChars="150"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18.2.1 谈判时间：</w:t>
      </w:r>
      <w:r>
        <w:rPr>
          <w:rFonts w:hint="eastAsia" w:asciiTheme="minorEastAsia" w:hAnsiTheme="minorEastAsia" w:eastAsiaTheme="minorEastAsia"/>
          <w:color w:val="auto"/>
          <w:position w:val="-2"/>
          <w:sz w:val="24"/>
          <w:highlight w:val="none"/>
        </w:rPr>
        <w:t>响应文件递交</w:t>
      </w:r>
      <w:r>
        <w:rPr>
          <w:rFonts w:hint="eastAsia" w:asciiTheme="minorEastAsia" w:hAnsiTheme="minorEastAsia" w:eastAsiaTheme="minorEastAsia"/>
          <w:color w:val="auto"/>
          <w:sz w:val="24"/>
          <w:highlight w:val="none"/>
        </w:rPr>
        <w:t>截止时间后。</w:t>
      </w:r>
    </w:p>
    <w:p>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18.2.2 谈判地点： 南宁市良庆区玉洞大道33号（青少年活动中心旁）市民中心</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楼南宁市公共资源交易中心</w:t>
      </w:r>
      <w:r>
        <w:rPr>
          <w:rFonts w:hint="eastAsia" w:asciiTheme="minorEastAsia" w:hAnsiTheme="minorEastAsia" w:eastAsiaTheme="minorEastAsia"/>
          <w:color w:val="auto"/>
          <w:sz w:val="24"/>
          <w:highlight w:val="none"/>
          <w:lang w:eastAsia="zh-CN"/>
        </w:rPr>
        <w:t>。</w:t>
      </w:r>
    </w:p>
    <w:p>
      <w:pPr>
        <w:tabs>
          <w:tab w:val="left" w:pos="1140"/>
        </w:tabs>
        <w:spacing w:line="360" w:lineRule="auto"/>
        <w:ind w:left="420" w:left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18.2.3 谈判参加人员：评审当天竞标人务必保持电话畅通。如果评审过程中需要与竞标人进行谈判、要求竞标人进行报价以及对响应文件作出澄清、说明或者补正的，谈判小组会通知竞标人在规定的时间内通过电子邮件或传真等方式提交。竞标人所提交的谈判应答文件、报价、澄清、说明或者补正等材料必须加盖供应商的公章确认。如竞标人未按采购文件要求填写联系电话、传真号码或电子邮箱，致使采购代理机构或谈判小组在项目评审期间无法与其取得联系的，或因自身原因未能保持电话畅通或未按谈判小组要求提交澄清、说明、报价或者补正的，后果由竞标人自行承担。</w:t>
      </w:r>
    </w:p>
    <w:p>
      <w:pPr>
        <w:tabs>
          <w:tab w:val="left" w:pos="1140"/>
        </w:tabs>
        <w:spacing w:line="360" w:lineRule="auto"/>
        <w:ind w:left="420" w:left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position w:val="-2"/>
          <w:sz w:val="24"/>
          <w:highlight w:val="none"/>
        </w:rPr>
        <w:t>18.2.4 响应文件递交</w:t>
      </w:r>
      <w:r>
        <w:rPr>
          <w:rFonts w:hint="eastAsia" w:asciiTheme="minorEastAsia" w:hAnsiTheme="minorEastAsia" w:eastAsiaTheme="minorEastAsia"/>
          <w:color w:val="auto"/>
          <w:sz w:val="24"/>
          <w:highlight w:val="none"/>
        </w:rPr>
        <w:t>截止时间后，由谈判小组在评标室内开启响应文件。</w:t>
      </w:r>
      <w:r>
        <w:rPr>
          <w:rFonts w:asciiTheme="minorEastAsia" w:hAnsiTheme="minorEastAsia" w:eastAsiaTheme="minorEastAsia"/>
          <w:color w:val="auto"/>
          <w:sz w:val="24"/>
          <w:highlight w:val="none"/>
        </w:rPr>
        <w:t xml:space="preserve">  </w:t>
      </w:r>
    </w:p>
    <w:p>
      <w:pPr>
        <w:tabs>
          <w:tab w:val="left" w:pos="1140"/>
        </w:tabs>
        <w:spacing w:line="360" w:lineRule="auto"/>
        <w:ind w:left="428" w:leftChars="172" w:hanging="67" w:hangingChars="28"/>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 评审原则和评审办法</w:t>
      </w:r>
    </w:p>
    <w:p>
      <w:pPr>
        <w:tabs>
          <w:tab w:val="left" w:pos="1140"/>
        </w:tabs>
        <w:spacing w:line="360" w:lineRule="auto"/>
        <w:ind w:firstLine="410" w:firstLineChars="1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19.1 谈判小组必须坚持公平、公正、科学和择优的原则。</w:t>
      </w:r>
    </w:p>
    <w:p>
      <w:pPr>
        <w:tabs>
          <w:tab w:val="left" w:pos="1140"/>
        </w:tabs>
        <w:spacing w:line="360" w:lineRule="auto"/>
        <w:ind w:firstLine="410" w:firstLineChars="1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 评审办法：具体详见第六章评审办法及评审标准。</w:t>
      </w:r>
    </w:p>
    <w:p>
      <w:pPr>
        <w:pStyle w:val="24"/>
        <w:spacing w:line="360" w:lineRule="auto"/>
        <w:ind w:firstLine="410" w:firstLineChars="17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19.3 谈判小组应按谈判文件进行评审，不得擅自更改评审办法。</w:t>
      </w:r>
    </w:p>
    <w:p>
      <w:pPr>
        <w:pStyle w:val="24"/>
        <w:spacing w:line="360" w:lineRule="auto"/>
        <w:ind w:firstLine="410" w:firstLineChars="17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19.4 在评审过程中，谈判小组任何人不得对某个供应商发表任何倾向性意见，不得向其他谈判小组成员明示或者暗示自己的评审意见。</w:t>
      </w:r>
    </w:p>
    <w:p>
      <w:pPr>
        <w:pStyle w:val="24"/>
        <w:spacing w:line="360" w:lineRule="auto"/>
        <w:ind w:firstLine="410" w:firstLineChars="171"/>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 评审程序及谈判要求</w:t>
      </w:r>
    </w:p>
    <w:p>
      <w:pPr>
        <w:pStyle w:val="24"/>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20.1 采购代理机构核实谈判小组成员身份，告知回避要求，宣布评审工作纪律和程序，统一保管通讯工具或相关电子设备，推选谈判小组组长。</w:t>
      </w:r>
    </w:p>
    <w:p>
      <w:pPr>
        <w:spacing w:line="360" w:lineRule="auto"/>
        <w:ind w:firstLine="360" w:firstLineChars="150"/>
        <w:rPr>
          <w:rFonts w:cs="Arial"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 xml:space="preserve">20.2 </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应当对发布公告的竞争性谈判文件（简称谈判文件）进行确认，</w:t>
      </w:r>
      <w:r>
        <w:rPr>
          <w:rFonts w:cs="Arial" w:asciiTheme="minorEastAsia" w:hAnsiTheme="minorEastAsia" w:eastAsiaTheme="minorEastAsia"/>
          <w:color w:val="auto"/>
          <w:kern w:val="0"/>
          <w:sz w:val="24"/>
          <w:highlight w:val="none"/>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20.3</w:t>
      </w:r>
      <w:r>
        <w:rPr>
          <w:rFonts w:cs="Arial" w:asciiTheme="minorEastAsia" w:hAnsiTheme="minorEastAsia" w:eastAsiaTheme="minorEastAsia"/>
          <w:color w:val="auto"/>
          <w:kern w:val="0"/>
          <w:sz w:val="24"/>
          <w:highlight w:val="none"/>
        </w:rPr>
        <w:t>谈判小组</w:t>
      </w:r>
      <w:r>
        <w:rPr>
          <w:rFonts w:hint="eastAsia" w:asciiTheme="minorEastAsia" w:hAnsiTheme="minorEastAsia" w:eastAsiaTheme="minorEastAsia"/>
          <w:color w:val="auto"/>
          <w:sz w:val="24"/>
          <w:highlight w:val="none"/>
        </w:rPr>
        <w:t>依据法律法规和竞争性谈判文件的规定，首先对响应文件进行资格性审查，以确定供应商是否具备本项目谈判资格；再对通过资格性审查的供应商响应文件的有效性、完整性和对谈判文件的响应程度进行符合性审查，以确定是否对谈判文件的实质性要求做出响应。</w:t>
      </w:r>
    </w:p>
    <w:p>
      <w:pPr>
        <w:spacing w:line="360" w:lineRule="auto"/>
        <w:ind w:firstLine="480" w:firstLineChars="20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20.4谈判小组</w:t>
      </w:r>
      <w:r>
        <w:rPr>
          <w:rFonts w:hint="eastAsia" w:asciiTheme="minorEastAsia" w:hAnsiTheme="minorEastAsia" w:eastAsiaTheme="minorEastAsia"/>
          <w:color w:val="auto"/>
          <w:sz w:val="24"/>
          <w:highlight w:val="none"/>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kern w:val="0"/>
          <w:sz w:val="24"/>
          <w:highlight w:val="none"/>
        </w:rPr>
        <w:t>20.5谈判小组</w:t>
      </w:r>
      <w:r>
        <w:rPr>
          <w:rFonts w:cs="Arial" w:asciiTheme="minorEastAsia" w:hAnsiTheme="minorEastAsia" w:eastAsiaTheme="minorEastAsia"/>
          <w:color w:val="auto"/>
          <w:kern w:val="0"/>
          <w:sz w:val="24"/>
          <w:highlight w:val="none"/>
        </w:rPr>
        <w:t>在对响应文件的有效性、完整性和响应程度进行审查时，可以要求供应商对</w:t>
      </w:r>
      <w:r>
        <w:rPr>
          <w:rFonts w:hint="eastAsia" w:asciiTheme="minorEastAsia" w:hAnsiTheme="minorEastAsia" w:eastAsiaTheme="minorEastAsia"/>
          <w:color w:val="auto"/>
          <w:sz w:val="24"/>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color w:val="auto"/>
          <w:sz w:val="24"/>
          <w:highlight w:val="none"/>
        </w:rPr>
        <w:t>由其法定代表人</w:t>
      </w:r>
      <w:r>
        <w:rPr>
          <w:rFonts w:hint="eastAsia" w:ascii="宋体" w:hAnsi="宋体"/>
          <w:color w:val="auto"/>
          <w:sz w:val="24"/>
          <w:highlight w:val="none"/>
        </w:rPr>
        <w:t>（供应商若为其他组织形式无法定代表人的为机构负责人，供应商若为自然人的为自然人）</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相应的</w:t>
      </w:r>
      <w:r>
        <w:rPr>
          <w:rFonts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highlight w:val="none"/>
        </w:rPr>
        <w:t>委托</w:t>
      </w:r>
      <w:r>
        <w:rPr>
          <w:rFonts w:asciiTheme="minorEastAsia" w:hAnsiTheme="minorEastAsia" w:eastAsiaTheme="minorEastAsia"/>
          <w:color w:val="auto"/>
          <w:sz w:val="24"/>
          <w:highlight w:val="none"/>
        </w:rPr>
        <w:t>代表签字或者加盖</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公章</w:t>
      </w:r>
      <w:r>
        <w:rPr>
          <w:rFonts w:hint="eastAsia" w:asciiTheme="minorEastAsia" w:hAnsiTheme="minorEastAsia" w:eastAsiaTheme="minorEastAsia"/>
          <w:color w:val="auto"/>
          <w:sz w:val="24"/>
          <w:highlight w:val="none"/>
        </w:rPr>
        <w:t>（供应商若为自然人的在签字处按指印）。</w:t>
      </w:r>
      <w:r>
        <w:rPr>
          <w:rFonts w:asciiTheme="minorEastAsia" w:hAnsiTheme="minorEastAsia" w:eastAsiaTheme="minorEastAsia"/>
          <w:color w:val="auto"/>
          <w:sz w:val="24"/>
          <w:highlight w:val="none"/>
        </w:rPr>
        <w:t>由授权</w:t>
      </w:r>
      <w:r>
        <w:rPr>
          <w:rFonts w:hint="eastAsia" w:asciiTheme="minorEastAsia" w:hAnsiTheme="minorEastAsia" w:eastAsiaTheme="minorEastAsia"/>
          <w:color w:val="auto"/>
          <w:sz w:val="24"/>
          <w:highlight w:val="none"/>
        </w:rPr>
        <w:t>委托</w:t>
      </w:r>
      <w:r>
        <w:rPr>
          <w:rFonts w:asciiTheme="minorEastAsia" w:hAnsiTheme="minorEastAsia" w:eastAsiaTheme="minorEastAsia"/>
          <w:color w:val="auto"/>
          <w:sz w:val="24"/>
          <w:highlight w:val="none"/>
        </w:rPr>
        <w:t>代表签字的，应当附授权</w:t>
      </w:r>
      <w:r>
        <w:rPr>
          <w:rFonts w:hint="eastAsia" w:asciiTheme="minorEastAsia" w:hAnsiTheme="minorEastAsia" w:eastAsiaTheme="minorEastAsia"/>
          <w:color w:val="auto"/>
          <w:sz w:val="24"/>
          <w:highlight w:val="none"/>
        </w:rPr>
        <w:t>委托</w:t>
      </w:r>
      <w:r>
        <w:rPr>
          <w:rFonts w:asciiTheme="minorEastAsia" w:hAnsiTheme="minorEastAsia" w:eastAsiaTheme="minorEastAsia"/>
          <w:color w:val="auto"/>
          <w:sz w:val="24"/>
          <w:highlight w:val="none"/>
        </w:rPr>
        <w:t>书。</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根据谈判文件规定的程序、评定成交的标准等事</w:t>
      </w:r>
      <w:r>
        <w:rPr>
          <w:rFonts w:hint="eastAsia" w:asciiTheme="minorEastAsia" w:hAnsiTheme="minorEastAsia" w:eastAsiaTheme="minorEastAsia"/>
          <w:color w:val="auto"/>
          <w:sz w:val="24"/>
          <w:highlight w:val="none"/>
        </w:rPr>
        <w:t>项</w:t>
      </w:r>
      <w:r>
        <w:rPr>
          <w:rFonts w:asciiTheme="minorEastAsia" w:hAnsiTheme="minorEastAsia" w:eastAsiaTheme="minorEastAsia"/>
          <w:color w:val="auto"/>
          <w:sz w:val="24"/>
          <w:highlight w:val="none"/>
        </w:rPr>
        <w:t>与实质性响应</w:t>
      </w:r>
      <w:r>
        <w:rPr>
          <w:rFonts w:hint="eastAsia" w:asciiTheme="minorEastAsia" w:hAnsiTheme="minorEastAsia" w:eastAsiaTheme="minorEastAsia"/>
          <w:color w:val="auto"/>
          <w:sz w:val="24"/>
          <w:highlight w:val="none"/>
        </w:rPr>
        <w:t>竞争性</w:t>
      </w:r>
      <w:r>
        <w:rPr>
          <w:rFonts w:asciiTheme="minorEastAsia" w:hAnsiTheme="minorEastAsia" w:eastAsiaTheme="minorEastAsia"/>
          <w:color w:val="auto"/>
          <w:sz w:val="24"/>
          <w:highlight w:val="none"/>
        </w:rPr>
        <w:t>谈判文件要求的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进行谈判。未实质性响应谈判文件的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按无效处理，谈判小组应当告知有关</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谈判小组</w:t>
      </w:r>
      <w:r>
        <w:rPr>
          <w:rFonts w:asciiTheme="minorEastAsia" w:hAnsiTheme="minorEastAsia" w:eastAsiaTheme="minorEastAsia"/>
          <w:color w:val="auto"/>
          <w:sz w:val="24"/>
          <w:highlight w:val="none"/>
        </w:rPr>
        <w:t>所有成员应当</w:t>
      </w:r>
      <w:r>
        <w:rPr>
          <w:rFonts w:hint="eastAsia" w:cs="宋体" w:asciiTheme="minorEastAsia" w:hAnsiTheme="minorEastAsia" w:eastAsiaTheme="minorEastAsia"/>
          <w:color w:val="auto"/>
          <w:kern w:val="0"/>
          <w:sz w:val="24"/>
          <w:highlight w:val="none"/>
        </w:rPr>
        <w:t>按已确定的</w:t>
      </w:r>
      <w:r>
        <w:rPr>
          <w:rFonts w:hint="eastAsia" w:asciiTheme="minorEastAsia" w:hAnsiTheme="minorEastAsia" w:eastAsiaTheme="minorEastAsia"/>
          <w:color w:val="auto"/>
          <w:sz w:val="24"/>
          <w:highlight w:val="none"/>
        </w:rPr>
        <w:t>谈判顺序集中</w:t>
      </w:r>
      <w:r>
        <w:rPr>
          <w:rFonts w:asciiTheme="minorEastAsia" w:hAnsiTheme="minorEastAsia" w:eastAsiaTheme="minorEastAsia"/>
          <w:color w:val="auto"/>
          <w:sz w:val="24"/>
          <w:highlight w:val="none"/>
        </w:rPr>
        <w:t>与单一</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分别进行谈判，并给予所有实质性响应</w:t>
      </w:r>
      <w:r>
        <w:rPr>
          <w:rFonts w:hint="eastAsia" w:asciiTheme="minorEastAsia" w:hAnsiTheme="minorEastAsia" w:eastAsiaTheme="minorEastAsia"/>
          <w:color w:val="auto"/>
          <w:sz w:val="24"/>
          <w:highlight w:val="none"/>
        </w:rPr>
        <w:t>竞争性</w:t>
      </w:r>
      <w:r>
        <w:rPr>
          <w:rFonts w:asciiTheme="minorEastAsia" w:hAnsiTheme="minorEastAsia" w:eastAsiaTheme="minorEastAsia"/>
          <w:color w:val="auto"/>
          <w:sz w:val="24"/>
          <w:highlight w:val="none"/>
        </w:rPr>
        <w:t>谈判文件要求的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平等的谈判机会。</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谈判中，谈判小组不得透露与谈判有关的其他供应商的技术资料、价格和其他信息。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采购代理机构对谈判过程和重要谈判内容进行记录，谈判双方在记录上签字确认。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20.6 </w:t>
      </w:r>
      <w:r>
        <w:rPr>
          <w:rFonts w:asciiTheme="minorEastAsia" w:hAnsiTheme="minorEastAsia" w:eastAsiaTheme="minorEastAsia"/>
          <w:color w:val="auto"/>
          <w:sz w:val="24"/>
          <w:highlight w:val="none"/>
        </w:rPr>
        <w:t>在谈判过程中，谈判小组可以根据谈判文件和谈判情况实质性变动</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需求中的技术、服务要求以及合同草案条款，但不得变动谈判文件中的其他内容。实质性变动的内容，须经采购人代表确认。</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对谈判文件作出的实质性变动是谈判文件的有效组成部分，谈判小组应当及时以书面形式同时通知所有参加谈判的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供应商应当按照谈判文件的变动情况和谈判小组的要求重新提交</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文件，并由其法定代表人</w:t>
      </w:r>
      <w:r>
        <w:rPr>
          <w:rFonts w:hint="eastAsia" w:asciiTheme="minorEastAsia" w:hAnsiTheme="minorEastAsia" w:eastAsiaTheme="minorEastAsia"/>
          <w:color w:val="auto"/>
          <w:sz w:val="24"/>
          <w:highlight w:val="none"/>
        </w:rPr>
        <w:t>、负责人、自然人</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相应的</w:t>
      </w:r>
      <w:r>
        <w:rPr>
          <w:rFonts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highlight w:val="none"/>
        </w:rPr>
        <w:t>委托</w:t>
      </w:r>
      <w:r>
        <w:rPr>
          <w:rFonts w:asciiTheme="minorEastAsia" w:hAnsiTheme="minorEastAsia" w:eastAsiaTheme="minorEastAsia"/>
          <w:color w:val="auto"/>
          <w:sz w:val="24"/>
          <w:highlight w:val="none"/>
        </w:rPr>
        <w:t>代表签字或者加盖</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逾时不交的，视同放弃谈判。</w:t>
      </w:r>
    </w:p>
    <w:p>
      <w:pPr>
        <w:widowControl/>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20.7</w:t>
      </w:r>
      <w:r>
        <w:rPr>
          <w:rFonts w:asciiTheme="minorEastAsia" w:hAnsiTheme="minorEastAsia" w:eastAsiaTheme="minorEastAsia"/>
          <w:color w:val="auto"/>
          <w:kern w:val="0"/>
          <w:sz w:val="24"/>
          <w:highlight w:val="none"/>
        </w:rPr>
        <w:t>在采购过程中符合竞争要求的供应商或者报价未超过</w:t>
      </w:r>
      <w:r>
        <w:rPr>
          <w:rFonts w:hint="eastAsia" w:asciiTheme="minorEastAsia" w:hAnsiTheme="minorEastAsia" w:eastAsiaTheme="minorEastAsia"/>
          <w:color w:val="auto"/>
          <w:kern w:val="0"/>
          <w:sz w:val="24"/>
          <w:highlight w:val="none"/>
        </w:rPr>
        <w:t>相应分标总</w:t>
      </w:r>
      <w:r>
        <w:rPr>
          <w:rFonts w:asciiTheme="minorEastAsia" w:hAnsiTheme="minorEastAsia" w:eastAsiaTheme="minorEastAsia"/>
          <w:color w:val="auto"/>
          <w:kern w:val="0"/>
          <w:sz w:val="24"/>
          <w:highlight w:val="none"/>
        </w:rPr>
        <w:t>采购预算</w:t>
      </w:r>
      <w:r>
        <w:rPr>
          <w:rFonts w:hint="eastAsia" w:asciiTheme="minorEastAsia" w:hAnsiTheme="minorEastAsia" w:eastAsiaTheme="minorEastAsia"/>
          <w:color w:val="auto"/>
          <w:kern w:val="0"/>
          <w:sz w:val="24"/>
          <w:highlight w:val="none"/>
        </w:rPr>
        <w:t>、分项采购预算（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的供应商不足3家的</w:t>
      </w:r>
      <w:r>
        <w:rPr>
          <w:rFonts w:hint="eastAsia" w:asciiTheme="minorEastAsia" w:hAnsiTheme="minorEastAsia" w:eastAsiaTheme="minorEastAsia"/>
          <w:color w:val="auto"/>
          <w:kern w:val="0"/>
          <w:sz w:val="24"/>
          <w:highlight w:val="none"/>
        </w:rPr>
        <w:t>，采购人或者采购代理机构应当终止竞争性谈判采购活动。</w:t>
      </w:r>
    </w:p>
    <w:p>
      <w:pPr>
        <w:widowControl/>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20.8最后报价</w:t>
      </w:r>
    </w:p>
    <w:p>
      <w:pPr>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20.8.1</w:t>
      </w:r>
      <w:r>
        <w:rPr>
          <w:rFonts w:asciiTheme="minorEastAsia" w:hAnsiTheme="minorEastAsia" w:eastAsiaTheme="minorEastAsia"/>
          <w:color w:val="auto"/>
          <w:kern w:val="0"/>
          <w:sz w:val="24"/>
          <w:highlight w:val="none"/>
        </w:rPr>
        <w:t>谈判文件能够详细列明采购标的的技术、服务要求的，谈判结束后，谈判小组应当要求所有继续参加谈判的供应商在规定时间内提交最后报价，提交最后报价的供应商不得少于3家。</w:t>
      </w:r>
    </w:p>
    <w:p>
      <w:pPr>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20.8.2</w:t>
      </w:r>
      <w:r>
        <w:rPr>
          <w:rFonts w:asciiTheme="minorEastAsia" w:hAnsiTheme="minorEastAsia" w:eastAsiaTheme="minorEastAsia"/>
          <w:color w:val="auto"/>
          <w:kern w:val="0"/>
          <w:sz w:val="24"/>
          <w:highlight w:val="none"/>
        </w:rPr>
        <w:t>谈判文件不能详细列明采购标的的技术、服务要求</w:t>
      </w:r>
      <w:r>
        <w:rPr>
          <w:rFonts w:hint="eastAsia" w:asciiTheme="minorEastAsia" w:hAnsiTheme="minorEastAsia" w:eastAsiaTheme="minorEastAsia"/>
          <w:color w:val="auto"/>
          <w:kern w:val="0"/>
          <w:sz w:val="24"/>
          <w:highlight w:val="none"/>
        </w:rPr>
        <w:t>的</w:t>
      </w:r>
      <w:r>
        <w:rPr>
          <w:rFonts w:asciiTheme="minorEastAsia" w:hAnsiTheme="minorEastAsia" w:eastAsiaTheme="minorEastAsia"/>
          <w:color w:val="auto"/>
          <w:kern w:val="0"/>
          <w:sz w:val="24"/>
          <w:highlight w:val="none"/>
        </w:rPr>
        <w:t>，需</w:t>
      </w:r>
      <w:r>
        <w:rPr>
          <w:rFonts w:hint="eastAsia" w:asciiTheme="minorEastAsia" w:hAnsiTheme="minorEastAsia" w:eastAsiaTheme="minorEastAsia"/>
          <w:color w:val="auto"/>
          <w:kern w:val="0"/>
          <w:sz w:val="24"/>
          <w:highlight w:val="none"/>
        </w:rPr>
        <w:t>由</w:t>
      </w:r>
      <w:r>
        <w:rPr>
          <w:rFonts w:asciiTheme="minorEastAsia" w:hAnsiTheme="minorEastAsia" w:eastAsiaTheme="minorEastAsia"/>
          <w:color w:val="auto"/>
          <w:kern w:val="0"/>
          <w:sz w:val="24"/>
          <w:highlight w:val="none"/>
        </w:rPr>
        <w:t>谈判供应商提供最终设计方案或解决方案的，谈判结束后，谈判小组应当按照少数服从多数的原则投票推荐3家以上</w:t>
      </w:r>
      <w:r>
        <w:rPr>
          <w:rFonts w:hint="eastAsia" w:asciiTheme="minorEastAsia" w:hAnsiTheme="minorEastAsia" w:eastAsiaTheme="minorEastAsia"/>
          <w:color w:val="auto"/>
          <w:kern w:val="0"/>
          <w:sz w:val="24"/>
          <w:highlight w:val="none"/>
        </w:rPr>
        <w:t>（含3家）</w:t>
      </w:r>
      <w:r>
        <w:rPr>
          <w:rFonts w:asciiTheme="minorEastAsia" w:hAnsiTheme="minorEastAsia" w:eastAsiaTheme="minorEastAsia"/>
          <w:color w:val="auto"/>
          <w:kern w:val="0"/>
          <w:sz w:val="24"/>
          <w:highlight w:val="none"/>
        </w:rPr>
        <w:t>供应商的设计方案或者解决方案，并要求其在规定时间内提交最后报价</w:t>
      </w:r>
      <w:r>
        <w:rPr>
          <w:rFonts w:hint="eastAsia" w:asciiTheme="minorEastAsia" w:hAnsiTheme="minorEastAsia" w:eastAsiaTheme="minorEastAsia"/>
          <w:color w:val="auto"/>
          <w:kern w:val="0"/>
          <w:sz w:val="24"/>
          <w:highlight w:val="none"/>
        </w:rPr>
        <w:t>。</w:t>
      </w:r>
    </w:p>
    <w:p>
      <w:pPr>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20.8.3</w:t>
      </w:r>
      <w:r>
        <w:rPr>
          <w:rFonts w:asciiTheme="minorEastAsia" w:hAnsiTheme="minorEastAsia" w:eastAsiaTheme="minorEastAsia"/>
          <w:color w:val="auto"/>
          <w:kern w:val="0"/>
          <w:sz w:val="24"/>
          <w:highlight w:val="none"/>
        </w:rPr>
        <w:t>最后报价是供应商</w:t>
      </w:r>
      <w:r>
        <w:rPr>
          <w:rFonts w:hint="eastAsia" w:asciiTheme="minorEastAsia" w:hAnsiTheme="minorEastAsia" w:eastAsiaTheme="minorEastAsia"/>
          <w:color w:val="auto"/>
          <w:kern w:val="0"/>
          <w:sz w:val="24"/>
          <w:highlight w:val="none"/>
        </w:rPr>
        <w:t>响应文件</w:t>
      </w:r>
      <w:r>
        <w:rPr>
          <w:rFonts w:asciiTheme="minorEastAsia" w:hAnsiTheme="minorEastAsia" w:eastAsiaTheme="minorEastAsia"/>
          <w:color w:val="auto"/>
          <w:kern w:val="0"/>
          <w:sz w:val="24"/>
          <w:highlight w:val="none"/>
        </w:rPr>
        <w:t>的有效组成部分。</w:t>
      </w:r>
    </w:p>
    <w:p>
      <w:pPr>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20.9</w:t>
      </w:r>
      <w:r>
        <w:rPr>
          <w:rFonts w:asciiTheme="minorEastAsia" w:hAnsiTheme="minorEastAsia" w:eastAsiaTheme="minorEastAsia"/>
          <w:color w:val="auto"/>
          <w:kern w:val="0"/>
          <w:sz w:val="24"/>
          <w:highlight w:val="none"/>
        </w:rPr>
        <w:t>已提交响应文件的供应商，在提交最后报价之前，可以根据谈判情况</w:t>
      </w:r>
      <w:r>
        <w:rPr>
          <w:rFonts w:hint="eastAsia" w:asciiTheme="minorEastAsia" w:hAnsiTheme="minorEastAsia" w:eastAsiaTheme="minorEastAsia"/>
          <w:color w:val="auto"/>
          <w:kern w:val="0"/>
          <w:sz w:val="24"/>
          <w:highlight w:val="none"/>
        </w:rPr>
        <w:t>书面</w:t>
      </w:r>
      <w:r>
        <w:rPr>
          <w:rFonts w:asciiTheme="minorEastAsia" w:hAnsiTheme="minorEastAsia" w:eastAsiaTheme="minorEastAsia"/>
          <w:color w:val="auto"/>
          <w:kern w:val="0"/>
          <w:sz w:val="24"/>
          <w:highlight w:val="none"/>
        </w:rPr>
        <w:t>退出谈判</w:t>
      </w:r>
      <w:r>
        <w:rPr>
          <w:rFonts w:hint="eastAsia" w:asciiTheme="minorEastAsia" w:hAnsiTheme="minorEastAsia" w:eastAsiaTheme="minorEastAsia"/>
          <w:color w:val="auto"/>
          <w:kern w:val="0"/>
          <w:sz w:val="24"/>
          <w:highlight w:val="none"/>
        </w:rPr>
        <w:t>。</w:t>
      </w:r>
    </w:p>
    <w:p>
      <w:pPr>
        <w:widowControl/>
        <w:tabs>
          <w:tab w:val="left" w:pos="540"/>
        </w:tabs>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20.10 </w:t>
      </w:r>
      <w:r>
        <w:rPr>
          <w:rFonts w:asciiTheme="minorEastAsia" w:hAnsiTheme="minorEastAsia" w:eastAsiaTheme="minorEastAsia"/>
          <w:color w:val="auto"/>
          <w:kern w:val="0"/>
          <w:sz w:val="24"/>
          <w:highlight w:val="none"/>
        </w:rPr>
        <w:t>评审报告</w:t>
      </w:r>
    </w:p>
    <w:p>
      <w:pPr>
        <w:spacing w:line="360" w:lineRule="auto"/>
        <w:ind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谈判小组应当从质量和服务均能满足</w:t>
      </w:r>
      <w:r>
        <w:rPr>
          <w:rFonts w:hint="eastAsia" w:asciiTheme="minorEastAsia" w:hAnsiTheme="minorEastAsia" w:eastAsiaTheme="minorEastAsia"/>
          <w:color w:val="auto"/>
          <w:kern w:val="0"/>
          <w:sz w:val="24"/>
          <w:highlight w:val="none"/>
        </w:rPr>
        <w:t>谈判</w:t>
      </w:r>
      <w:r>
        <w:rPr>
          <w:rFonts w:asciiTheme="minorEastAsia" w:hAnsiTheme="minorEastAsia" w:eastAsiaTheme="minorEastAsia"/>
          <w:color w:val="auto"/>
          <w:kern w:val="0"/>
          <w:sz w:val="24"/>
          <w:highlight w:val="none"/>
        </w:rPr>
        <w:t>文件</w:t>
      </w:r>
      <w:r>
        <w:rPr>
          <w:rFonts w:hint="eastAsia" w:asciiTheme="minorEastAsia" w:hAnsiTheme="minorEastAsia" w:eastAsiaTheme="minorEastAsia"/>
          <w:color w:val="auto"/>
          <w:kern w:val="0"/>
          <w:sz w:val="24"/>
          <w:highlight w:val="none"/>
        </w:rPr>
        <w:t>全部</w:t>
      </w:r>
      <w:r>
        <w:rPr>
          <w:rFonts w:asciiTheme="minorEastAsia" w:hAnsiTheme="minorEastAsia" w:eastAsiaTheme="minorEastAsia"/>
          <w:color w:val="auto"/>
          <w:kern w:val="0"/>
          <w:sz w:val="24"/>
          <w:highlight w:val="none"/>
        </w:rPr>
        <w:t>实质性响应要求的供应商中，按</w:t>
      </w:r>
      <w:r>
        <w:rPr>
          <w:rFonts w:hint="eastAsia" w:asciiTheme="minorEastAsia" w:hAnsiTheme="minorEastAsia" w:eastAsiaTheme="minorEastAsia"/>
          <w:color w:val="auto"/>
          <w:kern w:val="0"/>
          <w:sz w:val="24"/>
          <w:highlight w:val="none"/>
        </w:rPr>
        <w:t>照评审报价（最后报价及享受政府采购政策的优惠扣除）由低到高的顺序</w:t>
      </w:r>
      <w:r>
        <w:rPr>
          <w:rFonts w:asciiTheme="minorEastAsia" w:hAnsiTheme="minorEastAsia" w:eastAsiaTheme="minorEastAsia"/>
          <w:color w:val="auto"/>
          <w:kern w:val="0"/>
          <w:sz w:val="24"/>
          <w:highlight w:val="none"/>
        </w:rPr>
        <w:t>提出3名以上</w:t>
      </w:r>
      <w:r>
        <w:rPr>
          <w:rFonts w:hint="eastAsia" w:asciiTheme="minorEastAsia" w:hAnsiTheme="minorEastAsia" w:eastAsiaTheme="minorEastAsia"/>
          <w:color w:val="auto"/>
          <w:kern w:val="0"/>
          <w:sz w:val="24"/>
          <w:highlight w:val="none"/>
        </w:rPr>
        <w:t>（含3名）</w:t>
      </w:r>
      <w:r>
        <w:rPr>
          <w:rFonts w:asciiTheme="minorEastAsia" w:hAnsiTheme="minorEastAsia" w:eastAsiaTheme="minorEastAsia"/>
          <w:color w:val="auto"/>
          <w:kern w:val="0"/>
          <w:sz w:val="24"/>
          <w:highlight w:val="none"/>
        </w:rPr>
        <w:t>成交候选人，并编写评审报告。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20.11采购代理机构发现谈判小组有明显的违规倾向或歧视现象，或不按评审办法进行，或其他不正常行为的，应当及时制止。如制止无效，应及时向南宁市政府采购监督管理机构报告。</w:t>
      </w:r>
    </w:p>
    <w:p>
      <w:pPr>
        <w:pStyle w:val="24"/>
        <w:spacing w:line="360" w:lineRule="auto"/>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21. 确定成交供应商</w:t>
      </w:r>
    </w:p>
    <w:p>
      <w:pPr>
        <w:pStyle w:val="24"/>
        <w:tabs>
          <w:tab w:val="left" w:pos="4214"/>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（1）采购单位应当确定谈判小组推荐排名第一的成交候选人为成交供应商。</w:t>
      </w:r>
    </w:p>
    <w:p>
      <w:pPr>
        <w:pStyle w:val="24"/>
        <w:spacing w:line="360" w:lineRule="auto"/>
        <w:ind w:firstLine="511" w:firstLineChars="213"/>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（2）排名第一的成交候选人放弃中标、因不可抗力提出不能履行合同，采购单位可以确定排名第二的成交候选人为成交供应商。</w:t>
      </w:r>
      <w:r>
        <w:rPr>
          <w:rFonts w:hint="eastAsia" w:hAnsi="宋体"/>
          <w:color w:val="auto"/>
          <w:sz w:val="24"/>
          <w:szCs w:val="24"/>
          <w:highlight w:val="none"/>
        </w:rPr>
        <w:t>采购人也可以重新采购。</w:t>
      </w:r>
    </w:p>
    <w:p>
      <w:pPr>
        <w:pStyle w:val="2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排名第二的成交候选人因前款规定的同样原因不能签订合同的，采购单位可以确定排名第三的成交候选人为成交供应商。</w:t>
      </w:r>
      <w:r>
        <w:rPr>
          <w:rFonts w:hint="eastAsia" w:hAnsi="宋体"/>
          <w:color w:val="auto"/>
          <w:sz w:val="24"/>
          <w:szCs w:val="24"/>
          <w:highlight w:val="none"/>
        </w:rPr>
        <w:t>采购人也可以重新采购。</w:t>
      </w:r>
    </w:p>
    <w:p>
      <w:pPr>
        <w:widowControl/>
        <w:shd w:val="clear" w:color="auto" w:fill="FFFFFF"/>
        <w:spacing w:line="360" w:lineRule="auto"/>
        <w:ind w:firstLine="480"/>
        <w:jc w:val="left"/>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 xml:space="preserve">22. </w:t>
      </w:r>
      <w:r>
        <w:rPr>
          <w:rFonts w:hint="eastAsia" w:asciiTheme="minorEastAsia" w:hAnsiTheme="minorEastAsia" w:eastAsiaTheme="minorEastAsia"/>
          <w:b/>
          <w:color w:val="auto"/>
          <w:sz w:val="24"/>
          <w:highlight w:val="none"/>
        </w:rPr>
        <w:t>属于下列情况之一者，响应文件无效：</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（2）未按谈判文件规定完整提交响应文件或未按规定要求密封、签字、盖章的；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（3）超越了行政审批的经营范围的；</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（4）不具备谈判文件规定的资格要求的；</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（5）响应文件未按谈判文件的内容和要求编制，或提供虚假材料的；</w:t>
      </w:r>
    </w:p>
    <w:p>
      <w:pPr>
        <w:snapToGrid w:val="0"/>
        <w:spacing w:line="360" w:lineRule="auto"/>
        <w:ind w:firstLine="480" w:firstLineChars="200"/>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（7）响应文件有效期、服务期限、服务内容不能满足谈判文件要求的；</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（8）供应商未就项目需求和说明中所竞分标的所有服务内容作完整唯一报价的，或报价超出相应分标采购预算总金额的；</w:t>
      </w:r>
    </w:p>
    <w:p>
      <w:pPr>
        <w:pStyle w:val="2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r>
        <w:rPr>
          <w:rFonts w:asciiTheme="minorEastAsia" w:hAnsiTheme="minorEastAsia" w:eastAsiaTheme="minorEastAsia"/>
          <w:color w:val="auto"/>
          <w:sz w:val="24"/>
          <w:szCs w:val="24"/>
          <w:highlight w:val="none"/>
        </w:rPr>
        <w:t>未在谈判小组规定的时间内</w:t>
      </w:r>
      <w:r>
        <w:rPr>
          <w:rFonts w:hint="eastAsia" w:asciiTheme="minorEastAsia" w:hAnsiTheme="minorEastAsia" w:eastAsiaTheme="minorEastAsia"/>
          <w:color w:val="auto"/>
          <w:sz w:val="24"/>
          <w:szCs w:val="24"/>
          <w:highlight w:val="none"/>
        </w:rPr>
        <w:t>重新提交响应文件</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w:t>
      </w:r>
    </w:p>
    <w:p>
      <w:pPr>
        <w:pStyle w:val="2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（10）未满足谈判文件全部实质性要求的或者响应文件有采购人不能接受的附加条件的；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（11）不符合法律、法规和谈判文件规定的其他实质性要求和条件的。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（5）不同供应商的响应文件相互混装；</w:t>
      </w:r>
    </w:p>
    <w:p>
      <w:pPr>
        <w:snapToGrid w:val="0"/>
        <w:spacing w:line="360" w:lineRule="auto"/>
        <w:ind w:firstLine="472" w:firstLineChars="196"/>
        <w:outlineLvl w:val="4"/>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23. </w:t>
      </w:r>
      <w:r>
        <w:rPr>
          <w:rFonts w:asciiTheme="minorEastAsia" w:hAnsiTheme="minorEastAsia" w:eastAsiaTheme="minorEastAsia"/>
          <w:b/>
          <w:color w:val="auto"/>
          <w:sz w:val="24"/>
          <w:highlight w:val="none"/>
        </w:rPr>
        <w:t>出现下列情形之一的，采购人或者采购代理机构应当终止竞争性谈判采购活动，发布项目终止公告并说明原因，重新开展采购活动：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因情况变化，不再符合规定的竞争性谈判采购方式适用情形的；</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r>
        <w:rPr>
          <w:rFonts w:hint="eastAsia" w:asciiTheme="minorEastAsia" w:hAnsiTheme="minorEastAsia" w:eastAsiaTheme="minorEastAsia"/>
          <w:color w:val="auto"/>
          <w:sz w:val="24"/>
          <w:highlight w:val="none"/>
        </w:rPr>
        <w:t xml:space="preserve"> </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在采购过程中符合竞争要求的供应商不足3家的</w:t>
      </w:r>
      <w:r>
        <w:rPr>
          <w:rFonts w:hint="eastAsia" w:asciiTheme="minorEastAsia" w:hAnsiTheme="minorEastAsia" w:eastAsiaTheme="minorEastAsia"/>
          <w:color w:val="auto"/>
          <w:sz w:val="24"/>
          <w:highlight w:val="none"/>
        </w:rPr>
        <w:t xml:space="preserve">。 </w:t>
      </w:r>
    </w:p>
    <w:p>
      <w:pPr>
        <w:snapToGrid w:val="0"/>
        <w:spacing w:line="360" w:lineRule="auto"/>
        <w:ind w:firstLine="482" w:firstLineChars="200"/>
        <w:outlineLvl w:val="4"/>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 谈判过程的监控</w:t>
      </w:r>
    </w:p>
    <w:p>
      <w:pPr>
        <w:pStyle w:val="24"/>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本项目谈判过程实行全程录音、录像监控，供应商在谈判过程中所进行的试图影响谈判结果的不公正活动，可能导致其谈判被拒绝。</w:t>
      </w:r>
    </w:p>
    <w:p>
      <w:pPr>
        <w:pStyle w:val="24"/>
        <w:spacing w:line="360" w:lineRule="auto"/>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25. 成交公告及成交通知书</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 在发布成交公告的同时，采购代理机构向成交供应商发出成交通知书</w:t>
      </w:r>
      <w:r>
        <w:rPr>
          <w:rFonts w:hint="eastAsia" w:asciiTheme="minorEastAsia" w:hAnsiTheme="minorEastAsia" w:eastAsiaTheme="minorEastAsia"/>
          <w:color w:val="auto"/>
          <w:sz w:val="24"/>
          <w:highlight w:val="none"/>
          <w:lang w:eastAsia="zh-CN"/>
        </w:rPr>
        <w:t>（格式详见附件）</w:t>
      </w:r>
      <w:r>
        <w:rPr>
          <w:rFonts w:hint="eastAsia" w:asciiTheme="minorEastAsia" w:hAnsiTheme="minorEastAsia" w:eastAsiaTheme="minorEastAsia"/>
          <w:color w:val="auto"/>
          <w:sz w:val="24"/>
          <w:highlight w:val="none"/>
        </w:rPr>
        <w:t>。如成交供应商自接到通知之日起七个工作日内，不办理成交通知书领取手续的，按违约处理。采购单位将取消其成交资格，从谈判小组推荐的成交候选人中按顺序重新确定成交供应商。</w:t>
      </w:r>
    </w:p>
    <w:p>
      <w:pPr>
        <w:pStyle w:val="24"/>
        <w:spacing w:line="360" w:lineRule="auto"/>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25.3 采购代理机构无义务向未成交的供应商解释未成交原因和退还响应文件。</w:t>
      </w:r>
    </w:p>
    <w:p>
      <w:pPr>
        <w:pStyle w:val="24"/>
        <w:spacing w:line="360" w:lineRule="auto"/>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pStyle w:val="176"/>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4"/>
        <w:spacing w:line="380" w:lineRule="exact"/>
        <w:ind w:firstLine="420" w:firstLineChars="200"/>
        <w:rPr>
          <w:rFonts w:hAnsi="宋体"/>
          <w:color w:val="auto"/>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六、签订合同</w:t>
      </w:r>
    </w:p>
    <w:p>
      <w:pPr>
        <w:spacing w:line="360" w:lineRule="auto"/>
        <w:rPr>
          <w:rFonts w:ascii="宋体" w:hAnsi="宋体"/>
          <w:b/>
          <w:color w:val="auto"/>
          <w:sz w:val="24"/>
          <w:highlight w:val="none"/>
        </w:rPr>
      </w:pPr>
      <w:r>
        <w:rPr>
          <w:rFonts w:hint="eastAsia" w:ascii="宋体" w:hAnsi="宋体"/>
          <w:b/>
          <w:color w:val="auto"/>
          <w:sz w:val="24"/>
          <w:highlight w:val="none"/>
        </w:rPr>
        <w:t>27. 签订合同</w:t>
      </w:r>
    </w:p>
    <w:p>
      <w:pPr>
        <w:pStyle w:val="24"/>
        <w:spacing w:line="360" w:lineRule="auto"/>
        <w:ind w:firstLine="420"/>
        <w:rPr>
          <w:rFonts w:hAnsi="宋体"/>
          <w:color w:val="auto"/>
          <w:sz w:val="24"/>
          <w:szCs w:val="24"/>
          <w:highlight w:val="none"/>
        </w:rPr>
      </w:pPr>
      <w:r>
        <w:rPr>
          <w:rFonts w:hint="eastAsia" w:hAnsi="宋体"/>
          <w:color w:val="auto"/>
          <w:sz w:val="24"/>
          <w:highlight w:val="none"/>
        </w:rPr>
        <w:t>27.1成交供应商在收到成交通知书后，按规定与采购人签订服务合同。</w:t>
      </w:r>
    </w:p>
    <w:p>
      <w:pPr>
        <w:pStyle w:val="24"/>
        <w:spacing w:line="360" w:lineRule="auto"/>
        <w:ind w:firstLine="425"/>
        <w:rPr>
          <w:rFonts w:hAnsi="宋体"/>
          <w:color w:val="auto"/>
          <w:sz w:val="24"/>
          <w:szCs w:val="24"/>
          <w:highlight w:val="none"/>
        </w:rPr>
      </w:pPr>
      <w:r>
        <w:rPr>
          <w:rFonts w:hint="eastAsia" w:hAnsi="宋体"/>
          <w:color w:val="auto"/>
          <w:sz w:val="24"/>
          <w:szCs w:val="24"/>
          <w:highlight w:val="none"/>
        </w:rPr>
        <w:t>27.2如果</w:t>
      </w:r>
      <w:r>
        <w:rPr>
          <w:rFonts w:hint="eastAsia" w:hAnsi="宋体"/>
          <w:color w:val="auto"/>
          <w:sz w:val="24"/>
          <w:highlight w:val="none"/>
        </w:rPr>
        <w:t>成交供应商</w:t>
      </w:r>
      <w:r>
        <w:rPr>
          <w:rFonts w:hint="eastAsia" w:hAnsi="宋体"/>
          <w:color w:val="auto"/>
          <w:sz w:val="24"/>
          <w:szCs w:val="24"/>
          <w:highlight w:val="none"/>
        </w:rPr>
        <w:t>不按</w:t>
      </w:r>
      <w:r>
        <w:rPr>
          <w:rFonts w:hint="eastAsia" w:hAnsi="宋体"/>
          <w:color w:val="auto"/>
          <w:sz w:val="24"/>
          <w:highlight w:val="none"/>
        </w:rPr>
        <w:t>成交</w:t>
      </w:r>
      <w:r>
        <w:rPr>
          <w:rFonts w:hint="eastAsia" w:hAnsi="宋体"/>
          <w:color w:val="auto"/>
          <w:sz w:val="24"/>
          <w:szCs w:val="24"/>
          <w:highlight w:val="none"/>
        </w:rPr>
        <w:t>通知书中规定签订合同，则按</w:t>
      </w:r>
      <w:r>
        <w:rPr>
          <w:rFonts w:hint="eastAsia" w:hAnsi="宋体"/>
          <w:color w:val="auto"/>
          <w:sz w:val="24"/>
          <w:highlight w:val="none"/>
        </w:rPr>
        <w:t>成交</w:t>
      </w:r>
      <w:r>
        <w:rPr>
          <w:rFonts w:hint="eastAsia" w:hAnsi="宋体"/>
          <w:color w:val="auto"/>
          <w:sz w:val="24"/>
          <w:szCs w:val="24"/>
          <w:highlight w:val="none"/>
        </w:rPr>
        <w:t>供应商违约处理。</w:t>
      </w:r>
    </w:p>
    <w:p>
      <w:pPr>
        <w:pStyle w:val="24"/>
        <w:spacing w:line="360" w:lineRule="auto"/>
        <w:ind w:firstLine="420"/>
        <w:rPr>
          <w:rFonts w:hAnsi="宋体"/>
          <w:color w:val="auto"/>
          <w:sz w:val="24"/>
          <w:szCs w:val="24"/>
          <w:highlight w:val="none"/>
        </w:rPr>
      </w:pPr>
      <w:r>
        <w:rPr>
          <w:rFonts w:hint="eastAsia" w:hAnsi="宋体"/>
          <w:color w:val="auto"/>
          <w:sz w:val="24"/>
          <w:szCs w:val="24"/>
          <w:highlight w:val="none"/>
        </w:rPr>
        <w:t>27.3</w:t>
      </w:r>
      <w:r>
        <w:rPr>
          <w:rFonts w:hint="eastAsia" w:hAnsi="宋体"/>
          <w:color w:val="auto"/>
          <w:sz w:val="24"/>
          <w:highlight w:val="none"/>
        </w:rPr>
        <w:t>成交</w:t>
      </w:r>
      <w:r>
        <w:rPr>
          <w:rFonts w:hint="eastAsia" w:hAnsi="宋体"/>
          <w:color w:val="auto"/>
          <w:sz w:val="24"/>
          <w:szCs w:val="24"/>
          <w:highlight w:val="none"/>
        </w:rPr>
        <w:t>供应商因不可抗力或者自身原因不能履行政府采购合同的，采购人可以与</w:t>
      </w:r>
      <w:r>
        <w:rPr>
          <w:rFonts w:hint="eastAsia" w:hAnsi="宋体"/>
          <w:color w:val="auto"/>
          <w:sz w:val="24"/>
          <w:highlight w:val="none"/>
        </w:rPr>
        <w:t>成交</w:t>
      </w:r>
      <w:r>
        <w:rPr>
          <w:rFonts w:hint="eastAsia" w:hAnsi="宋体"/>
          <w:color w:val="auto"/>
          <w:sz w:val="24"/>
          <w:szCs w:val="24"/>
          <w:highlight w:val="none"/>
        </w:rPr>
        <w:t>供应商之后排名第一的</w:t>
      </w:r>
      <w:r>
        <w:rPr>
          <w:rFonts w:hint="eastAsia" w:hAnsi="宋体"/>
          <w:color w:val="auto"/>
          <w:sz w:val="24"/>
          <w:highlight w:val="none"/>
        </w:rPr>
        <w:t>成交</w:t>
      </w:r>
      <w:r>
        <w:rPr>
          <w:rFonts w:hint="eastAsia" w:hAnsi="宋体"/>
          <w:color w:val="auto"/>
          <w:sz w:val="24"/>
          <w:szCs w:val="24"/>
          <w:highlight w:val="none"/>
        </w:rPr>
        <w:t>候选供应商签订采购合同，以此类推。</w:t>
      </w:r>
      <w:r>
        <w:rPr>
          <w:rFonts w:hint="eastAsia" w:hAnsi="宋体"/>
          <w:bCs/>
          <w:color w:val="auto"/>
          <w:sz w:val="24"/>
          <w:szCs w:val="24"/>
          <w:highlight w:val="none"/>
        </w:rPr>
        <w:t>采购人也可以重新开展采购活动。</w:t>
      </w:r>
    </w:p>
    <w:p>
      <w:pPr>
        <w:pStyle w:val="24"/>
        <w:snapToGrid w:val="0"/>
        <w:spacing w:before="120" w:after="120" w:line="360" w:lineRule="auto"/>
        <w:ind w:firstLine="236" w:firstLineChars="98"/>
        <w:jc w:val="center"/>
        <w:rPr>
          <w:rFonts w:hAnsi="宋体"/>
          <w:b/>
          <w:color w:val="auto"/>
          <w:sz w:val="24"/>
          <w:szCs w:val="24"/>
          <w:highlight w:val="none"/>
        </w:rPr>
      </w:pPr>
      <w:r>
        <w:rPr>
          <w:rFonts w:hint="eastAsia" w:hAnsi="宋体"/>
          <w:b/>
          <w:color w:val="auto"/>
          <w:sz w:val="24"/>
          <w:szCs w:val="24"/>
          <w:highlight w:val="none"/>
        </w:rPr>
        <w:t>七、其他事项</w:t>
      </w:r>
    </w:p>
    <w:p>
      <w:pPr>
        <w:pStyle w:val="24"/>
        <w:spacing w:line="360" w:lineRule="auto"/>
        <w:rPr>
          <w:rFonts w:hAnsi="宋体"/>
          <w:b/>
          <w:color w:val="auto"/>
          <w:sz w:val="24"/>
          <w:szCs w:val="24"/>
          <w:highlight w:val="none"/>
        </w:rPr>
      </w:pPr>
      <w:r>
        <w:rPr>
          <w:rFonts w:hint="eastAsia" w:hAnsi="宋体"/>
          <w:b/>
          <w:color w:val="auto"/>
          <w:sz w:val="24"/>
          <w:szCs w:val="24"/>
          <w:highlight w:val="none"/>
        </w:rPr>
        <w:t>28.采购代理服务费（根据代理协议进行增减）</w:t>
      </w:r>
    </w:p>
    <w:p>
      <w:pPr>
        <w:pStyle w:val="24"/>
        <w:spacing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28.1成交服务费参照“国家发展计划委员会文件关于印发《招标代理服务收费管理暂行办法》的通知（计价格【2002】1980号）”规定标准向成交人收取，成交人领取中标通知书时,应向采购代理机构以转账形式一次付清招标代理服务费</w:t>
      </w:r>
    </w:p>
    <w:p>
      <w:pPr>
        <w:numPr>
          <w:ilvl w:val="0"/>
          <w:numId w:val="3"/>
        </w:numPr>
        <w:spacing w:line="380" w:lineRule="exact"/>
        <w:ind w:firstLine="482" w:firstLineChars="200"/>
        <w:rPr>
          <w:rFonts w:hint="eastAsia" w:ascii="宋体" w:hAnsi="宋体" w:eastAsia="宋体" w:cs="Courier New"/>
          <w:b/>
          <w:color w:val="auto"/>
          <w:kern w:val="2"/>
          <w:sz w:val="24"/>
          <w:szCs w:val="24"/>
          <w:highlight w:val="none"/>
          <w:lang w:val="en-US" w:eastAsia="zh-CN" w:bidi="ar-SA"/>
        </w:rPr>
      </w:pPr>
      <w:r>
        <w:rPr>
          <w:rFonts w:hint="eastAsia" w:ascii="宋体" w:hAnsi="宋体" w:eastAsia="宋体" w:cs="Courier New"/>
          <w:b/>
          <w:color w:val="auto"/>
          <w:kern w:val="2"/>
          <w:sz w:val="24"/>
          <w:szCs w:val="24"/>
          <w:highlight w:val="none"/>
          <w:lang w:val="en-US" w:eastAsia="zh-CN" w:bidi="ar-SA"/>
        </w:rPr>
        <w:t>解释权</w:t>
      </w:r>
    </w:p>
    <w:p>
      <w:pPr>
        <w:numPr>
          <w:ilvl w:val="0"/>
          <w:numId w:val="0"/>
        </w:numPr>
        <w:spacing w:line="380" w:lineRule="exact"/>
        <w:ind w:firstLine="480" w:firstLineChars="200"/>
        <w:rPr>
          <w:rFonts w:hint="eastAsia" w:ascii="宋体" w:hAnsi="宋体" w:eastAsia="宋体" w:cs="Courier New"/>
          <w:color w:val="auto"/>
          <w:kern w:val="2"/>
          <w:sz w:val="24"/>
          <w:szCs w:val="21"/>
          <w:highlight w:val="none"/>
          <w:lang w:val="en-US" w:eastAsia="zh-CN" w:bidi="ar-SA"/>
        </w:rPr>
      </w:pPr>
      <w:r>
        <w:rPr>
          <w:rFonts w:hint="eastAsia" w:ascii="宋体" w:hAnsi="宋体" w:eastAsia="宋体" w:cs="Courier New"/>
          <w:color w:val="auto"/>
          <w:kern w:val="2"/>
          <w:sz w:val="24"/>
          <w:szCs w:val="21"/>
          <w:highlight w:val="none"/>
          <w:lang w:val="en-US" w:eastAsia="zh-CN" w:bidi="ar-SA"/>
        </w:rPr>
        <w:t>本竞争性</w:t>
      </w:r>
      <w:r>
        <w:rPr>
          <w:rFonts w:hint="eastAsia" w:ascii="宋体" w:hAnsi="宋体" w:cs="Courier New"/>
          <w:color w:val="auto"/>
          <w:kern w:val="2"/>
          <w:sz w:val="24"/>
          <w:szCs w:val="21"/>
          <w:highlight w:val="none"/>
          <w:lang w:val="en-US" w:eastAsia="zh-CN" w:bidi="ar-SA"/>
        </w:rPr>
        <w:t>谈判</w:t>
      </w:r>
      <w:r>
        <w:rPr>
          <w:rFonts w:hint="eastAsia" w:ascii="宋体" w:hAnsi="宋体" w:eastAsia="宋体" w:cs="Courier New"/>
          <w:color w:val="auto"/>
          <w:kern w:val="2"/>
          <w:sz w:val="24"/>
          <w:szCs w:val="21"/>
          <w:highlight w:val="none"/>
          <w:lang w:val="en-US" w:eastAsia="zh-CN" w:bidi="ar-SA"/>
        </w:rPr>
        <w:t>文件是根据《中华人民共和国政府采购法》、《中华人民共和国政府采购法实施条例》、《政府采购非招标采购方式管理办法》和政府采购管理有关规定编制，本竞争性</w:t>
      </w:r>
      <w:r>
        <w:rPr>
          <w:rFonts w:hint="eastAsia" w:ascii="宋体" w:hAnsi="宋体" w:cs="Courier New"/>
          <w:color w:val="auto"/>
          <w:kern w:val="2"/>
          <w:sz w:val="24"/>
          <w:szCs w:val="21"/>
          <w:highlight w:val="none"/>
          <w:lang w:val="en-US" w:eastAsia="zh-CN" w:bidi="ar-SA"/>
        </w:rPr>
        <w:t>谈判</w:t>
      </w:r>
      <w:r>
        <w:rPr>
          <w:rFonts w:hint="eastAsia" w:ascii="宋体" w:hAnsi="宋体" w:eastAsia="宋体" w:cs="Courier New"/>
          <w:color w:val="auto"/>
          <w:kern w:val="2"/>
          <w:sz w:val="24"/>
          <w:szCs w:val="21"/>
          <w:highlight w:val="none"/>
          <w:lang w:val="en-US" w:eastAsia="zh-CN" w:bidi="ar-SA"/>
        </w:rPr>
        <w:t>文件的解释权属于采购代理机构。</w:t>
      </w:r>
    </w:p>
    <w:p>
      <w:pPr>
        <w:numPr>
          <w:ilvl w:val="0"/>
          <w:numId w:val="0"/>
        </w:numPr>
        <w:spacing w:line="380" w:lineRule="exact"/>
        <w:ind w:firstLine="482" w:firstLineChars="200"/>
        <w:rPr>
          <w:rFonts w:ascii="宋体" w:hAnsi="宋体"/>
          <w:b/>
          <w:color w:val="auto"/>
          <w:sz w:val="24"/>
          <w:highlight w:val="none"/>
        </w:rPr>
      </w:pPr>
      <w:r>
        <w:rPr>
          <w:rFonts w:hint="eastAsia" w:ascii="宋体" w:hAnsi="宋体"/>
          <w:b/>
          <w:bCs/>
          <w:color w:val="auto"/>
          <w:sz w:val="24"/>
          <w:szCs w:val="24"/>
          <w:highlight w:val="none"/>
          <w:lang w:val="en-US" w:eastAsia="zh-CN"/>
        </w:rPr>
        <w:t>30.</w:t>
      </w:r>
      <w:r>
        <w:rPr>
          <w:rFonts w:hint="eastAsia" w:asciiTheme="minorEastAsia" w:hAnsiTheme="minorEastAsia" w:eastAsiaTheme="minorEastAsia"/>
          <w:color w:val="auto"/>
          <w:sz w:val="24"/>
          <w:szCs w:val="24"/>
          <w:highlight w:val="none"/>
          <w:lang w:val="en-US" w:eastAsia="zh-CN"/>
        </w:rPr>
        <w:t>为帮助中小微企业解决资金周转或融资困难问题，南宁市政府采购试行政府采购信用融资制度，为中小企业参与政府采购活动提供金融服务。成交供应商可凭政府采购合同申请政府采</w:t>
      </w:r>
      <w:r>
        <w:rPr>
          <w:rFonts w:hint="eastAsia" w:asciiTheme="minorEastAsia" w:hAnsiTheme="minorEastAsia" w:eastAsiaTheme="minorEastAsia"/>
          <w:color w:val="auto"/>
          <w:sz w:val="24"/>
          <w:highlight w:val="none"/>
          <w:lang w:val="en-US" w:eastAsia="zh-CN"/>
        </w:rPr>
        <w:t>购信用融资，具体办理要求与办理方式，详见南宁市公共资源交易中心网“政府采购信用融资”专栏。</w:t>
      </w:r>
    </w:p>
    <w:p>
      <w:pPr>
        <w:widowControl/>
        <w:jc w:val="left"/>
        <w:rPr>
          <w:rFonts w:ascii="宋体" w:hAnsi="宋体"/>
          <w:b/>
          <w:color w:val="auto"/>
          <w:sz w:val="44"/>
          <w:szCs w:val="44"/>
          <w:highlight w:val="none"/>
        </w:rPr>
      </w:pPr>
      <w:r>
        <w:rPr>
          <w:rFonts w:ascii="宋体" w:hAnsi="宋体"/>
          <w:b/>
          <w:color w:val="auto"/>
          <w:sz w:val="44"/>
          <w:szCs w:val="44"/>
          <w:highlight w:val="none"/>
        </w:rPr>
        <w:br w:type="page"/>
      </w:r>
    </w:p>
    <w:p>
      <w:pPr>
        <w:snapToGrid w:val="0"/>
        <w:spacing w:beforeLines="50" w:afterLines="50"/>
        <w:ind w:left="238"/>
        <w:jc w:val="center"/>
        <w:outlineLvl w:val="0"/>
        <w:rPr>
          <w:rFonts w:ascii="宋体" w:hAnsi="宋体"/>
          <w:b/>
          <w:color w:val="auto"/>
          <w:sz w:val="32"/>
          <w:szCs w:val="32"/>
          <w:highlight w:val="none"/>
        </w:rPr>
      </w:pPr>
      <w:bookmarkStart w:id="45" w:name="_Toc14443"/>
      <w:r>
        <w:rPr>
          <w:rFonts w:hint="eastAsia" w:ascii="宋体" w:hAnsi="宋体"/>
          <w:b/>
          <w:color w:val="auto"/>
          <w:sz w:val="44"/>
          <w:szCs w:val="44"/>
          <w:highlight w:val="none"/>
        </w:rPr>
        <w:t xml:space="preserve">第三章 </w:t>
      </w:r>
      <w:r>
        <w:rPr>
          <w:rFonts w:hint="eastAsia" w:ascii="宋体" w:hAnsi="宋体"/>
          <w:b/>
          <w:bCs/>
          <w:color w:val="auto"/>
          <w:sz w:val="44"/>
          <w:szCs w:val="44"/>
          <w:highlight w:val="none"/>
        </w:rPr>
        <w:t>项目</w:t>
      </w:r>
      <w:r>
        <w:rPr>
          <w:rFonts w:hint="eastAsia" w:ascii="宋体" w:hAnsi="宋体"/>
          <w:b/>
          <w:color w:val="auto"/>
          <w:sz w:val="44"/>
          <w:szCs w:val="44"/>
          <w:highlight w:val="none"/>
        </w:rPr>
        <w:t>需求</w:t>
      </w:r>
      <w:bookmarkEnd w:id="45"/>
    </w:p>
    <w:p>
      <w:pPr>
        <w:adjustRightInd w:val="0"/>
        <w:spacing w:line="340" w:lineRule="exact"/>
        <w:ind w:left="6" w:firstLine="431"/>
        <w:rPr>
          <w:rFonts w:hint="eastAsia" w:ascii="宋体" w:hAnsi="宋体"/>
          <w:b/>
          <w:bCs/>
          <w:color w:val="auto"/>
          <w:highlight w:val="none"/>
        </w:rPr>
      </w:pPr>
      <w:r>
        <w:rPr>
          <w:rFonts w:hint="eastAsia" w:ascii="宋体" w:hAnsi="宋体"/>
          <w:b/>
          <w:bCs/>
          <w:color w:val="auto"/>
          <w:highlight w:val="none"/>
        </w:rPr>
        <w:t>1、本服务需求一览表中标注★号的部分为实质性要求和条件。</w:t>
      </w:r>
    </w:p>
    <w:p>
      <w:pPr>
        <w:adjustRightInd w:val="0"/>
        <w:spacing w:line="340" w:lineRule="exact"/>
        <w:ind w:left="6" w:firstLine="431"/>
        <w:rPr>
          <w:rFonts w:hint="eastAsia" w:ascii="宋体" w:hAnsi="宋体"/>
          <w:b/>
          <w:bCs/>
          <w:color w:val="auto"/>
          <w:highlight w:val="none"/>
        </w:rPr>
      </w:pPr>
      <w:r>
        <w:rPr>
          <w:rFonts w:hint="eastAsia" w:ascii="宋体" w:hAnsi="宋体"/>
          <w:b/>
          <w:bCs/>
          <w:color w:val="auto"/>
          <w:highlight w:val="none"/>
        </w:rPr>
        <w:t>2、本服务需求一览表中内容如与第五章“合同</w:t>
      </w:r>
      <w:r>
        <w:rPr>
          <w:rFonts w:hint="eastAsia" w:ascii="宋体" w:hAnsi="宋体"/>
          <w:b/>
          <w:bCs/>
          <w:color w:val="auto"/>
          <w:highlight w:val="none"/>
          <w:lang w:eastAsia="zh-CN"/>
        </w:rPr>
        <w:t>主要</w:t>
      </w:r>
      <w:r>
        <w:rPr>
          <w:rFonts w:hint="eastAsia" w:ascii="宋体" w:hAnsi="宋体"/>
          <w:b/>
          <w:bCs/>
          <w:color w:val="auto"/>
          <w:highlight w:val="none"/>
        </w:rPr>
        <w:t>条款”相关条款不一致的，以本表为准。</w:t>
      </w:r>
    </w:p>
    <w:p>
      <w:pPr>
        <w:ind w:left="178" w:hanging="178" w:hangingChars="85"/>
        <w:rPr>
          <w:rFonts w:ascii="宋体" w:hAnsi="宋体"/>
          <w:color w:val="auto"/>
          <w:szCs w:val="21"/>
          <w:highlight w:val="none"/>
        </w:rPr>
      </w:pPr>
    </w:p>
    <w:tbl>
      <w:tblPr>
        <w:tblStyle w:val="4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879"/>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noWrap w:val="0"/>
            <w:vAlign w:val="top"/>
          </w:tcPr>
          <w:p>
            <w:pPr>
              <w:jc w:val="center"/>
              <w:rPr>
                <w:rFonts w:ascii="宋体" w:hAnsi="宋体" w:cs="Arial"/>
                <w:b/>
                <w:color w:val="auto"/>
                <w:szCs w:val="21"/>
                <w:highlight w:val="none"/>
              </w:rPr>
            </w:pPr>
            <w:bookmarkStart w:id="46" w:name="_Toc14096395"/>
            <w:r>
              <w:rPr>
                <w:rFonts w:hint="eastAsia" w:ascii="宋体" w:hAnsi="宋体" w:cs="Arial"/>
                <w:b/>
                <w:color w:val="auto"/>
                <w:szCs w:val="21"/>
                <w:highlight w:val="none"/>
              </w:rPr>
              <w:t>项号</w:t>
            </w:r>
            <w:bookmarkEnd w:id="46"/>
          </w:p>
        </w:tc>
        <w:tc>
          <w:tcPr>
            <w:tcW w:w="2098" w:type="dxa"/>
            <w:noWrap w:val="0"/>
            <w:vAlign w:val="top"/>
          </w:tcPr>
          <w:p>
            <w:pPr>
              <w:jc w:val="center"/>
              <w:rPr>
                <w:rFonts w:ascii="宋体" w:hAnsi="宋体" w:cs="Arial"/>
                <w:b/>
                <w:color w:val="auto"/>
                <w:szCs w:val="21"/>
                <w:highlight w:val="none"/>
              </w:rPr>
            </w:pPr>
            <w:bookmarkStart w:id="47" w:name="_Toc14096396"/>
            <w:r>
              <w:rPr>
                <w:rFonts w:hint="eastAsia" w:ascii="宋体" w:hAnsi="宋体" w:cs="Arial"/>
                <w:b/>
                <w:color w:val="auto"/>
                <w:szCs w:val="21"/>
                <w:highlight w:val="none"/>
              </w:rPr>
              <w:t>服务名称</w:t>
            </w:r>
            <w:bookmarkEnd w:id="47"/>
          </w:p>
        </w:tc>
        <w:tc>
          <w:tcPr>
            <w:tcW w:w="879" w:type="dxa"/>
            <w:noWrap w:val="0"/>
            <w:vAlign w:val="top"/>
          </w:tcPr>
          <w:p>
            <w:pPr>
              <w:jc w:val="center"/>
              <w:rPr>
                <w:rFonts w:ascii="宋体" w:hAnsi="宋体" w:cs="Arial"/>
                <w:b/>
                <w:color w:val="auto"/>
                <w:szCs w:val="21"/>
                <w:highlight w:val="none"/>
              </w:rPr>
            </w:pPr>
            <w:bookmarkStart w:id="48" w:name="_Toc14096397"/>
            <w:r>
              <w:rPr>
                <w:rFonts w:hint="eastAsia" w:ascii="宋体" w:hAnsi="宋体" w:cs="Arial"/>
                <w:b/>
                <w:color w:val="auto"/>
                <w:szCs w:val="21"/>
                <w:highlight w:val="none"/>
              </w:rPr>
              <w:t>数量</w:t>
            </w:r>
            <w:bookmarkEnd w:id="48"/>
          </w:p>
        </w:tc>
        <w:tc>
          <w:tcPr>
            <w:tcW w:w="6202" w:type="dxa"/>
            <w:noWrap w:val="0"/>
            <w:vAlign w:val="top"/>
          </w:tcPr>
          <w:p>
            <w:pPr>
              <w:jc w:val="center"/>
              <w:rPr>
                <w:rFonts w:ascii="宋体" w:hAnsi="宋体" w:cs="Arial"/>
                <w:b/>
                <w:color w:val="auto"/>
                <w:szCs w:val="21"/>
                <w:highlight w:val="none"/>
              </w:rPr>
            </w:pPr>
            <w:bookmarkStart w:id="49" w:name="_Toc14096398"/>
            <w:r>
              <w:rPr>
                <w:rFonts w:hint="eastAsia" w:ascii="宋体" w:hAnsi="宋体" w:cs="Arial"/>
                <w:b/>
                <w:color w:val="auto"/>
                <w:szCs w:val="21"/>
                <w:highlight w:val="none"/>
              </w:rPr>
              <w:t>服务内容及要求</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ascii="宋体" w:hAnsi="宋体" w:cs="Arial"/>
                <w:color w:val="auto"/>
                <w:szCs w:val="21"/>
                <w:highlight w:val="none"/>
              </w:rPr>
            </w:pPr>
            <w:r>
              <w:rPr>
                <w:rFonts w:ascii="宋体" w:hAnsi="宋体" w:cs="Arial"/>
                <w:color w:val="auto"/>
                <w:szCs w:val="21"/>
                <w:highlight w:val="none"/>
              </w:rPr>
              <w:t>1</w:t>
            </w:r>
          </w:p>
        </w:tc>
        <w:tc>
          <w:tcPr>
            <w:tcW w:w="2098" w:type="dxa"/>
            <w:noWrap w:val="0"/>
            <w:vAlign w:val="center"/>
          </w:tcPr>
          <w:p>
            <w:pPr>
              <w:jc w:val="center"/>
              <w:rPr>
                <w:rFonts w:ascii="宋体" w:hAnsi="宋体" w:cs="Arial"/>
                <w:color w:val="auto"/>
                <w:szCs w:val="21"/>
                <w:highlight w:val="none"/>
              </w:rPr>
            </w:pPr>
            <w:r>
              <w:rPr>
                <w:rFonts w:hint="eastAsia" w:ascii="宋体" w:hAnsi="宋体" w:cs="Arial"/>
                <w:color w:val="auto"/>
                <w:sz w:val="21"/>
                <w:szCs w:val="21"/>
                <w:highlight w:val="none"/>
                <w:lang w:val="en-US" w:eastAsia="zh-CN"/>
              </w:rPr>
              <w:t>南宁市机动车维修与检测监控系统、南宁市驾驶培训监管服务平台、</w:t>
            </w:r>
            <w:r>
              <w:rPr>
                <w:rFonts w:ascii="宋体" w:hAnsi="宋体" w:eastAsia="宋体" w:cs="宋体"/>
                <w:color w:val="auto"/>
                <w:sz w:val="21"/>
                <w:szCs w:val="21"/>
                <w:highlight w:val="none"/>
              </w:rPr>
              <w:t>南宁市道路运输驾驶员从业资格考试系统</w:t>
            </w:r>
            <w:r>
              <w:rPr>
                <w:rFonts w:hint="eastAsia" w:ascii="宋体" w:hAnsi="宋体" w:cs="Arial"/>
                <w:color w:val="auto"/>
                <w:sz w:val="21"/>
                <w:szCs w:val="21"/>
                <w:highlight w:val="none"/>
              </w:rPr>
              <w:t>网络安全等级保护测评服务</w:t>
            </w:r>
          </w:p>
        </w:tc>
        <w:tc>
          <w:tcPr>
            <w:tcW w:w="879" w:type="dxa"/>
            <w:noWrap w:val="0"/>
            <w:vAlign w:val="center"/>
          </w:tcPr>
          <w:p>
            <w:pPr>
              <w:jc w:val="center"/>
              <w:rPr>
                <w:rFonts w:ascii="宋体" w:hAnsi="宋体" w:cs="Arial"/>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项</w:t>
            </w:r>
          </w:p>
        </w:tc>
        <w:tc>
          <w:tcPr>
            <w:tcW w:w="6202" w:type="dxa"/>
            <w:noWrap w:val="0"/>
            <w:vAlign w:val="top"/>
          </w:tcPr>
          <w:p>
            <w:pPr>
              <w:rPr>
                <w:rFonts w:hint="eastAsia" w:ascii="宋体" w:hAnsi="宋体" w:cs="Arial"/>
                <w:color w:val="auto"/>
                <w:szCs w:val="21"/>
                <w:highlight w:val="none"/>
              </w:rPr>
            </w:pPr>
            <w:r>
              <w:rPr>
                <w:rFonts w:hint="eastAsia" w:ascii="宋体" w:hAnsi="宋体" w:cs="Arial"/>
                <w:color w:val="auto"/>
                <w:szCs w:val="21"/>
                <w:highlight w:val="none"/>
              </w:rPr>
              <w:t>1、总的要求</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依据《网络安全等级保护基本要求》（GB/T 22239-2019）对</w:t>
            </w:r>
            <w:r>
              <w:rPr>
                <w:rFonts w:hint="eastAsia" w:ascii="宋体" w:hAnsi="宋体" w:cs="Arial"/>
                <w:color w:val="auto"/>
                <w:szCs w:val="21"/>
                <w:highlight w:val="none"/>
                <w:lang w:val="en-US" w:eastAsia="zh-CN"/>
              </w:rPr>
              <w:t>南宁市机动车维修与检测监控系统、南宁市驾驶培训监管服务平台、</w:t>
            </w:r>
            <w:r>
              <w:rPr>
                <w:rFonts w:ascii="宋体" w:hAnsi="宋体" w:eastAsia="宋体" w:cs="宋体"/>
                <w:color w:val="auto"/>
                <w:sz w:val="21"/>
                <w:szCs w:val="21"/>
                <w:highlight w:val="none"/>
              </w:rPr>
              <w:t>南宁市道路运输驾驶员从业资格考试系统</w:t>
            </w:r>
            <w:r>
              <w:rPr>
                <w:rFonts w:hint="eastAsia" w:ascii="宋体" w:hAnsi="宋体" w:cs="Arial"/>
                <w:color w:val="auto"/>
                <w:szCs w:val="21"/>
                <w:highlight w:val="none"/>
              </w:rPr>
              <w:t>开展网络安全等级（二级）保护测评工作，并出具网络安全等级（二级）保护测评报告。</w:t>
            </w:r>
          </w:p>
          <w:p>
            <w:pPr>
              <w:rPr>
                <w:rFonts w:hint="eastAsia" w:ascii="宋体" w:hAnsi="宋体" w:cs="Arial"/>
                <w:color w:val="auto"/>
                <w:szCs w:val="21"/>
                <w:highlight w:val="none"/>
              </w:rPr>
            </w:pPr>
            <w:r>
              <w:rPr>
                <w:rFonts w:hint="eastAsia" w:ascii="宋体" w:hAnsi="宋体" w:cs="Arial"/>
                <w:color w:val="auto"/>
                <w:szCs w:val="21"/>
                <w:highlight w:val="none"/>
              </w:rPr>
              <w:t>2、标准依据</w:t>
            </w:r>
          </w:p>
          <w:p>
            <w:pPr>
              <w:rPr>
                <w:rFonts w:hint="eastAsia" w:ascii="宋体" w:hAnsi="宋体" w:cs="Arial"/>
                <w:color w:val="auto"/>
                <w:szCs w:val="21"/>
                <w:highlight w:val="none"/>
              </w:rPr>
            </w:pPr>
            <w:r>
              <w:rPr>
                <w:rFonts w:hint="eastAsia" w:ascii="宋体" w:hAnsi="宋体" w:cs="Arial"/>
                <w:color w:val="auto"/>
                <w:szCs w:val="21"/>
                <w:highlight w:val="none"/>
              </w:rPr>
              <w:t>《计算机信息系统安全保护等级划分准则》（GB 17859-1999)</w:t>
            </w:r>
          </w:p>
          <w:p>
            <w:pPr>
              <w:rPr>
                <w:rFonts w:hint="eastAsia" w:ascii="宋体" w:hAnsi="宋体" w:cs="Arial"/>
                <w:color w:val="auto"/>
                <w:szCs w:val="21"/>
                <w:highlight w:val="none"/>
              </w:rPr>
            </w:pPr>
            <w:r>
              <w:rPr>
                <w:rFonts w:hint="eastAsia" w:ascii="宋体" w:hAnsi="宋体" w:cs="Arial"/>
                <w:color w:val="auto"/>
                <w:szCs w:val="21"/>
                <w:highlight w:val="none"/>
              </w:rPr>
              <w:t>《网络安全等级保护基本要求》（GB/T 22239-2019）</w:t>
            </w:r>
          </w:p>
          <w:p>
            <w:pPr>
              <w:rPr>
                <w:rFonts w:hint="eastAsia" w:ascii="宋体" w:hAnsi="宋体" w:cs="Arial"/>
                <w:color w:val="auto"/>
                <w:szCs w:val="21"/>
                <w:highlight w:val="none"/>
              </w:rPr>
            </w:pPr>
            <w:r>
              <w:rPr>
                <w:rFonts w:hint="eastAsia" w:ascii="宋体" w:hAnsi="宋体" w:cs="Arial"/>
                <w:color w:val="auto"/>
                <w:szCs w:val="21"/>
                <w:highlight w:val="none"/>
              </w:rPr>
              <w:t>《网络安全等级保护测评要求》（GB/T 28448-2019）</w:t>
            </w:r>
          </w:p>
          <w:p>
            <w:pPr>
              <w:rPr>
                <w:rFonts w:hint="eastAsia" w:ascii="宋体" w:hAnsi="宋体" w:cs="Arial"/>
                <w:color w:val="auto"/>
                <w:szCs w:val="21"/>
                <w:highlight w:val="none"/>
              </w:rPr>
            </w:pPr>
            <w:r>
              <w:rPr>
                <w:rFonts w:hint="eastAsia" w:ascii="宋体" w:hAnsi="宋体" w:cs="Arial"/>
                <w:color w:val="auto"/>
                <w:szCs w:val="21"/>
                <w:highlight w:val="none"/>
              </w:rPr>
              <w:t>《网络安全等级保护测评过程指南》（GB/T 28449-2018)</w:t>
            </w:r>
          </w:p>
          <w:p>
            <w:pPr>
              <w:rPr>
                <w:rFonts w:hint="eastAsia" w:ascii="宋体" w:hAnsi="宋体" w:cs="Arial"/>
                <w:color w:val="auto"/>
                <w:szCs w:val="21"/>
                <w:highlight w:val="none"/>
              </w:rPr>
            </w:pPr>
            <w:r>
              <w:rPr>
                <w:rFonts w:hint="eastAsia" w:ascii="宋体" w:hAnsi="宋体" w:cs="Arial"/>
                <w:color w:val="auto"/>
                <w:szCs w:val="21"/>
                <w:highlight w:val="none"/>
              </w:rPr>
              <w:t>《网络安全等级保护设计技术要求》（GB/T 25070-2019）</w:t>
            </w:r>
          </w:p>
          <w:p>
            <w:pPr>
              <w:rPr>
                <w:rFonts w:hint="eastAsia" w:ascii="宋体" w:hAnsi="宋体" w:cs="Arial"/>
                <w:color w:val="auto"/>
                <w:szCs w:val="21"/>
                <w:highlight w:val="none"/>
              </w:rPr>
            </w:pPr>
            <w:r>
              <w:rPr>
                <w:rFonts w:hint="eastAsia" w:ascii="宋体" w:hAnsi="宋体" w:cs="Arial"/>
                <w:color w:val="auto"/>
                <w:szCs w:val="21"/>
                <w:highlight w:val="none"/>
              </w:rPr>
              <w:t>《网络安全等级保护测试评估技术指南》（GB/T 36627-2018）</w:t>
            </w:r>
          </w:p>
          <w:p>
            <w:pPr>
              <w:rPr>
                <w:rFonts w:hint="eastAsia" w:ascii="宋体" w:hAnsi="宋体" w:cs="Arial"/>
                <w:color w:val="auto"/>
                <w:szCs w:val="21"/>
                <w:highlight w:val="none"/>
              </w:rPr>
            </w:pPr>
            <w:r>
              <w:rPr>
                <w:rFonts w:hint="eastAsia" w:ascii="宋体" w:hAnsi="宋体" w:cs="Arial"/>
                <w:color w:val="auto"/>
                <w:szCs w:val="21"/>
                <w:highlight w:val="none"/>
              </w:rPr>
              <w:t>★3、测评内容</w:t>
            </w:r>
          </w:p>
          <w:p>
            <w:pPr>
              <w:rPr>
                <w:rFonts w:hint="eastAsia" w:ascii="宋体" w:hAnsi="宋体" w:cs="Arial"/>
                <w:color w:val="auto"/>
                <w:szCs w:val="21"/>
                <w:highlight w:val="none"/>
              </w:rPr>
            </w:pPr>
            <w:r>
              <w:rPr>
                <w:rFonts w:hint="eastAsia" w:ascii="宋体" w:hAnsi="宋体" w:cs="Arial"/>
                <w:color w:val="auto"/>
                <w:szCs w:val="21"/>
                <w:highlight w:val="none"/>
              </w:rPr>
              <w:t>（1）安全通用要求</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rPr>
                <w:rFonts w:hint="eastAsia" w:ascii="宋体" w:hAnsi="宋体" w:cs="Arial"/>
                <w:color w:val="auto"/>
                <w:szCs w:val="21"/>
                <w:highlight w:val="none"/>
              </w:rPr>
            </w:pPr>
            <w:r>
              <w:rPr>
                <w:rFonts w:hint="eastAsia" w:ascii="宋体" w:hAnsi="宋体" w:cs="Arial"/>
                <w:color w:val="auto"/>
                <w:szCs w:val="21"/>
                <w:highlight w:val="none"/>
              </w:rPr>
              <w:t>（2）安全扩展要求</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应用了不同新技术的安全保护对象处于不同的应用场景中，面临不同的安全威胁，因此会有不同的安全需求，该保护对象涉及的安全扩展要求包括：</w:t>
            </w:r>
          </w:p>
          <w:p>
            <w:pPr>
              <w:rPr>
                <w:rFonts w:hint="eastAsia" w:ascii="宋体" w:hAnsi="宋体" w:cs="Arial"/>
                <w:color w:val="auto"/>
                <w:szCs w:val="21"/>
                <w:highlight w:val="none"/>
              </w:rPr>
            </w:pPr>
            <w:r>
              <w:rPr>
                <w:rFonts w:hint="eastAsia" w:ascii="宋体" w:hAnsi="宋体" w:cs="Arial"/>
                <w:color w:val="auto"/>
                <w:szCs w:val="21"/>
                <w:highlight w:val="none"/>
              </w:rPr>
              <w:t>1）云计算</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云计算安全测评内容包括对安全物理环境、安全通信网络、安全区域边界、安全计算环境、安全管理中心、安全建设管理、安全运维管理等的测评。</w:t>
            </w:r>
          </w:p>
          <w:p>
            <w:pPr>
              <w:rPr>
                <w:rFonts w:hint="eastAsia" w:ascii="宋体" w:hAnsi="宋体" w:cs="Arial"/>
                <w:color w:val="auto"/>
                <w:szCs w:val="21"/>
                <w:highlight w:val="none"/>
              </w:rPr>
            </w:pPr>
            <w:r>
              <w:rPr>
                <w:rFonts w:hint="eastAsia" w:ascii="宋体" w:hAnsi="宋体" w:cs="Arial"/>
                <w:color w:val="auto"/>
                <w:szCs w:val="21"/>
                <w:highlight w:val="none"/>
              </w:rPr>
              <w:t>2）移动互联</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移动互联安全测评内容包括对安全物理环境、安全区域边界、安全计算环境、安全建设管理、安全运维管理等的测评。</w:t>
            </w:r>
          </w:p>
          <w:p>
            <w:pPr>
              <w:rPr>
                <w:rFonts w:hint="eastAsia" w:ascii="宋体" w:hAnsi="宋体" w:cs="Arial"/>
                <w:color w:val="auto"/>
                <w:szCs w:val="21"/>
                <w:highlight w:val="none"/>
              </w:rPr>
            </w:pPr>
            <w:r>
              <w:rPr>
                <w:rFonts w:hint="eastAsia" w:ascii="宋体" w:hAnsi="宋体" w:cs="Arial"/>
                <w:color w:val="auto"/>
                <w:szCs w:val="21"/>
                <w:highlight w:val="none"/>
              </w:rPr>
              <w:t>3）物联网</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物联网安全测评内容包括对安全物理环境、安全区域边界、安全计算环境、安全运维管理等的测评。</w:t>
            </w:r>
          </w:p>
          <w:p>
            <w:pPr>
              <w:rPr>
                <w:rFonts w:hint="eastAsia" w:ascii="宋体" w:hAnsi="宋体" w:cs="Arial"/>
                <w:color w:val="auto"/>
                <w:szCs w:val="21"/>
                <w:highlight w:val="none"/>
              </w:rPr>
            </w:pPr>
            <w:r>
              <w:rPr>
                <w:rFonts w:hint="eastAsia" w:ascii="宋体" w:hAnsi="宋体" w:cs="Arial"/>
                <w:color w:val="auto"/>
                <w:szCs w:val="21"/>
                <w:highlight w:val="none"/>
              </w:rPr>
              <w:t>4）工业控制系统</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工业控制系统安全测评包括对安全物理环境、安全通信网络、安全区域边界、安全计算环境、安全建设管理方面的测评。</w:t>
            </w:r>
          </w:p>
          <w:p>
            <w:pPr>
              <w:rPr>
                <w:rFonts w:hint="eastAsia" w:ascii="宋体" w:hAnsi="宋体" w:cs="Arial"/>
                <w:color w:val="auto"/>
                <w:szCs w:val="21"/>
                <w:highlight w:val="none"/>
              </w:rPr>
            </w:pPr>
            <w:r>
              <w:rPr>
                <w:rFonts w:hint="eastAsia" w:ascii="宋体" w:hAnsi="宋体" w:cs="Arial"/>
                <w:color w:val="auto"/>
                <w:szCs w:val="21"/>
                <w:highlight w:val="none"/>
              </w:rPr>
              <w:t>5)大数据</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大数据安全测评包括对安全物理环境、安全通信网络、安全计算环境、安全运维管理等的测评。</w:t>
            </w:r>
          </w:p>
          <w:p>
            <w:pPr>
              <w:rPr>
                <w:rFonts w:hint="eastAsia" w:ascii="宋体" w:hAnsi="宋体" w:cs="Arial"/>
                <w:color w:val="auto"/>
                <w:szCs w:val="21"/>
                <w:highlight w:val="none"/>
              </w:rPr>
            </w:pPr>
            <w:r>
              <w:rPr>
                <w:rFonts w:hint="eastAsia" w:ascii="宋体" w:hAnsi="宋体" w:cs="Arial"/>
                <w:color w:val="auto"/>
                <w:szCs w:val="21"/>
                <w:highlight w:val="none"/>
              </w:rPr>
              <w:t>4、测评方法</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在测评实施过程中，应采用访谈、检查和测试、渗透测试等测评方法进行，并与国家相关规范及标准的要求相符。</w:t>
            </w:r>
          </w:p>
          <w:p>
            <w:pPr>
              <w:rPr>
                <w:rFonts w:hint="eastAsia" w:ascii="宋体" w:hAnsi="宋体" w:cs="Arial"/>
                <w:color w:val="auto"/>
                <w:szCs w:val="21"/>
                <w:highlight w:val="none"/>
              </w:rPr>
            </w:pPr>
            <w:r>
              <w:rPr>
                <w:rFonts w:hint="eastAsia" w:ascii="宋体" w:hAnsi="宋体" w:cs="Arial"/>
                <w:color w:val="auto"/>
                <w:szCs w:val="21"/>
                <w:highlight w:val="none"/>
              </w:rPr>
              <w:t xml:space="preserve">    访谈是指测评人员通过引导信息系统相关人员进行有目的的（有针对性的）交流以帮助测评人员理解、分析或取得证据的过程；</w:t>
            </w:r>
          </w:p>
          <w:p>
            <w:pPr>
              <w:rPr>
                <w:rFonts w:hint="eastAsia"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rPr>
              <w:t>检查是指测评人员通过对测评对象（如管理制度、操作记录、安全配置等）进行观察、查验、分析以帮助测评人员理解、分析或取得证据的过程；</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测试是</w:t>
            </w:r>
            <w:r>
              <w:rPr>
                <w:rFonts w:hint="eastAsia" w:ascii="宋体" w:hAnsi="宋体" w:cs="Arial"/>
                <w:color w:val="auto"/>
                <w:szCs w:val="21"/>
                <w:highlight w:val="none"/>
                <w:lang w:val="en-US" w:eastAsia="zh-CN"/>
              </w:rPr>
              <w:t>指</w:t>
            </w:r>
            <w:r>
              <w:rPr>
                <w:rFonts w:hint="eastAsia" w:ascii="宋体" w:hAnsi="宋体" w:cs="Arial"/>
                <w:color w:val="auto"/>
                <w:szCs w:val="21"/>
                <w:highlight w:val="none"/>
              </w:rPr>
              <w:t>测评人员使用预定的方法/工具使测评对象产生特定的行为，通过查看和分析结果以帮助测评人员获取证据的过程；</w:t>
            </w:r>
          </w:p>
          <w:p>
            <w:pPr>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渗透测试是</w:t>
            </w:r>
            <w:r>
              <w:rPr>
                <w:rFonts w:hint="eastAsia" w:ascii="宋体" w:hAnsi="宋体" w:cs="Arial"/>
                <w:color w:val="auto"/>
                <w:szCs w:val="21"/>
                <w:highlight w:val="none"/>
                <w:lang w:val="en-US" w:eastAsia="zh-CN"/>
              </w:rPr>
              <w:t>指</w:t>
            </w:r>
            <w:r>
              <w:rPr>
                <w:rFonts w:hint="eastAsia" w:ascii="宋体" w:hAnsi="宋体" w:cs="Arial"/>
                <w:color w:val="auto"/>
                <w:szCs w:val="21"/>
                <w:highlight w:val="none"/>
              </w:rPr>
              <w:t>模拟黑客的攻击方法，对受保护对象的应用系统、主机、网络进行攻击，从而验证测评对象的弱点、技术缺陷或漏洞的一种评估方法。</w:t>
            </w:r>
          </w:p>
          <w:p>
            <w:pPr>
              <w:rPr>
                <w:rFonts w:hint="eastAsia" w:ascii="宋体" w:hAnsi="宋体" w:cs="Arial"/>
                <w:color w:val="auto"/>
                <w:szCs w:val="21"/>
                <w:highlight w:val="none"/>
              </w:rPr>
            </w:pPr>
            <w:r>
              <w:rPr>
                <w:rFonts w:hint="eastAsia" w:ascii="宋体" w:hAnsi="宋体" w:cs="Arial"/>
                <w:color w:val="auto"/>
                <w:szCs w:val="21"/>
                <w:highlight w:val="none"/>
              </w:rPr>
              <w:t>5、服务成果</w:t>
            </w:r>
          </w:p>
          <w:p>
            <w:pPr>
              <w:ind w:firstLine="420" w:firstLineChars="200"/>
              <w:rPr>
                <w:rFonts w:ascii="宋体" w:hAnsi="宋体" w:cs="Arial"/>
                <w:color w:val="auto"/>
                <w:szCs w:val="21"/>
                <w:highlight w:val="none"/>
              </w:rPr>
            </w:pPr>
            <w:r>
              <w:rPr>
                <w:rFonts w:hint="eastAsia" w:ascii="宋体" w:hAnsi="宋体" w:cs="Arial"/>
                <w:color w:val="auto"/>
                <w:szCs w:val="21"/>
                <w:highlight w:val="none"/>
              </w:rPr>
              <w:t>测评完成后，出具与等保2.0相符合的网络安全等级保护测评报告</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每个系统单独出具</w:t>
            </w:r>
            <w:r>
              <w:rPr>
                <w:rFonts w:hint="eastAsia" w:ascii="宋体" w:hAnsi="宋体" w:cs="Arial"/>
                <w:color w:val="auto"/>
                <w:szCs w:val="21"/>
                <w:highlight w:val="none"/>
                <w:lang w:eastAsia="zh-CN"/>
              </w:rPr>
              <w:t>）</w:t>
            </w:r>
            <w:r>
              <w:rPr>
                <w:rFonts w:hint="eastAsia" w:ascii="宋体" w:hAnsi="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rFonts w:ascii="宋体" w:hAnsi="宋体" w:cs="Arial"/>
                <w:b/>
                <w:color w:val="auto"/>
                <w:szCs w:val="21"/>
                <w:highlight w:val="none"/>
              </w:rPr>
            </w:pPr>
            <w:r>
              <w:rPr>
                <w:rFonts w:hint="eastAsia" w:ascii="宋体" w:hAnsi="宋体" w:cs="Arial"/>
                <w:b/>
                <w:color w:val="auto"/>
                <w:szCs w:val="21"/>
                <w:highlight w:val="none"/>
              </w:rPr>
              <w:t>商务条款</w:t>
            </w:r>
          </w:p>
        </w:tc>
        <w:tc>
          <w:tcPr>
            <w:tcW w:w="9179" w:type="dxa"/>
            <w:gridSpan w:val="3"/>
            <w:noWrap w:val="0"/>
            <w:vAlign w:val="top"/>
          </w:tcPr>
          <w:p>
            <w:pPr>
              <w:rPr>
                <w:rFonts w:hint="eastAsia" w:ascii="宋体" w:hAnsi="宋体" w:cs="Arial"/>
                <w:color w:val="auto"/>
                <w:szCs w:val="21"/>
                <w:highlight w:val="none"/>
              </w:rPr>
            </w:pPr>
            <w:r>
              <w:rPr>
                <w:rFonts w:hint="eastAsia" w:ascii="宋体" w:hAnsi="宋体" w:cs="Arial"/>
                <w:color w:val="auto"/>
                <w:szCs w:val="21"/>
                <w:highlight w:val="none"/>
              </w:rPr>
              <w:t>★一、合同签订期：自</w:t>
            </w:r>
            <w:r>
              <w:rPr>
                <w:rFonts w:hint="eastAsia" w:ascii="宋体" w:hAnsi="宋体" w:cs="Arial"/>
                <w:color w:val="auto"/>
                <w:szCs w:val="21"/>
                <w:highlight w:val="none"/>
                <w:lang w:eastAsia="zh-CN"/>
              </w:rPr>
              <w:t>成交</w:t>
            </w:r>
            <w:r>
              <w:rPr>
                <w:rFonts w:hint="eastAsia" w:ascii="宋体" w:hAnsi="宋体" w:cs="Arial"/>
                <w:color w:val="auto"/>
                <w:szCs w:val="21"/>
                <w:highlight w:val="none"/>
              </w:rPr>
              <w:t>通知书发出之日起7个</w:t>
            </w:r>
            <w:r>
              <w:rPr>
                <w:rFonts w:hint="eastAsia" w:ascii="宋体" w:hAnsi="宋体" w:cs="Arial"/>
                <w:color w:val="auto"/>
                <w:szCs w:val="21"/>
                <w:highlight w:val="none"/>
                <w:lang w:val="en-US" w:eastAsia="zh-CN"/>
              </w:rPr>
              <w:t>日历</w:t>
            </w:r>
            <w:r>
              <w:rPr>
                <w:rFonts w:hint="eastAsia" w:ascii="宋体" w:hAnsi="宋体" w:cs="Arial"/>
                <w:color w:val="auto"/>
                <w:szCs w:val="21"/>
                <w:highlight w:val="none"/>
              </w:rPr>
              <w:t>日内。</w:t>
            </w:r>
          </w:p>
          <w:p>
            <w:pPr>
              <w:rPr>
                <w:rFonts w:hint="eastAsia" w:ascii="宋体" w:hAnsi="宋体" w:cs="Arial"/>
                <w:color w:val="auto"/>
                <w:szCs w:val="21"/>
                <w:highlight w:val="none"/>
              </w:rPr>
            </w:pPr>
            <w:r>
              <w:rPr>
                <w:rFonts w:hint="eastAsia" w:ascii="宋体" w:hAnsi="宋体" w:cs="Arial"/>
                <w:color w:val="auto"/>
                <w:szCs w:val="21"/>
                <w:highlight w:val="none"/>
              </w:rPr>
              <w:t>★二、提交服务成果时间：自合同签订之日起30日内完成系统首次测评</w:t>
            </w:r>
            <w:r>
              <w:rPr>
                <w:rFonts w:hint="eastAsia" w:ascii="宋体" w:hAnsi="宋体" w:cs="Arial"/>
                <w:color w:val="auto"/>
                <w:szCs w:val="21"/>
                <w:highlight w:val="none"/>
                <w:lang w:eastAsia="zh-CN"/>
              </w:rPr>
              <w:t>。</w:t>
            </w:r>
            <w:r>
              <w:rPr>
                <w:rFonts w:hint="eastAsia" w:ascii="宋体" w:hAnsi="宋体" w:cs="Arial"/>
                <w:color w:val="auto"/>
                <w:szCs w:val="21"/>
                <w:highlight w:val="none"/>
              </w:rPr>
              <w:t>如测评发现不符合项需整改</w:t>
            </w:r>
            <w:r>
              <w:rPr>
                <w:rFonts w:hint="eastAsia" w:ascii="宋体" w:hAnsi="宋体" w:cs="Arial"/>
                <w:color w:val="auto"/>
                <w:szCs w:val="21"/>
                <w:highlight w:val="none"/>
              </w:rPr>
              <w:t>的，</w:t>
            </w:r>
            <w:r>
              <w:rPr>
                <w:rFonts w:hint="eastAsia" w:ascii="宋体" w:hAnsi="宋体" w:cs="Arial"/>
                <w:color w:val="auto"/>
                <w:szCs w:val="21"/>
                <w:highlight w:val="none"/>
                <w:lang w:val="en-US" w:eastAsia="zh-CN"/>
              </w:rPr>
              <w:t>经</w:t>
            </w:r>
            <w:r>
              <w:rPr>
                <w:rFonts w:hint="eastAsia" w:ascii="宋体" w:hAnsi="宋体" w:cs="Arial"/>
                <w:color w:val="auto"/>
                <w:szCs w:val="21"/>
                <w:highlight w:val="none"/>
              </w:rPr>
              <w:t>主动配合采购人完成整改</w:t>
            </w:r>
            <w:r>
              <w:rPr>
                <w:rFonts w:hint="eastAsia" w:ascii="宋体" w:hAnsi="宋体" w:cs="Arial"/>
                <w:color w:val="auto"/>
                <w:szCs w:val="21"/>
                <w:highlight w:val="none"/>
                <w:lang w:val="en-US" w:eastAsia="zh-CN"/>
              </w:rPr>
              <w:t>后</w:t>
            </w:r>
            <w:r>
              <w:rPr>
                <w:rFonts w:hint="eastAsia" w:ascii="宋体" w:hAnsi="宋体" w:cs="Arial"/>
                <w:color w:val="auto"/>
                <w:szCs w:val="21"/>
                <w:highlight w:val="none"/>
              </w:rPr>
              <w:t>，</w:t>
            </w:r>
            <w:r>
              <w:rPr>
                <w:rFonts w:hint="eastAsia" w:ascii="宋体" w:hAnsi="宋体" w:cs="Arial"/>
                <w:color w:val="auto"/>
                <w:szCs w:val="21"/>
                <w:highlight w:val="none"/>
                <w:lang w:eastAsia="zh-CN"/>
              </w:rPr>
              <w:t>成交</w:t>
            </w:r>
            <w:r>
              <w:rPr>
                <w:rFonts w:hint="eastAsia" w:ascii="宋体" w:hAnsi="宋体" w:cs="Arial"/>
                <w:color w:val="auto"/>
                <w:szCs w:val="21"/>
                <w:highlight w:val="none"/>
              </w:rPr>
              <w:t>供应商再进行复测。测评完成后</w:t>
            </w: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日内提供该项目的</w:t>
            </w:r>
            <w:r>
              <w:rPr>
                <w:rFonts w:hint="eastAsia" w:ascii="宋体" w:hAnsi="宋体" w:cs="Arial"/>
                <w:color w:val="auto"/>
                <w:szCs w:val="21"/>
                <w:highlight w:val="none"/>
                <w:lang w:val="en-US" w:eastAsia="zh-CN"/>
              </w:rPr>
              <w:t>测评</w:t>
            </w:r>
            <w:r>
              <w:rPr>
                <w:rFonts w:hint="eastAsia" w:ascii="宋体" w:hAnsi="宋体" w:cs="Arial"/>
                <w:color w:val="auto"/>
                <w:szCs w:val="21"/>
                <w:highlight w:val="none"/>
              </w:rPr>
              <w:t>报告</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每个系统单独出具</w:t>
            </w:r>
            <w:r>
              <w:rPr>
                <w:rFonts w:hint="eastAsia" w:ascii="宋体" w:hAnsi="宋体" w:cs="Arial"/>
                <w:color w:val="auto"/>
                <w:szCs w:val="21"/>
                <w:highlight w:val="none"/>
                <w:lang w:eastAsia="zh-CN"/>
              </w:rPr>
              <w:t>）</w:t>
            </w:r>
            <w:r>
              <w:rPr>
                <w:rFonts w:hint="eastAsia" w:ascii="宋体" w:hAnsi="宋体" w:cs="Arial"/>
                <w:color w:val="auto"/>
                <w:szCs w:val="21"/>
                <w:highlight w:val="none"/>
              </w:rPr>
              <w:t>。</w:t>
            </w:r>
          </w:p>
          <w:p>
            <w:pPr>
              <w:rPr>
                <w:rFonts w:hint="eastAsia" w:ascii="宋体" w:hAnsi="宋体" w:cs="Arial"/>
                <w:color w:val="auto"/>
                <w:szCs w:val="21"/>
                <w:highlight w:val="none"/>
              </w:rPr>
            </w:pPr>
            <w:r>
              <w:rPr>
                <w:rFonts w:hint="eastAsia" w:ascii="宋体" w:hAnsi="宋体" w:cs="Arial"/>
                <w:color w:val="auto"/>
                <w:szCs w:val="21"/>
                <w:highlight w:val="none"/>
              </w:rPr>
              <w:t>三、提交服务成果地点：南宁市内项目实施地点，具体由业主指定。</w:t>
            </w:r>
          </w:p>
          <w:p>
            <w:pPr>
              <w:rPr>
                <w:rFonts w:hint="eastAsia" w:ascii="宋体" w:hAnsi="宋体" w:cs="Arial"/>
                <w:color w:val="auto"/>
                <w:szCs w:val="21"/>
                <w:highlight w:val="none"/>
              </w:rPr>
            </w:pPr>
            <w:r>
              <w:rPr>
                <w:rFonts w:hint="eastAsia" w:ascii="宋体" w:hAnsi="宋体" w:cs="Arial"/>
                <w:color w:val="auto"/>
                <w:szCs w:val="21"/>
                <w:highlight w:val="none"/>
              </w:rPr>
              <w:t>★四、售后服务要求：质量保证期1年</w:t>
            </w:r>
          </w:p>
          <w:p>
            <w:pPr>
              <w:rPr>
                <w:rFonts w:hint="eastAsia" w:ascii="宋体" w:hAnsi="宋体" w:cs="Arial"/>
                <w:color w:val="auto"/>
                <w:szCs w:val="21"/>
                <w:highlight w:val="none"/>
              </w:rPr>
            </w:pPr>
            <w:r>
              <w:rPr>
                <w:rFonts w:hint="eastAsia" w:ascii="宋体" w:hAnsi="宋体" w:cs="Arial"/>
                <w:color w:val="auto"/>
                <w:szCs w:val="21"/>
                <w:highlight w:val="none"/>
              </w:rPr>
              <w:t>五、报价要求：报价必须含以下部分，包括：</w:t>
            </w:r>
          </w:p>
          <w:p>
            <w:pPr>
              <w:rPr>
                <w:rFonts w:hint="eastAsia" w:ascii="宋体" w:hAnsi="宋体" w:cs="Arial"/>
                <w:color w:val="auto"/>
                <w:szCs w:val="21"/>
                <w:highlight w:val="none"/>
              </w:rPr>
            </w:pPr>
            <w:r>
              <w:rPr>
                <w:rFonts w:hint="eastAsia" w:ascii="宋体" w:hAnsi="宋体" w:cs="Arial"/>
                <w:color w:val="auto"/>
                <w:szCs w:val="21"/>
                <w:highlight w:val="none"/>
              </w:rPr>
              <w:t>1、服务的价格。</w:t>
            </w:r>
          </w:p>
          <w:p>
            <w:pPr>
              <w:rPr>
                <w:rFonts w:hint="eastAsia" w:ascii="宋体" w:hAnsi="宋体" w:cs="Arial"/>
                <w:color w:val="auto"/>
                <w:szCs w:val="21"/>
                <w:highlight w:val="none"/>
              </w:rPr>
            </w:pPr>
            <w:r>
              <w:rPr>
                <w:rFonts w:hint="eastAsia" w:ascii="宋体" w:hAnsi="宋体" w:cs="Arial"/>
                <w:color w:val="auto"/>
                <w:szCs w:val="21"/>
                <w:highlight w:val="none"/>
              </w:rPr>
              <w:t>2、服务过程中各项必要的开销。</w:t>
            </w:r>
          </w:p>
          <w:p>
            <w:pPr>
              <w:rPr>
                <w:rFonts w:hint="eastAsia" w:ascii="宋体" w:hAnsi="宋体" w:cs="Arial"/>
                <w:color w:val="auto"/>
                <w:szCs w:val="21"/>
                <w:highlight w:val="none"/>
              </w:rPr>
            </w:pPr>
            <w:r>
              <w:rPr>
                <w:rFonts w:hint="eastAsia" w:ascii="宋体" w:hAnsi="宋体" w:cs="Arial"/>
                <w:color w:val="auto"/>
                <w:szCs w:val="21"/>
                <w:highlight w:val="none"/>
              </w:rPr>
              <w:t>3、必要的保险费用和各项税金。</w:t>
            </w:r>
          </w:p>
          <w:p>
            <w:pPr>
              <w:rPr>
                <w:rFonts w:hint="eastAsia" w:ascii="宋体" w:hAnsi="宋体" w:cs="Arial"/>
                <w:color w:val="auto"/>
                <w:szCs w:val="21"/>
                <w:highlight w:val="none"/>
              </w:rPr>
            </w:pPr>
            <w:r>
              <w:rPr>
                <w:rFonts w:hint="eastAsia" w:ascii="宋体" w:hAnsi="宋体" w:cs="Arial"/>
                <w:color w:val="auto"/>
                <w:szCs w:val="21"/>
                <w:highlight w:val="none"/>
              </w:rPr>
              <w:t>4、技术支持、售后服务、成交服务费等费用。</w:t>
            </w:r>
          </w:p>
          <w:p>
            <w:pPr>
              <w:rPr>
                <w:rFonts w:hint="eastAsia" w:ascii="宋体" w:hAnsi="宋体" w:cs="Arial"/>
                <w:color w:val="auto"/>
                <w:szCs w:val="21"/>
                <w:highlight w:val="none"/>
              </w:rPr>
            </w:pPr>
            <w:r>
              <w:rPr>
                <w:rFonts w:hint="eastAsia" w:ascii="宋体" w:hAnsi="宋体" w:cs="Arial"/>
                <w:color w:val="auto"/>
                <w:szCs w:val="21"/>
                <w:highlight w:val="none"/>
              </w:rPr>
              <w:t>六、付款方式：</w:t>
            </w:r>
            <w:r>
              <w:rPr>
                <w:rFonts w:ascii="宋体" w:hAnsi="宋体" w:eastAsia="宋体" w:cs="宋体"/>
                <w:color w:val="auto"/>
                <w:sz w:val="21"/>
                <w:szCs w:val="21"/>
                <w:highlight w:val="none"/>
              </w:rPr>
              <w:t>本项目无预付款，中标供应商向采购人首次提交《网络安全等级保护测评整改建议》后，支付合同金额80%；复测完成并提交《网络安全等级保护测评报告》，经采购人确认服务合格后，支付合同余款。如无需复测，中标供应商向采购人提交《网络安全等级保护测评报告》，经采购人确认服务合格后，一次性支付合同款。</w:t>
            </w:r>
          </w:p>
          <w:p>
            <w:pPr>
              <w:rPr>
                <w:rFonts w:hint="eastAsia" w:ascii="宋体" w:hAnsi="宋体" w:cs="Arial"/>
                <w:color w:val="auto"/>
                <w:szCs w:val="21"/>
                <w:highlight w:val="none"/>
              </w:rPr>
            </w:pPr>
            <w:r>
              <w:rPr>
                <w:rFonts w:hint="eastAsia" w:ascii="宋体" w:hAnsi="宋体" w:cs="Arial"/>
                <w:color w:val="auto"/>
                <w:szCs w:val="21"/>
                <w:highlight w:val="none"/>
              </w:rPr>
              <w:t>★七、其他要求：</w:t>
            </w:r>
          </w:p>
          <w:p>
            <w:pPr>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eastAsia="zh-CN"/>
              </w:rPr>
              <w:t>竞标</w:t>
            </w:r>
            <w:r>
              <w:rPr>
                <w:rFonts w:hint="eastAsia" w:ascii="宋体" w:hAnsi="宋体" w:cs="Arial"/>
                <w:color w:val="auto"/>
                <w:szCs w:val="21"/>
                <w:highlight w:val="none"/>
              </w:rPr>
              <w:t>人提供的测评人员必须具有公安部信息安全等级保护评估中心（或中关村信息安全测评联盟）颁发的《网络安全等级测评师证书》，项目组成至少包</w:t>
            </w:r>
            <w:r>
              <w:rPr>
                <w:rFonts w:hint="eastAsia" w:ascii="宋体" w:hAnsi="宋体" w:cs="Arial"/>
                <w:color w:val="auto"/>
                <w:szCs w:val="21"/>
                <w:highlight w:val="none"/>
              </w:rPr>
              <w:t>括五名测评师，分别为一名高级测评师、一名中级测评师和两名初级测评师，一名质量监督人员；现场测评人员不少于三名测评师，至少包括一名中级测评师，2名初级测评师</w:t>
            </w:r>
            <w:r>
              <w:rPr>
                <w:rFonts w:hint="eastAsia" w:ascii="宋体" w:hAnsi="宋体" w:cs="Arial"/>
                <w:color w:val="auto"/>
                <w:szCs w:val="21"/>
                <w:highlight w:val="none"/>
                <w:lang w:eastAsia="zh-CN"/>
              </w:rPr>
              <w:t>。</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提供人员证书复印件</w:t>
            </w:r>
            <w:r>
              <w:rPr>
                <w:rFonts w:hint="eastAsia" w:ascii="宋体" w:hAnsi="宋体" w:cs="Arial"/>
                <w:color w:val="auto"/>
                <w:szCs w:val="21"/>
                <w:highlight w:val="none"/>
                <w:lang w:eastAsia="zh-CN"/>
              </w:rPr>
              <w:t>）</w:t>
            </w:r>
          </w:p>
          <w:p>
            <w:pPr>
              <w:rPr>
                <w:rFonts w:hint="eastAsia" w:ascii="宋体" w:hAnsi="宋体" w:cs="Arial"/>
                <w:color w:val="auto"/>
                <w:szCs w:val="21"/>
                <w:highlight w:val="none"/>
              </w:rPr>
            </w:pPr>
            <w:r>
              <w:rPr>
                <w:rFonts w:hint="eastAsia" w:ascii="宋体" w:hAnsi="宋体" w:cs="Arial"/>
                <w:color w:val="auto"/>
                <w:szCs w:val="21"/>
                <w:highlight w:val="none"/>
              </w:rPr>
              <w:t>2、投标人如在南宁设有常驻的机构提供本地化服务，请提供相关证明文件。</w:t>
            </w:r>
          </w:p>
          <w:p>
            <w:pPr>
              <w:rPr>
                <w:rFonts w:hint="eastAsia"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eastAsia="zh-CN"/>
              </w:rPr>
              <w:t>竞标</w:t>
            </w:r>
            <w:r>
              <w:rPr>
                <w:rFonts w:hint="eastAsia" w:ascii="宋体" w:hAnsi="宋体" w:cs="Arial"/>
                <w:color w:val="auto"/>
                <w:szCs w:val="21"/>
                <w:highlight w:val="none"/>
              </w:rPr>
              <w:t>人必须签署相关保密协议，严格遵守协议要求。</w:t>
            </w:r>
          </w:p>
          <w:p>
            <w:pPr>
              <w:rPr>
                <w:rFonts w:hint="eastAsia" w:ascii="宋体" w:hAnsi="宋体" w:cs="Arial"/>
                <w:color w:val="auto"/>
                <w:szCs w:val="21"/>
                <w:highlight w:val="none"/>
              </w:rPr>
            </w:pPr>
            <w:r>
              <w:rPr>
                <w:rFonts w:hint="eastAsia" w:ascii="宋体" w:hAnsi="宋体" w:cs="Arial"/>
                <w:color w:val="auto"/>
                <w:szCs w:val="21"/>
                <w:highlight w:val="none"/>
              </w:rPr>
              <w:t>4、</w:t>
            </w:r>
            <w:r>
              <w:rPr>
                <w:rFonts w:hint="eastAsia" w:ascii="宋体" w:hAnsi="宋体" w:cs="Arial"/>
                <w:color w:val="auto"/>
                <w:szCs w:val="21"/>
                <w:highlight w:val="none"/>
                <w:lang w:eastAsia="zh-CN"/>
              </w:rPr>
              <w:t>竞标</w:t>
            </w:r>
            <w:r>
              <w:rPr>
                <w:rFonts w:hint="eastAsia" w:ascii="宋体" w:hAnsi="宋体" w:cs="Arial"/>
                <w:color w:val="auto"/>
                <w:szCs w:val="21"/>
                <w:highlight w:val="none"/>
              </w:rPr>
              <w:t>人在广西有同行业项目服务案例，如有请提供。</w:t>
            </w:r>
          </w:p>
          <w:p>
            <w:pPr>
              <w:rPr>
                <w:rFonts w:hint="eastAsia" w:ascii="宋体" w:hAnsi="宋体" w:cs="Arial"/>
                <w:color w:val="auto"/>
                <w:szCs w:val="21"/>
                <w:highlight w:val="none"/>
              </w:rPr>
            </w:pPr>
            <w:r>
              <w:rPr>
                <w:rFonts w:hint="eastAsia" w:ascii="宋体" w:hAnsi="宋体" w:cs="Arial"/>
                <w:color w:val="auto"/>
                <w:szCs w:val="21"/>
                <w:highlight w:val="none"/>
              </w:rPr>
              <w:t>5、</w:t>
            </w:r>
            <w:r>
              <w:rPr>
                <w:rFonts w:hint="eastAsia" w:ascii="宋体" w:hAnsi="宋体" w:cs="Arial"/>
                <w:color w:val="auto"/>
                <w:szCs w:val="21"/>
                <w:highlight w:val="none"/>
                <w:lang w:eastAsia="zh-CN"/>
              </w:rPr>
              <w:t>竞标</w:t>
            </w:r>
            <w:r>
              <w:rPr>
                <w:rFonts w:hint="eastAsia" w:ascii="宋体" w:hAnsi="宋体" w:cs="Arial"/>
                <w:color w:val="auto"/>
                <w:szCs w:val="21"/>
                <w:highlight w:val="none"/>
              </w:rPr>
              <w:t>人必须针对本项目提供技术、实施、售后服务方案。</w:t>
            </w:r>
          </w:p>
          <w:p>
            <w:pPr>
              <w:rPr>
                <w:rFonts w:hint="eastAsia" w:ascii="宋体" w:hAnsi="宋体" w:cs="Arial"/>
                <w:color w:val="auto"/>
                <w:szCs w:val="21"/>
                <w:highlight w:val="none"/>
              </w:rPr>
            </w:pPr>
            <w:r>
              <w:rPr>
                <w:rFonts w:hint="eastAsia" w:ascii="宋体" w:hAnsi="宋体" w:cs="Arial"/>
                <w:color w:val="auto"/>
                <w:szCs w:val="21"/>
                <w:highlight w:val="none"/>
              </w:rPr>
              <w:t>★八、</w:t>
            </w:r>
            <w:r>
              <w:rPr>
                <w:rFonts w:hint="eastAsia" w:ascii="宋体" w:hAnsi="宋体" w:cs="Arial"/>
                <w:color w:val="auto"/>
                <w:szCs w:val="21"/>
                <w:highlight w:val="none"/>
                <w:lang w:eastAsia="zh-CN"/>
              </w:rPr>
              <w:t>成交</w:t>
            </w:r>
            <w:r>
              <w:rPr>
                <w:rFonts w:hint="eastAsia" w:ascii="宋体" w:hAnsi="宋体" w:cs="Arial"/>
                <w:color w:val="auto"/>
                <w:szCs w:val="21"/>
                <w:highlight w:val="none"/>
              </w:rPr>
              <w:t>供应商确保对被测评的系统进行测评时，不影响系统正常运行，若有影响必须提前告知采购人，经采购人同意后方可开展测评。</w:t>
            </w:r>
          </w:p>
          <w:p>
            <w:pPr>
              <w:rPr>
                <w:rFonts w:ascii="宋体" w:hAnsi="宋体" w:cs="Arial"/>
                <w:color w:val="auto"/>
                <w:szCs w:val="21"/>
                <w:highlight w:val="none"/>
              </w:rPr>
            </w:pPr>
            <w:r>
              <w:rPr>
                <w:rFonts w:hint="eastAsia" w:ascii="宋体" w:hAnsi="宋体" w:cs="Arial"/>
                <w:color w:val="auto"/>
                <w:szCs w:val="21"/>
                <w:highlight w:val="none"/>
              </w:rPr>
              <w:t>★九、测评完成后，</w:t>
            </w:r>
            <w:r>
              <w:rPr>
                <w:rFonts w:hint="eastAsia" w:ascii="宋体" w:hAnsi="宋体" w:cs="Arial"/>
                <w:color w:val="auto"/>
                <w:szCs w:val="21"/>
                <w:highlight w:val="none"/>
                <w:lang w:eastAsia="zh-CN"/>
              </w:rPr>
              <w:t>成交</w:t>
            </w:r>
            <w:r>
              <w:rPr>
                <w:rFonts w:hint="eastAsia" w:ascii="宋体" w:hAnsi="宋体" w:cs="Arial"/>
                <w:color w:val="auto"/>
                <w:szCs w:val="21"/>
                <w:highlight w:val="none"/>
              </w:rPr>
              <w:t>供应商向采购人提交报告，报告内容包括招标文件、合同、测评方案、测评过程记录文档（过程截图、施工照片等）、测评总结等。测评报告需加盖测评机构公章及测评机构专用章，并提交一份到南宁市公安局网络安全保卫支队备案。</w:t>
            </w:r>
          </w:p>
        </w:tc>
      </w:tr>
    </w:tbl>
    <w:p>
      <w:pPr>
        <w:pStyle w:val="24"/>
        <w:snapToGrid w:val="0"/>
        <w:spacing w:before="120" w:after="120"/>
        <w:jc w:val="center"/>
        <w:outlineLvl w:val="9"/>
        <w:rPr>
          <w:rFonts w:hAnsi="宋体"/>
          <w:b/>
          <w:color w:val="auto"/>
          <w:sz w:val="44"/>
          <w:szCs w:val="44"/>
          <w:highlight w:val="none"/>
        </w:rPr>
      </w:pPr>
    </w:p>
    <w:p>
      <w:pPr>
        <w:pStyle w:val="24"/>
        <w:snapToGrid w:val="0"/>
        <w:spacing w:before="120" w:after="120"/>
        <w:jc w:val="center"/>
        <w:outlineLvl w:val="9"/>
        <w:rPr>
          <w:rFonts w:hAnsi="宋体"/>
          <w:b/>
          <w:color w:val="auto"/>
          <w:sz w:val="44"/>
          <w:szCs w:val="44"/>
          <w:highlight w:val="none"/>
        </w:rPr>
      </w:pPr>
    </w:p>
    <w:p>
      <w:pPr>
        <w:pStyle w:val="24"/>
        <w:snapToGrid w:val="0"/>
        <w:spacing w:before="120" w:after="120"/>
        <w:jc w:val="center"/>
        <w:outlineLvl w:val="9"/>
        <w:rPr>
          <w:rFonts w:hAnsi="宋体"/>
          <w:b/>
          <w:color w:val="auto"/>
          <w:sz w:val="44"/>
          <w:szCs w:val="44"/>
          <w:highlight w:val="none"/>
        </w:rPr>
      </w:pPr>
      <w:r>
        <w:rPr>
          <w:rFonts w:hAnsi="宋体"/>
          <w:b/>
          <w:color w:val="auto"/>
          <w:sz w:val="44"/>
          <w:szCs w:val="44"/>
          <w:highlight w:val="none"/>
        </w:rPr>
        <w:br w:type="page"/>
      </w:r>
    </w:p>
    <w:p>
      <w:pPr>
        <w:pStyle w:val="24"/>
        <w:snapToGrid w:val="0"/>
        <w:spacing w:before="120" w:after="120"/>
        <w:jc w:val="center"/>
        <w:outlineLvl w:val="9"/>
        <w:rPr>
          <w:rFonts w:hAnsi="宋体"/>
          <w:b/>
          <w:color w:val="auto"/>
          <w:sz w:val="44"/>
          <w:szCs w:val="44"/>
          <w:highlight w:val="none"/>
        </w:rPr>
      </w:pPr>
    </w:p>
    <w:p>
      <w:pPr>
        <w:pStyle w:val="24"/>
        <w:snapToGrid w:val="0"/>
        <w:spacing w:before="120" w:after="120"/>
        <w:jc w:val="center"/>
        <w:outlineLvl w:val="9"/>
        <w:rPr>
          <w:rFonts w:hAnsi="宋体"/>
          <w:b/>
          <w:color w:val="auto"/>
          <w:sz w:val="44"/>
          <w:szCs w:val="44"/>
          <w:highlight w:val="none"/>
        </w:rPr>
      </w:pPr>
    </w:p>
    <w:p>
      <w:pPr>
        <w:pStyle w:val="24"/>
        <w:snapToGrid w:val="0"/>
        <w:spacing w:before="120" w:after="120"/>
        <w:jc w:val="center"/>
        <w:outlineLvl w:val="9"/>
        <w:rPr>
          <w:rFonts w:hAnsi="宋体"/>
          <w:b/>
          <w:color w:val="auto"/>
          <w:sz w:val="44"/>
          <w:szCs w:val="44"/>
          <w:highlight w:val="none"/>
        </w:rPr>
      </w:pPr>
    </w:p>
    <w:p>
      <w:pPr>
        <w:pStyle w:val="24"/>
        <w:snapToGrid w:val="0"/>
        <w:spacing w:before="120" w:after="120"/>
        <w:jc w:val="center"/>
        <w:outlineLvl w:val="9"/>
        <w:rPr>
          <w:rFonts w:hAnsi="宋体"/>
          <w:b/>
          <w:color w:val="auto"/>
          <w:sz w:val="44"/>
          <w:szCs w:val="44"/>
          <w:highlight w:val="none"/>
        </w:rPr>
      </w:pPr>
    </w:p>
    <w:p>
      <w:pPr>
        <w:pStyle w:val="24"/>
        <w:snapToGrid w:val="0"/>
        <w:spacing w:before="120" w:after="120"/>
        <w:jc w:val="center"/>
        <w:outlineLvl w:val="0"/>
        <w:rPr>
          <w:rFonts w:hAnsi="宋体"/>
          <w:b/>
          <w:color w:val="auto"/>
          <w:sz w:val="44"/>
          <w:szCs w:val="44"/>
          <w:highlight w:val="none"/>
        </w:rPr>
      </w:pPr>
      <w:bookmarkStart w:id="50" w:name="_Toc18715"/>
      <w:r>
        <w:rPr>
          <w:rFonts w:hint="eastAsia" w:hAnsi="宋体"/>
          <w:b/>
          <w:color w:val="auto"/>
          <w:sz w:val="44"/>
          <w:szCs w:val="44"/>
          <w:highlight w:val="none"/>
        </w:rPr>
        <w:t>第四章 响应文件格式</w:t>
      </w:r>
      <w:bookmarkEnd w:id="50"/>
    </w:p>
    <w:p>
      <w:pPr>
        <w:tabs>
          <w:tab w:val="left" w:pos="180"/>
          <w:tab w:val="left" w:pos="1620"/>
        </w:tabs>
        <w:rPr>
          <w:rFonts w:ascii="宋体" w:hAnsi="宋体"/>
          <w:color w:val="auto"/>
          <w:sz w:val="24"/>
          <w:highlight w:val="none"/>
        </w:rPr>
      </w:pPr>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tabs>
          <w:tab w:val="left" w:pos="180"/>
          <w:tab w:val="left" w:pos="1620"/>
        </w:tabs>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 xml:space="preserve"> </w:t>
      </w:r>
    </w:p>
    <w:p>
      <w:pPr>
        <w:jc w:val="right"/>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正本</w:t>
      </w:r>
      <w:r>
        <w:rPr>
          <w:rFonts w:hint="eastAsia" w:ascii="宋体" w:hAnsi="宋体"/>
          <w:color w:val="auto"/>
          <w:sz w:val="24"/>
          <w:highlight w:val="none"/>
          <w:lang w:val="en-US" w:eastAsia="zh-CN"/>
        </w:rPr>
        <w:t>/副本</w:t>
      </w:r>
    </w:p>
    <w:p>
      <w:pPr>
        <w:jc w:val="center"/>
        <w:rPr>
          <w:rFonts w:ascii="宋体" w:hAnsi="宋体"/>
          <w:color w:val="auto"/>
          <w:sz w:val="24"/>
          <w:highlight w:val="none"/>
        </w:rPr>
      </w:pPr>
    </w:p>
    <w:p>
      <w:pPr>
        <w:jc w:val="center"/>
        <w:rPr>
          <w:rFonts w:ascii="宋体" w:hAnsi="宋体"/>
          <w:color w:val="auto"/>
          <w:sz w:val="44"/>
          <w:szCs w:val="44"/>
          <w:highlight w:val="none"/>
        </w:rPr>
      </w:pPr>
      <w:r>
        <w:rPr>
          <w:rFonts w:hint="eastAsia" w:ascii="宋体" w:hAnsi="宋体"/>
          <w:b/>
          <w:color w:val="auto"/>
          <w:sz w:val="44"/>
          <w:szCs w:val="44"/>
          <w:highlight w:val="none"/>
        </w:rPr>
        <w:t>竞争性谈判响应文件（封面）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32"/>
          <w:szCs w:val="32"/>
          <w:highlight w:val="none"/>
        </w:rPr>
      </w:pPr>
    </w:p>
    <w:p>
      <w:pPr>
        <w:ind w:firstLine="800" w:firstLineChars="250"/>
        <w:rPr>
          <w:rFonts w:ascii="宋体" w:hAnsi="宋体"/>
          <w:color w:val="auto"/>
          <w:sz w:val="32"/>
          <w:szCs w:val="32"/>
          <w:highlight w:val="none"/>
          <w:u w:val="single"/>
        </w:rPr>
      </w:pPr>
      <w:r>
        <w:rPr>
          <w:rFonts w:hint="eastAsia" w:ascii="宋体" w:hAnsi="宋体"/>
          <w:color w:val="auto"/>
          <w:sz w:val="32"/>
          <w:szCs w:val="32"/>
          <w:highlight w:val="none"/>
        </w:rPr>
        <w:t>采购项目编号：</w:t>
      </w:r>
      <w:r>
        <w:rPr>
          <w:rFonts w:hint="eastAsia" w:ascii="宋体" w:hAnsi="宋体"/>
          <w:color w:val="auto"/>
          <w:sz w:val="32"/>
          <w:szCs w:val="32"/>
          <w:highlight w:val="none"/>
          <w:u w:val="single"/>
        </w:rPr>
        <w:t xml:space="preserve">                       </w:t>
      </w:r>
    </w:p>
    <w:p>
      <w:pPr>
        <w:tabs>
          <w:tab w:val="left" w:pos="3240"/>
        </w:tabs>
        <w:ind w:firstLine="800" w:firstLineChars="250"/>
        <w:rPr>
          <w:rFonts w:ascii="宋体" w:hAnsi="宋体"/>
          <w:color w:val="auto"/>
          <w:sz w:val="32"/>
          <w:szCs w:val="32"/>
          <w:highlight w:val="none"/>
        </w:rPr>
      </w:pPr>
    </w:p>
    <w:p>
      <w:pPr>
        <w:tabs>
          <w:tab w:val="left" w:pos="3240"/>
        </w:tabs>
        <w:ind w:firstLine="800" w:firstLineChars="250"/>
        <w:rPr>
          <w:rFonts w:ascii="宋体" w:hAnsi="宋体"/>
          <w:color w:val="auto"/>
          <w:sz w:val="32"/>
          <w:szCs w:val="32"/>
          <w:highlight w:val="none"/>
          <w:u w:val="single"/>
        </w:rPr>
      </w:pPr>
      <w:r>
        <w:rPr>
          <w:rFonts w:hint="eastAsia" w:ascii="宋体" w:hAnsi="宋体"/>
          <w:color w:val="auto"/>
          <w:sz w:val="32"/>
          <w:szCs w:val="32"/>
          <w:highlight w:val="none"/>
        </w:rPr>
        <w:t>采购项目名称：</w:t>
      </w:r>
      <w:r>
        <w:rPr>
          <w:rFonts w:hint="eastAsia" w:ascii="宋体" w:hAnsi="宋体"/>
          <w:color w:val="auto"/>
          <w:sz w:val="32"/>
          <w:szCs w:val="32"/>
          <w:highlight w:val="none"/>
          <w:u w:val="single"/>
        </w:rPr>
        <w:t xml:space="preserve">                       </w:t>
      </w:r>
    </w:p>
    <w:p>
      <w:pPr>
        <w:ind w:firstLine="800" w:firstLineChars="250"/>
        <w:rPr>
          <w:rFonts w:hint="eastAsia" w:ascii="宋体" w:hAnsi="宋体"/>
          <w:color w:val="auto"/>
          <w:sz w:val="32"/>
          <w:szCs w:val="32"/>
          <w:highlight w:val="none"/>
        </w:rPr>
      </w:pPr>
    </w:p>
    <w:p>
      <w:pPr>
        <w:ind w:firstLine="800" w:firstLineChars="250"/>
        <w:rPr>
          <w:rFonts w:ascii="宋体" w:hAnsi="宋体"/>
          <w:color w:val="auto"/>
          <w:sz w:val="32"/>
          <w:szCs w:val="32"/>
          <w:highlight w:val="none"/>
        </w:rPr>
      </w:pPr>
      <w:r>
        <w:rPr>
          <w:rFonts w:hint="eastAsia" w:ascii="宋体" w:hAnsi="宋体"/>
          <w:color w:val="auto"/>
          <w:sz w:val="32"/>
          <w:szCs w:val="32"/>
          <w:highlight w:val="none"/>
        </w:rPr>
        <w:t>标项</w:t>
      </w:r>
      <w:r>
        <w:rPr>
          <w:rFonts w:hint="eastAsia" w:ascii="宋体" w:hAnsi="宋体"/>
          <w:color w:val="auto"/>
          <w:sz w:val="32"/>
          <w:szCs w:val="32"/>
          <w:highlight w:val="none"/>
          <w:lang w:eastAsia="zh-CN"/>
        </w:rPr>
        <w:t>（如有）</w:t>
      </w:r>
      <w:r>
        <w:rPr>
          <w:rFonts w:hint="eastAsia" w:ascii="宋体" w:hAnsi="宋体"/>
          <w:color w:val="auto"/>
          <w:sz w:val="32"/>
          <w:szCs w:val="32"/>
          <w:highlight w:val="none"/>
        </w:rPr>
        <w:t>：</w:t>
      </w:r>
    </w:p>
    <w:p>
      <w:pPr>
        <w:tabs>
          <w:tab w:val="left" w:pos="2625"/>
        </w:tabs>
        <w:jc w:val="center"/>
        <w:rPr>
          <w:rFonts w:ascii="宋体" w:hAnsi="宋体"/>
          <w:color w:val="auto"/>
          <w:sz w:val="32"/>
          <w:szCs w:val="32"/>
          <w:highlight w:val="none"/>
        </w:rPr>
      </w:pPr>
    </w:p>
    <w:p>
      <w:pPr>
        <w:tabs>
          <w:tab w:val="left" w:pos="2625"/>
        </w:tabs>
        <w:jc w:val="center"/>
        <w:rPr>
          <w:rFonts w:ascii="宋体" w:hAnsi="宋体"/>
          <w:color w:val="auto"/>
          <w:sz w:val="32"/>
          <w:szCs w:val="32"/>
          <w:highlight w:val="none"/>
        </w:rPr>
      </w:pPr>
    </w:p>
    <w:p>
      <w:pPr>
        <w:tabs>
          <w:tab w:val="left" w:pos="2625"/>
        </w:tabs>
        <w:jc w:val="center"/>
        <w:rPr>
          <w:rFonts w:ascii="宋体" w:hAnsi="宋体"/>
          <w:color w:val="auto"/>
          <w:sz w:val="32"/>
          <w:szCs w:val="32"/>
          <w:highlight w:val="none"/>
        </w:rPr>
      </w:pPr>
    </w:p>
    <w:p>
      <w:pPr>
        <w:jc w:val="center"/>
        <w:rPr>
          <w:rFonts w:ascii="宋体" w:hAnsi="宋体"/>
          <w:color w:val="auto"/>
          <w:sz w:val="32"/>
          <w:szCs w:val="32"/>
          <w:highlight w:val="none"/>
        </w:rPr>
      </w:pPr>
      <w:r>
        <w:rPr>
          <w:rFonts w:hint="eastAsia" w:ascii="宋体" w:hAnsi="宋体"/>
          <w:color w:val="auto"/>
          <w:sz w:val="32"/>
          <w:szCs w:val="32"/>
          <w:highlight w:val="none"/>
        </w:rPr>
        <w:t xml:space="preserve">                                （谈判供应商名称）</w:t>
      </w:r>
    </w:p>
    <w:p>
      <w:pPr>
        <w:jc w:val="center"/>
        <w:rPr>
          <w:rFonts w:ascii="宋体" w:hAnsi="宋体"/>
          <w:color w:val="auto"/>
          <w:sz w:val="32"/>
          <w:szCs w:val="32"/>
          <w:highlight w:val="none"/>
        </w:rPr>
      </w:pPr>
      <w:r>
        <w:rPr>
          <w:rFonts w:hint="eastAsia" w:ascii="宋体" w:hAnsi="宋体"/>
          <w:color w:val="auto"/>
          <w:sz w:val="32"/>
          <w:szCs w:val="32"/>
          <w:highlight w:val="none"/>
        </w:rPr>
        <w:t xml:space="preserve">        </w:t>
      </w:r>
    </w:p>
    <w:p>
      <w:pPr>
        <w:jc w:val="center"/>
        <w:rPr>
          <w:rFonts w:ascii="宋体" w:hAnsi="宋体"/>
          <w:color w:val="auto"/>
          <w:sz w:val="32"/>
          <w:szCs w:val="32"/>
          <w:highlight w:val="none"/>
        </w:rPr>
      </w:pPr>
    </w:p>
    <w:p>
      <w:pPr>
        <w:jc w:val="center"/>
        <w:rPr>
          <w:rFonts w:ascii="宋体" w:hAnsi="宋体"/>
          <w:color w:val="auto"/>
          <w:sz w:val="32"/>
          <w:szCs w:val="32"/>
          <w:highlight w:val="none"/>
        </w:rPr>
      </w:pPr>
      <w:r>
        <w:rPr>
          <w:rFonts w:hint="eastAsia" w:ascii="宋体" w:hAnsi="宋体"/>
          <w:color w:val="auto"/>
          <w:sz w:val="32"/>
          <w:szCs w:val="32"/>
          <w:highlight w:val="none"/>
        </w:rPr>
        <w:t>年</w:t>
      </w:r>
      <w:r>
        <w:rPr>
          <w:rFonts w:hint="eastAsia" w:ascii="宋体" w:hAnsi="宋体" w:cs="宋体"/>
          <w:color w:val="auto"/>
          <w:sz w:val="32"/>
          <w:szCs w:val="32"/>
          <w:highlight w:val="none"/>
        </w:rPr>
        <w:t xml:space="preserve">    </w:t>
      </w:r>
      <w:r>
        <w:rPr>
          <w:rFonts w:hint="eastAsia" w:ascii="宋体" w:hAnsi="宋体"/>
          <w:color w:val="auto"/>
          <w:sz w:val="32"/>
          <w:szCs w:val="32"/>
          <w:highlight w:val="none"/>
        </w:rPr>
        <w:t>月    日</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napToGrid w:val="0"/>
        <w:spacing w:before="50" w:after="50"/>
        <w:ind w:right="-178" w:rightChars="-85"/>
        <w:rPr>
          <w:rFonts w:hAnsi="宋体"/>
          <w:b/>
          <w:bCs/>
          <w:color w:val="auto"/>
          <w:szCs w:val="21"/>
          <w:highlight w:val="none"/>
        </w:rPr>
      </w:pPr>
      <w:r>
        <w:rPr>
          <w:rFonts w:ascii="宋体" w:hAnsi="宋体"/>
          <w:color w:val="auto"/>
          <w:sz w:val="24"/>
          <w:highlight w:val="none"/>
        </w:rPr>
        <w:br w:type="page"/>
      </w:r>
      <w:r>
        <w:rPr>
          <w:rFonts w:hint="eastAsia" w:hAnsi="宋体"/>
          <w:b/>
          <w:bCs/>
          <w:color w:val="auto"/>
          <w:szCs w:val="21"/>
          <w:highlight w:val="none"/>
        </w:rPr>
        <w:t>响应文件目录：</w:t>
      </w:r>
    </w:p>
    <w:p>
      <w:pPr>
        <w:snapToGrid w:val="0"/>
        <w:spacing w:before="50" w:after="50"/>
        <w:ind w:right="-178" w:rightChars="-85"/>
        <w:rPr>
          <w:rFonts w:hAnsi="宋体"/>
          <w:color w:val="auto"/>
          <w:sz w:val="44"/>
          <w:szCs w:val="44"/>
          <w:highlight w:val="none"/>
        </w:rPr>
      </w:pPr>
    </w:p>
    <w:p>
      <w:pPr>
        <w:tabs>
          <w:tab w:val="left" w:pos="3870"/>
          <w:tab w:val="left" w:pos="4085"/>
        </w:tabs>
        <w:snapToGrid w:val="0"/>
        <w:spacing w:line="500" w:lineRule="exact"/>
        <w:ind w:right="-178" w:rightChars="-85"/>
        <w:jc w:val="center"/>
        <w:rPr>
          <w:rFonts w:hAnsi="宋体"/>
          <w:color w:val="auto"/>
          <w:sz w:val="44"/>
          <w:szCs w:val="44"/>
          <w:highlight w:val="none"/>
        </w:rPr>
      </w:pPr>
      <w:r>
        <w:rPr>
          <w:rFonts w:hint="eastAsia" w:hAnsi="宋体"/>
          <w:color w:val="auto"/>
          <w:sz w:val="44"/>
          <w:szCs w:val="44"/>
          <w:highlight w:val="none"/>
        </w:rPr>
        <w:t>目    录</w:t>
      </w:r>
    </w:p>
    <w:p>
      <w:pPr>
        <w:jc w:val="center"/>
        <w:rPr>
          <w:rFonts w:ascii="宋体" w:hAnsi="宋体"/>
          <w:b/>
          <w:color w:val="auto"/>
          <w:sz w:val="24"/>
          <w:highlight w:val="none"/>
        </w:rPr>
      </w:pPr>
      <w:r>
        <w:rPr>
          <w:rFonts w:hint="eastAsia" w:hAnsi="宋体"/>
          <w:b/>
          <w:color w:val="auto"/>
          <w:sz w:val="24"/>
          <w:highlight w:val="none"/>
        </w:rPr>
        <w:t>（格式自拟，按供应商须知</w:t>
      </w:r>
      <w:r>
        <w:rPr>
          <w:rFonts w:hint="eastAsia" w:ascii="宋体" w:hAnsi="宋体"/>
          <w:b/>
          <w:color w:val="auto"/>
          <w:sz w:val="24"/>
          <w:highlight w:val="none"/>
        </w:rPr>
        <w:t>5.6 “竞争性谈判响应文件的组成”顺序）</w:t>
      </w:r>
    </w:p>
    <w:p>
      <w:pPr>
        <w:jc w:val="cente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 xml:space="preserve">附件一 </w:t>
      </w:r>
    </w:p>
    <w:p>
      <w:pPr>
        <w:pStyle w:val="24"/>
        <w:ind w:firstLine="803" w:firstLineChars="250"/>
        <w:jc w:val="center"/>
        <w:rPr>
          <w:rFonts w:hAnsi="宋体"/>
          <w:b/>
          <w:color w:val="auto"/>
          <w:sz w:val="32"/>
          <w:highlight w:val="none"/>
        </w:rPr>
      </w:pPr>
      <w:r>
        <w:rPr>
          <w:rFonts w:hint="eastAsia" w:hAnsi="宋体"/>
          <w:b/>
          <w:color w:val="auto"/>
          <w:sz w:val="32"/>
          <w:highlight w:val="none"/>
        </w:rPr>
        <w:t>响 应 函 （格 式）</w:t>
      </w:r>
    </w:p>
    <w:p>
      <w:pPr>
        <w:spacing w:line="240" w:lineRule="exact"/>
        <w:jc w:val="center"/>
        <w:rPr>
          <w:rFonts w:ascii="宋体" w:hAnsi="宋体"/>
          <w:color w:val="auto"/>
          <w:sz w:val="32"/>
          <w:highlight w:val="none"/>
        </w:rPr>
      </w:pPr>
    </w:p>
    <w:p>
      <w:pPr>
        <w:spacing w:line="400" w:lineRule="exact"/>
        <w:rPr>
          <w:rFonts w:ascii="宋体" w:hAnsi="宋体"/>
          <w:color w:val="auto"/>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：(采购单位名称)   </w:t>
      </w:r>
    </w:p>
    <w:p>
      <w:pPr>
        <w:spacing w:line="400" w:lineRule="exact"/>
        <w:rPr>
          <w:rFonts w:ascii="宋体" w:hAnsi="宋体"/>
          <w:color w:val="auto"/>
          <w:szCs w:val="21"/>
          <w:highlight w:val="none"/>
        </w:rPr>
      </w:pPr>
    </w:p>
    <w:p>
      <w:pPr>
        <w:pStyle w:val="24"/>
        <w:spacing w:line="360" w:lineRule="exact"/>
        <w:ind w:firstLine="420"/>
        <w:rPr>
          <w:rFonts w:hAnsi="宋体"/>
          <w:color w:val="auto"/>
          <w:highlight w:val="none"/>
        </w:rPr>
      </w:pPr>
      <w:r>
        <w:rPr>
          <w:rFonts w:hint="eastAsia" w:hAnsi="宋体"/>
          <w:color w:val="auto"/>
          <w:highlight w:val="none"/>
        </w:rPr>
        <w:t>根据贵方</w:t>
      </w:r>
      <w:r>
        <w:rPr>
          <w:rFonts w:hint="eastAsia" w:hAnsi="宋体"/>
          <w:color w:val="auto"/>
          <w:highlight w:val="none"/>
          <w:u w:val="single"/>
        </w:rPr>
        <w:t xml:space="preserve">         </w:t>
      </w:r>
      <w:r>
        <w:rPr>
          <w:rFonts w:hint="eastAsia" w:hAnsi="宋体"/>
          <w:color w:val="auto"/>
          <w:highlight w:val="none"/>
        </w:rPr>
        <w:t xml:space="preserve">项目谈判文件，项目编号 </w:t>
      </w:r>
      <w:r>
        <w:rPr>
          <w:rFonts w:hint="eastAsia" w:hAnsi="宋体"/>
          <w:color w:val="auto"/>
          <w:highlight w:val="none"/>
          <w:u w:val="single"/>
        </w:rPr>
        <w:t xml:space="preserve">               </w:t>
      </w:r>
      <w:r>
        <w:rPr>
          <w:rFonts w:hint="eastAsia" w:hAnsi="宋体"/>
          <w:color w:val="auto"/>
          <w:highlight w:val="none"/>
        </w:rPr>
        <w:t>，签字代表</w:t>
      </w:r>
      <w:r>
        <w:rPr>
          <w:rFonts w:hint="eastAsia" w:hAnsi="宋体"/>
          <w:color w:val="auto"/>
          <w:highlight w:val="none"/>
          <w:u w:val="single"/>
        </w:rPr>
        <w:t xml:space="preserve">         </w:t>
      </w:r>
      <w:r>
        <w:rPr>
          <w:rFonts w:hint="eastAsia" w:hAnsi="宋体"/>
          <w:color w:val="auto"/>
          <w:highlight w:val="none"/>
        </w:rPr>
        <w:t xml:space="preserve">（姓名）经正式授权并代表供应商 </w:t>
      </w:r>
      <w:r>
        <w:rPr>
          <w:rFonts w:hint="eastAsia" w:hAnsi="宋体"/>
          <w:color w:val="auto"/>
          <w:highlight w:val="none"/>
          <w:u w:val="single"/>
        </w:rPr>
        <w:t xml:space="preserve">                                   （</w:t>
      </w:r>
      <w:r>
        <w:rPr>
          <w:rFonts w:hint="eastAsia" w:hAnsi="宋体"/>
          <w:color w:val="auto"/>
          <w:highlight w:val="none"/>
        </w:rPr>
        <w:t>供应商单位名称，</w:t>
      </w:r>
      <w:r>
        <w:rPr>
          <w:rFonts w:hint="eastAsia" w:hAnsi="宋体"/>
          <w:b/>
          <w:color w:val="auto"/>
          <w:highlight w:val="none"/>
        </w:rPr>
        <w:t>如为联合体的，则为联合体各成员的单位名称</w:t>
      </w:r>
      <w:r>
        <w:rPr>
          <w:rFonts w:hint="eastAsia" w:hAnsi="宋体"/>
          <w:color w:val="auto"/>
          <w:highlight w:val="none"/>
        </w:rPr>
        <w:t>），提交响应文件正本一份，副本</w:t>
      </w:r>
      <w:r>
        <w:rPr>
          <w:rFonts w:hint="eastAsia" w:hAnsi="宋体"/>
          <w:color w:val="auto"/>
          <w:highlight w:val="none"/>
          <w:u w:val="single"/>
        </w:rPr>
        <w:t xml:space="preserve"> </w:t>
      </w:r>
      <w:r>
        <w:rPr>
          <w:rFonts w:hint="eastAsia" w:hAnsi="宋体"/>
          <w:color w:val="auto"/>
          <w:highlight w:val="none"/>
          <w:u w:val="single"/>
          <w:lang w:eastAsia="zh-CN"/>
        </w:rPr>
        <w:t>三</w:t>
      </w:r>
      <w:r>
        <w:rPr>
          <w:rFonts w:hint="eastAsia" w:hAnsi="宋体"/>
          <w:color w:val="auto"/>
          <w:highlight w:val="none"/>
          <w:u w:val="single"/>
        </w:rPr>
        <w:t xml:space="preserve"> </w:t>
      </w:r>
      <w:r>
        <w:rPr>
          <w:rFonts w:hint="eastAsia" w:hAnsi="宋体"/>
          <w:color w:val="auto"/>
          <w:highlight w:val="none"/>
        </w:rPr>
        <w:t>份。</w:t>
      </w:r>
    </w:p>
    <w:p>
      <w:pPr>
        <w:pStyle w:val="24"/>
        <w:spacing w:line="360" w:lineRule="exact"/>
        <w:ind w:firstLine="420"/>
        <w:rPr>
          <w:rFonts w:hAnsi="宋体"/>
          <w:color w:val="auto"/>
          <w:highlight w:val="none"/>
        </w:rPr>
      </w:pPr>
      <w:r>
        <w:rPr>
          <w:rFonts w:hint="eastAsia" w:hAnsi="宋体"/>
          <w:color w:val="auto"/>
          <w:highlight w:val="none"/>
        </w:rPr>
        <w:t>据此函，签字代表宣布同意如下：</w:t>
      </w:r>
    </w:p>
    <w:p>
      <w:pPr>
        <w:pStyle w:val="24"/>
        <w:spacing w:line="360" w:lineRule="exact"/>
        <w:ind w:firstLine="420"/>
        <w:rPr>
          <w:rFonts w:hAnsi="宋体"/>
          <w:color w:val="auto"/>
          <w:highlight w:val="none"/>
        </w:rPr>
      </w:pPr>
      <w:r>
        <w:rPr>
          <w:rFonts w:hint="eastAsia" w:hAnsi="宋体"/>
          <w:color w:val="auto"/>
          <w:highlight w:val="none"/>
        </w:rPr>
        <w:t>1. 按谈判文件采购需求和谈判报价表：</w:t>
      </w:r>
    </w:p>
    <w:p>
      <w:pPr>
        <w:pStyle w:val="24"/>
        <w:spacing w:line="360" w:lineRule="exact"/>
        <w:ind w:firstLine="420"/>
        <w:rPr>
          <w:rFonts w:hAnsi="宋体"/>
          <w:color w:val="auto"/>
          <w:highlight w:val="none"/>
        </w:rPr>
      </w:pPr>
      <w:r>
        <w:rPr>
          <w:rFonts w:hint="eastAsia" w:hAnsi="宋体"/>
          <w:color w:val="auto"/>
          <w:highlight w:val="none"/>
        </w:rPr>
        <w:t>谈判总报价（大写）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pStyle w:val="24"/>
        <w:spacing w:line="360" w:lineRule="exact"/>
        <w:ind w:firstLine="420"/>
        <w:rPr>
          <w:rFonts w:hAnsi="宋体"/>
          <w:color w:val="auto"/>
          <w:highlight w:val="none"/>
        </w:rPr>
      </w:pPr>
      <w:r>
        <w:rPr>
          <w:rFonts w:hint="eastAsia" w:hAnsi="宋体"/>
          <w:color w:val="auto"/>
          <w:highlight w:val="none"/>
        </w:rPr>
        <w:t>2.我方承诺已具备谈判文件规定的供应商资格条件。</w:t>
      </w:r>
    </w:p>
    <w:p>
      <w:pPr>
        <w:pStyle w:val="24"/>
        <w:spacing w:line="360" w:lineRule="exact"/>
        <w:ind w:firstLine="420"/>
        <w:rPr>
          <w:rFonts w:hAnsi="宋体"/>
          <w:color w:val="auto"/>
          <w:highlight w:val="none"/>
        </w:rPr>
      </w:pPr>
      <w:r>
        <w:rPr>
          <w:rFonts w:hint="eastAsia" w:hAnsi="宋体"/>
          <w:color w:val="auto"/>
          <w:highlight w:val="none"/>
        </w:rPr>
        <w:t>3.我方已详细审核谈判文件，包括修改文件（如有的话）和有关附件，将自行承担因对全部谈判文件理解不正确或误解而产生的相应后果。</w:t>
      </w:r>
    </w:p>
    <w:p>
      <w:pPr>
        <w:pStyle w:val="24"/>
        <w:spacing w:line="360" w:lineRule="exact"/>
        <w:ind w:firstLine="420"/>
        <w:rPr>
          <w:rFonts w:hAnsi="宋体"/>
          <w:color w:val="auto"/>
          <w:highlight w:val="none"/>
        </w:rPr>
      </w:pPr>
      <w:r>
        <w:rPr>
          <w:rFonts w:hint="eastAsia" w:hAnsi="宋体"/>
          <w:color w:val="auto"/>
          <w:highlight w:val="none"/>
        </w:rPr>
        <w:t>4. 响应文件有效期为响应文件递交截止时间之日起60天。</w:t>
      </w:r>
    </w:p>
    <w:p>
      <w:pPr>
        <w:pStyle w:val="24"/>
        <w:spacing w:line="360" w:lineRule="exact"/>
        <w:ind w:firstLine="420"/>
        <w:rPr>
          <w:rFonts w:hAnsi="宋体"/>
          <w:color w:val="auto"/>
          <w:highlight w:val="none"/>
        </w:rPr>
      </w:pPr>
      <w:r>
        <w:rPr>
          <w:rFonts w:hint="eastAsia" w:hAnsi="宋体"/>
          <w:color w:val="auto"/>
          <w:highlight w:val="none"/>
        </w:rPr>
        <w:t>5. 如我方成交：</w:t>
      </w:r>
    </w:p>
    <w:p>
      <w:pPr>
        <w:pStyle w:val="24"/>
        <w:spacing w:line="360" w:lineRule="exact"/>
        <w:ind w:firstLine="420"/>
        <w:rPr>
          <w:rFonts w:hAnsi="宋体"/>
          <w:color w:val="auto"/>
          <w:highlight w:val="none"/>
        </w:rPr>
      </w:pPr>
      <w:r>
        <w:rPr>
          <w:rFonts w:hint="eastAsia" w:hAnsi="宋体"/>
          <w:color w:val="auto"/>
          <w:highlight w:val="none"/>
        </w:rPr>
        <w:t>（1）我方承诺在收到成交通知书后，在成交通知书规定的期限内与采购人签订合同。</w:t>
      </w:r>
    </w:p>
    <w:p>
      <w:pPr>
        <w:pStyle w:val="24"/>
        <w:spacing w:line="360" w:lineRule="exact"/>
        <w:ind w:firstLine="420"/>
        <w:rPr>
          <w:rFonts w:hint="eastAsia" w:hAnsi="宋体"/>
          <w:color w:val="auto"/>
          <w:highlight w:val="none"/>
        </w:rPr>
      </w:pPr>
      <w:r>
        <w:rPr>
          <w:rFonts w:hint="eastAsia" w:hAnsi="宋体"/>
          <w:color w:val="auto"/>
          <w:highlight w:val="none"/>
        </w:rPr>
        <w:t>（2）我方承诺本响应文件至本项目合同履行完毕止均保持有效，按谈判文件及政府采购法律、法规的规定履行合同责任和义务。</w:t>
      </w:r>
    </w:p>
    <w:p>
      <w:pPr>
        <w:pStyle w:val="24"/>
        <w:spacing w:line="360" w:lineRule="exact"/>
        <w:ind w:firstLine="420"/>
        <w:rPr>
          <w:rFonts w:hAnsi="宋体"/>
          <w:color w:val="auto"/>
          <w:highlight w:val="none"/>
        </w:rPr>
      </w:pPr>
      <w:r>
        <w:rPr>
          <w:rFonts w:hint="eastAsia" w:hAnsi="宋体"/>
          <w:color w:val="auto"/>
          <w:highlight w:val="none"/>
        </w:rPr>
        <w:t>（3）我方承诺项目的最终价格能按照合同要求履行合同职责，如不能按照合同要求完成</w:t>
      </w:r>
      <w:r>
        <w:rPr>
          <w:rFonts w:hint="eastAsia" w:hAnsi="宋体"/>
          <w:color w:val="auto"/>
          <w:highlight w:val="none"/>
          <w:lang w:eastAsia="zh-CN"/>
        </w:rPr>
        <w:t>项目</w:t>
      </w:r>
      <w:r>
        <w:rPr>
          <w:rFonts w:hint="eastAsia" w:hAnsi="宋体"/>
          <w:color w:val="auto"/>
          <w:highlight w:val="none"/>
        </w:rPr>
        <w:t>的，我方自行承担项目所需的一切费用</w:t>
      </w:r>
      <w:r>
        <w:rPr>
          <w:rFonts w:hint="eastAsia" w:hAnsi="宋体"/>
          <w:color w:val="auto"/>
          <w:highlight w:val="none"/>
          <w:lang w:eastAsia="zh-CN"/>
        </w:rPr>
        <w:t>并赔偿采购人由此造成的损失</w:t>
      </w:r>
      <w:r>
        <w:rPr>
          <w:rFonts w:hint="eastAsia" w:hAnsi="宋体"/>
          <w:color w:val="auto"/>
          <w:highlight w:val="none"/>
        </w:rPr>
        <w:t>。</w:t>
      </w:r>
    </w:p>
    <w:p>
      <w:pPr>
        <w:pStyle w:val="24"/>
        <w:spacing w:line="360" w:lineRule="exact"/>
        <w:ind w:firstLine="420"/>
        <w:rPr>
          <w:rFonts w:hint="eastAsia" w:hAnsi="宋体"/>
          <w:color w:val="auto"/>
          <w:highlight w:val="none"/>
        </w:rPr>
      </w:pPr>
    </w:p>
    <w:p>
      <w:pPr>
        <w:pStyle w:val="24"/>
        <w:spacing w:line="360" w:lineRule="exact"/>
        <w:ind w:firstLine="420"/>
        <w:rPr>
          <w:rFonts w:hAnsi="宋体"/>
          <w:color w:val="auto"/>
          <w:highlight w:val="none"/>
        </w:rPr>
      </w:pPr>
      <w:r>
        <w:rPr>
          <w:rFonts w:hint="eastAsia" w:hAnsi="宋体"/>
          <w:color w:val="auto"/>
          <w:highlight w:val="none"/>
        </w:rPr>
        <w:t>与本项目有关的正式通讯地址为：</w:t>
      </w:r>
    </w:p>
    <w:p>
      <w:pPr>
        <w:pStyle w:val="24"/>
        <w:spacing w:line="400" w:lineRule="exact"/>
        <w:ind w:firstLine="420"/>
        <w:rPr>
          <w:rFonts w:hAnsi="宋体"/>
          <w:color w:val="auto"/>
          <w:highlight w:val="none"/>
        </w:rPr>
      </w:pPr>
    </w:p>
    <w:p>
      <w:pPr>
        <w:pStyle w:val="24"/>
        <w:spacing w:line="400" w:lineRule="exact"/>
        <w:ind w:firstLine="420"/>
        <w:rPr>
          <w:rFonts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邮编：</w:t>
      </w:r>
      <w:r>
        <w:rPr>
          <w:rFonts w:hint="eastAsia" w:hAnsi="宋体"/>
          <w:color w:val="auto"/>
          <w:highlight w:val="none"/>
          <w:u w:val="single"/>
        </w:rPr>
        <w:t xml:space="preserve">          </w:t>
      </w:r>
      <w:r>
        <w:rPr>
          <w:rFonts w:hint="eastAsia" w:hAnsi="宋体"/>
          <w:color w:val="auto"/>
          <w:highlight w:val="none"/>
        </w:rPr>
        <w:t xml:space="preserve">  电话、传真：</w:t>
      </w:r>
      <w:r>
        <w:rPr>
          <w:rFonts w:hint="eastAsia" w:hAnsi="宋体"/>
          <w:color w:val="auto"/>
          <w:highlight w:val="none"/>
          <w:u w:val="single"/>
        </w:rPr>
        <w:t xml:space="preserve">            </w:t>
      </w:r>
    </w:p>
    <w:p>
      <w:pPr>
        <w:pStyle w:val="24"/>
        <w:spacing w:line="400" w:lineRule="exact"/>
        <w:ind w:firstLine="420"/>
        <w:rPr>
          <w:rFonts w:hAnsi="宋体"/>
          <w:color w:val="auto"/>
          <w:highlight w:val="none"/>
        </w:rPr>
      </w:pPr>
      <w:r>
        <w:rPr>
          <w:rFonts w:hint="eastAsia" w:hAnsi="宋体"/>
          <w:color w:val="auto"/>
          <w:highlight w:val="none"/>
        </w:rPr>
        <w:t>开户名称：</w:t>
      </w:r>
      <w:r>
        <w:rPr>
          <w:rFonts w:hint="eastAsia" w:hAnsi="宋体"/>
          <w:color w:val="auto"/>
          <w:highlight w:val="none"/>
          <w:u w:val="single"/>
        </w:rPr>
        <w:t xml:space="preserve">                                        </w:t>
      </w:r>
    </w:p>
    <w:p>
      <w:pPr>
        <w:pStyle w:val="24"/>
        <w:spacing w:line="400" w:lineRule="exact"/>
        <w:ind w:firstLine="420"/>
        <w:rPr>
          <w:rFonts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pPr>
        <w:pStyle w:val="24"/>
        <w:spacing w:line="400" w:lineRule="exact"/>
        <w:ind w:firstLine="420"/>
        <w:rPr>
          <w:rFonts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pPr>
        <w:pStyle w:val="24"/>
        <w:spacing w:line="360" w:lineRule="exact"/>
        <w:ind w:firstLine="420"/>
        <w:rPr>
          <w:rFonts w:hAnsi="宋体"/>
          <w:color w:val="auto"/>
          <w:highlight w:val="none"/>
        </w:rPr>
      </w:pPr>
      <w:r>
        <w:rPr>
          <w:rFonts w:hint="eastAsia" w:hAnsi="宋体"/>
          <w:color w:val="auto"/>
          <w:highlight w:val="none"/>
        </w:rPr>
        <w:t>供应商（公章，自然人除外）：</w:t>
      </w:r>
      <w:r>
        <w:rPr>
          <w:rFonts w:hint="eastAsia" w:hAnsi="宋体"/>
          <w:color w:val="auto"/>
          <w:highlight w:val="none"/>
          <w:u w:val="single"/>
        </w:rPr>
        <w:t xml:space="preserve">                                              </w:t>
      </w:r>
    </w:p>
    <w:p>
      <w:pPr>
        <w:pStyle w:val="24"/>
        <w:spacing w:line="360" w:lineRule="exact"/>
        <w:ind w:firstLine="420"/>
        <w:rPr>
          <w:rFonts w:hint="eastAsia" w:ascii="宋体" w:hAnsi="宋体" w:eastAsia="宋体"/>
          <w:color w:val="auto"/>
          <w:highlight w:val="none"/>
        </w:rPr>
      </w:pPr>
      <w:r>
        <w:rPr>
          <w:rFonts w:hint="eastAsia" w:ascii="宋体" w:hAnsi="宋体" w:eastAsia="宋体"/>
          <w:color w:val="auto"/>
          <w:highlight w:val="none"/>
        </w:rPr>
        <w:t xml:space="preserve">法定代表人（供应商若为其他组织形式无法定代表人的为机构负责人，供应商若为自然人的为自然人）或相应的委托代理人签字或盖章（属自然人的应在签名处加盖食指指印）：       </w:t>
      </w:r>
    </w:p>
    <w:p>
      <w:pPr>
        <w:pStyle w:val="24"/>
        <w:spacing w:line="360" w:lineRule="exact"/>
        <w:ind w:firstLine="420"/>
        <w:rPr>
          <w:rFonts w:hint="eastAsia" w:ascii="宋体" w:hAnsi="宋体" w:eastAsia="宋体"/>
          <w:color w:val="auto"/>
          <w:highlight w:val="none"/>
        </w:rPr>
      </w:pPr>
      <w:r>
        <w:rPr>
          <w:rFonts w:hint="eastAsia" w:ascii="宋体" w:hAnsi="宋体" w:eastAsia="宋体"/>
          <w:color w:val="auto"/>
          <w:highlight w:val="none"/>
        </w:rPr>
        <w:t xml:space="preserve">响应日期：                               </w:t>
      </w:r>
    </w:p>
    <w:p>
      <w:pPr>
        <w:pStyle w:val="24"/>
        <w:spacing w:line="360" w:lineRule="exact"/>
        <w:ind w:firstLine="420"/>
        <w:rPr>
          <w:rFonts w:hint="eastAsia" w:ascii="宋体" w:hAnsi="宋体" w:eastAsia="宋体"/>
          <w:color w:val="auto"/>
          <w:highlight w:val="none"/>
        </w:rPr>
      </w:pPr>
      <w:r>
        <w:rPr>
          <w:rFonts w:hint="eastAsia" w:ascii="宋体" w:hAnsi="宋体" w:eastAsia="宋体"/>
          <w:color w:val="auto"/>
          <w:highlight w:val="none"/>
        </w:rPr>
        <w:t>注：</w:t>
      </w:r>
    </w:p>
    <w:p>
      <w:pPr>
        <w:pStyle w:val="24"/>
        <w:spacing w:line="360" w:lineRule="exact"/>
        <w:ind w:firstLine="420"/>
        <w:rPr>
          <w:rFonts w:hint="eastAsia" w:ascii="宋体" w:hAnsi="宋体" w:eastAsia="宋体"/>
          <w:color w:val="auto"/>
          <w:highlight w:val="none"/>
        </w:rPr>
      </w:pPr>
      <w:r>
        <w:rPr>
          <w:rFonts w:hint="eastAsia" w:ascii="宋体" w:hAnsi="宋体" w:eastAsia="宋体"/>
          <w:color w:val="auto"/>
          <w:highlight w:val="none"/>
        </w:rPr>
        <w:t>响应函须由法定代表人（供应商若为其他组织形式无法定代表人的为机构负责人，供应商若为自然人的为自然人）或委托代理人签字或盖章（属自然人的应在签名处加盖食指指印）并加盖供应商公章（自然人除外）。</w:t>
      </w:r>
    </w:p>
    <w:p>
      <w:pPr>
        <w:ind w:right="-178" w:rightChars="-85" w:firstLine="210" w:firstLineChars="100"/>
        <w:jc w:val="left"/>
        <w:rPr>
          <w:rFonts w:ascii="宋体" w:hAnsi="宋体"/>
          <w:color w:val="auto"/>
          <w:sz w:val="24"/>
          <w:highlight w:val="none"/>
        </w:rPr>
      </w:pPr>
      <w:r>
        <w:rPr>
          <w:rFonts w:hint="eastAsia" w:ascii="宋体" w:hAnsi="宋体"/>
          <w:color w:val="auto"/>
          <w:szCs w:val="21"/>
          <w:highlight w:val="none"/>
        </w:rPr>
        <w:t xml:space="preserve">  </w:t>
      </w:r>
    </w:p>
    <w:p>
      <w:pP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 xml:space="preserve">附件二             </w:t>
      </w:r>
    </w:p>
    <w:p>
      <w:pPr>
        <w:jc w:val="center"/>
        <w:rPr>
          <w:rFonts w:ascii="宋体" w:hAnsi="宋体"/>
          <w:color w:val="auto"/>
          <w:sz w:val="24"/>
          <w:highlight w:val="none"/>
        </w:rPr>
      </w:pPr>
      <w:r>
        <w:rPr>
          <w:rFonts w:hint="eastAsia" w:ascii="宋体" w:hAnsi="宋体"/>
          <w:b/>
          <w:color w:val="auto"/>
          <w:sz w:val="32"/>
          <w:szCs w:val="32"/>
          <w:highlight w:val="none"/>
        </w:rPr>
        <w:t>报价明细表</w:t>
      </w:r>
    </w:p>
    <w:p>
      <w:pPr>
        <w:rPr>
          <w:rFonts w:ascii="宋体" w:hAnsi="宋体"/>
          <w:color w:val="auto"/>
          <w:sz w:val="24"/>
          <w:highlight w:val="none"/>
          <w:u w:val="single"/>
        </w:rPr>
      </w:pPr>
      <w:r>
        <w:rPr>
          <w:rFonts w:hint="eastAsia" w:ascii="宋体" w:hAnsi="宋体"/>
          <w:color w:val="auto"/>
          <w:sz w:val="24"/>
          <w:highlight w:val="none"/>
        </w:rPr>
        <w:t>采购项目编号:</w:t>
      </w:r>
    </w:p>
    <w:p>
      <w:pPr>
        <w:rPr>
          <w:rFonts w:ascii="宋体" w:hAnsi="宋体"/>
          <w:color w:val="auto"/>
          <w:sz w:val="24"/>
          <w:highlight w:val="none"/>
          <w:u w:val="singl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pPr>
        <w:pStyle w:val="24"/>
        <w:snapToGrid w:val="0"/>
        <w:jc w:val="center"/>
        <w:rPr>
          <w:rFonts w:hAnsi="宋体"/>
          <w:b/>
          <w:color w:val="auto"/>
          <w:sz w:val="32"/>
          <w:szCs w:val="32"/>
          <w:highlight w:val="none"/>
        </w:rPr>
      </w:pPr>
      <w:r>
        <w:rPr>
          <w:rFonts w:hint="eastAsia" w:hAnsi="宋体"/>
          <w:color w:val="auto"/>
          <w:sz w:val="24"/>
          <w:highlight w:val="none"/>
        </w:rPr>
        <w:t xml:space="preserve"> </w:t>
      </w:r>
    </w:p>
    <w:tbl>
      <w:tblPr>
        <w:tblStyle w:val="43"/>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none"/>
              </w:rPr>
            </w:pPr>
            <w:r>
              <w:rPr>
                <w:rFonts w:eastAsia="仿宋_GB2312"/>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供应商</w:t>
            </w:r>
            <w:r>
              <w:rPr>
                <w:rFonts w:eastAsia="仿宋_GB2312"/>
                <w:color w:val="auto"/>
                <w:highlight w:val="none"/>
              </w:rPr>
              <w:t>（盖单位公章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供应商属自然人的应由自然人签字并加盖指印，供应商若为其他组织形式无法定代表人的应由机构负责人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否则按竞标无效处理</w:t>
      </w:r>
      <w:r>
        <w:rPr>
          <w:rFonts w:hint="eastAsia" w:ascii="仿宋_GB2312" w:eastAsia="仿宋_GB2312"/>
          <w:color w:val="auto"/>
          <w:sz w:val="24"/>
          <w:highlight w:val="none"/>
        </w:rPr>
        <w:t>。</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jc w:val="left"/>
        <w:rPr>
          <w:rFonts w:ascii="宋体" w:hAnsi="宋体"/>
          <w:color w:val="auto"/>
          <w:sz w:val="24"/>
          <w:highlight w:val="none"/>
        </w:rPr>
      </w:pPr>
      <w:r>
        <w:rPr>
          <w:rFonts w:ascii="宋体" w:hAnsi="宋体"/>
          <w:color w:val="auto"/>
          <w:sz w:val="24"/>
          <w:highlight w:val="none"/>
        </w:rPr>
        <w:br w:type="page"/>
      </w:r>
    </w:p>
    <w:p>
      <w:pPr>
        <w:rPr>
          <w:rFonts w:ascii="宋体" w:hAnsi="宋体"/>
          <w:color w:val="auto"/>
          <w:sz w:val="24"/>
          <w:highlight w:val="none"/>
        </w:rPr>
      </w:pPr>
    </w:p>
    <w:p>
      <w:pPr>
        <w:adjustRightInd w:val="0"/>
        <w:snapToGrid w:val="0"/>
        <w:rPr>
          <w:rFonts w:hAnsi="宋体"/>
          <w:color w:val="auto"/>
          <w:sz w:val="24"/>
          <w:highlight w:val="none"/>
        </w:rPr>
      </w:pPr>
      <w:r>
        <w:rPr>
          <w:rFonts w:hint="eastAsia" w:hAnsi="宋体"/>
          <w:color w:val="auto"/>
          <w:sz w:val="24"/>
          <w:highlight w:val="none"/>
        </w:rPr>
        <w:t>附件三</w:t>
      </w:r>
    </w:p>
    <w:p>
      <w:pPr>
        <w:jc w:val="center"/>
        <w:rPr>
          <w:rFonts w:hAnsi="宋体"/>
          <w:b/>
          <w:color w:val="auto"/>
          <w:sz w:val="32"/>
          <w:highlight w:val="none"/>
        </w:rPr>
      </w:pPr>
      <w:r>
        <w:rPr>
          <w:rFonts w:hint="eastAsia" w:hAnsi="宋体"/>
          <w:b/>
          <w:color w:val="auto"/>
          <w:sz w:val="32"/>
          <w:highlight w:val="none"/>
        </w:rPr>
        <w:t>法定代表人身份证明书</w:t>
      </w:r>
    </w:p>
    <w:p>
      <w:pPr>
        <w:ind w:firstLine="840" w:firstLineChars="400"/>
        <w:rPr>
          <w:color w:val="auto"/>
          <w:highlight w:val="none"/>
          <w:u w:val="single"/>
        </w:rPr>
      </w:pPr>
    </w:p>
    <w:p>
      <w:pPr>
        <w:ind w:firstLine="840" w:firstLineChars="400"/>
        <w:rPr>
          <w:color w:val="auto"/>
          <w:highlight w:val="none"/>
        </w:rPr>
      </w:pPr>
      <w:r>
        <w:rPr>
          <w:rFonts w:hint="eastAsia"/>
          <w:color w:val="auto"/>
          <w:highlight w:val="none"/>
          <w:u w:val="single"/>
        </w:rPr>
        <w:t xml:space="preserve">   （法定代表人名字）       </w:t>
      </w:r>
      <w:r>
        <w:rPr>
          <w:rFonts w:hint="eastAsia"/>
          <w:color w:val="auto"/>
          <w:highlight w:val="none"/>
        </w:rPr>
        <w:t xml:space="preserve"> 在</w:t>
      </w:r>
      <w:r>
        <w:rPr>
          <w:rFonts w:hint="eastAsia"/>
          <w:color w:val="auto"/>
          <w:highlight w:val="none"/>
          <w:u w:val="single"/>
        </w:rPr>
        <w:t xml:space="preserve">（ 单位名称）     </w:t>
      </w:r>
      <w:r>
        <w:rPr>
          <w:rFonts w:hint="eastAsia"/>
          <w:color w:val="auto"/>
          <w:highlight w:val="none"/>
        </w:rPr>
        <w:t>任</w:t>
      </w:r>
      <w:r>
        <w:rPr>
          <w:rFonts w:hint="eastAsia"/>
          <w:color w:val="auto"/>
          <w:highlight w:val="none"/>
          <w:u w:val="single"/>
        </w:rPr>
        <w:t xml:space="preserve">          </w:t>
      </w:r>
      <w:r>
        <w:rPr>
          <w:rFonts w:hint="eastAsia"/>
          <w:color w:val="auto"/>
          <w:highlight w:val="none"/>
        </w:rPr>
        <w:t>职务，是</w:t>
      </w:r>
      <w:r>
        <w:rPr>
          <w:rFonts w:hint="eastAsia"/>
          <w:color w:val="auto"/>
          <w:highlight w:val="none"/>
          <w:u w:val="single"/>
        </w:rPr>
        <w:t xml:space="preserve">（ 单位名称）    </w:t>
      </w:r>
      <w:r>
        <w:rPr>
          <w:rFonts w:hint="eastAsia"/>
          <w:color w:val="auto"/>
          <w:highlight w:val="none"/>
        </w:rPr>
        <w:t>的法定代表人。</w:t>
      </w:r>
    </w:p>
    <w:p>
      <w:pPr>
        <w:ind w:firstLine="735" w:firstLineChars="350"/>
        <w:rPr>
          <w:color w:val="auto"/>
          <w:highlight w:val="none"/>
        </w:rPr>
      </w:pPr>
      <w:r>
        <w:rPr>
          <w:rFonts w:hint="eastAsia"/>
          <w:color w:val="auto"/>
          <w:highlight w:val="none"/>
        </w:rPr>
        <w:t>特此证明。</w:t>
      </w:r>
    </w:p>
    <w:p>
      <w:pPr>
        <w:rPr>
          <w:color w:val="auto"/>
          <w:highlight w:val="none"/>
        </w:rPr>
      </w:pPr>
    </w:p>
    <w:p>
      <w:pPr>
        <w:rPr>
          <w:color w:val="auto"/>
          <w:highlight w:val="none"/>
        </w:rPr>
      </w:pPr>
    </w:p>
    <w:p>
      <w:pPr>
        <w:rPr>
          <w:color w:val="auto"/>
          <w:highlight w:val="none"/>
          <w:u w:val="single"/>
        </w:rPr>
      </w:pPr>
      <w:r>
        <w:rPr>
          <w:rFonts w:hint="eastAsia"/>
          <w:color w:val="auto"/>
          <w:highlight w:val="none"/>
        </w:rPr>
        <w:t xml:space="preserve">                                     单位名称：</w:t>
      </w:r>
      <w:r>
        <w:rPr>
          <w:rFonts w:hint="eastAsia"/>
          <w:color w:val="auto"/>
          <w:highlight w:val="none"/>
          <w:u w:val="single"/>
        </w:rPr>
        <w:t xml:space="preserve">                              </w:t>
      </w:r>
    </w:p>
    <w:p>
      <w:pPr>
        <w:rPr>
          <w:color w:val="auto"/>
          <w:highlight w:val="none"/>
        </w:rPr>
      </w:pPr>
      <w:r>
        <w:rPr>
          <w:rFonts w:hint="eastAsia"/>
          <w:color w:val="auto"/>
          <w:highlight w:val="none"/>
        </w:rPr>
        <w:t xml:space="preserve">                                                        （单位公章）</w:t>
      </w:r>
    </w:p>
    <w:p>
      <w:pPr>
        <w:rPr>
          <w:color w:val="auto"/>
          <w:highlight w:val="none"/>
        </w:rPr>
      </w:pPr>
      <w:r>
        <w:rPr>
          <w:rFonts w:hint="eastAsia"/>
          <w:color w:val="auto"/>
          <w:highlight w:val="none"/>
        </w:rPr>
        <w:t xml:space="preserve">                                                        年     月    日</w:t>
      </w:r>
    </w:p>
    <w:p>
      <w:pPr>
        <w:rPr>
          <w:color w:val="auto"/>
          <w:highlight w:val="none"/>
        </w:rPr>
      </w:pPr>
    </w:p>
    <w:p>
      <w:pPr>
        <w:ind w:firstLine="315" w:firstLineChars="150"/>
        <w:rPr>
          <w:color w:val="auto"/>
          <w:highlight w:val="none"/>
        </w:rPr>
      </w:pPr>
      <w:r>
        <w:rPr>
          <w:rFonts w:hint="eastAsia"/>
          <w:color w:val="auto"/>
          <w:highlight w:val="none"/>
        </w:rPr>
        <w:t>法定代表人身份证号码：</w:t>
      </w:r>
    </w:p>
    <w:p>
      <w:pPr>
        <w:ind w:firstLine="315" w:firstLineChars="150"/>
        <w:rPr>
          <w:color w:val="auto"/>
          <w:highlight w:val="none"/>
        </w:rPr>
      </w:pPr>
      <w:r>
        <w:rPr>
          <w:rFonts w:hint="eastAsia"/>
          <w:color w:val="auto"/>
          <w:highlight w:val="none"/>
        </w:rPr>
        <w:t>住    址：</w:t>
      </w:r>
    </w:p>
    <w:p>
      <w:pPr>
        <w:pStyle w:val="24"/>
        <w:jc w:val="center"/>
        <w:rPr>
          <w:color w:val="auto"/>
          <w:highlight w:val="none"/>
        </w:rPr>
      </w:pPr>
    </w:p>
    <w:p>
      <w:pPr>
        <w:pStyle w:val="24"/>
        <w:jc w:val="center"/>
        <w:rPr>
          <w:color w:val="auto"/>
          <w:highlight w:val="none"/>
        </w:rPr>
      </w:pPr>
    </w:p>
    <w:p>
      <w:pPr>
        <w:pStyle w:val="24"/>
        <w:jc w:val="center"/>
        <w:rPr>
          <w:color w:val="auto"/>
          <w:highlight w:val="none"/>
        </w:rPr>
      </w:pPr>
    </w:p>
    <w:p>
      <w:pPr>
        <w:adjustRightInd w:val="0"/>
        <w:snapToGrid w:val="0"/>
        <w:rPr>
          <w:rFonts w:ascii="宋体" w:hAnsi="宋体"/>
          <w:color w:val="auto"/>
          <w:sz w:val="24"/>
          <w:highlight w:val="none"/>
          <w:u w:val="single"/>
        </w:rPr>
      </w:pP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color w:val="auto"/>
                <w:sz w:val="24"/>
                <w:highlight w:val="none"/>
              </w:rPr>
            </w:pPr>
            <w:r>
              <w:rPr>
                <w:rFonts w:hint="eastAsia" w:ascii="宋体" w:hAnsi="宋体"/>
                <w:color w:val="auto"/>
                <w:sz w:val="24"/>
                <w:highlight w:val="none"/>
              </w:rPr>
              <w:t>粘贴法定代表人身份证（正、反面复印件）</w:t>
            </w:r>
          </w:p>
        </w:tc>
      </w:tr>
    </w:tbl>
    <w:p>
      <w:pPr>
        <w:autoSpaceDE w:val="0"/>
        <w:autoSpaceDN w:val="0"/>
        <w:ind w:hanging="480"/>
        <w:rPr>
          <w:rFonts w:ascii="宋体" w:hAnsi="宋体"/>
          <w:color w:val="auto"/>
          <w:sz w:val="24"/>
          <w:highlight w:val="none"/>
        </w:rPr>
      </w:pPr>
    </w:p>
    <w:p>
      <w:pPr>
        <w:autoSpaceDE w:val="0"/>
        <w:autoSpaceDN w:val="0"/>
        <w:ind w:hanging="480"/>
        <w:rPr>
          <w:rFonts w:ascii="宋体" w:hAnsi="宋体"/>
          <w:color w:val="auto"/>
          <w:sz w:val="24"/>
          <w:highlight w:val="none"/>
        </w:rPr>
      </w:pPr>
    </w:p>
    <w:p>
      <w:pPr>
        <w:pStyle w:val="24"/>
        <w:rPr>
          <w:color w:val="auto"/>
          <w:highlight w:val="none"/>
        </w:rPr>
      </w:pPr>
      <w:r>
        <w:rPr>
          <w:color w:val="auto"/>
          <w:highlight w:val="none"/>
        </w:rPr>
        <w:br w:type="page"/>
      </w:r>
      <w:r>
        <w:rPr>
          <w:rFonts w:hint="eastAsia"/>
          <w:color w:val="auto"/>
          <w:highlight w:val="none"/>
        </w:rPr>
        <w:t>附件四</w:t>
      </w:r>
    </w:p>
    <w:p>
      <w:pPr>
        <w:pStyle w:val="24"/>
        <w:ind w:firstLine="630" w:firstLineChars="196"/>
        <w:jc w:val="center"/>
        <w:rPr>
          <w:rFonts w:hAnsi="宋体"/>
          <w:b/>
          <w:color w:val="auto"/>
          <w:sz w:val="32"/>
          <w:highlight w:val="none"/>
        </w:rPr>
      </w:pPr>
      <w:r>
        <w:rPr>
          <w:rFonts w:hint="eastAsia" w:hAnsi="宋体"/>
          <w:b/>
          <w:color w:val="auto"/>
          <w:sz w:val="32"/>
          <w:highlight w:val="none"/>
        </w:rPr>
        <w:t>授权委托书（格式一）</w:t>
      </w:r>
    </w:p>
    <w:p>
      <w:pPr>
        <w:spacing w:line="400" w:lineRule="exact"/>
        <w:rPr>
          <w:rFonts w:ascii="宋体" w:hAnsi="宋体"/>
          <w:color w:val="auto"/>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(采购单位名称)</w:t>
      </w:r>
    </w:p>
    <w:p>
      <w:pPr>
        <w:pStyle w:val="24"/>
        <w:spacing w:line="40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w:t>
      </w:r>
      <w:r>
        <w:rPr>
          <w:rFonts w:hint="eastAsia" w:hAnsi="宋体"/>
          <w:color w:val="auto"/>
          <w:kern w:val="0"/>
          <w:highlight w:val="none"/>
          <w:u w:val="single"/>
        </w:rPr>
        <w:t xml:space="preserve">                              </w:t>
      </w:r>
      <w:r>
        <w:rPr>
          <w:rFonts w:hint="eastAsia" w:hAnsi="宋体"/>
          <w:color w:val="auto"/>
          <w:kern w:val="0"/>
          <w:highlight w:val="none"/>
        </w:rPr>
        <w:t>（供应商名称）的法定代表人</w:t>
      </w:r>
      <w:r>
        <w:rPr>
          <w:rFonts w:hint="eastAsia" w:hAnsi="宋体"/>
          <w:color w:val="auto"/>
          <w:sz w:val="24"/>
          <w:highlight w:val="none"/>
        </w:rPr>
        <w:t>（</w:t>
      </w:r>
      <w:r>
        <w:rPr>
          <w:rFonts w:hint="eastAsia" w:asciiTheme="minorEastAsia" w:hAnsiTheme="minorEastAsia" w:eastAsiaTheme="minorEastAsia"/>
          <w:color w:val="auto"/>
          <w:sz w:val="24"/>
          <w:highlight w:val="none"/>
        </w:rPr>
        <w:t>供应商若为其他组织形式无法定代表人的应为机构负责人</w:t>
      </w:r>
      <w:r>
        <w:rPr>
          <w:rFonts w:hint="eastAsia" w:hAnsi="宋体"/>
          <w:color w:val="auto"/>
          <w:sz w:val="24"/>
          <w:highlight w:val="none"/>
        </w:rPr>
        <w:t>）</w:t>
      </w:r>
      <w:r>
        <w:rPr>
          <w:rFonts w:hint="eastAsia" w:hAnsi="宋体"/>
          <w:color w:val="auto"/>
          <w:kern w:val="0"/>
          <w:highlight w:val="none"/>
        </w:rPr>
        <w:t>，现授权委托本单位在职职工</w:t>
      </w:r>
      <w:r>
        <w:rPr>
          <w:rFonts w:hint="eastAsia" w:hAnsi="宋体"/>
          <w:color w:val="auto"/>
          <w:kern w:val="0"/>
          <w:highlight w:val="none"/>
          <w:u w:val="single"/>
        </w:rPr>
        <w:t xml:space="preserve">            </w:t>
      </w:r>
      <w:r>
        <w:rPr>
          <w:rFonts w:hint="eastAsia" w:hAnsi="宋体"/>
          <w:color w:val="auto"/>
          <w:kern w:val="0"/>
          <w:highlight w:val="none"/>
        </w:rPr>
        <w:t>（姓 名）以我公司名义参加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项目的谈判活动，并代表我方全权办理针对上述项目的谈判、签约等具体事务和签署相关文件。</w:t>
      </w:r>
    </w:p>
    <w:p>
      <w:pPr>
        <w:pStyle w:val="24"/>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pPr>
        <w:snapToGrid w:val="0"/>
        <w:spacing w:line="40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40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400" w:lineRule="exact"/>
        <w:rPr>
          <w:rFonts w:ascii="宋体" w:hAnsi="宋体"/>
          <w:color w:val="auto"/>
          <w:szCs w:val="21"/>
          <w:highlight w:val="none"/>
        </w:rPr>
      </w:pP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所在部门：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line="400" w:lineRule="exact"/>
        <w:ind w:firstLine="6300" w:firstLineChars="3000"/>
        <w:outlineLvl w:val="4"/>
        <w:rPr>
          <w:rFonts w:ascii="宋体" w:hAnsi="宋体"/>
          <w:color w:val="auto"/>
          <w:szCs w:val="21"/>
          <w:highlight w:val="none"/>
          <w:u w:val="single"/>
        </w:rPr>
      </w:pPr>
      <w:r>
        <w:rPr>
          <w:rFonts w:hint="eastAsia" w:ascii="宋体" w:hAnsi="宋体"/>
          <w:color w:val="auto"/>
          <w:szCs w:val="21"/>
          <w:highlight w:val="none"/>
        </w:rPr>
        <w:t>供应商（公章）：</w:t>
      </w:r>
      <w:r>
        <w:rPr>
          <w:rFonts w:hint="eastAsia" w:ascii="宋体" w:hAnsi="宋体"/>
          <w:b/>
          <w:color w:val="auto"/>
          <w:szCs w:val="21"/>
          <w:highlight w:val="none"/>
          <w:u w:val="single"/>
        </w:rPr>
        <w:t xml:space="preserve">                                      </w:t>
      </w:r>
    </w:p>
    <w:p>
      <w:pPr>
        <w:snapToGrid w:val="0"/>
        <w:spacing w:line="400" w:lineRule="exact"/>
        <w:ind w:firstLine="4830" w:firstLineChars="2300"/>
        <w:outlineLvl w:val="4"/>
        <w:rPr>
          <w:rFonts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color w:val="auto"/>
          <w:sz w:val="24"/>
          <w:highlight w:val="none"/>
        </w:rPr>
        <w:t>若为其他组织形式无法定代表人的应为机构负责人</w:t>
      </w:r>
      <w:r>
        <w:rPr>
          <w:rFonts w:hint="eastAsia" w:ascii="宋体" w:hAnsi="宋体"/>
          <w:color w:val="auto"/>
          <w:szCs w:val="21"/>
          <w:highlight w:val="none"/>
        </w:rPr>
        <w:t>）签字或盖章：</w:t>
      </w:r>
      <w:r>
        <w:rPr>
          <w:rFonts w:hint="eastAsia" w:ascii="宋体" w:hAnsi="宋体"/>
          <w:color w:val="auto"/>
          <w:szCs w:val="21"/>
          <w:highlight w:val="none"/>
          <w:u w:val="single"/>
        </w:rPr>
        <w:t xml:space="preserve">    </w:t>
      </w:r>
    </w:p>
    <w:p>
      <w:pPr>
        <w:snapToGrid w:val="0"/>
        <w:spacing w:line="400" w:lineRule="exact"/>
        <w:ind w:firstLine="5460" w:firstLineChars="2600"/>
        <w:outlineLvl w:val="4"/>
        <w:rPr>
          <w:rFonts w:ascii="宋体" w:hAnsi="宋体"/>
          <w:b/>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400" w:lineRule="exact"/>
        <w:outlineLvl w:val="4"/>
        <w:rPr>
          <w:rFonts w:hAnsi="宋体"/>
          <w:b/>
          <w:color w:val="auto"/>
          <w:sz w:val="32"/>
          <w:highlight w:val="none"/>
        </w:rPr>
      </w:pPr>
      <w:r>
        <w:rPr>
          <w:rFonts w:hint="eastAsia" w:ascii="宋体" w:hAnsi="宋体"/>
          <w:b/>
          <w:color w:val="auto"/>
          <w:szCs w:val="21"/>
          <w:highlight w:val="none"/>
        </w:rPr>
        <w:t>附：委托代理人有效的身份证正反两面复印件；如为联合体投标，此授权书必须为主体方（牵头方）授权。</w:t>
      </w: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rPr>
                <w:rFonts w:ascii="宋体" w:hAnsi="宋体"/>
                <w:color w:val="auto"/>
                <w:sz w:val="24"/>
                <w:highlight w:val="none"/>
              </w:rPr>
            </w:pPr>
            <w:r>
              <w:rPr>
                <w:rFonts w:hint="eastAsia" w:ascii="宋体" w:hAnsi="宋体"/>
                <w:color w:val="auto"/>
                <w:sz w:val="24"/>
                <w:highlight w:val="none"/>
              </w:rPr>
              <w:t>粘贴被授权人身份证（正、反面复印件）</w:t>
            </w:r>
          </w:p>
        </w:tc>
      </w:tr>
    </w:tbl>
    <w:p>
      <w:pPr>
        <w:autoSpaceDE w:val="0"/>
        <w:autoSpaceDN w:val="0"/>
        <w:ind w:hanging="480"/>
        <w:rPr>
          <w:rFonts w:ascii="宋体" w:hAnsi="宋体"/>
          <w:color w:val="auto"/>
          <w:sz w:val="24"/>
          <w:highlight w:val="none"/>
        </w:rPr>
      </w:pPr>
    </w:p>
    <w:p>
      <w:pPr>
        <w:pStyle w:val="24"/>
        <w:rPr>
          <w:rFonts w:hAnsi="宋体"/>
          <w:color w:val="auto"/>
          <w:sz w:val="24"/>
          <w:szCs w:val="24"/>
          <w:highlight w:val="none"/>
        </w:rPr>
      </w:pPr>
      <w:r>
        <w:rPr>
          <w:rFonts w:hAnsi="宋体"/>
          <w:color w:val="auto"/>
          <w:sz w:val="24"/>
          <w:szCs w:val="24"/>
          <w:highlight w:val="none"/>
        </w:rPr>
        <w:br w:type="page"/>
      </w:r>
    </w:p>
    <w:p>
      <w:pPr>
        <w:snapToGrid w:val="0"/>
        <w:spacing w:line="400" w:lineRule="exact"/>
        <w:ind w:firstLine="420"/>
        <w:jc w:val="center"/>
        <w:outlineLvl w:val="4"/>
        <w:rPr>
          <w:rFonts w:hAnsi="宋体"/>
          <w:b/>
          <w:color w:val="auto"/>
          <w:sz w:val="32"/>
          <w:highlight w:val="none"/>
        </w:rPr>
      </w:pPr>
      <w:r>
        <w:rPr>
          <w:rFonts w:hint="eastAsia" w:hAnsi="宋体"/>
          <w:b/>
          <w:color w:val="auto"/>
          <w:sz w:val="32"/>
          <w:highlight w:val="none"/>
        </w:rPr>
        <w:t>授权委托书（格式二）</w:t>
      </w:r>
    </w:p>
    <w:p>
      <w:pPr>
        <w:snapToGrid w:val="0"/>
        <w:spacing w:line="400" w:lineRule="exact"/>
        <w:outlineLvl w:val="4"/>
        <w:rPr>
          <w:rFonts w:ascii="宋体" w:hAnsi="宋体"/>
          <w:color w:val="auto"/>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szCs w:val="21"/>
          <w:highlight w:val="none"/>
          <w:u w:val="single"/>
        </w:rPr>
        <w:t>(采购单位名称)</w:t>
      </w:r>
    </w:p>
    <w:p>
      <w:pPr>
        <w:snapToGrid w:val="0"/>
        <w:spacing w:line="400" w:lineRule="exact"/>
        <w:outlineLvl w:val="9"/>
        <w:rPr>
          <w:rFonts w:ascii="宋体" w:hAnsi="宋体"/>
          <w:color w:val="auto"/>
          <w:szCs w:val="21"/>
          <w:highlight w:val="none"/>
          <w:u w:val="single"/>
        </w:rPr>
      </w:pPr>
    </w:p>
    <w:p>
      <w:pPr>
        <w:pStyle w:val="24"/>
        <w:spacing w:line="34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（姓名）系自然人，现授权委托</w:t>
      </w:r>
      <w:r>
        <w:rPr>
          <w:rFonts w:hint="eastAsia" w:hAnsi="宋体"/>
          <w:color w:val="auto"/>
          <w:kern w:val="0"/>
          <w:highlight w:val="none"/>
          <w:u w:val="single"/>
        </w:rPr>
        <w:t xml:space="preserve">            </w:t>
      </w:r>
      <w:r>
        <w:rPr>
          <w:rFonts w:hint="eastAsia" w:hAnsi="宋体"/>
          <w:color w:val="auto"/>
          <w:kern w:val="0"/>
          <w:highlight w:val="none"/>
        </w:rPr>
        <w:t>（姓 名）以本人名义参加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项目的谈判活动，并代表本人全权办理针对上述项目的谈判、签约等具体事务和签署相关文件。</w:t>
      </w:r>
    </w:p>
    <w:p>
      <w:pPr>
        <w:pStyle w:val="24"/>
        <w:spacing w:line="340" w:lineRule="exact"/>
        <w:ind w:firstLine="420" w:firstLineChars="200"/>
        <w:rPr>
          <w:rFonts w:hAnsi="宋体"/>
          <w:color w:val="auto"/>
          <w:highlight w:val="none"/>
        </w:rPr>
      </w:pPr>
      <w:r>
        <w:rPr>
          <w:rFonts w:hint="eastAsia" w:hAnsi="宋体"/>
          <w:color w:val="auto"/>
          <w:highlight w:val="none"/>
        </w:rPr>
        <w:t>本人对被授权人的签字事项负全部责任。</w:t>
      </w:r>
    </w:p>
    <w:p>
      <w:pPr>
        <w:snapToGrid w:val="0"/>
        <w:spacing w:line="40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line="40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line="400" w:lineRule="exact"/>
        <w:rPr>
          <w:rFonts w:ascii="宋体" w:hAnsi="宋体"/>
          <w:color w:val="auto"/>
          <w:szCs w:val="21"/>
          <w:highlight w:val="none"/>
        </w:rPr>
      </w:pP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被授权人签名：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所在部门：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自然人签字并在签名处加盖食指指印：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rPr>
          <w:rFonts w:ascii="宋体" w:hAnsi="宋体"/>
          <w:color w:val="auto"/>
          <w:sz w:val="24"/>
          <w:highlight w:val="none"/>
          <w:u w:val="single"/>
        </w:rPr>
      </w:pP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color w:val="auto"/>
                <w:sz w:val="24"/>
                <w:highlight w:val="none"/>
              </w:rPr>
            </w:pPr>
            <w:r>
              <w:rPr>
                <w:rFonts w:hint="eastAsia" w:ascii="宋体" w:hAnsi="宋体"/>
                <w:color w:val="auto"/>
                <w:sz w:val="24"/>
                <w:highlight w:val="none"/>
              </w:rPr>
              <w:t>粘贴被授权人身份证（正、反面复印件）</w:t>
            </w:r>
          </w:p>
        </w:tc>
      </w:tr>
    </w:tbl>
    <w:p>
      <w:pPr>
        <w:autoSpaceDE w:val="0"/>
        <w:autoSpaceDN w:val="0"/>
        <w:ind w:hanging="480"/>
        <w:rPr>
          <w:rFonts w:ascii="宋体" w:hAnsi="宋体"/>
          <w:color w:val="auto"/>
          <w:sz w:val="24"/>
          <w:highlight w:val="none"/>
        </w:rPr>
      </w:pPr>
    </w:p>
    <w:p>
      <w:pPr>
        <w:pStyle w:val="24"/>
        <w:rPr>
          <w:rFonts w:hAnsi="宋体"/>
          <w:color w:val="auto"/>
          <w:sz w:val="24"/>
          <w:szCs w:val="24"/>
          <w:highlight w:val="none"/>
        </w:rPr>
      </w:pPr>
      <w:r>
        <w:rPr>
          <w:rFonts w:hAnsi="宋体"/>
          <w:color w:val="auto"/>
          <w:sz w:val="24"/>
          <w:szCs w:val="24"/>
          <w:highlight w:val="none"/>
        </w:rPr>
        <w:br w:type="page"/>
      </w:r>
    </w:p>
    <w:p>
      <w:pPr>
        <w:pStyle w:val="24"/>
        <w:spacing w:line="400" w:lineRule="exact"/>
        <w:rPr>
          <w:color w:val="auto"/>
          <w:highlight w:val="none"/>
        </w:rPr>
      </w:pPr>
      <w:r>
        <w:rPr>
          <w:rFonts w:hint="eastAsia"/>
          <w:color w:val="auto"/>
          <w:highlight w:val="none"/>
        </w:rPr>
        <w:t>附件五：</w:t>
      </w:r>
    </w:p>
    <w:p>
      <w:pPr>
        <w:pStyle w:val="24"/>
        <w:spacing w:line="400" w:lineRule="exact"/>
        <w:ind w:firstLine="2088" w:firstLineChars="650"/>
        <w:rPr>
          <w:rFonts w:hAnsi="宋体"/>
          <w:b/>
          <w:color w:val="auto"/>
          <w:sz w:val="32"/>
          <w:szCs w:val="32"/>
          <w:highlight w:val="none"/>
        </w:rPr>
      </w:pPr>
      <w:r>
        <w:rPr>
          <w:rFonts w:hint="eastAsia" w:hAnsi="宋体"/>
          <w:b/>
          <w:color w:val="auto"/>
          <w:sz w:val="32"/>
          <w:szCs w:val="32"/>
          <w:highlight w:val="none"/>
        </w:rPr>
        <w:t>供应商参加政府采购活动前3年内</w:t>
      </w:r>
    </w:p>
    <w:p>
      <w:pPr>
        <w:pStyle w:val="24"/>
        <w:spacing w:line="400" w:lineRule="exact"/>
        <w:ind w:firstLine="1446" w:firstLineChars="450"/>
        <w:rPr>
          <w:rFonts w:hAnsi="宋体"/>
          <w:b/>
          <w:color w:val="auto"/>
          <w:sz w:val="32"/>
          <w:szCs w:val="32"/>
          <w:highlight w:val="none"/>
        </w:rPr>
      </w:pPr>
      <w:r>
        <w:rPr>
          <w:rFonts w:hint="eastAsia" w:hAnsi="宋体"/>
          <w:b/>
          <w:color w:val="auto"/>
          <w:sz w:val="32"/>
          <w:szCs w:val="32"/>
          <w:highlight w:val="none"/>
        </w:rPr>
        <w:t>在经营活动中没有重大违法记录的书面声明</w:t>
      </w:r>
    </w:p>
    <w:p>
      <w:pPr>
        <w:pStyle w:val="24"/>
        <w:spacing w:line="400" w:lineRule="exact"/>
        <w:ind w:left="420" w:leftChars="200" w:firstLine="157" w:firstLineChars="49"/>
        <w:rPr>
          <w:rFonts w:hAnsi="宋体"/>
          <w:b/>
          <w:color w:val="auto"/>
          <w:sz w:val="32"/>
          <w:szCs w:val="32"/>
          <w:highlight w:val="none"/>
        </w:rPr>
      </w:pPr>
      <w:r>
        <w:rPr>
          <w:rFonts w:hint="eastAsia" w:hAnsi="宋体"/>
          <w:b/>
          <w:color w:val="auto"/>
          <w:sz w:val="32"/>
          <w:szCs w:val="32"/>
          <w:highlight w:val="none"/>
        </w:rPr>
        <w:t xml:space="preserve">                       </w:t>
      </w:r>
    </w:p>
    <w:p>
      <w:pPr>
        <w:snapToGrid w:val="0"/>
        <w:spacing w:line="400" w:lineRule="exact"/>
        <w:outlineLvl w:val="4"/>
        <w:rPr>
          <w:rFonts w:ascii="宋体" w:hAnsi="宋体"/>
          <w:color w:val="auto"/>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szCs w:val="21"/>
          <w:highlight w:val="none"/>
          <w:u w:val="single"/>
        </w:rPr>
        <w:t>(采购单位名称)</w:t>
      </w:r>
    </w:p>
    <w:p>
      <w:pPr>
        <w:snapToGrid w:val="0"/>
        <w:spacing w:line="400" w:lineRule="exact"/>
        <w:outlineLvl w:val="9"/>
        <w:rPr>
          <w:rFonts w:ascii="宋体" w:hAnsi="宋体"/>
          <w:color w:val="auto"/>
          <w:szCs w:val="21"/>
          <w:highlight w:val="none"/>
          <w:u w:val="single"/>
        </w:rPr>
      </w:pPr>
    </w:p>
    <w:p>
      <w:pPr>
        <w:pStyle w:val="24"/>
        <w:spacing w:line="400" w:lineRule="exact"/>
        <w:ind w:firstLine="420" w:firstLineChars="200"/>
        <w:rPr>
          <w:color w:val="auto"/>
          <w:highlight w:val="none"/>
        </w:rPr>
      </w:pPr>
      <w:r>
        <w:rPr>
          <w:rFonts w:hint="eastAsia"/>
          <w:color w:val="auto"/>
          <w:highlight w:val="none"/>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9"/>
        <w:rPr>
          <w:rFonts w:ascii="宋体" w:hAnsi="宋体"/>
          <w:color w:val="auto"/>
          <w:szCs w:val="21"/>
          <w:highlight w:val="none"/>
        </w:rPr>
      </w:pPr>
    </w:p>
    <w:p>
      <w:pPr>
        <w:snapToGrid w:val="0"/>
        <w:spacing w:line="400" w:lineRule="exact"/>
        <w:ind w:firstLine="420"/>
        <w:outlineLvl w:val="9"/>
        <w:rPr>
          <w:rFonts w:ascii="宋体" w:hAnsi="宋体"/>
          <w:color w:val="auto"/>
          <w:szCs w:val="21"/>
          <w:highlight w:val="none"/>
        </w:rPr>
      </w:pPr>
    </w:p>
    <w:p>
      <w:pPr>
        <w:snapToGrid w:val="0"/>
        <w:spacing w:line="400" w:lineRule="exact"/>
        <w:ind w:firstLine="4935" w:firstLineChars="2350"/>
        <w:outlineLvl w:val="4"/>
        <w:rPr>
          <w:rFonts w:ascii="宋体" w:hAnsi="宋体"/>
          <w:color w:val="auto"/>
          <w:szCs w:val="21"/>
          <w:highlight w:val="none"/>
          <w:u w:val="single"/>
        </w:rPr>
      </w:pPr>
      <w:r>
        <w:rPr>
          <w:rFonts w:hint="eastAsia" w:ascii="宋体" w:hAnsi="宋体"/>
          <w:color w:val="auto"/>
          <w:szCs w:val="21"/>
          <w:highlight w:val="none"/>
        </w:rPr>
        <w:t>供应商（公章，自然人除外）：</w:t>
      </w:r>
      <w:r>
        <w:rPr>
          <w:rFonts w:hint="eastAsia" w:ascii="宋体" w:hAnsi="宋体"/>
          <w:color w:val="auto"/>
          <w:szCs w:val="21"/>
          <w:highlight w:val="none"/>
          <w:u w:val="single"/>
        </w:rPr>
        <w:t xml:space="preserve">                                         </w:t>
      </w:r>
    </w:p>
    <w:p>
      <w:pPr>
        <w:snapToGrid w:val="0"/>
        <w:spacing w:line="400" w:lineRule="exact"/>
        <w:ind w:firstLine="420"/>
        <w:outlineLvl w:val="9"/>
        <w:rPr>
          <w:rFonts w:ascii="宋体" w:hAnsi="宋体"/>
          <w:color w:val="auto"/>
          <w:szCs w:val="21"/>
          <w:highlight w:val="none"/>
        </w:rPr>
      </w:pPr>
    </w:p>
    <w:p>
      <w:pPr>
        <w:spacing w:line="340" w:lineRule="exact"/>
        <w:ind w:left="4935" w:leftChars="2350"/>
        <w:rPr>
          <w:rFonts w:ascii="宋体" w:hAnsi="宋体"/>
          <w:color w:val="auto"/>
          <w:szCs w:val="21"/>
          <w:highlight w:val="none"/>
          <w:u w:val="single"/>
        </w:rPr>
      </w:pPr>
      <w:r>
        <w:rPr>
          <w:rFonts w:hint="eastAsia" w:hAnsi="宋体"/>
          <w:color w:val="auto"/>
          <w:highlight w:val="none"/>
        </w:rPr>
        <w:t>法定代表人或相应的委托代理人签字或盖章（</w:t>
      </w:r>
      <w:r>
        <w:rPr>
          <w:rFonts w:hint="eastAsia" w:eastAsia="仿宋_GB2312"/>
          <w:color w:val="auto"/>
          <w:highlight w:val="none"/>
        </w:rPr>
        <w:t>供应商属自然人的应由自然人签字并加盖指印，供应商若为其他组织形式无法定代表人的应由机构负责人</w:t>
      </w:r>
      <w:r>
        <w:rPr>
          <w:rFonts w:eastAsia="仿宋_GB2312"/>
          <w:color w:val="auto"/>
          <w:highlight w:val="none"/>
        </w:rPr>
        <w:t>签字或盖章</w:t>
      </w:r>
      <w:r>
        <w:rPr>
          <w:rFonts w:hint="eastAsia" w:hAnsi="宋体"/>
          <w:color w:val="auto"/>
          <w:highlight w:val="none"/>
        </w:rPr>
        <w:t>）：</w:t>
      </w:r>
      <w:r>
        <w:rPr>
          <w:rFonts w:hint="eastAsia" w:ascii="宋体" w:hAnsi="宋体"/>
          <w:color w:val="auto"/>
          <w:szCs w:val="21"/>
          <w:highlight w:val="none"/>
          <w:u w:val="single"/>
        </w:rPr>
        <w:t xml:space="preserve">                        </w:t>
      </w:r>
    </w:p>
    <w:p>
      <w:pPr>
        <w:spacing w:line="340" w:lineRule="exact"/>
        <w:ind w:firstLine="420" w:firstLineChars="200"/>
        <w:rPr>
          <w:rFonts w:ascii="宋体" w:hAnsi="宋体"/>
          <w:color w:val="auto"/>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 xml:space="preserve">                      日期:_____年___月___日</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ascii="宋体" w:hAnsi="宋体" w:cs="宋体"/>
          <w:color w:val="auto"/>
          <w:kern w:val="0"/>
          <w:sz w:val="24"/>
          <w:highlight w:val="none"/>
        </w:rPr>
        <w:br w:type="page"/>
      </w:r>
    </w:p>
    <w:p>
      <w:pPr>
        <w:ind w:right="-178" w:rightChars="-85" w:firstLine="240" w:firstLineChars="100"/>
        <w:jc w:val="left"/>
        <w:rPr>
          <w:rFonts w:ascii="宋体" w:hAnsi="宋体"/>
          <w:color w:val="auto"/>
          <w:sz w:val="24"/>
          <w:highlight w:val="none"/>
        </w:rPr>
      </w:pPr>
      <w:r>
        <w:rPr>
          <w:rFonts w:hint="eastAsia" w:ascii="宋体" w:hAnsi="宋体"/>
          <w:color w:val="auto"/>
          <w:sz w:val="24"/>
          <w:highlight w:val="none"/>
        </w:rPr>
        <w:t xml:space="preserve">附件六 </w:t>
      </w:r>
    </w:p>
    <w:p>
      <w:pPr>
        <w:pStyle w:val="24"/>
        <w:ind w:right="-178" w:rightChars="-85"/>
        <w:jc w:val="center"/>
        <w:rPr>
          <w:rFonts w:hAnsi="宋体"/>
          <w:b/>
          <w:bCs/>
          <w:color w:val="auto"/>
          <w:sz w:val="28"/>
          <w:szCs w:val="28"/>
          <w:highlight w:val="none"/>
        </w:rPr>
      </w:pPr>
      <w:r>
        <w:rPr>
          <w:rFonts w:hint="eastAsia" w:hAnsi="宋体"/>
          <w:b/>
          <w:bCs/>
          <w:color w:val="auto"/>
          <w:sz w:val="28"/>
          <w:szCs w:val="28"/>
          <w:highlight w:val="none"/>
        </w:rPr>
        <w:t>商务条款偏离表</w:t>
      </w:r>
    </w:p>
    <w:p>
      <w:pPr>
        <w:pStyle w:val="24"/>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请逐条对应第</w:t>
      </w:r>
      <w:r>
        <w:rPr>
          <w:rFonts w:hint="eastAsia" w:ascii="Times New Roman" w:hAnsi="Times New Roman" w:eastAsia="仿宋_GB2312"/>
          <w:color w:val="auto"/>
          <w:sz w:val="32"/>
          <w:szCs w:val="32"/>
          <w:highlight w:val="none"/>
          <w:lang w:eastAsia="zh-CN"/>
        </w:rPr>
        <w:t>三</w:t>
      </w:r>
      <w:r>
        <w:rPr>
          <w:rFonts w:ascii="Times New Roman" w:hAnsi="Times New Roman" w:eastAsia="仿宋_GB2312"/>
          <w:color w:val="auto"/>
          <w:sz w:val="32"/>
          <w:szCs w:val="32"/>
          <w:highlight w:val="none"/>
        </w:rPr>
        <w:t>章“</w:t>
      </w:r>
      <w:r>
        <w:rPr>
          <w:rFonts w:hint="eastAsia" w:ascii="Times New Roman" w:hAnsi="Times New Roman" w:eastAsia="仿宋_GB2312"/>
          <w:color w:val="auto"/>
          <w:sz w:val="32"/>
          <w:szCs w:val="32"/>
          <w:highlight w:val="none"/>
        </w:rPr>
        <w:t>服务</w:t>
      </w:r>
      <w:r>
        <w:rPr>
          <w:rFonts w:ascii="Times New Roman" w:hAnsi="Times New Roman" w:eastAsia="仿宋_GB2312"/>
          <w:color w:val="auto"/>
          <w:sz w:val="32"/>
          <w:szCs w:val="32"/>
          <w:highlight w:val="none"/>
        </w:rPr>
        <w:t>需求一览表”中“商务条款”的要求，详细填写相应的具体内容。“偏离说明”一栏应当选择“正偏离”、“负偏离”或“无偏离”进行填写。</w:t>
      </w:r>
    </w:p>
    <w:p>
      <w:pPr>
        <w:pStyle w:val="24"/>
        <w:ind w:firstLine="640" w:firstLineChars="200"/>
        <w:rPr>
          <w:rFonts w:ascii="Times New Roman" w:hAnsi="Times New Roman" w:eastAsia="仿宋_GB2312"/>
          <w:color w:val="auto"/>
          <w:sz w:val="32"/>
          <w:szCs w:val="32"/>
          <w:highlight w:val="none"/>
        </w:rPr>
      </w:pPr>
    </w:p>
    <w:tbl>
      <w:tblPr>
        <w:tblStyle w:val="43"/>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谈判</w:t>
            </w:r>
            <w:r>
              <w:rPr>
                <w:rFonts w:ascii="Times New Roman" w:hAnsi="Times New Roman" w:eastAsia="仿宋_GB2312"/>
                <w:color w:val="auto"/>
                <w:highlight w:val="none"/>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响应</w:t>
            </w:r>
            <w:r>
              <w:rPr>
                <w:rFonts w:ascii="Times New Roman" w:hAnsi="Times New Roman" w:eastAsia="仿宋_GB2312"/>
                <w:color w:val="auto"/>
                <w:highlight w:val="none"/>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color w:val="auto"/>
                <w:highlight w:val="none"/>
              </w:rPr>
            </w:pPr>
          </w:p>
          <w:p>
            <w:pPr>
              <w:pStyle w:val="24"/>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供应商</w:t>
            </w:r>
            <w:r>
              <w:rPr>
                <w:rFonts w:eastAsia="仿宋_GB2312"/>
                <w:color w:val="auto"/>
                <w:highlight w:val="none"/>
              </w:rPr>
              <w:t>（盖单位公章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供应商属自然人的应由自然人签字并加盖指印，供应商若为其他组织形式无法定代表人的应由机构负责人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4"/>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4"/>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仿宋_GB2312"/>
          <w:bCs/>
          <w:color w:val="auto"/>
          <w:sz w:val="24"/>
          <w:szCs w:val="24"/>
          <w:highlight w:val="none"/>
          <w:lang w:eastAsia="zh-CN"/>
        </w:rPr>
        <w:t>响应</w:t>
      </w:r>
      <w:r>
        <w:rPr>
          <w:rFonts w:ascii="Times New Roman" w:hAnsi="Times New Roman" w:eastAsia="仿宋_GB2312"/>
          <w:bCs/>
          <w:color w:val="auto"/>
          <w:sz w:val="24"/>
          <w:szCs w:val="24"/>
          <w:highlight w:val="none"/>
        </w:rPr>
        <w:t>文件</w:t>
      </w:r>
      <w:r>
        <w:rPr>
          <w:rFonts w:hint="eastAsia" w:ascii="Times New Roman" w:hAnsi="Times New Roman" w:eastAsia="仿宋_GB2312"/>
          <w:bCs/>
          <w:color w:val="auto"/>
          <w:sz w:val="24"/>
          <w:szCs w:val="24"/>
          <w:highlight w:val="none"/>
          <w:lang w:eastAsia="zh-CN"/>
        </w:rPr>
        <w:t>需求</w:t>
      </w:r>
      <w:r>
        <w:rPr>
          <w:rFonts w:ascii="Times New Roman" w:hAnsi="Times New Roman" w:eastAsia="仿宋_GB2312"/>
          <w:bCs/>
          <w:color w:val="auto"/>
          <w:sz w:val="24"/>
          <w:szCs w:val="24"/>
          <w:highlight w:val="none"/>
        </w:rPr>
        <w:t>小于或大于</w:t>
      </w:r>
      <w:r>
        <w:rPr>
          <w:rFonts w:hint="eastAsia" w:ascii="Times New Roman" w:hAnsi="Times New Roman" w:eastAsia="仿宋_GB2312"/>
          <w:bCs/>
          <w:color w:val="auto"/>
          <w:sz w:val="24"/>
          <w:szCs w:val="24"/>
          <w:highlight w:val="none"/>
          <w:lang w:eastAsia="zh-CN"/>
        </w:rPr>
        <w:t>谈判</w:t>
      </w:r>
      <w:r>
        <w:rPr>
          <w:rFonts w:ascii="Times New Roman" w:hAnsi="Times New Roman" w:eastAsia="仿宋_GB2312"/>
          <w:bCs/>
          <w:color w:val="auto"/>
          <w:sz w:val="24"/>
          <w:szCs w:val="24"/>
          <w:highlight w:val="none"/>
        </w:rPr>
        <w:t>文件某个数值标准时，</w:t>
      </w:r>
      <w:r>
        <w:rPr>
          <w:rFonts w:hint="eastAsia" w:ascii="Times New Roman" w:hAnsi="Times New Roman" w:eastAsia="仿宋_GB2312"/>
          <w:bCs/>
          <w:color w:val="auto"/>
          <w:sz w:val="24"/>
          <w:szCs w:val="24"/>
          <w:highlight w:val="none"/>
          <w:lang w:eastAsia="zh-CN"/>
        </w:rPr>
        <w:t>响应</w:t>
      </w:r>
      <w:r>
        <w:rPr>
          <w:rFonts w:ascii="Times New Roman" w:hAnsi="Times New Roman" w:eastAsia="仿宋_GB2312"/>
          <w:bCs/>
          <w:color w:val="auto"/>
          <w:sz w:val="24"/>
          <w:szCs w:val="24"/>
          <w:highlight w:val="none"/>
        </w:rPr>
        <w:t>文件</w:t>
      </w:r>
      <w:r>
        <w:rPr>
          <w:rFonts w:hint="eastAsia" w:ascii="Times New Roman" w:hAnsi="Times New Roman" w:eastAsia="仿宋_GB2312"/>
          <w:bCs/>
          <w:color w:val="auto"/>
          <w:sz w:val="24"/>
          <w:szCs w:val="24"/>
          <w:highlight w:val="none"/>
          <w:lang w:eastAsia="zh-CN"/>
        </w:rPr>
        <w:t>不得直接复制谈判文件需求，响应文件对应</w:t>
      </w:r>
      <w:r>
        <w:rPr>
          <w:rFonts w:ascii="Times New Roman" w:hAnsi="Times New Roman" w:eastAsia="仿宋_GB2312"/>
          <w:bCs/>
          <w:color w:val="auto"/>
          <w:sz w:val="24"/>
          <w:szCs w:val="24"/>
          <w:highlight w:val="none"/>
        </w:rPr>
        <w:t>内容应当写明</w:t>
      </w:r>
      <w:r>
        <w:rPr>
          <w:rFonts w:hint="eastAsia" w:ascii="Times New Roman" w:hAnsi="Times New Roman" w:eastAsia="仿宋_GB2312"/>
          <w:bCs/>
          <w:color w:val="auto"/>
          <w:sz w:val="24"/>
          <w:szCs w:val="24"/>
          <w:highlight w:val="none"/>
          <w:lang w:eastAsia="zh-CN"/>
        </w:rPr>
        <w:t>竞</w:t>
      </w:r>
      <w:r>
        <w:rPr>
          <w:rFonts w:ascii="Times New Roman" w:hAnsi="Times New Roman" w:eastAsia="仿宋_GB2312"/>
          <w:bCs/>
          <w:color w:val="auto"/>
          <w:sz w:val="24"/>
          <w:szCs w:val="24"/>
          <w:highlight w:val="none"/>
        </w:rPr>
        <w:t>标</w:t>
      </w:r>
      <w:r>
        <w:rPr>
          <w:rFonts w:hint="eastAsia" w:ascii="Times New Roman" w:hAnsi="Times New Roman" w:eastAsia="仿宋_GB2312"/>
          <w:bCs/>
          <w:color w:val="auto"/>
          <w:sz w:val="24"/>
          <w:szCs w:val="24"/>
          <w:highlight w:val="none"/>
          <w:lang w:eastAsia="zh-CN"/>
        </w:rPr>
        <w:t>服务内容</w:t>
      </w:r>
      <w:r>
        <w:rPr>
          <w:rFonts w:ascii="Times New Roman" w:hAnsi="Times New Roman" w:eastAsia="仿宋_GB2312"/>
          <w:bCs/>
          <w:color w:val="auto"/>
          <w:sz w:val="24"/>
          <w:szCs w:val="24"/>
          <w:highlight w:val="none"/>
        </w:rPr>
        <w:t>具体参数或商务响应的</w:t>
      </w:r>
      <w:r>
        <w:rPr>
          <w:rFonts w:hint="eastAsia" w:ascii="Times New Roman" w:hAnsi="Times New Roman" w:eastAsia="仿宋_GB2312"/>
          <w:bCs/>
          <w:color w:val="auto"/>
          <w:sz w:val="24"/>
          <w:szCs w:val="24"/>
          <w:highlight w:val="none"/>
          <w:lang w:eastAsia="zh-CN"/>
        </w:rPr>
        <w:t>实际</w:t>
      </w:r>
      <w:r>
        <w:rPr>
          <w:rFonts w:ascii="Times New Roman" w:hAnsi="Times New Roman" w:eastAsia="仿宋_GB2312"/>
          <w:bCs/>
          <w:color w:val="auto"/>
          <w:sz w:val="24"/>
          <w:szCs w:val="24"/>
          <w:highlight w:val="none"/>
        </w:rPr>
        <w:t>数值，否则按</w:t>
      </w:r>
      <w:r>
        <w:rPr>
          <w:rFonts w:hint="eastAsia" w:ascii="Times New Roman" w:hAnsi="Times New Roman" w:eastAsia="仿宋_GB2312"/>
          <w:bCs/>
          <w:color w:val="auto"/>
          <w:sz w:val="24"/>
          <w:szCs w:val="24"/>
          <w:highlight w:val="none"/>
          <w:lang w:eastAsia="zh-CN"/>
        </w:rPr>
        <w:t>竞</w:t>
      </w:r>
      <w:r>
        <w:rPr>
          <w:rFonts w:ascii="Times New Roman" w:hAnsi="Times New Roman" w:eastAsia="仿宋_GB2312"/>
          <w:bCs/>
          <w:color w:val="auto"/>
          <w:sz w:val="24"/>
          <w:szCs w:val="24"/>
          <w:highlight w:val="none"/>
        </w:rPr>
        <w:t>标无效处理。</w:t>
      </w:r>
    </w:p>
    <w:p>
      <w:pPr>
        <w:ind w:firstLine="480" w:firstLineChars="200"/>
        <w:rPr>
          <w:rFonts w:ascii="宋体" w:hAnsi="宋体"/>
          <w:color w:val="auto"/>
          <w:sz w:val="24"/>
          <w:highlight w:val="none"/>
        </w:rPr>
      </w:pPr>
      <w:r>
        <w:rPr>
          <w:rFonts w:eastAsia="仿宋_GB2312"/>
          <w:bCs/>
          <w:color w:val="auto"/>
          <w:sz w:val="24"/>
          <w:highlight w:val="none"/>
        </w:rPr>
        <w:t>⑶当</w:t>
      </w:r>
      <w:r>
        <w:rPr>
          <w:rFonts w:hint="eastAsia" w:eastAsia="仿宋_GB2312"/>
          <w:bCs/>
          <w:color w:val="auto"/>
          <w:sz w:val="24"/>
          <w:highlight w:val="none"/>
        </w:rPr>
        <w:t>响应</w:t>
      </w:r>
      <w:r>
        <w:rPr>
          <w:rFonts w:eastAsia="仿宋_GB2312"/>
          <w:bCs/>
          <w:color w:val="auto"/>
          <w:sz w:val="24"/>
          <w:highlight w:val="none"/>
        </w:rPr>
        <w:t>文件的服务内容低于</w:t>
      </w:r>
      <w:r>
        <w:rPr>
          <w:rFonts w:hint="eastAsia" w:eastAsia="仿宋_GB2312"/>
          <w:bCs/>
          <w:color w:val="auto"/>
          <w:sz w:val="24"/>
          <w:highlight w:val="none"/>
        </w:rPr>
        <w:t>谈判</w:t>
      </w:r>
      <w:r>
        <w:rPr>
          <w:rFonts w:eastAsia="仿宋_GB2312"/>
          <w:bCs/>
          <w:color w:val="auto"/>
          <w:sz w:val="24"/>
          <w:highlight w:val="none"/>
        </w:rPr>
        <w:t>文件要求时，</w:t>
      </w:r>
      <w:r>
        <w:rPr>
          <w:rFonts w:hint="eastAsia" w:eastAsia="仿宋_GB2312"/>
          <w:bCs/>
          <w:color w:val="auto"/>
          <w:sz w:val="24"/>
          <w:highlight w:val="none"/>
        </w:rPr>
        <w:t>供应商</w:t>
      </w:r>
      <w:r>
        <w:rPr>
          <w:rFonts w:eastAsia="仿宋_GB2312"/>
          <w:bCs/>
          <w:color w:val="auto"/>
          <w:sz w:val="24"/>
          <w:highlight w:val="none"/>
        </w:rPr>
        <w:t>应当如实写明“负偏离”，否则视为虚假应标</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附件七</w:t>
      </w:r>
    </w:p>
    <w:p>
      <w:pPr>
        <w:jc w:val="center"/>
        <w:rPr>
          <w:rFonts w:ascii="宋体" w:hAnsi="宋体"/>
          <w:b/>
          <w:color w:val="auto"/>
          <w:sz w:val="32"/>
          <w:szCs w:val="32"/>
          <w:highlight w:val="none"/>
        </w:rPr>
      </w:pPr>
      <w:r>
        <w:rPr>
          <w:rFonts w:hint="eastAsia" w:ascii="宋体" w:hAnsi="宋体"/>
          <w:b/>
          <w:color w:val="auto"/>
          <w:sz w:val="32"/>
          <w:szCs w:val="32"/>
          <w:highlight w:val="none"/>
        </w:rPr>
        <w:t>技术资料表</w:t>
      </w:r>
    </w:p>
    <w:p>
      <w:pPr>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single"/>
        </w:rPr>
        <w:t xml:space="preserve">                 </w:t>
      </w:r>
    </w:p>
    <w:p>
      <w:pPr>
        <w:rPr>
          <w:rFonts w:ascii="宋体" w:hAnsi="宋体"/>
          <w:color w:val="auto"/>
          <w:sz w:val="24"/>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rPr>
          <w:rFonts w:ascii="宋体" w:hAnsi="宋体"/>
          <w:color w:val="auto"/>
          <w:sz w:val="24"/>
          <w:highlight w:val="none"/>
        </w:rPr>
      </w:pPr>
      <w:r>
        <w:rPr>
          <w:rFonts w:ascii="宋体" w:hAnsi="宋体"/>
          <w:color w:val="auto"/>
          <w:sz w:val="24"/>
          <w:highlight w:val="none"/>
        </w:rPr>
        <w:t>请根据所投产品的实际技术参数，逐条对第</w:t>
      </w:r>
      <w:r>
        <w:rPr>
          <w:rFonts w:hint="eastAsia" w:ascii="宋体" w:hAnsi="宋体"/>
          <w:color w:val="auto"/>
          <w:sz w:val="24"/>
          <w:highlight w:val="none"/>
          <w:lang w:eastAsia="zh-CN"/>
        </w:rPr>
        <w:t>三</w:t>
      </w:r>
      <w:r>
        <w:rPr>
          <w:rFonts w:ascii="宋体" w:hAnsi="宋体"/>
          <w:color w:val="auto"/>
          <w:sz w:val="24"/>
          <w:highlight w:val="none"/>
        </w:rPr>
        <w:t>章“</w:t>
      </w:r>
      <w:r>
        <w:rPr>
          <w:rFonts w:hint="eastAsia" w:ascii="宋体" w:hAnsi="宋体"/>
          <w:color w:val="auto"/>
          <w:sz w:val="24"/>
          <w:highlight w:val="none"/>
        </w:rPr>
        <w:t>服务</w:t>
      </w:r>
      <w:r>
        <w:rPr>
          <w:rFonts w:ascii="宋体" w:hAnsi="宋体"/>
          <w:color w:val="auto"/>
          <w:sz w:val="24"/>
          <w:highlight w:val="none"/>
        </w:rPr>
        <w:t>需求一览表”中的技术参数要求详细填写相应的具体内容。“偏离说明”一栏应当选择“正偏离”、“负偏离”或“无偏离”进行填写。</w:t>
      </w:r>
    </w:p>
    <w:p>
      <w:pPr>
        <w:pStyle w:val="24"/>
        <w:spacing w:line="600" w:lineRule="exact"/>
        <w:ind w:firstLine="640" w:firstLineChars="200"/>
        <w:rPr>
          <w:rFonts w:ascii="Times New Roman" w:hAnsi="Times New Roman" w:eastAsia="仿宋_GB2312"/>
          <w:color w:val="auto"/>
          <w:sz w:val="32"/>
          <w:szCs w:val="32"/>
          <w:highlight w:val="none"/>
        </w:rPr>
      </w:pPr>
    </w:p>
    <w:tbl>
      <w:tblPr>
        <w:tblStyle w:val="4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hint="eastAsia" w:eastAsia="仿宋_GB2312"/>
                <w:color w:val="auto"/>
                <w:szCs w:val="21"/>
                <w:highlight w:val="none"/>
              </w:rPr>
              <w:t>谈判</w:t>
            </w:r>
            <w:r>
              <w:rPr>
                <w:rFonts w:eastAsia="仿宋_GB2312"/>
                <w:color w:val="auto"/>
                <w:szCs w:val="21"/>
                <w:highlight w:val="none"/>
              </w:rPr>
              <w:t>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hint="eastAsia" w:eastAsia="仿宋_GB2312"/>
                <w:color w:val="auto"/>
                <w:szCs w:val="21"/>
                <w:highlight w:val="none"/>
              </w:rPr>
              <w:t>响应</w:t>
            </w:r>
            <w:r>
              <w:rPr>
                <w:rFonts w:eastAsia="仿宋_GB2312"/>
                <w:color w:val="auto"/>
                <w:szCs w:val="21"/>
                <w:highlight w:val="none"/>
              </w:rPr>
              <w:t>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供应商</w:t>
            </w:r>
            <w:r>
              <w:rPr>
                <w:rFonts w:eastAsia="仿宋_GB2312"/>
                <w:color w:val="auto"/>
                <w:highlight w:val="none"/>
              </w:rPr>
              <w:t>（盖单位公章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供应商属自然人的应由自然人签字并加盖指印，供应商若为其他组织形式无法定代表人的应由机构负责人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4"/>
        <w:spacing w:line="40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w:t>
      </w:r>
      <w:r>
        <w:rPr>
          <w:rFonts w:hint="eastAsia" w:ascii="Times New Roman" w:hAnsi="Times New Roman" w:eastAsia="仿宋_GB2312"/>
          <w:bCs/>
          <w:color w:val="auto"/>
          <w:sz w:val="24"/>
          <w:szCs w:val="24"/>
          <w:highlight w:val="none"/>
        </w:rPr>
        <w:t>竞</w:t>
      </w:r>
      <w:r>
        <w:rPr>
          <w:rFonts w:ascii="Times New Roman" w:hAnsi="Times New Roman" w:eastAsia="仿宋_GB2312"/>
          <w:bCs/>
          <w:color w:val="auto"/>
          <w:sz w:val="24"/>
          <w:szCs w:val="24"/>
          <w:highlight w:val="none"/>
        </w:rPr>
        <w:t>标无效处理</w:t>
      </w:r>
      <w:r>
        <w:rPr>
          <w:rFonts w:ascii="Times New Roman" w:hAnsi="Times New Roman" w:eastAsia="仿宋_GB2312"/>
          <w:color w:val="auto"/>
          <w:sz w:val="24"/>
          <w:szCs w:val="24"/>
          <w:highlight w:val="none"/>
        </w:rPr>
        <w:t>。</w:t>
      </w:r>
    </w:p>
    <w:p>
      <w:pPr>
        <w:pStyle w:val="24"/>
        <w:spacing w:line="4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ascii="Times New Roman" w:hAnsi="Times New Roman" w:eastAsia="仿宋_GB2312"/>
          <w:bCs/>
          <w:color w:val="auto"/>
          <w:sz w:val="24"/>
          <w:szCs w:val="24"/>
          <w:highlight w:val="none"/>
        </w:rPr>
        <w:t>当</w:t>
      </w:r>
      <w:r>
        <w:rPr>
          <w:rFonts w:hint="eastAsia" w:ascii="Times New Roman" w:hAnsi="Times New Roman" w:eastAsia="仿宋_GB2312"/>
          <w:bCs/>
          <w:color w:val="auto"/>
          <w:sz w:val="24"/>
          <w:szCs w:val="24"/>
          <w:highlight w:val="none"/>
        </w:rPr>
        <w:t>响应</w:t>
      </w:r>
      <w:r>
        <w:rPr>
          <w:rFonts w:ascii="Times New Roman" w:hAnsi="Times New Roman" w:eastAsia="仿宋_GB2312"/>
          <w:bCs/>
          <w:color w:val="auto"/>
          <w:sz w:val="24"/>
          <w:szCs w:val="24"/>
          <w:highlight w:val="none"/>
        </w:rPr>
        <w:t>文件的服务内容低于</w:t>
      </w:r>
      <w:r>
        <w:rPr>
          <w:rFonts w:hint="eastAsia" w:ascii="Times New Roman" w:hAnsi="Times New Roman" w:eastAsia="仿宋_GB2312"/>
          <w:bCs/>
          <w:color w:val="auto"/>
          <w:sz w:val="24"/>
          <w:szCs w:val="24"/>
          <w:highlight w:val="none"/>
        </w:rPr>
        <w:t>谈判</w:t>
      </w:r>
      <w:r>
        <w:rPr>
          <w:rFonts w:ascii="Times New Roman" w:hAnsi="Times New Roman" w:eastAsia="仿宋_GB2312"/>
          <w:bCs/>
          <w:color w:val="auto"/>
          <w:sz w:val="24"/>
          <w:szCs w:val="24"/>
          <w:highlight w:val="none"/>
        </w:rPr>
        <w:t>文件要求时，</w:t>
      </w:r>
      <w:r>
        <w:rPr>
          <w:rFonts w:hint="eastAsia" w:ascii="Times New Roman" w:hAnsi="Times New Roman" w:eastAsia="仿宋_GB2312"/>
          <w:bCs/>
          <w:color w:val="auto"/>
          <w:sz w:val="24"/>
          <w:szCs w:val="24"/>
          <w:highlight w:val="none"/>
        </w:rPr>
        <w:t>供应商</w:t>
      </w:r>
      <w:r>
        <w:rPr>
          <w:rFonts w:ascii="Times New Roman" w:hAnsi="Times New Roman" w:eastAsia="仿宋_GB2312"/>
          <w:bCs/>
          <w:color w:val="auto"/>
          <w:sz w:val="24"/>
          <w:szCs w:val="24"/>
          <w:highlight w:val="none"/>
        </w:rPr>
        <w:t>应当如实写明“负偏离”，否则视为虚假应标。</w:t>
      </w:r>
    </w:p>
    <w:p>
      <w:pPr>
        <w:widowControl/>
        <w:shd w:val="clear" w:color="auto" w:fill="FFFFFF"/>
        <w:spacing w:after="240" w:line="360" w:lineRule="atLeast"/>
        <w:ind w:firstLine="480"/>
        <w:jc w:val="center"/>
        <w:rPr>
          <w:rFonts w:ascii="宋体" w:hAnsi="宋体" w:cs="宋体"/>
          <w:color w:val="auto"/>
          <w:kern w:val="0"/>
          <w:sz w:val="24"/>
          <w:highlight w:val="none"/>
        </w:rPr>
      </w:pPr>
      <w:r>
        <w:rPr>
          <w:rFonts w:ascii="宋体" w:hAnsi="宋体" w:cs="宋体"/>
          <w:color w:val="auto"/>
          <w:kern w:val="0"/>
          <w:sz w:val="24"/>
          <w:highlight w:val="none"/>
        </w:rPr>
        <w:br w:type="page"/>
      </w:r>
    </w:p>
    <w:p>
      <w:pPr>
        <w:widowControl/>
        <w:shd w:val="clear" w:color="auto" w:fill="FFFFFF"/>
        <w:spacing w:after="240" w:line="360" w:lineRule="atLeast"/>
        <w:ind w:firstLine="480"/>
        <w:jc w:val="left"/>
        <w:rPr>
          <w:rFonts w:ascii="宋体" w:hAnsi="宋体" w:cs="宋体"/>
          <w:b/>
          <w:color w:val="auto"/>
          <w:kern w:val="0"/>
          <w:sz w:val="28"/>
          <w:szCs w:val="28"/>
          <w:highlight w:val="none"/>
        </w:rPr>
      </w:pPr>
      <w:r>
        <w:rPr>
          <w:rFonts w:hint="eastAsia"/>
          <w:color w:val="auto"/>
          <w:highlight w:val="none"/>
        </w:rPr>
        <w:t>附件八：</w:t>
      </w: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r>
        <w:rPr>
          <w:rFonts w:hint="eastAsia"/>
          <w:color w:val="auto"/>
          <w:highlight w:val="none"/>
        </w:rPr>
        <w:t>附件九：</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51" w:name="OLE_LINK13"/>
      <w:bookmarkStart w:id="52" w:name="OLE_LINK14"/>
      <w:r>
        <w:rPr>
          <w:rFonts w:hint="eastAsia" w:ascii="宋体" w:hAnsi="宋体"/>
          <w:b/>
          <w:color w:val="auto"/>
          <w:spacing w:val="6"/>
          <w:sz w:val="24"/>
          <w:highlight w:val="none"/>
        </w:rPr>
        <w:t>残疾人福利性单位声明函</w:t>
      </w:r>
    </w:p>
    <w:bookmarkEnd w:id="51"/>
    <w:bookmarkEnd w:id="52"/>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pacing w:beforeLines="50" w:afterLines="50"/>
        <w:ind w:firstLine="883" w:firstLineChars="200"/>
        <w:jc w:val="center"/>
        <w:rPr>
          <w:rFonts w:ascii="宋体" w:hAnsi="宋体"/>
          <w:b/>
          <w:color w:val="auto"/>
          <w:sz w:val="44"/>
          <w:szCs w:val="44"/>
          <w:highlight w:val="none"/>
        </w:rPr>
      </w:pPr>
    </w:p>
    <w:p>
      <w:pPr>
        <w:spacing w:beforeLines="50" w:afterLines="50"/>
        <w:ind w:firstLine="883" w:firstLineChars="200"/>
        <w:jc w:val="center"/>
        <w:rPr>
          <w:rFonts w:ascii="宋体" w:hAnsi="宋体"/>
          <w:b/>
          <w:color w:val="auto"/>
          <w:sz w:val="44"/>
          <w:szCs w:val="44"/>
          <w:highlight w:val="none"/>
        </w:rPr>
      </w:pPr>
    </w:p>
    <w:p>
      <w:pPr>
        <w:spacing w:beforeLines="50" w:afterLines="50"/>
        <w:ind w:firstLine="883" w:firstLineChars="200"/>
        <w:jc w:val="center"/>
        <w:rPr>
          <w:rFonts w:ascii="宋体" w:hAnsi="宋体"/>
          <w:b/>
          <w:color w:val="auto"/>
          <w:sz w:val="44"/>
          <w:szCs w:val="44"/>
          <w:highlight w:val="none"/>
        </w:rPr>
      </w:pPr>
    </w:p>
    <w:p>
      <w:pPr>
        <w:spacing w:beforeLines="50" w:afterLines="50"/>
        <w:ind w:firstLine="883" w:firstLineChars="200"/>
        <w:jc w:val="center"/>
        <w:rPr>
          <w:rFonts w:ascii="宋体" w:hAnsi="宋体"/>
          <w:b/>
          <w:color w:val="auto"/>
          <w:sz w:val="44"/>
          <w:szCs w:val="44"/>
          <w:highlight w:val="none"/>
        </w:rPr>
      </w:pPr>
    </w:p>
    <w:p>
      <w:pPr>
        <w:spacing w:beforeLines="50" w:afterLines="50"/>
        <w:ind w:firstLine="883" w:firstLineChars="200"/>
        <w:jc w:val="center"/>
        <w:rPr>
          <w:rFonts w:ascii="宋体" w:hAnsi="宋体"/>
          <w:b/>
          <w:color w:val="auto"/>
          <w:sz w:val="44"/>
          <w:szCs w:val="44"/>
          <w:highlight w:val="none"/>
        </w:rPr>
      </w:pPr>
    </w:p>
    <w:p>
      <w:pPr>
        <w:spacing w:beforeLines="50" w:afterLines="50"/>
        <w:ind w:firstLine="883" w:firstLineChars="200"/>
        <w:jc w:val="center"/>
        <w:outlineLvl w:val="0"/>
        <w:rPr>
          <w:rFonts w:ascii="宋体" w:hAnsi="宋体"/>
          <w:b/>
          <w:bCs/>
          <w:color w:val="auto"/>
          <w:sz w:val="44"/>
          <w:szCs w:val="44"/>
          <w:highlight w:val="none"/>
        </w:rPr>
      </w:pPr>
      <w:bookmarkStart w:id="53" w:name="_Toc12271"/>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w:t>
      </w:r>
      <w:bookmarkEnd w:id="53"/>
    </w:p>
    <w:p>
      <w:pPr>
        <w:rPr>
          <w:color w:val="auto"/>
          <w:sz w:val="30"/>
          <w:szCs w:val="30"/>
          <w:highlight w:val="none"/>
        </w:rPr>
      </w:pPr>
      <w:r>
        <w:rPr>
          <w:rFonts w:ascii="宋体" w:hAnsi="宋体"/>
          <w:b/>
          <w:bCs/>
          <w:color w:val="auto"/>
          <w:sz w:val="44"/>
          <w:szCs w:val="44"/>
          <w:highlight w:val="none"/>
        </w:rPr>
        <w:br w:type="page"/>
      </w:r>
      <w:r>
        <w:rPr>
          <w:rFonts w:hint="eastAsia"/>
          <w:color w:val="auto"/>
          <w:sz w:val="30"/>
          <w:szCs w:val="30"/>
          <w:highlight w:val="none"/>
        </w:rPr>
        <w:t>一、南宁市政府采购合同书</w:t>
      </w:r>
      <w:r>
        <w:rPr>
          <w:color w:val="auto"/>
          <w:sz w:val="30"/>
          <w:szCs w:val="30"/>
          <w:highlight w:val="none"/>
        </w:rPr>
        <w:t xml:space="preserve"> </w:t>
      </w:r>
    </w:p>
    <w:p>
      <w:pPr>
        <w:rPr>
          <w:color w:val="auto"/>
          <w:sz w:val="30"/>
          <w:szCs w:val="30"/>
          <w:highlight w:val="none"/>
        </w:rPr>
      </w:pPr>
      <w:r>
        <w:rPr>
          <w:rFonts w:hint="eastAsia"/>
          <w:color w:val="auto"/>
          <w:sz w:val="30"/>
          <w:szCs w:val="30"/>
          <w:highlight w:val="none"/>
        </w:rPr>
        <w:t>二、补充协议</w:t>
      </w:r>
      <w:r>
        <w:rPr>
          <w:color w:val="auto"/>
          <w:sz w:val="30"/>
          <w:szCs w:val="30"/>
          <w:highlight w:val="none"/>
        </w:rPr>
        <w:t xml:space="preserve"> </w:t>
      </w:r>
      <w:r>
        <w:rPr>
          <w:rFonts w:hint="eastAsia"/>
          <w:color w:val="auto"/>
          <w:sz w:val="30"/>
          <w:szCs w:val="30"/>
          <w:highlight w:val="none"/>
        </w:rPr>
        <w:t>（如有请提供）</w:t>
      </w:r>
      <w:r>
        <w:rPr>
          <w:color w:val="auto"/>
          <w:sz w:val="30"/>
          <w:szCs w:val="30"/>
          <w:highlight w:val="none"/>
        </w:rPr>
        <w:t xml:space="preserve"> </w:t>
      </w:r>
    </w:p>
    <w:p>
      <w:pPr>
        <w:rPr>
          <w:color w:val="auto"/>
          <w:sz w:val="30"/>
          <w:szCs w:val="30"/>
          <w:highlight w:val="none"/>
        </w:rPr>
      </w:pPr>
      <w:r>
        <w:rPr>
          <w:rFonts w:hint="eastAsia"/>
          <w:color w:val="auto"/>
          <w:sz w:val="30"/>
          <w:szCs w:val="30"/>
          <w:highlight w:val="none"/>
        </w:rPr>
        <w:t>三、合同附件</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1、成交通知书</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2、竞争性</w:t>
      </w:r>
      <w:r>
        <w:rPr>
          <w:rFonts w:hint="eastAsia" w:hAnsi="宋体"/>
          <w:color w:val="auto"/>
          <w:sz w:val="28"/>
          <w:szCs w:val="28"/>
          <w:highlight w:val="none"/>
          <w:lang w:eastAsia="zh-CN"/>
        </w:rPr>
        <w:t>谈判</w:t>
      </w:r>
      <w:r>
        <w:rPr>
          <w:rFonts w:hint="eastAsia" w:hAnsi="宋体"/>
          <w:color w:val="auto"/>
          <w:sz w:val="28"/>
          <w:szCs w:val="28"/>
          <w:highlight w:val="none"/>
        </w:rPr>
        <w:t>文件需求一览表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3、竞争性</w:t>
      </w:r>
      <w:r>
        <w:rPr>
          <w:rFonts w:hint="eastAsia" w:hAnsi="宋体"/>
          <w:color w:val="auto"/>
          <w:sz w:val="28"/>
          <w:szCs w:val="28"/>
          <w:highlight w:val="none"/>
          <w:lang w:eastAsia="zh-CN"/>
        </w:rPr>
        <w:t>谈判</w:t>
      </w:r>
      <w:r>
        <w:rPr>
          <w:rFonts w:hint="eastAsia" w:hAnsi="宋体"/>
          <w:color w:val="auto"/>
          <w:sz w:val="28"/>
          <w:szCs w:val="28"/>
          <w:highlight w:val="none"/>
        </w:rPr>
        <w:t>文件的</w:t>
      </w:r>
      <w:r>
        <w:rPr>
          <w:rFonts w:hint="eastAsia" w:hAnsi="宋体"/>
          <w:color w:val="auto"/>
          <w:sz w:val="28"/>
          <w:highlight w:val="none"/>
        </w:rPr>
        <w:t>更改通知</w:t>
      </w:r>
      <w:r>
        <w:rPr>
          <w:rFonts w:hint="eastAsia"/>
          <w:color w:val="auto"/>
          <w:sz w:val="28"/>
          <w:szCs w:val="28"/>
          <w:highlight w:val="none"/>
        </w:rPr>
        <w:t>（如有请提</w:t>
      </w:r>
      <w:r>
        <w:rPr>
          <w:rFonts w:hint="eastAsia"/>
          <w:color w:val="auto"/>
          <w:sz w:val="30"/>
          <w:szCs w:val="30"/>
          <w:highlight w:val="none"/>
        </w:rPr>
        <w:t>供</w:t>
      </w:r>
      <w:r>
        <w:rPr>
          <w:rFonts w:hint="eastAsia"/>
          <w:color w:val="auto"/>
          <w:sz w:val="28"/>
          <w:szCs w:val="28"/>
          <w:highlight w:val="none"/>
        </w:rPr>
        <w:t>）</w:t>
      </w:r>
    </w:p>
    <w:p>
      <w:pPr>
        <w:ind w:firstLine="560" w:firstLineChars="200"/>
        <w:rPr>
          <w:rFonts w:ascii="宋体" w:hAnsi="宋体"/>
          <w:color w:val="auto"/>
          <w:sz w:val="28"/>
          <w:szCs w:val="28"/>
          <w:highlight w:val="none"/>
        </w:rPr>
      </w:pPr>
      <w:r>
        <w:rPr>
          <w:color w:val="auto"/>
          <w:sz w:val="28"/>
          <w:szCs w:val="28"/>
          <w:highlight w:val="none"/>
        </w:rPr>
        <w:t>4</w:t>
      </w:r>
      <w:r>
        <w:rPr>
          <w:rFonts w:hint="eastAsia"/>
          <w:color w:val="auto"/>
          <w:sz w:val="28"/>
          <w:szCs w:val="28"/>
          <w:highlight w:val="none"/>
        </w:rPr>
        <w:t>、响应函</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5、报价表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6、技术资料表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7、商务条款偏离表</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8、响应文件</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9、成交供应商澄清函（如有请提供）</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10、最后报价</w:t>
      </w:r>
    </w:p>
    <w:p>
      <w:pPr>
        <w:pStyle w:val="24"/>
        <w:spacing w:line="360" w:lineRule="auto"/>
        <w:ind w:firstLine="560" w:firstLineChars="200"/>
        <w:rPr>
          <w:rFonts w:hAnsi="宋体"/>
          <w:color w:val="auto"/>
          <w:sz w:val="28"/>
          <w:szCs w:val="28"/>
          <w:highlight w:val="none"/>
        </w:rPr>
      </w:pPr>
      <w:r>
        <w:rPr>
          <w:rFonts w:hint="eastAsia" w:hAnsi="宋体"/>
          <w:color w:val="auto"/>
          <w:sz w:val="28"/>
          <w:szCs w:val="28"/>
          <w:highlight w:val="none"/>
        </w:rPr>
        <w:t>11、其他与本合同相关的资料（如有请提供）</w:t>
      </w:r>
    </w:p>
    <w:p>
      <w:pPr>
        <w:pStyle w:val="24"/>
        <w:spacing w:line="360" w:lineRule="auto"/>
        <w:ind w:firstLine="360"/>
        <w:rPr>
          <w:rFonts w:hAnsi="宋体"/>
          <w:color w:val="auto"/>
          <w:highlight w:val="none"/>
        </w:rPr>
      </w:pPr>
    </w:p>
    <w:p>
      <w:pPr>
        <w:rPr>
          <w:color w:val="auto"/>
          <w:sz w:val="30"/>
          <w:szCs w:val="30"/>
          <w:highlight w:val="none"/>
        </w:rPr>
      </w:pPr>
    </w:p>
    <w:p>
      <w:pPr>
        <w:rPr>
          <w:color w:val="auto"/>
          <w:sz w:val="30"/>
          <w:szCs w:val="30"/>
          <w:highlight w:val="none"/>
        </w:rPr>
      </w:pPr>
    </w:p>
    <w:p>
      <w:pPr>
        <w:rPr>
          <w:color w:val="auto"/>
          <w:sz w:val="30"/>
          <w:szCs w:val="30"/>
          <w:highlight w:val="none"/>
        </w:rPr>
      </w:pPr>
    </w:p>
    <w:p>
      <w:pPr>
        <w:pStyle w:val="2"/>
        <w:rPr>
          <w:color w:val="auto"/>
          <w:sz w:val="30"/>
          <w:szCs w:val="30"/>
          <w:highlight w:val="none"/>
        </w:rPr>
      </w:pPr>
    </w:p>
    <w:p>
      <w:pPr>
        <w:pStyle w:val="2"/>
        <w:rPr>
          <w:color w:val="auto"/>
          <w:sz w:val="30"/>
          <w:szCs w:val="30"/>
          <w:highlight w:val="none"/>
        </w:rPr>
      </w:pPr>
    </w:p>
    <w:p>
      <w:pPr>
        <w:pStyle w:val="2"/>
        <w:rPr>
          <w:color w:val="auto"/>
          <w:sz w:val="30"/>
          <w:szCs w:val="30"/>
          <w:highlight w:val="none"/>
        </w:rPr>
      </w:pPr>
    </w:p>
    <w:p>
      <w:pPr>
        <w:pStyle w:val="2"/>
        <w:rPr>
          <w:color w:val="auto"/>
          <w:sz w:val="30"/>
          <w:szCs w:val="30"/>
          <w:highlight w:val="none"/>
        </w:rPr>
      </w:pPr>
    </w:p>
    <w:p>
      <w:pPr>
        <w:pStyle w:val="2"/>
        <w:rPr>
          <w:color w:val="auto"/>
          <w:sz w:val="30"/>
          <w:szCs w:val="30"/>
          <w:highlight w:val="none"/>
        </w:rPr>
      </w:pPr>
    </w:p>
    <w:p>
      <w:pPr>
        <w:pStyle w:val="2"/>
        <w:rPr>
          <w:color w:val="auto"/>
          <w:sz w:val="30"/>
          <w:szCs w:val="30"/>
          <w:highlight w:val="none"/>
        </w:rPr>
      </w:pPr>
    </w:p>
    <w:p>
      <w:pPr>
        <w:pStyle w:val="2"/>
        <w:rPr>
          <w:color w:val="auto"/>
          <w:sz w:val="30"/>
          <w:szCs w:val="30"/>
          <w:highlight w:val="none"/>
        </w:rPr>
      </w:pPr>
    </w:p>
    <w:p>
      <w:pPr>
        <w:spacing w:line="360" w:lineRule="auto"/>
        <w:jc w:val="center"/>
        <w:rPr>
          <w:rFonts w:ascii="宋体" w:hAnsi="宋体"/>
          <w:b/>
          <w:bCs/>
          <w:color w:val="auto"/>
          <w:sz w:val="30"/>
          <w:szCs w:val="30"/>
          <w:highlight w:val="none"/>
        </w:rPr>
      </w:pPr>
      <w:r>
        <w:rPr>
          <w:rFonts w:hint="eastAsia"/>
          <w:b/>
          <w:color w:val="auto"/>
          <w:sz w:val="30"/>
          <w:szCs w:val="30"/>
          <w:highlight w:val="none"/>
        </w:rPr>
        <w:t>南宁市政府采购合同书</w:t>
      </w:r>
    </w:p>
    <w:p>
      <w:pPr>
        <w:pStyle w:val="24"/>
        <w:spacing w:line="440" w:lineRule="exact"/>
        <w:rPr>
          <w:rFonts w:hAnsi="宋体"/>
          <w:color w:val="auto"/>
          <w:highlight w:val="none"/>
        </w:rPr>
      </w:pPr>
      <w:r>
        <w:rPr>
          <w:rFonts w:hint="eastAsia" w:hAnsi="宋体"/>
          <w:color w:val="auto"/>
          <w:highlight w:val="none"/>
        </w:rPr>
        <w:t>项目名称：</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rPr>
        <w:t>项目编号：</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w:t>
      </w:r>
    </w:p>
    <w:p>
      <w:pPr>
        <w:pStyle w:val="24"/>
        <w:spacing w:line="440" w:lineRule="exact"/>
        <w:rPr>
          <w:rFonts w:hAnsi="宋体"/>
          <w:color w:val="auto"/>
          <w:highlight w:val="none"/>
        </w:rPr>
      </w:pPr>
    </w:p>
    <w:p>
      <w:pPr>
        <w:pStyle w:val="24"/>
        <w:spacing w:line="440" w:lineRule="exact"/>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4"/>
        <w:spacing w:line="440" w:lineRule="exact"/>
        <w:rPr>
          <w:rFonts w:hAnsi="宋体"/>
          <w:b/>
          <w:color w:val="auto"/>
          <w:highlight w:val="none"/>
        </w:rPr>
      </w:pPr>
      <w:r>
        <w:rPr>
          <w:rFonts w:hint="eastAsia" w:hAnsi="宋体"/>
          <w:b/>
          <w:color w:val="auto"/>
          <w:highlight w:val="none"/>
        </w:rPr>
        <w:t xml:space="preserve">    </w:t>
      </w:r>
    </w:p>
    <w:p>
      <w:pPr>
        <w:pStyle w:val="24"/>
        <w:spacing w:line="440" w:lineRule="exact"/>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日南宁市政府采购项目的采购结果，甲方接受乙方对本项目的</w:t>
      </w:r>
      <w:r>
        <w:rPr>
          <w:rFonts w:hint="eastAsia" w:hAnsi="宋体"/>
          <w:color w:val="auto"/>
          <w:highlight w:val="none"/>
          <w:lang w:eastAsia="zh-CN"/>
        </w:rPr>
        <w:t>竞</w:t>
      </w:r>
      <w:r>
        <w:rPr>
          <w:rFonts w:hint="eastAsia" w:hAnsi="宋体"/>
          <w:color w:val="auto"/>
          <w:highlight w:val="none"/>
        </w:rPr>
        <w:t>标，甲、乙双方同意签署本合同（以下简称合同）。</w:t>
      </w:r>
    </w:p>
    <w:p>
      <w:pPr>
        <w:pStyle w:val="24"/>
        <w:spacing w:line="440" w:lineRule="exact"/>
        <w:rPr>
          <w:rFonts w:hAnsi="宋体"/>
          <w:b/>
          <w:color w:val="auto"/>
          <w:highlight w:val="none"/>
        </w:rPr>
      </w:pPr>
    </w:p>
    <w:p>
      <w:pPr>
        <w:pStyle w:val="24"/>
        <w:spacing w:line="440" w:lineRule="exact"/>
        <w:rPr>
          <w:rFonts w:hAnsi="宋体"/>
          <w:b/>
          <w:bCs/>
          <w:color w:val="auto"/>
          <w:sz w:val="24"/>
          <w:highlight w:val="none"/>
        </w:rPr>
      </w:pPr>
      <w:r>
        <w:rPr>
          <w:rFonts w:hint="eastAsia" w:hAnsi="宋体"/>
          <w:b/>
          <w:bCs/>
          <w:color w:val="auto"/>
          <w:sz w:val="24"/>
          <w:highlight w:val="none"/>
        </w:rPr>
        <w:t>1.  采购内容</w:t>
      </w:r>
    </w:p>
    <w:p>
      <w:pPr>
        <w:pStyle w:val="24"/>
        <w:tabs>
          <w:tab w:val="left" w:pos="5220"/>
        </w:tabs>
        <w:spacing w:line="440" w:lineRule="exact"/>
        <w:ind w:firstLine="424" w:firstLineChars="202"/>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4"/>
        <w:tabs>
          <w:tab w:val="left" w:pos="5220"/>
        </w:tabs>
        <w:spacing w:line="440" w:lineRule="exact"/>
        <w:ind w:firstLine="424" w:firstLineChars="202"/>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4"/>
        <w:tabs>
          <w:tab w:val="left" w:pos="5220"/>
        </w:tabs>
        <w:spacing w:line="440" w:lineRule="exact"/>
        <w:ind w:firstLine="424" w:firstLineChars="202"/>
        <w:rPr>
          <w:rFonts w:hAnsi="宋体"/>
          <w:color w:val="auto"/>
          <w:highlight w:val="none"/>
        </w:rPr>
      </w:pPr>
      <w:r>
        <w:rPr>
          <w:rFonts w:hint="eastAsia" w:hAnsi="宋体"/>
          <w:color w:val="auto"/>
          <w:highlight w:val="none"/>
        </w:rPr>
        <w:t xml:space="preserve">1.2 </w:t>
      </w:r>
      <w:r>
        <w:rPr>
          <w:rFonts w:hint="eastAsia"/>
          <w:color w:val="auto"/>
          <w:szCs w:val="21"/>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详见合同附件中技术资料表</w:t>
      </w:r>
    </w:p>
    <w:p>
      <w:pPr>
        <w:pStyle w:val="24"/>
        <w:tabs>
          <w:tab w:val="left" w:pos="5145"/>
        </w:tabs>
        <w:spacing w:line="440" w:lineRule="exact"/>
        <w:rPr>
          <w:rFonts w:hAnsi="宋体"/>
          <w:b/>
          <w:bCs/>
          <w:color w:val="auto"/>
          <w:sz w:val="24"/>
          <w:highlight w:val="none"/>
        </w:rPr>
      </w:pPr>
      <w:r>
        <w:rPr>
          <w:rFonts w:hint="eastAsia" w:hAnsi="宋体"/>
          <w:b/>
          <w:bCs/>
          <w:color w:val="auto"/>
          <w:sz w:val="24"/>
          <w:highlight w:val="none"/>
        </w:rPr>
        <w:t>2.  合同金额</w:t>
      </w:r>
    </w:p>
    <w:p>
      <w:pPr>
        <w:pStyle w:val="24"/>
        <w:spacing w:line="440" w:lineRule="exact"/>
        <w:ind w:firstLine="424" w:firstLineChars="202"/>
        <w:rPr>
          <w:rFonts w:hAnsi="宋体"/>
          <w:b/>
          <w:bCs/>
          <w:color w:val="auto"/>
          <w:sz w:val="24"/>
          <w:highlight w:val="none"/>
        </w:rPr>
      </w:pPr>
      <w:r>
        <w:rPr>
          <w:rFonts w:hint="eastAsia" w:hAnsi="宋体"/>
          <w:color w:val="auto"/>
          <w:highlight w:val="none"/>
        </w:rPr>
        <w:t>2.1 本合同金额为（大写）人民币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元）。（详见报价表）</w:t>
      </w:r>
    </w:p>
    <w:p>
      <w:pPr>
        <w:pStyle w:val="24"/>
        <w:tabs>
          <w:tab w:val="left" w:pos="5940"/>
        </w:tabs>
        <w:spacing w:line="440" w:lineRule="exact"/>
        <w:rPr>
          <w:rFonts w:hAnsi="宋体"/>
          <w:b/>
          <w:bCs/>
          <w:color w:val="auto"/>
          <w:sz w:val="24"/>
          <w:highlight w:val="none"/>
        </w:rPr>
      </w:pPr>
      <w:r>
        <w:rPr>
          <w:rFonts w:hint="eastAsia" w:hAnsi="宋体"/>
          <w:b/>
          <w:bCs/>
          <w:color w:val="auto"/>
          <w:sz w:val="24"/>
          <w:highlight w:val="none"/>
        </w:rPr>
        <w:t>3.  提交服务成果时间和地点</w:t>
      </w:r>
    </w:p>
    <w:p>
      <w:pPr>
        <w:pStyle w:val="24"/>
        <w:tabs>
          <w:tab w:val="left" w:pos="5250"/>
          <w:tab w:val="left" w:pos="5940"/>
        </w:tabs>
        <w:spacing w:line="440" w:lineRule="exact"/>
        <w:ind w:firstLine="424" w:firstLineChars="202"/>
        <w:rPr>
          <w:rFonts w:hAnsi="宋体"/>
          <w:b/>
          <w:bCs/>
          <w:color w:val="auto"/>
          <w:sz w:val="24"/>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4"/>
        <w:tabs>
          <w:tab w:val="left" w:pos="5940"/>
        </w:tabs>
        <w:spacing w:line="440" w:lineRule="exact"/>
        <w:ind w:firstLine="424" w:firstLineChars="202"/>
        <w:rPr>
          <w:rFonts w:hAnsi="宋体"/>
          <w:b/>
          <w:bCs/>
          <w:color w:val="auto"/>
          <w:sz w:val="24"/>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p>
    <w:p>
      <w:pPr>
        <w:pStyle w:val="24"/>
        <w:tabs>
          <w:tab w:val="left" w:pos="5940"/>
        </w:tabs>
        <w:spacing w:line="440" w:lineRule="exact"/>
        <w:ind w:firstLine="424" w:firstLineChars="202"/>
        <w:rPr>
          <w:rFonts w:hAnsi="宋体"/>
          <w:b/>
          <w:bCs/>
          <w:color w:val="auto"/>
          <w:sz w:val="24"/>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4"/>
        <w:spacing w:line="440" w:lineRule="exact"/>
        <w:ind w:left="410" w:hanging="410" w:hangingChars="170"/>
        <w:rPr>
          <w:rFonts w:hAnsi="宋体"/>
          <w:b/>
          <w:color w:val="auto"/>
          <w:highlight w:val="none"/>
        </w:rPr>
      </w:pPr>
      <w:r>
        <w:rPr>
          <w:rFonts w:hint="eastAsia" w:hAnsi="宋体"/>
          <w:b/>
          <w:bCs/>
          <w:color w:val="auto"/>
          <w:sz w:val="24"/>
          <w:highlight w:val="none"/>
        </w:rPr>
        <w:t>4.  履约保证金</w:t>
      </w:r>
    </w:p>
    <w:p>
      <w:pPr>
        <w:pStyle w:val="24"/>
        <w:spacing w:line="440" w:lineRule="exact"/>
        <w:ind w:firstLine="420" w:firstLineChars="200"/>
        <w:rPr>
          <w:rFonts w:hAnsi="宋体"/>
          <w:color w:val="auto"/>
          <w:highlight w:val="none"/>
        </w:rPr>
      </w:pPr>
      <w:r>
        <w:rPr>
          <w:rFonts w:hint="eastAsia" w:hAnsi="宋体"/>
          <w:color w:val="auto"/>
          <w:highlight w:val="none"/>
        </w:rPr>
        <w:t>4</w:t>
      </w:r>
      <w:r>
        <w:rPr>
          <w:rFonts w:hint="eastAsia" w:ascii="Times New Roman" w:hAnsi="Times New Roman"/>
          <w:color w:val="auto"/>
          <w:highlight w:val="none"/>
        </w:rPr>
        <w:t>.1根据</w:t>
      </w:r>
      <w:r>
        <w:rPr>
          <w:rFonts w:ascii="Times New Roman" w:hAnsi="Times New Roman"/>
          <w:color w:val="auto"/>
          <w:highlight w:val="none"/>
        </w:rPr>
        <w:t>南财采〔2019〕27号</w:t>
      </w:r>
      <w:r>
        <w:rPr>
          <w:rFonts w:hint="eastAsia" w:ascii="Times New Roman" w:hAnsi="Times New Roman"/>
          <w:color w:val="auto"/>
          <w:highlight w:val="none"/>
        </w:rPr>
        <w:t>文精神，本项目不收取履约保证金。</w:t>
      </w:r>
      <w:r>
        <w:rPr>
          <w:rFonts w:hint="eastAsia" w:hAnsi="宋体"/>
          <w:color w:val="auto"/>
          <w:highlight w:val="none"/>
        </w:rPr>
        <w:t>无。</w:t>
      </w:r>
    </w:p>
    <w:p>
      <w:pPr>
        <w:pStyle w:val="24"/>
        <w:spacing w:line="440" w:lineRule="exact"/>
        <w:ind w:left="412" w:hanging="412" w:hangingChars="171"/>
        <w:rPr>
          <w:rFonts w:hAnsi="宋体"/>
          <w:b/>
          <w:color w:val="auto"/>
          <w:highlight w:val="none"/>
        </w:rPr>
      </w:pPr>
      <w:r>
        <w:rPr>
          <w:rFonts w:hint="eastAsia" w:hAnsi="宋体"/>
          <w:b/>
          <w:bCs/>
          <w:color w:val="auto"/>
          <w:sz w:val="24"/>
          <w:highlight w:val="none"/>
        </w:rPr>
        <w:t>5.  产权</w:t>
      </w:r>
    </w:p>
    <w:p>
      <w:pPr>
        <w:pStyle w:val="24"/>
        <w:spacing w:line="440" w:lineRule="exact"/>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4"/>
        <w:spacing w:line="440" w:lineRule="exact"/>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4"/>
        <w:spacing w:line="440" w:lineRule="exact"/>
        <w:rPr>
          <w:rFonts w:hAnsi="宋体"/>
          <w:b/>
          <w:color w:val="auto"/>
          <w:highlight w:val="none"/>
        </w:rPr>
      </w:pPr>
      <w:r>
        <w:rPr>
          <w:rFonts w:hint="eastAsia" w:hAnsi="宋体"/>
          <w:b/>
          <w:bCs/>
          <w:color w:val="auto"/>
          <w:sz w:val="24"/>
          <w:highlight w:val="none"/>
        </w:rPr>
        <w:t>6.  技术资料</w:t>
      </w:r>
    </w:p>
    <w:p>
      <w:pPr>
        <w:pStyle w:val="24"/>
        <w:tabs>
          <w:tab w:val="left" w:pos="0"/>
        </w:tabs>
        <w:spacing w:line="440" w:lineRule="exact"/>
        <w:ind w:firstLine="424" w:firstLineChars="202"/>
        <w:rPr>
          <w:rFonts w:hAnsi="宋体"/>
          <w:color w:val="auto"/>
          <w:highlight w:val="none"/>
        </w:rPr>
      </w:pPr>
      <w:r>
        <w:rPr>
          <w:rFonts w:hint="eastAsia" w:hAnsi="宋体"/>
          <w:color w:val="auto"/>
          <w:highlight w:val="none"/>
        </w:rPr>
        <w:t>6.1 甲方应向乙方提供提交服务成果所必需的有关数据、资料等。</w:t>
      </w:r>
    </w:p>
    <w:p>
      <w:pPr>
        <w:pStyle w:val="24"/>
        <w:tabs>
          <w:tab w:val="left" w:pos="0"/>
        </w:tabs>
        <w:spacing w:line="440" w:lineRule="exact"/>
        <w:ind w:firstLine="424" w:firstLineChars="202"/>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pacing w:line="440" w:lineRule="exact"/>
        <w:rPr>
          <w:rFonts w:hAnsi="宋体"/>
          <w:b/>
          <w:bCs/>
          <w:color w:val="auto"/>
          <w:sz w:val="24"/>
          <w:highlight w:val="none"/>
        </w:rPr>
      </w:pPr>
      <w:r>
        <w:rPr>
          <w:rFonts w:hint="eastAsia" w:hAnsi="宋体"/>
          <w:b/>
          <w:bCs/>
          <w:color w:val="auto"/>
          <w:sz w:val="24"/>
          <w:highlight w:val="none"/>
        </w:rPr>
        <w:t>7.  验收</w:t>
      </w:r>
    </w:p>
    <w:p>
      <w:pPr>
        <w:pStyle w:val="24"/>
        <w:tabs>
          <w:tab w:val="left" w:pos="0"/>
        </w:tabs>
        <w:spacing w:line="440" w:lineRule="exact"/>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4"/>
        <w:tabs>
          <w:tab w:val="left" w:pos="0"/>
        </w:tabs>
        <w:spacing w:line="440" w:lineRule="exact"/>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4"/>
        <w:tabs>
          <w:tab w:val="left" w:pos="0"/>
        </w:tabs>
        <w:spacing w:line="440" w:lineRule="exact"/>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4"/>
        <w:spacing w:line="440" w:lineRule="exact"/>
        <w:rPr>
          <w:rFonts w:hAnsi="宋体"/>
          <w:b/>
          <w:bCs/>
          <w:color w:val="auto"/>
          <w:sz w:val="24"/>
          <w:highlight w:val="none"/>
        </w:rPr>
      </w:pPr>
      <w:r>
        <w:rPr>
          <w:rFonts w:hint="eastAsia" w:hAnsi="宋体"/>
          <w:b/>
          <w:bCs/>
          <w:color w:val="auto"/>
          <w:sz w:val="24"/>
          <w:highlight w:val="none"/>
        </w:rPr>
        <w:t>8.  合同款支付</w:t>
      </w:r>
    </w:p>
    <w:p>
      <w:pPr>
        <w:pStyle w:val="24"/>
        <w:tabs>
          <w:tab w:val="left" w:pos="5145"/>
          <w:tab w:val="left" w:pos="5355"/>
          <w:tab w:val="left" w:pos="6195"/>
        </w:tabs>
        <w:spacing w:line="440" w:lineRule="exact"/>
        <w:ind w:firstLine="420" w:firstLineChars="200"/>
        <w:rPr>
          <w:rFonts w:hAnsi="宋体"/>
          <w:bCs/>
          <w:color w:val="auto"/>
          <w:highlight w:val="none"/>
          <w:u w:val="single"/>
        </w:rPr>
      </w:pPr>
      <w:r>
        <w:rPr>
          <w:rFonts w:hint="eastAsia" w:hAnsi="宋体"/>
          <w:bCs/>
          <w:color w:val="auto"/>
          <w:highlight w:val="none"/>
        </w:rPr>
        <w:t>8.1 付款方式：</w:t>
      </w:r>
      <w:r>
        <w:rPr>
          <w:rFonts w:hint="eastAsia" w:hAnsi="宋体"/>
          <w:bCs/>
          <w:color w:val="auto"/>
          <w:highlight w:val="none"/>
          <w:u w:val="single"/>
        </w:rPr>
        <w:t xml:space="preserve">                               </w:t>
      </w:r>
    </w:p>
    <w:p>
      <w:pPr>
        <w:pStyle w:val="24"/>
        <w:tabs>
          <w:tab w:val="left" w:pos="5145"/>
          <w:tab w:val="left" w:pos="5355"/>
          <w:tab w:val="left" w:pos="6195"/>
        </w:tabs>
        <w:spacing w:line="440" w:lineRule="exact"/>
        <w:ind w:firstLine="420" w:firstLineChars="200"/>
        <w:rPr>
          <w:rFonts w:hAnsi="宋体"/>
          <w:bCs/>
          <w:color w:val="auto"/>
          <w:highlight w:val="none"/>
          <w:u w:val="single"/>
        </w:rPr>
      </w:pPr>
      <w:r>
        <w:rPr>
          <w:rFonts w:hint="eastAsia" w:hAnsi="宋体"/>
          <w:color w:val="auto"/>
          <w:highlight w:val="none"/>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24"/>
        <w:tabs>
          <w:tab w:val="left" w:pos="5145"/>
          <w:tab w:val="left" w:pos="5355"/>
          <w:tab w:val="left" w:pos="6195"/>
        </w:tabs>
        <w:spacing w:line="440" w:lineRule="exact"/>
        <w:ind w:firstLine="420" w:firstLineChars="200"/>
        <w:rPr>
          <w:rFonts w:hAnsi="宋体"/>
          <w:bCs/>
          <w:color w:val="auto"/>
          <w:highlight w:val="none"/>
          <w:u w:val="single"/>
        </w:rPr>
      </w:pPr>
      <w:r>
        <w:rPr>
          <w:rFonts w:hint="eastAsia" w:hAnsi="宋体"/>
          <w:color w:val="auto"/>
          <w:highlight w:val="none"/>
        </w:rPr>
        <w:t xml:space="preserve">8.3 </w:t>
      </w:r>
      <w:r>
        <w:rPr>
          <w:rFonts w:hint="eastAsia" w:hAnsi="宋体"/>
          <w:color w:val="auto"/>
          <w:szCs w:val="21"/>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24"/>
        <w:spacing w:line="440" w:lineRule="exact"/>
        <w:rPr>
          <w:rFonts w:hAnsi="宋体"/>
          <w:b/>
          <w:bCs/>
          <w:color w:val="auto"/>
          <w:sz w:val="24"/>
          <w:highlight w:val="none"/>
        </w:rPr>
      </w:pPr>
      <w:r>
        <w:rPr>
          <w:rFonts w:hint="eastAsia" w:hAnsi="宋体"/>
          <w:b/>
          <w:bCs/>
          <w:color w:val="auto"/>
          <w:sz w:val="24"/>
          <w:highlight w:val="none"/>
        </w:rPr>
        <w:t>9.  售后服务要求</w:t>
      </w:r>
    </w:p>
    <w:p>
      <w:pPr>
        <w:pStyle w:val="24"/>
        <w:spacing w:line="440" w:lineRule="exact"/>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（自提交服务验收合格之日起计）</w:t>
      </w:r>
    </w:p>
    <w:p>
      <w:pPr>
        <w:pStyle w:val="24"/>
        <w:spacing w:line="440" w:lineRule="exact"/>
        <w:ind w:firstLine="420" w:firstLineChars="200"/>
        <w:rPr>
          <w:rFonts w:hAnsi="宋体"/>
          <w:color w:val="auto"/>
          <w:highlight w:val="none"/>
        </w:rPr>
      </w:pPr>
      <w:r>
        <w:rPr>
          <w:rFonts w:hint="eastAsia" w:hAnsi="宋体"/>
          <w:color w:val="auto"/>
          <w:highlight w:val="none"/>
        </w:rPr>
        <w:t>9.2根据</w:t>
      </w:r>
      <w:r>
        <w:rPr>
          <w:rFonts w:hAnsi="宋体"/>
          <w:color w:val="auto"/>
          <w:highlight w:val="none"/>
        </w:rPr>
        <w:t>南财采〔2019〕27号</w:t>
      </w:r>
      <w:r>
        <w:rPr>
          <w:rFonts w:hint="eastAsia" w:hAnsi="宋体"/>
          <w:color w:val="auto"/>
          <w:highlight w:val="none"/>
        </w:rPr>
        <w:t>文精神，本项目不收取质量保证金。</w:t>
      </w:r>
    </w:p>
    <w:p>
      <w:pPr>
        <w:pStyle w:val="24"/>
        <w:spacing w:line="440" w:lineRule="exact"/>
        <w:ind w:firstLine="420" w:firstLineChars="200"/>
        <w:rPr>
          <w:rFonts w:hAnsi="宋体"/>
          <w:color w:val="auto"/>
          <w:highlight w:val="none"/>
        </w:rPr>
      </w:pPr>
      <w:r>
        <w:rPr>
          <w:rFonts w:hint="eastAsia" w:hAnsi="宋体"/>
          <w:color w:val="auto"/>
          <w:highlight w:val="none"/>
        </w:rPr>
        <w:t>9.3 在本合同第9.1项约定的质量保证期内，乙方应对服务出现的问题负责处理解决并承担一切费用。</w:t>
      </w:r>
    </w:p>
    <w:p>
      <w:pPr>
        <w:pStyle w:val="24"/>
        <w:tabs>
          <w:tab w:val="left" w:pos="5250"/>
        </w:tabs>
        <w:spacing w:line="440" w:lineRule="exact"/>
        <w:ind w:firstLine="420" w:firstLineChars="200"/>
        <w:rPr>
          <w:rFonts w:hAnsi="宋体"/>
          <w:color w:val="auto"/>
          <w:highlight w:val="none"/>
          <w:u w:val="single"/>
        </w:rPr>
      </w:pPr>
      <w:r>
        <w:rPr>
          <w:rFonts w:hint="eastAsia" w:hAnsi="宋体"/>
          <w:color w:val="auto"/>
          <w:highlight w:val="none"/>
        </w:rPr>
        <w:t>9.4 其他售后服务要求：</w:t>
      </w:r>
      <w:r>
        <w:rPr>
          <w:rFonts w:hint="eastAsia" w:hAnsi="宋体"/>
          <w:color w:val="auto"/>
          <w:highlight w:val="none"/>
          <w:u w:val="single"/>
        </w:rPr>
        <w:t>按投标文件商务条款偏离表内容执行。</w:t>
      </w:r>
    </w:p>
    <w:p>
      <w:pPr>
        <w:pStyle w:val="24"/>
        <w:spacing w:line="440" w:lineRule="exact"/>
        <w:rPr>
          <w:rFonts w:hAnsi="宋体"/>
          <w:b/>
          <w:bCs/>
          <w:color w:val="auto"/>
          <w:sz w:val="24"/>
          <w:highlight w:val="none"/>
        </w:rPr>
      </w:pPr>
      <w:r>
        <w:rPr>
          <w:rFonts w:hint="eastAsia" w:hAnsi="宋体"/>
          <w:b/>
          <w:bCs/>
          <w:color w:val="auto"/>
          <w:sz w:val="24"/>
          <w:highlight w:val="none"/>
        </w:rPr>
        <w:t>10.  违约责任</w:t>
      </w:r>
    </w:p>
    <w:p>
      <w:pPr>
        <w:pStyle w:val="24"/>
        <w:spacing w:line="440" w:lineRule="exact"/>
        <w:ind w:firstLine="420" w:firstLineChars="200"/>
        <w:rPr>
          <w:rFonts w:hAnsi="宋体"/>
          <w:color w:val="auto"/>
          <w:highlight w:val="none"/>
        </w:rPr>
      </w:pPr>
      <w:r>
        <w:rPr>
          <w:rFonts w:hint="eastAsia" w:hAnsi="宋体"/>
          <w:color w:val="auto"/>
          <w:highlight w:val="none"/>
        </w:rPr>
        <w:t>10.1 甲方无正当理由拒收服务的，甲方向乙方偿付拒收服务费总值的百分之五违约金。</w:t>
      </w:r>
    </w:p>
    <w:p>
      <w:pPr>
        <w:pStyle w:val="24"/>
        <w:spacing w:line="440" w:lineRule="exact"/>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4"/>
        <w:spacing w:line="440" w:lineRule="exact"/>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4"/>
        <w:spacing w:line="440" w:lineRule="exact"/>
        <w:rPr>
          <w:rFonts w:hAnsi="宋体"/>
          <w:b/>
          <w:bCs/>
          <w:color w:val="auto"/>
          <w:sz w:val="24"/>
          <w:highlight w:val="none"/>
        </w:rPr>
      </w:pPr>
      <w:r>
        <w:rPr>
          <w:rFonts w:hint="eastAsia" w:hAnsi="宋体"/>
          <w:b/>
          <w:bCs/>
          <w:color w:val="auto"/>
          <w:sz w:val="24"/>
          <w:highlight w:val="none"/>
        </w:rPr>
        <w:t>11.  不可抗力事件处理</w:t>
      </w:r>
    </w:p>
    <w:p>
      <w:pPr>
        <w:pStyle w:val="24"/>
        <w:spacing w:line="440" w:lineRule="exact"/>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4"/>
        <w:spacing w:line="440" w:lineRule="exact"/>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4"/>
        <w:spacing w:line="440" w:lineRule="exact"/>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4"/>
        <w:spacing w:line="440" w:lineRule="exact"/>
        <w:rPr>
          <w:rFonts w:hAnsi="宋体"/>
          <w:b/>
          <w:bCs/>
          <w:color w:val="auto"/>
          <w:sz w:val="24"/>
          <w:highlight w:val="none"/>
        </w:rPr>
      </w:pPr>
      <w:r>
        <w:rPr>
          <w:rFonts w:hint="eastAsia" w:hAnsi="宋体"/>
          <w:b/>
          <w:bCs/>
          <w:color w:val="auto"/>
          <w:sz w:val="24"/>
          <w:highlight w:val="none"/>
        </w:rPr>
        <w:t>12.  诉讼</w:t>
      </w:r>
    </w:p>
    <w:p>
      <w:pPr>
        <w:pStyle w:val="24"/>
        <w:tabs>
          <w:tab w:val="left" w:pos="0"/>
        </w:tabs>
        <w:spacing w:line="440" w:lineRule="exact"/>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w:t>
      </w:r>
    </w:p>
    <w:p>
      <w:pPr>
        <w:pStyle w:val="24"/>
        <w:spacing w:line="440" w:lineRule="exact"/>
        <w:rPr>
          <w:rFonts w:hAnsi="宋体"/>
          <w:b/>
          <w:bCs/>
          <w:color w:val="auto"/>
          <w:sz w:val="24"/>
          <w:highlight w:val="none"/>
        </w:rPr>
      </w:pPr>
      <w:r>
        <w:rPr>
          <w:rFonts w:hint="eastAsia" w:hAnsi="宋体"/>
          <w:b/>
          <w:bCs/>
          <w:color w:val="auto"/>
          <w:sz w:val="24"/>
          <w:highlight w:val="none"/>
        </w:rPr>
        <w:t>13.  合同生效及其它</w:t>
      </w:r>
    </w:p>
    <w:p>
      <w:pPr>
        <w:pStyle w:val="24"/>
        <w:spacing w:line="440" w:lineRule="exact"/>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4"/>
        <w:spacing w:line="440" w:lineRule="exact"/>
        <w:ind w:firstLine="420" w:firstLineChars="200"/>
        <w:rPr>
          <w:rFonts w:hAnsi="宋体"/>
          <w:color w:val="auto"/>
          <w:highlight w:val="none"/>
        </w:rPr>
      </w:pPr>
      <w:r>
        <w:rPr>
          <w:rFonts w:hint="eastAsia" w:hAnsi="宋体"/>
          <w:color w:val="auto"/>
          <w:highlight w:val="none"/>
        </w:rPr>
        <w:t xml:space="preserve">13.2 </w:t>
      </w:r>
      <w:r>
        <w:rPr>
          <w:rFonts w:hint="eastAsia" w:hAnsi="宋体"/>
          <w:color w:val="auto"/>
          <w:szCs w:val="21"/>
          <w:highlight w:val="none"/>
        </w:rPr>
        <w:t>合同执行中涉及采购资金和采购内容修改或补充的，须经市财政部门审批，并签书面补充协议报南宁市政府采购监督管理部门备案，方可作为主合同不可分割的一部分。</w:t>
      </w:r>
    </w:p>
    <w:p>
      <w:pPr>
        <w:pStyle w:val="24"/>
        <w:spacing w:line="440" w:lineRule="exact"/>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rPr>
        <w:t>1</w:t>
      </w:r>
      <w:r>
        <w:rPr>
          <w:rFonts w:hint="eastAsia" w:hAnsi="宋体"/>
          <w:color w:val="auto"/>
          <w:highlight w:val="none"/>
          <w:lang w:eastAsia="zh-CN"/>
        </w:rPr>
        <w:t>）</w:t>
      </w:r>
      <w:r>
        <w:rPr>
          <w:rFonts w:hint="eastAsia" w:hAnsi="宋体"/>
          <w:color w:val="auto"/>
          <w:highlight w:val="none"/>
        </w:rPr>
        <w:t>成交通知书</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lang w:eastAsia="zh-CN"/>
        </w:rPr>
        <w:t>）</w:t>
      </w:r>
      <w:r>
        <w:rPr>
          <w:rFonts w:hint="eastAsia" w:hAnsi="宋体"/>
          <w:color w:val="auto"/>
          <w:highlight w:val="none"/>
        </w:rPr>
        <w:t>竞争性谈判文件需求一览表</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lang w:eastAsia="zh-CN"/>
        </w:rPr>
        <w:t>）</w:t>
      </w:r>
      <w:r>
        <w:rPr>
          <w:rFonts w:hint="eastAsia" w:hAnsi="宋体"/>
          <w:color w:val="auto"/>
          <w:highlight w:val="none"/>
        </w:rPr>
        <w:t>竞争性谈判文件的更改通知（如有请提供）</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4</w:t>
      </w:r>
      <w:r>
        <w:rPr>
          <w:rFonts w:hint="eastAsia" w:hAnsi="宋体"/>
          <w:color w:val="auto"/>
          <w:highlight w:val="none"/>
          <w:lang w:eastAsia="zh-CN"/>
        </w:rPr>
        <w:t>）</w:t>
      </w:r>
      <w:r>
        <w:rPr>
          <w:rFonts w:hint="eastAsia" w:hAnsi="宋体"/>
          <w:color w:val="auto"/>
          <w:highlight w:val="none"/>
        </w:rPr>
        <w:t>响应函</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5</w:t>
      </w:r>
      <w:r>
        <w:rPr>
          <w:rFonts w:hint="eastAsia" w:hAnsi="宋体"/>
          <w:color w:val="auto"/>
          <w:highlight w:val="none"/>
          <w:lang w:eastAsia="zh-CN"/>
        </w:rPr>
        <w:t>）</w:t>
      </w:r>
      <w:r>
        <w:rPr>
          <w:rFonts w:hint="eastAsia" w:hAnsi="宋体"/>
          <w:color w:val="auto"/>
          <w:highlight w:val="none"/>
        </w:rPr>
        <w:t>报价表</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6</w:t>
      </w:r>
      <w:r>
        <w:rPr>
          <w:rFonts w:hint="eastAsia" w:hAnsi="宋体"/>
          <w:color w:val="auto"/>
          <w:highlight w:val="none"/>
          <w:lang w:eastAsia="zh-CN"/>
        </w:rPr>
        <w:t>）</w:t>
      </w:r>
      <w:r>
        <w:rPr>
          <w:rFonts w:hint="eastAsia" w:hAnsi="宋体"/>
          <w:color w:val="auto"/>
          <w:highlight w:val="none"/>
        </w:rPr>
        <w:t>技术资料表</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7</w:t>
      </w:r>
      <w:r>
        <w:rPr>
          <w:rFonts w:hint="eastAsia" w:hAnsi="宋体"/>
          <w:color w:val="auto"/>
          <w:highlight w:val="none"/>
          <w:lang w:eastAsia="zh-CN"/>
        </w:rPr>
        <w:t>）</w:t>
      </w:r>
      <w:r>
        <w:rPr>
          <w:rFonts w:hint="eastAsia" w:hAnsi="宋体"/>
          <w:color w:val="auto"/>
          <w:highlight w:val="none"/>
        </w:rPr>
        <w:t>商务条款偏离表</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8</w:t>
      </w:r>
      <w:r>
        <w:rPr>
          <w:rFonts w:hint="eastAsia" w:hAnsi="宋体"/>
          <w:color w:val="auto"/>
          <w:highlight w:val="none"/>
          <w:lang w:eastAsia="zh-CN"/>
        </w:rPr>
        <w:t>）</w:t>
      </w:r>
      <w:r>
        <w:rPr>
          <w:rFonts w:hint="eastAsia" w:hAnsi="宋体"/>
          <w:color w:val="auto"/>
          <w:highlight w:val="none"/>
        </w:rPr>
        <w:t>响应文件</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9</w:t>
      </w:r>
      <w:r>
        <w:rPr>
          <w:rFonts w:hint="eastAsia" w:hAnsi="宋体"/>
          <w:color w:val="auto"/>
          <w:highlight w:val="none"/>
          <w:lang w:eastAsia="zh-CN"/>
        </w:rPr>
        <w:t>）</w:t>
      </w:r>
      <w:r>
        <w:rPr>
          <w:rFonts w:hint="eastAsia" w:hAnsi="宋体"/>
          <w:color w:val="auto"/>
          <w:highlight w:val="none"/>
        </w:rPr>
        <w:t>成交供应商澄清函（如有请提供）</w:t>
      </w:r>
    </w:p>
    <w:p>
      <w:pPr>
        <w:pStyle w:val="24"/>
        <w:spacing w:line="460" w:lineRule="exact"/>
        <w:ind w:firstLine="357"/>
        <w:rPr>
          <w:rFonts w:hint="eastAsia" w:hAnsi="宋体"/>
          <w:color w:val="auto"/>
          <w:highlight w:val="none"/>
        </w:rPr>
      </w:pPr>
      <w:r>
        <w:rPr>
          <w:rFonts w:hint="eastAsia" w:hAnsi="宋体"/>
          <w:color w:val="auto"/>
          <w:highlight w:val="none"/>
          <w:lang w:eastAsia="zh-CN"/>
        </w:rPr>
        <w:t>（</w:t>
      </w:r>
      <w:r>
        <w:rPr>
          <w:rFonts w:hint="eastAsia" w:hAnsi="宋体"/>
          <w:color w:val="auto"/>
          <w:highlight w:val="none"/>
        </w:rPr>
        <w:t>1</w:t>
      </w:r>
      <w:r>
        <w:rPr>
          <w:rFonts w:hint="eastAsia" w:hAnsi="宋体"/>
          <w:color w:val="auto"/>
          <w:highlight w:val="none"/>
          <w:lang w:val="en-US" w:eastAsia="zh-CN"/>
        </w:rPr>
        <w:t>0</w:t>
      </w:r>
      <w:r>
        <w:rPr>
          <w:rFonts w:hint="eastAsia" w:hAnsi="宋体"/>
          <w:color w:val="auto"/>
          <w:highlight w:val="none"/>
          <w:lang w:eastAsia="zh-CN"/>
        </w:rPr>
        <w:t>）</w:t>
      </w:r>
      <w:r>
        <w:rPr>
          <w:rFonts w:hint="eastAsia" w:hAnsi="宋体"/>
          <w:color w:val="auto"/>
          <w:highlight w:val="none"/>
        </w:rPr>
        <w:t>最后报价</w:t>
      </w:r>
    </w:p>
    <w:p>
      <w:pPr>
        <w:pStyle w:val="24"/>
        <w:spacing w:line="460" w:lineRule="exact"/>
        <w:ind w:firstLine="357"/>
        <w:rPr>
          <w:rFonts w:hAnsi="宋体"/>
          <w:color w:val="auto"/>
          <w:highlight w:val="none"/>
        </w:rPr>
      </w:pPr>
      <w:r>
        <w:rPr>
          <w:rFonts w:hint="eastAsia" w:hAnsi="宋体"/>
          <w:color w:val="auto"/>
          <w:highlight w:val="none"/>
        </w:rPr>
        <w:t>11、其他与本合同相关的资料（如有请提供）</w:t>
      </w:r>
    </w:p>
    <w:p>
      <w:pPr>
        <w:pStyle w:val="24"/>
        <w:spacing w:line="440" w:lineRule="exact"/>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4"/>
        <w:spacing w:line="440" w:lineRule="exact"/>
        <w:ind w:firstLine="420" w:firstLineChars="200"/>
        <w:rPr>
          <w:rFonts w:hAnsi="宋体"/>
          <w:color w:val="auto"/>
          <w:highlight w:val="none"/>
        </w:rPr>
      </w:pPr>
      <w:r>
        <w:rPr>
          <w:rFonts w:hint="eastAsia" w:hAnsi="宋体"/>
          <w:color w:val="auto"/>
          <w:highlight w:val="none"/>
        </w:rPr>
        <w:t>13.5 本合同正本一式两份，具有同等法律效力，甲乙双方各执一份；副本一份。</w:t>
      </w:r>
    </w:p>
    <w:p>
      <w:pPr>
        <w:pStyle w:val="24"/>
        <w:spacing w:line="440" w:lineRule="exact"/>
        <w:rPr>
          <w:rFonts w:hAnsi="宋体"/>
          <w:color w:val="auto"/>
          <w:highlight w:val="none"/>
        </w:rPr>
      </w:pPr>
    </w:p>
    <w:p>
      <w:pPr>
        <w:pStyle w:val="24"/>
        <w:spacing w:line="440" w:lineRule="exact"/>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4"/>
        <w:spacing w:line="440" w:lineRule="exact"/>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4"/>
        <w:spacing w:line="440" w:lineRule="exact"/>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4"/>
        <w:spacing w:line="440" w:lineRule="exact"/>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4"/>
        <w:spacing w:line="440" w:lineRule="exac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统一社会代码：</w:t>
      </w:r>
      <w:r>
        <w:rPr>
          <w:rFonts w:hint="eastAsia" w:hAnsi="宋体"/>
          <w:color w:val="auto"/>
          <w:highlight w:val="none"/>
          <w:u w:val="single"/>
        </w:rPr>
        <w:t xml:space="preserve">                            </w:t>
      </w:r>
    </w:p>
    <w:p>
      <w:pPr>
        <w:pStyle w:val="24"/>
        <w:spacing w:line="440" w:lineRule="exact"/>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4"/>
        <w:spacing w:line="440" w:lineRule="exact"/>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4"/>
        <w:spacing w:line="440" w:lineRule="exact"/>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4"/>
        <w:spacing w:line="440" w:lineRule="exact"/>
        <w:rPr>
          <w:rFonts w:hAnsi="宋体"/>
          <w:color w:val="auto"/>
          <w:highlight w:val="none"/>
        </w:rPr>
      </w:pPr>
    </w:p>
    <w:p>
      <w:pPr>
        <w:pStyle w:val="24"/>
        <w:spacing w:line="440" w:lineRule="exact"/>
        <w:rPr>
          <w:rFonts w:hAnsi="宋体"/>
          <w:color w:val="auto"/>
          <w:highlight w:val="none"/>
        </w:rPr>
      </w:pPr>
      <w:r>
        <w:rPr>
          <w:rFonts w:hint="eastAsia" w:hAnsi="宋体"/>
          <w:color w:val="auto"/>
          <w:highlight w:val="none"/>
        </w:rPr>
        <w:t xml:space="preserve">合同签订地点：广西南宁市 </w:t>
      </w:r>
    </w:p>
    <w:p>
      <w:pPr>
        <w:snapToGrid w:val="0"/>
        <w:jc w:val="center"/>
        <w:rPr>
          <w:rFonts w:ascii="宋体" w:hAnsi="宋体"/>
          <w:color w:val="auto"/>
          <w:sz w:val="24"/>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color w:val="auto"/>
          <w:highlight w:val="none"/>
        </w:rPr>
        <w:t xml:space="preserve">   </w:t>
      </w:r>
      <w:r>
        <w:rPr>
          <w:rFonts w:ascii="宋体" w:hAnsi="宋体"/>
          <w:b/>
          <w:color w:val="auto"/>
          <w:sz w:val="24"/>
          <w:highlight w:val="none"/>
        </w:rPr>
        <w:br w:type="page"/>
      </w:r>
    </w:p>
    <w:p>
      <w:pPr>
        <w:snapToGrid w:val="0"/>
        <w:ind w:firstLine="480" w:firstLineChars="200"/>
        <w:rPr>
          <w:rFonts w:ascii="宋体" w:hAnsi="宋体"/>
          <w:color w:val="auto"/>
          <w:sz w:val="24"/>
          <w:highlight w:val="none"/>
          <w:u w:val="single"/>
        </w:rPr>
      </w:pPr>
    </w:p>
    <w:p>
      <w:pPr>
        <w:pStyle w:val="24"/>
        <w:tabs>
          <w:tab w:val="left" w:pos="2472"/>
        </w:tabs>
        <w:snapToGrid w:val="0"/>
        <w:jc w:val="center"/>
        <w:rPr>
          <w:rFonts w:hAnsi="宋体"/>
          <w:color w:val="auto"/>
          <w:highlight w:val="none"/>
        </w:rPr>
      </w:pPr>
    </w:p>
    <w:p>
      <w:pPr>
        <w:pStyle w:val="24"/>
        <w:spacing w:line="360" w:lineRule="auto"/>
        <w:jc w:val="center"/>
        <w:rPr>
          <w:rFonts w:hAnsi="宋体" w:cs="宋体"/>
          <w:b/>
          <w:bCs/>
          <w:color w:val="auto"/>
          <w:sz w:val="36"/>
          <w:szCs w:val="36"/>
          <w:highlight w:val="none"/>
        </w:rPr>
      </w:pPr>
      <w:bookmarkStart w:id="54" w:name="_Toc8880_WPSOffice_Level2"/>
      <w:bookmarkStart w:id="55" w:name="_Toc6937_WPSOffice_Level2"/>
      <w:r>
        <w:rPr>
          <w:rFonts w:hint="eastAsia" w:hAnsi="宋体" w:cs="宋体"/>
          <w:color w:val="auto"/>
          <w:sz w:val="36"/>
          <w:szCs w:val="36"/>
          <w:highlight w:val="none"/>
        </w:rPr>
        <w:t>政府采购项目合同验收报告（格式）</w:t>
      </w:r>
      <w:bookmarkEnd w:id="54"/>
      <w:bookmarkEnd w:id="55"/>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政府采购项目成交供应商（公司名称）       </w:t>
      </w:r>
      <w:r>
        <w:rPr>
          <w:rFonts w:hint="eastAsia" w:ascii="宋体" w:hAnsi="宋体"/>
          <w:color w:val="auto"/>
          <w:kern w:val="0"/>
          <w:szCs w:val="21"/>
          <w:highlight w:val="none"/>
        </w:rPr>
        <w:t>提供的或服务进行了验收，验收情况如下：</w:t>
      </w:r>
    </w:p>
    <w:tbl>
      <w:tblPr>
        <w:tblStyle w:val="43"/>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服务内容、标准</w:t>
            </w: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r>
              <w:rPr>
                <w:rFonts w:hint="eastAsia"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9"/>
        <w:rPr>
          <w:rFonts w:hAnsi="宋体"/>
          <w:color w:val="auto"/>
          <w:sz w:val="24"/>
          <w:highlight w:val="none"/>
        </w:rPr>
      </w:pPr>
    </w:p>
    <w:p>
      <w:pPr>
        <w:pStyle w:val="24"/>
        <w:snapToGrid w:val="0"/>
        <w:spacing w:before="120" w:after="120"/>
        <w:jc w:val="center"/>
        <w:outlineLvl w:val="0"/>
        <w:rPr>
          <w:rFonts w:hAnsi="宋体"/>
          <w:b/>
          <w:color w:val="auto"/>
          <w:sz w:val="44"/>
          <w:szCs w:val="44"/>
          <w:highlight w:val="none"/>
        </w:rPr>
      </w:pPr>
      <w:bookmarkStart w:id="56" w:name="_Toc19899"/>
      <w:r>
        <w:rPr>
          <w:rFonts w:hint="eastAsia" w:hAnsi="宋体"/>
          <w:b/>
          <w:color w:val="auto"/>
          <w:sz w:val="44"/>
          <w:szCs w:val="44"/>
          <w:highlight w:val="none"/>
        </w:rPr>
        <w:t>第六章  评审办法及评审标准</w:t>
      </w:r>
      <w:bookmarkEnd w:id="56"/>
    </w:p>
    <w:p>
      <w:pPr>
        <w:pStyle w:val="24"/>
        <w:snapToGrid w:val="0"/>
        <w:jc w:val="center"/>
        <w:outlineLvl w:val="0"/>
        <w:rPr>
          <w:rFonts w:hAnsi="宋体"/>
          <w:b/>
          <w:color w:val="auto"/>
          <w:sz w:val="32"/>
          <w:szCs w:val="32"/>
          <w:highlight w:val="none"/>
        </w:rPr>
      </w:pPr>
      <w:r>
        <w:rPr>
          <w:rFonts w:hAnsi="宋体"/>
          <w:b/>
          <w:color w:val="auto"/>
          <w:sz w:val="44"/>
          <w:szCs w:val="44"/>
          <w:highlight w:val="none"/>
        </w:rPr>
        <w:br w:type="page"/>
      </w:r>
      <w:bookmarkStart w:id="57" w:name="_Toc254970689"/>
      <w:bookmarkStart w:id="58" w:name="_Toc26284"/>
      <w:bookmarkStart w:id="59" w:name="_Toc254970548"/>
      <w:r>
        <w:rPr>
          <w:rFonts w:hint="eastAsia" w:hAnsi="宋体"/>
          <w:b/>
          <w:color w:val="auto"/>
          <w:sz w:val="32"/>
          <w:szCs w:val="32"/>
          <w:highlight w:val="none"/>
        </w:rPr>
        <w:t>评审办法及评审标准</w:t>
      </w:r>
      <w:bookmarkEnd w:id="57"/>
      <w:bookmarkEnd w:id="58"/>
      <w:bookmarkEnd w:id="59"/>
    </w:p>
    <w:p>
      <w:pPr>
        <w:spacing w:line="360" w:lineRule="exact"/>
        <w:ind w:left="-178" w:leftChars="-85" w:right="-178" w:rightChars="-85" w:firstLine="482" w:firstLineChars="200"/>
        <w:jc w:val="left"/>
        <w:rPr>
          <w:rFonts w:ascii="宋体" w:hAnsi="宋体"/>
          <w:b/>
          <w:color w:val="auto"/>
          <w:sz w:val="24"/>
          <w:highlight w:val="none"/>
        </w:rPr>
      </w:pPr>
      <w:r>
        <w:rPr>
          <w:rFonts w:hint="eastAsia" w:ascii="宋体" w:hAnsi="宋体"/>
          <w:b/>
          <w:color w:val="auto"/>
          <w:sz w:val="24"/>
          <w:highlight w:val="none"/>
        </w:rPr>
        <w:t>一、评审原则</w:t>
      </w:r>
    </w:p>
    <w:p>
      <w:pPr>
        <w:spacing w:line="360" w:lineRule="exact"/>
        <w:ind w:left="-178" w:leftChars="-85" w:right="-178" w:rightChars="-85" w:firstLine="660" w:firstLineChars="275"/>
        <w:jc w:val="left"/>
        <w:rPr>
          <w:rFonts w:ascii="宋体" w:hAnsi="宋体" w:cs="Courier New"/>
          <w:color w:val="auto"/>
          <w:sz w:val="24"/>
          <w:highlight w:val="none"/>
        </w:rPr>
      </w:pPr>
      <w:r>
        <w:rPr>
          <w:rFonts w:hint="eastAsia" w:asciiTheme="minorEastAsia" w:hAnsiTheme="minorEastAsia" w:eastAsiaTheme="minorEastAsia"/>
          <w:color w:val="auto"/>
          <w:sz w:val="24"/>
          <w:highlight w:val="none"/>
        </w:rPr>
        <w:t>谈判小组必须坚持公平、公正、科学和择优的原则。</w:t>
      </w:r>
    </w:p>
    <w:p>
      <w:pPr>
        <w:spacing w:line="360" w:lineRule="exact"/>
        <w:ind w:left="-178" w:leftChars="-85" w:right="-178" w:rightChars="-85" w:firstLine="660" w:firstLineChars="275"/>
        <w:jc w:val="left"/>
        <w:rPr>
          <w:rFonts w:ascii="宋体" w:hAnsi="宋体" w:cs="Courier New"/>
          <w:color w:val="auto"/>
          <w:sz w:val="24"/>
          <w:highlight w:val="none"/>
        </w:rPr>
      </w:pPr>
      <w:r>
        <w:rPr>
          <w:rFonts w:hint="eastAsia" w:ascii="宋体" w:hAnsi="宋体" w:cs="Courier New"/>
          <w:color w:val="auto"/>
          <w:sz w:val="24"/>
          <w:highlight w:val="none"/>
        </w:rPr>
        <w:t>(一)谈判小组构成：本项目的谈判小组成员由从财政部门的政府采购评标专家库随机抽取的评审专家</w:t>
      </w:r>
      <w:r>
        <w:rPr>
          <w:rFonts w:hint="eastAsia" w:ascii="宋体" w:hAnsi="宋体"/>
          <w:color w:val="auto"/>
          <w:sz w:val="24"/>
          <w:highlight w:val="none"/>
          <w:u w:val="single"/>
          <w:lang w:val="en-US" w:eastAsia="zh-CN"/>
        </w:rPr>
        <w:t>2</w:t>
      </w:r>
      <w:r>
        <w:rPr>
          <w:rFonts w:hint="eastAsia" w:ascii="宋体" w:hAnsi="宋体" w:cs="Courier New"/>
          <w:color w:val="auto"/>
          <w:sz w:val="24"/>
          <w:highlight w:val="none"/>
        </w:rPr>
        <w:t>人和采购人代表</w:t>
      </w:r>
      <w:r>
        <w:rPr>
          <w:rFonts w:hint="eastAsia" w:ascii="宋体" w:hAnsi="宋体"/>
          <w:color w:val="auto"/>
          <w:sz w:val="24"/>
          <w:highlight w:val="none"/>
          <w:u w:val="single"/>
          <w:lang w:val="en-US" w:eastAsia="zh-CN"/>
        </w:rPr>
        <w:t>1</w:t>
      </w:r>
      <w:r>
        <w:rPr>
          <w:rFonts w:hint="eastAsia" w:ascii="宋体" w:hAnsi="宋体" w:cs="Courier New"/>
          <w:color w:val="auto"/>
          <w:sz w:val="24"/>
          <w:highlight w:val="none"/>
        </w:rPr>
        <w:t>人，共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hint="eastAsia" w:ascii="宋体" w:hAnsi="宋体" w:cs="Courier New"/>
          <w:color w:val="auto"/>
          <w:sz w:val="24"/>
          <w:highlight w:val="none"/>
        </w:rPr>
        <w:t>人以上单数组成，其中专家人数不少于成员总数的三分之二。</w:t>
      </w:r>
    </w:p>
    <w:p>
      <w:pPr>
        <w:spacing w:line="360" w:lineRule="exact"/>
        <w:ind w:right="-178" w:rightChars="-85" w:firstLine="120" w:firstLineChars="50"/>
        <w:jc w:val="left"/>
        <w:rPr>
          <w:rFonts w:ascii="宋体" w:hAnsi="宋体" w:cs="Courier New"/>
          <w:color w:val="auto"/>
          <w:sz w:val="24"/>
          <w:highlight w:val="none"/>
        </w:rPr>
      </w:pPr>
      <w:r>
        <w:rPr>
          <w:rFonts w:hint="eastAsia" w:ascii="宋体" w:hAnsi="宋体" w:cs="Courier New"/>
          <w:color w:val="auto"/>
          <w:sz w:val="24"/>
          <w:highlight w:val="none"/>
        </w:rPr>
        <w:t xml:space="preserve">   (二)评标依据：以竞争性谈判采购文件和响应文件为评定依据。</w:t>
      </w:r>
    </w:p>
    <w:p>
      <w:pPr>
        <w:pStyle w:val="24"/>
        <w:rPr>
          <w:rFonts w:hAnsi="宋体"/>
          <w:color w:val="auto"/>
          <w:sz w:val="24"/>
          <w:szCs w:val="24"/>
          <w:highlight w:val="none"/>
        </w:rPr>
      </w:pPr>
      <w:r>
        <w:rPr>
          <w:rFonts w:hint="eastAsia" w:hAnsi="宋体"/>
          <w:color w:val="auto"/>
          <w:sz w:val="24"/>
          <w:highlight w:val="none"/>
        </w:rPr>
        <w:t xml:space="preserve">    (三)评标方法：</w:t>
      </w:r>
      <w:r>
        <w:rPr>
          <w:rFonts w:hint="eastAsia" w:hAnsi="宋体"/>
          <w:color w:val="auto"/>
          <w:sz w:val="24"/>
          <w:szCs w:val="24"/>
          <w:highlight w:val="none"/>
        </w:rPr>
        <w:t>采用最低评标价法。</w:t>
      </w:r>
    </w:p>
    <w:p>
      <w:pPr>
        <w:pStyle w:val="24"/>
        <w:rPr>
          <w:rFonts w:hAnsi="宋体"/>
          <w:b/>
          <w:bCs/>
          <w:color w:val="auto"/>
          <w:sz w:val="24"/>
          <w:szCs w:val="24"/>
          <w:highlight w:val="none"/>
        </w:rPr>
      </w:pPr>
      <w:r>
        <w:rPr>
          <w:rFonts w:hint="eastAsia" w:hAnsi="宋体"/>
          <w:b/>
          <w:bCs/>
          <w:color w:val="auto"/>
          <w:sz w:val="24"/>
          <w:szCs w:val="24"/>
          <w:highlight w:val="none"/>
        </w:rPr>
        <w:t>二、评定方法</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(一)对商务评审和技术（服务）评审合格的响应文件，采用最低评标价法进行评审。</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谈判小组将以谈判文件、响应文件为评定依据，在符合采购需求、质量和服务等实质性要求的前提下，以提出最低评标价的供应商作为成交供应商。</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（二）根据《政府采购促进中小企业发展暂行办法》（财库[2011]181号）第五条的规定：</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对小型或微型企业产品的价格给予</w:t>
      </w:r>
      <w:r>
        <w:rPr>
          <w:rFonts w:hint="eastAsia" w:hAnsi="宋体"/>
          <w:color w:val="auto"/>
          <w:sz w:val="24"/>
          <w:szCs w:val="24"/>
          <w:highlight w:val="none"/>
          <w:lang w:val="en-US" w:eastAsia="zh-CN"/>
        </w:rPr>
        <w:t>10</w:t>
      </w:r>
      <w:r>
        <w:rPr>
          <w:rFonts w:hint="eastAsia" w:ascii="宋体" w:hAnsi="宋体" w:eastAsia="宋体"/>
          <w:color w:val="auto"/>
          <w:sz w:val="24"/>
          <w:szCs w:val="24"/>
          <w:highlight w:val="none"/>
        </w:rPr>
        <w:t>%的扣除，用扣除后的价格参与评审，即：评标价PP =最终竞标价Pi-</w:t>
      </w:r>
      <w:r>
        <w:rPr>
          <w:rFonts w:hint="eastAsia" w:hAnsi="宋体"/>
          <w:color w:val="auto"/>
          <w:sz w:val="24"/>
          <w:szCs w:val="24"/>
          <w:highlight w:val="none"/>
          <w:lang w:val="en-US" w:eastAsia="zh-CN"/>
        </w:rPr>
        <w:t>10</w:t>
      </w:r>
      <w:r>
        <w:rPr>
          <w:rFonts w:hint="eastAsia" w:ascii="宋体" w:hAnsi="宋体" w:eastAsia="宋体"/>
          <w:color w:val="auto"/>
          <w:sz w:val="24"/>
          <w:szCs w:val="24"/>
          <w:highlight w:val="none"/>
        </w:rPr>
        <w:t>%×最终竞标价Pi（供应商须如实填写中小企业声明函，并对声明的真实性负责）</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评标价PP =投标价Pi-2%×最终竞标价Pi。</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除上述情况外，评标价=最终竞标报价。</w:t>
      </w:r>
    </w:p>
    <w:p>
      <w:pPr>
        <w:pStyle w:val="24"/>
        <w:rPr>
          <w:b/>
          <w:color w:val="auto"/>
          <w:sz w:val="24"/>
          <w:szCs w:val="24"/>
          <w:highlight w:val="none"/>
        </w:rPr>
      </w:pPr>
      <w:r>
        <w:rPr>
          <w:rFonts w:hint="eastAsia"/>
          <w:b/>
          <w:color w:val="auto"/>
          <w:sz w:val="24"/>
          <w:szCs w:val="24"/>
          <w:highlight w:val="none"/>
        </w:rPr>
        <w:t>三、成交候选供应商推荐原则</w:t>
      </w:r>
    </w:p>
    <w:p>
      <w:pPr>
        <w:pStyle w:val="24"/>
        <w:ind w:firstLine="480" w:firstLineChars="200"/>
        <w:rPr>
          <w:rFonts w:hAnsi="宋体"/>
          <w:color w:val="auto"/>
          <w:sz w:val="24"/>
          <w:szCs w:val="24"/>
          <w:highlight w:val="none"/>
        </w:rPr>
      </w:pPr>
      <w:r>
        <w:rPr>
          <w:rFonts w:hint="eastAsia" w:hAnsi="宋体"/>
          <w:color w:val="auto"/>
          <w:sz w:val="24"/>
          <w:szCs w:val="24"/>
          <w:highlight w:val="none"/>
        </w:rPr>
        <w:t>谈判小组将按评标价由低到高顺序排列，并推荐3名以上（含3名）成交候选供应商（最终评标价相同时，最终竞标报价低的优先，最终评标价相同且最终竞标报价也相同的，依次按服务时间短优先、技术指标高优先、质保期长优先、响应时间短优先的顺序排列</w:t>
      </w:r>
      <w:r>
        <w:rPr>
          <w:rFonts w:hint="eastAsia" w:hAnsi="宋体"/>
          <w:color w:val="auto"/>
          <w:sz w:val="24"/>
          <w:szCs w:val="24"/>
          <w:highlight w:val="none"/>
          <w:lang w:eastAsia="zh-CN"/>
        </w:rPr>
        <w:t>，若</w:t>
      </w:r>
      <w:r>
        <w:rPr>
          <w:rFonts w:hint="eastAsia" w:hAnsi="宋体"/>
          <w:color w:val="auto"/>
          <w:sz w:val="24"/>
          <w:szCs w:val="24"/>
          <w:highlight w:val="none"/>
        </w:rPr>
        <w:t>仍然相同时，由谈判小组集体</w:t>
      </w:r>
      <w:r>
        <w:rPr>
          <w:rFonts w:hint="eastAsia" w:hAnsi="宋体"/>
          <w:color w:val="auto"/>
          <w:sz w:val="24"/>
          <w:szCs w:val="24"/>
          <w:highlight w:val="none"/>
          <w:lang w:eastAsia="zh-CN"/>
        </w:rPr>
        <w:t>记名投票</w:t>
      </w:r>
      <w:r>
        <w:rPr>
          <w:rFonts w:hint="eastAsia" w:hAnsi="宋体"/>
          <w:color w:val="auto"/>
          <w:sz w:val="24"/>
          <w:szCs w:val="24"/>
          <w:highlight w:val="none"/>
        </w:rPr>
        <w:t>确定排序），采购单位应当确定谈判小组推荐排名第一的成交候选人为成交人。</w:t>
      </w:r>
      <w:r>
        <w:rPr>
          <w:rFonts w:hint="eastAsia" w:hAnsi="宋体" w:cs="Times New Roman"/>
          <w:color w:val="auto"/>
          <w:sz w:val="24"/>
          <w:szCs w:val="24"/>
          <w:highlight w:val="none"/>
        </w:rPr>
        <w:t>根据桂财采〔2016〕37号《关于做好政府采购有关信用主体标识码登记及在政府采购活动中查询使用信用记录有关问题的通知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bCs/>
          <w:color w:val="auto"/>
          <w:sz w:val="24"/>
          <w:szCs w:val="24"/>
          <w:highlight w:val="none"/>
        </w:rPr>
        <w:t>招标采购单位</w:t>
      </w:r>
      <w:r>
        <w:rPr>
          <w:rFonts w:hint="eastAsia" w:hAnsi="宋体"/>
          <w:color w:val="auto"/>
          <w:sz w:val="24"/>
          <w:szCs w:val="24"/>
          <w:highlight w:val="none"/>
          <w:shd w:val="clear" w:color="auto" w:fill="FFFFFF"/>
        </w:rPr>
        <w:t>将对</w:t>
      </w:r>
      <w:r>
        <w:rPr>
          <w:rFonts w:hint="eastAsia" w:hAnsi="宋体"/>
          <w:bCs/>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bCs/>
          <w:color w:val="auto"/>
          <w:sz w:val="24"/>
          <w:szCs w:val="24"/>
          <w:highlight w:val="none"/>
        </w:rPr>
        <w:t>排名第一的中标候选人在中国政府采购网处于被暂停参加政府采购活动期间的，或</w:t>
      </w:r>
      <w:r>
        <w:rPr>
          <w:rFonts w:hint="eastAsia" w:hAnsi="宋体"/>
          <w:color w:val="auto"/>
          <w:sz w:val="24"/>
          <w:szCs w:val="24"/>
          <w:highlight w:val="none"/>
        </w:rPr>
        <w:t>排名第一的成交候选人放弃成交、因不可抗力提出不能履行合同，采购单位可以确定排名第二的成交候选人为成交人。排名第二的成交候选人因前款规定的同样原因不能签订合同的，提出不能履行合同，采购单位可以确定排名第三的成交候选人为成交人。采购单位也可以重新采购。</w:t>
      </w: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p>
    <w:p>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widowControl/>
        <w:shd w:val="clear" w:color="auto" w:fill="FFFFFF"/>
        <w:spacing w:line="360" w:lineRule="auto"/>
        <w:ind w:firstLine="480"/>
        <w:jc w:val="center"/>
        <w:outlineLvl w:val="0"/>
        <w:rPr>
          <w:rFonts w:ascii="宋体" w:hAnsi="宋体" w:cs="宋体"/>
          <w:b/>
          <w:color w:val="auto"/>
          <w:kern w:val="0"/>
          <w:sz w:val="36"/>
          <w:szCs w:val="36"/>
          <w:highlight w:val="none"/>
        </w:rPr>
      </w:pPr>
      <w:bookmarkStart w:id="60" w:name="_Toc18759"/>
      <w:r>
        <w:rPr>
          <w:rFonts w:hint="eastAsia" w:ascii="宋体" w:hAnsi="宋体" w:cs="宋体"/>
          <w:b/>
          <w:color w:val="auto"/>
          <w:kern w:val="0"/>
          <w:sz w:val="36"/>
          <w:szCs w:val="36"/>
          <w:highlight w:val="none"/>
        </w:rPr>
        <w:t>第七章  质疑书及投诉书格式</w:t>
      </w:r>
      <w:bookmarkEnd w:id="60"/>
    </w:p>
    <w:p>
      <w:pPr>
        <w:tabs>
          <w:tab w:val="left" w:pos="606"/>
        </w:tabs>
        <w:rPr>
          <w:color w:val="auto"/>
          <w:highlight w:val="none"/>
        </w:rPr>
      </w:pPr>
      <w:r>
        <w:rPr>
          <w:rFonts w:hint="eastAsia"/>
          <w:color w:val="auto"/>
          <w:highlight w:val="none"/>
        </w:rPr>
        <w:t xml:space="preserve">   </w:t>
      </w:r>
    </w:p>
    <w:p>
      <w:pPr>
        <w:tabs>
          <w:tab w:val="left" w:pos="606"/>
        </w:tabs>
        <w:rPr>
          <w:color w:val="auto"/>
          <w:highlight w:val="none"/>
        </w:rPr>
      </w:pPr>
    </w:p>
    <w:p>
      <w:pPr>
        <w:adjustRightInd w:val="0"/>
        <w:snapToGrid w:val="0"/>
        <w:spacing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tabs>
          <w:tab w:val="left" w:pos="3544"/>
        </w:tabs>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outlineLvl w:val="0"/>
        <w:rPr>
          <w:rFonts w:ascii="仿宋_GB2312" w:eastAsia="仿宋_GB2312"/>
          <w:color w:val="auto"/>
          <w:sz w:val="30"/>
          <w:szCs w:val="30"/>
          <w:highlight w:val="none"/>
        </w:rPr>
      </w:pPr>
      <w:bookmarkStart w:id="61" w:name="_Toc19424"/>
      <w:r>
        <w:rPr>
          <w:rFonts w:hint="eastAsia" w:ascii="仿宋_GB2312" w:eastAsia="仿宋_GB2312"/>
          <w:color w:val="auto"/>
          <w:sz w:val="30"/>
          <w:szCs w:val="30"/>
          <w:highlight w:val="none"/>
        </w:rPr>
        <w:t>签字(签章)：                   公章：</w:t>
      </w:r>
      <w:bookmarkEnd w:id="61"/>
      <w:r>
        <w:rPr>
          <w:rFonts w:hint="eastAsia" w:ascii="仿宋_GB2312" w:eastAsia="仿宋_GB2312"/>
          <w:color w:val="auto"/>
          <w:sz w:val="30"/>
          <w:szCs w:val="30"/>
          <w:highlight w:val="none"/>
        </w:rPr>
        <w:t xml:space="preserve">                      </w:t>
      </w:r>
    </w:p>
    <w:p>
      <w:pPr>
        <w:outlineLvl w:val="0"/>
        <w:rPr>
          <w:rFonts w:ascii="仿宋_GB2312" w:eastAsia="仿宋_GB2312"/>
          <w:color w:val="auto"/>
          <w:sz w:val="30"/>
          <w:szCs w:val="30"/>
          <w:highlight w:val="none"/>
        </w:rPr>
      </w:pPr>
      <w:bookmarkStart w:id="62" w:name="_Toc27849"/>
      <w:r>
        <w:rPr>
          <w:rFonts w:hint="eastAsia" w:ascii="仿宋_GB2312" w:eastAsia="仿宋_GB2312"/>
          <w:color w:val="auto"/>
          <w:sz w:val="30"/>
          <w:szCs w:val="30"/>
          <w:highlight w:val="none"/>
        </w:rPr>
        <w:t>日期：</w:t>
      </w:r>
      <w:bookmarkEnd w:id="62"/>
      <w:r>
        <w:rPr>
          <w:rFonts w:hint="eastAsia" w:ascii="仿宋_GB2312" w:eastAsia="仿宋_GB2312"/>
          <w:color w:val="auto"/>
          <w:sz w:val="30"/>
          <w:szCs w:val="30"/>
          <w:highlight w:val="none"/>
        </w:rPr>
        <w:t xml:space="preserve">    </w:t>
      </w:r>
    </w:p>
    <w:p>
      <w:pPr>
        <w:adjustRightInd w:val="0"/>
        <w:snapToGrid w:val="0"/>
        <w:spacing w:line="360" w:lineRule="auto"/>
        <w:rPr>
          <w:rFonts w:ascii="仿宋" w:hAnsi="仿宋" w:eastAsia="仿宋" w:cs="仿宋"/>
          <w:color w:val="auto"/>
          <w:sz w:val="32"/>
          <w:szCs w:val="32"/>
          <w:highlight w:val="none"/>
        </w:rPr>
      </w:pPr>
    </w:p>
    <w:p>
      <w:pPr>
        <w:adjustRightInd w:val="0"/>
        <w:snapToGrid w:val="0"/>
        <w:spacing w:line="360" w:lineRule="auto"/>
        <w:rPr>
          <w:rFonts w:ascii="仿宋" w:hAnsi="仿宋" w:eastAsia="仿宋" w:cs="仿宋"/>
          <w:color w:val="auto"/>
          <w:sz w:val="32"/>
          <w:szCs w:val="32"/>
          <w:highlight w:val="none"/>
        </w:rPr>
      </w:pPr>
    </w:p>
    <w:p>
      <w:pPr>
        <w:outlineLvl w:val="0"/>
        <w:rPr>
          <w:rFonts w:ascii="黑体" w:hAnsi="黑体" w:eastAsia="黑体"/>
          <w:b/>
          <w:color w:val="auto"/>
          <w:sz w:val="32"/>
          <w:szCs w:val="32"/>
          <w:highlight w:val="none"/>
        </w:rPr>
      </w:pPr>
      <w:bookmarkStart w:id="63" w:name="_Toc22562"/>
      <w:r>
        <w:rPr>
          <w:rFonts w:hint="eastAsia" w:ascii="黑体" w:hAnsi="黑体" w:eastAsia="黑体"/>
          <w:b/>
          <w:color w:val="auto"/>
          <w:sz w:val="32"/>
          <w:szCs w:val="32"/>
          <w:highlight w:val="none"/>
        </w:rPr>
        <w:t>质疑函制作说明：</w:t>
      </w:r>
      <w:bookmarkEnd w:id="63"/>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pPr>
        <w:outlineLvl w:val="0"/>
        <w:rPr>
          <w:rFonts w:ascii="黑体" w:hAnsi="黑体" w:eastAsia="黑体"/>
          <w:color w:val="auto"/>
          <w:sz w:val="32"/>
          <w:szCs w:val="32"/>
          <w:highlight w:val="none"/>
        </w:rPr>
      </w:pPr>
      <w:bookmarkStart w:id="64" w:name="_Toc4942"/>
      <w:r>
        <w:rPr>
          <w:rFonts w:hint="eastAsia" w:ascii="黑体" w:hAnsi="黑体" w:eastAsia="黑体"/>
          <w:color w:val="auto"/>
          <w:sz w:val="32"/>
          <w:szCs w:val="32"/>
          <w:highlight w:val="none"/>
        </w:rPr>
        <w:t>一、投诉相关主体基本情况</w:t>
      </w:r>
      <w:bookmarkEnd w:id="64"/>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投诉人：</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地     址：</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邮编：</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tabs>
          <w:tab w:val="left" w:pos="6510"/>
        </w:tabs>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法定代表人/主要负责人：</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 xml:space="preserve">  </w:t>
      </w:r>
    </w:p>
    <w:p>
      <w:pPr>
        <w:tabs>
          <w:tab w:val="left" w:pos="6510"/>
        </w:tabs>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联系电话：</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授权代表：</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联系电话</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地     址：</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邮编：</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被投诉人1：</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地     址：</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邮编：</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联系人：</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联系电话：</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被投诉人2</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相关供应商：</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地     址：</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邮编：</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联系人：</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联系电话：</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outlineLvl w:val="0"/>
        <w:rPr>
          <w:rFonts w:ascii="黑体" w:hAnsi="黑体" w:eastAsia="黑体"/>
          <w:color w:val="auto"/>
          <w:sz w:val="32"/>
          <w:szCs w:val="32"/>
          <w:highlight w:val="none"/>
        </w:rPr>
      </w:pPr>
      <w:bookmarkStart w:id="65" w:name="_Toc29652"/>
      <w:r>
        <w:rPr>
          <w:rFonts w:hint="eastAsia" w:ascii="黑体" w:hAnsi="黑体" w:eastAsia="黑体"/>
          <w:color w:val="auto"/>
          <w:sz w:val="32"/>
          <w:szCs w:val="32"/>
          <w:highlight w:val="none"/>
        </w:rPr>
        <w:t>二、投诉项目基本情况</w:t>
      </w:r>
      <w:bookmarkEnd w:id="65"/>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采购项目名称：</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采购项目编号：</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包号：</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采购人名称：</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u w:val="single"/>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代理机构名称：</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采购文件公告:</w:t>
      </w:r>
      <w:r>
        <w:rPr>
          <w:rFonts w:hint="eastAsia" w:ascii="仿宋_GB2312" w:hAnsi="Calibri" w:eastAsia="仿宋_GB2312"/>
          <w:color w:val="auto"/>
          <w:sz w:val="32"/>
          <w:szCs w:val="32"/>
          <w:highlight w:val="none"/>
          <w:u w:val="dotted"/>
        </w:rPr>
        <w:t xml:space="preserve">是/否 </w:t>
      </w:r>
      <w:r>
        <w:rPr>
          <w:rFonts w:hint="eastAsia" w:ascii="仿宋_GB2312" w:hAnsi="Calibri" w:eastAsia="仿宋_GB2312"/>
          <w:color w:val="auto"/>
          <w:sz w:val="32"/>
          <w:szCs w:val="32"/>
          <w:highlight w:val="none"/>
        </w:rPr>
        <w:t>公告期限：</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采购结果公告:</w:t>
      </w:r>
      <w:r>
        <w:rPr>
          <w:rFonts w:hint="eastAsia" w:ascii="仿宋_GB2312" w:hAnsi="Calibri" w:eastAsia="仿宋_GB2312"/>
          <w:color w:val="auto"/>
          <w:sz w:val="32"/>
          <w:szCs w:val="32"/>
          <w:highlight w:val="none"/>
          <w:u w:val="dotted"/>
        </w:rPr>
        <w:t xml:space="preserve">是/否 </w:t>
      </w:r>
      <w:r>
        <w:rPr>
          <w:rFonts w:hint="eastAsia" w:ascii="仿宋_GB2312" w:hAnsi="Calibri" w:eastAsia="仿宋_GB2312"/>
          <w:color w:val="auto"/>
          <w:sz w:val="32"/>
          <w:szCs w:val="32"/>
          <w:highlight w:val="none"/>
        </w:rPr>
        <w:t>公告期限：</w:t>
      </w:r>
      <w:r>
        <w:rPr>
          <w:rFonts w:hint="eastAsia" w:ascii="仿宋_GB2312" w:hAnsi="Calibri" w:eastAsia="仿宋_GB2312"/>
          <w:color w:val="auto"/>
          <w:sz w:val="32"/>
          <w:szCs w:val="32"/>
          <w:highlight w:val="none"/>
          <w:u w:val="dotted"/>
        </w:rPr>
        <w:t xml:space="preserve">                        </w:t>
      </w:r>
    </w:p>
    <w:p>
      <w:pPr>
        <w:outlineLvl w:val="0"/>
        <w:rPr>
          <w:rFonts w:ascii="黑体" w:hAnsi="黑体" w:eastAsia="黑体"/>
          <w:color w:val="auto"/>
          <w:sz w:val="32"/>
          <w:szCs w:val="32"/>
          <w:highlight w:val="none"/>
        </w:rPr>
      </w:pPr>
      <w:bookmarkStart w:id="66" w:name="_Toc16143"/>
      <w:r>
        <w:rPr>
          <w:rFonts w:hint="eastAsia" w:ascii="黑体" w:hAnsi="黑体" w:eastAsia="黑体"/>
          <w:color w:val="auto"/>
          <w:sz w:val="32"/>
          <w:szCs w:val="32"/>
          <w:highlight w:val="none"/>
        </w:rPr>
        <w:t>三、质疑基本情况</w:t>
      </w:r>
      <w:bookmarkEnd w:id="66"/>
    </w:p>
    <w:p>
      <w:pPr>
        <w:ind w:firstLine="640" w:firstLineChars="200"/>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投诉人于</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日,向</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提出质疑，质疑事项为：</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 xml:space="preserve">  </w:t>
      </w:r>
    </w:p>
    <w:p>
      <w:pPr>
        <w:ind w:firstLine="480" w:firstLineChars="15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u w:val="dotted"/>
        </w:rPr>
        <w:t>采购人/代理机构</w:t>
      </w:r>
      <w:r>
        <w:rPr>
          <w:rFonts w:hint="eastAsia" w:ascii="仿宋_GB2312" w:hAnsi="Calibri" w:eastAsia="仿宋_GB2312"/>
          <w:color w:val="auto"/>
          <w:sz w:val="32"/>
          <w:szCs w:val="32"/>
          <w:highlight w:val="none"/>
        </w:rPr>
        <w:t>于</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日,就质疑事项作出了答复/没有在法定期限内作出答复。</w:t>
      </w:r>
    </w:p>
    <w:p>
      <w:pPr>
        <w:outlineLvl w:val="0"/>
        <w:rPr>
          <w:rFonts w:ascii="黑体" w:hAnsi="黑体" w:eastAsia="黑体"/>
          <w:color w:val="auto"/>
          <w:sz w:val="32"/>
          <w:szCs w:val="32"/>
          <w:highlight w:val="none"/>
        </w:rPr>
      </w:pPr>
      <w:bookmarkStart w:id="67" w:name="_Toc28203"/>
      <w:r>
        <w:rPr>
          <w:rFonts w:hint="eastAsia" w:ascii="黑体" w:hAnsi="黑体" w:eastAsia="黑体"/>
          <w:color w:val="auto"/>
          <w:sz w:val="32"/>
          <w:szCs w:val="32"/>
          <w:highlight w:val="none"/>
        </w:rPr>
        <w:t>四、投诉事项具体内容</w:t>
      </w:r>
      <w:bookmarkEnd w:id="67"/>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投诉事项 1：</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事实依据：</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法律依据：</w:t>
      </w: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u w:val="dotted"/>
        </w:rPr>
        <w:t xml:space="preserve">                                                      </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投诉事项2</w:t>
      </w:r>
    </w:p>
    <w:p>
      <w:pPr>
        <w:rPr>
          <w:rFonts w:ascii="仿宋_GB2312" w:hAnsi="Calibri" w:eastAsia="仿宋_GB2312"/>
          <w:color w:val="auto"/>
          <w:sz w:val="32"/>
          <w:szCs w:val="32"/>
          <w:highlight w:val="none"/>
          <w:u w:val="dotted"/>
        </w:rPr>
      </w:pPr>
      <w:r>
        <w:rPr>
          <w:rFonts w:hint="eastAsia" w:ascii="仿宋_GB2312" w:hAnsi="Calibri" w:eastAsia="仿宋_GB2312"/>
          <w:color w:val="auto"/>
          <w:sz w:val="32"/>
          <w:szCs w:val="32"/>
          <w:highlight w:val="none"/>
        </w:rPr>
        <w:t>……</w:t>
      </w:r>
    </w:p>
    <w:p>
      <w:pPr>
        <w:outlineLvl w:val="0"/>
        <w:rPr>
          <w:rFonts w:ascii="黑体" w:hAnsi="黑体" w:eastAsia="黑体"/>
          <w:color w:val="auto"/>
          <w:sz w:val="32"/>
          <w:szCs w:val="32"/>
          <w:highlight w:val="none"/>
        </w:rPr>
      </w:pPr>
      <w:bookmarkStart w:id="68" w:name="_Toc26851"/>
      <w:r>
        <w:rPr>
          <w:rFonts w:hint="eastAsia" w:ascii="黑体" w:hAnsi="黑体" w:eastAsia="黑体"/>
          <w:color w:val="auto"/>
          <w:sz w:val="32"/>
          <w:szCs w:val="32"/>
          <w:highlight w:val="none"/>
        </w:rPr>
        <w:t>五、与投诉事项相关的投诉请求</w:t>
      </w:r>
      <w:bookmarkEnd w:id="68"/>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请求：</w:t>
      </w:r>
      <w:r>
        <w:rPr>
          <w:rFonts w:hint="eastAsia" w:ascii="仿宋_GB2312" w:hAnsi="Calibri" w:eastAsia="仿宋_GB2312"/>
          <w:color w:val="auto"/>
          <w:sz w:val="32"/>
          <w:szCs w:val="32"/>
          <w:highlight w:val="none"/>
          <w:u w:val="dotted"/>
        </w:rPr>
        <w:t xml:space="preserve">                                              </w:t>
      </w:r>
      <w:r>
        <w:rPr>
          <w:rFonts w:hint="eastAsia" w:ascii="仿宋_GB2312" w:hAnsi="Calibri" w:eastAsia="仿宋_GB2312"/>
          <w:color w:val="auto"/>
          <w:sz w:val="32"/>
          <w:szCs w:val="32"/>
          <w:highlight w:val="none"/>
        </w:rPr>
        <w:t xml:space="preserve"> </w:t>
      </w:r>
    </w:p>
    <w:p>
      <w:pPr>
        <w:rPr>
          <w:rFonts w:ascii="仿宋_GB2312" w:hAnsi="Calibri" w:eastAsia="仿宋_GB2312"/>
          <w:color w:val="auto"/>
          <w:sz w:val="32"/>
          <w:szCs w:val="32"/>
          <w:highlight w:val="none"/>
          <w:u w:val="single"/>
        </w:rPr>
      </w:pPr>
      <w:r>
        <w:rPr>
          <w:rFonts w:hint="eastAsia" w:ascii="仿宋_GB2312" w:hAnsi="Calibri" w:eastAsia="仿宋_GB2312"/>
          <w:color w:val="auto"/>
          <w:sz w:val="32"/>
          <w:szCs w:val="32"/>
          <w:highlight w:val="none"/>
        </w:rPr>
        <w:t xml:space="preserve">                                                                                                    </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签字(签章)：                   公章：                      </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日期：    </w:t>
      </w:r>
    </w:p>
    <w:p>
      <w:pPr>
        <w:rPr>
          <w:rFonts w:ascii="黑体" w:hAnsi="黑体" w:eastAsia="黑体"/>
          <w:b/>
          <w:color w:val="auto"/>
          <w:sz w:val="32"/>
          <w:szCs w:val="32"/>
          <w:highlight w:val="none"/>
        </w:rPr>
      </w:pPr>
    </w:p>
    <w:p>
      <w:pPr>
        <w:rPr>
          <w:rFonts w:ascii="黑体" w:hAnsi="黑体" w:eastAsia="黑体"/>
          <w:b/>
          <w:color w:val="auto"/>
          <w:sz w:val="32"/>
          <w:szCs w:val="32"/>
          <w:highlight w:val="none"/>
        </w:rPr>
      </w:pPr>
    </w:p>
    <w:p>
      <w:pPr>
        <w:outlineLvl w:val="0"/>
        <w:rPr>
          <w:rFonts w:ascii="黑体" w:hAnsi="黑体" w:eastAsia="黑体"/>
          <w:b/>
          <w:color w:val="auto"/>
          <w:sz w:val="32"/>
          <w:szCs w:val="32"/>
          <w:highlight w:val="none"/>
        </w:rPr>
      </w:pPr>
      <w:bookmarkStart w:id="69" w:name="_Toc28996"/>
      <w:r>
        <w:rPr>
          <w:rFonts w:hint="eastAsia" w:ascii="黑体" w:hAnsi="黑体" w:eastAsia="黑体"/>
          <w:b/>
          <w:color w:val="auto"/>
          <w:sz w:val="32"/>
          <w:szCs w:val="32"/>
          <w:highlight w:val="none"/>
        </w:rPr>
        <w:t>投诉书制作说明：</w:t>
      </w:r>
      <w:bookmarkEnd w:id="69"/>
    </w:p>
    <w:p>
      <w:pPr>
        <w:widowControl/>
        <w:ind w:firstLine="640" w:firstLineChars="200"/>
        <w:rPr>
          <w:rFonts w:ascii="仿宋_GB2312" w:hAnsi="宋体" w:eastAsia="仿宋_GB2312" w:cs="宋体"/>
          <w:color w:val="auto"/>
          <w:kern w:val="0"/>
          <w:sz w:val="32"/>
          <w:szCs w:val="32"/>
          <w:highlight w:val="none"/>
        </w:rPr>
      </w:pPr>
      <w:r>
        <w:rPr>
          <w:rFonts w:hint="eastAsia" w:ascii="仿宋_GB2312" w:hAnsi="Calibri" w:eastAsia="仿宋_GB2312"/>
          <w:color w:val="auto"/>
          <w:sz w:val="32"/>
          <w:szCs w:val="32"/>
          <w:highlight w:val="none"/>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hAnsi="Calibri"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3.投诉人若对项目的某一分包进行投诉，投诉书应列明具体分包号。</w:t>
      </w:r>
    </w:p>
    <w:p>
      <w:pPr>
        <w:widowControl/>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4.投诉书应简要列明质疑事项，质疑函、质疑答复等作为附件材料提供。</w:t>
      </w:r>
    </w:p>
    <w:p>
      <w:pPr>
        <w:widowControl/>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5.投诉书的投诉事项应具体、明确，并有必要的事实依据和法律依据。</w:t>
      </w:r>
    </w:p>
    <w:p>
      <w:pPr>
        <w:widowControl/>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6.投诉书的投诉请求应与投诉事项相关。</w:t>
      </w:r>
    </w:p>
    <w:p>
      <w:pP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pStyle w:val="24"/>
        <w:ind w:left="181" w:leftChars="86" w:firstLine="2997" w:firstLineChars="1249"/>
        <w:rPr>
          <w:rFonts w:hAnsi="宋体"/>
          <w:bCs/>
          <w:color w:val="auto"/>
          <w:sz w:val="24"/>
          <w:szCs w:val="24"/>
          <w:highlight w:val="none"/>
        </w:rPr>
      </w:pPr>
    </w:p>
    <w:p>
      <w:pPr>
        <w:tabs>
          <w:tab w:val="left" w:pos="606"/>
        </w:tabs>
        <w:outlineLvl w:val="0"/>
        <w:rPr>
          <w:rFonts w:hint="eastAsia"/>
          <w:color w:val="auto"/>
          <w:highlight w:val="none"/>
          <w:lang w:eastAsia="zh-CN"/>
        </w:rPr>
      </w:pPr>
      <w:bookmarkStart w:id="70" w:name="_Toc31858"/>
      <w:r>
        <w:rPr>
          <w:rFonts w:hint="eastAsia" w:ascii="宋体" w:hAnsi="宋体" w:cs="宋体"/>
          <w:b/>
          <w:color w:val="auto"/>
          <w:kern w:val="0"/>
          <w:sz w:val="36"/>
          <w:szCs w:val="36"/>
          <w:highlight w:val="none"/>
          <w:lang w:eastAsia="zh-CN"/>
        </w:rPr>
        <w:t>附件</w:t>
      </w:r>
      <w:bookmarkEnd w:id="70"/>
    </w:p>
    <w:p>
      <w:pPr>
        <w:tabs>
          <w:tab w:val="left" w:pos="606"/>
        </w:tabs>
        <w:rPr>
          <w:rFonts w:hint="eastAsia"/>
          <w:color w:val="auto"/>
          <w:highlight w:val="none"/>
          <w:lang w:val="en-US" w:eastAsia="zh-CN"/>
        </w:rPr>
      </w:pPr>
      <w:r>
        <w:rPr>
          <w:rFonts w:hint="eastAsia"/>
          <w:color w:val="auto"/>
          <w:highlight w:val="none"/>
          <w:lang w:val="en-US" w:eastAsia="zh-CN"/>
        </w:rPr>
        <w:t xml:space="preserve"> </w:t>
      </w:r>
    </w:p>
    <w:p>
      <w:pPr>
        <w:widowControl/>
        <w:shd w:val="clear" w:color="auto" w:fill="FFFFFF"/>
        <w:spacing w:line="360" w:lineRule="auto"/>
        <w:ind w:firstLine="480"/>
        <w:jc w:val="center"/>
        <w:rPr>
          <w:rFonts w:hint="eastAsia" w:ascii="宋体" w:hAnsi="宋体" w:cs="宋体"/>
          <w:b/>
          <w:color w:val="auto"/>
          <w:kern w:val="0"/>
          <w:sz w:val="36"/>
          <w:szCs w:val="36"/>
          <w:highlight w:val="none"/>
          <w:lang w:val="en-US" w:eastAsia="zh-CN"/>
        </w:rPr>
      </w:pPr>
      <w:r>
        <w:rPr>
          <w:rFonts w:hint="eastAsia" w:ascii="宋体" w:hAnsi="宋体" w:cs="宋体"/>
          <w:b/>
          <w:color w:val="auto"/>
          <w:kern w:val="0"/>
          <w:sz w:val="36"/>
          <w:szCs w:val="36"/>
          <w:highlight w:val="none"/>
          <w:lang w:val="en-US" w:eastAsia="zh-CN"/>
        </w:rPr>
        <w:t>成交通知书</w:t>
      </w:r>
    </w:p>
    <w:p>
      <w:pPr>
        <w:tabs>
          <w:tab w:val="left" w:pos="606"/>
        </w:tabs>
        <w:rPr>
          <w:rFonts w:hint="eastAsia"/>
          <w:color w:val="auto"/>
          <w:sz w:val="24"/>
          <w:szCs w:val="24"/>
          <w:highlight w:val="none"/>
          <w:lang w:val="en-US" w:eastAsia="zh-CN"/>
        </w:rPr>
      </w:pPr>
    </w:p>
    <w:p>
      <w:pPr>
        <w:tabs>
          <w:tab w:val="left" w:pos="606"/>
        </w:tabs>
        <w:rPr>
          <w:rFonts w:hint="eastAsia"/>
          <w:color w:val="auto"/>
          <w:sz w:val="28"/>
          <w:szCs w:val="28"/>
          <w:highlight w:val="none"/>
          <w:lang w:val="en-US" w:eastAsia="zh-CN"/>
        </w:rPr>
      </w:pP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公司：</w:t>
      </w: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u w:val="single"/>
          <w:lang w:val="en-US" w:eastAsia="zh-CN"/>
        </w:rPr>
        <w:t>（代理机构名称）</w:t>
      </w:r>
      <w:r>
        <w:rPr>
          <w:rFonts w:hint="eastAsia"/>
          <w:color w:val="auto"/>
          <w:sz w:val="28"/>
          <w:szCs w:val="28"/>
          <w:highlight w:val="none"/>
          <w:lang w:val="en-US" w:eastAsia="zh-CN"/>
        </w:rPr>
        <w:t>受</w:t>
      </w:r>
      <w:r>
        <w:rPr>
          <w:rFonts w:hint="eastAsia"/>
          <w:color w:val="auto"/>
          <w:sz w:val="28"/>
          <w:szCs w:val="28"/>
          <w:highlight w:val="none"/>
          <w:u w:val="single"/>
          <w:lang w:val="en-US" w:eastAsia="zh-CN"/>
        </w:rPr>
        <w:t>（采购单位名称）</w:t>
      </w:r>
      <w:r>
        <w:rPr>
          <w:rFonts w:hint="eastAsia"/>
          <w:color w:val="auto"/>
          <w:sz w:val="28"/>
          <w:szCs w:val="28"/>
          <w:highlight w:val="none"/>
          <w:lang w:val="en-US" w:eastAsia="zh-CN"/>
        </w:rPr>
        <w:t>的委托，就</w:t>
      </w:r>
      <w:r>
        <w:rPr>
          <w:rFonts w:hint="eastAsia"/>
          <w:color w:val="auto"/>
          <w:sz w:val="28"/>
          <w:szCs w:val="28"/>
          <w:highlight w:val="none"/>
          <w:u w:val="single"/>
          <w:lang w:val="en-US" w:eastAsia="zh-CN"/>
        </w:rPr>
        <w:t xml:space="preserve">              项目</w:t>
      </w:r>
      <w:r>
        <w:rPr>
          <w:rFonts w:hint="eastAsia"/>
          <w:color w:val="auto"/>
          <w:sz w:val="28"/>
          <w:szCs w:val="28"/>
          <w:highlight w:val="none"/>
          <w:lang w:val="en-US" w:eastAsia="zh-CN"/>
        </w:rPr>
        <w:t>（项目编号：</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；审批编号：</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）采用</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方式进行采购。经采购人确认，贵单位为</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项目的成交单位，具体内容如下：</w:t>
      </w:r>
    </w:p>
    <w:p>
      <w:pPr>
        <w:tabs>
          <w:tab w:val="left" w:pos="606"/>
        </w:tabs>
        <w:ind w:firstLine="420"/>
        <w:rPr>
          <w:rFonts w:hint="eastAsia"/>
          <w:color w:val="auto"/>
          <w:sz w:val="28"/>
          <w:szCs w:val="28"/>
          <w:highlight w:val="none"/>
          <w:lang w:val="en-US" w:eastAsia="zh-CN"/>
        </w:rPr>
      </w:pPr>
    </w:p>
    <w:p>
      <w:pPr>
        <w:tabs>
          <w:tab w:val="left" w:pos="606"/>
        </w:tabs>
        <w:ind w:firstLine="420"/>
        <w:rPr>
          <w:rFonts w:hint="eastAsia"/>
          <w:color w:val="auto"/>
          <w:sz w:val="28"/>
          <w:szCs w:val="28"/>
          <w:highlight w:val="none"/>
          <w:lang w:val="en-US" w:eastAsia="zh-CN"/>
        </w:rPr>
      </w:pP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lang w:val="en-US" w:eastAsia="zh-CN"/>
        </w:rPr>
        <w:t>成交单位：</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公司</w:t>
      </w: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lang w:val="en-US" w:eastAsia="zh-CN"/>
        </w:rPr>
        <w:t>企业规模：□中型 □小型 □微型 □其他</w:t>
      </w: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lang w:val="en-US" w:eastAsia="zh-CN"/>
        </w:rPr>
        <w:t>成交金额：</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 xml:space="preserve"> 元）</w:t>
      </w: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lang w:val="en-US" w:eastAsia="zh-CN"/>
        </w:rPr>
        <w:t>提交服务成果时间：自合同签定之日起</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天内</w:t>
      </w:r>
    </w:p>
    <w:p>
      <w:pPr>
        <w:tabs>
          <w:tab w:val="left" w:pos="606"/>
        </w:tabs>
        <w:ind w:firstLine="420"/>
        <w:rPr>
          <w:rFonts w:hint="eastAsia"/>
          <w:color w:val="auto"/>
          <w:sz w:val="28"/>
          <w:szCs w:val="28"/>
          <w:highlight w:val="none"/>
          <w:lang w:val="en-US" w:eastAsia="zh-CN"/>
        </w:rPr>
      </w:pP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lang w:val="en-US" w:eastAsia="zh-CN"/>
        </w:rPr>
        <w:t>请贵单位接此通知书后</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日内尽快与采购人签订合同，并按采购文件要求和竞标文件的承诺履行合同。</w:t>
      </w:r>
    </w:p>
    <w:p>
      <w:pPr>
        <w:tabs>
          <w:tab w:val="left" w:pos="606"/>
        </w:tabs>
        <w:ind w:firstLine="420"/>
        <w:rPr>
          <w:rFonts w:hint="eastAsia"/>
          <w:color w:val="auto"/>
          <w:sz w:val="28"/>
          <w:szCs w:val="28"/>
          <w:highlight w:val="none"/>
          <w:lang w:val="en-US" w:eastAsia="zh-CN"/>
        </w:rPr>
      </w:pPr>
      <w:r>
        <w:rPr>
          <w:rFonts w:hint="eastAsia"/>
          <w:color w:val="auto"/>
          <w:sz w:val="28"/>
          <w:szCs w:val="28"/>
          <w:highlight w:val="none"/>
          <w:lang w:val="en-US" w:eastAsia="zh-CN"/>
        </w:rPr>
        <w:t>特此通知！</w:t>
      </w:r>
    </w:p>
    <w:p>
      <w:pPr>
        <w:tabs>
          <w:tab w:val="left" w:pos="606"/>
        </w:tabs>
        <w:rPr>
          <w:rFonts w:hint="default"/>
          <w:color w:val="auto"/>
          <w:sz w:val="28"/>
          <w:szCs w:val="28"/>
          <w:highlight w:val="none"/>
          <w:lang w:val="en-US" w:eastAsia="zh-CN"/>
        </w:rPr>
      </w:pPr>
    </w:p>
    <w:p>
      <w:pPr>
        <w:tabs>
          <w:tab w:val="left" w:pos="606"/>
        </w:tabs>
        <w:ind w:firstLine="4480" w:firstLineChars="1600"/>
        <w:rPr>
          <w:rFonts w:hint="eastAsia"/>
          <w:color w:val="auto"/>
          <w:sz w:val="28"/>
          <w:szCs w:val="28"/>
          <w:highlight w:val="none"/>
          <w:lang w:val="en-US" w:eastAsia="zh-CN"/>
        </w:rPr>
      </w:pPr>
      <w:r>
        <w:rPr>
          <w:rFonts w:hint="eastAsia"/>
          <w:color w:val="auto"/>
          <w:sz w:val="28"/>
          <w:szCs w:val="28"/>
          <w:highlight w:val="none"/>
          <w:lang w:val="en-US" w:eastAsia="zh-CN"/>
        </w:rPr>
        <w:t>采购单位（盖章）：</w:t>
      </w:r>
    </w:p>
    <w:p>
      <w:pPr>
        <w:tabs>
          <w:tab w:val="left" w:pos="606"/>
        </w:tabs>
        <w:ind w:firstLine="4480" w:firstLineChars="1600"/>
        <w:rPr>
          <w:rFonts w:hint="eastAsia"/>
          <w:color w:val="auto"/>
          <w:sz w:val="28"/>
          <w:szCs w:val="28"/>
          <w:highlight w:val="none"/>
          <w:lang w:val="en-US" w:eastAsia="zh-CN"/>
        </w:rPr>
      </w:pPr>
      <w:r>
        <w:rPr>
          <w:rFonts w:hint="eastAsia"/>
          <w:color w:val="auto"/>
          <w:sz w:val="28"/>
          <w:szCs w:val="28"/>
          <w:highlight w:val="none"/>
          <w:lang w:val="en-US" w:eastAsia="zh-CN"/>
        </w:rPr>
        <w:t>代理机构（盖章）：</w:t>
      </w:r>
    </w:p>
    <w:p>
      <w:pPr>
        <w:pStyle w:val="24"/>
        <w:ind w:left="181" w:leftChars="86" w:firstLine="4331" w:firstLineChars="1547"/>
        <w:rPr>
          <w:rFonts w:hAnsi="宋体"/>
          <w:bCs/>
          <w:color w:val="auto"/>
          <w:sz w:val="24"/>
          <w:szCs w:val="24"/>
          <w:highlight w:val="none"/>
        </w:rPr>
      </w:pPr>
      <w:r>
        <w:rPr>
          <w:rFonts w:hint="eastAsia"/>
          <w:color w:val="auto"/>
          <w:sz w:val="28"/>
          <w:szCs w:val="28"/>
          <w:highlight w:val="none"/>
          <w:lang w:val="en-US" w:eastAsia="zh-CN"/>
        </w:rPr>
        <w:t>日期：  年  月  日</w:t>
      </w:r>
    </w:p>
    <w:sectPr>
      <w:headerReference r:id="rId3" w:type="default"/>
      <w:footerReference r:id="rId4" w:type="default"/>
      <w:footerReference r:id="rId5" w:type="even"/>
      <w:pgSz w:w="11906" w:h="16838"/>
      <w:pgMar w:top="1440" w:right="123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6</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34102"/>
    <w:multiLevelType w:val="singleLevel"/>
    <w:tmpl w:val="89434102"/>
    <w:lvl w:ilvl="0" w:tentative="0">
      <w:start w:val="29"/>
      <w:numFmt w:val="decimal"/>
      <w:suff w:val="space"/>
      <w:lvlText w:val="%1."/>
      <w:lvlJc w:val="left"/>
    </w:lvl>
  </w:abstractNum>
  <w:abstractNum w:abstractNumId="1">
    <w:nsid w:val="0000001E"/>
    <w:multiLevelType w:val="multilevel"/>
    <w:tmpl w:val="0000001E"/>
    <w:lvl w:ilvl="0" w:tentative="0">
      <w:start w:val="1"/>
      <w:numFmt w:val="chineseCountingThousand"/>
      <w:pStyle w:val="1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63060DB"/>
    <w:multiLevelType w:val="multilevel"/>
    <w:tmpl w:val="763060DB"/>
    <w:lvl w:ilvl="0" w:tentative="0">
      <w:start w:val="1"/>
      <w:numFmt w:val="japaneseCounting"/>
      <w:pStyle w:val="20"/>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52"/>
    <w:rsid w:val="00005666"/>
    <w:rsid w:val="000059EB"/>
    <w:rsid w:val="00006301"/>
    <w:rsid w:val="00007BEE"/>
    <w:rsid w:val="000113CA"/>
    <w:rsid w:val="0001237E"/>
    <w:rsid w:val="00013434"/>
    <w:rsid w:val="000165DD"/>
    <w:rsid w:val="0001792D"/>
    <w:rsid w:val="00021CE7"/>
    <w:rsid w:val="00022FA9"/>
    <w:rsid w:val="000242D8"/>
    <w:rsid w:val="00027A71"/>
    <w:rsid w:val="00031C0A"/>
    <w:rsid w:val="0003784F"/>
    <w:rsid w:val="00041A0E"/>
    <w:rsid w:val="000427FB"/>
    <w:rsid w:val="0004695A"/>
    <w:rsid w:val="00047E7F"/>
    <w:rsid w:val="00050856"/>
    <w:rsid w:val="00050E74"/>
    <w:rsid w:val="00053D63"/>
    <w:rsid w:val="00055F86"/>
    <w:rsid w:val="000624EC"/>
    <w:rsid w:val="00066EFB"/>
    <w:rsid w:val="0006700D"/>
    <w:rsid w:val="0007000B"/>
    <w:rsid w:val="000700DD"/>
    <w:rsid w:val="000709D5"/>
    <w:rsid w:val="00070C4A"/>
    <w:rsid w:val="0007154C"/>
    <w:rsid w:val="00073B8A"/>
    <w:rsid w:val="00074B56"/>
    <w:rsid w:val="00075324"/>
    <w:rsid w:val="0007619F"/>
    <w:rsid w:val="000801A0"/>
    <w:rsid w:val="000869E9"/>
    <w:rsid w:val="00092D35"/>
    <w:rsid w:val="00094824"/>
    <w:rsid w:val="00096DAC"/>
    <w:rsid w:val="00097194"/>
    <w:rsid w:val="000A0973"/>
    <w:rsid w:val="000A5F17"/>
    <w:rsid w:val="000A6AC8"/>
    <w:rsid w:val="000A6BCE"/>
    <w:rsid w:val="000A6DA0"/>
    <w:rsid w:val="000B09F0"/>
    <w:rsid w:val="000B162C"/>
    <w:rsid w:val="000B250A"/>
    <w:rsid w:val="000B3671"/>
    <w:rsid w:val="000B59DC"/>
    <w:rsid w:val="000B7E41"/>
    <w:rsid w:val="000C3F45"/>
    <w:rsid w:val="000C6583"/>
    <w:rsid w:val="000C6668"/>
    <w:rsid w:val="000D2CC6"/>
    <w:rsid w:val="000D57B7"/>
    <w:rsid w:val="000D57DF"/>
    <w:rsid w:val="000D7E1D"/>
    <w:rsid w:val="000E0974"/>
    <w:rsid w:val="000E0BCD"/>
    <w:rsid w:val="000E1B2E"/>
    <w:rsid w:val="000E399F"/>
    <w:rsid w:val="000F7BFB"/>
    <w:rsid w:val="00102816"/>
    <w:rsid w:val="001031C8"/>
    <w:rsid w:val="00103C30"/>
    <w:rsid w:val="00103CFA"/>
    <w:rsid w:val="0010495D"/>
    <w:rsid w:val="00107B4F"/>
    <w:rsid w:val="001107F1"/>
    <w:rsid w:val="00114003"/>
    <w:rsid w:val="00124553"/>
    <w:rsid w:val="00124933"/>
    <w:rsid w:val="00125257"/>
    <w:rsid w:val="00125D81"/>
    <w:rsid w:val="001318C9"/>
    <w:rsid w:val="00133AA1"/>
    <w:rsid w:val="001349FB"/>
    <w:rsid w:val="00141722"/>
    <w:rsid w:val="001519D2"/>
    <w:rsid w:val="001525E4"/>
    <w:rsid w:val="00157312"/>
    <w:rsid w:val="00157567"/>
    <w:rsid w:val="001579D3"/>
    <w:rsid w:val="00160046"/>
    <w:rsid w:val="00162B8B"/>
    <w:rsid w:val="00162F41"/>
    <w:rsid w:val="00164350"/>
    <w:rsid w:val="00165C67"/>
    <w:rsid w:val="00166DBD"/>
    <w:rsid w:val="00170383"/>
    <w:rsid w:val="00171177"/>
    <w:rsid w:val="00171641"/>
    <w:rsid w:val="00172A27"/>
    <w:rsid w:val="0019301B"/>
    <w:rsid w:val="0019344A"/>
    <w:rsid w:val="001950CE"/>
    <w:rsid w:val="001A50F8"/>
    <w:rsid w:val="001A6B89"/>
    <w:rsid w:val="001B00BB"/>
    <w:rsid w:val="001B193F"/>
    <w:rsid w:val="001B32A0"/>
    <w:rsid w:val="001B39AC"/>
    <w:rsid w:val="001B48BE"/>
    <w:rsid w:val="001B6C8E"/>
    <w:rsid w:val="001C10C0"/>
    <w:rsid w:val="001C1E7F"/>
    <w:rsid w:val="001C361F"/>
    <w:rsid w:val="001C4289"/>
    <w:rsid w:val="001C4BB6"/>
    <w:rsid w:val="001C575D"/>
    <w:rsid w:val="001D3AA7"/>
    <w:rsid w:val="001D5990"/>
    <w:rsid w:val="001D66F2"/>
    <w:rsid w:val="001D79CB"/>
    <w:rsid w:val="001E23B3"/>
    <w:rsid w:val="001E340D"/>
    <w:rsid w:val="001E3B8C"/>
    <w:rsid w:val="001E3CE6"/>
    <w:rsid w:val="001E646A"/>
    <w:rsid w:val="001E65A3"/>
    <w:rsid w:val="001E6BAA"/>
    <w:rsid w:val="001F0AD2"/>
    <w:rsid w:val="001F24AB"/>
    <w:rsid w:val="001F2FE8"/>
    <w:rsid w:val="001F635E"/>
    <w:rsid w:val="001F66E2"/>
    <w:rsid w:val="00200737"/>
    <w:rsid w:val="00200D14"/>
    <w:rsid w:val="0020224D"/>
    <w:rsid w:val="00204AD0"/>
    <w:rsid w:val="00212275"/>
    <w:rsid w:val="00216C27"/>
    <w:rsid w:val="0021724F"/>
    <w:rsid w:val="00217F51"/>
    <w:rsid w:val="002201C7"/>
    <w:rsid w:val="00221477"/>
    <w:rsid w:val="0022431A"/>
    <w:rsid w:val="00231DA7"/>
    <w:rsid w:val="002430DA"/>
    <w:rsid w:val="00244050"/>
    <w:rsid w:val="0024607D"/>
    <w:rsid w:val="00262472"/>
    <w:rsid w:val="00265C56"/>
    <w:rsid w:val="00265E8E"/>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5ACD"/>
    <w:rsid w:val="002C038D"/>
    <w:rsid w:val="002C454C"/>
    <w:rsid w:val="002C7696"/>
    <w:rsid w:val="002C77A8"/>
    <w:rsid w:val="002D0F84"/>
    <w:rsid w:val="002D1917"/>
    <w:rsid w:val="002D306F"/>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F2F"/>
    <w:rsid w:val="00322074"/>
    <w:rsid w:val="003248A3"/>
    <w:rsid w:val="00326CF0"/>
    <w:rsid w:val="003278CB"/>
    <w:rsid w:val="00331FDC"/>
    <w:rsid w:val="00333FA6"/>
    <w:rsid w:val="00336522"/>
    <w:rsid w:val="003405C7"/>
    <w:rsid w:val="00345F77"/>
    <w:rsid w:val="00350EA5"/>
    <w:rsid w:val="00352601"/>
    <w:rsid w:val="00352640"/>
    <w:rsid w:val="00352E9E"/>
    <w:rsid w:val="0035414E"/>
    <w:rsid w:val="00355200"/>
    <w:rsid w:val="00355860"/>
    <w:rsid w:val="00355917"/>
    <w:rsid w:val="003571F2"/>
    <w:rsid w:val="00360891"/>
    <w:rsid w:val="00365474"/>
    <w:rsid w:val="00367FDB"/>
    <w:rsid w:val="0037686C"/>
    <w:rsid w:val="00376D16"/>
    <w:rsid w:val="0038728A"/>
    <w:rsid w:val="00390123"/>
    <w:rsid w:val="00391FCD"/>
    <w:rsid w:val="003935FB"/>
    <w:rsid w:val="0039429C"/>
    <w:rsid w:val="003966B4"/>
    <w:rsid w:val="003977B2"/>
    <w:rsid w:val="00397B74"/>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36184"/>
    <w:rsid w:val="00441A20"/>
    <w:rsid w:val="004448AD"/>
    <w:rsid w:val="00451F6B"/>
    <w:rsid w:val="00455495"/>
    <w:rsid w:val="00455604"/>
    <w:rsid w:val="00455D3B"/>
    <w:rsid w:val="0046017C"/>
    <w:rsid w:val="004603D9"/>
    <w:rsid w:val="00460DE4"/>
    <w:rsid w:val="00461B48"/>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49"/>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E0DE8"/>
    <w:rsid w:val="004E4783"/>
    <w:rsid w:val="004F58C6"/>
    <w:rsid w:val="0050052B"/>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771A"/>
    <w:rsid w:val="00550B46"/>
    <w:rsid w:val="00551B09"/>
    <w:rsid w:val="00552851"/>
    <w:rsid w:val="005529C8"/>
    <w:rsid w:val="00554847"/>
    <w:rsid w:val="005548ED"/>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537F"/>
    <w:rsid w:val="005B5789"/>
    <w:rsid w:val="005B6AB0"/>
    <w:rsid w:val="005C22ED"/>
    <w:rsid w:val="005C3F54"/>
    <w:rsid w:val="005C4F69"/>
    <w:rsid w:val="005C54AF"/>
    <w:rsid w:val="005D3CD0"/>
    <w:rsid w:val="005D3D37"/>
    <w:rsid w:val="005D5983"/>
    <w:rsid w:val="005E1289"/>
    <w:rsid w:val="005E2AEF"/>
    <w:rsid w:val="005E4555"/>
    <w:rsid w:val="005E4721"/>
    <w:rsid w:val="005E7F28"/>
    <w:rsid w:val="005F12B7"/>
    <w:rsid w:val="005F5FB1"/>
    <w:rsid w:val="00601824"/>
    <w:rsid w:val="0060504A"/>
    <w:rsid w:val="0060547D"/>
    <w:rsid w:val="006119E8"/>
    <w:rsid w:val="00613CF5"/>
    <w:rsid w:val="00614C29"/>
    <w:rsid w:val="006172B4"/>
    <w:rsid w:val="00620987"/>
    <w:rsid w:val="00630AEA"/>
    <w:rsid w:val="00631CB9"/>
    <w:rsid w:val="00636BD8"/>
    <w:rsid w:val="00637ADB"/>
    <w:rsid w:val="006513CE"/>
    <w:rsid w:val="0065318F"/>
    <w:rsid w:val="0065412F"/>
    <w:rsid w:val="00654ADD"/>
    <w:rsid w:val="00657194"/>
    <w:rsid w:val="00657F54"/>
    <w:rsid w:val="00663D89"/>
    <w:rsid w:val="006659BF"/>
    <w:rsid w:val="00665DCB"/>
    <w:rsid w:val="0066643B"/>
    <w:rsid w:val="00675D8A"/>
    <w:rsid w:val="00676893"/>
    <w:rsid w:val="00680869"/>
    <w:rsid w:val="00687A26"/>
    <w:rsid w:val="00694A00"/>
    <w:rsid w:val="00696D07"/>
    <w:rsid w:val="006A11DD"/>
    <w:rsid w:val="006A2314"/>
    <w:rsid w:val="006A6403"/>
    <w:rsid w:val="006A6713"/>
    <w:rsid w:val="006A78B7"/>
    <w:rsid w:val="006B10FB"/>
    <w:rsid w:val="006B23CC"/>
    <w:rsid w:val="006B35AC"/>
    <w:rsid w:val="006B4E41"/>
    <w:rsid w:val="006B6A3D"/>
    <w:rsid w:val="006B7957"/>
    <w:rsid w:val="006C5D06"/>
    <w:rsid w:val="006C7748"/>
    <w:rsid w:val="006C7CE9"/>
    <w:rsid w:val="006D1CE4"/>
    <w:rsid w:val="006D4CA4"/>
    <w:rsid w:val="006D64CF"/>
    <w:rsid w:val="006D76B4"/>
    <w:rsid w:val="006E16BA"/>
    <w:rsid w:val="006E27C5"/>
    <w:rsid w:val="006E37E2"/>
    <w:rsid w:val="006E54C5"/>
    <w:rsid w:val="006E57C1"/>
    <w:rsid w:val="006E5816"/>
    <w:rsid w:val="006E5B47"/>
    <w:rsid w:val="006E6487"/>
    <w:rsid w:val="006E6B75"/>
    <w:rsid w:val="006F2415"/>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45A1"/>
    <w:rsid w:val="00746254"/>
    <w:rsid w:val="0074671D"/>
    <w:rsid w:val="007509DE"/>
    <w:rsid w:val="00752A44"/>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4C17"/>
    <w:rsid w:val="007B3B83"/>
    <w:rsid w:val="007B3CF0"/>
    <w:rsid w:val="007B3E6D"/>
    <w:rsid w:val="007B7605"/>
    <w:rsid w:val="007C4BA1"/>
    <w:rsid w:val="007C618D"/>
    <w:rsid w:val="007C69C6"/>
    <w:rsid w:val="007C76D6"/>
    <w:rsid w:val="007D4971"/>
    <w:rsid w:val="007D4C08"/>
    <w:rsid w:val="007D6819"/>
    <w:rsid w:val="007D6F8A"/>
    <w:rsid w:val="007D7842"/>
    <w:rsid w:val="007E0EE7"/>
    <w:rsid w:val="007E6255"/>
    <w:rsid w:val="007E68E4"/>
    <w:rsid w:val="007F1AA9"/>
    <w:rsid w:val="007F2FAC"/>
    <w:rsid w:val="007F445F"/>
    <w:rsid w:val="007F6E86"/>
    <w:rsid w:val="007F7D57"/>
    <w:rsid w:val="008021AF"/>
    <w:rsid w:val="00806ED8"/>
    <w:rsid w:val="00807368"/>
    <w:rsid w:val="00810B81"/>
    <w:rsid w:val="008116BE"/>
    <w:rsid w:val="00814908"/>
    <w:rsid w:val="008206DE"/>
    <w:rsid w:val="00821656"/>
    <w:rsid w:val="00824735"/>
    <w:rsid w:val="0082670E"/>
    <w:rsid w:val="0082773C"/>
    <w:rsid w:val="00836196"/>
    <w:rsid w:val="00836996"/>
    <w:rsid w:val="00841F6B"/>
    <w:rsid w:val="00843734"/>
    <w:rsid w:val="00845326"/>
    <w:rsid w:val="0085139C"/>
    <w:rsid w:val="00851A56"/>
    <w:rsid w:val="00854FCA"/>
    <w:rsid w:val="00855823"/>
    <w:rsid w:val="00855C1B"/>
    <w:rsid w:val="00863520"/>
    <w:rsid w:val="008658D2"/>
    <w:rsid w:val="00865C3A"/>
    <w:rsid w:val="00866827"/>
    <w:rsid w:val="00867F5C"/>
    <w:rsid w:val="008702E4"/>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4B9B"/>
    <w:rsid w:val="008A7A42"/>
    <w:rsid w:val="008B05C3"/>
    <w:rsid w:val="008B456E"/>
    <w:rsid w:val="008B5543"/>
    <w:rsid w:val="008B69CD"/>
    <w:rsid w:val="008C2096"/>
    <w:rsid w:val="008C2FBC"/>
    <w:rsid w:val="008C3B7A"/>
    <w:rsid w:val="008C565A"/>
    <w:rsid w:val="008C5DA7"/>
    <w:rsid w:val="008C60E7"/>
    <w:rsid w:val="008C70F7"/>
    <w:rsid w:val="008C710F"/>
    <w:rsid w:val="008D1F5A"/>
    <w:rsid w:val="008D474B"/>
    <w:rsid w:val="008D71D9"/>
    <w:rsid w:val="008D7671"/>
    <w:rsid w:val="008E011F"/>
    <w:rsid w:val="008E05AF"/>
    <w:rsid w:val="008E1B68"/>
    <w:rsid w:val="008E6367"/>
    <w:rsid w:val="008E6943"/>
    <w:rsid w:val="008F04C8"/>
    <w:rsid w:val="008F35E5"/>
    <w:rsid w:val="008F6CEF"/>
    <w:rsid w:val="00900993"/>
    <w:rsid w:val="00907FFE"/>
    <w:rsid w:val="00910C7F"/>
    <w:rsid w:val="00911346"/>
    <w:rsid w:val="0091231B"/>
    <w:rsid w:val="009208CC"/>
    <w:rsid w:val="0092134D"/>
    <w:rsid w:val="0092135A"/>
    <w:rsid w:val="0092451F"/>
    <w:rsid w:val="00924C76"/>
    <w:rsid w:val="0092606C"/>
    <w:rsid w:val="00927953"/>
    <w:rsid w:val="00930B31"/>
    <w:rsid w:val="009313F1"/>
    <w:rsid w:val="00931684"/>
    <w:rsid w:val="0093284A"/>
    <w:rsid w:val="009458FF"/>
    <w:rsid w:val="00945DC4"/>
    <w:rsid w:val="00946D77"/>
    <w:rsid w:val="00947F36"/>
    <w:rsid w:val="00952E46"/>
    <w:rsid w:val="0095462B"/>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F1269"/>
    <w:rsid w:val="009F45DF"/>
    <w:rsid w:val="009F5E88"/>
    <w:rsid w:val="00A00A50"/>
    <w:rsid w:val="00A01908"/>
    <w:rsid w:val="00A01CCE"/>
    <w:rsid w:val="00A07056"/>
    <w:rsid w:val="00A07A91"/>
    <w:rsid w:val="00A07F5B"/>
    <w:rsid w:val="00A13458"/>
    <w:rsid w:val="00A136BE"/>
    <w:rsid w:val="00A16814"/>
    <w:rsid w:val="00A16C6B"/>
    <w:rsid w:val="00A22B8F"/>
    <w:rsid w:val="00A30B5F"/>
    <w:rsid w:val="00A327B9"/>
    <w:rsid w:val="00A3304F"/>
    <w:rsid w:val="00A35A12"/>
    <w:rsid w:val="00A42B35"/>
    <w:rsid w:val="00A46124"/>
    <w:rsid w:val="00A47B95"/>
    <w:rsid w:val="00A50F61"/>
    <w:rsid w:val="00A52EE1"/>
    <w:rsid w:val="00A565C7"/>
    <w:rsid w:val="00A56A7C"/>
    <w:rsid w:val="00A57B9F"/>
    <w:rsid w:val="00A6180E"/>
    <w:rsid w:val="00A66818"/>
    <w:rsid w:val="00A716B4"/>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6859"/>
    <w:rsid w:val="00AF2FAF"/>
    <w:rsid w:val="00AF3A89"/>
    <w:rsid w:val="00AF50C5"/>
    <w:rsid w:val="00AF68D7"/>
    <w:rsid w:val="00AF7041"/>
    <w:rsid w:val="00AF7F90"/>
    <w:rsid w:val="00B063EB"/>
    <w:rsid w:val="00B16951"/>
    <w:rsid w:val="00B222E9"/>
    <w:rsid w:val="00B25407"/>
    <w:rsid w:val="00B32336"/>
    <w:rsid w:val="00B37953"/>
    <w:rsid w:val="00B401EC"/>
    <w:rsid w:val="00B43A0A"/>
    <w:rsid w:val="00B43EEB"/>
    <w:rsid w:val="00B50063"/>
    <w:rsid w:val="00B54A0D"/>
    <w:rsid w:val="00B54F29"/>
    <w:rsid w:val="00B57850"/>
    <w:rsid w:val="00B60B2E"/>
    <w:rsid w:val="00B60E99"/>
    <w:rsid w:val="00B61961"/>
    <w:rsid w:val="00B61DD7"/>
    <w:rsid w:val="00B62AF3"/>
    <w:rsid w:val="00B70256"/>
    <w:rsid w:val="00B712C8"/>
    <w:rsid w:val="00B74A8F"/>
    <w:rsid w:val="00B80FC7"/>
    <w:rsid w:val="00B82A84"/>
    <w:rsid w:val="00B85BEB"/>
    <w:rsid w:val="00B9038D"/>
    <w:rsid w:val="00B9223D"/>
    <w:rsid w:val="00B941FA"/>
    <w:rsid w:val="00B946CF"/>
    <w:rsid w:val="00B95851"/>
    <w:rsid w:val="00BA5BE8"/>
    <w:rsid w:val="00BA6729"/>
    <w:rsid w:val="00BB2656"/>
    <w:rsid w:val="00BC14B1"/>
    <w:rsid w:val="00BC15A9"/>
    <w:rsid w:val="00BC1BA6"/>
    <w:rsid w:val="00BC351E"/>
    <w:rsid w:val="00BC4AAD"/>
    <w:rsid w:val="00BC50DD"/>
    <w:rsid w:val="00BC6B8E"/>
    <w:rsid w:val="00BD0D04"/>
    <w:rsid w:val="00BD3180"/>
    <w:rsid w:val="00BD41D4"/>
    <w:rsid w:val="00BD7A74"/>
    <w:rsid w:val="00BE1999"/>
    <w:rsid w:val="00BE1C41"/>
    <w:rsid w:val="00BE5E82"/>
    <w:rsid w:val="00BF4AE6"/>
    <w:rsid w:val="00BF5501"/>
    <w:rsid w:val="00C02258"/>
    <w:rsid w:val="00C02595"/>
    <w:rsid w:val="00C031F4"/>
    <w:rsid w:val="00C04505"/>
    <w:rsid w:val="00C1000E"/>
    <w:rsid w:val="00C109F1"/>
    <w:rsid w:val="00C13FCC"/>
    <w:rsid w:val="00C163DC"/>
    <w:rsid w:val="00C16F12"/>
    <w:rsid w:val="00C17D2C"/>
    <w:rsid w:val="00C22D9F"/>
    <w:rsid w:val="00C247A0"/>
    <w:rsid w:val="00C30FFA"/>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71619"/>
    <w:rsid w:val="00C8290A"/>
    <w:rsid w:val="00C91489"/>
    <w:rsid w:val="00C92D9B"/>
    <w:rsid w:val="00C934F8"/>
    <w:rsid w:val="00C96F3D"/>
    <w:rsid w:val="00CA1BC3"/>
    <w:rsid w:val="00CA47AB"/>
    <w:rsid w:val="00CA61F1"/>
    <w:rsid w:val="00CB03AD"/>
    <w:rsid w:val="00CB3F5E"/>
    <w:rsid w:val="00CB44C4"/>
    <w:rsid w:val="00CB67C3"/>
    <w:rsid w:val="00CC111B"/>
    <w:rsid w:val="00CC395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14306"/>
    <w:rsid w:val="00D32AD9"/>
    <w:rsid w:val="00D3603C"/>
    <w:rsid w:val="00D37DF9"/>
    <w:rsid w:val="00D37F65"/>
    <w:rsid w:val="00D4102C"/>
    <w:rsid w:val="00D43A31"/>
    <w:rsid w:val="00D51D54"/>
    <w:rsid w:val="00D56DDA"/>
    <w:rsid w:val="00D57AA9"/>
    <w:rsid w:val="00D60D16"/>
    <w:rsid w:val="00D61AF7"/>
    <w:rsid w:val="00D7125F"/>
    <w:rsid w:val="00D714B3"/>
    <w:rsid w:val="00D7492C"/>
    <w:rsid w:val="00D768E7"/>
    <w:rsid w:val="00D80767"/>
    <w:rsid w:val="00D8091D"/>
    <w:rsid w:val="00D81A70"/>
    <w:rsid w:val="00D85234"/>
    <w:rsid w:val="00D87D54"/>
    <w:rsid w:val="00D90F88"/>
    <w:rsid w:val="00D91153"/>
    <w:rsid w:val="00DA02C6"/>
    <w:rsid w:val="00DA0708"/>
    <w:rsid w:val="00DA4ACB"/>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1468D"/>
    <w:rsid w:val="00E15048"/>
    <w:rsid w:val="00E151B9"/>
    <w:rsid w:val="00E20F8E"/>
    <w:rsid w:val="00E252FD"/>
    <w:rsid w:val="00E27932"/>
    <w:rsid w:val="00E30752"/>
    <w:rsid w:val="00E30F76"/>
    <w:rsid w:val="00E31C19"/>
    <w:rsid w:val="00E31D9D"/>
    <w:rsid w:val="00E336EC"/>
    <w:rsid w:val="00E40C16"/>
    <w:rsid w:val="00E41D94"/>
    <w:rsid w:val="00E5101A"/>
    <w:rsid w:val="00E51F9B"/>
    <w:rsid w:val="00E53802"/>
    <w:rsid w:val="00E56C10"/>
    <w:rsid w:val="00E613E3"/>
    <w:rsid w:val="00E62FAC"/>
    <w:rsid w:val="00E64D90"/>
    <w:rsid w:val="00E71657"/>
    <w:rsid w:val="00E721E0"/>
    <w:rsid w:val="00E73357"/>
    <w:rsid w:val="00E82709"/>
    <w:rsid w:val="00E85322"/>
    <w:rsid w:val="00E86714"/>
    <w:rsid w:val="00E90A16"/>
    <w:rsid w:val="00E9202D"/>
    <w:rsid w:val="00E940EE"/>
    <w:rsid w:val="00E9495F"/>
    <w:rsid w:val="00E95825"/>
    <w:rsid w:val="00E97D41"/>
    <w:rsid w:val="00EA342E"/>
    <w:rsid w:val="00EA3B57"/>
    <w:rsid w:val="00EB16D7"/>
    <w:rsid w:val="00EB2FBE"/>
    <w:rsid w:val="00ED5930"/>
    <w:rsid w:val="00EE61D4"/>
    <w:rsid w:val="00EE790B"/>
    <w:rsid w:val="00EF5169"/>
    <w:rsid w:val="00EF5B42"/>
    <w:rsid w:val="00F038E9"/>
    <w:rsid w:val="00F04890"/>
    <w:rsid w:val="00F048CF"/>
    <w:rsid w:val="00F04B2C"/>
    <w:rsid w:val="00F06560"/>
    <w:rsid w:val="00F07AFF"/>
    <w:rsid w:val="00F108F0"/>
    <w:rsid w:val="00F14F78"/>
    <w:rsid w:val="00F1511F"/>
    <w:rsid w:val="00F231AA"/>
    <w:rsid w:val="00F235A9"/>
    <w:rsid w:val="00F41ADC"/>
    <w:rsid w:val="00F45C80"/>
    <w:rsid w:val="00F52424"/>
    <w:rsid w:val="00F52873"/>
    <w:rsid w:val="00F52CDC"/>
    <w:rsid w:val="00F61C3E"/>
    <w:rsid w:val="00F6326D"/>
    <w:rsid w:val="00F63C60"/>
    <w:rsid w:val="00F63CB7"/>
    <w:rsid w:val="00F70A5A"/>
    <w:rsid w:val="00F73D33"/>
    <w:rsid w:val="00F746FE"/>
    <w:rsid w:val="00F751DA"/>
    <w:rsid w:val="00F812E3"/>
    <w:rsid w:val="00F82C62"/>
    <w:rsid w:val="00F82EF7"/>
    <w:rsid w:val="00F83775"/>
    <w:rsid w:val="00F841A9"/>
    <w:rsid w:val="00F941C3"/>
    <w:rsid w:val="00F95849"/>
    <w:rsid w:val="00F9754D"/>
    <w:rsid w:val="00FA11C8"/>
    <w:rsid w:val="00FA3B4B"/>
    <w:rsid w:val="00FA52A9"/>
    <w:rsid w:val="00FA7567"/>
    <w:rsid w:val="00FB4D00"/>
    <w:rsid w:val="00FC0600"/>
    <w:rsid w:val="00FC22FA"/>
    <w:rsid w:val="00FC2625"/>
    <w:rsid w:val="00FC36BA"/>
    <w:rsid w:val="00FC7078"/>
    <w:rsid w:val="00FD291D"/>
    <w:rsid w:val="00FD6022"/>
    <w:rsid w:val="00FE3B4F"/>
    <w:rsid w:val="00FE40E1"/>
    <w:rsid w:val="00FE47EC"/>
    <w:rsid w:val="00FE4973"/>
    <w:rsid w:val="00FE4D93"/>
    <w:rsid w:val="00FE797C"/>
    <w:rsid w:val="00FF2CC3"/>
    <w:rsid w:val="00FF7B93"/>
    <w:rsid w:val="01447B50"/>
    <w:rsid w:val="06952433"/>
    <w:rsid w:val="08A06B1A"/>
    <w:rsid w:val="08F65C90"/>
    <w:rsid w:val="0B0E0952"/>
    <w:rsid w:val="0BF56D61"/>
    <w:rsid w:val="0C1969E9"/>
    <w:rsid w:val="0C8650D6"/>
    <w:rsid w:val="0CE12BAF"/>
    <w:rsid w:val="0E2D0979"/>
    <w:rsid w:val="0FA02095"/>
    <w:rsid w:val="0FED3846"/>
    <w:rsid w:val="10410FB7"/>
    <w:rsid w:val="116A0B8A"/>
    <w:rsid w:val="11EA1685"/>
    <w:rsid w:val="12930507"/>
    <w:rsid w:val="12F1746B"/>
    <w:rsid w:val="13421FD0"/>
    <w:rsid w:val="137124F4"/>
    <w:rsid w:val="1396522D"/>
    <w:rsid w:val="13CE1353"/>
    <w:rsid w:val="13D83797"/>
    <w:rsid w:val="14F85727"/>
    <w:rsid w:val="15057BC2"/>
    <w:rsid w:val="15CF0E8E"/>
    <w:rsid w:val="182448E5"/>
    <w:rsid w:val="18C968E5"/>
    <w:rsid w:val="1A90554A"/>
    <w:rsid w:val="1BF84C5C"/>
    <w:rsid w:val="1E143232"/>
    <w:rsid w:val="1F3F677F"/>
    <w:rsid w:val="20BB00FC"/>
    <w:rsid w:val="211F47AE"/>
    <w:rsid w:val="21DE3F57"/>
    <w:rsid w:val="24EE4D3A"/>
    <w:rsid w:val="251E4188"/>
    <w:rsid w:val="26157294"/>
    <w:rsid w:val="263211DB"/>
    <w:rsid w:val="26517546"/>
    <w:rsid w:val="26AF020E"/>
    <w:rsid w:val="26BE2B06"/>
    <w:rsid w:val="27F0207B"/>
    <w:rsid w:val="28934B6C"/>
    <w:rsid w:val="2A466665"/>
    <w:rsid w:val="2A764228"/>
    <w:rsid w:val="2AE1009B"/>
    <w:rsid w:val="2C9B6C76"/>
    <w:rsid w:val="2D433749"/>
    <w:rsid w:val="2D550598"/>
    <w:rsid w:val="2EAE76EB"/>
    <w:rsid w:val="2F6A7056"/>
    <w:rsid w:val="31422961"/>
    <w:rsid w:val="31F13685"/>
    <w:rsid w:val="328B0830"/>
    <w:rsid w:val="32A7334C"/>
    <w:rsid w:val="37682375"/>
    <w:rsid w:val="39E55A99"/>
    <w:rsid w:val="3A4E4406"/>
    <w:rsid w:val="3B09379E"/>
    <w:rsid w:val="3BF01297"/>
    <w:rsid w:val="3CE710AF"/>
    <w:rsid w:val="3EA53EF8"/>
    <w:rsid w:val="3EB416FE"/>
    <w:rsid w:val="3EB52699"/>
    <w:rsid w:val="3FE41622"/>
    <w:rsid w:val="4035530E"/>
    <w:rsid w:val="40806094"/>
    <w:rsid w:val="41D53A02"/>
    <w:rsid w:val="4214209E"/>
    <w:rsid w:val="42397129"/>
    <w:rsid w:val="426F528B"/>
    <w:rsid w:val="445E486D"/>
    <w:rsid w:val="46A24850"/>
    <w:rsid w:val="47827E5E"/>
    <w:rsid w:val="481C1CD9"/>
    <w:rsid w:val="49097003"/>
    <w:rsid w:val="492E15C0"/>
    <w:rsid w:val="497874FA"/>
    <w:rsid w:val="4E21158C"/>
    <w:rsid w:val="4FC3409A"/>
    <w:rsid w:val="52906C8E"/>
    <w:rsid w:val="5381708A"/>
    <w:rsid w:val="558F0F95"/>
    <w:rsid w:val="55DF730C"/>
    <w:rsid w:val="5641295B"/>
    <w:rsid w:val="57897337"/>
    <w:rsid w:val="58225D1B"/>
    <w:rsid w:val="5A495C9D"/>
    <w:rsid w:val="5A981875"/>
    <w:rsid w:val="5AD57D94"/>
    <w:rsid w:val="5BA02C0C"/>
    <w:rsid w:val="5C2117BB"/>
    <w:rsid w:val="5D175984"/>
    <w:rsid w:val="5DE423BF"/>
    <w:rsid w:val="5F332BBC"/>
    <w:rsid w:val="62C5584A"/>
    <w:rsid w:val="62FB08C0"/>
    <w:rsid w:val="63832C84"/>
    <w:rsid w:val="63D15554"/>
    <w:rsid w:val="63D438E4"/>
    <w:rsid w:val="644C0C6D"/>
    <w:rsid w:val="68AF31AA"/>
    <w:rsid w:val="69D90C35"/>
    <w:rsid w:val="6AFE019A"/>
    <w:rsid w:val="6B7029B9"/>
    <w:rsid w:val="6DCF3727"/>
    <w:rsid w:val="6DE04637"/>
    <w:rsid w:val="6E2541A6"/>
    <w:rsid w:val="71486B86"/>
    <w:rsid w:val="72DE7937"/>
    <w:rsid w:val="756817CC"/>
    <w:rsid w:val="76733542"/>
    <w:rsid w:val="7B8A420E"/>
    <w:rsid w:val="7E2E1F2C"/>
    <w:rsid w:val="7E3A6786"/>
    <w:rsid w:val="7F375A27"/>
    <w:rsid w:val="7F98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qFormat/>
    <w:uiPriority w:val="0"/>
    <w:pPr>
      <w:keepNext/>
      <w:keepLines/>
      <w:outlineLvl w:val="1"/>
    </w:pPr>
    <w:rPr>
      <w:rFonts w:ascii="Arial" w:hAnsi="Arial"/>
      <w:b/>
      <w:bCs/>
      <w:szCs w:val="32"/>
    </w:rPr>
  </w:style>
  <w:style w:type="paragraph" w:styleId="5">
    <w:name w:val="heading 3"/>
    <w:basedOn w:val="1"/>
    <w:next w:val="1"/>
    <w:qFormat/>
    <w:uiPriority w:val="0"/>
    <w:pPr>
      <w:keepNext/>
      <w:keepLines/>
      <w:outlineLvl w:val="2"/>
    </w:pPr>
    <w:rPr>
      <w:b/>
      <w:bCs/>
      <w:szCs w:val="32"/>
    </w:rPr>
  </w:style>
  <w:style w:type="paragraph" w:styleId="6">
    <w:name w:val="heading 4"/>
    <w:basedOn w:val="1"/>
    <w:next w:val="1"/>
    <w:link w:val="59"/>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1"/>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Indent"/>
    <w:basedOn w:val="1"/>
    <w:link w:val="175"/>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455"/>
      </w:tabs>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0"/>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69"/>
    <w:qFormat/>
    <w:uiPriority w:val="0"/>
    <w:rPr>
      <w:rFonts w:ascii="宋体" w:hAnsi="Courier New" w:cs="Courier New"/>
      <w:szCs w:val="21"/>
    </w:rPr>
  </w:style>
  <w:style w:type="paragraph" w:styleId="25">
    <w:name w:val="toc 8"/>
    <w:basedOn w:val="1"/>
    <w:next w:val="1"/>
    <w:unhideWhenUsed/>
    <w:qFormat/>
    <w:uiPriority w:val="0"/>
    <w:pPr>
      <w:ind w:left="1470"/>
      <w:jc w:val="left"/>
    </w:pPr>
    <w:rPr>
      <w:rFonts w:ascii="Calibri" w:hAnsi="Calibri"/>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List"/>
    <w:basedOn w:val="1"/>
    <w:qFormat/>
    <w:uiPriority w:val="0"/>
    <w:pPr>
      <w:ind w:left="200" w:hanging="200" w:hangingChars="200"/>
    </w:pPr>
    <w:rPr>
      <w:sz w:val="28"/>
    </w:rPr>
  </w:style>
  <w:style w:type="paragraph" w:styleId="34">
    <w:name w:val="toc 6"/>
    <w:basedOn w:val="1"/>
    <w:next w:val="1"/>
    <w:unhideWhenUsed/>
    <w:qFormat/>
    <w:uiPriority w:val="0"/>
    <w:pPr>
      <w:ind w:left="1050"/>
      <w:jc w:val="left"/>
    </w:pPr>
    <w:rPr>
      <w:rFonts w:ascii="Calibri" w:hAnsi="Calibri"/>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qFormat/>
    <w:uiPriority w:val="39"/>
    <w:pPr>
      <w:ind w:left="210"/>
      <w:jc w:val="left"/>
    </w:pPr>
    <w:rPr>
      <w:rFonts w:ascii="Calibri" w:hAnsi="Calibri"/>
      <w:smallCaps/>
      <w:sz w:val="20"/>
      <w:szCs w:val="20"/>
    </w:rPr>
  </w:style>
  <w:style w:type="paragraph" w:styleId="37">
    <w:name w:val="toc 9"/>
    <w:basedOn w:val="1"/>
    <w:next w:val="1"/>
    <w:unhideWhenUsed/>
    <w:qFormat/>
    <w:uiPriority w:val="0"/>
    <w:pPr>
      <w:ind w:left="1680"/>
      <w:jc w:val="left"/>
    </w:pPr>
    <w:rPr>
      <w:rFonts w:ascii="Calibri" w:hAnsi="Calibri"/>
      <w:sz w:val="18"/>
      <w:szCs w:val="18"/>
    </w:rPr>
  </w:style>
  <w:style w:type="paragraph" w:styleId="38">
    <w:name w:val="Body Text 2"/>
    <w:basedOn w:val="1"/>
    <w:qFormat/>
    <w:uiPriority w:val="0"/>
    <w:pPr>
      <w:spacing w:after="120" w:line="480" w:lineRule="auto"/>
    </w:pPr>
  </w:style>
  <w:style w:type="paragraph" w:styleId="39">
    <w:name w:val="Normal (Web)"/>
    <w:basedOn w:val="1"/>
    <w:link w:val="81"/>
    <w:qFormat/>
    <w:uiPriority w:val="0"/>
    <w:pPr>
      <w:widowControl/>
      <w:jc w:val="left"/>
    </w:pPr>
    <w:rPr>
      <w:rFonts w:ascii="宋体" w:hAnsi="宋体"/>
      <w:kern w:val="0"/>
      <w:sz w:val="24"/>
    </w:rPr>
  </w:style>
  <w:style w:type="paragraph" w:styleId="40">
    <w:name w:val="index 1"/>
    <w:basedOn w:val="1"/>
    <w:next w:val="1"/>
    <w:qFormat/>
    <w:uiPriority w:val="0"/>
    <w:pPr>
      <w:spacing w:line="400" w:lineRule="exact"/>
      <w:ind w:firstLine="420" w:firstLineChars="200"/>
    </w:pPr>
    <w:rPr>
      <w:rFonts w:ascii="宋体" w:hAnsi="Courier New"/>
      <w:b/>
      <w:szCs w:val="20"/>
    </w:rPr>
  </w:style>
  <w:style w:type="paragraph" w:styleId="41">
    <w:name w:val="Title"/>
    <w:basedOn w:val="1"/>
    <w:next w:val="1"/>
    <w:link w:val="78"/>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65"/>
    <w:qFormat/>
    <w:uiPriority w:val="0"/>
    <w:rPr>
      <w:rFonts w:ascii="宋体" w:hAnsi="Courier New"/>
      <w:szCs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color w:val="0000CC"/>
      <w:u w:val="none"/>
    </w:rPr>
  </w:style>
  <w:style w:type="character" w:styleId="49">
    <w:name w:val="Emphasis"/>
    <w:qFormat/>
    <w:uiPriority w:val="20"/>
    <w:rPr>
      <w:i/>
      <w:iCs/>
    </w:rPr>
  </w:style>
  <w:style w:type="character" w:styleId="50">
    <w:name w:val="HTML Definition"/>
    <w:qFormat/>
    <w:uiPriority w:val="0"/>
  </w:style>
  <w:style w:type="character" w:styleId="51">
    <w:name w:val="HTML Acronym"/>
    <w:basedOn w:val="45"/>
    <w:qFormat/>
    <w:uiPriority w:val="0"/>
  </w:style>
  <w:style w:type="character" w:styleId="52">
    <w:name w:val="HTML Variable"/>
    <w:qFormat/>
    <w:uiPriority w:val="0"/>
  </w:style>
  <w:style w:type="character" w:styleId="53">
    <w:name w:val="Hyperlink"/>
    <w:qFormat/>
    <w:uiPriority w:val="99"/>
    <w:rPr>
      <w:color w:val="333333"/>
      <w:u w:val="none"/>
    </w:rPr>
  </w:style>
  <w:style w:type="character" w:styleId="54">
    <w:name w:val="HTML Code"/>
    <w:qFormat/>
    <w:uiPriority w:val="0"/>
    <w:rPr>
      <w:rFonts w:ascii="Courier New" w:hAnsi="Courier New"/>
      <w:color w:val="505050"/>
      <w:sz w:val="24"/>
      <w:szCs w:val="24"/>
    </w:rPr>
  </w:style>
  <w:style w:type="character" w:styleId="55">
    <w:name w:val="annotation reference"/>
    <w:qFormat/>
    <w:uiPriority w:val="0"/>
    <w:rPr>
      <w:sz w:val="21"/>
      <w:szCs w:val="21"/>
    </w:rPr>
  </w:style>
  <w:style w:type="character" w:styleId="56">
    <w:name w:val="HTML Cite"/>
    <w:qFormat/>
    <w:uiPriority w:val="0"/>
  </w:style>
  <w:style w:type="character" w:styleId="57">
    <w:name w:val="HTML Keyboard"/>
    <w:basedOn w:val="45"/>
    <w:qFormat/>
    <w:uiPriority w:val="0"/>
    <w:rPr>
      <w:rFonts w:ascii="Consolas" w:hAnsi="Consolas" w:eastAsia="Consolas" w:cs="Consolas"/>
      <w:color w:val="FFFFFF"/>
      <w:sz w:val="21"/>
      <w:szCs w:val="21"/>
      <w:shd w:val="clear" w:fill="333333"/>
    </w:rPr>
  </w:style>
  <w:style w:type="character" w:styleId="58">
    <w:name w:val="HTML Sample"/>
    <w:basedOn w:val="45"/>
    <w:qFormat/>
    <w:uiPriority w:val="0"/>
    <w:rPr>
      <w:rFonts w:hint="default" w:ascii="Consolas" w:hAnsi="Consolas" w:eastAsia="Consolas" w:cs="Consolas"/>
      <w:sz w:val="21"/>
      <w:szCs w:val="21"/>
    </w:rPr>
  </w:style>
  <w:style w:type="character" w:customStyle="1" w:styleId="59">
    <w:name w:val="标题 4 Char"/>
    <w:link w:val="6"/>
    <w:qFormat/>
    <w:uiPriority w:val="0"/>
    <w:rPr>
      <w:rFonts w:ascii="Arial" w:hAnsi="Arial" w:eastAsia="黑体"/>
      <w:b/>
      <w:kern w:val="2"/>
      <w:sz w:val="28"/>
    </w:rPr>
  </w:style>
  <w:style w:type="character" w:customStyle="1" w:styleId="60">
    <w:name w:val="访问过的超链接"/>
    <w:qFormat/>
    <w:uiPriority w:val="0"/>
    <w:rPr>
      <w:color w:val="333333"/>
      <w:u w:val="none"/>
    </w:rPr>
  </w:style>
  <w:style w:type="character" w:customStyle="1" w:styleId="61">
    <w:name w:val="批注文字 Char"/>
    <w:link w:val="17"/>
    <w:qFormat/>
    <w:uiPriority w:val="0"/>
    <w:rPr>
      <w:kern w:val="2"/>
      <w:sz w:val="21"/>
      <w:szCs w:val="24"/>
      <w:lang w:bidi="ar-SA"/>
    </w:rPr>
  </w:style>
  <w:style w:type="character" w:customStyle="1" w:styleId="62">
    <w:name w:val="textcontents"/>
    <w:basedOn w:val="45"/>
    <w:qFormat/>
    <w:uiPriority w:val="0"/>
  </w:style>
  <w:style w:type="character" w:customStyle="1" w:styleId="63">
    <w:name w:val="页眉 Char"/>
    <w:link w:val="30"/>
    <w:qFormat/>
    <w:uiPriority w:val="99"/>
    <w:rPr>
      <w:rFonts w:eastAsia="宋体"/>
      <w:kern w:val="2"/>
      <w:sz w:val="18"/>
      <w:szCs w:val="18"/>
      <w:lang w:val="en-US" w:eastAsia="zh-CN" w:bidi="ar-SA"/>
    </w:rPr>
  </w:style>
  <w:style w:type="character" w:customStyle="1" w:styleId="64">
    <w:name w:val="Char Char2"/>
    <w:qFormat/>
    <w:uiPriority w:val="0"/>
    <w:rPr>
      <w:kern w:val="2"/>
      <w:sz w:val="21"/>
      <w:szCs w:val="24"/>
    </w:rPr>
  </w:style>
  <w:style w:type="character" w:customStyle="1" w:styleId="65">
    <w:name w:val="批注主题 Char"/>
    <w:link w:val="42"/>
    <w:qFormat/>
    <w:uiPriority w:val="0"/>
    <w:rPr>
      <w:rFonts w:ascii="宋体" w:hAnsi="Courier New" w:eastAsia="宋体"/>
      <w:kern w:val="2"/>
      <w:sz w:val="21"/>
      <w:lang w:val="en-US" w:eastAsia="zh-CN" w:bidi="ar-SA"/>
    </w:rPr>
  </w:style>
  <w:style w:type="character" w:customStyle="1" w:styleId="66">
    <w:name w:val="普通文字 Char Char1"/>
    <w:qFormat/>
    <w:uiPriority w:val="0"/>
    <w:rPr>
      <w:rFonts w:ascii="宋体" w:hAnsi="Courier New" w:eastAsia="宋体" w:cs="Courier New"/>
      <w:kern w:val="2"/>
      <w:sz w:val="21"/>
      <w:szCs w:val="21"/>
      <w:lang w:val="en-US" w:eastAsia="zh-CN" w:bidi="ar-SA"/>
    </w:rPr>
  </w:style>
  <w:style w:type="character" w:customStyle="1" w:styleId="67">
    <w:name w:val="case31"/>
    <w:qFormat/>
    <w:uiPriority w:val="0"/>
    <w:rPr>
      <w:rFonts w:hint="default"/>
      <w:sz w:val="21"/>
      <w:szCs w:val="21"/>
    </w:rPr>
  </w:style>
  <w:style w:type="character" w:customStyle="1" w:styleId="68">
    <w:name w:val="Char Char5"/>
    <w:qFormat/>
    <w:uiPriority w:val="0"/>
    <w:rPr>
      <w:rFonts w:eastAsia="宋体"/>
      <w:kern w:val="2"/>
      <w:sz w:val="21"/>
      <w:szCs w:val="24"/>
      <w:lang w:val="en-US" w:eastAsia="zh-CN" w:bidi="ar-SA"/>
    </w:rPr>
  </w:style>
  <w:style w:type="character" w:customStyle="1" w:styleId="69">
    <w:name w:val="纯文本 Char"/>
    <w:link w:val="24"/>
    <w:qFormat/>
    <w:uiPriority w:val="0"/>
    <w:rPr>
      <w:rFonts w:ascii="宋体" w:hAnsi="Courier New" w:eastAsia="宋体" w:cs="Courier New"/>
      <w:kern w:val="2"/>
      <w:sz w:val="21"/>
      <w:szCs w:val="21"/>
      <w:lang w:val="en-US" w:eastAsia="zh-CN" w:bidi="ar-SA"/>
    </w:rPr>
  </w:style>
  <w:style w:type="character" w:customStyle="1" w:styleId="70">
    <w:name w:val="无间隔 Char"/>
    <w:link w:val="71"/>
    <w:qFormat/>
    <w:uiPriority w:val="0"/>
    <w:rPr>
      <w:rFonts w:ascii="Calibri" w:hAnsi="Calibri" w:eastAsia="Times New Roman"/>
      <w:sz w:val="22"/>
      <w:szCs w:val="22"/>
      <w:lang w:val="en-US" w:eastAsia="zh-CN" w:bidi="ar-SA"/>
    </w:rPr>
  </w:style>
  <w:style w:type="paragraph" w:styleId="71">
    <w:name w:val="No Spacing"/>
    <w:link w:val="70"/>
    <w:qFormat/>
    <w:uiPriority w:val="0"/>
    <w:rPr>
      <w:rFonts w:ascii="Calibri" w:hAnsi="Calibri" w:eastAsia="Times New Roman" w:cs="Times New Roman"/>
      <w:sz w:val="22"/>
      <w:szCs w:val="22"/>
      <w:lang w:val="en-US" w:eastAsia="zh-CN" w:bidi="ar-SA"/>
    </w:rPr>
  </w:style>
  <w:style w:type="character" w:customStyle="1" w:styleId="72">
    <w:name w:val="lb1"/>
    <w:qFormat/>
    <w:uiPriority w:val="0"/>
    <w:rPr>
      <w:rFonts w:hint="default"/>
      <w:b/>
      <w:bCs/>
      <w:color w:val="0851A5"/>
      <w:sz w:val="27"/>
      <w:szCs w:val="27"/>
    </w:rPr>
  </w:style>
  <w:style w:type="character" w:customStyle="1" w:styleId="73">
    <w:name w:val="Char Char Char"/>
    <w:qFormat/>
    <w:uiPriority w:val="0"/>
    <w:rPr>
      <w:rFonts w:ascii="宋体" w:hAnsi="Courier New" w:eastAsia="宋体"/>
      <w:kern w:val="2"/>
      <w:sz w:val="21"/>
      <w:lang w:val="en-US" w:eastAsia="zh-CN" w:bidi="ar-SA"/>
    </w:rPr>
  </w:style>
  <w:style w:type="character" w:customStyle="1" w:styleId="74">
    <w:name w:val="font11"/>
    <w:qFormat/>
    <w:uiPriority w:val="0"/>
    <w:rPr>
      <w:rFonts w:ascii="Calibri" w:hAnsi="Calibri" w:cs="Calibri"/>
      <w:color w:val="000000"/>
      <w:sz w:val="20"/>
      <w:szCs w:val="20"/>
      <w:u w:val="none"/>
    </w:rPr>
  </w:style>
  <w:style w:type="character" w:customStyle="1" w:styleId="75">
    <w:name w:val="search_content1"/>
    <w:qFormat/>
    <w:uiPriority w:val="0"/>
    <w:rPr>
      <w:sz w:val="20"/>
      <w:szCs w:val="20"/>
    </w:rPr>
  </w:style>
  <w:style w:type="character" w:customStyle="1" w:styleId="76">
    <w:name w:val="Char Char21"/>
    <w:qFormat/>
    <w:uiPriority w:val="0"/>
    <w:rPr>
      <w:rFonts w:ascii="宋体" w:hAnsi="宋体" w:eastAsia="宋体"/>
      <w:kern w:val="2"/>
      <w:sz w:val="21"/>
      <w:szCs w:val="24"/>
      <w:lang w:val="en-US" w:eastAsia="zh-CN" w:bidi="ar-SA"/>
    </w:rPr>
  </w:style>
  <w:style w:type="character" w:customStyle="1" w:styleId="77">
    <w:name w:val="apple-converted-space"/>
    <w:basedOn w:val="45"/>
    <w:qFormat/>
    <w:uiPriority w:val="0"/>
  </w:style>
  <w:style w:type="character" w:customStyle="1" w:styleId="78">
    <w:name w:val="标题 Char"/>
    <w:link w:val="41"/>
    <w:qFormat/>
    <w:uiPriority w:val="0"/>
    <w:rPr>
      <w:rFonts w:ascii="Cambria" w:hAnsi="Cambria" w:eastAsia="宋体"/>
      <w:b/>
      <w:bCs/>
      <w:kern w:val="2"/>
      <w:sz w:val="32"/>
      <w:szCs w:val="32"/>
      <w:lang w:val="en-US" w:eastAsia="zh-CN" w:bidi="ar-SA"/>
    </w:rPr>
  </w:style>
  <w:style w:type="character" w:customStyle="1" w:styleId="79">
    <w:name w:val="font31"/>
    <w:qFormat/>
    <w:uiPriority w:val="0"/>
    <w:rPr>
      <w:rFonts w:hint="eastAsia" w:ascii="宋体" w:hAnsi="宋体" w:eastAsia="宋体" w:cs="宋体"/>
      <w:color w:val="000000"/>
      <w:sz w:val="20"/>
      <w:szCs w:val="20"/>
      <w:u w:val="none"/>
    </w:rPr>
  </w:style>
  <w:style w:type="character" w:customStyle="1" w:styleId="80">
    <w:name w:val="页脚 Char"/>
    <w:basedOn w:val="45"/>
    <w:link w:val="29"/>
    <w:qFormat/>
    <w:uiPriority w:val="99"/>
    <w:rPr>
      <w:kern w:val="2"/>
      <w:sz w:val="18"/>
      <w:szCs w:val="18"/>
    </w:rPr>
  </w:style>
  <w:style w:type="character" w:customStyle="1" w:styleId="81">
    <w:name w:val="普通(网站) Char"/>
    <w:link w:val="39"/>
    <w:qFormat/>
    <w:locked/>
    <w:uiPriority w:val="0"/>
    <w:rPr>
      <w:rFonts w:ascii="宋体" w:hAnsi="宋体" w:cs="宋体"/>
      <w:sz w:val="24"/>
      <w:szCs w:val="24"/>
    </w:rPr>
  </w:style>
  <w:style w:type="paragraph" w:customStyle="1" w:styleId="82">
    <w:name w:val="表格"/>
    <w:basedOn w:val="1"/>
    <w:qFormat/>
    <w:uiPriority w:val="0"/>
    <w:pPr>
      <w:spacing w:line="400" w:lineRule="exact"/>
    </w:pPr>
    <w:rPr>
      <w:sz w:val="24"/>
    </w:rPr>
  </w:style>
  <w:style w:type="paragraph" w:customStyle="1" w:styleId="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正文段"/>
    <w:basedOn w:val="1"/>
    <w:qFormat/>
    <w:uiPriority w:val="0"/>
    <w:pPr>
      <w:widowControl/>
      <w:snapToGrid w:val="0"/>
      <w:spacing w:afterLines="50"/>
      <w:ind w:firstLine="200" w:firstLineChars="200"/>
    </w:pPr>
    <w:rPr>
      <w:kern w:val="0"/>
      <w:sz w:val="24"/>
      <w:szCs w:val="20"/>
    </w:rPr>
  </w:style>
  <w:style w:type="paragraph" w:customStyle="1" w:styleId="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8">
    <w:name w:val="14 Char Char Char Char Char Char Char Char Char Char Char Char"/>
    <w:basedOn w:val="1"/>
    <w:qFormat/>
    <w:uiPriority w:val="0"/>
    <w:pPr>
      <w:widowControl/>
      <w:spacing w:after="160" w:line="240" w:lineRule="exact"/>
      <w:jc w:val="left"/>
    </w:pPr>
  </w:style>
  <w:style w:type="paragraph" w:customStyle="1" w:styleId="89">
    <w:name w:val="正文首行缩进两字符"/>
    <w:basedOn w:val="1"/>
    <w:qFormat/>
    <w:uiPriority w:val="0"/>
    <w:pPr>
      <w:spacing w:line="360" w:lineRule="auto"/>
      <w:ind w:firstLine="200" w:firstLineChars="200"/>
    </w:pPr>
  </w:style>
  <w:style w:type="paragraph" w:customStyle="1" w:styleId="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5">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0">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3">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4">
    <w:name w:val="样式 首行缩进:  2 字符"/>
    <w:basedOn w:val="1"/>
    <w:qFormat/>
    <w:uiPriority w:val="0"/>
    <w:pPr>
      <w:spacing w:line="400" w:lineRule="exact"/>
      <w:ind w:firstLine="200" w:firstLineChars="200"/>
    </w:pPr>
    <w:rPr>
      <w:rFonts w:cs="宋体"/>
      <w:sz w:val="24"/>
    </w:rPr>
  </w:style>
  <w:style w:type="paragraph" w:customStyle="1" w:styleId="1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7">
    <w:name w:val="默认段落字体 Para Char"/>
    <w:basedOn w:val="1"/>
    <w:qFormat/>
    <w:uiPriority w:val="0"/>
    <w:pPr>
      <w:adjustRightInd w:val="0"/>
      <w:spacing w:line="360" w:lineRule="auto"/>
    </w:pPr>
    <w:rPr>
      <w:kern w:val="0"/>
      <w:sz w:val="24"/>
      <w:szCs w:val="20"/>
    </w:rPr>
  </w:style>
  <w:style w:type="paragraph" w:customStyle="1" w:styleId="108">
    <w:name w:val="p0"/>
    <w:basedOn w:val="1"/>
    <w:qFormat/>
    <w:uiPriority w:val="0"/>
    <w:pPr>
      <w:widowControl/>
    </w:pPr>
    <w:rPr>
      <w:kern w:val="0"/>
      <w:szCs w:val="21"/>
    </w:rPr>
  </w:style>
  <w:style w:type="paragraph" w:customStyle="1" w:styleId="109">
    <w:name w:val="Char Char Char Char Char Char"/>
    <w:basedOn w:val="1"/>
    <w:qFormat/>
    <w:uiPriority w:val="0"/>
  </w:style>
  <w:style w:type="paragraph" w:customStyle="1" w:styleId="110">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8">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0">
    <w:name w:val="Char1"/>
    <w:basedOn w:val="1"/>
    <w:qFormat/>
    <w:uiPriority w:val="0"/>
    <w:rPr>
      <w:szCs w:val="21"/>
    </w:rPr>
  </w:style>
  <w:style w:type="paragraph" w:customStyle="1" w:styleId="121">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2">
    <w:name w:val="Revision"/>
    <w:qFormat/>
    <w:uiPriority w:val="0"/>
    <w:rPr>
      <w:rFonts w:ascii="Times New Roman" w:hAnsi="Times New Roman" w:eastAsia="宋体" w:cs="Times New Roman"/>
      <w:kern w:val="2"/>
      <w:sz w:val="21"/>
      <w:szCs w:val="24"/>
      <w:lang w:val="en-US" w:eastAsia="zh-CN" w:bidi="ar-SA"/>
    </w:rPr>
  </w:style>
  <w:style w:type="paragraph" w:customStyle="1" w:styleId="12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6">
    <w:name w:val="font10"/>
    <w:basedOn w:val="1"/>
    <w:qFormat/>
    <w:uiPriority w:val="0"/>
    <w:pPr>
      <w:widowControl/>
      <w:spacing w:before="100" w:beforeAutospacing="1" w:after="100" w:afterAutospacing="1"/>
      <w:jc w:val="left"/>
    </w:pPr>
    <w:rPr>
      <w:kern w:val="0"/>
      <w:sz w:val="20"/>
      <w:szCs w:val="20"/>
    </w:rPr>
  </w:style>
  <w:style w:type="paragraph" w:customStyle="1" w:styleId="127">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9">
    <w:name w:val="默认段落字体 Para Char Char Char Char Char Char Char Char Char1 Char Char Char Char"/>
    <w:basedOn w:val="1"/>
    <w:qFormat/>
    <w:uiPriority w:val="0"/>
    <w:rPr>
      <w:rFonts w:ascii="Tahoma" w:hAnsi="Tahoma"/>
      <w:sz w:val="24"/>
      <w:szCs w:val="20"/>
    </w:rPr>
  </w:style>
  <w:style w:type="paragraph" w:customStyle="1" w:styleId="13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4">
    <w:name w:val="Char"/>
    <w:basedOn w:val="16"/>
    <w:qFormat/>
    <w:uiPriority w:val="0"/>
    <w:pPr>
      <w:widowControl/>
      <w:ind w:firstLine="454"/>
      <w:jc w:val="left"/>
    </w:pPr>
    <w:rPr>
      <w:rFonts w:ascii="Tahoma" w:hAnsi="Tahoma" w:cs="宋体"/>
      <w:kern w:val="0"/>
      <w:sz w:val="24"/>
      <w:szCs w:val="20"/>
    </w:rPr>
  </w:style>
  <w:style w:type="paragraph" w:styleId="135">
    <w:name w:val="List Paragraph"/>
    <w:basedOn w:val="1"/>
    <w:qFormat/>
    <w:uiPriority w:val="0"/>
    <w:pPr>
      <w:ind w:firstLine="420" w:firstLineChars="200"/>
    </w:pPr>
  </w:style>
  <w:style w:type="paragraph" w:customStyle="1" w:styleId="136">
    <w:name w:val="列出段落1"/>
    <w:basedOn w:val="1"/>
    <w:qFormat/>
    <w:uiPriority w:val="0"/>
    <w:pPr>
      <w:ind w:firstLine="420" w:firstLineChars="200"/>
    </w:pPr>
    <w:rPr>
      <w:rFonts w:ascii="Calibri" w:hAnsi="Calibri"/>
      <w:szCs w:val="22"/>
    </w:rPr>
  </w:style>
  <w:style w:type="paragraph" w:customStyle="1" w:styleId="137">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13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4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2">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4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7">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4">
    <w:name w:val="font7"/>
    <w:basedOn w:val="1"/>
    <w:qFormat/>
    <w:uiPriority w:val="0"/>
    <w:pPr>
      <w:widowControl/>
      <w:spacing w:before="100" w:beforeAutospacing="1" w:after="100" w:afterAutospacing="1"/>
      <w:jc w:val="left"/>
    </w:pPr>
    <w:rPr>
      <w:kern w:val="0"/>
      <w:sz w:val="16"/>
      <w:szCs w:val="16"/>
    </w:rPr>
  </w:style>
  <w:style w:type="paragraph" w:customStyle="1" w:styleId="155">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4">
    <w:name w:val="Char Char6"/>
    <w:basedOn w:val="16"/>
    <w:qFormat/>
    <w:uiPriority w:val="0"/>
    <w:pPr>
      <w:widowControl/>
      <w:ind w:firstLine="454"/>
      <w:jc w:val="left"/>
    </w:pPr>
  </w:style>
  <w:style w:type="paragraph" w:customStyle="1" w:styleId="1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6">
    <w:name w:val="tdmpwh"/>
    <w:qFormat/>
    <w:uiPriority w:val="0"/>
  </w:style>
  <w:style w:type="character" w:customStyle="1" w:styleId="167">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8">
    <w:name w:val="Char Char4"/>
    <w:qFormat/>
    <w:uiPriority w:val="0"/>
    <w:rPr>
      <w:rFonts w:ascii="宋体" w:hAnsi="Courier New" w:eastAsia="宋体" w:cs="Courier New"/>
      <w:kern w:val="2"/>
      <w:sz w:val="21"/>
      <w:szCs w:val="21"/>
      <w:lang w:val="en-US" w:eastAsia="zh-CN" w:bidi="ar-SA"/>
    </w:rPr>
  </w:style>
  <w:style w:type="character" w:customStyle="1" w:styleId="169">
    <w:name w:val="Plain Text Char"/>
    <w:qFormat/>
    <w:locked/>
    <w:uiPriority w:val="0"/>
    <w:rPr>
      <w:rFonts w:ascii="宋体" w:hAnsi="Courier New" w:eastAsia="宋体" w:cs="Courier New"/>
      <w:kern w:val="2"/>
      <w:sz w:val="21"/>
      <w:szCs w:val="21"/>
      <w:lang w:val="en-US" w:eastAsia="zh-CN" w:bidi="ar-SA"/>
    </w:rPr>
  </w:style>
  <w:style w:type="character" w:customStyle="1" w:styleId="170">
    <w:name w:val="样式 body + 仿宋_GB2312 三号"/>
    <w:qFormat/>
    <w:uiPriority w:val="0"/>
    <w:rPr>
      <w:rFonts w:ascii="宋体" w:eastAsia="宋体"/>
      <w:kern w:val="0"/>
      <w:sz w:val="24"/>
      <w:szCs w:val="24"/>
      <w:lang w:val="en-US" w:eastAsia="zh-CN" w:bidi="ar-SA"/>
    </w:rPr>
  </w:style>
  <w:style w:type="character" w:customStyle="1" w:styleId="171">
    <w:name w:val="14"/>
    <w:basedOn w:val="45"/>
    <w:qFormat/>
    <w:uiPriority w:val="0"/>
  </w:style>
  <w:style w:type="paragraph" w:customStyle="1" w:styleId="172">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3">
    <w:name w:val="_Style 81"/>
    <w:basedOn w:val="16"/>
    <w:qFormat/>
    <w:uiPriority w:val="0"/>
    <w:pPr>
      <w:widowControl/>
      <w:ind w:firstLine="454"/>
      <w:jc w:val="left"/>
    </w:pPr>
  </w:style>
  <w:style w:type="paragraph" w:customStyle="1" w:styleId="174">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5">
    <w:name w:val="正文文本缩进 Char"/>
    <w:link w:val="19"/>
    <w:qFormat/>
    <w:uiPriority w:val="0"/>
    <w:rPr>
      <w:rFonts w:ascii="仿宋_GB2312" w:eastAsia="仿宋_GB2312"/>
      <w:kern w:val="2"/>
      <w:sz w:val="32"/>
    </w:rPr>
  </w:style>
  <w:style w:type="paragraph" w:customStyle="1" w:styleId="176">
    <w:name w:val="1"/>
    <w:basedOn w:val="1"/>
    <w:next w:val="24"/>
    <w:qFormat/>
    <w:uiPriority w:val="0"/>
    <w:rPr>
      <w:rFonts w:ascii="宋体" w:hAnsi="Courier New"/>
      <w:szCs w:val="20"/>
    </w:rPr>
  </w:style>
  <w:style w:type="paragraph" w:customStyle="1" w:styleId="177">
    <w:name w:val="WPSOffice手动目录 1"/>
    <w:qFormat/>
    <w:uiPriority w:val="0"/>
    <w:pPr>
      <w:ind w:leftChars="0"/>
    </w:pPr>
    <w:rPr>
      <w:rFonts w:ascii="Calibri" w:hAnsi="Calibri" w:eastAsia="宋体" w:cs="Times New Roman"/>
      <w:sz w:val="20"/>
      <w:szCs w:val="20"/>
    </w:rPr>
  </w:style>
  <w:style w:type="character" w:customStyle="1" w:styleId="178">
    <w:name w:val="hover4"/>
    <w:basedOn w:val="45"/>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237C0-34DA-4288-94AC-71B5AF7C089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4064</Words>
  <Characters>23170</Characters>
  <Lines>193</Lines>
  <Paragraphs>54</Paragraphs>
  <TotalTime>28</TotalTime>
  <ScaleCrop>false</ScaleCrop>
  <LinksUpToDate>false</LinksUpToDate>
  <CharactersWithSpaces>27180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2019-02-22T01:37:00Z</dcterms:created>
  <dc:creator>微软用户</dc:creator>
  <cp:lastModifiedBy>NTKO</cp:lastModifiedBy>
  <cp:lastPrinted>2020-09-22T07:02:00Z</cp:lastPrinted>
  <dcterms:modified xsi:type="dcterms:W3CDTF">2020-11-24T03:55:53Z</dcterms:modified>
  <dc:title>竞争性谈判采购文件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