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ind w:firstLine="105"/>
        <w:jc w:val="center"/>
        <w:rPr>
          <w:rFonts w:hAnsi="宋体"/>
          <w:color w:val="auto"/>
          <w:sz w:val="44"/>
          <w:szCs w:val="44"/>
          <w:highlight w:val="none"/>
        </w:rPr>
      </w:pPr>
    </w:p>
    <w:p>
      <w:pPr>
        <w:pStyle w:val="29"/>
        <w:ind w:firstLine="105"/>
        <w:jc w:val="center"/>
        <w:rPr>
          <w:rFonts w:hAnsi="宋体"/>
          <w:color w:val="auto"/>
          <w:sz w:val="44"/>
          <w:szCs w:val="44"/>
          <w:highlight w:val="none"/>
        </w:rPr>
      </w:pPr>
      <w:r>
        <w:rPr>
          <w:rFonts w:hint="eastAsia" w:hAnsi="宋体"/>
          <w:color w:val="auto"/>
          <w:sz w:val="44"/>
          <w:szCs w:val="44"/>
          <w:highlight w:val="none"/>
        </w:rPr>
        <w:t>广西建设工程机电设备招标中心有限公司</w:t>
      </w:r>
    </w:p>
    <w:p>
      <w:pPr>
        <w:pStyle w:val="29"/>
        <w:ind w:firstLine="105"/>
        <w:rPr>
          <w:color w:val="auto"/>
          <w:highlight w:val="none"/>
        </w:rPr>
      </w:pPr>
    </w:p>
    <w:p>
      <w:pPr>
        <w:pStyle w:val="29"/>
        <w:ind w:firstLine="105"/>
        <w:rPr>
          <w:color w:val="auto"/>
          <w:highlight w:val="none"/>
        </w:rPr>
      </w:pPr>
    </w:p>
    <w:p>
      <w:pPr>
        <w:pStyle w:val="29"/>
        <w:ind w:firstLine="105"/>
        <w:rPr>
          <w:color w:val="auto"/>
          <w:highlight w:val="none"/>
        </w:rPr>
      </w:pPr>
    </w:p>
    <w:p>
      <w:pPr>
        <w:pStyle w:val="29"/>
        <w:ind w:firstLine="105"/>
        <w:rPr>
          <w:color w:val="auto"/>
          <w:highlight w:val="none"/>
        </w:rPr>
      </w:pPr>
    </w:p>
    <w:p>
      <w:pPr>
        <w:pStyle w:val="29"/>
        <w:ind w:firstLine="105"/>
        <w:rPr>
          <w:color w:val="auto"/>
          <w:highlight w:val="none"/>
        </w:rPr>
      </w:pPr>
    </w:p>
    <w:p>
      <w:pPr>
        <w:pStyle w:val="29"/>
        <w:ind w:firstLine="105"/>
        <w:rPr>
          <w:color w:val="auto"/>
          <w:highlight w:val="none"/>
        </w:rPr>
      </w:pPr>
    </w:p>
    <w:p>
      <w:pPr>
        <w:pStyle w:val="29"/>
        <w:ind w:firstLine="105"/>
        <w:rPr>
          <w:color w:val="auto"/>
          <w:highlight w:val="none"/>
        </w:rPr>
      </w:pPr>
    </w:p>
    <w:p>
      <w:pPr>
        <w:pStyle w:val="29"/>
        <w:jc w:val="center"/>
        <w:rPr>
          <w:rFonts w:ascii="黑体" w:eastAsia="黑体"/>
          <w:b/>
          <w:bCs/>
          <w:color w:val="auto"/>
          <w:sz w:val="48"/>
          <w:szCs w:val="48"/>
          <w:highlight w:val="none"/>
        </w:rPr>
      </w:pPr>
      <w:r>
        <w:rPr>
          <w:rFonts w:hint="eastAsia" w:ascii="黑体" w:eastAsia="黑体"/>
          <w:b/>
          <w:bCs/>
          <w:color w:val="auto"/>
          <w:sz w:val="48"/>
          <w:szCs w:val="48"/>
          <w:highlight w:val="none"/>
        </w:rPr>
        <w:t>招 标 文 件</w:t>
      </w:r>
    </w:p>
    <w:p>
      <w:pPr>
        <w:pStyle w:val="29"/>
        <w:ind w:firstLine="105"/>
        <w:rPr>
          <w:color w:val="auto"/>
          <w:highlight w:val="none"/>
        </w:rPr>
      </w:pPr>
    </w:p>
    <w:p>
      <w:pPr>
        <w:pStyle w:val="29"/>
        <w:ind w:firstLine="105"/>
        <w:rPr>
          <w:color w:val="auto"/>
          <w:highlight w:val="none"/>
        </w:rPr>
      </w:pPr>
    </w:p>
    <w:p>
      <w:pPr>
        <w:pStyle w:val="29"/>
        <w:ind w:firstLine="105"/>
        <w:rPr>
          <w:color w:val="auto"/>
          <w:highlight w:val="none"/>
        </w:rPr>
      </w:pPr>
    </w:p>
    <w:p>
      <w:pPr>
        <w:pStyle w:val="29"/>
        <w:spacing w:line="360" w:lineRule="auto"/>
        <w:ind w:firstLine="105"/>
        <w:rPr>
          <w:color w:val="auto"/>
          <w:highlight w:val="none"/>
        </w:rPr>
      </w:pPr>
    </w:p>
    <w:p>
      <w:pPr>
        <w:pStyle w:val="29"/>
        <w:spacing w:line="360" w:lineRule="auto"/>
        <w:ind w:firstLine="105"/>
        <w:rPr>
          <w:color w:val="auto"/>
          <w:highlight w:val="none"/>
        </w:rPr>
      </w:pPr>
    </w:p>
    <w:p>
      <w:pPr>
        <w:spacing w:line="800" w:lineRule="exact"/>
        <w:ind w:firstLine="602" w:firstLineChars="200"/>
        <w:rPr>
          <w:b/>
          <w:color w:val="auto"/>
          <w:sz w:val="30"/>
          <w:szCs w:val="30"/>
          <w:highlight w:val="none"/>
        </w:rPr>
      </w:pPr>
      <w:r>
        <w:rPr>
          <w:rFonts w:hint="eastAsia" w:hAnsi="宋体"/>
          <w:b/>
          <w:color w:val="auto"/>
          <w:sz w:val="30"/>
          <w:szCs w:val="30"/>
          <w:highlight w:val="none"/>
        </w:rPr>
        <w:t>项目名称：</w:t>
      </w:r>
      <w:r>
        <w:rPr>
          <w:rFonts w:hint="eastAsia"/>
          <w:b/>
          <w:color w:val="auto"/>
          <w:sz w:val="30"/>
          <w:szCs w:val="30"/>
          <w:highlight w:val="none"/>
        </w:rPr>
        <w:t>广西政府网站集约化平台系统建设及总集成服务采购</w:t>
      </w:r>
    </w:p>
    <w:p>
      <w:pPr>
        <w:pStyle w:val="29"/>
        <w:spacing w:line="360" w:lineRule="auto"/>
        <w:ind w:firstLine="1506" w:firstLineChars="500"/>
        <w:rPr>
          <w:rFonts w:hAnsi="宋体"/>
          <w:color w:val="auto"/>
          <w:sz w:val="30"/>
          <w:szCs w:val="30"/>
          <w:highlight w:val="none"/>
        </w:rPr>
      </w:pPr>
      <w:r>
        <w:rPr>
          <w:rFonts w:hint="eastAsia" w:hAnsi="宋体"/>
          <w:b/>
          <w:color w:val="auto"/>
          <w:sz w:val="30"/>
          <w:szCs w:val="30"/>
          <w:highlight w:val="none"/>
        </w:rPr>
        <w:t>项目编号：</w:t>
      </w:r>
      <w:r>
        <w:rPr>
          <w:rFonts w:hint="eastAsia"/>
          <w:b/>
          <w:color w:val="auto"/>
          <w:sz w:val="30"/>
          <w:szCs w:val="30"/>
          <w:highlight w:val="none"/>
          <w:lang w:eastAsia="zh-CN"/>
        </w:rPr>
        <w:t>GXZC2020-G3-000115-JGJD</w:t>
      </w:r>
      <w:r>
        <w:rPr>
          <w:rFonts w:hint="eastAsia"/>
          <w:b/>
          <w:color w:val="auto"/>
          <w:sz w:val="30"/>
          <w:szCs w:val="30"/>
          <w:highlight w:val="none"/>
        </w:rPr>
        <w:t xml:space="preserve">/HCA(3)2020007G </w:t>
      </w:r>
    </w:p>
    <w:p>
      <w:pPr>
        <w:pStyle w:val="29"/>
        <w:ind w:firstLine="105"/>
        <w:rPr>
          <w:rFonts w:hAnsi="宋体"/>
          <w:color w:val="auto"/>
          <w:sz w:val="30"/>
          <w:szCs w:val="30"/>
          <w:highlight w:val="none"/>
        </w:rPr>
      </w:pPr>
    </w:p>
    <w:p>
      <w:pPr>
        <w:pStyle w:val="29"/>
        <w:ind w:firstLine="105"/>
        <w:rPr>
          <w:rFonts w:hAnsi="宋体"/>
          <w:color w:val="auto"/>
          <w:sz w:val="30"/>
          <w:szCs w:val="30"/>
          <w:highlight w:val="none"/>
        </w:rPr>
      </w:pPr>
    </w:p>
    <w:p>
      <w:pPr>
        <w:pStyle w:val="29"/>
        <w:ind w:firstLine="105"/>
        <w:rPr>
          <w:rFonts w:hAnsi="宋体"/>
          <w:color w:val="auto"/>
          <w:sz w:val="30"/>
          <w:szCs w:val="30"/>
          <w:highlight w:val="none"/>
        </w:rPr>
      </w:pPr>
    </w:p>
    <w:p>
      <w:pPr>
        <w:pStyle w:val="29"/>
        <w:ind w:firstLine="105"/>
        <w:rPr>
          <w:rFonts w:hAnsi="宋体"/>
          <w:color w:val="auto"/>
          <w:sz w:val="30"/>
          <w:szCs w:val="30"/>
          <w:highlight w:val="none"/>
        </w:rPr>
      </w:pPr>
    </w:p>
    <w:p>
      <w:pPr>
        <w:pStyle w:val="29"/>
        <w:ind w:firstLine="105"/>
        <w:rPr>
          <w:rFonts w:hAnsi="宋体"/>
          <w:color w:val="auto"/>
          <w:sz w:val="30"/>
          <w:szCs w:val="30"/>
          <w:highlight w:val="none"/>
        </w:rPr>
      </w:pPr>
    </w:p>
    <w:p>
      <w:pPr>
        <w:pStyle w:val="29"/>
        <w:rPr>
          <w:rFonts w:hAnsi="宋体"/>
          <w:color w:val="auto"/>
          <w:sz w:val="30"/>
          <w:szCs w:val="30"/>
          <w:highlight w:val="none"/>
        </w:rPr>
      </w:pPr>
    </w:p>
    <w:p>
      <w:pPr>
        <w:pStyle w:val="29"/>
        <w:ind w:firstLine="105"/>
        <w:rPr>
          <w:rFonts w:hAnsi="宋体"/>
          <w:color w:val="auto"/>
          <w:sz w:val="30"/>
          <w:szCs w:val="30"/>
          <w:highlight w:val="none"/>
        </w:rPr>
      </w:pPr>
    </w:p>
    <w:p>
      <w:pPr>
        <w:pStyle w:val="29"/>
        <w:ind w:firstLine="105"/>
        <w:rPr>
          <w:rFonts w:hAnsi="宋体"/>
          <w:color w:val="auto"/>
          <w:sz w:val="30"/>
          <w:szCs w:val="30"/>
          <w:highlight w:val="none"/>
        </w:rPr>
      </w:pPr>
    </w:p>
    <w:p>
      <w:pPr>
        <w:pStyle w:val="29"/>
        <w:ind w:firstLine="105"/>
        <w:rPr>
          <w:rFonts w:hAnsi="宋体"/>
          <w:color w:val="auto"/>
          <w:sz w:val="30"/>
          <w:szCs w:val="30"/>
          <w:highlight w:val="none"/>
        </w:rPr>
      </w:pPr>
    </w:p>
    <w:p>
      <w:pPr>
        <w:pStyle w:val="29"/>
        <w:ind w:firstLine="105"/>
        <w:rPr>
          <w:rFonts w:hAnsi="宋体"/>
          <w:color w:val="auto"/>
          <w:sz w:val="30"/>
          <w:szCs w:val="30"/>
          <w:highlight w:val="none"/>
        </w:rPr>
      </w:pPr>
    </w:p>
    <w:p>
      <w:pPr>
        <w:pStyle w:val="29"/>
        <w:ind w:firstLine="105"/>
        <w:rPr>
          <w:rFonts w:hAnsi="宋体"/>
          <w:color w:val="auto"/>
          <w:sz w:val="30"/>
          <w:szCs w:val="30"/>
          <w:highlight w:val="none"/>
        </w:rPr>
      </w:pPr>
    </w:p>
    <w:p>
      <w:pPr>
        <w:pStyle w:val="29"/>
        <w:spacing w:line="360" w:lineRule="auto"/>
        <w:ind w:firstLine="1205" w:firstLineChars="400"/>
        <w:rPr>
          <w:rFonts w:hAnsi="宋体"/>
          <w:b/>
          <w:color w:val="auto"/>
          <w:sz w:val="30"/>
          <w:szCs w:val="30"/>
          <w:highlight w:val="none"/>
        </w:rPr>
      </w:pPr>
      <w:r>
        <w:rPr>
          <w:rFonts w:hint="eastAsia" w:hAnsi="宋体"/>
          <w:b/>
          <w:color w:val="auto"/>
          <w:sz w:val="30"/>
          <w:szCs w:val="30"/>
          <w:highlight w:val="none"/>
        </w:rPr>
        <w:t>采购单位：广西壮族自治区大数据发展局</w:t>
      </w:r>
    </w:p>
    <w:p>
      <w:pPr>
        <w:pStyle w:val="29"/>
        <w:spacing w:line="360" w:lineRule="auto"/>
        <w:jc w:val="center"/>
        <w:rPr>
          <w:rFonts w:hAnsi="宋体"/>
          <w:b/>
          <w:color w:val="auto"/>
          <w:sz w:val="30"/>
          <w:szCs w:val="30"/>
          <w:highlight w:val="none"/>
        </w:rPr>
      </w:pPr>
      <w:r>
        <w:rPr>
          <w:rFonts w:hint="eastAsia" w:hAnsi="宋体"/>
          <w:b/>
          <w:color w:val="auto"/>
          <w:sz w:val="30"/>
          <w:szCs w:val="30"/>
          <w:highlight w:val="none"/>
        </w:rPr>
        <w:t xml:space="preserve">  采购代理机构：广西建设工程机电设备招标中心有限公司</w:t>
      </w:r>
    </w:p>
    <w:p>
      <w:pPr>
        <w:pStyle w:val="29"/>
        <w:spacing w:line="360" w:lineRule="auto"/>
        <w:rPr>
          <w:rFonts w:hAnsi="宋体"/>
          <w:b/>
          <w:color w:val="auto"/>
          <w:sz w:val="30"/>
          <w:szCs w:val="30"/>
          <w:highlight w:val="none"/>
        </w:rPr>
      </w:pPr>
    </w:p>
    <w:p>
      <w:pPr>
        <w:pStyle w:val="29"/>
        <w:spacing w:line="360" w:lineRule="auto"/>
        <w:ind w:firstLine="3765" w:firstLineChars="1250"/>
        <w:rPr>
          <w:rFonts w:hAnsi="宋体"/>
          <w:b/>
          <w:color w:val="auto"/>
          <w:sz w:val="30"/>
          <w:szCs w:val="30"/>
          <w:highlight w:val="none"/>
        </w:rPr>
      </w:pPr>
      <w:r>
        <w:rPr>
          <w:rFonts w:hint="eastAsia" w:hAnsi="宋体"/>
          <w:b/>
          <w:color w:val="auto"/>
          <w:sz w:val="30"/>
          <w:szCs w:val="30"/>
          <w:highlight w:val="none"/>
        </w:rPr>
        <w:t>2020年</w:t>
      </w:r>
      <w:r>
        <w:rPr>
          <w:rFonts w:hint="eastAsia" w:hAnsi="宋体"/>
          <w:b/>
          <w:color w:val="auto"/>
          <w:sz w:val="30"/>
          <w:szCs w:val="30"/>
          <w:highlight w:val="none"/>
          <w:lang w:val="en-US" w:eastAsia="zh-CN"/>
        </w:rPr>
        <w:t>2</w:t>
      </w:r>
      <w:r>
        <w:rPr>
          <w:rFonts w:hint="eastAsia" w:hAnsi="宋体"/>
          <w:b/>
          <w:color w:val="auto"/>
          <w:sz w:val="30"/>
          <w:szCs w:val="30"/>
          <w:highlight w:val="none"/>
        </w:rPr>
        <w:t>月</w:t>
      </w:r>
    </w:p>
    <w:p>
      <w:pPr>
        <w:pStyle w:val="29"/>
        <w:snapToGrid w:val="0"/>
        <w:rPr>
          <w:rFonts w:hAnsi="宋体"/>
          <w:b/>
          <w:color w:val="auto"/>
          <w:sz w:val="30"/>
          <w:szCs w:val="30"/>
          <w:highlight w:val="none"/>
        </w:rPr>
      </w:pPr>
      <w:r>
        <w:rPr>
          <w:rFonts w:hAnsi="宋体"/>
          <w:b/>
          <w:color w:val="auto"/>
          <w:sz w:val="30"/>
          <w:szCs w:val="30"/>
          <w:highlight w:val="none"/>
        </w:rPr>
        <w:br w:type="page"/>
      </w:r>
    </w:p>
    <w:p>
      <w:pPr>
        <w:pStyle w:val="29"/>
        <w:snapToGrid w:val="0"/>
        <w:rPr>
          <w:rFonts w:hAnsi="宋体"/>
          <w:b/>
          <w:color w:val="auto"/>
          <w:sz w:val="28"/>
          <w:szCs w:val="28"/>
          <w:highlight w:val="none"/>
        </w:rPr>
      </w:pPr>
    </w:p>
    <w:p>
      <w:pPr>
        <w:pStyle w:val="29"/>
        <w:snapToGrid w:val="0"/>
        <w:jc w:val="center"/>
        <w:rPr>
          <w:rFonts w:hAnsi="宋体"/>
          <w:b/>
          <w:color w:val="auto"/>
          <w:sz w:val="44"/>
          <w:szCs w:val="44"/>
          <w:highlight w:val="none"/>
        </w:rPr>
      </w:pPr>
      <w:r>
        <w:rPr>
          <w:rFonts w:hint="eastAsia" w:hAnsi="宋体"/>
          <w:b/>
          <w:color w:val="auto"/>
          <w:sz w:val="44"/>
          <w:szCs w:val="44"/>
          <w:highlight w:val="none"/>
        </w:rPr>
        <w:t>目录</w:t>
      </w:r>
    </w:p>
    <w:p>
      <w:pPr>
        <w:pStyle w:val="29"/>
        <w:snapToGrid w:val="0"/>
        <w:jc w:val="center"/>
        <w:rPr>
          <w:rFonts w:hAnsi="宋体"/>
          <w:b/>
          <w:color w:val="auto"/>
          <w:sz w:val="44"/>
          <w:szCs w:val="44"/>
          <w:highlight w:val="none"/>
        </w:rPr>
      </w:pPr>
    </w:p>
    <w:p>
      <w:pPr>
        <w:pStyle w:val="38"/>
        <w:tabs>
          <w:tab w:val="right" w:leader="dot" w:pos="9638"/>
          <w:tab w:val="clear" w:pos="8398"/>
        </w:tabs>
        <w:ind w:firstLine="321"/>
        <w:rPr>
          <w:color w:val="auto"/>
          <w:highlight w:val="none"/>
        </w:rPr>
      </w:pPr>
      <w:r>
        <w:rPr>
          <w:color w:val="auto"/>
          <w:sz w:val="32"/>
          <w:highlight w:val="none"/>
        </w:rPr>
        <w:fldChar w:fldCharType="begin"/>
      </w:r>
      <w:r>
        <w:rPr>
          <w:color w:val="auto"/>
          <w:sz w:val="32"/>
          <w:highlight w:val="none"/>
        </w:rPr>
        <w:instrText xml:space="preserve">TOC \o "1-3" \h \z \u</w:instrText>
      </w:r>
      <w:r>
        <w:rPr>
          <w:color w:val="auto"/>
          <w:sz w:val="32"/>
          <w:highlight w:val="none"/>
        </w:rPr>
        <w:fldChar w:fldCharType="separate"/>
      </w:r>
      <w:r>
        <w:rPr>
          <w:color w:val="auto"/>
          <w:highlight w:val="none"/>
        </w:rPr>
        <w:fldChar w:fldCharType="begin"/>
      </w:r>
      <w:r>
        <w:rPr>
          <w:color w:val="auto"/>
          <w:highlight w:val="none"/>
        </w:rPr>
        <w:instrText xml:space="preserve"> HYPERLINK \l "_Toc467" </w:instrText>
      </w:r>
      <w:r>
        <w:rPr>
          <w:color w:val="auto"/>
          <w:highlight w:val="none"/>
        </w:rPr>
        <w:fldChar w:fldCharType="separate"/>
      </w:r>
      <w:r>
        <w:rPr>
          <w:rFonts w:hint="eastAsia"/>
          <w:color w:val="auto"/>
          <w:szCs w:val="44"/>
          <w:highlight w:val="none"/>
        </w:rPr>
        <w:t>第一章 公开招标采购公告</w:t>
      </w:r>
      <w:r>
        <w:rPr>
          <w:color w:val="auto"/>
          <w:highlight w:val="none"/>
        </w:rPr>
        <w:tab/>
      </w:r>
      <w:r>
        <w:rPr>
          <w:color w:val="auto"/>
          <w:highlight w:val="none"/>
        </w:rPr>
        <w:fldChar w:fldCharType="begin"/>
      </w:r>
      <w:r>
        <w:rPr>
          <w:color w:val="auto"/>
          <w:highlight w:val="none"/>
        </w:rPr>
        <w:instrText xml:space="preserve"> PAGEREF _Toc467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38"/>
        <w:tabs>
          <w:tab w:val="right" w:leader="dot" w:pos="9638"/>
          <w:tab w:val="clear" w:pos="8398"/>
        </w:tabs>
        <w:ind w:firstLine="241"/>
        <w:rPr>
          <w:color w:val="auto"/>
          <w:highlight w:val="none"/>
        </w:rPr>
      </w:pPr>
      <w:r>
        <w:rPr>
          <w:color w:val="auto"/>
          <w:highlight w:val="none"/>
        </w:rPr>
        <w:fldChar w:fldCharType="begin"/>
      </w:r>
      <w:r>
        <w:rPr>
          <w:color w:val="auto"/>
          <w:highlight w:val="none"/>
        </w:rPr>
        <w:instrText xml:space="preserve"> HYPERLINK \l "_Toc7051" </w:instrText>
      </w:r>
      <w:r>
        <w:rPr>
          <w:color w:val="auto"/>
          <w:highlight w:val="none"/>
        </w:rPr>
        <w:fldChar w:fldCharType="separate"/>
      </w:r>
      <w:r>
        <w:rPr>
          <w:rFonts w:hint="eastAsia"/>
          <w:color w:val="auto"/>
          <w:szCs w:val="44"/>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_Toc7051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38"/>
        <w:tabs>
          <w:tab w:val="right" w:leader="dot" w:pos="9638"/>
          <w:tab w:val="clear" w:pos="8398"/>
        </w:tabs>
        <w:ind w:firstLine="241"/>
        <w:rPr>
          <w:color w:val="auto"/>
          <w:highlight w:val="none"/>
        </w:rPr>
      </w:pPr>
      <w:r>
        <w:rPr>
          <w:color w:val="auto"/>
          <w:highlight w:val="none"/>
        </w:rPr>
        <w:fldChar w:fldCharType="begin"/>
      </w:r>
      <w:r>
        <w:rPr>
          <w:color w:val="auto"/>
          <w:highlight w:val="none"/>
        </w:rPr>
        <w:instrText xml:space="preserve"> HYPERLINK \l "_Toc32271" </w:instrText>
      </w:r>
      <w:r>
        <w:rPr>
          <w:color w:val="auto"/>
          <w:highlight w:val="none"/>
        </w:rPr>
        <w:fldChar w:fldCharType="separate"/>
      </w:r>
      <w:r>
        <w:rPr>
          <w:rFonts w:hint="eastAsia"/>
          <w:color w:val="auto"/>
          <w:szCs w:val="44"/>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_Toc32271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38"/>
        <w:tabs>
          <w:tab w:val="right" w:leader="dot" w:pos="9638"/>
          <w:tab w:val="clear" w:pos="8398"/>
        </w:tabs>
        <w:ind w:firstLine="241"/>
        <w:rPr>
          <w:color w:val="auto"/>
          <w:highlight w:val="none"/>
        </w:rPr>
      </w:pPr>
      <w:r>
        <w:rPr>
          <w:color w:val="auto"/>
          <w:highlight w:val="none"/>
        </w:rPr>
        <w:fldChar w:fldCharType="begin"/>
      </w:r>
      <w:r>
        <w:rPr>
          <w:color w:val="auto"/>
          <w:highlight w:val="none"/>
        </w:rPr>
        <w:instrText xml:space="preserve"> HYPERLINK \l "_Toc25138" </w:instrText>
      </w:r>
      <w:r>
        <w:rPr>
          <w:color w:val="auto"/>
          <w:highlight w:val="none"/>
        </w:rPr>
        <w:fldChar w:fldCharType="separate"/>
      </w:r>
      <w:r>
        <w:rPr>
          <w:rFonts w:hint="eastAsia"/>
          <w:color w:val="auto"/>
          <w:szCs w:val="32"/>
          <w:highlight w:val="none"/>
        </w:rPr>
        <w:t>第四章  评标办法及评分标准</w:t>
      </w:r>
      <w:r>
        <w:rPr>
          <w:color w:val="auto"/>
          <w:highlight w:val="none"/>
        </w:rPr>
        <w:tab/>
      </w:r>
      <w:r>
        <w:rPr>
          <w:color w:val="auto"/>
          <w:highlight w:val="none"/>
        </w:rPr>
        <w:fldChar w:fldCharType="begin"/>
      </w:r>
      <w:r>
        <w:rPr>
          <w:color w:val="auto"/>
          <w:highlight w:val="none"/>
        </w:rPr>
        <w:instrText xml:space="preserve"> PAGEREF _Toc25138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pPr>
        <w:pStyle w:val="38"/>
        <w:tabs>
          <w:tab w:val="right" w:leader="dot" w:pos="9638"/>
          <w:tab w:val="clear" w:pos="8398"/>
        </w:tabs>
        <w:ind w:firstLine="241"/>
        <w:rPr>
          <w:color w:val="auto"/>
          <w:highlight w:val="none"/>
        </w:rPr>
      </w:pPr>
      <w:r>
        <w:rPr>
          <w:color w:val="auto"/>
          <w:highlight w:val="none"/>
        </w:rPr>
        <w:fldChar w:fldCharType="begin"/>
      </w:r>
      <w:r>
        <w:rPr>
          <w:color w:val="auto"/>
          <w:highlight w:val="none"/>
        </w:rPr>
        <w:instrText xml:space="preserve"> HYPERLINK \l "_Toc14611" </w:instrText>
      </w:r>
      <w:r>
        <w:rPr>
          <w:color w:val="auto"/>
          <w:highlight w:val="none"/>
        </w:rPr>
        <w:fldChar w:fldCharType="separate"/>
      </w:r>
      <w:r>
        <w:rPr>
          <w:rFonts w:hint="eastAsia"/>
          <w:color w:val="auto"/>
          <w:szCs w:val="32"/>
          <w:highlight w:val="none"/>
        </w:rPr>
        <w:t>第五章  合同主要条款格式</w:t>
      </w:r>
      <w:r>
        <w:rPr>
          <w:color w:val="auto"/>
          <w:highlight w:val="none"/>
        </w:rPr>
        <w:tab/>
      </w:r>
      <w:r>
        <w:rPr>
          <w:color w:val="auto"/>
          <w:highlight w:val="none"/>
        </w:rPr>
        <w:fldChar w:fldCharType="begin"/>
      </w:r>
      <w:r>
        <w:rPr>
          <w:color w:val="auto"/>
          <w:highlight w:val="none"/>
        </w:rPr>
        <w:instrText xml:space="preserve"> PAGEREF _Toc14611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38"/>
        <w:tabs>
          <w:tab w:val="right" w:leader="dot" w:pos="9638"/>
          <w:tab w:val="clear" w:pos="8398"/>
        </w:tabs>
        <w:ind w:firstLine="241"/>
        <w:rPr>
          <w:color w:val="auto"/>
          <w:highlight w:val="none"/>
        </w:rPr>
      </w:pPr>
      <w:r>
        <w:rPr>
          <w:color w:val="auto"/>
          <w:highlight w:val="none"/>
        </w:rPr>
        <w:fldChar w:fldCharType="begin"/>
      </w:r>
      <w:r>
        <w:rPr>
          <w:color w:val="auto"/>
          <w:highlight w:val="none"/>
        </w:rPr>
        <w:instrText xml:space="preserve"> HYPERLINK \l "_Toc15807" </w:instrText>
      </w:r>
      <w:r>
        <w:rPr>
          <w:color w:val="auto"/>
          <w:highlight w:val="none"/>
        </w:rPr>
        <w:fldChar w:fldCharType="separate"/>
      </w:r>
      <w:r>
        <w:rPr>
          <w:rFonts w:hint="eastAsia"/>
          <w:color w:val="auto"/>
          <w:szCs w:val="32"/>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_Toc15807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0" w:name="_Toc254970630"/>
      <w:bookmarkStart w:id="1" w:name="_Toc254970489"/>
      <w:r>
        <w:rPr>
          <w:color w:val="auto"/>
          <w:highlight w:val="none"/>
        </w:rPr>
        <w:br w:type="page"/>
      </w: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spacing w:line="420" w:lineRule="exact"/>
        <w:ind w:firstLine="420" w:firstLineChars="200"/>
        <w:rPr>
          <w:color w:val="auto"/>
          <w:highlight w:val="none"/>
        </w:rPr>
      </w:pPr>
    </w:p>
    <w:p>
      <w:pPr>
        <w:pStyle w:val="29"/>
        <w:snapToGrid w:val="0"/>
        <w:jc w:val="center"/>
        <w:outlineLvl w:val="0"/>
        <w:rPr>
          <w:rFonts w:hAnsi="宋体"/>
          <w:b/>
          <w:color w:val="auto"/>
          <w:sz w:val="44"/>
          <w:szCs w:val="44"/>
          <w:highlight w:val="none"/>
        </w:rPr>
      </w:pPr>
      <w:bookmarkStart w:id="2" w:name="_Toc533546837"/>
      <w:bookmarkStart w:id="3" w:name="_Toc467"/>
      <w:r>
        <w:rPr>
          <w:rFonts w:hint="eastAsia" w:hAnsi="宋体"/>
          <w:b/>
          <w:color w:val="auto"/>
          <w:sz w:val="44"/>
          <w:szCs w:val="44"/>
          <w:highlight w:val="none"/>
        </w:rPr>
        <w:t>第一章 公开招标采购公告</w:t>
      </w:r>
      <w:bookmarkEnd w:id="0"/>
      <w:bookmarkEnd w:id="1"/>
      <w:bookmarkEnd w:id="2"/>
      <w:bookmarkEnd w:id="3"/>
    </w:p>
    <w:p>
      <w:pPr>
        <w:widowControl/>
        <w:jc w:val="left"/>
        <w:rPr>
          <w:rFonts w:ascii="宋体" w:hAnsi="宋体" w:cs="Courier New"/>
          <w:b/>
          <w:color w:val="auto"/>
          <w:sz w:val="44"/>
          <w:szCs w:val="44"/>
          <w:highlight w:val="none"/>
        </w:rPr>
      </w:pPr>
      <w:r>
        <w:rPr>
          <w:rFonts w:hAnsi="宋体"/>
          <w:b/>
          <w:color w:val="auto"/>
          <w:sz w:val="44"/>
          <w:szCs w:val="44"/>
          <w:highlight w:val="none"/>
        </w:rPr>
        <w:br w:type="page"/>
      </w:r>
    </w:p>
    <w:p>
      <w:pPr>
        <w:jc w:val="center"/>
        <w:rPr>
          <w:b/>
          <w:color w:val="auto"/>
          <w:sz w:val="30"/>
          <w:szCs w:val="30"/>
          <w:highlight w:val="none"/>
        </w:rPr>
      </w:pPr>
      <w:bookmarkStart w:id="4" w:name="OLE_LINK5"/>
      <w:bookmarkStart w:id="5" w:name="OLE_LINK3"/>
      <w:bookmarkStart w:id="6" w:name="OLE_LINK4"/>
      <w:r>
        <w:rPr>
          <w:rFonts w:hint="eastAsia"/>
          <w:b/>
          <w:color w:val="auto"/>
          <w:sz w:val="30"/>
          <w:szCs w:val="30"/>
          <w:highlight w:val="none"/>
        </w:rPr>
        <w:t>广西政府网站集约化平台系统建设及总集成服务采购</w:t>
      </w:r>
    </w:p>
    <w:p>
      <w:pPr>
        <w:jc w:val="center"/>
        <w:rPr>
          <w:rFonts w:ascii="宋体" w:hAnsi="Courier New"/>
          <w:b/>
          <w:color w:val="auto"/>
          <w:sz w:val="30"/>
          <w:szCs w:val="30"/>
          <w:highlight w:val="none"/>
        </w:rPr>
      </w:pPr>
      <w:r>
        <w:rPr>
          <w:rFonts w:hint="eastAsia" w:ascii="宋体" w:hAnsi="Courier New"/>
          <w:b/>
          <w:color w:val="auto"/>
          <w:sz w:val="30"/>
          <w:szCs w:val="30"/>
          <w:highlight w:val="none"/>
        </w:rPr>
        <w:t>【</w:t>
      </w:r>
      <w:r>
        <w:rPr>
          <w:rFonts w:hint="eastAsia" w:ascii="宋体" w:hAnsi="Courier New"/>
          <w:b/>
          <w:color w:val="auto"/>
          <w:sz w:val="30"/>
          <w:szCs w:val="30"/>
          <w:highlight w:val="none"/>
          <w:lang w:eastAsia="zh-CN"/>
        </w:rPr>
        <w:t>GXZC2020-G3-000115-JGJD</w:t>
      </w:r>
      <w:r>
        <w:rPr>
          <w:rFonts w:hint="eastAsia" w:ascii="宋体" w:hAnsi="Courier New"/>
          <w:b/>
          <w:color w:val="auto"/>
          <w:sz w:val="30"/>
          <w:szCs w:val="30"/>
          <w:highlight w:val="none"/>
        </w:rPr>
        <w:t>/HCA(3)2020007G】</w:t>
      </w:r>
    </w:p>
    <w:p>
      <w:pPr>
        <w:jc w:val="center"/>
        <w:rPr>
          <w:rFonts w:ascii="宋体" w:hAnsi="Courier New"/>
          <w:b/>
          <w:color w:val="auto"/>
          <w:sz w:val="30"/>
          <w:szCs w:val="30"/>
          <w:highlight w:val="none"/>
        </w:rPr>
      </w:pPr>
      <w:r>
        <w:rPr>
          <w:rFonts w:hint="eastAsia" w:ascii="宋体" w:hAnsi="Courier New"/>
          <w:b/>
          <w:color w:val="auto"/>
          <w:sz w:val="30"/>
          <w:szCs w:val="30"/>
          <w:highlight w:val="none"/>
        </w:rPr>
        <w:t>招 标 公 告</w:t>
      </w:r>
    </w:p>
    <w:p>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hAnsi="宋体"/>
          <w:color w:val="auto"/>
          <w:szCs w:val="21"/>
          <w:highlight w:val="none"/>
        </w:rPr>
      </w:pPr>
      <w:bookmarkStart w:id="7" w:name="OLE_LINK6"/>
      <w:r>
        <w:rPr>
          <w:rFonts w:hint="eastAsia" w:ascii="宋体" w:hAnsi="宋体"/>
          <w:color w:val="auto"/>
          <w:szCs w:val="21"/>
          <w:highlight w:val="none"/>
        </w:rPr>
        <w:t>根据《中华人民共和国政府采购法》等规定，经财政部门批准的政府采购计划（编号：广西政采[2020]371号-001）批准，受广西壮族自治区大数据发展局委托，广西建设工程机电设备招标中心有限公司拟对广西政府网站集约化平台系统建设及总集成服务采购项目进行国内公开招标采购，欢迎符合条件的供应商前来投标。现将有关事项公告如下：</w:t>
      </w:r>
    </w:p>
    <w:p>
      <w:pPr>
        <w:keepNext w:val="0"/>
        <w:keepLines w:val="0"/>
        <w:pageBreakBefore w:val="0"/>
        <w:numPr>
          <w:ilvl w:val="0"/>
          <w:numId w:val="19"/>
        </w:numPr>
        <w:kinsoku/>
        <w:wordWrap/>
        <w:overflowPunct/>
        <w:topLinePunct w:val="0"/>
        <w:autoSpaceDE/>
        <w:autoSpaceDN/>
        <w:bidi w:val="0"/>
        <w:adjustRightInd/>
        <w:spacing w:line="400" w:lineRule="exact"/>
        <w:textAlignment w:val="auto"/>
        <w:rPr>
          <w:rFonts w:ascii="宋体" w:hAnsi="宋体"/>
          <w:color w:val="auto"/>
          <w:spacing w:val="-4"/>
          <w:szCs w:val="21"/>
          <w:highlight w:val="none"/>
        </w:rPr>
      </w:pPr>
      <w:r>
        <w:rPr>
          <w:rFonts w:hint="eastAsia" w:ascii="宋体" w:hAnsi="宋体"/>
          <w:b/>
          <w:color w:val="auto"/>
          <w:spacing w:val="-4"/>
          <w:szCs w:val="21"/>
          <w:highlight w:val="none"/>
        </w:rPr>
        <w:t>项目名称：</w:t>
      </w:r>
      <w:r>
        <w:rPr>
          <w:rFonts w:hint="eastAsia" w:ascii="宋体" w:hAnsi="宋体"/>
          <w:color w:val="auto"/>
          <w:spacing w:val="-4"/>
          <w:szCs w:val="21"/>
          <w:highlight w:val="none"/>
        </w:rPr>
        <w:t>广西政府网站集约化平台系统建设及总集成服务采购</w:t>
      </w:r>
    </w:p>
    <w:p>
      <w:pPr>
        <w:keepNext w:val="0"/>
        <w:keepLines w:val="0"/>
        <w:pageBreakBefore w:val="0"/>
        <w:kinsoku/>
        <w:wordWrap/>
        <w:overflowPunct/>
        <w:topLinePunct w:val="0"/>
        <w:autoSpaceDE/>
        <w:autoSpaceDN/>
        <w:bidi w:val="0"/>
        <w:adjustRightInd/>
        <w:spacing w:line="400" w:lineRule="exact"/>
        <w:textAlignment w:val="auto"/>
        <w:rPr>
          <w:rFonts w:ascii="宋体" w:hAnsi="宋体"/>
          <w:b/>
          <w:color w:val="auto"/>
          <w:spacing w:val="-4"/>
          <w:szCs w:val="21"/>
          <w:highlight w:val="none"/>
        </w:rPr>
      </w:pPr>
      <w:r>
        <w:rPr>
          <w:rFonts w:hint="eastAsia" w:ascii="宋体" w:hAnsi="宋体"/>
          <w:b/>
          <w:color w:val="auto"/>
          <w:spacing w:val="-4"/>
          <w:szCs w:val="21"/>
          <w:highlight w:val="none"/>
        </w:rPr>
        <w:t>二、项目编号：</w:t>
      </w:r>
      <w:r>
        <w:rPr>
          <w:rFonts w:hint="eastAsia" w:ascii="宋体" w:hAnsi="宋体"/>
          <w:bCs/>
          <w:color w:val="auto"/>
          <w:spacing w:val="-4"/>
          <w:szCs w:val="21"/>
          <w:highlight w:val="none"/>
          <w:lang w:eastAsia="zh-CN"/>
        </w:rPr>
        <w:t>GXZC2020-G3-000115-JGJD</w:t>
      </w:r>
      <w:r>
        <w:rPr>
          <w:rFonts w:hint="eastAsia" w:ascii="宋体" w:hAnsi="宋体"/>
          <w:bCs/>
          <w:color w:val="auto"/>
          <w:spacing w:val="-4"/>
          <w:szCs w:val="21"/>
          <w:highlight w:val="none"/>
        </w:rPr>
        <w:t xml:space="preserve">/HCA(3)2020007G </w:t>
      </w:r>
    </w:p>
    <w:p>
      <w:pPr>
        <w:keepNext w:val="0"/>
        <w:keepLines w:val="0"/>
        <w:pageBreakBefore w:val="0"/>
        <w:kinsoku/>
        <w:wordWrap/>
        <w:overflowPunct/>
        <w:topLinePunct w:val="0"/>
        <w:autoSpaceDE/>
        <w:autoSpaceDN/>
        <w:bidi w:val="0"/>
        <w:adjustRightInd/>
        <w:spacing w:line="400" w:lineRule="exact"/>
        <w:textAlignment w:val="auto"/>
        <w:rPr>
          <w:rFonts w:ascii="宋体" w:hAnsi="宋体"/>
          <w:color w:val="auto"/>
          <w:spacing w:val="-4"/>
          <w:szCs w:val="21"/>
          <w:highlight w:val="none"/>
        </w:rPr>
      </w:pPr>
      <w:r>
        <w:rPr>
          <w:rFonts w:hint="eastAsia" w:ascii="宋体" w:hAnsi="宋体"/>
          <w:b/>
          <w:color w:val="auto"/>
          <w:spacing w:val="-4"/>
          <w:szCs w:val="21"/>
          <w:highlight w:val="none"/>
        </w:rPr>
        <w:t>三、资金来源：</w:t>
      </w:r>
      <w:r>
        <w:rPr>
          <w:rFonts w:hint="eastAsia" w:ascii="宋体" w:hAnsi="宋体"/>
          <w:color w:val="auto"/>
          <w:spacing w:val="-4"/>
          <w:szCs w:val="21"/>
          <w:highlight w:val="none"/>
        </w:rPr>
        <w:t>财政资金</w:t>
      </w:r>
    </w:p>
    <w:p>
      <w:pPr>
        <w:keepNext w:val="0"/>
        <w:keepLines w:val="0"/>
        <w:pageBreakBefore w:val="0"/>
        <w:kinsoku/>
        <w:wordWrap/>
        <w:overflowPunct/>
        <w:topLinePunct w:val="0"/>
        <w:autoSpaceDE/>
        <w:autoSpaceDN/>
        <w:bidi w:val="0"/>
        <w:adjustRightInd/>
        <w:spacing w:line="400" w:lineRule="exact"/>
        <w:textAlignment w:val="auto"/>
        <w:rPr>
          <w:rFonts w:ascii="宋体" w:hAnsi="宋体"/>
          <w:color w:val="auto"/>
          <w:spacing w:val="-4"/>
          <w:szCs w:val="21"/>
          <w:highlight w:val="none"/>
        </w:rPr>
      </w:pPr>
      <w:r>
        <w:rPr>
          <w:rFonts w:hint="eastAsia" w:ascii="宋体" w:hAnsi="宋体"/>
          <w:b/>
          <w:color w:val="auto"/>
          <w:spacing w:val="-4"/>
          <w:szCs w:val="21"/>
          <w:highlight w:val="none"/>
        </w:rPr>
        <w:t>四、采购方式：</w:t>
      </w:r>
      <w:r>
        <w:rPr>
          <w:rFonts w:hint="eastAsia" w:ascii="宋体" w:hAnsi="宋体"/>
          <w:color w:val="auto"/>
          <w:spacing w:val="-4"/>
          <w:szCs w:val="21"/>
          <w:highlight w:val="none"/>
        </w:rPr>
        <w:t>公开招标</w:t>
      </w:r>
    </w:p>
    <w:p>
      <w:pPr>
        <w:keepNext w:val="0"/>
        <w:keepLines w:val="0"/>
        <w:pageBreakBefore w:val="0"/>
        <w:kinsoku/>
        <w:wordWrap/>
        <w:overflowPunct/>
        <w:topLinePunct w:val="0"/>
        <w:autoSpaceDE/>
        <w:autoSpaceDN/>
        <w:bidi w:val="0"/>
        <w:adjustRightInd/>
        <w:spacing w:line="400" w:lineRule="exact"/>
        <w:textAlignment w:val="auto"/>
        <w:rPr>
          <w:rFonts w:ascii="宋体" w:hAnsi="宋体"/>
          <w:color w:val="auto"/>
          <w:spacing w:val="-4"/>
          <w:szCs w:val="21"/>
          <w:highlight w:val="none"/>
        </w:rPr>
      </w:pPr>
      <w:r>
        <w:rPr>
          <w:rFonts w:hint="eastAsia" w:ascii="宋体" w:hAnsi="宋体"/>
          <w:b/>
          <w:color w:val="auto"/>
          <w:spacing w:val="-4"/>
          <w:szCs w:val="21"/>
          <w:highlight w:val="none"/>
        </w:rPr>
        <w:t>五、采购预算价：24388700.16元</w:t>
      </w:r>
    </w:p>
    <w:p>
      <w:pPr>
        <w:keepNext w:val="0"/>
        <w:keepLines w:val="0"/>
        <w:pageBreakBefore w:val="0"/>
        <w:kinsoku/>
        <w:wordWrap/>
        <w:overflowPunct/>
        <w:topLinePunct w:val="0"/>
        <w:autoSpaceDE/>
        <w:autoSpaceDN/>
        <w:bidi w:val="0"/>
        <w:adjustRightInd/>
        <w:spacing w:line="400" w:lineRule="exact"/>
        <w:textAlignment w:val="auto"/>
        <w:rPr>
          <w:rFonts w:ascii="宋体" w:hAnsi="宋体"/>
          <w:b/>
          <w:color w:val="auto"/>
          <w:spacing w:val="-4"/>
          <w:szCs w:val="21"/>
          <w:highlight w:val="none"/>
        </w:rPr>
      </w:pPr>
      <w:r>
        <w:rPr>
          <w:rFonts w:hint="eastAsia" w:ascii="宋体" w:hAnsi="宋体"/>
          <w:b/>
          <w:color w:val="auto"/>
          <w:spacing w:val="-4"/>
          <w:szCs w:val="21"/>
          <w:highlight w:val="none"/>
        </w:rPr>
        <w:t>六、采购内容：</w:t>
      </w:r>
    </w:p>
    <w:p>
      <w:pPr>
        <w:keepNext w:val="0"/>
        <w:keepLines w:val="0"/>
        <w:pageBreakBefore w:val="0"/>
        <w:kinsoku/>
        <w:wordWrap/>
        <w:overflowPunct/>
        <w:topLinePunct w:val="0"/>
        <w:autoSpaceDE/>
        <w:autoSpaceDN/>
        <w:bidi w:val="0"/>
        <w:adjustRightInd/>
        <w:snapToGrid w:val="0"/>
        <w:spacing w:line="400" w:lineRule="exact"/>
        <w:ind w:left="418" w:leftChars="199" w:firstLine="8" w:firstLineChars="4"/>
        <w:textAlignment w:val="auto"/>
        <w:rPr>
          <w:rFonts w:ascii="宋体" w:hAnsi="宋体" w:cs="Arial"/>
          <w:color w:val="auto"/>
          <w:szCs w:val="21"/>
          <w:highlight w:val="none"/>
        </w:rPr>
      </w:pPr>
      <w:r>
        <w:rPr>
          <w:rFonts w:hint="eastAsia" w:ascii="宋体" w:hAnsi="宋体"/>
          <w:color w:val="auto"/>
          <w:kern w:val="0"/>
          <w:szCs w:val="21"/>
          <w:highlight w:val="none"/>
        </w:rPr>
        <w:t>集约化工作门户1套，信息资源管理系统1套，网站群管理系统1套等，</w:t>
      </w:r>
      <w:r>
        <w:rPr>
          <w:rFonts w:hint="eastAsia" w:ascii="宋体" w:hAnsi="宋体" w:cs="Arial"/>
          <w:color w:val="auto"/>
          <w:szCs w:val="21"/>
          <w:highlight w:val="none"/>
        </w:rPr>
        <w:t>如需进一步了解详细内容，详见招标文件。</w:t>
      </w:r>
    </w:p>
    <w:p>
      <w:pPr>
        <w:keepNext w:val="0"/>
        <w:keepLines w:val="0"/>
        <w:pageBreakBefore w:val="0"/>
        <w:kinsoku/>
        <w:wordWrap/>
        <w:overflowPunct/>
        <w:topLinePunct w:val="0"/>
        <w:autoSpaceDE/>
        <w:autoSpaceDN/>
        <w:bidi w:val="0"/>
        <w:adjustRightInd/>
        <w:snapToGrid w:val="0"/>
        <w:spacing w:line="400" w:lineRule="exact"/>
        <w:ind w:left="413" w:hanging="413" w:hangingChars="196"/>
        <w:textAlignment w:val="auto"/>
        <w:rPr>
          <w:rFonts w:ascii="宋体" w:hAnsi="宋体" w:cs="Arial"/>
          <w:color w:val="auto"/>
          <w:szCs w:val="21"/>
          <w:highlight w:val="none"/>
        </w:rPr>
      </w:pPr>
      <w:r>
        <w:rPr>
          <w:rFonts w:hint="eastAsia" w:ascii="宋体" w:hAnsi="宋体" w:cs="Arial"/>
          <w:b/>
          <w:color w:val="auto"/>
          <w:szCs w:val="21"/>
          <w:highlight w:val="none"/>
        </w:rPr>
        <w:t>七、本项目需要落实的政府采购政策：</w:t>
      </w:r>
      <w:r>
        <w:rPr>
          <w:rFonts w:hint="eastAsia" w:ascii="宋体" w:hAnsi="宋体" w:cs="Arial"/>
          <w:color w:val="auto"/>
          <w:szCs w:val="21"/>
          <w:highlight w:val="none"/>
        </w:rPr>
        <w:t>《政府采购促进中小企业发展暂行办法》（财库〔2011〕181号）、《关于政府采购支持监狱企业发展有关问题的通知》财库〔2014〕68号、</w:t>
      </w:r>
      <w:r>
        <w:rPr>
          <w:rFonts w:ascii="宋体" w:hAnsi="宋体" w:cs="宋体"/>
          <w:color w:val="auto"/>
          <w:szCs w:val="20"/>
          <w:highlight w:val="none"/>
        </w:rPr>
        <w:t>《关于调整优化节能产品、环境标志产品政府采购执行机制的通知》（财库〔2019〕9号）</w:t>
      </w:r>
      <w:r>
        <w:rPr>
          <w:rFonts w:hint="eastAsia" w:ascii="宋体" w:hAnsi="宋体" w:cs="宋体"/>
          <w:color w:val="auto"/>
          <w:szCs w:val="20"/>
          <w:highlight w:val="none"/>
        </w:rPr>
        <w:t>、《关于促进残疾人就业政府采购政策的通知》(财库〔2017〕141号)、《政府采购中查询及使用信用记录有关问题的通知》（财库【2016】125号）</w:t>
      </w:r>
      <w:r>
        <w:rPr>
          <w:rFonts w:hint="eastAsia" w:ascii="宋体" w:hAnsi="宋体" w:cs="Arial"/>
          <w:color w:val="auto"/>
          <w:szCs w:val="21"/>
          <w:highlight w:val="none"/>
        </w:rPr>
        <w:t>。</w:t>
      </w:r>
    </w:p>
    <w:p>
      <w:pPr>
        <w:keepNext w:val="0"/>
        <w:keepLines w:val="0"/>
        <w:pageBreakBefore w:val="0"/>
        <w:kinsoku/>
        <w:wordWrap/>
        <w:overflowPunct/>
        <w:topLinePunct w:val="0"/>
        <w:autoSpaceDE/>
        <w:autoSpaceDN/>
        <w:bidi w:val="0"/>
        <w:adjustRightInd/>
        <w:spacing w:line="400" w:lineRule="exact"/>
        <w:textAlignment w:val="auto"/>
        <w:rPr>
          <w:rFonts w:ascii="宋体" w:hAnsi="宋体"/>
          <w:b/>
          <w:color w:val="auto"/>
          <w:spacing w:val="-4"/>
          <w:szCs w:val="21"/>
          <w:highlight w:val="none"/>
        </w:rPr>
      </w:pPr>
      <w:r>
        <w:rPr>
          <w:rFonts w:hint="eastAsia" w:ascii="宋体" w:hAnsi="宋体"/>
          <w:b/>
          <w:color w:val="auto"/>
          <w:spacing w:val="-4"/>
          <w:szCs w:val="21"/>
          <w:highlight w:val="none"/>
        </w:rPr>
        <w:t>八、投标人资格条件：</w:t>
      </w:r>
    </w:p>
    <w:p>
      <w:pPr>
        <w:keepNext w:val="0"/>
        <w:keepLines w:val="0"/>
        <w:pageBreakBefore w:val="0"/>
        <w:kinsoku/>
        <w:wordWrap/>
        <w:overflowPunct/>
        <w:topLinePunct w:val="0"/>
        <w:autoSpaceDE/>
        <w:autoSpaceDN/>
        <w:bidi w:val="0"/>
        <w:adjustRightInd/>
        <w:snapToGrid w:val="0"/>
        <w:spacing w:line="400" w:lineRule="exact"/>
        <w:ind w:firstLine="472" w:firstLineChars="225"/>
        <w:textAlignment w:val="auto"/>
        <w:rPr>
          <w:rFonts w:ascii="宋体" w:hAnsi="宋体" w:cs="Arial"/>
          <w:color w:val="auto"/>
          <w:szCs w:val="21"/>
          <w:highlight w:val="none"/>
        </w:rPr>
      </w:pPr>
      <w:r>
        <w:rPr>
          <w:rFonts w:hint="eastAsia" w:ascii="宋体" w:hAnsi="宋体" w:cs="Arial"/>
          <w:color w:val="auto"/>
          <w:szCs w:val="21"/>
          <w:highlight w:val="none"/>
        </w:rPr>
        <w:t>1、符合《中华人民共和国政府采购法》第二十二条规定的条件，国内注册，生产或经营本次采购货物或服务的供应商；</w:t>
      </w:r>
    </w:p>
    <w:p>
      <w:pPr>
        <w:keepNext w:val="0"/>
        <w:keepLines w:val="0"/>
        <w:pageBreakBefore w:val="0"/>
        <w:kinsoku/>
        <w:wordWrap/>
        <w:overflowPunct/>
        <w:topLinePunct w:val="0"/>
        <w:autoSpaceDE/>
        <w:autoSpaceDN/>
        <w:bidi w:val="0"/>
        <w:adjustRightInd/>
        <w:snapToGrid w:val="0"/>
        <w:spacing w:line="400" w:lineRule="exact"/>
        <w:ind w:firstLine="420" w:firstLineChars="200"/>
        <w:textAlignment w:val="auto"/>
        <w:rPr>
          <w:rFonts w:ascii="宋体" w:hAnsi="宋体" w:cs="Arial"/>
          <w:color w:val="auto"/>
          <w:szCs w:val="21"/>
          <w:highlight w:val="none"/>
        </w:rPr>
      </w:pPr>
      <w:r>
        <w:rPr>
          <w:rFonts w:ascii="宋体" w:hAnsi="宋体" w:cs="Arial"/>
          <w:color w:val="auto"/>
          <w:szCs w:val="21"/>
          <w:highlight w:val="none"/>
        </w:rPr>
        <w:t>2</w:t>
      </w:r>
      <w:r>
        <w:rPr>
          <w:rFonts w:hint="eastAsia" w:ascii="宋体" w:hAnsi="宋体" w:cs="Arial"/>
          <w:color w:val="auto"/>
          <w:szCs w:val="21"/>
          <w:highlight w:val="none"/>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keepNext w:val="0"/>
        <w:keepLines w:val="0"/>
        <w:pageBreakBefore w:val="0"/>
        <w:kinsoku/>
        <w:wordWrap/>
        <w:overflowPunct/>
        <w:topLinePunct w:val="0"/>
        <w:autoSpaceDE/>
        <w:autoSpaceDN/>
        <w:bidi w:val="0"/>
        <w:adjustRightInd/>
        <w:snapToGrid w:val="0"/>
        <w:spacing w:line="400" w:lineRule="exact"/>
        <w:ind w:firstLine="420" w:firstLineChars="200"/>
        <w:textAlignment w:val="auto"/>
        <w:rPr>
          <w:rFonts w:ascii="宋体" w:hAnsi="宋体" w:cs="Arial"/>
          <w:color w:val="auto"/>
          <w:szCs w:val="21"/>
          <w:highlight w:val="none"/>
        </w:rPr>
      </w:pPr>
      <w:r>
        <w:rPr>
          <w:rFonts w:ascii="宋体" w:hAnsi="宋体" w:cs="Arial"/>
          <w:color w:val="auto"/>
          <w:szCs w:val="21"/>
          <w:highlight w:val="none"/>
        </w:rPr>
        <w:t>3</w:t>
      </w:r>
      <w:r>
        <w:rPr>
          <w:rFonts w:hint="eastAsia" w:ascii="宋体" w:hAnsi="宋体" w:cs="Arial"/>
          <w:color w:val="auto"/>
          <w:szCs w:val="21"/>
          <w:highlight w:val="none"/>
        </w:rPr>
        <w:t>、本项目不接受联合体投标。</w:t>
      </w:r>
    </w:p>
    <w:p>
      <w:pPr>
        <w:keepNext w:val="0"/>
        <w:keepLines w:val="0"/>
        <w:pageBreakBefore w:val="0"/>
        <w:kinsoku/>
        <w:wordWrap/>
        <w:overflowPunct/>
        <w:topLinePunct w:val="0"/>
        <w:autoSpaceDE/>
        <w:autoSpaceDN/>
        <w:bidi w:val="0"/>
        <w:adjustRightInd/>
        <w:spacing w:line="400" w:lineRule="exact"/>
        <w:textAlignment w:val="auto"/>
        <w:rPr>
          <w:rFonts w:ascii="宋体" w:hAnsi="宋体"/>
          <w:b/>
          <w:color w:val="auto"/>
          <w:spacing w:val="-4"/>
          <w:szCs w:val="21"/>
          <w:highlight w:val="none"/>
        </w:rPr>
      </w:pPr>
      <w:r>
        <w:rPr>
          <w:rFonts w:hint="eastAsia" w:ascii="宋体" w:hAnsi="宋体"/>
          <w:b/>
          <w:color w:val="auto"/>
          <w:spacing w:val="-4"/>
          <w:szCs w:val="21"/>
          <w:highlight w:val="none"/>
        </w:rPr>
        <w:t>九</w:t>
      </w:r>
      <w:r>
        <w:rPr>
          <w:rFonts w:hint="eastAsia" w:ascii="宋体" w:hAnsi="宋体"/>
          <w:b/>
          <w:bCs w:val="0"/>
          <w:color w:val="auto"/>
          <w:spacing w:val="-4"/>
          <w:szCs w:val="21"/>
          <w:highlight w:val="none"/>
        </w:rPr>
        <w:t>、</w:t>
      </w:r>
      <w:r>
        <w:rPr>
          <w:rFonts w:hint="eastAsia" w:ascii="宋体" w:hAnsi="宋体"/>
          <w:b/>
          <w:bCs w:val="0"/>
          <w:color w:val="auto"/>
          <w:szCs w:val="21"/>
          <w:highlight w:val="none"/>
        </w:rPr>
        <w:t>招标文件的获取</w:t>
      </w:r>
      <w:r>
        <w:rPr>
          <w:rFonts w:hint="eastAsia" w:ascii="宋体" w:hAnsi="宋体"/>
          <w:b/>
          <w:bCs w:val="0"/>
          <w:color w:val="auto"/>
          <w:spacing w:val="-4"/>
          <w:szCs w:val="21"/>
          <w:highlight w:val="none"/>
        </w:rPr>
        <w:t>：</w:t>
      </w:r>
    </w:p>
    <w:p>
      <w:pPr>
        <w:keepNext w:val="0"/>
        <w:keepLines w:val="0"/>
        <w:pageBreakBefore w:val="0"/>
        <w:widowControl/>
        <w:kinsoku/>
        <w:wordWrap/>
        <w:overflowPunct/>
        <w:topLinePunct w:val="0"/>
        <w:autoSpaceDE/>
        <w:autoSpaceDN/>
        <w:bidi w:val="0"/>
        <w:adjustRightInd/>
        <w:spacing w:line="400" w:lineRule="exact"/>
        <w:ind w:firstLine="420" w:firstLineChars="200"/>
        <w:jc w:val="left"/>
        <w:textAlignment w:val="auto"/>
        <w:rPr>
          <w:rFonts w:hint="eastAsia" w:ascii="宋体" w:hAnsi="宋体"/>
          <w:b w:val="0"/>
          <w:bCs/>
          <w:color w:val="auto"/>
          <w:szCs w:val="21"/>
          <w:highlight w:val="none"/>
        </w:rPr>
      </w:pPr>
      <w:r>
        <w:rPr>
          <w:rFonts w:hint="eastAsia" w:ascii="宋体" w:hAnsi="宋体"/>
          <w:b w:val="0"/>
          <w:bCs/>
          <w:color w:val="auto"/>
          <w:szCs w:val="21"/>
          <w:highlight w:val="none"/>
        </w:rPr>
        <w:t>网上报名，凡有意参加投标者，请于20</w:t>
      </w:r>
      <w:r>
        <w:rPr>
          <w:rFonts w:hint="eastAsia" w:ascii="宋体" w:hAnsi="宋体"/>
          <w:b w:val="0"/>
          <w:bCs/>
          <w:color w:val="auto"/>
          <w:szCs w:val="21"/>
          <w:highlight w:val="none"/>
          <w:lang w:val="en-US" w:eastAsia="zh-CN"/>
        </w:rPr>
        <w:t>20</w:t>
      </w:r>
      <w:r>
        <w:rPr>
          <w:rFonts w:hint="eastAsia" w:ascii="宋体" w:hAnsi="宋体"/>
          <w:b w:val="0"/>
          <w:bCs/>
          <w:color w:val="auto"/>
          <w:szCs w:val="21"/>
          <w:highlight w:val="none"/>
        </w:rPr>
        <w:t>年</w:t>
      </w:r>
      <w:r>
        <w:rPr>
          <w:rFonts w:hint="eastAsia" w:ascii="宋体" w:hAnsi="宋体"/>
          <w:b w:val="0"/>
          <w:bCs/>
          <w:color w:val="auto"/>
          <w:szCs w:val="21"/>
          <w:highlight w:val="none"/>
          <w:lang w:val="en-US" w:eastAsia="zh-CN"/>
        </w:rPr>
        <w:t>2</w:t>
      </w:r>
      <w:r>
        <w:rPr>
          <w:rFonts w:hint="eastAsia" w:ascii="宋体" w:hAnsi="宋体"/>
          <w:b w:val="0"/>
          <w:bCs/>
          <w:color w:val="auto"/>
          <w:szCs w:val="21"/>
          <w:highlight w:val="none"/>
        </w:rPr>
        <w:t>月</w:t>
      </w:r>
      <w:r>
        <w:rPr>
          <w:rFonts w:hint="eastAsia" w:ascii="宋体" w:hAnsi="宋体"/>
          <w:b w:val="0"/>
          <w:bCs/>
          <w:color w:val="auto"/>
          <w:szCs w:val="21"/>
          <w:highlight w:val="none"/>
          <w:lang w:val="en-US" w:eastAsia="zh-CN"/>
        </w:rPr>
        <w:t>6</w:t>
      </w:r>
      <w:r>
        <w:rPr>
          <w:rFonts w:hint="eastAsia" w:ascii="宋体" w:hAnsi="宋体"/>
          <w:b w:val="0"/>
          <w:bCs/>
          <w:color w:val="auto"/>
          <w:szCs w:val="21"/>
          <w:highlight w:val="none"/>
        </w:rPr>
        <w:t>日至20</w:t>
      </w:r>
      <w:r>
        <w:rPr>
          <w:rFonts w:hint="eastAsia" w:ascii="宋体" w:hAnsi="宋体"/>
          <w:b w:val="0"/>
          <w:bCs/>
          <w:color w:val="auto"/>
          <w:szCs w:val="21"/>
          <w:highlight w:val="none"/>
          <w:lang w:val="en-US" w:eastAsia="zh-CN"/>
        </w:rPr>
        <w:t>20</w:t>
      </w:r>
      <w:r>
        <w:rPr>
          <w:rFonts w:hint="eastAsia" w:ascii="宋体" w:hAnsi="宋体"/>
          <w:b w:val="0"/>
          <w:bCs/>
          <w:color w:val="auto"/>
          <w:szCs w:val="21"/>
          <w:highlight w:val="none"/>
        </w:rPr>
        <w:t>年</w:t>
      </w:r>
      <w:r>
        <w:rPr>
          <w:rFonts w:hint="eastAsia" w:ascii="宋体" w:hAnsi="宋体"/>
          <w:b w:val="0"/>
          <w:bCs/>
          <w:color w:val="auto"/>
          <w:szCs w:val="21"/>
          <w:highlight w:val="none"/>
          <w:lang w:val="en-US" w:eastAsia="zh-CN"/>
        </w:rPr>
        <w:t>2</w:t>
      </w:r>
      <w:r>
        <w:rPr>
          <w:rFonts w:hint="eastAsia" w:ascii="宋体" w:hAnsi="宋体"/>
          <w:b w:val="0"/>
          <w:bCs/>
          <w:color w:val="auto"/>
          <w:szCs w:val="21"/>
          <w:highlight w:val="none"/>
        </w:rPr>
        <w:t>月</w:t>
      </w:r>
      <w:r>
        <w:rPr>
          <w:rFonts w:hint="eastAsia" w:ascii="宋体" w:hAnsi="宋体"/>
          <w:b w:val="0"/>
          <w:bCs/>
          <w:color w:val="auto"/>
          <w:szCs w:val="21"/>
          <w:highlight w:val="none"/>
          <w:lang w:val="en-US" w:eastAsia="zh-CN"/>
        </w:rPr>
        <w:t>13</w:t>
      </w:r>
      <w:r>
        <w:rPr>
          <w:rFonts w:hint="eastAsia" w:ascii="宋体" w:hAnsi="宋体"/>
          <w:b w:val="0"/>
          <w:bCs/>
          <w:color w:val="auto"/>
          <w:szCs w:val="21"/>
          <w:highlight w:val="none"/>
        </w:rPr>
        <w:t xml:space="preserve">日北京时间23：59分前，由潜在供应商在广西国资交易电子招标采购平台注册会员后（广西国资交易电子招标采购平台会员注册方式具体流程请访问广西招标网（http://www.guangxibid.com.cn/）首页的常用下载窗口进行查看），在线完成购买及下载招标文件、接收澄清变更、查看结果通知等有关业务，未完成网上购买及下载招标文件的，投标无效。 </w:t>
      </w:r>
    </w:p>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b w:val="0"/>
          <w:bCs/>
          <w:color w:val="auto"/>
          <w:szCs w:val="21"/>
          <w:highlight w:val="none"/>
        </w:rPr>
      </w:pPr>
      <w:r>
        <w:rPr>
          <w:rFonts w:hint="eastAsia" w:ascii="宋体" w:hAnsi="宋体"/>
          <w:b w:val="0"/>
          <w:bCs/>
          <w:color w:val="auto"/>
          <w:szCs w:val="21"/>
          <w:highlight w:val="none"/>
        </w:rPr>
        <w:t xml:space="preserve">    网上支付，招标文件售价：300元人民币/套，售后不退。 </w:t>
      </w:r>
    </w:p>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b w:val="0"/>
          <w:bCs/>
          <w:color w:val="auto"/>
          <w:szCs w:val="21"/>
          <w:highlight w:val="none"/>
        </w:rPr>
      </w:pPr>
      <w:r>
        <w:rPr>
          <w:rFonts w:hint="eastAsia" w:ascii="宋体" w:hAnsi="宋体"/>
          <w:b/>
          <w:bCs w:val="0"/>
          <w:color w:val="auto"/>
          <w:szCs w:val="21"/>
          <w:highlight w:val="none"/>
        </w:rPr>
        <w:t>用户注册及平台使用咨询：广西国资交易电子招标采购平台</w:t>
      </w:r>
      <w:r>
        <w:rPr>
          <w:rFonts w:hint="eastAsia" w:ascii="宋体" w:hAnsi="宋体"/>
          <w:b w:val="0"/>
          <w:bCs/>
          <w:color w:val="auto"/>
          <w:szCs w:val="21"/>
          <w:highlight w:val="none"/>
        </w:rPr>
        <w:t xml:space="preserve"> </w:t>
      </w:r>
    </w:p>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b w:val="0"/>
          <w:bCs/>
          <w:color w:val="auto"/>
          <w:szCs w:val="21"/>
          <w:highlight w:val="none"/>
        </w:rPr>
      </w:pPr>
      <w:r>
        <w:rPr>
          <w:rFonts w:hint="eastAsia" w:ascii="宋体" w:hAnsi="宋体"/>
          <w:b w:val="0"/>
          <w:bCs/>
          <w:color w:val="auto"/>
          <w:szCs w:val="21"/>
          <w:highlight w:val="none"/>
        </w:rPr>
        <w:t xml:space="preserve">办公时间：周一至周五，上午 8:00-12:00,下午15:00-18:00 </w:t>
      </w:r>
    </w:p>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b w:val="0"/>
          <w:bCs/>
          <w:color w:val="auto"/>
          <w:szCs w:val="21"/>
          <w:highlight w:val="none"/>
        </w:rPr>
      </w:pPr>
      <w:r>
        <w:rPr>
          <w:rFonts w:hint="eastAsia" w:ascii="宋体" w:hAnsi="宋体"/>
          <w:b w:val="0"/>
          <w:bCs/>
          <w:color w:val="auto"/>
          <w:szCs w:val="21"/>
          <w:highlight w:val="none"/>
        </w:rPr>
        <w:t xml:space="preserve">地址：南宁市青秀区金湖路52-1号东方曼哈顿三楼广西国资招投标中心 </w:t>
      </w:r>
    </w:p>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b/>
          <w:color w:val="auto"/>
          <w:szCs w:val="21"/>
          <w:highlight w:val="none"/>
        </w:rPr>
      </w:pPr>
      <w:r>
        <w:rPr>
          <w:rFonts w:hint="eastAsia" w:ascii="宋体" w:hAnsi="宋体"/>
          <w:b w:val="0"/>
          <w:bCs/>
          <w:color w:val="auto"/>
          <w:szCs w:val="21"/>
          <w:highlight w:val="none"/>
        </w:rPr>
        <w:t>电话： 0771-5579209    QQ群：286811625</w:t>
      </w:r>
      <w:r>
        <w:rPr>
          <w:rFonts w:hint="eastAsia" w:ascii="宋体" w:hAnsi="宋体"/>
          <w:b/>
          <w:color w:val="auto"/>
          <w:szCs w:val="21"/>
          <w:highlight w:val="none"/>
        </w:rPr>
        <w:t xml:space="preserve"> </w:t>
      </w:r>
    </w:p>
    <w:p>
      <w:pPr>
        <w:keepNext w:val="0"/>
        <w:keepLines w:val="0"/>
        <w:pageBreakBefore w:val="0"/>
        <w:widowControl/>
        <w:kinsoku/>
        <w:wordWrap/>
        <w:overflowPunct/>
        <w:topLinePunct w:val="0"/>
        <w:autoSpaceDE/>
        <w:autoSpaceDN/>
        <w:bidi w:val="0"/>
        <w:adjustRightInd/>
        <w:spacing w:line="400" w:lineRule="exact"/>
        <w:jc w:val="left"/>
        <w:textAlignment w:val="auto"/>
        <w:rPr>
          <w:rFonts w:ascii="宋体" w:hAnsi="宋体" w:cs="宋体"/>
          <w:color w:val="auto"/>
          <w:kern w:val="0"/>
          <w:szCs w:val="21"/>
          <w:highlight w:val="none"/>
        </w:rPr>
      </w:pPr>
      <w:r>
        <w:rPr>
          <w:rFonts w:hint="eastAsia" w:ascii="宋体" w:hAnsi="宋体"/>
          <w:b/>
          <w:color w:val="auto"/>
          <w:szCs w:val="21"/>
          <w:highlight w:val="none"/>
        </w:rPr>
        <w:t>十、投标截止时间和地点：</w:t>
      </w:r>
      <w:r>
        <w:rPr>
          <w:rFonts w:hint="eastAsia" w:ascii="宋体" w:hAnsi="宋体"/>
          <w:color w:val="auto"/>
          <w:kern w:val="0"/>
          <w:szCs w:val="21"/>
          <w:highlight w:val="none"/>
        </w:rPr>
        <w:t>投标人应于</w:t>
      </w:r>
      <w:r>
        <w:rPr>
          <w:rFonts w:hint="eastAsia" w:ascii="宋体" w:hAnsi="宋体"/>
          <w:color w:val="auto"/>
          <w:spacing w:val="-4"/>
          <w:szCs w:val="21"/>
          <w:highlight w:val="none"/>
          <w:u w:val="single"/>
        </w:rPr>
        <w:t>2020年</w:t>
      </w:r>
      <w:r>
        <w:rPr>
          <w:rFonts w:hint="eastAsia" w:ascii="宋体" w:hAnsi="宋体"/>
          <w:color w:val="auto"/>
          <w:spacing w:val="-4"/>
          <w:szCs w:val="21"/>
          <w:highlight w:val="none"/>
          <w:u w:val="single"/>
          <w:lang w:val="en-US" w:eastAsia="zh-CN"/>
        </w:rPr>
        <w:t>3</w:t>
      </w:r>
      <w:r>
        <w:rPr>
          <w:rFonts w:hint="eastAsia" w:ascii="宋体" w:hAnsi="宋体"/>
          <w:color w:val="auto"/>
          <w:spacing w:val="-4"/>
          <w:szCs w:val="21"/>
          <w:highlight w:val="none"/>
          <w:u w:val="single"/>
        </w:rPr>
        <w:t>月</w:t>
      </w:r>
      <w:r>
        <w:rPr>
          <w:rFonts w:hint="eastAsia" w:ascii="宋体" w:hAnsi="宋体"/>
          <w:color w:val="auto"/>
          <w:spacing w:val="-4"/>
          <w:szCs w:val="21"/>
          <w:highlight w:val="none"/>
          <w:u w:val="single"/>
          <w:lang w:val="en-US" w:eastAsia="zh-CN"/>
        </w:rPr>
        <w:t>2</w:t>
      </w:r>
      <w:r>
        <w:rPr>
          <w:rFonts w:hint="eastAsia" w:ascii="宋体" w:hAnsi="宋体"/>
          <w:color w:val="auto"/>
          <w:spacing w:val="-4"/>
          <w:szCs w:val="21"/>
          <w:highlight w:val="none"/>
          <w:u w:val="single"/>
        </w:rPr>
        <w:t>日</w:t>
      </w:r>
      <w:r>
        <w:rPr>
          <w:rFonts w:hint="eastAsia" w:ascii="宋体" w:hAnsi="宋体"/>
          <w:color w:val="auto"/>
          <w:spacing w:val="-4"/>
          <w:szCs w:val="21"/>
          <w:highlight w:val="none"/>
          <w:u w:val="single"/>
          <w:lang w:val="en-US" w:eastAsia="zh-CN"/>
        </w:rPr>
        <w:t>9</w:t>
      </w:r>
      <w:r>
        <w:rPr>
          <w:rFonts w:hint="eastAsia" w:ascii="宋体" w:hAnsi="宋体"/>
          <w:color w:val="auto"/>
          <w:spacing w:val="-4"/>
          <w:szCs w:val="21"/>
          <w:highlight w:val="none"/>
          <w:u w:val="single"/>
        </w:rPr>
        <w:t>时</w:t>
      </w:r>
      <w:r>
        <w:rPr>
          <w:rFonts w:hint="eastAsia" w:ascii="宋体" w:hAnsi="宋体"/>
          <w:color w:val="auto"/>
          <w:spacing w:val="-4"/>
          <w:szCs w:val="21"/>
          <w:highlight w:val="none"/>
          <w:u w:val="single"/>
          <w:lang w:val="en-US" w:eastAsia="zh-CN"/>
        </w:rPr>
        <w:t>30分</w:t>
      </w:r>
      <w:r>
        <w:rPr>
          <w:rFonts w:hint="eastAsia" w:ascii="宋体" w:hAnsi="宋体"/>
          <w:color w:val="auto"/>
          <w:kern w:val="0"/>
          <w:szCs w:val="21"/>
          <w:highlight w:val="none"/>
          <w:u w:val="single"/>
        </w:rPr>
        <w:t>止将投标文件密封送交到广西南宁市青秀区怡宾路6号自治区政务服务中心4楼广西壮族自治区公共资源交易中心开标室（具体开标室根据电子屏幕显示的安排）</w:t>
      </w:r>
      <w:r>
        <w:rPr>
          <w:rFonts w:ascii="宋体" w:hAnsi="宋体"/>
          <w:color w:val="auto"/>
          <w:kern w:val="0"/>
          <w:szCs w:val="21"/>
          <w:highlight w:val="none"/>
        </w:rPr>
        <w:t>，逾期送达或未按要求密封的投标文件将予以拒收或作无效投标文件处理。</w:t>
      </w:r>
    </w:p>
    <w:p>
      <w:pPr>
        <w:keepNext w:val="0"/>
        <w:keepLines w:val="0"/>
        <w:pageBreakBefore w:val="0"/>
        <w:kinsoku/>
        <w:wordWrap/>
        <w:overflowPunct/>
        <w:topLinePunct w:val="0"/>
        <w:autoSpaceDE/>
        <w:autoSpaceDN/>
        <w:bidi w:val="0"/>
        <w:adjustRightInd/>
        <w:spacing w:line="400" w:lineRule="exact"/>
        <w:textAlignment w:val="auto"/>
        <w:rPr>
          <w:rFonts w:ascii="宋体" w:hAnsi="宋体"/>
          <w:color w:val="auto"/>
          <w:spacing w:val="-4"/>
          <w:szCs w:val="21"/>
          <w:highlight w:val="none"/>
        </w:rPr>
      </w:pPr>
      <w:r>
        <w:rPr>
          <w:rFonts w:hint="eastAsia" w:ascii="宋体" w:hAnsi="宋体"/>
          <w:b/>
          <w:color w:val="auto"/>
          <w:szCs w:val="21"/>
          <w:highlight w:val="none"/>
        </w:rPr>
        <w:t>十一</w:t>
      </w:r>
      <w:r>
        <w:rPr>
          <w:rFonts w:hint="eastAsia" w:ascii="宋体" w:hAnsi="宋体"/>
          <w:b/>
          <w:color w:val="auto"/>
          <w:spacing w:val="-4"/>
          <w:szCs w:val="21"/>
          <w:highlight w:val="none"/>
        </w:rPr>
        <w:t>、开标时间及地点：</w:t>
      </w:r>
      <w:r>
        <w:rPr>
          <w:rFonts w:hint="eastAsia" w:ascii="宋体" w:hAnsi="宋体"/>
          <w:color w:val="auto"/>
          <w:spacing w:val="-4"/>
          <w:szCs w:val="21"/>
          <w:highlight w:val="none"/>
        </w:rPr>
        <w:t>本次招标将于</w:t>
      </w:r>
      <w:r>
        <w:rPr>
          <w:rFonts w:hint="eastAsia" w:ascii="宋体" w:hAnsi="宋体"/>
          <w:color w:val="auto"/>
          <w:spacing w:val="-4"/>
          <w:szCs w:val="21"/>
          <w:highlight w:val="none"/>
          <w:u w:val="single"/>
        </w:rPr>
        <w:t>2020年</w:t>
      </w:r>
      <w:r>
        <w:rPr>
          <w:rFonts w:hint="eastAsia" w:ascii="宋体" w:hAnsi="宋体"/>
          <w:color w:val="auto"/>
          <w:spacing w:val="-4"/>
          <w:szCs w:val="21"/>
          <w:highlight w:val="none"/>
          <w:u w:val="single"/>
          <w:lang w:val="en-US" w:eastAsia="zh-CN"/>
        </w:rPr>
        <w:t xml:space="preserve"> 3</w:t>
      </w:r>
      <w:r>
        <w:rPr>
          <w:rFonts w:hint="eastAsia" w:ascii="宋体" w:hAnsi="宋体"/>
          <w:color w:val="auto"/>
          <w:spacing w:val="-4"/>
          <w:szCs w:val="21"/>
          <w:highlight w:val="none"/>
          <w:u w:val="single"/>
        </w:rPr>
        <w:t>月</w:t>
      </w:r>
      <w:r>
        <w:rPr>
          <w:rFonts w:hint="eastAsia" w:ascii="宋体" w:hAnsi="宋体"/>
          <w:color w:val="auto"/>
          <w:spacing w:val="-4"/>
          <w:szCs w:val="21"/>
          <w:highlight w:val="none"/>
          <w:u w:val="single"/>
          <w:lang w:val="en-US" w:eastAsia="zh-CN"/>
        </w:rPr>
        <w:t xml:space="preserve"> 2</w:t>
      </w:r>
      <w:r>
        <w:rPr>
          <w:rFonts w:hint="eastAsia" w:ascii="宋体" w:hAnsi="宋体"/>
          <w:color w:val="auto"/>
          <w:spacing w:val="-4"/>
          <w:szCs w:val="21"/>
          <w:highlight w:val="none"/>
          <w:u w:val="single"/>
        </w:rPr>
        <w:t>日</w:t>
      </w:r>
      <w:r>
        <w:rPr>
          <w:rFonts w:hint="eastAsia" w:ascii="宋体" w:hAnsi="宋体"/>
          <w:color w:val="auto"/>
          <w:spacing w:val="-4"/>
          <w:szCs w:val="21"/>
          <w:highlight w:val="none"/>
          <w:u w:val="single"/>
          <w:lang w:val="en-US" w:eastAsia="zh-CN"/>
        </w:rPr>
        <w:t>9</w:t>
      </w:r>
      <w:r>
        <w:rPr>
          <w:rFonts w:hint="eastAsia" w:ascii="宋体" w:hAnsi="宋体"/>
          <w:color w:val="auto"/>
          <w:spacing w:val="-4"/>
          <w:szCs w:val="21"/>
          <w:highlight w:val="none"/>
          <w:u w:val="single"/>
        </w:rPr>
        <w:t>时</w:t>
      </w:r>
      <w:r>
        <w:rPr>
          <w:rFonts w:hint="eastAsia" w:ascii="宋体" w:hAnsi="宋体"/>
          <w:color w:val="auto"/>
          <w:spacing w:val="-4"/>
          <w:szCs w:val="21"/>
          <w:highlight w:val="none"/>
          <w:u w:val="single"/>
          <w:lang w:val="en-US" w:eastAsia="zh-CN"/>
        </w:rPr>
        <w:t>30分</w:t>
      </w:r>
      <w:r>
        <w:rPr>
          <w:rFonts w:hint="eastAsia" w:ascii="宋体" w:hAnsi="宋体"/>
          <w:color w:val="auto"/>
          <w:spacing w:val="-4"/>
          <w:szCs w:val="21"/>
          <w:highlight w:val="none"/>
          <w:u w:val="single"/>
        </w:rPr>
        <w:t>整在广西南宁市青秀区怡宾路6号自治区政务服务中心4楼广西壮族自治区公共资源交易中心开标室（具体开标室根据电子屏幕显示的安排）</w:t>
      </w:r>
      <w:r>
        <w:rPr>
          <w:rFonts w:hint="eastAsia" w:ascii="宋体" w:hAnsi="宋体"/>
          <w:color w:val="auto"/>
          <w:spacing w:val="-4"/>
          <w:szCs w:val="21"/>
          <w:highlight w:val="none"/>
        </w:rPr>
        <w:t>开标，参加投标的法定代表人或委托代理人必须持有效证件（法定代表人参加开标会时，需提供法定代表人身份证明原件、本人身份证原件、投标保证金转账底单；委托代理人出席开标会议时，需提供法定代表人授权委托书原件、本人身份证原件、投标保证金转账底单）。</w:t>
      </w:r>
    </w:p>
    <w:p>
      <w:pPr>
        <w:keepNext w:val="0"/>
        <w:keepLines w:val="0"/>
        <w:pageBreakBefore w:val="0"/>
        <w:kinsoku/>
        <w:wordWrap/>
        <w:overflowPunct/>
        <w:topLinePunct w:val="0"/>
        <w:autoSpaceDE/>
        <w:autoSpaceDN/>
        <w:bidi w:val="0"/>
        <w:adjustRightInd/>
        <w:spacing w:line="400" w:lineRule="exact"/>
        <w:textAlignment w:val="auto"/>
        <w:rPr>
          <w:rFonts w:ascii="宋体" w:hAnsi="宋体"/>
          <w:b/>
          <w:color w:val="auto"/>
          <w:spacing w:val="-4"/>
          <w:szCs w:val="21"/>
          <w:highlight w:val="none"/>
        </w:rPr>
      </w:pPr>
      <w:r>
        <w:rPr>
          <w:rFonts w:hint="eastAsia" w:ascii="宋体" w:hAnsi="宋体"/>
          <w:b/>
          <w:color w:val="auto"/>
          <w:spacing w:val="-4"/>
          <w:szCs w:val="21"/>
          <w:highlight w:val="none"/>
        </w:rPr>
        <w:t>十二、查询网站：</w:t>
      </w:r>
    </w:p>
    <w:p>
      <w:pPr>
        <w:keepNext w:val="0"/>
        <w:keepLines w:val="0"/>
        <w:pageBreakBefore w:val="0"/>
        <w:kinsoku/>
        <w:wordWrap/>
        <w:overflowPunct/>
        <w:topLinePunct w:val="0"/>
        <w:autoSpaceDE/>
        <w:autoSpaceDN/>
        <w:bidi w:val="0"/>
        <w:adjustRightInd/>
        <w:spacing w:line="400" w:lineRule="exact"/>
        <w:ind w:firstLine="404" w:firstLineChars="200"/>
        <w:textAlignment w:val="auto"/>
        <w:rPr>
          <w:rFonts w:ascii="宋体" w:hAnsi="宋体"/>
          <w:b/>
          <w:color w:val="auto"/>
          <w:spacing w:val="-4"/>
          <w:szCs w:val="21"/>
          <w:highlight w:val="none"/>
        </w:rPr>
      </w:pPr>
      <w:r>
        <w:rPr>
          <w:rFonts w:hint="eastAsia" w:ascii="宋体" w:hAnsi="宋体"/>
          <w:color w:val="auto"/>
          <w:spacing w:val="-4"/>
          <w:szCs w:val="21"/>
          <w:highlight w:val="none"/>
        </w:rPr>
        <w:t>中国政府采购网</w:t>
      </w:r>
      <w:r>
        <w:rPr>
          <w:rFonts w:hint="eastAsia"/>
          <w:color w:val="auto"/>
          <w:spacing w:val="-4"/>
          <w:szCs w:val="21"/>
          <w:highlight w:val="none"/>
        </w:rPr>
        <w:t>、广西壮族自治区政府采购网、广西招标网</w:t>
      </w:r>
    </w:p>
    <w:p>
      <w:pPr>
        <w:keepNext w:val="0"/>
        <w:keepLines w:val="0"/>
        <w:pageBreakBefore w:val="0"/>
        <w:kinsoku/>
        <w:wordWrap/>
        <w:overflowPunct/>
        <w:topLinePunct w:val="0"/>
        <w:autoSpaceDE/>
        <w:autoSpaceDN/>
        <w:bidi w:val="0"/>
        <w:adjustRightInd/>
        <w:spacing w:line="400" w:lineRule="exact"/>
        <w:textAlignment w:val="auto"/>
        <w:rPr>
          <w:rFonts w:ascii="宋体" w:hAnsi="宋体"/>
          <w:b/>
          <w:color w:val="auto"/>
          <w:spacing w:val="-4"/>
          <w:szCs w:val="21"/>
          <w:highlight w:val="none"/>
        </w:rPr>
      </w:pPr>
      <w:r>
        <w:rPr>
          <w:rFonts w:hint="eastAsia" w:ascii="宋体" w:hAnsi="宋体"/>
          <w:b/>
          <w:color w:val="auto"/>
          <w:spacing w:val="-4"/>
          <w:szCs w:val="21"/>
          <w:highlight w:val="none"/>
        </w:rPr>
        <w:t>十三、采购代理机构名称、地址和联系方式：</w:t>
      </w:r>
    </w:p>
    <w:p>
      <w:pPr>
        <w:keepNext w:val="0"/>
        <w:keepLines w:val="0"/>
        <w:pageBreakBefore w:val="0"/>
        <w:kinsoku/>
        <w:wordWrap/>
        <w:overflowPunct/>
        <w:topLinePunct w:val="0"/>
        <w:autoSpaceDE/>
        <w:autoSpaceDN/>
        <w:bidi w:val="0"/>
        <w:adjustRightInd/>
        <w:spacing w:line="400" w:lineRule="exact"/>
        <w:ind w:firstLine="401" w:firstLineChars="199"/>
        <w:textAlignment w:val="auto"/>
        <w:rPr>
          <w:rFonts w:ascii="宋体" w:hAnsi="宋体"/>
          <w:color w:val="auto"/>
          <w:spacing w:val="-4"/>
          <w:szCs w:val="21"/>
          <w:highlight w:val="none"/>
        </w:rPr>
      </w:pPr>
      <w:r>
        <w:rPr>
          <w:rFonts w:hint="eastAsia" w:ascii="宋体" w:hAnsi="宋体"/>
          <w:color w:val="auto"/>
          <w:spacing w:val="-4"/>
          <w:szCs w:val="21"/>
          <w:highlight w:val="none"/>
        </w:rPr>
        <w:t>名    称：广西建设工程机电设备招标中心有限公司</w:t>
      </w:r>
    </w:p>
    <w:p>
      <w:pPr>
        <w:keepNext w:val="0"/>
        <w:keepLines w:val="0"/>
        <w:pageBreakBefore w:val="0"/>
        <w:kinsoku/>
        <w:wordWrap/>
        <w:overflowPunct/>
        <w:topLinePunct w:val="0"/>
        <w:autoSpaceDE/>
        <w:autoSpaceDN/>
        <w:bidi w:val="0"/>
        <w:adjustRightInd/>
        <w:spacing w:line="400" w:lineRule="exact"/>
        <w:ind w:firstLine="401" w:firstLineChars="199"/>
        <w:textAlignment w:val="auto"/>
        <w:rPr>
          <w:rFonts w:ascii="宋体" w:hAnsi="宋体"/>
          <w:color w:val="auto"/>
          <w:spacing w:val="-4"/>
          <w:szCs w:val="21"/>
          <w:highlight w:val="none"/>
        </w:rPr>
      </w:pPr>
      <w:r>
        <w:rPr>
          <w:rFonts w:hint="eastAsia" w:ascii="宋体" w:hAnsi="宋体"/>
          <w:color w:val="auto"/>
          <w:spacing w:val="-4"/>
          <w:szCs w:val="21"/>
          <w:highlight w:val="none"/>
        </w:rPr>
        <w:t>地    址：南宁市纬武路165号</w:t>
      </w:r>
    </w:p>
    <w:p>
      <w:pPr>
        <w:keepNext w:val="0"/>
        <w:keepLines w:val="0"/>
        <w:pageBreakBefore w:val="0"/>
        <w:kinsoku/>
        <w:wordWrap/>
        <w:overflowPunct/>
        <w:topLinePunct w:val="0"/>
        <w:autoSpaceDE/>
        <w:autoSpaceDN/>
        <w:bidi w:val="0"/>
        <w:adjustRightInd/>
        <w:spacing w:line="400" w:lineRule="exact"/>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联 系 人：吴兴红   联系电话：0771-280765</w:t>
      </w:r>
      <w:r>
        <w:rPr>
          <w:rFonts w:hint="eastAsia" w:ascii="宋体" w:hAnsi="宋体"/>
          <w:color w:val="auto"/>
          <w:spacing w:val="-4"/>
          <w:szCs w:val="21"/>
          <w:highlight w:val="none"/>
        </w:rPr>
        <w:t xml:space="preserve">9 </w:t>
      </w:r>
    </w:p>
    <w:p>
      <w:pPr>
        <w:keepNext w:val="0"/>
        <w:keepLines w:val="0"/>
        <w:pageBreakBefore w:val="0"/>
        <w:kinsoku/>
        <w:wordWrap/>
        <w:overflowPunct/>
        <w:topLinePunct w:val="0"/>
        <w:autoSpaceDE/>
        <w:autoSpaceDN/>
        <w:bidi w:val="0"/>
        <w:adjustRightInd/>
        <w:spacing w:line="400" w:lineRule="exact"/>
        <w:textAlignment w:val="auto"/>
        <w:rPr>
          <w:rFonts w:ascii="宋体" w:hAnsi="宋体"/>
          <w:b/>
          <w:color w:val="auto"/>
          <w:spacing w:val="-4"/>
          <w:szCs w:val="21"/>
          <w:highlight w:val="none"/>
        </w:rPr>
      </w:pPr>
      <w:r>
        <w:rPr>
          <w:rFonts w:hint="eastAsia" w:ascii="宋体" w:hAnsi="宋体"/>
          <w:b/>
          <w:color w:val="auto"/>
          <w:spacing w:val="-4"/>
          <w:szCs w:val="21"/>
          <w:highlight w:val="none"/>
        </w:rPr>
        <w:t>十四、采购单位名称、地址和联系方式：</w:t>
      </w:r>
    </w:p>
    <w:p>
      <w:pPr>
        <w:keepNext w:val="0"/>
        <w:keepLines w:val="0"/>
        <w:pageBreakBefore w:val="0"/>
        <w:kinsoku/>
        <w:wordWrap/>
        <w:overflowPunct/>
        <w:topLinePunct w:val="0"/>
        <w:autoSpaceDE/>
        <w:autoSpaceDN/>
        <w:bidi w:val="0"/>
        <w:adjustRightInd/>
        <w:spacing w:line="400" w:lineRule="exact"/>
        <w:ind w:firstLine="399" w:firstLineChars="198"/>
        <w:textAlignment w:val="auto"/>
        <w:rPr>
          <w:rFonts w:ascii="宋体" w:hAnsi="宋体"/>
          <w:color w:val="auto"/>
          <w:spacing w:val="-4"/>
          <w:szCs w:val="21"/>
          <w:highlight w:val="none"/>
        </w:rPr>
      </w:pPr>
      <w:r>
        <w:rPr>
          <w:rFonts w:hint="eastAsia" w:ascii="宋体" w:hAnsi="宋体"/>
          <w:color w:val="auto"/>
          <w:spacing w:val="-4"/>
          <w:szCs w:val="21"/>
          <w:highlight w:val="none"/>
        </w:rPr>
        <w:t>名  称：广西壮族自治区大数据发展局</w:t>
      </w:r>
    </w:p>
    <w:p>
      <w:pPr>
        <w:keepNext w:val="0"/>
        <w:keepLines w:val="0"/>
        <w:pageBreakBefore w:val="0"/>
        <w:kinsoku/>
        <w:wordWrap/>
        <w:overflowPunct/>
        <w:topLinePunct w:val="0"/>
        <w:autoSpaceDE/>
        <w:autoSpaceDN/>
        <w:bidi w:val="0"/>
        <w:adjustRightInd/>
        <w:spacing w:line="400" w:lineRule="exact"/>
        <w:ind w:firstLine="399" w:firstLineChars="198"/>
        <w:textAlignment w:val="auto"/>
        <w:rPr>
          <w:rFonts w:ascii="宋体" w:hAnsi="宋体"/>
          <w:color w:val="auto"/>
          <w:spacing w:val="-4"/>
          <w:szCs w:val="21"/>
          <w:highlight w:val="none"/>
        </w:rPr>
      </w:pPr>
      <w:r>
        <w:rPr>
          <w:rFonts w:hint="eastAsia" w:ascii="宋体" w:hAnsi="宋体"/>
          <w:color w:val="auto"/>
          <w:spacing w:val="-4"/>
          <w:szCs w:val="21"/>
          <w:highlight w:val="none"/>
        </w:rPr>
        <w:t>地  址： 南宁市良庆区体强路18号</w:t>
      </w:r>
    </w:p>
    <w:p>
      <w:pPr>
        <w:keepNext w:val="0"/>
        <w:keepLines w:val="0"/>
        <w:pageBreakBefore w:val="0"/>
        <w:kinsoku/>
        <w:wordWrap/>
        <w:overflowPunct/>
        <w:topLinePunct w:val="0"/>
        <w:autoSpaceDE/>
        <w:autoSpaceDN/>
        <w:bidi w:val="0"/>
        <w:adjustRightInd/>
        <w:spacing w:line="400" w:lineRule="exact"/>
        <w:ind w:firstLine="399" w:firstLineChars="198"/>
        <w:textAlignment w:val="auto"/>
        <w:rPr>
          <w:rFonts w:ascii="宋体" w:hAnsi="宋体"/>
          <w:color w:val="auto"/>
          <w:szCs w:val="21"/>
          <w:highlight w:val="none"/>
        </w:rPr>
      </w:pPr>
      <w:r>
        <w:rPr>
          <w:rFonts w:hint="eastAsia" w:ascii="宋体" w:hAnsi="宋体"/>
          <w:color w:val="auto"/>
          <w:spacing w:val="-4"/>
          <w:szCs w:val="21"/>
          <w:highlight w:val="none"/>
        </w:rPr>
        <w:t>联系人：钱坤、唐秀峰       联系电话：0771-6116939、0771-6116900</w:t>
      </w:r>
    </w:p>
    <w:p>
      <w:pPr>
        <w:keepNext w:val="0"/>
        <w:keepLines w:val="0"/>
        <w:pageBreakBefore w:val="0"/>
        <w:kinsoku/>
        <w:wordWrap/>
        <w:overflowPunct/>
        <w:topLinePunct w:val="0"/>
        <w:autoSpaceDE/>
        <w:autoSpaceDN/>
        <w:bidi w:val="0"/>
        <w:adjustRightInd/>
        <w:spacing w:line="400" w:lineRule="exact"/>
        <w:textAlignment w:val="auto"/>
        <w:rPr>
          <w:rFonts w:ascii="宋体" w:hAnsi="宋体" w:cs="宋体"/>
          <w:color w:val="auto"/>
          <w:szCs w:val="21"/>
          <w:highlight w:val="none"/>
        </w:rPr>
      </w:pPr>
      <w:r>
        <w:rPr>
          <w:rFonts w:hint="eastAsia" w:ascii="宋体" w:hAnsi="宋体" w:cs="宋体"/>
          <w:b/>
          <w:color w:val="auto"/>
          <w:kern w:val="0"/>
          <w:szCs w:val="21"/>
          <w:highlight w:val="none"/>
        </w:rPr>
        <w:t>十五、 政府采购行政监管投诉受理部门：</w:t>
      </w:r>
      <w:r>
        <w:rPr>
          <w:rFonts w:hint="eastAsia" w:ascii="宋体" w:hAnsi="宋体" w:cs="宋体"/>
          <w:color w:val="auto"/>
          <w:kern w:val="0"/>
          <w:szCs w:val="21"/>
          <w:highlight w:val="none"/>
        </w:rPr>
        <w:t>广西壮族自治区政府采购监督管理办公室，0771-5331544</w:t>
      </w:r>
    </w:p>
    <w:p>
      <w:pPr>
        <w:keepNext w:val="0"/>
        <w:keepLines w:val="0"/>
        <w:pageBreakBefore w:val="0"/>
        <w:kinsoku/>
        <w:wordWrap/>
        <w:overflowPunct/>
        <w:topLinePunct w:val="0"/>
        <w:autoSpaceDE/>
        <w:autoSpaceDN/>
        <w:bidi w:val="0"/>
        <w:adjustRightInd/>
        <w:spacing w:line="400" w:lineRule="exact"/>
        <w:jc w:val="right"/>
        <w:textAlignment w:val="auto"/>
        <w:rPr>
          <w:rFonts w:ascii="宋体" w:hAnsi="宋体" w:cs="宋体"/>
          <w:color w:val="auto"/>
          <w:szCs w:val="21"/>
          <w:highlight w:val="none"/>
        </w:rPr>
      </w:pPr>
    </w:p>
    <w:p>
      <w:pPr>
        <w:keepNext w:val="0"/>
        <w:keepLines w:val="0"/>
        <w:pageBreakBefore w:val="0"/>
        <w:kinsoku/>
        <w:wordWrap/>
        <w:overflowPunct/>
        <w:topLinePunct w:val="0"/>
        <w:autoSpaceDE/>
        <w:autoSpaceDN/>
        <w:bidi w:val="0"/>
        <w:adjustRightInd/>
        <w:spacing w:line="400" w:lineRule="exact"/>
        <w:jc w:val="both"/>
        <w:textAlignment w:val="auto"/>
        <w:rPr>
          <w:rFonts w:ascii="宋体" w:hAnsi="宋体" w:cs="宋体"/>
          <w:color w:val="auto"/>
          <w:szCs w:val="21"/>
          <w:highlight w:val="none"/>
        </w:rPr>
      </w:pPr>
    </w:p>
    <w:p>
      <w:pPr>
        <w:keepNext w:val="0"/>
        <w:keepLines w:val="0"/>
        <w:pageBreakBefore w:val="0"/>
        <w:kinsoku/>
        <w:wordWrap/>
        <w:overflowPunct/>
        <w:topLinePunct w:val="0"/>
        <w:autoSpaceDE/>
        <w:autoSpaceDN/>
        <w:bidi w:val="0"/>
        <w:adjustRightInd/>
        <w:spacing w:line="400" w:lineRule="exact"/>
        <w:jc w:val="right"/>
        <w:textAlignment w:val="auto"/>
        <w:rPr>
          <w:rFonts w:ascii="宋体" w:hAnsi="宋体" w:cs="宋体"/>
          <w:color w:val="auto"/>
          <w:szCs w:val="21"/>
          <w:highlight w:val="none"/>
        </w:rPr>
      </w:pPr>
      <w:r>
        <w:rPr>
          <w:rFonts w:hint="eastAsia" w:ascii="宋体" w:hAnsi="宋体" w:cs="宋体"/>
          <w:color w:val="auto"/>
          <w:szCs w:val="21"/>
          <w:highlight w:val="none"/>
        </w:rPr>
        <w:t>采 购 单 位</w:t>
      </w:r>
      <w:r>
        <w:rPr>
          <w:rFonts w:hint="eastAsia" w:ascii="宋体" w:hAnsi="宋体"/>
          <w:color w:val="auto"/>
          <w:spacing w:val="-4"/>
          <w:szCs w:val="21"/>
          <w:highlight w:val="none"/>
        </w:rPr>
        <w:t>：广西壮族自治区大数据发展局</w:t>
      </w:r>
    </w:p>
    <w:p>
      <w:pPr>
        <w:keepNext w:val="0"/>
        <w:keepLines w:val="0"/>
        <w:pageBreakBefore w:val="0"/>
        <w:kinsoku/>
        <w:wordWrap/>
        <w:overflowPunct/>
        <w:topLinePunct w:val="0"/>
        <w:autoSpaceDE/>
        <w:autoSpaceDN/>
        <w:bidi w:val="0"/>
        <w:adjustRightInd/>
        <w:spacing w:line="400" w:lineRule="exact"/>
        <w:jc w:val="right"/>
        <w:textAlignment w:val="auto"/>
        <w:rPr>
          <w:rFonts w:ascii="宋体" w:hAnsi="宋体"/>
          <w:color w:val="auto"/>
          <w:spacing w:val="-4"/>
          <w:szCs w:val="21"/>
          <w:highlight w:val="none"/>
        </w:rPr>
      </w:pPr>
      <w:r>
        <w:rPr>
          <w:rFonts w:hint="eastAsia" w:ascii="宋体" w:hAnsi="宋体"/>
          <w:color w:val="auto"/>
          <w:spacing w:val="-4"/>
          <w:szCs w:val="21"/>
          <w:highlight w:val="none"/>
        </w:rPr>
        <w:t>采购代理机构：广西建设工程机电设备招标中心有限公司</w:t>
      </w:r>
    </w:p>
    <w:p>
      <w:pPr>
        <w:keepNext w:val="0"/>
        <w:keepLines w:val="0"/>
        <w:pageBreakBefore w:val="0"/>
        <w:kinsoku/>
        <w:wordWrap/>
        <w:overflowPunct/>
        <w:topLinePunct w:val="0"/>
        <w:autoSpaceDE/>
        <w:autoSpaceDN/>
        <w:bidi w:val="0"/>
        <w:adjustRightInd/>
        <w:spacing w:line="400" w:lineRule="exact"/>
        <w:ind w:right="380"/>
        <w:jc w:val="right"/>
        <w:textAlignment w:val="auto"/>
        <w:rPr>
          <w:color w:val="auto"/>
          <w:highlight w:val="none"/>
        </w:rPr>
      </w:pPr>
      <w:r>
        <w:rPr>
          <w:rFonts w:hint="eastAsia" w:ascii="宋体" w:hAnsi="宋体"/>
          <w:color w:val="auto"/>
          <w:szCs w:val="21"/>
          <w:highlight w:val="none"/>
        </w:rPr>
        <w:t>2020年</w:t>
      </w:r>
      <w:r>
        <w:rPr>
          <w:rFonts w:hint="eastAsia" w:ascii="宋体" w:hAnsi="宋体"/>
          <w:color w:val="auto"/>
          <w:szCs w:val="21"/>
          <w:highlight w:val="none"/>
          <w:lang w:val="en-US" w:eastAsia="zh-CN"/>
        </w:rPr>
        <w:t xml:space="preserve"> 2</w:t>
      </w:r>
      <w:r>
        <w:rPr>
          <w:rFonts w:hint="eastAsia" w:ascii="宋体" w:hAnsi="宋体"/>
          <w:color w:val="auto"/>
          <w:szCs w:val="21"/>
          <w:highlight w:val="none"/>
        </w:rPr>
        <w:t xml:space="preserve">月 </w:t>
      </w:r>
      <w:r>
        <w:rPr>
          <w:rFonts w:hint="eastAsia" w:ascii="宋体" w:hAnsi="宋体"/>
          <w:color w:val="auto"/>
          <w:szCs w:val="21"/>
          <w:highlight w:val="none"/>
          <w:lang w:val="en-US" w:eastAsia="zh-CN"/>
        </w:rPr>
        <w:t>6</w:t>
      </w:r>
      <w:r>
        <w:rPr>
          <w:rFonts w:hint="eastAsia" w:ascii="宋体" w:hAnsi="宋体"/>
          <w:color w:val="auto"/>
          <w:szCs w:val="21"/>
          <w:highlight w:val="none"/>
        </w:rPr>
        <w:t>日</w:t>
      </w:r>
      <w:bookmarkEnd w:id="4"/>
      <w:bookmarkEnd w:id="5"/>
      <w:bookmarkEnd w:id="6"/>
      <w:bookmarkEnd w:id="7"/>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9"/>
        <w:snapToGrid w:val="0"/>
        <w:jc w:val="center"/>
        <w:outlineLvl w:val="0"/>
        <w:rPr>
          <w:rFonts w:hAnsi="宋体"/>
          <w:b/>
          <w:color w:val="auto"/>
          <w:sz w:val="44"/>
          <w:szCs w:val="44"/>
          <w:highlight w:val="none"/>
        </w:rPr>
      </w:pPr>
      <w:bookmarkStart w:id="8" w:name="_Toc533546838"/>
      <w:bookmarkStart w:id="9" w:name="_Toc7051"/>
      <w:r>
        <w:rPr>
          <w:rFonts w:hint="eastAsia" w:hAnsi="宋体"/>
          <w:b/>
          <w:color w:val="auto"/>
          <w:sz w:val="44"/>
          <w:szCs w:val="44"/>
          <w:highlight w:val="none"/>
        </w:rPr>
        <w:t>第二章 采购需求</w:t>
      </w:r>
      <w:bookmarkEnd w:id="8"/>
      <w:bookmarkEnd w:id="9"/>
    </w:p>
    <w:p>
      <w:pPr>
        <w:widowControl/>
        <w:jc w:val="left"/>
        <w:rPr>
          <w:rFonts w:ascii="宋体" w:hAnsi="宋体" w:cs="Courier New"/>
          <w:b/>
          <w:color w:val="auto"/>
          <w:sz w:val="44"/>
          <w:szCs w:val="44"/>
          <w:highlight w:val="none"/>
        </w:rPr>
      </w:pPr>
      <w:r>
        <w:rPr>
          <w:rFonts w:hAnsi="宋体"/>
          <w:b/>
          <w:color w:val="auto"/>
          <w:sz w:val="44"/>
          <w:szCs w:val="44"/>
          <w:highlight w:val="none"/>
        </w:rPr>
        <w:br w:type="page"/>
      </w:r>
    </w:p>
    <w:p>
      <w:pPr>
        <w:rPr>
          <w:color w:val="auto"/>
          <w:highlight w:val="none"/>
        </w:rPr>
      </w:pPr>
    </w:p>
    <w:p>
      <w:pPr>
        <w:pStyle w:val="159"/>
        <w:numPr>
          <w:ilvl w:val="0"/>
          <w:numId w:val="0"/>
        </w:numPr>
        <w:spacing w:after="0"/>
        <w:rPr>
          <w:color w:val="auto"/>
          <w:sz w:val="28"/>
          <w:highlight w:val="none"/>
          <w:lang w:eastAsia="zh-CN"/>
        </w:rPr>
      </w:pPr>
      <w:bookmarkStart w:id="10" w:name="_Toc533546839"/>
      <w:bookmarkStart w:id="11" w:name="_Toc11025"/>
      <w:bookmarkStart w:id="12" w:name="_Toc22280"/>
      <w:bookmarkStart w:id="13" w:name="_Toc22735778"/>
      <w:bookmarkStart w:id="14" w:name="_Toc4187"/>
      <w:r>
        <w:rPr>
          <w:color w:val="auto"/>
          <w:sz w:val="28"/>
          <w:highlight w:val="none"/>
          <w:lang w:eastAsia="zh-CN"/>
        </w:rPr>
        <w:t xml:space="preserve">2.1 </w:t>
      </w:r>
      <w:r>
        <w:rPr>
          <w:rFonts w:hint="eastAsia"/>
          <w:color w:val="auto"/>
          <w:sz w:val="28"/>
          <w:highlight w:val="none"/>
          <w:lang w:eastAsia="zh-CN"/>
        </w:rPr>
        <w:t>采购需求一览表</w:t>
      </w:r>
      <w:bookmarkEnd w:id="10"/>
      <w:bookmarkEnd w:id="11"/>
      <w:bookmarkEnd w:id="12"/>
      <w:bookmarkEnd w:id="13"/>
      <w:bookmarkEnd w:id="14"/>
    </w:p>
    <w:p>
      <w:pPr>
        <w:ind w:firstLine="431"/>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说明：</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1、投标人的产品实质上应相当于或优于本需求中的技术参数及性能（配置）要求。</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2、本需求中的“技术参数及性能（配置）要求”不明确或有误的，投标人请以详细、正确的技术参数性能（配置）同时填写投标报价表和技术规格响应表。</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3、凡在“技术参数及性能（配置）要求”中表述为“标配”或“标准配置”的设备，投标人应在投标报价明细表中将其标配参数详细列明。</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4、招标文件中所要求提供的证明材料，如为英文文本的请在投标文件中提供中文翻译文本。</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投标人的投标货物中包含以上的必须使用政府强制采购的节能产品(必须在有效期内)，在投标文件中必须提供节能产品认证证书，否则相应投标无效。</w:t>
      </w:r>
    </w:p>
    <w:p>
      <w:pPr>
        <w:pStyle w:val="2"/>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snapToGrid w:val="0"/>
          <w:color w:val="auto"/>
          <w:highlight w:val="none"/>
        </w:rPr>
        <w:t>6、本货物需求一览表中标注★号的内容为实质性要求和条件，必须满足，否则作无效投标处理。</w:t>
      </w:r>
    </w:p>
    <w:p>
      <w:pPr>
        <w:pStyle w:val="4"/>
        <w:keepNext w:val="0"/>
        <w:keepLines w:val="0"/>
        <w:tabs>
          <w:tab w:val="left" w:pos="560"/>
        </w:tabs>
        <w:spacing w:line="570" w:lineRule="exact"/>
        <w:jc w:val="center"/>
        <w:rPr>
          <w:rFonts w:ascii="方正小标宋_GBK" w:hAnsi="Times New Roman" w:eastAsia="方正小标宋_GBK"/>
          <w:snapToGrid w:val="0"/>
          <w:color w:val="auto"/>
          <w:sz w:val="44"/>
          <w:szCs w:val="44"/>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adjustRightInd w:val="0"/>
        <w:snapToGrid w:val="0"/>
        <w:spacing w:line="570" w:lineRule="exact"/>
        <w:rPr>
          <w:rFonts w:asciiTheme="minorEastAsia" w:hAnsiTheme="minorEastAsia" w:eastAsiaTheme="minorEastAsia" w:cstheme="minorEastAsia"/>
          <w:snapToGrid w:val="0"/>
          <w:color w:val="auto"/>
          <w:szCs w:val="21"/>
          <w:highlight w:val="none"/>
        </w:rPr>
      </w:pPr>
    </w:p>
    <w:tbl>
      <w:tblPr>
        <w:tblStyle w:val="5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463"/>
        <w:gridCol w:w="812"/>
        <w:gridCol w:w="462"/>
        <w:gridCol w:w="462"/>
        <w:gridCol w:w="6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bookmarkStart w:id="15" w:name="OLE_LINK2"/>
            <w:r>
              <w:rPr>
                <w:rFonts w:hint="eastAsia" w:asciiTheme="minorEastAsia" w:hAnsiTheme="minorEastAsia" w:eastAsiaTheme="minorEastAsia" w:cstheme="minorEastAsia"/>
                <w:snapToGrid w:val="0"/>
                <w:color w:val="auto"/>
                <w:szCs w:val="21"/>
                <w:highlight w:val="none"/>
              </w:rPr>
              <w:t>项号</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货物名称</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数量</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单位</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072"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b/>
                <w:snapToGrid w:val="0"/>
                <w:color w:val="auto"/>
                <w:szCs w:val="21"/>
                <w:highlight w:val="none"/>
              </w:rPr>
            </w:pPr>
            <w:r>
              <w:rPr>
                <w:rFonts w:hint="eastAsia" w:asciiTheme="minorEastAsia" w:hAnsiTheme="minorEastAsia" w:eastAsiaTheme="minorEastAsia" w:cstheme="minorEastAsia"/>
                <w:b/>
                <w:snapToGrid w:val="0"/>
                <w:color w:val="auto"/>
                <w:szCs w:val="21"/>
                <w:highlight w:val="none"/>
              </w:rPr>
              <w:t>一、广西政府网站集约化平台建设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集约化工作门户</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构建各级政府、直属部门、下级部门、事业单位共同使用的统一工作门户平台，整合各部门现有业务系统的访问控制，通过单点登录实现对各业务工作平台的集中访问，登录用户通过统一的门户可以在一个桌面上进行各项业务办理、处理和审批操作，减少系统使用复杂度。同时门户还提供了各类动态信息、信息简报、通知通告等汇总统计显示，以及各类业务信息的播报。</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1.单点登录。实现自动匹配，保证用户仅在门户系统进行一次登录即可完成本次访问对所有系统的登录认证操作，并实现用户在各系统间的无缝转接、漫游和状态保持。</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工作台。根据登录用户类型、权限展示专属工作台页面，涵盖日常工作处理、政务服务事项管理、用户服务体验监测、电子监督管理、大数据决策分析、网上服务能力评估等工作板块，用户可设置个人工作台页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3.互动交流。提供全体用户进行互动交流的平台，包括交流论坛、留言簿、在线调查、征求意见及反馈、无障碍浏览及互动、监管等功能。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4.新闻中心。专为政府网站集约化平台内部用户打造新闻分享平台，包括要闻、公告、专题、政策、热点等主要新闻板块。</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5.知识库。用户可查看平台所发布关于平台使用、服务订购、网站建设规范等相关知识，也可主动分享个人知识内容、资料等，知识库管理员可对知识库内容进行审核和日常维护，支持知识库的统计分析功能。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6.资源库。用户可随时到资源库中查找资源，包括数据资源、图片资源、音视频资源、文档资源等为日常工作提供帮助，用户也可主动分享个人资源到资源库，资源库管理员可对系统资源进行审核和日常维护。</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★7.网站授权不少于2000个。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信息资源管理系统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构建分类科学、集中规范、共享共用的统一信息资源库，对政府网站的信息资源以及对接应用系统数据库中的资源进行统一管理，实现统一采集、统一分类、统一元数据、统一数据格式、统一调用、统一监管，实时掌握资源、系统运行概况，对信息资源进行全生命周期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1.信息资源采集。统一信息资源库应提供批量资源获取的能力，支持网页采集、数据库采集、数据接口对接、多种文件格式批量导入等资源获取方式。</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2.信息资源存储。支持对结构化数据存储、非结构化数据存储和文件存储，支持对海量数据、异构数据的分布式存储。可根据数据规模灵活集群扩展，有效解决数据量与数据存取效率问题。</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3.资源库管理。支持库管理、目录管理、分类管理、标签管理、同步策略、元数据管理、元数据维护、导入导出等操作。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 信息资源管理。支持应用接入管理、资源目录管理、资源格式管理、资源维度管理、资源浏览、检索及统计分析等。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资源规范管理。按照集约化网站考核标准，规范网站目录设定、资源格式设定，构建各单位各部门获取标准化栏目体系，有效实现对统一资源目录体系的动态更新与管理，实现对各级政府网站数据资源的自动汇聚和按需共享。</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接口管理。提供应用接入接口、目录同步接口、资源同步接口、消息服务接口实现资源库与各单位、各部门自建的第三方应用系统对接功能，实现与各单位网站目录资源的同步推送，满足信息一次编辑，PC端、客户端、微信端多渠道多样式发布的需要，实现数据资源“一次发布，多屏展示”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数据资源池。将动态信息数据、政府信息公开数据、便民服务数据、行政审批数据等信息资源，各单位使用的公共服务应用产生的应用资源，注册用户资源、实名用户资源、用户行为资源等用户资源接入统一资源库进行入库，并可按照相关的开放标准共享给各单位使用。</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8.统计分析。需提供对海量信息资源进行多种维度的数据统计和智能分析，包括总量统计、排行榜统计、占比分析、趋势分析等功能，并通过地图、雷达图、条形图、折线图、表格等可视化界面进行展示。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9.日志管理。记录资源库内所有操作日志，并对操作日志回看、查询、安全审计。支持多条件组合查询自动发布和手工发布的发布日志信息。</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10.回收站。支持已删除资源在回收站中的搜索查找，可将资源恢复到原存放目录。</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11.接口服务。外部系统通过信息资源库系统提供的资源搜索接口、资源维护管理接口服务，可实现查询检索、使用信息资源，可新增、修改和维护信息资源，可以导入和导出信息资源，可对每个接口服务进行动态授权管理。</w:t>
            </w:r>
          </w:p>
          <w:p>
            <w:pPr>
              <w:adjustRightInd w:val="0"/>
              <w:snapToGrid w:val="0"/>
              <w:spacing w:line="280" w:lineRule="exact"/>
              <w:rPr>
                <w:rFonts w:asciiTheme="minorEastAsia" w:hAnsiTheme="minorEastAsia" w:eastAsiaTheme="minorEastAsia" w:cstheme="minorEastAsia"/>
                <w:snapToGrid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网站群管理系统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提供从内容采集、创建、管理、传递、发布、共享、呈送、纠错、归档等信息全生命周期过程中所需的各项功能，支持统一身份认证、站群权限体系、增量多线程更新、多站点加密发布等功能，协同确保数据的规模性、可靠性和安全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发布管理。采用多站点内容管理模式，包括分布式采集、集中式管理发布等。提供标准栏目同步管理为各级各部门网站构建时提供基础。提供信息报送、编辑审核、撤回提醒、可视化信息编辑、信息站群推送、信息智能提取推送等功能。提供可根据需要实时对显示信息页面的样式、界面进行配置管理的功能。提供对部门、人员和栏目的信息加载条数进行统计和报表的生成、下载。实现移动端内容集约化发布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可视化专题制作。提供可视化、拖拽式专题制作功能，提供背景风格、框架布局、栏目导航、新闻列表、图片播放、视频播放等丰富全面的可视化专题制作组件，对专题模块在标题、背景、样式、代码方面提供完善的个性参数设置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3.信息报送。包括信息采编、报送审核、信息上报、采用审批、报送统计、报送人员管理、催办提醒、通知管理及相应的考核等。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4.归档管理。把需要归档的站点、栏目、稿件、网页、资源等内容，从生产库移动到归档库，管理信息内容的历史版本资料，包括在线归档、离线归档。归档后的页面和信息要能正常访问。</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5.音视频管理。对音视频资源进行上传发布及分类存储管理，供网民浏览访问。</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6.智能表单。对网站上基于表单形式的网上调查、网上咨询、网上留言、意见征集等应用，使用智能表单进行自助设计定制。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政府信息公开系统。分为主动公开和依申请公开系统。主动公开系统具有对信息公开专栏的站点及栏目管理、公开信息的采集编发等功能。依申请公开系统包括网页申请、受理答复、归档登记、综合查询及导出、撤销与作废、督查督办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域名管理。根据《国务院办公厅关于加强政府网站域名管理的通知（国办函〔2018〕55号）》的要求，对政府网站域名命名规则进行规范管理。对全区网站开设、整合、迁移、退出的进行动态审批和备案管理，可实现域名智能识别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集约化应用开放系统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将不同机构单位、不同标准、不同渠道的各类信息和服务功能经过聚合、转换，封装成统一标准、统一管理、统一展现的应用单元或服务接口，使之能够在不同展现渠道调用、发布。对政府网站集约化平台软件产品、SaaS云服务、PaaS云服务、APP、组件、接口等应用（服务）统一进行应用注册申请、应用审核、应用授权、应用监控及统计分析等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1.应用注册。实现注册申请、应用审核、审核管理等功能。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2.应用授权。实现使用申请、应用授权、用户授权等功能。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3.应用监控。实现应用运行情况、应用授权情况、应用使用情况的监控，支持网络通信、服务器主机、平台软件、数据库操作、应用系统、内网区域用户机等方面的安全审计。</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4.统计分析。实现应用热点分析、厂家分布分析、应用排名分析、应用评价排名等功能。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应用开放平台后台。多系统支持服务，一次性开发，多系统发布。具备标准规范应用接入，标准化组件库服务，提供统一的政务服务应用接入服务、应用接入全流程管理、应用测试服务、应用多维度管理、运行分析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互动交流系统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提供基于全新集约化架构下的个性化互动服务，通过统一的管理平台建立各部门联动的在线交互服务，满足公众多层次的互动服务需求。同时，与广西12345平台构建上下联动的互动交流体系。</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1.留言评论。实现评论设置、留言评论、评价、审核、发布、答复、删除、统计等功能。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2.在线访谈。实现图文信息直播、网络视音频直播、互动交流应用等，支持访谈角色管理、访谈主题管理、在线访谈活动的管理与控制、内容的审核与管理、视频直播、图文直播、往期回顾等功能。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 征集调查。主题管理、征集设计、统计分析功能。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 咨询投诉。构建统一的咨询投诉渠道，实现各类信件网上受理、办理、督办和查询等。支持权限管理、数据统计、流程定义、问题处理、前台管理等功能。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 领导信箱。在线信箱，支持在线写信、在线反馈、信件选登。信件协同处理，支持信件分类、信件处理、信件转发、查询统计。</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 互动交流平台后台功能。办件问题多渠道提交、后台业务办理、办结件前台反馈、业务配置、数据调用、后台查询统计功能支持等。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9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9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智能服务系统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9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9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 统一智能搜索系统。实现全站群的智能搜索，除了能提供传统的快速检索、相关度排序等功能，还需提供用户角色登记、用户兴趣自动识别、内容的语义理解、智能信息化过滤和推送等功能，支持文本、图像等搜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（1）相关推荐搜索词</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根据相关度算法自动分析出和用户搜索很相似的一系列查询内容，并在页面下方按照搜索热门度进行展示。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（2）敏感词屏蔽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针对一些敏感词汇，管理员可以通过后台管理配置，管理需要屏蔽的词汇列表，避免用户搜索到对应内容。</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（3）搜索结果置顶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根据用户搜索关键词，后台可以置顶处理需要显示的内容，系统优先显示置顶的结果后，再显示正常的搜索结果。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（4）智能纠错</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当输入错别字或错别词时，系统可以智能识别到用户想要找的信息并给出正确词汇。</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（5）拼音搜索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为了减少重复输入，系统提供拼音搜索功能，将用户输入的拼音等同于中文内容，从而提高搜索效率。</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（6）智能推荐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平台提供科学的智能推荐，相关因素有：时间、信息价值（如点击次数）、信息评价（如点赞次数）、标题、正文、网页长度、词频、词语距离等，用户可对每个参数进行权值设定来定义结果展示规则。</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（7）自定义框计算</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根据用户搜索关键词，使公众无需点击搜索结果链接跳转查看，直接在搜索结果页面即可完成所有操作，从而跳转到相应的结果界面。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（8）用户位置识别</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用户输入某一搜索词，系统会根据用户的IP自动识别用户所在地域，结合用户所在的地区列出搜索结果（该功能可在 “政务公开”、“网上办事”应用），也可取消地域识别功能。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（9）百姓体词汇搜索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百姓语言识别，用户可以通过输入百姓语言的短语或句子来进行搜索推荐相关结果。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（10）社会化搜索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主要通过用户的个性行为和群体行为来对搜索结果进行智能排序。</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（11）语音搜索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用户输入的自然语音，通过语义分析引擎解析成为机器识别的结构化数据。</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 统一智能问答系统。通过对知识库和网站海量信息资源的有机整合，依托系统对语言和专业知识处理能力，运用人机互动“对话”服务方式，通过“智能提示”和“人机交互”，创建政府网站由“自助式浏览”到“智能化关怀服务”的全新服务方式，为公众提供7*24小时不间断在线咨询服务。同时，与广西12345平台构建上下联动的在线咨询体系。</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（1）实时自动答复</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基于常见问题及答复资料，模拟在线客服人员，采用人机对话技术，实现对用户问题的实时自动回答，并结合智能推送系统，向用户提供其他相关问题。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9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9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智能服务系统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9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9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（2）提问智能提示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具有拼音联想、关键词联想、智能纠错等人性化引导用户提问的功能，用户在提问的过程中，系统将已经输入的内容自动分析给予优化补全或相关提示信息。</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（3）百姓体词库</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具备专业的政府事项的“百姓体词库”，自动识别百姓的口头用语，自动将相应的专业术语答复结果展示出来。</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（4）智能学习</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系统具备自我学习能力，自动将人工答复结果与相应问题加入智能问答知识库。</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（5）语音识别</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用户可通过点击屏幕小话筒说话，使用语音快速提问，根据语音转换，快速为用户推送问题答案。</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（6）转接人工客服</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如果配备了人工客服，网民可以直接在智能问答中连接人工客服人员，与便民热线12345无缝衔接，向客服人员进行在线咨询。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（7）与智能搜索对接</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智能问答系统可充分利用“智能搜索系统”的建设成果，对于智能问答系统无法识别的问题通过“智能搜索系统”来提供响应。</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（8）知识库管理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问答知识库：利用内容管理平台对网站海量信息进行信息资源管理，可对信息资源进行分类体系管理、信息资源标识管理、元数据管理等。对内容管理平台中的所有稿件（信息资源）进行梳理、分类、标签、标识、管理，形成问答知识库。</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2）信息资源管理：对平台中的所有稿件（即信息资源）作为管理对象，以多分类体系、元数据作为主要管理手段。</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 统一智能推送系统。通过多维度的关联计算，与用户行为分析相结合，与网站栏目相结合，对搜索结果、资源内容进行关联展示，将用户感兴趣的政府网站的信息、服务主动推送给用户。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（1）智能推送模型</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根据资源标签建立形成内容相似度，通过用户访问行为计算内容的价值，通过用户的来源、位置、资料、时间、行为等计算用户相似度。通过以上模型和数值，结合机器学习、群体推荐算法进行内容推送。</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（2）标签库管理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标签库主要包括以下功能点：信息管理人员在指定标签时，系统能自动提示其相关的标签，引导其设置规划化、可相互关联的标签；同一个标签被多个信息引用时，可以通过标签找到对应的信息，即多个信息之间通过标签建立了多维的关联；在全站搜索引擎中，增加对标签的搜索；能根据关键字自动关联标签；栏目也要能设定标签，和多维分类关联；后台信息管理人员可以为信息指定多个标签。</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（3）用户群体定位</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设定灵活的规则引擎，创建用户群组和推送规则。</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（4）系统智能推送</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系统智能推送通过用户访问行为分析系统实时监控用户访问行为，自动记录用户行为，根据标签使用、点击流分析、转换路径分析等的结果，记录用户最感兴趣的内容，根据内容相关度，实现网站的信息、服务、互动主动推送给用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（5）工作人员主动推送</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工作人员根据用户群体划分，后台主动推送信息内容给手机APP用户、手机网站用户、微信用户、市民邮箱用户等群体。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安全监测预警系统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集约化安全监测预警平台针对网站群安全提供特征性安全监测、事前监测、提前预警（信息发布前错别字、敏感词等检测预警等）、安全趋势精准分析、云监测服务等服务。</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 错别字监测。对历史稿件信息进行全站范围扫描，集中修改网页内存在的错别字，敏感词问题，实时扫描网站内新增网页错别字，敏感词问题。</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 敏感词监测。采用机器学习经典算法，依据敏感词的特点，使用多种处理模式，快速准确查找错别字敏感词。</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 信息泄密监测。主要监测网站内容有无泄露涉密信息、政府内部资料等，及时避免可能出现的违法情况或政府信誉危机。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 隐私泄露监测。主要监测网站内容有无泄露公民隐私信息，及时避免可能出现的违法情况或侵权投诉。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 网站外链监测。主要监测网站外链情况，是否有异常外链如：恶意网址，钓鱼网址、商业广告，是否是政府/公益组织/中央媒体网址。</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 敏感图片、声音、视频等监测。</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 恶意代码监测。监测网页源代码是否规范，是否含有不安全代码字段，是否被植入恶意代码等易给网站带来风险隐患的漏洞。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网站监测与评估系统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对全区政府网站及其“两微一端”运行情况进行实时监测，提供实时详尽的动态监测图表、监测报告，促进政府网站持续健康发展。开展政府网站绩效评估，多维度评估政府网站服务能力，引领政府网站向规范化、集约化、实用化和智能化发展。网站监测系统对网站进行24小时自动监测，通过自定义检查条件、检查时间为用户提供实时详尽的动态监测图表，并提供详细监测报告下载。基于全国政府网站普查指标深度优化，采用多点异地监测，跨网络全面覆盖24小时不间断自动执行监测。</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 日常监测。支持按照全部、组织单位门户、组织单位本级部门、组织单位下属单位等分类展示网站监测结果。支持以数字、图表等方式直观展示网站健康指数、问题汇总等监测结果。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 网站抽查。支持组织单位自主创建抽查任务，对选取的单位所含及以外的网站进行批量抽查。</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 预警通知。针对站点无法访问、首页不更新、栏目不更新、空白栏目、互动回应差、内容不正确等关键指标在监管过程中发现问题采用短信、微信、邮件等多种方式进行预警提醒。</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 监管数据分析。支持组织单位查看下辖各级网站数据概览、日常监测数据、网站健康状况及对比情况。</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 监测与评估报告。支持自动生成报表、评估报告（word、excel、pdf等多种格式导出）等。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运维管理系统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1.准入退出管理系统。对各级单位网站开办、关停、维护采取标准化审核管理机制，设置标准流程对各级网站统一进行管理。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（1）网站申请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网站申请包括网站开办申请、网站信息变更申请、网站临时关停申请、网站永久关停申请。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（2）申请审核</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审核员可对各租户提交的申请进行审核及编辑审核意见，审核完成后审核结果及意见系统将自动发送到申请者。</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（3）日常维护</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管理员可对网站开办申请、网站退出申请、网站信息变更申请及网站临时关停申请进行日常维护，包括网站申请材料的递交通知、网站审核意见通知、网站临时关停到期通知等通知内容发布。</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绩效考核管理系统。可根据网站类型、级别制定对应合理的考核指标标准，从网站健康、网站内容覆盖、网站功能提升、网站先进典型案例等多方面对网站建设情况进行综合考核，并最终对网站整体情况做出绩效评估并生成评估报告。</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（1）网站绩效评估</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绩效考核管理系统经过指标体系研究定制及意见征集、评估指标数据采集、网站绩效自评打分、网站绩效考核评分等阶段对政府网站绩效进行统一考核并最终生成绩效考核评估报告在政府网站集约化平台发布。功能模块有：意见征集、指标管理、任务管理、网站自评、网站考评、考核结果公布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（2）内容保障绩效评估</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内容保障绩效评估通过考评指标项选择、评估指标项权重划分、考评体系制定、数据统计等过程对下级部门及网站编辑个人绩效进行绩效考核，并最终生成单位绩效排名、个人绩效排名。功能模块有：指标库维护、考评指标体系制定、考核排名。</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3.运维监控平台。对服务器、网络、数据库、任务、预警等进行日常监控，帮助政府网站集约化平台运维人员实时掌握服务器、网络、数据库及应用系统运行情况，保障政府网站集约化平台正常运维。</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（1）服务监控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监测政府网站集约化平台各应用服务的运行状态，包括注册状态、申请情况、用户数量、运行状态、IT资源消耗等，并提供图形化展示。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（2）IT资源监控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对云平台的资源负载情况，如：磁盘使用情况、内存使用情况、CPU使用情况等进行实时监控，对磁盘空间不足、内存不足、CPU使用率过高等情况进行及时预警。</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（3）任务监控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对各应用服务中发布任务所产生的图片、文件、视频、模板等资源进行实时监控，同时对发布任务中各类资源的数据传输情况、网络占用情况及任务的平均处理时长进行实时监控。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（4）数据监控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接口使用情况监控：对政府网站集约化平台的接口数量、各接口的调用次数及各接口的运行状态进行实时监控，对接口调用出现异常或已停止工作的情况进行及时预警。</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（5）监控预警</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创建预警事件：根据阈值设置生成预警事件信息服务进入系统后台服务，并可定时执行。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用户行为分析系统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通过实时采集政府网站或政务APP在线用户行为数据，发现用户行为规律，从而客观揭示网上政务服务访问和办理过程的内在图景，洞察用户体验提升需求，为政府构建“更高效、更便捷、更智能”的政务服务提供有力数据支撑。</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1.概览。集中展示用户所关注的关键数据，进行整体汇总分析。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2.热力图。热力图以特殊高亮、数据图表形式显示用户热衷的页面区域。</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3.实时分析。对最近30分钟内数据的统计分析，通过实时访客、实时画像、实时表单、实时地域四个角度实时分析展示。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4.流量分析。从不同时间维度展示网站的访问人数和浏览量等信息。</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5.访客分析。多维度组合对用户进行细分和描述，了解用户的访问规律和喜好。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6.页面分析。对用户访问的信息公开、互动交流、办事指南等页面进行监测分析。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7.公开分析。针对政府或政务网站的公开栏目，利用采集到访客数据做专题分析。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8.互动分析。针对政府网站的互动栏目，利用采集到的用户行为数据做专门具体分析。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9.办事分析。针对“互联网+政务服务”、政府信息公开、互动交流等进行网上办理过程、表单填写体验等数据进行监测、分析和统计展示。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10.在线报告。按月统计网站用户体验行为数据并生成报告，提供报告在线预览及下载生成Word文件。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11.APP监测。对政务APP的用户和运营情况进行监测和分析，形成全平台APP应用情况全景图。</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12. 用户行为分析后台功能。包括用户行为分析、用户画像、服务使用分析、优化支撑等。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大数据分析和量化评价系统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随着政府网站集约化平台使用将积累大量的使用数据，通过数据聚类、分类、语义分析、搜索、过滤、数据标签、关联词、分词等数据挖掘手段，对政府网站集约化平台用户行为、网站内容、网站传播、领导影响力传播、舆情、政声传递、决策等进行量化分析，从而为政府网站集约化平台的优化改进提供可靠的数据支撑。</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用户行为分析功能。从访问者地理来源、访问者渠道来源、搜索引擎来源、访问者系统环境、搜索引擎可见性、用户粘度、页面访问、站内搜索等方面基于当前基于用户行为，进行量化分析，为网站改进优化提供支撑。</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 网站内容分析。按照数据标签实现自动聚类方式，对网站各类内容更新量、更新内容热度、更新内容正确性及网站内容保障性等进行分析。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 网站传播影响力分析。通过搜索引擎、网络媒体、社交媒体等多中传播途径数据进行分析，从而得出网站综合传播指数。</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4.领导影响力分析。通过搜索引擎、网络媒体、社交媒体等多中传播途径数据进行分析，从而得出网站综合传播指数，为领导影响力传播优化提高提供数据分析支撑和方向。</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舆情分析。通过对国内主流新闻网站、政府网站、论坛、微博的监测，并对信息进行统一的过滤、自动分类和处理，提供条分缕析、分门别类的舆情信息。监控广西全区相关的社会热点和负面信息，及时发现问题，为政府决策提供参考。</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 政声传递分析。通过转载量、转播路径、传播范围等对政府文件、政策、号召政声传递情况进行分析。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7.大屏展示。对用户访问行为大数据，通过统一大屏展示系统，提供对自治区政府门户网站日常维护管理、日常访问行为、常态化监测监管等各项业务进行展示。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 运营数据分析。对政府网站集约化平台的资源情况、健康情况和访问情况进行不同维度数据统计，以可视化界面展示整体业务数据统计，通过地图、雷达图、条形图、折线图、表格等方式进行展示。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政务新媒体矩阵管理</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聚合各区直单位、地市单位主要微信公众号、微博、移动端APP、短视频、头条号等，实现资源有效整合，促进媒体融合，发挥主流新媒体宣传集群优势，打造横向到底、纵向到边的新媒体舆论引导新格局。</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1.加入/退出申请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各区直单位、地市单位完成本单位新媒体终端（微信、微博、APP）的创建后，可向集约化平台申请加入自治区官方新媒体矩阵；当因业务调整需要退出矩阵的，也需要在集约化平台中提出申请。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2.审批</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集约化平台管理员接到加入申请，对新媒体的所属主体真实性、内容、功能设置进行审查，审查通过后，该申请的状态变为“待发布”。</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3.发布/下架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对于审查通过的加入申请，管理员可以在此界面进行发布操作。而对于审查通过的退出申请，则管理员可以在此界面进行下架操作。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4.新媒体矩阵分类管理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可将所有新媒体矩阵的同类型新媒体终端（微信/微博/APP）进行分类，可按“地市”、“委办局”、“重要机构”类别等进行分类，也可自定义分类。微信矩阵进行分类后，将在展现界面以不同页签的形式进行呈现，方便用户浏览。</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5.自定义新媒体</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为了更好的扩展新媒体的终端类型，允许管理员在微信、微博、APP之外，根据实际需要，自定义新媒体的终端类型（如电子报刊、专题等）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6.新媒体矩阵微信端展现</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在微信主公众号中，增加“新媒体矩阵”功能，以统一的展现界面，呈现各单位经审核加入新媒体终端内容。微信用户可以在此界面中，根据自身需要关注各单位的公众号、关注相关的官方微博以及下载相关的APP。</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7.微信矩阵PC端展示页面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在自治区政府门户网站相关板块中，增加“新媒体矩阵”页面，以统一的展现界面，呈现各单位经审核加入新媒体终端。页面按新媒体终端类型划分不同的子版块，如“微信矩阵”、“微博矩阵”、“APP矩阵”等。用户可以在矩阵版块界面中，可通过新浪微博扫一扫、微信扫一扫功能实现关注、下载和安装。</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8.后台功能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系统采用开放性系统构架，可以实现与内容管理系统、互动交流系统、业务系统等实现数据对接与业务集成。主要功能有：系统管理、应用模块、组织展示应用模块、评价体系模块、（微博、微信征集、投票）、（微博、微信管理平台）、APP集中管理、接口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9．实现与集约化内容管理平台对接。</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在数据层面，政务新媒体矩阵平台和网站平台实现数据共享，实现一遍输入多端发布的机制，保持多渠道的一致性，并且避免了增加维护人员的工作量。</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在运维管理层面，政务新媒体矩阵平台和网站平台实现用户权限的统一管理，实现对同一用户不同角色和权限的统一管理，维护操作界面统一。</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与集约化管理平台对接要求如下：</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（1）支持内容管理平台信息同时推送至微信、微博、微门户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可无缝集成内容管理系统，实现信息一次采编即可以完成多方式、多渠道的统一发布；支持网站内容管理信息平台的内容同时推送、分享至微博、微信、微门户，可无缝对接大汉微门户系统，实现在移动APP上共享微信、微博信息。</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（2）支持微博、微信内容编辑、推送（图片、视频、语音）</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微信公共账号作为信息发布和展示的创新化传播、分享平台，需要有强大的、完善的信息内容和信息素材进行支撑。系统所提供的素材管理模块，能够为该平台提供内容支撑保障，使得平台展示和分享内容能够充实，同时通过素材管理的分类维护，也使得平台展现内容能够进行规范化、多样化的展示和体现。</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（3）微博群发</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政务新媒体矩阵平台支持对多个微博账号进行集中管理及信息分享。</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（4）定时推送</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可自定义选择粉丝进行消息群发，消息类型满足：文本、图文、图片、视频、音频。使群发对象选择更自由。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政务新媒体矩阵管理</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（5）自动回复</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公众号被微信用户关注的时候，自动回复一段文本或图文。</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（6）账号维护</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成功登录后，可以在【账户设置】中修改个人属性。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（7）用户权限管理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包括机构管理、用户管理、角色管理。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（8）用户封停启用</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（9）公众号管理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政务新媒体矩阵平台支持对多个微信公众号进行集中管理，包括订阅号、服务号和企业号。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（10）同步粉丝</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可实现微信粉丝一键同步，并可与指定粉丝进行互动。</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（11）对关注账号的微信用户进行查看和管理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政务新媒体矩阵平台提供动态用户统计分析功能。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（12）便捷菜单设计</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菜单类型满足：链接地址、应用、文本消息、图文消息。应用指与系统集成的业务系统或第三方应用。</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（13）提供菜单动作库</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动作类型分为链接地址、应用、文本消息和图文消息四种。</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（14）提供在线编辑操作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消息群发包括新增、发送、删除、预览和检索这几个功能。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（15）提供政务APP客户端二维码统一管理，各类不同用户能够从苹果APP store、各个Android市场下载到最新版本的APP。</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10.新媒体对接及舆情分析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通过政务新媒体矩阵平台，实现与腾讯微信管理平台、微博发布平台对接和政府APP客户端平台对接，对接全自治区范围内包括但不限于4774家新媒体，实现和集约化平台内容管理系统等业务系统的对接，并从互联网定向抓取各个新媒体（微博、微信、APP）的信息，通过排重、分词、抽取、索引等预处理工作，建立起庞大的海量信息库，对采集信息内容进行热点分析和识别，图形化展示聚类结果和热点趋势。定向聚类功能，能够选择聚类范围，如来源、时间、类型、类别、墙内墙外、来源网站，进行自动聚类，并图形化展示聚类结果和热点趋势。定题聚类功能，能够针对某一专题内容进行聚类分析，并图形化展示聚类结果和热点趋势。支持定向定题聚类分析，能够针对不同范围、不同新闻主体进行聚类分析，并图形化展示聚类结果和热点趋势。</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（1）信息收集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1）基于网络数据采集的互联网信息接入模块，采用基础的分布式爬虫工具，通过二次定制 开发，使平台具备对互联网新媒体网络社交论坛、微博舆论信息、微信公众号、APP客户端等相关信息资源进行接入的能力。</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基于数据源层的数据接入系统通过对新媒体互联网数据资源进行统一接入，为新媒体矩阵平台提供原始数据支撑。原始数据至少包括政府信息、企业信息、工业经济信息、地理空间信息和互联网信息。采集接入的所有工作，并负责数据采集接入过程中相关的协调、数据清洗处理、数据脱敏脱密等工作，并准确定义接入的数据来源、数据分类、数据内容、数据量、数据获取的方式和途径。</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3）采集内容全面：能适应对不同网站架构不同内容格式的信息采集（如：文字、图片、附件、论坛、微信、博客、APP等），能完整地获取需要采集的信息，网页采集内容的完整性可达99% 以上。</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4）采集性能高：系统支持多线程处理技术，支持运行多线程及对上万个新媒体的多任务并发采集。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5）资源共享便捷：通过系统对第三方系统的接口预留，可实现对采集到的信息向其它系统流转（如采集系统可与集约化平台内容管理系统无缝对接），实现采集到的信息资源对其他系统的共享，</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（2）舆情分析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从而对新媒体矩阵中已对接的微博、微信、APP进行互联网的舆情传播分析及监测，实现定向监测、全网监测、专题监测、重点人员监测、舆情搜索、统计分析、热点舆情、舆情报告、舆情预警、舆情快照、探针功能、敏感词库功能、综合传播力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13</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集约化基础支撑平台</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 统一身份认证。搭建统一用户认证系统，以用户信息、系统权限为核心，集成各业务系统的认证信息，为客户提供一个高度集成且统一的认证平台。包括面向政府工作人员和互联网用户（个人、企业、社会组织等）的用户体系和认证体系。</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统一权限管理。后台政府工作人员通过角色权限划分，实现最小颗粒度控制，精确控制用户的操作权限，通过机构管理授权实现用户分级授权管理，用户权限由各机构管理员进行分配。互联网用户注册完成后，由政府网站集约化平台进行统一权限管理，认证成功后用户可直接使用所授权的应用。</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 统一服务治理。政府网站集约化平台上的所有应用服务都要进行统一注册，由管理员进行审核，审核通过后对应用服务进行机构用户访问授权，日常对注册的服务进行监控维护。</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 统一安全审计。记录最终用户、管理人员的访问过程，建立一套全面的、有效的追查机制。同时系统管理员可以实时监测用户对应用服务的访问状态，及时发现非法访问事件，进行事后追溯，为责任追究提供依据。</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 消息中间件。为消除应用服务之间信息孤岛，防止应用数据丢失、网络环境差导致的数据传输不稳定等问题，通过消息中间件建立服务之间的消息互通，提供同步和异步数据传输机制，任何时刻都可以将消息进行传送或者存储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072"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b/>
                <w:snapToGrid w:val="0"/>
                <w:color w:val="auto"/>
                <w:szCs w:val="21"/>
                <w:highlight w:val="none"/>
              </w:rPr>
              <w:t>二、系统支撑软件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操作系统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安全操作系统，批量授权或数据中心版，支持部署不低于62台主机。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应用中间件</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java应用容器，支持负载集群，单套2CPU授权。</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1.必须支持主流平台和多种数据库如Oracle、DB2、SQL Server等，提供双工备份的数据库连接池技术。支持异构数据库间的负载均衡技术。</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2.应用中间件提供商需通过JAVA6国际标准认证，并可提供网址查询。</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3.支持多层构架，必须支持各种主流平台，如HP－UX、AIX、SOLARIS、WINDOWS　NT/2000、Linux、SCO UNIX等，并且独立于特定的硬件平台和操作系统。</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4.支持EJB3.0。必须支持EJB实例池。支持Java EE Management 1.1和Java EE Application Deployment 1.2规范。Java EE JMX 1.2。</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5.支持多服务器群集部署、负载均衡；集群技术支持Session非序列化对象复制技术，优化应用程序结构，实现快速便捷开发。</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6.支持对多种对象的集群功能，包括Web组件应用、EJB、JDBC等集群。</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7.全面支持JMS1.1标准，提供内置的JMS服务，必须支持将TongLINK/Q、MQ Series等其他第三方消息中间件作为消息服务代理。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8.必须支持Cache技术，包括Web静态内容cache、Prepare语句cache、Entity bean cache等。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9.基于JAAS架构，实现基于容器的安全策略，提供基于数据库和LDAP认证的Login Module，支持用户增加Login Module，支持单点登录。</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10.必须具备标准的B/S模式管理控制台，可对远程的应用服务器环境进行应用部署、管理维护和监控。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11.支持Web Service和应用集成，支持对系统运行状态、Web应用、EJB组件、数据库连接池、交易服务、JMS服务及其它服务端组件与服务进行动态监控与管理。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12.具备跨平台能力，提供应用移植工具，实现应用程序包从其他应用服务器移植到本应用服务器环境。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数据库管理系统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★1.数据库软件要求是企业版，不低于100个用户授权；</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 非OEM产品，中标时请提供非OEM产品自主原创性证明或承诺函”；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 支持Windows .Unix.Linux.AIX.SOLARIS.国产操作系统等，产品具有跨操作系统平台的能力。支持X86.SPARC.Open Power8.龙芯、飞腾、申威、兆芯等主流服务器处理CPU体系架构。按CMMI5标准研发，兼容多种数据库开发接口和开发平台，包括但不限于：ODBC、JDBC、OLE DB、PHP、Ado.net、Python、Hibernate、PowerBuilder、Delphi、Kylix 、JBuilder、visual studio、eclipse，中标时请提供CMMI5证书复印件。基本功能要求:1. 支持事件触发器、同义词和包，同时支持序列和自增列，同时支持水平分区和垂直分区；2. 可管理资源限制：支持对登录用户资源限制，包括支持对登录用户IP限制，登录时间限制，登录失败次数限制和账号有效期限制；3. 提供多种联机备份/恢复手段，支持事务故障、系统故障和介质故障恢复，支持完全、基于数据文件/文件组的不完全恢复和恢复到任意指定时间点的能力，安全管理功能支持图形界面；4. 产品实现基于成本的查询机制，能够选择合适的查询计划；并支持查询的hint技术，能够对查询计划进行手动调整；</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 提供单向、双向、级联、多对多的同步/异步数据复制功能，支持数据库快照功能；支持滚动升级；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 产品易用，安装、配置都比较简单，提供易操作的图形化工具；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 支持免费的、集中式的数据库管理工具，支持图形化的存储过程调试工具，支持跨平台统一界面，包括远程跨平台数据库管理，图形的性能监控等；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 提供丰富的分析函数，如AVG OVER、COUNT OVER、MAX OVER、MIN OVER、SUM OVER、RANK OVER、DENSE_RANK、ROW_NUMBER、FIRST、LAG、WM_CONCAT等。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 支持异构数据库的实时同步工具，采用非入侵方式实现，依赖底层日志传输技术实现，低带宽占用，且源端能够支持ORACLE的单机和RAC多种方式。</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 支持基于回滚段技术的原生态多版本并发MVCC技术，行级锁技术，不会发生锁升级。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 支持可编程的SQL语言，支持存储过程、函数和过程包，用于实现复杂的判断和运算功能；可编程SQL语言应支持数组类型、内嵌表类型和动态SQL类型等。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11. 支持表级行式、列式存储选项（与专门的列存数据库不同，是在通用数据库版本中增加对列存选项的支持），同时提供优良的联机分析处理和联机事物分析性能。</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12. 支持行列混合查询，可在同一个SQL查询中，对行存储表和列存储表进行访问。</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13. 列存储功能支持分段式压缩技术和粗粒度智能索引，优化器能根据代价计算，自动选择最优的执行计划和索引。15. 支持同品ETL工具、支持决策的数据仓库、联机分析处理工具和数据挖掘等工具。</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14.安全性要求：</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1）系统支持“多权分立”的安全设计架构，支持至少四权的角色划分，充分保障数据库的安全管理要求；</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2）支持自主访问控制、强制访问控制、审计、加密、身份识别与验证等安全功能；安全管理功能和审计功能都支持图形界面，具有良好的易用性；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3）数据库支持基于互联网环境标记的强制访问控制技术，能与上下游产品进行安全集成，提高系统的安全防护能力和数据的安全可信；</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4）支持通信和存储加密功能，支持针对不同数据库对象和不同用户使用可配置的加密算法和密钥，加密过程对用户透明，支持加载第三方加密算法；</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5）为保证系统数据的安全性，系统中涉及的商用密码产品，该商用密码产品原始供应商应为中国国家密码管理局认证的商用密码产品生产定点单位，中标时请提供证书复印件”；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6）数据库产品产品应通过公安部安全数据库EAL4+级检验检测，中标时请提供检测报告复印件；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7）产品获得公安部计算机信息系统安全专用产品销售许可证，中标时请提供销售许可证复印件；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8）产品厂家具备ISO27001信息安全管理体系认证证书，中标时请提供证书复印件；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9）其他要求：①★提供1年免费升级服务；② 要求数据库产品厂商在项目实施期间配备数据库工程师现场服务，提供优质是现场技术支持服务。产品厂家需具备信息技术运行维护标准ITSS贰级服务能力，中标时请提供证书复印件。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★15.数据库必须支持广西电子政务外网云平台部署。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数据库</w:t>
            </w:r>
          </w:p>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集群</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★1.要求与数据库软件产品是同一品牌</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 基于不依赖第三方双机方案的主备集群模式，且支持备机可读，可支持达到8个备机。</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 基于日志级别的同步，支持实时备机和异步备机等多种同步模式。</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 支持手动切换、自动切换等多种切换模式。</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 支持主机故障后，备机自动接管，支持应用透明故障切换，可以使用户感受不到失败。</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 支持配置读写比例，以更好的适应应用场景需求。</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 能自动适应快速变化的业务需求和因而发生的负载变化，应用程序的用户和中间层应用服务器客户端通过服务名（Service Name）连接到数据库，自动地在应用中的各个节点上进行负载均衡可管理资源限制：支持对登录用户资源限制，包括支持对登录用户IP限制，登录时间限制，登录失败次数限制和账号有效期限制；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 提供单向、双向、级联、多对多的同步/异步数据复制功能，支持数据库快照功能；支持滚动升级；</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9.提供1年免费升级服务；</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★10.数据库集群必须支持广西电子政务外网云平台部署。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072"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b/>
                <w:snapToGrid w:val="0"/>
                <w:color w:val="auto"/>
                <w:szCs w:val="21"/>
                <w:highlight w:val="none"/>
              </w:rPr>
              <w:t>三、安全态势感知系统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072"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（一）网站安全态势感知系统硬件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pacing w:val="-6"/>
                <w:szCs w:val="21"/>
                <w:highlight w:val="none"/>
              </w:rPr>
            </w:pPr>
            <w:r>
              <w:rPr>
                <w:rFonts w:hint="eastAsia" w:asciiTheme="minorEastAsia" w:hAnsiTheme="minorEastAsia" w:eastAsiaTheme="minorEastAsia" w:cstheme="minorEastAsia"/>
                <w:snapToGrid w:val="0"/>
                <w:color w:val="auto"/>
                <w:spacing w:val="-6"/>
                <w:szCs w:val="21"/>
                <w:highlight w:val="none"/>
              </w:rPr>
              <w:t>网站监测态势感知模块</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硬件服务器，标准2U机箱，Intel 4214 主频2.20 GHz 内核数12、内存32G DDR4、硬盘4T企业级，4个千兆电口、2个USB接口、一个VGA接口；</w:t>
            </w:r>
            <w:r>
              <w:rPr>
                <w:rFonts w:hint="eastAsia" w:asciiTheme="minorEastAsia" w:hAnsiTheme="minorEastAsia" w:eastAsiaTheme="minorEastAsia" w:cstheme="minorEastAsia"/>
                <w:snapToGrid w:val="0"/>
                <w:color w:val="auto"/>
                <w:szCs w:val="21"/>
                <w:highlight w:val="none"/>
              </w:rPr>
              <w:br w:type="textWrapping"/>
            </w:r>
            <w:r>
              <w:rPr>
                <w:rFonts w:hint="eastAsia" w:asciiTheme="minorEastAsia" w:hAnsiTheme="minorEastAsia" w:eastAsiaTheme="minorEastAsia" w:cstheme="minorEastAsia"/>
                <w:snapToGrid w:val="0"/>
                <w:color w:val="auto"/>
                <w:szCs w:val="21"/>
                <w:highlight w:val="none"/>
              </w:rPr>
              <w:t xml:space="preserve">    提供网站系统总体安全态势服务和大屏呈现，能够以从业务角度开放性的对数据进行筛选、分析、呈现，可直观了解到当前网络安全态势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pacing w:val="-6"/>
                <w:szCs w:val="21"/>
                <w:highlight w:val="none"/>
              </w:rPr>
            </w:pPr>
            <w:r>
              <w:rPr>
                <w:rFonts w:hint="eastAsia" w:asciiTheme="minorEastAsia" w:hAnsiTheme="minorEastAsia" w:eastAsiaTheme="minorEastAsia" w:cstheme="minorEastAsia"/>
                <w:snapToGrid w:val="0"/>
                <w:color w:val="auto"/>
                <w:spacing w:val="-6"/>
                <w:szCs w:val="21"/>
                <w:highlight w:val="none"/>
              </w:rPr>
              <w:t>本地数据化管理模块</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硬件服务器，标准2U机箱，Intel 4214 主频2.20 GHz 内核数12、内存32G DDR4、硬盘4T企业级，4个千兆电口、2个USB接口、一个VGA接口；</w:t>
            </w:r>
            <w:r>
              <w:rPr>
                <w:rFonts w:hint="eastAsia" w:asciiTheme="minorEastAsia" w:hAnsiTheme="minorEastAsia" w:eastAsiaTheme="minorEastAsia" w:cstheme="minorEastAsia"/>
                <w:snapToGrid w:val="0"/>
                <w:color w:val="auto"/>
                <w:szCs w:val="21"/>
                <w:highlight w:val="none"/>
              </w:rPr>
              <w:br w:type="textWrapping"/>
            </w:r>
            <w:r>
              <w:rPr>
                <w:rFonts w:hint="eastAsia" w:asciiTheme="minorEastAsia" w:hAnsiTheme="minorEastAsia" w:eastAsiaTheme="minorEastAsia" w:cstheme="minorEastAsia"/>
                <w:snapToGrid w:val="0"/>
                <w:color w:val="auto"/>
                <w:szCs w:val="21"/>
                <w:highlight w:val="none"/>
              </w:rPr>
              <w:t xml:space="preserve">    包含资产管理子系统、事件运维处理子模块、用户管理子模块、自定义配置子模块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072"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（二）网站安全态势感知系统软件及服务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安全监测子系统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采用流式计算引擎、关联分析引擎、智能检索引擎等大数据处理技术，实时监测网站安全情况，及时发现网络攻击活动、攻击手段和攻击目的，全面监测广西政府网站集约化平台管理范围内单位信息系统和网络，实现对安全漏洞、威胁隐患、高级威胁攻击的快速识别，并为通报处置和侦测调查等业务子系统提供强有力的数据支撑。主要包含以下7个功能模块：</w:t>
            </w:r>
            <w:r>
              <w:rPr>
                <w:rFonts w:hint="eastAsia" w:asciiTheme="minorEastAsia" w:hAnsiTheme="minorEastAsia" w:eastAsiaTheme="minorEastAsia" w:cstheme="minorEastAsia"/>
                <w:snapToGrid w:val="0"/>
                <w:color w:val="auto"/>
                <w:szCs w:val="21"/>
                <w:highlight w:val="none"/>
              </w:rPr>
              <w:br w:type="textWrapping"/>
            </w:r>
            <w:r>
              <w:rPr>
                <w:rFonts w:hint="eastAsia" w:asciiTheme="minorEastAsia" w:hAnsiTheme="minorEastAsia" w:eastAsiaTheme="minorEastAsia" w:cstheme="minorEastAsia"/>
                <w:snapToGrid w:val="0"/>
                <w:color w:val="auto"/>
                <w:szCs w:val="21"/>
                <w:highlight w:val="none"/>
              </w:rPr>
              <w:t>1. 安全监测管理（包含内容以下：漏洞监测、网页篡改监测、网页挂马监测、内容变更监测、黑词监测、黑链监测、敏感词监测，可用性监测等）。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安全事件挖掘:分析采用云监测及云多点探测等技术，解决以往网站监测仅依靠漏洞扫描及人工分析存在的时效性低、覆盖面不全等问题。通过分析多种数据源采集的数据，实现对重点网站安全性与可用性的监测，及时发现网站漏洞、网站挂马、网站篡改（黑链/暗链）、钓鱼网站和访问异常等安全事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外部监测数据分析: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利用大数据技术，采用正则匹配的方式，从海量数据中进行深度挖掘，提取攻击特征，结合云端威胁情报对高级威胁攻击进行检测，获取攻击方法等数据。同时，通过对云端大数据中提取的恶意域名、IP、主防库、样本库等信息进行关联分析，发现传统规则检测手段无法发现的未知威胁。</w:t>
            </w:r>
            <w:r>
              <w:rPr>
                <w:rFonts w:hint="eastAsia" w:asciiTheme="minorEastAsia" w:hAnsiTheme="minorEastAsia" w:eastAsiaTheme="minorEastAsia" w:cstheme="minorEastAsia"/>
                <w:snapToGrid w:val="0"/>
                <w:color w:val="auto"/>
                <w:szCs w:val="21"/>
                <w:highlight w:val="none"/>
              </w:rPr>
              <w:br w:type="textWrapping"/>
            </w:r>
            <w:r>
              <w:rPr>
                <w:rFonts w:hint="eastAsia" w:asciiTheme="minorEastAsia" w:hAnsiTheme="minorEastAsia" w:eastAsiaTheme="minorEastAsia" w:cstheme="minorEastAsia"/>
                <w:snapToGrid w:val="0"/>
                <w:color w:val="auto"/>
                <w:szCs w:val="21"/>
                <w:highlight w:val="none"/>
              </w:rPr>
              <w:t xml:space="preserve">    1．报表管理。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2．用户管理。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3．日志管理。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4．安全事件管理。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5．资产管理。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6．系统管理。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态势感知子系统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态势感知子系统包括重点网络安全监测、DDoS攻击监测等功能，通过恶意代码检测、异常流量分析、威胁分析等技术，实现对辖区内存在的威胁有效感知并实现可视化呈现。</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该系统应用实现监测重保网站安全性与可用性，采用云监测及云多点探测等新技术，解决以往网站监测仅依靠漏洞扫描及人工分析存在的时效性和全面性等问题。</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通过云监测技术解决对大量网站同时进行的漏洞监测性能和效率的需求，并具备篡改、挂马及暗链的发现能力，通过云多点监测平台全天候对成批网站进行可用性监测，有效解决传统网站监测及可用性监测难题，确保监控网站的安全性和可用性处于可控状态。</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网站云监测中心的Web云监测模块及网站可用性云监测模块并行工作，各模块不相互影响，由大数据查询分析引擎进行调用处理，并在网站安全与运行监测系统展示分析平台进行展现。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通告预警子系统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通报管理管理: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在发现网站相关问题后，网站云监测平台管理人员可以通过邮件、短信的方式通知给网站运维人员，运维人员收到通报后，可以查看到网站问题信息以及解决建议，并且需要同时回复管理人员问题修复情况，管理人员随时通过云监测平台获取当前网站漏洞修复情况，直到问题修复闭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应急处置子系统</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套</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应急处置管理：网站安全监测应急处置，提供了针对网站安全状态进行实时托管式的安全监控服务，服务内容包括网站漏洞、敏感词、暗链、钓鱼等状态检测。主要分为两个方面：授权使用监测云平台进行安全事件管理、通告处置和报表管理；提供7*24小时安全事件人工运维服务和实时告警，保证客户网站长期、稳定、高效、安全地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应急响应服务</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项</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在用户发生突发最大的安全事件时，应急响应实施人员及时采取行动限制事件扩散和影响的范围，限制潜在的损失与破坏服务基础上，实施人员协助客户检查所有受影响的系统，在准确判断安全事件原因的基础上，提出基于安全事件整体安全解决方案，排除系统安全风险并协助追查事件来源、提出解决方案、协助后续处置。</w:t>
            </w:r>
          </w:p>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★应急服务响应在服务期内不限次数，按采购人要求及时响应及开展服务。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渗透测试服务</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项</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针对集约化平台网站系统，采用各种手段模拟真实的安全攻击，发现黑客入侵信息系统的潜在可能途径。渗透测试工作以人工渗透为主，辅助以攻击工具的使用。主要的渗透测试方法包括：信息收集、端口扫描、远程溢出、口令猜测、本地溢出、云服务客户端攻击、中间人攻击、web脚本渗透、B/S或C/S应用程序测试、社会工程等，在初次渗透测试工作实施结束后输出《XX系统渗透测试报告》，并协助客户修复漏洞，待漏洞修复完成后，进行复测，并输出《XX系统渗透测试报告（复测）》。</w:t>
            </w:r>
          </w:p>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★渗透测试服务一年不少于3次。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072"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64" w:lineRule="exact"/>
              <w:jc w:val="center"/>
              <w:rPr>
                <w:rFonts w:asciiTheme="minorEastAsia" w:hAnsiTheme="minorEastAsia" w:eastAsiaTheme="minorEastAsia" w:cstheme="minorEastAsia"/>
                <w:b/>
                <w:snapToGrid w:val="0"/>
                <w:color w:val="auto"/>
                <w:szCs w:val="21"/>
                <w:highlight w:val="none"/>
              </w:rPr>
            </w:pPr>
            <w:r>
              <w:rPr>
                <w:rFonts w:hint="eastAsia" w:asciiTheme="minorEastAsia" w:hAnsiTheme="minorEastAsia" w:eastAsiaTheme="minorEastAsia" w:cstheme="minorEastAsia"/>
                <w:b/>
                <w:snapToGrid w:val="0"/>
                <w:color w:val="auto"/>
                <w:szCs w:val="21"/>
                <w:highlight w:val="none"/>
              </w:rPr>
              <w:t>四、广西政府网站集约化平台项目系统总集成服务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广西政府网站集约化平台项目总集成服务</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项</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一、项目概况:</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集约化平台建设系统总集成服务：包括集约化工作门户、信息资源管理系统、网站群管理系统、互动交流系统、集约化应用开放系统、智能服务系统、用户行为分析系统、安全监测预警系统、大数据分析和量化评价系统、网站监测与评估系统、运维管理系统、政务新媒体矩阵、应用支撑平台、安全态势感知系统、广西政府网站集约化迁移、对接建设工作等平台和系统的总集成服务。</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二、总集成服务内容和要求</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（一）总集成服务范围：</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1.集约化平台集成：包括集约化工作门户、信息资源管理系统、网站群管理系统、互动交流系统、集约化应用开放系统、智能服务系统、用户行为分析系统、大数据分析和量化评价系统、运维管理系统等。</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2.应用支撑平台及系统支持软件集成：包括统一身份认证、统一权限管理、统一服务治理、统一安全审计、消息中间件等功能子系统，以及系统支撑软件。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3.安全系统集成：包括安全监测预警系统、网站监测与评估系统、安全态势感知系统软硬件。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4.政务新媒体矩阵集成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5.广西政府网站集约化迁移网站、各地市对接平台的集成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（1）包括但不限于1个自治区门户政府网站、87个自治区部门网站、14个市政府门户网站、111个县（市、区）政府门户网站、521个市、县（市、区）级部门网站的迁移数据、网站模板集成。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包括但不限于南宁市、柳州市、桂林市、钦州市、北海市、防城港市共6个市集约化平台与广西政府网站集约化平台对接集成，主要工作有：统一用管理、身份认证平台中用户注册、存量用户整合、权限分配、单点登录、平台接口等集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6.IPv6网络改造集成。</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（二）工作职责</w:t>
            </w:r>
          </w:p>
          <w:p>
            <w:pPr>
              <w:adjustRightInd w:val="0"/>
              <w:snapToGrid w:val="0"/>
              <w:spacing w:line="280" w:lineRule="exact"/>
              <w:ind w:firstLine="420" w:firstLineChars="200"/>
              <w:jc w:val="lef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负责广西政府网站集约化平台项目的平台和系统的总集成；负责和协调所有平台和系统技术对接；负责制定平台和系统集成、技术对接的标准和规范；负责统筹管理和制定广西政府网站集约化平台管理办法、统一身份认证技术规范、对接接口规范、栏目设计规范、数据交换标准；负责统筹广西政府网站集约化平台的总调试和各个子系统调试；负责统筹广西政府网站集约化平台所有平台和系统的技术优化和改进；负责统筹广西政府网站集约化平台所有技术文档的编制、归类和管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（三）工作内容：</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制定技术标准和规范：广西政府网站集约化平台管理办法、广西政府网站集约化平台统一身份认证技术规范、广西政府网站集约化平台对接接口规范、广西政府网站集约化平台栏目设计规范、广西政府网站集约化平台数据交换标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2.按设计方案要求对集约化工作门户、网站群管理系统、互动交流系统、集约化应用开放系统、运维管理系统与信息资源管理系统进行集成，审核各系统栏目和功能实现情况，协调各开发技术团队进行调试；</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3.按设计方案要求，基于信息资源管理系统的数据源对用户行为分析系统、大数据分析和量化评价系统进行集成，组织和协调技术团队开展各类别和内容的大数据分析测试；</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4.按设计方案要求，对信息资源管理系统和智能服务系统进行数据交换、接口对接，组织和协调技术团队开展数据检索和搜索测试；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广西政府网站集约化平台项目总集成服务</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项</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 按设计方案要求，对信息资源管理系统和安全监测预警系统、网站监测与评估系统进行数据交换、接口对接，组织和协调技术团队开展各类别和内容的监测和预警测试；</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 按设计方案要求，组织和协调广西政府网站集约化平台和安全态势感知系统的数据交换、接口对接工作；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7. 按设计方案要求，组织和协调广西政府网站集约化平台和政务新媒体矩阵的数据交换、接口对接工作；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8. 按设计方案要求，组织开展所有平台和子系统与应用支撑平台集成工作，应实现所有平台和子系统单点登录、统一身份认证、统一权限管理、统一服务治理、统一安全审计、消息中间件；</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9. 按设计方案要求，开展广西政府网站集约化平台对所有迁移网站、各地市政府网站集约化平台的集成工作，按迁移标准和规范监督和校验所有网站数据的完整迁移；组织协调广西政府网站集约化平台与各地市政府网站集约化平台的对接工作，按要求完成所有对接工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10. 按设计方案要求，组织和协调技术团队开展IPV6改造工作，完成所有IPV6网络设备的集成，实现所有平台和系统全面支持IPV6协议。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CDN加速服务</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年</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要求投标人为广西政府网站集约化平台网站提供分布式内容网络加速服务（以下简称CDN 加速服务），加速服务包括静态页面、静态图片、动态内容、流媒体点播等内容资源，CDN 核心节点从源站获取分发资源，分级分发到相应的边缘节点上，保证用户能到最近及响应最好的节点中访问相应的资源；满足新媒体业务发展的业务需求、技术标准和安全要求，缓解源站压力，提高全球范围内网络用户访问速度和使用效果，具体采购内容如下：</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★国内CDN 加速：月均带宽不小于100M，包括静态与动态业务加速服务，须支持http、https 协议。</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★域名自动识别服务：保证ip 地址库能自动识别区域并根据网民所在地进行跳转服务。</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★提供标准第三方网络性能监测服务，且能够提供管理后台供用户自主使用。服务需监测广西政府网站集约化平台网站在CDN 各节点的实际访问效果，展示监测链接内容在指定运营商，地理区域的响应时间。</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★严禁在CDN加速服务中插入外链（如其他网站链接、广告）。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9072"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ind w:firstLine="422" w:firstLineChars="200"/>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b/>
                <w:snapToGrid w:val="0"/>
                <w:color w:val="auto"/>
                <w:szCs w:val="21"/>
                <w:highlight w:val="none"/>
              </w:rPr>
              <w:t>五、等保三级定级测评</w:t>
            </w:r>
          </w:p>
        </w:tc>
      </w:tr>
      <w:bookmarkEnd w:id="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广西政府网站集约化平台三级等保测评服务</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项</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一、服务要求</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依照《信息安全技术--信息系统安全等级保护基本要求》、《信息系统安全等级保护测评准则》要求，对广西政府网站集约化平台项目进行等级保护测评，指导采购人制定整改方案和开展整改，使广西政府网站集约化平台信息系统安全保护状况达到三级等级保护要求，逐一出具符合国家信息安全等级保护管理部门规范要求、公安机关认可的信息系统安全等级测评报告。</w:t>
            </w:r>
          </w:p>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二、依据标准</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1.《计算机信息系统安全保护等级划分准则》（GB 17859-1999)</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2.《网络安全等级保护基本要求》（GB/T 22239-2019）</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3.《网络安全等级保护测评要求》（GB/T 28448-2019）</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4.《网络安全等级保护测评过程指南》（GB/T 28449-2018)</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5.《网络安全等级保护设计技术要求》（GB/T 25070-2019）</w:t>
            </w:r>
          </w:p>
          <w:p>
            <w:pPr>
              <w:adjustRightInd w:val="0"/>
              <w:snapToGrid w:val="0"/>
              <w:spacing w:line="280" w:lineRule="exact"/>
              <w:ind w:firstLine="420" w:firstLineChars="200"/>
              <w:rPr>
                <w:rFonts w:asciiTheme="minorEastAsia" w:hAnsiTheme="minorEastAsia" w:eastAsiaTheme="minorEastAsia" w:cstheme="minorEastAsia"/>
                <w:b/>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6.《网络安全等级保护测试评估技术指南》（GB/T 36627-2018）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广西政府网站集约化平台三级等保测评服务</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w:t>
            </w:r>
          </w:p>
        </w:tc>
        <w:tc>
          <w:tcPr>
            <w:tcW w:w="4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项</w:t>
            </w:r>
          </w:p>
        </w:tc>
        <w:tc>
          <w:tcPr>
            <w:tcW w:w="6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★三、测评内容</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1.安全通用要求</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安全通用要求测评内容应包括安全技术和安全管理两大类，其中技术类应包括对安全物理环境、安全通信网络、安全区域边界、安全计算环境、安全管理中心五个方面的测评，安全管理类测评应包括对安全管理制度、安全管理机构、安全管理人员、安全建设管理、安全运维管理五个方面的测评。</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2.安全扩展要求</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应用了不同新技术的安全保护对象处于不同的应用场景中，面临不同的安全威胁，因此会有不同的安全需求，该保护对象涉及的安全扩展要求包括：</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（1）云计算</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云计算安全测评内容包括对安全物理环境、安全通信网络、安全区域边界、安全计算环境、安全管理中心、安全建设管理、安全运维管理等的测评。</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（2）移动互联</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移动互联安全测评内容包括对安全物理环境、安全区域边界、安全计算环境、安全建设管理、安全运维管理等的测评。</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（2）物联网</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物联网安全测评内容包括对安全物理环境、安全区域边界、安全计算环境、安全运维管理等的测评。</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（4）工业控制系统</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工业控制系统安全测评包括对安全物理环境、安全通信网络、安全区域边界、安全计算环境、安全建设管理方面的测评。</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（5）大数据</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大数据安全测评包括对安全物理环境、安全通信网络、安全计算环境、安全运维管理等的测评。</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四、测评方法</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在测评实施过程中，应采用访谈、检查和测试、渗透测试等测评方法进行，并与国家相关规范及标准的要求相符。</w:t>
            </w:r>
            <w:r>
              <w:rPr>
                <w:rFonts w:hint="eastAsia" w:asciiTheme="minorEastAsia" w:hAnsiTheme="minorEastAsia" w:eastAsiaTheme="minorEastAsia" w:cstheme="minorEastAsia"/>
                <w:snapToGrid w:val="0"/>
                <w:color w:val="auto"/>
                <w:szCs w:val="21"/>
                <w:highlight w:val="none"/>
              </w:rPr>
              <w:br w:type="textWrapping"/>
            </w:r>
            <w:r>
              <w:rPr>
                <w:rFonts w:hint="eastAsia" w:asciiTheme="minorEastAsia" w:hAnsiTheme="minorEastAsia" w:eastAsiaTheme="minorEastAsia" w:cstheme="minorEastAsia"/>
                <w:snapToGrid w:val="0"/>
                <w:color w:val="auto"/>
                <w:szCs w:val="21"/>
                <w:highlight w:val="none"/>
              </w:rPr>
              <w:t xml:space="preserve">    访谈是指测评人员通过引导信息系统相关人员进行有目的的（有针对性的）交流以帮助测评人员理解、分析或取得证据的过程；</w:t>
            </w:r>
            <w:r>
              <w:rPr>
                <w:rFonts w:hint="eastAsia" w:asciiTheme="minorEastAsia" w:hAnsiTheme="minorEastAsia" w:eastAsiaTheme="minorEastAsia" w:cstheme="minorEastAsia"/>
                <w:snapToGrid w:val="0"/>
                <w:color w:val="auto"/>
                <w:szCs w:val="21"/>
                <w:highlight w:val="none"/>
              </w:rPr>
              <w:br w:type="textWrapping"/>
            </w:r>
            <w:r>
              <w:rPr>
                <w:rFonts w:hint="eastAsia" w:asciiTheme="minorEastAsia" w:hAnsiTheme="minorEastAsia" w:eastAsiaTheme="minorEastAsia" w:cstheme="minorEastAsia"/>
                <w:snapToGrid w:val="0"/>
                <w:color w:val="auto"/>
                <w:szCs w:val="21"/>
                <w:highlight w:val="none"/>
              </w:rPr>
              <w:t xml:space="preserve">    检查是指测评人员通过对测评对象（如管理制度、操作记录、安全配置等）进行观察、查验、分析以帮助测评人员理解、分析或取得证据的过程；</w:t>
            </w:r>
          </w:p>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测试是测评人员使用预定的方法/工具使测评对象产生特定的行为，通过查看和分析结果以帮助测评人员获取证据的过程；</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渗透测试是模拟黑客的攻击方法，对受保护对象的应用系统、主机、网络进行攻击，从而验证测评对象的弱点、技术缺陷或漏洞的一种评估方法。</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五、服务成果</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测评完成后，出具符合等保2.0相关技术标准要求、国家网络安全等级保护管理部门规范要求且公安机关认可的的网络安全等级保护测评报告。</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p>
        </w:tc>
      </w:tr>
    </w:tbl>
    <w:p>
      <w:pPr>
        <w:adjustRightInd w:val="0"/>
        <w:snapToGrid w:val="0"/>
        <w:spacing w:line="20" w:lineRule="exact"/>
        <w:rPr>
          <w:rFonts w:asciiTheme="minorEastAsia" w:hAnsiTheme="minorEastAsia" w:eastAsiaTheme="minorEastAsia" w:cstheme="minorEastAsia"/>
          <w:color w:val="auto"/>
          <w:szCs w:val="21"/>
          <w:highlight w:val="none"/>
        </w:rPr>
      </w:pPr>
    </w:p>
    <w:tbl>
      <w:tblPr>
        <w:tblStyle w:val="5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1737"/>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81" w:hRule="atLeast"/>
          <w:jc w:val="center"/>
        </w:trPr>
        <w:tc>
          <w:tcPr>
            <w:tcW w:w="90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b/>
                <w:snapToGrid w:val="0"/>
                <w:color w:val="auto"/>
                <w:szCs w:val="21"/>
                <w:highlight w:val="none"/>
              </w:rPr>
              <w:t>★</w:t>
            </w:r>
            <w:r>
              <w:rPr>
                <w:rFonts w:hint="eastAsia" w:asciiTheme="minorEastAsia" w:hAnsiTheme="minorEastAsia" w:eastAsiaTheme="minorEastAsia" w:cstheme="minorEastAsia"/>
                <w:snapToGrid w:val="0"/>
                <w:color w:val="auto"/>
                <w:szCs w:val="21"/>
                <w:highlight w:val="none"/>
              </w:rPr>
              <w:t>商务条款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90"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投标报价要求：</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投标人的报价应包括：本项目所有服务项目采购、系统开发、系统集成、所涉及实施、调试、验收、培训、差旅等各种费用和售后服务、税金及其它所有成本费用的总和。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21"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服务期限</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从投入试运行之日起3年。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21"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交付时间</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合同签订后三个月内交付试运行。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37"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质量保证期</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质量保证期：软件系统不少于3年；硬件设备不少于3年（自最终验收合格之日算），分项货物有要求按分项要求。在质保期内设备运行发生故障，中标人必须免费提供维修服务。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725"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付款条件</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本项目无预付款；完成平台开发，投入试运行，经采购人组织初验合格后，在10个工作日内支付合同总额的30%给中标人；系统正常运行至少半年后，采购人组织对平台开发终验合格后15个工作日内支付合同总额40%给中标人；完成所有网站迁移和市级平台对接集成工作后，支付合同总额20%给中标人；无违约或服务质量不合格等情况，服务期限满支付合同剩余款项（合同总额的10%）。</w:t>
            </w:r>
          </w:p>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中标人在每次收到货款后5个工作日内开具发票给采购人。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12"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系统开发要求</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1.投标人须根据采购人的实际需求对系统开发的各个功能板块进行个性化调整，采购人拥有对功能板块的数量和功能描述的最终解释权。</w:t>
            </w:r>
          </w:p>
          <w:p>
            <w:pPr>
              <w:adjustRightInd w:val="0"/>
              <w:snapToGrid w:val="0"/>
              <w:spacing w:line="320" w:lineRule="exact"/>
              <w:ind w:firstLine="420" w:firstLineChars="200"/>
              <w:rPr>
                <w:rFonts w:asciiTheme="minorEastAsia" w:hAnsiTheme="minorEastAsia" w:eastAsiaTheme="minorEastAsia" w:cstheme="minorEastAsia"/>
                <w:snapToGrid w:val="0"/>
                <w:color w:val="auto"/>
                <w:szCs w:val="21"/>
                <w:highlight w:val="none"/>
              </w:rPr>
            </w:pPr>
            <w:bookmarkStart w:id="16" w:name="OLE_LINK11"/>
            <w:bookmarkStart w:id="17" w:name="OLE_LINK12"/>
            <w:r>
              <w:rPr>
                <w:rFonts w:hint="eastAsia" w:asciiTheme="minorEastAsia" w:hAnsiTheme="minorEastAsia" w:eastAsiaTheme="minorEastAsia" w:cstheme="minorEastAsia"/>
                <w:snapToGrid w:val="0"/>
                <w:color w:val="auto"/>
                <w:szCs w:val="21"/>
                <w:highlight w:val="none"/>
              </w:rPr>
              <w:t>2.中标人必须承诺在安全态势感知系统预留数据对接的接口，与自治区网信办等监管部门的监管平台进行对接。</w:t>
            </w:r>
          </w:p>
          <w:bookmarkEnd w:id="16"/>
          <w:bookmarkEnd w:id="17"/>
          <w:p>
            <w:pPr>
              <w:pStyle w:val="2"/>
              <w:spacing w:line="320" w:lineRule="exact"/>
              <w:ind w:firstLine="420" w:firstLineChars="200"/>
              <w:rPr>
                <w:rFonts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3.投标人须根据采购人的实际需求完成集约化网站平台建设，采购人拥有对集约化网站平台工作内容、工作量的最终解释权。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68"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软件系统部署要求</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1.所有软件系统必须支持虚拟化云平台部署。</w:t>
            </w:r>
          </w:p>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2.所有软件系统必须支持IPV6协议。</w:t>
            </w:r>
          </w:p>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3.所有程序代码需要能够运行IPv6协议栈。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74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培训要求</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投标人负责对全区约500人进行2天，280元/人/天的培训，具体根据人员层次进行分区域、分批次、分类别开展。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95" w:hRule="atLeast"/>
          <w:jc w:val="center"/>
        </w:trPr>
        <w:tc>
          <w:tcPr>
            <w:tcW w:w="90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采购人的特殊要求及说明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092"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heme="minorEastAsia" w:hAnsiTheme="minorEastAsia" w:eastAsiaTheme="minorEastAsia" w:cstheme="minorEastAsia"/>
                <w:snapToGrid w:val="0"/>
                <w:color w:val="auto"/>
                <w:szCs w:val="21"/>
                <w:highlight w:val="none"/>
              </w:rPr>
            </w:pPr>
            <w:r>
              <w:rPr>
                <w:rFonts w:hint="eastAsia" w:asciiTheme="minorEastAsia" w:hAnsiTheme="minorEastAsia" w:eastAsiaTheme="minorEastAsia" w:cstheme="minorEastAsia"/>
                <w:snapToGrid w:val="0"/>
                <w:color w:val="auto"/>
                <w:szCs w:val="21"/>
                <w:highlight w:val="none"/>
              </w:rPr>
              <w:t>现场勘查</w:t>
            </w:r>
          </w:p>
        </w:tc>
        <w:tc>
          <w:tcPr>
            <w:tcW w:w="7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20" w:firstLineChars="200"/>
              <w:rPr>
                <w:color w:val="auto"/>
                <w:highlight w:val="none"/>
              </w:rPr>
            </w:pPr>
            <w:r>
              <w:rPr>
                <w:rFonts w:hint="eastAsia"/>
                <w:color w:val="auto"/>
                <w:highlight w:val="none"/>
              </w:rPr>
              <w:t>为保证各投标人对本分标的充分了解，所有投标人须在指定时间对现场施工环境进行了解。现场踏勘须携带的资料：投标单位介绍信原件。同时须注意：</w:t>
            </w:r>
          </w:p>
          <w:p>
            <w:pPr>
              <w:adjustRightInd w:val="0"/>
              <w:snapToGrid w:val="0"/>
              <w:spacing w:line="280" w:lineRule="exact"/>
              <w:ind w:firstLine="420" w:firstLineChars="200"/>
              <w:rPr>
                <w:color w:val="auto"/>
                <w:highlight w:val="none"/>
              </w:rPr>
            </w:pPr>
            <w:r>
              <w:rPr>
                <w:rFonts w:hint="eastAsia"/>
                <w:color w:val="auto"/>
                <w:highlight w:val="none"/>
              </w:rPr>
              <w:t>（1）各投标人的现场踏勘，是投标人获取有关编制投标文件所涉及现场的资料。投标人承担现场踏勘所发生的全部费用。</w:t>
            </w:r>
          </w:p>
          <w:p>
            <w:pPr>
              <w:adjustRightInd w:val="0"/>
              <w:snapToGrid w:val="0"/>
              <w:spacing w:line="280" w:lineRule="exact"/>
              <w:ind w:firstLine="420" w:firstLineChars="200"/>
              <w:rPr>
                <w:color w:val="auto"/>
                <w:highlight w:val="none"/>
              </w:rPr>
            </w:pPr>
            <w:r>
              <w:rPr>
                <w:rFonts w:hint="eastAsia"/>
                <w:color w:val="auto"/>
                <w:highlight w:val="none"/>
              </w:rPr>
              <w:t>（2）采购人向投标人提供的有关现场的数据和资料，是采购人现有的能被投标人利用的资料。采购人对投标人做出的任何推论、理解和结论均不负责任。</w:t>
            </w:r>
          </w:p>
          <w:p>
            <w:pPr>
              <w:adjustRightInd w:val="0"/>
              <w:snapToGrid w:val="0"/>
              <w:spacing w:line="280" w:lineRule="exact"/>
              <w:ind w:firstLine="420" w:firstLineChars="200"/>
              <w:rPr>
                <w:color w:val="auto"/>
                <w:highlight w:val="none"/>
              </w:rPr>
            </w:pPr>
            <w:r>
              <w:rPr>
                <w:rFonts w:hint="eastAsia"/>
                <w:color w:val="auto"/>
                <w:highlight w:val="none"/>
              </w:rPr>
              <w:t>（3）投标人可为勘查目的进入采购单位的项目现场，但投标人不得因此使采购人承担有关的责任和蒙受损失。投标人自行承担现场踏勘的责任和风险。</w:t>
            </w:r>
          </w:p>
          <w:p>
            <w:pPr>
              <w:adjustRightInd w:val="0"/>
              <w:snapToGrid w:val="0"/>
              <w:spacing w:line="280" w:lineRule="exact"/>
              <w:ind w:firstLine="420" w:firstLineChars="200"/>
              <w:rPr>
                <w:color w:val="auto"/>
                <w:highlight w:val="none"/>
              </w:rPr>
            </w:pPr>
            <w:r>
              <w:rPr>
                <w:rFonts w:hint="eastAsia"/>
                <w:color w:val="auto"/>
                <w:highlight w:val="none"/>
              </w:rPr>
              <w:t>为保证各投标人对本分标的充分了解，投标人可对项目进行实地勘察，否则由于情况了解不透彻导致投标失误的后果由投标人自行承担。</w:t>
            </w:r>
          </w:p>
          <w:p>
            <w:pPr>
              <w:pStyle w:val="2"/>
              <w:rPr>
                <w:rFonts w:eastAsiaTheme="minorEastAsia"/>
                <w:color w:val="auto"/>
                <w:highlight w:val="none"/>
              </w:rPr>
            </w:pPr>
            <w:r>
              <w:rPr>
                <w:rFonts w:hint="eastAsia" w:asciiTheme="minorEastAsia" w:hAnsiTheme="minorEastAsia" w:eastAsiaTheme="minorEastAsia" w:cstheme="minorEastAsia"/>
                <w:snapToGrid w:val="0"/>
                <w:color w:val="auto"/>
                <w:sz w:val="21"/>
                <w:szCs w:val="21"/>
                <w:highlight w:val="none"/>
              </w:rPr>
              <w:t>现场勘查联系人及电话：梁国宁 0771-6113578</w:t>
            </w:r>
          </w:p>
        </w:tc>
      </w:tr>
    </w:tbl>
    <w:p>
      <w:pPr>
        <w:pStyle w:val="2"/>
        <w:rPr>
          <w:rFonts w:asciiTheme="minorEastAsia" w:hAnsiTheme="minorEastAsia" w:eastAsiaTheme="minorEastAsia" w:cstheme="minorEastAsia"/>
          <w:color w:val="auto"/>
          <w:sz w:val="21"/>
          <w:szCs w:val="21"/>
          <w:highlight w:val="none"/>
        </w:rPr>
      </w:pPr>
    </w:p>
    <w:p>
      <w:pPr>
        <w:widowControl/>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br w:type="page"/>
      </w:r>
    </w:p>
    <w:p>
      <w:pPr>
        <w:adjustRightInd w:val="0"/>
        <w:snapToGrid w:val="0"/>
        <w:spacing w:line="570" w:lineRule="exact"/>
        <w:jc w:val="left"/>
        <w:rPr>
          <w:rFonts w:ascii="方正小标宋_GBK" w:eastAsia="方正小标宋_GBK"/>
          <w:snapToGrid w:val="0"/>
          <w:color w:val="auto"/>
          <w:sz w:val="44"/>
          <w:szCs w:val="44"/>
          <w:highlight w:val="none"/>
        </w:rPr>
      </w:pPr>
      <w:r>
        <w:rPr>
          <w:rFonts w:hint="eastAsia" w:ascii="方正小标宋_GBK" w:eastAsia="方正小标宋_GBK"/>
          <w:snapToGrid w:val="0"/>
          <w:color w:val="auto"/>
          <w:sz w:val="44"/>
          <w:szCs w:val="44"/>
          <w:highlight w:val="none"/>
        </w:rPr>
        <w:t>附件：</w:t>
      </w:r>
    </w:p>
    <w:p>
      <w:pPr>
        <w:adjustRightInd w:val="0"/>
        <w:snapToGrid w:val="0"/>
        <w:spacing w:line="570" w:lineRule="exact"/>
        <w:jc w:val="center"/>
        <w:rPr>
          <w:rFonts w:ascii="方正小标宋_GBK" w:eastAsia="方正小标宋_GBK"/>
          <w:snapToGrid w:val="0"/>
          <w:color w:val="auto"/>
          <w:sz w:val="44"/>
          <w:szCs w:val="44"/>
          <w:highlight w:val="none"/>
        </w:rPr>
      </w:pPr>
      <w:r>
        <w:rPr>
          <w:rFonts w:hint="eastAsia" w:ascii="方正小标宋_GBK" w:eastAsia="方正小标宋_GBK"/>
          <w:snapToGrid w:val="0"/>
          <w:color w:val="auto"/>
          <w:sz w:val="44"/>
          <w:szCs w:val="44"/>
          <w:highlight w:val="none"/>
        </w:rPr>
        <w:t>平台建设要求</w:t>
      </w:r>
    </w:p>
    <w:p>
      <w:pPr>
        <w:adjustRightInd w:val="0"/>
        <w:snapToGrid w:val="0"/>
        <w:spacing w:line="570" w:lineRule="exact"/>
        <w:ind w:firstLine="640" w:firstLineChars="200"/>
        <w:rPr>
          <w:rFonts w:eastAsia="方正仿宋_GBK"/>
          <w:snapToGrid w:val="0"/>
          <w:color w:val="auto"/>
          <w:sz w:val="32"/>
          <w:szCs w:val="32"/>
          <w:highlight w:val="none"/>
        </w:rPr>
      </w:pPr>
    </w:p>
    <w:p>
      <w:pPr>
        <w:adjustRightInd w:val="0"/>
        <w:snapToGrid w:val="0"/>
        <w:spacing w:line="570" w:lineRule="exact"/>
        <w:ind w:left="420" w:leftChars="200" w:right="420" w:rightChars="200" w:firstLine="640" w:firstLineChars="200"/>
        <w:rPr>
          <w:rFonts w:eastAsia="方正楷体_GBK"/>
          <w:snapToGrid w:val="0"/>
          <w:color w:val="auto"/>
          <w:sz w:val="32"/>
          <w:szCs w:val="32"/>
          <w:highlight w:val="none"/>
        </w:rPr>
      </w:pPr>
      <w:r>
        <w:rPr>
          <w:rFonts w:hint="eastAsia" w:ascii="方正楷体_GBK" w:eastAsia="方正楷体_GBK"/>
          <w:snapToGrid w:val="0"/>
          <w:color w:val="auto"/>
          <w:sz w:val="32"/>
          <w:szCs w:val="32"/>
          <w:highlight w:val="none"/>
        </w:rPr>
        <w:t>★</w:t>
      </w:r>
      <w:r>
        <w:rPr>
          <w:rFonts w:eastAsia="方正楷体_GBK"/>
          <w:snapToGrid w:val="0"/>
          <w:color w:val="auto"/>
          <w:sz w:val="32"/>
          <w:szCs w:val="32"/>
          <w:highlight w:val="none"/>
        </w:rPr>
        <w:t>以下为广西政府网站集约化平台建设要求简介，具体建设要求以《广西政府网站集约化平台项目初步设计方案》为准，自治区大数据发展局拥有最终解释权。</w:t>
      </w:r>
    </w:p>
    <w:p>
      <w:pPr>
        <w:pStyle w:val="4"/>
        <w:keepNext w:val="0"/>
        <w:keepLines w:val="0"/>
        <w:tabs>
          <w:tab w:val="left" w:pos="560"/>
        </w:tabs>
        <w:spacing w:before="156" w:line="570" w:lineRule="exact"/>
        <w:ind w:firstLine="643" w:firstLineChars="200"/>
        <w:rPr>
          <w:rFonts w:ascii="方正黑体_GBK" w:hAnsi="Times New Roman"/>
          <w:snapToGrid w:val="0"/>
          <w:color w:val="auto"/>
          <w:highlight w:val="none"/>
        </w:rPr>
      </w:pPr>
    </w:p>
    <w:p>
      <w:pPr>
        <w:pStyle w:val="4"/>
        <w:keepNext w:val="0"/>
        <w:keepLines w:val="0"/>
        <w:tabs>
          <w:tab w:val="left" w:pos="560"/>
        </w:tabs>
        <w:spacing w:before="156" w:line="570" w:lineRule="exact"/>
        <w:ind w:firstLine="643" w:firstLineChars="200"/>
        <w:rPr>
          <w:rFonts w:ascii="方正黑体_GBK" w:hAnsi="Times New Roman"/>
          <w:snapToGrid w:val="0"/>
          <w:color w:val="auto"/>
          <w:highlight w:val="none"/>
        </w:rPr>
      </w:pPr>
      <w:r>
        <w:rPr>
          <w:rFonts w:hint="eastAsia" w:ascii="方正黑体_GBK" w:hAnsi="Times New Roman"/>
          <w:snapToGrid w:val="0"/>
          <w:color w:val="auto"/>
          <w:highlight w:val="none"/>
        </w:rPr>
        <w:t>一、广西政府网站集约化平台建设</w:t>
      </w:r>
    </w:p>
    <w:p>
      <w:pPr>
        <w:pStyle w:val="5"/>
        <w:keepNext w:val="0"/>
        <w:keepLines w:val="0"/>
        <w:numPr>
          <w:ilvl w:val="2"/>
          <w:numId w:val="0"/>
        </w:numPr>
        <w:adjustRightInd w:val="0"/>
        <w:snapToGrid w:val="0"/>
        <w:spacing w:before="0" w:after="0" w:line="570" w:lineRule="exact"/>
        <w:ind w:firstLine="640" w:firstLineChars="200"/>
        <w:rPr>
          <w:rFonts w:eastAsia="方正楷体_GBK"/>
          <w:b w:val="0"/>
          <w:bCs w:val="0"/>
          <w:snapToGrid w:val="0"/>
          <w:color w:val="auto"/>
          <w:highlight w:val="none"/>
        </w:rPr>
      </w:pPr>
      <w:r>
        <w:rPr>
          <w:rFonts w:eastAsia="方正楷体_GBK"/>
          <w:b w:val="0"/>
          <w:bCs w:val="0"/>
          <w:snapToGrid w:val="0"/>
          <w:color w:val="auto"/>
          <w:highlight w:val="none"/>
        </w:rPr>
        <w:t>（一）</w:t>
      </w:r>
      <w:bookmarkStart w:id="18" w:name="_Toc17154"/>
      <w:bookmarkStart w:id="19" w:name="_Toc31415"/>
      <w:bookmarkStart w:id="20" w:name="_Toc468886095"/>
      <w:bookmarkStart w:id="21" w:name="_Toc535227941"/>
      <w:bookmarkStart w:id="22" w:name="_Toc1811264"/>
      <w:bookmarkStart w:id="23" w:name="_Toc536773518"/>
      <w:bookmarkStart w:id="24" w:name="_Toc497465229"/>
      <w:bookmarkStart w:id="25" w:name="_Toc14286"/>
      <w:bookmarkStart w:id="26" w:name="_Toc536611164"/>
      <w:bookmarkStart w:id="27" w:name="_Toc523935816"/>
      <w:r>
        <w:rPr>
          <w:rFonts w:eastAsia="方正楷体_GBK"/>
          <w:b w:val="0"/>
          <w:bCs w:val="0"/>
          <w:snapToGrid w:val="0"/>
          <w:color w:val="auto"/>
          <w:highlight w:val="none"/>
        </w:rPr>
        <w:t>集约化工作门户</w:t>
      </w:r>
      <w:bookmarkEnd w:id="18"/>
      <w:bookmarkEnd w:id="19"/>
      <w:bookmarkEnd w:id="20"/>
      <w:bookmarkEnd w:id="21"/>
      <w:bookmarkEnd w:id="22"/>
      <w:bookmarkEnd w:id="23"/>
      <w:bookmarkEnd w:id="24"/>
      <w:bookmarkEnd w:id="25"/>
      <w:bookmarkEnd w:id="26"/>
      <w:bookmarkEnd w:id="2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工作门户构建一个各级政府、直属部门、下级部门、事业单位共同使用的统一工作门户平台，整合现有业务系统的访问控制，通过单点登录实现对各业务工作平台的集中访问，登录用户通过统一的门户可以在一个桌面上进行各项业务办理、处理和审批操作，减少系统使用复杂度。同时门户还提供了各类动态信息、信息简报、通知通告等汇总统计显示，以及各类业务信息的播报。政府网站集约化平台实现的功能包括单点登录、个性化界面、工作台、新闻中心、互动交流、知识库、资源库等功能，从而降低用户进入系统和获得各系统提供信息的难度，使得用户获取和使用信息更直接、更方便，实现信息共享、综合利用，以促进信息的应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工作门户支撑框架：</w:t>
      </w:r>
    </w:p>
    <w:p>
      <w:pPr>
        <w:adjustRightInd w:val="0"/>
        <w:snapToGrid w:val="0"/>
        <w:spacing w:beforeLines="50" w:afterLines="8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25" o:spt="75" type="#_x0000_t75" style="height:323.05pt;width:448.9pt;" o:ole="t" filled="f" o:preferrelative="t" stroked="f" coordsize="21600,21600">
            <v:path/>
            <v:fill on="f" focussize="0,0"/>
            <v:stroke on="f" joinstyle="miter"/>
            <v:imagedata r:id="rId13" o:title=""/>
            <o:lock v:ext="edit" aspectratio="t"/>
            <w10:wrap type="none"/>
            <w10:anchorlock/>
          </v:shape>
          <o:OLEObject Type="Embed" ProgID="Visio.Drawing.11" ShapeID="_x0000_i1025" DrawAspect="Content" ObjectID="_1468075725">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hint="eastAsia" w:ascii="方正黑体_GBK" w:eastAsia="方正黑体_GBK"/>
          <w:snapToGrid w:val="0"/>
          <w:color w:val="auto"/>
          <w:sz w:val="28"/>
          <w:szCs w:val="28"/>
          <w:highlight w:val="none"/>
        </w:rPr>
        <w:t>工作门户支撑框架</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28" w:name="_Toc497465232"/>
      <w:bookmarkStart w:id="29" w:name="_Toc535227942"/>
      <w:bookmarkStart w:id="30" w:name="_Toc497465234"/>
      <w:r>
        <w:rPr>
          <w:rFonts w:eastAsia="方正仿宋_GBK"/>
          <w:bCs/>
          <w:snapToGrid w:val="0"/>
          <w:color w:val="auto"/>
          <w:sz w:val="32"/>
          <w:szCs w:val="32"/>
          <w:highlight w:val="none"/>
        </w:rPr>
        <w:t>1.单点登录</w:t>
      </w:r>
      <w:bookmarkEnd w:id="28"/>
      <w:bookmarkEnd w:id="2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实现自动匹配，保证用户仅在门户系统进行一次登录即可完成本次访问对所有系统的登录认证操作，并实现用户在各系统间的无缝转接、漫游和状态保持。</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31" w:name="_Toc535227943"/>
      <w:r>
        <w:rPr>
          <w:rFonts w:eastAsia="方正仿宋_GBK"/>
          <w:bCs/>
          <w:snapToGrid w:val="0"/>
          <w:color w:val="auto"/>
          <w:sz w:val="32"/>
          <w:szCs w:val="32"/>
          <w:highlight w:val="none"/>
        </w:rPr>
        <w:t>2.工作台</w:t>
      </w:r>
      <w:bookmarkEnd w:id="30"/>
      <w:bookmarkEnd w:id="3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全区各级政府、直属部门、下级部门、事业单位专属工作展台，根据登录用户类型、权限展示专属工作台页面实现千人千面。涵盖政务服务事项管理、用户服务体验监测、电子监督管理、大数据决策分析、网上服务能力评估等工作板块。</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在个人工作台可查看最新消息数“红点”提醒，点击可进一步查看最新消息详情及历史消息。可查看待办工作消息“红点”提醒，点击可进入待办工作展台进行日常工作处理。可查看个人信息及修改，包括联系电话、手机、邮箱等基本信息的修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用户在个人工作展台可根据个人习惯及工作需要对平台应用进行添加、删除、排版等进行设置，包括服务事项、知识库、内容管理、表单中心、数据开放、大数据分析等平台应用。</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32" w:name="_Toc497465235"/>
      <w:bookmarkStart w:id="33" w:name="_Toc535227944"/>
      <w:r>
        <w:rPr>
          <w:rFonts w:eastAsia="方正仿宋_GBK"/>
          <w:bCs/>
          <w:snapToGrid w:val="0"/>
          <w:color w:val="auto"/>
          <w:sz w:val="32"/>
          <w:szCs w:val="32"/>
          <w:highlight w:val="none"/>
        </w:rPr>
        <w:t>3.互动交流</w:t>
      </w:r>
      <w:bookmarkEnd w:id="32"/>
      <w:bookmarkEnd w:id="3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提供全体用户进行互动交流的平台，包括交流论坛、留言簿以及在线调查等功能。用户可对平台使用、网站建设、意见建议</w:t>
      </w:r>
      <w:r>
        <w:rPr>
          <w:rFonts w:eastAsia="方正仿宋_GBK"/>
          <w:snapToGrid w:val="0"/>
          <w:color w:val="auto"/>
          <w:spacing w:val="-4"/>
          <w:sz w:val="32"/>
          <w:szCs w:val="32"/>
          <w:highlight w:val="none"/>
        </w:rPr>
        <w:t>等发布交流问题，其他用户和针对感兴趣的问题进行留言回复或交流。管理者可发布在线调查活动，用户可针对活动展开交流互</w:t>
      </w:r>
      <w:r>
        <w:rPr>
          <w:rFonts w:eastAsia="方正仿宋_GBK"/>
          <w:snapToGrid w:val="0"/>
          <w:color w:val="auto"/>
          <w:sz w:val="32"/>
          <w:szCs w:val="32"/>
          <w:highlight w:val="none"/>
        </w:rPr>
        <w:t>动。</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34" w:name="_Toc497465233"/>
      <w:bookmarkStart w:id="35" w:name="_Toc535227945"/>
      <w:bookmarkStart w:id="36" w:name="_Toc497465236"/>
      <w:r>
        <w:rPr>
          <w:rFonts w:eastAsia="方正仿宋_GBK"/>
          <w:bCs/>
          <w:snapToGrid w:val="0"/>
          <w:color w:val="auto"/>
          <w:sz w:val="32"/>
          <w:szCs w:val="32"/>
          <w:highlight w:val="none"/>
        </w:rPr>
        <w:t>4.新闻中心</w:t>
      </w:r>
      <w:bookmarkEnd w:id="34"/>
      <w:bookmarkEnd w:id="3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专为政府网站集约化平台内部用户打造新闻分享平台，包括要闻、公告、专题、政策，热点等主要新闻板块。采用24小时轮播图片新闻方式展现重要内容，支持新闻搜索功能并展示近期搜索热词，采用点击排行方式展示新闻热点。</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37" w:name="_Toc535227946"/>
      <w:r>
        <w:rPr>
          <w:rFonts w:eastAsia="方正仿宋_GBK"/>
          <w:bCs/>
          <w:snapToGrid w:val="0"/>
          <w:color w:val="auto"/>
          <w:sz w:val="32"/>
          <w:szCs w:val="32"/>
          <w:highlight w:val="none"/>
        </w:rPr>
        <w:t>5.知识库</w:t>
      </w:r>
      <w:bookmarkEnd w:id="36"/>
      <w:bookmarkEnd w:id="3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用户可随时查看政府网站集约化平台所发布关于平台使用、服务订购、网站建设规范等相关知识，用户也可主动分享个人知识内容、资料等，分享内容经知识库管理员审核通过后可在知识库板块统一发布。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知识库管理员可对知识库现有内容进行日常维护，可对用户分享的知识内容进行审核过滤、发布、撤销发布及删除等操作。</w:t>
      </w:r>
      <w:r>
        <w:rPr>
          <w:rFonts w:eastAsia="方正仿宋_GBK"/>
          <w:snapToGrid w:val="0"/>
          <w:color w:val="auto"/>
          <w:spacing w:val="-4"/>
          <w:sz w:val="32"/>
          <w:szCs w:val="32"/>
          <w:highlight w:val="none"/>
        </w:rPr>
        <w:t>可对现有知识进行分类管理、添加标签，为用户快速查找提供便</w:t>
      </w:r>
      <w:r>
        <w:rPr>
          <w:rFonts w:eastAsia="方正仿宋_GBK"/>
          <w:snapToGrid w:val="0"/>
          <w:color w:val="auto"/>
          <w:sz w:val="32"/>
          <w:szCs w:val="32"/>
          <w:highlight w:val="none"/>
        </w:rPr>
        <w:t>利。</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知识库管理员可定期查看知识库内容浏览排名、知识库内容评价排名、知识库内容热度排名、知识库内容搜索排名，为知识库内容优化建设提供数据依据。</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38" w:name="_Toc497465237"/>
      <w:bookmarkStart w:id="39" w:name="_Toc535227947"/>
      <w:r>
        <w:rPr>
          <w:rFonts w:eastAsia="方正仿宋_GBK"/>
          <w:bCs/>
          <w:snapToGrid w:val="0"/>
          <w:color w:val="auto"/>
          <w:sz w:val="32"/>
          <w:szCs w:val="32"/>
          <w:highlight w:val="none"/>
        </w:rPr>
        <w:t>6.资源库</w:t>
      </w:r>
      <w:bookmarkEnd w:id="38"/>
      <w:bookmarkEnd w:id="3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政府网站集约化平台用户在日常工作中可随时到资源库中查找资源，包括数据资源、图片资源、音视频资源、文档资源等为日常工作提供帮助。</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用户也可主动分享个人资源，个人资源分享后需资源库管理员审核通过后才能发到资源库中。</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资源库管理员可对系统资源进行日常管理，除分享资源审核外还可对现有资源进行归类、设置资源标签、资源发布、发布资源撤回等。</w:t>
      </w:r>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bCs/>
          <w:snapToGrid w:val="0"/>
          <w:color w:val="auto"/>
          <w:sz w:val="32"/>
          <w:szCs w:val="32"/>
          <w:highlight w:val="none"/>
        </w:rPr>
      </w:pPr>
      <w:bookmarkStart w:id="40" w:name="_Toc20383"/>
      <w:bookmarkStart w:id="41" w:name="_Toc32718"/>
      <w:bookmarkStart w:id="42" w:name="_Toc536773519"/>
      <w:bookmarkStart w:id="43" w:name="_Toc1811265"/>
      <w:bookmarkStart w:id="44" w:name="_Toc535227948"/>
      <w:bookmarkStart w:id="45" w:name="_Toc536611165"/>
      <w:bookmarkStart w:id="46" w:name="_Toc28259"/>
      <w:r>
        <w:rPr>
          <w:rFonts w:hint="eastAsia" w:ascii="方正楷体_GBK" w:eastAsia="方正楷体_GBK"/>
          <w:bCs/>
          <w:snapToGrid w:val="0"/>
          <w:color w:val="auto"/>
          <w:sz w:val="32"/>
          <w:szCs w:val="32"/>
          <w:highlight w:val="none"/>
        </w:rPr>
        <w:t>（二）信息资源管理系统</w:t>
      </w:r>
      <w:bookmarkEnd w:id="40"/>
      <w:bookmarkEnd w:id="41"/>
      <w:bookmarkEnd w:id="42"/>
      <w:bookmarkEnd w:id="43"/>
      <w:bookmarkEnd w:id="44"/>
      <w:bookmarkEnd w:id="45"/>
      <w:bookmarkEnd w:id="4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进一步合理配置资源、提升对信息资源的管理和利用，构建政府信息资源库将有助于增强信息资源的完整性、可用性和权威性，实现规范信息资源采集方式、完善信息资源管理机制、推动信息资源共享开放、支撑政务应用个性服务、提供领导决策依据支撑等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根据指引要求构建分类科学、集中规范、共享共用的统一信息资源库，按照“先入库，后使用”原则，对政府网站的信息资源以及对接应用系统数据库中的资源进行统一管理，实现统一采集、统一分类、统一元数据、统一数据格式、统一调用、统一监管，实时掌握资源、系统运行概况，能够对信息资源进行全生命周期管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634990" cy="5805170"/>
            <wp:effectExtent l="0" t="0" r="3810" b="508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14"/>
                    <a:stretch>
                      <a:fillRect/>
                    </a:stretch>
                  </pic:blipFill>
                  <pic:spPr>
                    <a:xfrm>
                      <a:off x="0" y="0"/>
                      <a:ext cx="5634990" cy="580517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hint="eastAsia" w:ascii="方正黑体_GBK" w:eastAsia="方正黑体_GBK"/>
          <w:snapToGrid w:val="0"/>
          <w:color w:val="auto"/>
          <w:sz w:val="28"/>
          <w:szCs w:val="28"/>
          <w:highlight w:val="none"/>
        </w:rPr>
        <w:t>统一信息资源库系统架构</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数据采集层。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Web采集、数据接口、数据库对接、批量导入等多种采集方式将各类数据源中的数据采集到信息资源库，也可通过信息资源共享交换平台将其他信息资源库的数据采集到资源库中，为大规模、快速、高效的资源汇聚融合奠定基础。</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资源存储层。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由结构化数据库集群、非结构化数据库集群、文件系统集群组成，以支持不同数据格式、海量信息资源存储。根据数据规模灵活集群扩展，有效解决数据量与数据存取效率问题。</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业务模块层。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对信息资源核心及辅助管理的全部功能，以及系统自身的管理、分析功能。核心功能包括资源库管理、资源管理；辅助功能包括大数据分析、统一监控、系统管理等。满足对资源的分类标识存储、加工、发布到应用系统、数据分析统计等业务场景，为服务接口层提供规范的开放接口，并支撑AI智能化大数据应用。</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服务接口层。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资源索引服务接口和资源维护接口，实现信息资源库与业务应用系统之间的资源交换，网站内容发布、信息公开、互动交流、政务服务等应用系统能够通过服务接口获取资源库内资源，进行二次加工利用，同时可以将自身系统中的资源提交到资源库中统一管理。</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47" w:name="_Toc518581931"/>
      <w:bookmarkStart w:id="48" w:name="_Toc535227949"/>
      <w:r>
        <w:rPr>
          <w:rFonts w:eastAsia="方正仿宋_GBK"/>
          <w:bCs/>
          <w:snapToGrid w:val="0"/>
          <w:color w:val="auto"/>
          <w:sz w:val="32"/>
          <w:szCs w:val="32"/>
          <w:highlight w:val="none"/>
        </w:rPr>
        <w:t>1.信息资源采集</w:t>
      </w:r>
      <w:bookmarkEnd w:id="47"/>
      <w:bookmarkEnd w:id="4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统一信息资源库应提供批量资源获取的能力，支持多种资源获取方式，具体包括：</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【网页采集】以网络爬虫技术直接采集网页内容并导入统一信息资源库，允许对资源进行再编辑维护管理。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【数据库采集】能够直接通过建立数据库链接，从政府网站相关业务系统数据库直接完整获取数据库内数据，导入统一信息资源库，允许对资源进行再编辑维护管理。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【数据接口对接】统一信息资源库需提供标准的资源对接接口，政府网站相关业务系统通过接口方式对接，传输信息资源到统一信息资源库，允许对资源进行再编辑维护管理。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【批量导入】支持从本地批量上传信息资源文件到统一信息资源库，允许对资源进行再编辑维护管理。不同的统一信息资源库之间，可以利用资源导出导入功能生成数据包，进行资源批量迁移。  </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49" w:name="_Toc535227950"/>
      <w:bookmarkStart w:id="50" w:name="_Toc518581936"/>
      <w:r>
        <w:rPr>
          <w:rFonts w:eastAsia="方正仿宋_GBK"/>
          <w:bCs/>
          <w:snapToGrid w:val="0"/>
          <w:color w:val="auto"/>
          <w:sz w:val="32"/>
          <w:szCs w:val="32"/>
          <w:highlight w:val="none"/>
        </w:rPr>
        <w:t>2.信息资源存储</w:t>
      </w:r>
      <w:bookmarkEnd w:id="49"/>
      <w:bookmarkEnd w:id="5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支持对结构化数据存储、非结构化数据存储和文件存储，支持对海量数据、异构数据的分布式存储。</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51" w:name="_Toc535227951"/>
      <w:bookmarkStart w:id="52" w:name="_Toc518581937"/>
      <w:r>
        <w:rPr>
          <w:rFonts w:eastAsia="方正仿宋_GBK"/>
          <w:bCs/>
          <w:snapToGrid w:val="0"/>
          <w:color w:val="auto"/>
          <w:sz w:val="32"/>
          <w:szCs w:val="32"/>
          <w:highlight w:val="none"/>
        </w:rPr>
        <w:t>3.资源库管理</w:t>
      </w:r>
      <w:bookmarkEnd w:id="51"/>
      <w:bookmarkEnd w:id="52"/>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【库管理】需具备创建并管理资源库的能力，包括资源库的创建、修改、删除、授权等操作。能够按业务主题、业务部门创建资源库。能够将资源库授权给指定的部门或人员使用。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目录管理】能够在资源库下创建目录，对资源进行细分存储，不同类别的资源存放于不同目录下，能够将目录与元数据集进行关联，目录下的信息资源可归属于相应的元数据集；可授权给指定的部门或人员使用。支持目录关联资源同步策略，使目录下的资源按照同步策略自动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【分类管理】需具有基础分类体系，并且能够依据信息资源标准规范扩展或自主建立自定义分类体系。</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支持资源库将分类与信息资源关联，为单个或批量资源指定一个或多个分类。</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支持资源库将分类与元数据关联，为单个或批量元数据项指定一个或多个分类。</w:t>
      </w:r>
    </w:p>
    <w:p>
      <w:pPr>
        <w:adjustRightInd w:val="0"/>
        <w:snapToGrid w:val="0"/>
        <w:spacing w:line="570" w:lineRule="exact"/>
        <w:ind w:firstLine="640" w:firstLineChars="200"/>
        <w:rPr>
          <w:rFonts w:eastAsia="方正仿宋_GBK"/>
          <w:snapToGrid w:val="0"/>
          <w:color w:val="auto"/>
          <w:sz w:val="32"/>
          <w:szCs w:val="32"/>
          <w:highlight w:val="none"/>
          <w:lang w:val="zh-CN"/>
        </w:rPr>
      </w:pPr>
      <w:r>
        <w:rPr>
          <w:rFonts w:eastAsia="方正仿宋_GBK"/>
          <w:snapToGrid w:val="0"/>
          <w:color w:val="auto"/>
          <w:sz w:val="32"/>
          <w:szCs w:val="32"/>
          <w:highlight w:val="none"/>
        </w:rPr>
        <w:t>【标签管理】</w:t>
      </w:r>
      <w:r>
        <w:rPr>
          <w:rFonts w:eastAsia="方正仿宋_GBK"/>
          <w:snapToGrid w:val="0"/>
          <w:color w:val="auto"/>
          <w:sz w:val="32"/>
          <w:szCs w:val="32"/>
          <w:highlight w:val="none"/>
          <w:lang w:val="zh-CN"/>
        </w:rPr>
        <w:t>支持资源使用者和管理者对标签的管理，支持标签创建、修改和删除，支持标签的统一记录和展示。</w:t>
      </w:r>
    </w:p>
    <w:p>
      <w:pPr>
        <w:adjustRightInd w:val="0"/>
        <w:snapToGrid w:val="0"/>
        <w:spacing w:line="570" w:lineRule="exact"/>
        <w:ind w:firstLine="640" w:firstLineChars="200"/>
        <w:rPr>
          <w:rFonts w:eastAsia="方正仿宋_GBK"/>
          <w:snapToGrid w:val="0"/>
          <w:color w:val="auto"/>
          <w:sz w:val="32"/>
          <w:szCs w:val="32"/>
          <w:highlight w:val="none"/>
          <w:lang w:val="zh-CN"/>
        </w:rPr>
      </w:pPr>
      <w:r>
        <w:rPr>
          <w:rFonts w:eastAsia="方正仿宋_GBK"/>
          <w:snapToGrid w:val="0"/>
          <w:color w:val="auto"/>
          <w:sz w:val="32"/>
          <w:szCs w:val="32"/>
          <w:highlight w:val="none"/>
        </w:rPr>
        <w:t>【同步策略】</w:t>
      </w:r>
      <w:r>
        <w:rPr>
          <w:rFonts w:eastAsia="方正仿宋_GBK"/>
          <w:snapToGrid w:val="0"/>
          <w:color w:val="auto"/>
          <w:sz w:val="32"/>
          <w:szCs w:val="32"/>
          <w:highlight w:val="none"/>
          <w:lang w:val="zh-CN"/>
        </w:rPr>
        <w:t>支持资源库目录下的资源自动同步到应用系统中。资源管理者可进行策略创建、修改、关联目录等操作，在目</w:t>
      </w:r>
      <w:r>
        <w:rPr>
          <w:rFonts w:eastAsia="方正仿宋_GBK"/>
          <w:snapToGrid w:val="0"/>
          <w:color w:val="auto"/>
          <w:spacing w:val="-4"/>
          <w:sz w:val="32"/>
          <w:szCs w:val="32"/>
          <w:highlight w:val="none"/>
          <w:lang w:val="zh-CN"/>
        </w:rPr>
        <w:t>录管理中也可对某一目录关联多个同步策略，包括同步的开始时间、同步资源的条件、同步的应用系统等都可以在同步策略中实</w:t>
      </w:r>
      <w:r>
        <w:rPr>
          <w:rFonts w:eastAsia="方正仿宋_GBK"/>
          <w:snapToGrid w:val="0"/>
          <w:color w:val="auto"/>
          <w:sz w:val="32"/>
          <w:szCs w:val="32"/>
          <w:highlight w:val="none"/>
          <w:lang w:val="zh-CN"/>
        </w:rPr>
        <w:t>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元数据管理】应根据政府网站信息资源标准规范要求，在平台内置一套标准元数据信息，满足通用业务需求。并能够支持根据个性业务需要，自由灵活扩展元数据信息。能够创建元数据项，集中对元数据项进行管理，包括元数据的编辑、修改、删除等操作。</w:t>
      </w:r>
    </w:p>
    <w:p>
      <w:pPr>
        <w:adjustRightInd w:val="0"/>
        <w:snapToGrid w:val="0"/>
        <w:spacing w:line="570" w:lineRule="exact"/>
        <w:ind w:firstLine="640" w:firstLineChars="200"/>
        <w:rPr>
          <w:rFonts w:eastAsia="方正仿宋_GBK"/>
          <w:snapToGrid w:val="0"/>
          <w:color w:val="auto"/>
          <w:sz w:val="32"/>
          <w:szCs w:val="32"/>
          <w:highlight w:val="none"/>
          <w:lang w:val="zh-CN"/>
        </w:rPr>
      </w:pPr>
      <w:r>
        <w:rPr>
          <w:rFonts w:eastAsia="方正仿宋_GBK"/>
          <w:snapToGrid w:val="0"/>
          <w:color w:val="auto"/>
          <w:sz w:val="32"/>
          <w:szCs w:val="32"/>
          <w:highlight w:val="none"/>
        </w:rPr>
        <w:t>【元</w:t>
      </w:r>
      <w:r>
        <w:rPr>
          <w:rFonts w:eastAsia="方正仿宋_GBK"/>
          <w:snapToGrid w:val="0"/>
          <w:color w:val="auto"/>
          <w:sz w:val="32"/>
          <w:szCs w:val="32"/>
          <w:highlight w:val="none"/>
          <w:lang w:val="zh-CN"/>
        </w:rPr>
        <w:t>数据</w:t>
      </w:r>
      <w:r>
        <w:rPr>
          <w:rFonts w:eastAsia="方正仿宋_GBK"/>
          <w:snapToGrid w:val="0"/>
          <w:color w:val="auto"/>
          <w:sz w:val="32"/>
          <w:szCs w:val="32"/>
          <w:highlight w:val="none"/>
        </w:rPr>
        <w:t>维护】</w:t>
      </w:r>
      <w:r>
        <w:rPr>
          <w:rFonts w:eastAsia="方正仿宋_GBK"/>
          <w:snapToGrid w:val="0"/>
          <w:color w:val="auto"/>
          <w:sz w:val="32"/>
          <w:szCs w:val="32"/>
          <w:highlight w:val="none"/>
          <w:lang w:val="zh-CN"/>
        </w:rPr>
        <w:t>支持元数据组成元数据集，目录可以关联多个元数据集，编辑资源时，可调用元数据集，对元数据集中的元数据的值进行维护。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【导入导出】</w:t>
      </w:r>
      <w:r>
        <w:rPr>
          <w:rFonts w:eastAsia="方正仿宋_GBK"/>
          <w:snapToGrid w:val="0"/>
          <w:color w:val="auto"/>
          <w:sz w:val="32"/>
          <w:szCs w:val="32"/>
          <w:highlight w:val="none"/>
          <w:lang w:val="zh-CN"/>
        </w:rPr>
        <w:t>支持用户将信息资源库中资源导出到本地或将本地的资源包导入到信息资源库中的功能，用户可将带有元数据项描述的大量资源导出或导入信息资源库，支持资源的导入、导出、下载、删除等操作。</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53" w:name="_Toc535227952"/>
      <w:bookmarkStart w:id="54" w:name="_Toc518581947"/>
      <w:r>
        <w:rPr>
          <w:rFonts w:eastAsia="方正仿宋_GBK"/>
          <w:bCs/>
          <w:snapToGrid w:val="0"/>
          <w:color w:val="auto"/>
          <w:sz w:val="32"/>
          <w:szCs w:val="32"/>
          <w:highlight w:val="none"/>
        </w:rPr>
        <w:t>4.信息资源管理</w:t>
      </w:r>
      <w:bookmarkEnd w:id="5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信息资源管理主要包括应用接入管理、资源目录管理、资源格式管理、资源维度管理、资源浏览、检索及统计分析等。</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55" w:name="_Toc505956456"/>
      <w:bookmarkStart w:id="56" w:name="_Toc524688399"/>
      <w:r>
        <w:rPr>
          <w:rFonts w:eastAsia="方正仿宋_GBK"/>
          <w:bCs/>
          <w:snapToGrid w:val="0"/>
          <w:color w:val="auto"/>
          <w:sz w:val="32"/>
          <w:szCs w:val="32"/>
          <w:highlight w:val="none"/>
        </w:rPr>
        <w:t>4.1　应用接入管理</w:t>
      </w:r>
      <w:bookmarkEnd w:id="55"/>
      <w:bookmarkEnd w:id="5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应用接入管理可实现各厂商内容管理系统、互动交流系统等应用与集约化管理平台的对接，用于维护资源库系统与各应用系统的接口及创建栏目层级、自动汇总等控制。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平台管理员能够对各接入应用实时进行维护，具有新增、修改、删除、排序、测试连接等功能。</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57" w:name="_Toc505956457"/>
      <w:bookmarkStart w:id="58" w:name="_Toc524688400"/>
      <w:r>
        <w:rPr>
          <w:rFonts w:eastAsia="方正仿宋_GBK"/>
          <w:bCs/>
          <w:snapToGrid w:val="0"/>
          <w:color w:val="auto"/>
          <w:sz w:val="32"/>
          <w:szCs w:val="32"/>
          <w:highlight w:val="none"/>
        </w:rPr>
        <w:t>4.2　资源目录管理</w:t>
      </w:r>
      <w:bookmarkEnd w:id="57"/>
      <w:bookmarkEnd w:id="5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资源目录管理可实现对统一资源目录体系的构建，具有新增、删除、编辑、转移、审核等基础功能，能够为统一资源目录体系的建设提供技术支持。资源目录管理功能同时具有目录删除验证机制和回收站功能，通过验证机制删除的目录将会进入回收箱，如若为误操作，则能够通过回收站进行恢复，有效防止人员误操作；资源目录管理支持目录的设定和继承，可快速构建目录，支持目录批量的合并、克隆、转移、导入导出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具有基于关键字、目录字段、目录类型、检索范围级联或关键字单一条件的高级检索功能，能够快速定位所需目录资源。目录的类型可支持单信息、多信息、映射、自定义等，能有全方位支持多种类型目录资源。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新增目录：用于对统一目录体系目录的维护。新增目录是在某个父目录下或根目录下增加目录。系统支持多种类型目录的建立，包括单信息目录、多信息目录、映射目录、自定义目录等。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删除目录：管理员可根据政府网站绩效考核要求，对资源目录中的目录进行调整，将不需要的资源目录进行删除，同时提供删除验证功能，能够有效防止资源目录维护人员进行误操作。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目录转移：目录的转移功能够将指定的一个或多个目录，转移到其他目录下，转移后目录会保留原来的目录属性以及目录下的全部信息。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目录审核：管理员能够对集约化管理平台中新增目录、删除目录以及各内容管理系统推送至集约化管理平台的目录进行审核，审核通过后，对统一资源目录体系进行动态更新。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目录导入/导出：实现对统一目录体系的备份和快速回复。导出的文件中能够记录目录的字段属性以及目录所属维度属性。导入的文件应符合目录导入标准，包括目录字段属性标准以及维度属性标准。</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59" w:name="_Toc524688401"/>
      <w:bookmarkStart w:id="60" w:name="_Toc505956458"/>
      <w:r>
        <w:rPr>
          <w:rFonts w:eastAsia="方正仿宋_GBK"/>
          <w:bCs/>
          <w:snapToGrid w:val="0"/>
          <w:color w:val="auto"/>
          <w:sz w:val="32"/>
          <w:szCs w:val="32"/>
          <w:highlight w:val="none"/>
        </w:rPr>
        <w:t>4.3　资源格式管理</w:t>
      </w:r>
      <w:bookmarkEnd w:id="59"/>
      <w:bookmarkEnd w:id="6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资源格式管理用于建立集约化管理平台中统一目录体系中不同维度目录的标准化目录格式，能够有效规范集约化管理平台各种维度资源目录的数据字段，实现对各单位、各部门数据维护的规范化。</w:t>
      </w:r>
    </w:p>
    <w:p>
      <w:pPr>
        <w:adjustRightInd w:val="0"/>
        <w:snapToGrid w:val="0"/>
        <w:spacing w:line="570" w:lineRule="exact"/>
        <w:ind w:firstLine="656"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资源格式管理支持多种字段类型，包括文字类型、整数类型、</w:t>
      </w:r>
      <w:r>
        <w:rPr>
          <w:rFonts w:eastAsia="方正仿宋_GBK"/>
          <w:snapToGrid w:val="0"/>
          <w:color w:val="auto"/>
          <w:spacing w:val="6"/>
          <w:sz w:val="32"/>
          <w:szCs w:val="32"/>
          <w:highlight w:val="none"/>
        </w:rPr>
        <w:t>小数类型、日期类型、图片类型、动画类型、附件类型、媒体类型、词典类型、长文字类型等，能够满足多种维度资源格式的建</w:t>
      </w:r>
      <w:r>
        <w:rPr>
          <w:rFonts w:eastAsia="方正仿宋_GBK"/>
          <w:snapToGrid w:val="0"/>
          <w:color w:val="auto"/>
          <w:sz w:val="32"/>
          <w:szCs w:val="32"/>
          <w:highlight w:val="none"/>
        </w:rPr>
        <w:t>立。</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61" w:name="_Toc524688402"/>
      <w:bookmarkStart w:id="62" w:name="_Toc505956459"/>
      <w:r>
        <w:rPr>
          <w:rFonts w:eastAsia="方正仿宋_GBK"/>
          <w:bCs/>
          <w:snapToGrid w:val="0"/>
          <w:color w:val="auto"/>
          <w:sz w:val="32"/>
          <w:szCs w:val="32"/>
          <w:highlight w:val="none"/>
        </w:rPr>
        <w:t>4.4　资源维度管理</w:t>
      </w:r>
      <w:bookmarkEnd w:id="61"/>
      <w:bookmarkEnd w:id="62"/>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一资源管理平台提供对目录资源进行不同纬度的划分与管理，根据政府直属部门与具有行业性质的委办单位网站目录属性的区别，对平台提供的标准目录资源进行分类与建模。提供政府目录（自治区级、市级、县级）与政府部门目录（自治区级、市级）两种不同的标准目录体系。需要接入统一资源管理平台的单位或部门，可根据本级单位所对应的级别属性选择目录资源，构建本级单位或部门的网站目录。</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63" w:name="_Toc505956460"/>
      <w:bookmarkStart w:id="64" w:name="_Toc524688403"/>
      <w:r>
        <w:rPr>
          <w:rFonts w:eastAsia="方正仿宋_GBK"/>
          <w:bCs/>
          <w:snapToGrid w:val="0"/>
          <w:color w:val="auto"/>
          <w:sz w:val="32"/>
          <w:szCs w:val="32"/>
          <w:highlight w:val="none"/>
        </w:rPr>
        <w:t>4.5　信息资源管理</w:t>
      </w:r>
      <w:bookmarkEnd w:id="63"/>
      <w:bookmarkEnd w:id="64"/>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资源管理能够依据统一资源目录体系对集约化网站资源进行管理，各单位、各部门网站中与统一资源目录体系对应的信息资源，都将通过标准接口，自动汇集到对应的资源目录下，交由信息资源管理功能进行存储和维护。</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65" w:name="_Toc505956461"/>
      <w:bookmarkStart w:id="66" w:name="_Toc524688404"/>
      <w:r>
        <w:rPr>
          <w:rFonts w:eastAsia="方正仿宋_GBK"/>
          <w:bCs/>
          <w:snapToGrid w:val="0"/>
          <w:color w:val="auto"/>
          <w:sz w:val="32"/>
          <w:szCs w:val="32"/>
          <w:highlight w:val="none"/>
        </w:rPr>
        <w:t>4.6　资源统计管理</w:t>
      </w:r>
      <w:bookmarkEnd w:id="65"/>
      <w:bookmarkEnd w:id="6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统计接入的应用，资源的录入、使用等情况，并进行数据分析。为资源分类规划、网站建设提供改进的数据支持。</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67" w:name="_Toc524688405"/>
      <w:bookmarkStart w:id="68" w:name="_Toc505956462"/>
      <w:bookmarkStart w:id="69" w:name="_Toc535227953"/>
      <w:r>
        <w:rPr>
          <w:rFonts w:eastAsia="方正仿宋_GBK"/>
          <w:bCs/>
          <w:snapToGrid w:val="0"/>
          <w:color w:val="auto"/>
          <w:sz w:val="32"/>
          <w:szCs w:val="32"/>
          <w:highlight w:val="none"/>
        </w:rPr>
        <w:t>5.资源规范管理</w:t>
      </w:r>
      <w:bookmarkEnd w:id="67"/>
      <w:bookmarkEnd w:id="68"/>
      <w:bookmarkEnd w:id="69"/>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70" w:name="_Toc524688406"/>
      <w:bookmarkStart w:id="71" w:name="_Toc505956463"/>
      <w:r>
        <w:rPr>
          <w:rFonts w:eastAsia="方正仿宋_GBK"/>
          <w:bCs/>
          <w:snapToGrid w:val="0"/>
          <w:color w:val="auto"/>
          <w:sz w:val="32"/>
          <w:szCs w:val="32"/>
          <w:highlight w:val="none"/>
        </w:rPr>
        <w:t>5.1　标准化资源体系</w:t>
      </w:r>
      <w:bookmarkEnd w:id="70"/>
      <w:bookmarkEnd w:id="7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依托统一资源平台，按照集约化网站考核标准，构建集约化网站统一目录规范体系与统一数据资源体系，规范网站目录设定、资源格式设定，包括资源目录层级以及各资源目录的数据格式。</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72" w:name="_Toc505956464"/>
      <w:bookmarkStart w:id="73" w:name="_Toc524688407"/>
      <w:r>
        <w:rPr>
          <w:rFonts w:eastAsia="方正仿宋_GBK"/>
          <w:bCs/>
          <w:snapToGrid w:val="0"/>
          <w:color w:val="auto"/>
          <w:sz w:val="32"/>
          <w:szCs w:val="32"/>
          <w:highlight w:val="none"/>
        </w:rPr>
        <w:t>5.2　各单位获取标准化栏目体系</w:t>
      </w:r>
      <w:bookmarkEnd w:id="72"/>
      <w:bookmarkEnd w:id="7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各单位、各部门在接入集约化管理平台的内容管理系统在新建网站时，能够根据本级单位的级别与分类属性，获取到集约化管理平台中与之相匹配的统一目录资源（有必选栏目和可选栏目），各内容管理系统从获取到的统一资源目录体系中选取所需本单位所需资源目录，形成自己网站的标准化栏目体系。</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74" w:name="_Toc524688408"/>
      <w:bookmarkStart w:id="75" w:name="_Toc505956465"/>
      <w:r>
        <w:rPr>
          <w:rFonts w:eastAsia="方正仿宋_GBK"/>
          <w:bCs/>
          <w:snapToGrid w:val="0"/>
          <w:color w:val="auto"/>
          <w:sz w:val="32"/>
          <w:szCs w:val="32"/>
          <w:highlight w:val="none"/>
        </w:rPr>
        <w:t>5.3　资源目录动态更新</w:t>
      </w:r>
      <w:bookmarkEnd w:id="74"/>
      <w:bookmarkEnd w:id="7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各内容管理系统能够依据各单位业务需求，构建能够凸显本单位业务特色的个性化栏目，各单位可通过资源目录动态更新机制，将本单位的特色栏目推送至集约化管理平台中，通过集约化管理平台管理人员审核后，该目录能够按照相关的维度标准汇聚到集约化管理平台统一资源目录与本单位相对于的标准目录中，有效实现对统一资源目录体系的动态更新与管理。</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76" w:name="_Toc524688409"/>
      <w:bookmarkStart w:id="77" w:name="_Toc505956466"/>
      <w:r>
        <w:rPr>
          <w:rFonts w:eastAsia="方正仿宋_GBK"/>
          <w:bCs/>
          <w:snapToGrid w:val="0"/>
          <w:color w:val="auto"/>
          <w:sz w:val="32"/>
          <w:szCs w:val="32"/>
          <w:highlight w:val="none"/>
        </w:rPr>
        <w:t>5.4　数据资源汇聚与共享</w:t>
      </w:r>
      <w:bookmarkEnd w:id="76"/>
      <w:bookmarkEnd w:id="7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各内容管理系统在获取到的标准化目录体系中录入信息后，各内容管理系统将按照相关的维护标准和目录对应关系，自动将各单位录入的信息资源汇总到集约化管理平台相对应的资源目录下，实现对政府网站数据资源的自动汇聚。同时，集约化管理平台能够根据实际的业务需求或关联关系，设置资源目录体系与接入内容管理系统目录体系间的共享关系，能够依据共享关系自动将与之匹配的信息资源，推送到指定内容管理系统的关联目录中，实现数据资源的共享。</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78" w:name="_Toc521533068"/>
      <w:bookmarkStart w:id="79" w:name="_Toc524688410"/>
      <w:bookmarkStart w:id="80" w:name="_Toc535227954"/>
      <w:r>
        <w:rPr>
          <w:rFonts w:eastAsia="方正仿宋_GBK"/>
          <w:bCs/>
          <w:snapToGrid w:val="0"/>
          <w:color w:val="auto"/>
          <w:sz w:val="32"/>
          <w:szCs w:val="32"/>
          <w:highlight w:val="none"/>
        </w:rPr>
        <w:t>6.接口管理</w:t>
      </w:r>
      <w:bookmarkEnd w:id="78"/>
      <w:bookmarkEnd w:id="79"/>
      <w:bookmarkEnd w:id="80"/>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81" w:name="_Toc524688411"/>
      <w:r>
        <w:rPr>
          <w:rFonts w:eastAsia="方正仿宋_GBK"/>
          <w:bCs/>
          <w:snapToGrid w:val="0"/>
          <w:color w:val="auto"/>
          <w:sz w:val="32"/>
          <w:szCs w:val="32"/>
          <w:highlight w:val="none"/>
        </w:rPr>
        <w:t>6.1　应用接入接口</w:t>
      </w:r>
      <w:bookmarkEnd w:id="8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依照标准的数据接口，实现资源库与各单位、各部门自建的第三方应用系统对接功能，实现与第三方应用系统的服务对接调用，满足服务扩展的需要。</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82" w:name="_Toc524688412"/>
      <w:r>
        <w:rPr>
          <w:rFonts w:eastAsia="方正仿宋_GBK"/>
          <w:bCs/>
          <w:snapToGrid w:val="0"/>
          <w:color w:val="auto"/>
          <w:sz w:val="32"/>
          <w:szCs w:val="32"/>
          <w:highlight w:val="none"/>
        </w:rPr>
        <w:t>6.2　目录同步接口</w:t>
      </w:r>
      <w:bookmarkEnd w:id="82"/>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提供标准目录资源，可实现目录资源的同步推送。当某个单位或部门需要新建子网站时，通过目录同步接口即可获取标准目录资源；同时也可将本单位个性化定制的目录推送到政府网站集约化平台，实现对标准目录资源的内容补充。</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83" w:name="_Toc524688413"/>
      <w:r>
        <w:rPr>
          <w:rFonts w:eastAsia="方正仿宋_GBK"/>
          <w:bCs/>
          <w:snapToGrid w:val="0"/>
          <w:color w:val="auto"/>
          <w:sz w:val="32"/>
          <w:szCs w:val="32"/>
          <w:highlight w:val="none"/>
        </w:rPr>
        <w:t>6.3　资源同步接口</w:t>
      </w:r>
      <w:bookmarkEnd w:id="8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提供资源同步的功能，是为了实现数据同步展现以及业务无缝集成。通过资源同步接口，满足信息一次编辑，PC端、客户端、微信端多渠道多样式发布的需要。确保数据同源同步，数据发布准确无误。</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84" w:name="_Toc524688414"/>
      <w:r>
        <w:rPr>
          <w:rFonts w:eastAsia="方正仿宋_GBK"/>
          <w:bCs/>
          <w:snapToGrid w:val="0"/>
          <w:color w:val="auto"/>
          <w:sz w:val="32"/>
          <w:szCs w:val="32"/>
          <w:highlight w:val="none"/>
        </w:rPr>
        <w:t>6.4　消息服务接口</w:t>
      </w:r>
      <w:bookmarkEnd w:id="84"/>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政府网站集约化平台提供统一将信息服务推送服务，需通过接口将目录资源、信息资源汇聚的动态信息推送到各单位、各部门人员的PC桌面和智能终端上。实现数据资源“一次发布，多屏展示”。</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85" w:name="_Toc535227955"/>
      <w:bookmarkStart w:id="86" w:name="_Toc505956467"/>
      <w:bookmarkStart w:id="87" w:name="_Toc524688415"/>
      <w:r>
        <w:rPr>
          <w:rFonts w:eastAsia="方正仿宋_GBK"/>
          <w:bCs/>
          <w:snapToGrid w:val="0"/>
          <w:color w:val="auto"/>
          <w:sz w:val="32"/>
          <w:szCs w:val="32"/>
          <w:highlight w:val="none"/>
        </w:rPr>
        <w:t>7.数据资源池</w:t>
      </w:r>
      <w:bookmarkEnd w:id="85"/>
      <w:bookmarkEnd w:id="86"/>
      <w:bookmarkEnd w:id="87"/>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88" w:name="_Toc524688416"/>
      <w:bookmarkStart w:id="89" w:name="_Toc505956468"/>
      <w:r>
        <w:rPr>
          <w:rFonts w:eastAsia="方正仿宋_GBK"/>
          <w:bCs/>
          <w:snapToGrid w:val="0"/>
          <w:color w:val="auto"/>
          <w:sz w:val="32"/>
          <w:szCs w:val="32"/>
          <w:highlight w:val="none"/>
        </w:rPr>
        <w:t>7.1　信息资源</w:t>
      </w:r>
      <w:bookmarkEnd w:id="88"/>
      <w:bookmarkEnd w:id="8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动态信息数据。来源于政府各级单位、各级部门网站中动态发布的政务信息数据，包括部门要闻、最新动态、通知公告等面向社会公众的政务公开信息服务，实现政府对外宣传、政务公开、咨询服务的功能的数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信息公开数据。来源于政府各级单位、各级部门网站中政府信息公开目录，此类数据依照政府信息公开信息的分类，公开指南和公开目录的数据格式进行编制，属于上下同步、规范统一、分级编制、各负其责的信息公开体系，并且支持对公开目录元数据及信息索引号进行分类检索与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——便民服务数据。来源于政务服务网中人们日常生活密切相关的信息查询类、公共事业类和生活缴费类等相关服务的数据。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——行政审批数据。来源于政务服务网中为个人、企业办事的一站式网上服务。其中包含权力事项库、责任清单、电子证照、电子监察等数据。</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90" w:name="_Toc524688417"/>
      <w:r>
        <w:rPr>
          <w:rFonts w:eastAsia="方正仿宋_GBK"/>
          <w:bCs/>
          <w:snapToGrid w:val="0"/>
          <w:color w:val="auto"/>
          <w:sz w:val="32"/>
          <w:szCs w:val="32"/>
          <w:highlight w:val="none"/>
        </w:rPr>
        <w:t>7.2　应用资源</w:t>
      </w:r>
      <w:bookmarkEnd w:id="9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应用资源来源于各级各部门提供的公共服务，各单位将开发完成的PC版、移动版服务应用，接入统一资源库进行入库。入库的应用资源可按照相关的开放标准，共享给其他单位进行使用。</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91" w:name="_Toc524688418"/>
      <w:r>
        <w:rPr>
          <w:rFonts w:eastAsia="方正仿宋_GBK"/>
          <w:bCs/>
          <w:snapToGrid w:val="0"/>
          <w:color w:val="auto"/>
          <w:sz w:val="32"/>
          <w:szCs w:val="32"/>
          <w:highlight w:val="none"/>
        </w:rPr>
        <w:t>7.3　用户资源</w:t>
      </w:r>
      <w:bookmarkEnd w:id="9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——注册用户资源。所有通过全省统一用户注册的用户数据，在资源库中进行留存。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——实名用户资源。对已注册、已实名用户数据，在资源库中进行留存。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行为资源。对注册用户、实名用户的访问行为进行分析，保留其访问行为分析数据。对实名用户，更近一步分析其获取服务行为、办事结果评价等，保留其服务行为分析数据。为精准服务推送，热点服务捕捉提供数据支持。</w:t>
      </w:r>
    </w:p>
    <w:bookmarkEnd w:id="54"/>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92" w:name="_Toc513408346"/>
      <w:bookmarkStart w:id="93" w:name="_Toc514940186"/>
      <w:bookmarkStart w:id="94" w:name="_Toc518581952"/>
      <w:bookmarkStart w:id="95" w:name="_Toc535227956"/>
      <w:r>
        <w:rPr>
          <w:rFonts w:eastAsia="方正仿宋_GBK"/>
          <w:bCs/>
          <w:snapToGrid w:val="0"/>
          <w:color w:val="auto"/>
          <w:sz w:val="32"/>
          <w:szCs w:val="32"/>
          <w:highlight w:val="none"/>
        </w:rPr>
        <w:t>8.统计分析</w:t>
      </w:r>
      <w:bookmarkEnd w:id="92"/>
      <w:bookmarkEnd w:id="93"/>
      <w:bookmarkEnd w:id="94"/>
      <w:bookmarkEnd w:id="95"/>
    </w:p>
    <w:p>
      <w:pPr>
        <w:adjustRightInd w:val="0"/>
        <w:snapToGrid w:val="0"/>
        <w:spacing w:line="570" w:lineRule="exact"/>
        <w:ind w:firstLine="640" w:firstLineChars="200"/>
        <w:rPr>
          <w:rFonts w:eastAsia="方正仿宋_GBK"/>
          <w:snapToGrid w:val="0"/>
          <w:color w:val="auto"/>
          <w:sz w:val="32"/>
          <w:szCs w:val="32"/>
          <w:highlight w:val="none"/>
          <w:lang w:val="zh-CN"/>
        </w:rPr>
      </w:pPr>
      <w:r>
        <w:rPr>
          <w:rFonts w:eastAsia="方正仿宋_GBK"/>
          <w:snapToGrid w:val="0"/>
          <w:color w:val="auto"/>
          <w:sz w:val="32"/>
          <w:szCs w:val="32"/>
          <w:highlight w:val="none"/>
        </w:rPr>
        <w:t>统计</w:t>
      </w:r>
      <w:r>
        <w:rPr>
          <w:rFonts w:eastAsia="方正仿宋_GBK"/>
          <w:snapToGrid w:val="0"/>
          <w:color w:val="auto"/>
          <w:sz w:val="32"/>
          <w:szCs w:val="32"/>
          <w:highlight w:val="none"/>
          <w:lang w:val="zh-CN"/>
        </w:rPr>
        <w:t xml:space="preserve">分析需提供对海量信息资源进行相关分析展示功能。当信息资源库拥有一定量级的资源后，可为用户（一般指高层管理员）呈现资源库宏观概况。 </w:t>
      </w:r>
    </w:p>
    <w:p>
      <w:pPr>
        <w:adjustRightInd w:val="0"/>
        <w:snapToGrid w:val="0"/>
        <w:spacing w:line="570" w:lineRule="exact"/>
        <w:ind w:firstLine="640" w:firstLineChars="200"/>
        <w:rPr>
          <w:rFonts w:eastAsia="方正仿宋_GBK"/>
          <w:snapToGrid w:val="0"/>
          <w:color w:val="auto"/>
          <w:sz w:val="32"/>
          <w:szCs w:val="32"/>
          <w:highlight w:val="none"/>
          <w:lang w:val="zh-CN"/>
        </w:rPr>
      </w:pPr>
      <w:r>
        <w:rPr>
          <w:rFonts w:eastAsia="方正仿宋_GBK"/>
          <w:snapToGrid w:val="0"/>
          <w:color w:val="auto"/>
          <w:sz w:val="32"/>
          <w:szCs w:val="32"/>
          <w:highlight w:val="none"/>
          <w:lang w:val="zh-CN"/>
        </w:rPr>
        <w:t>信息资源库需提供多种维度的数据统计和智能分析，包括总量统计、排行榜统计、占比分析、趋势分析等功能。</w:t>
      </w:r>
    </w:p>
    <w:p>
      <w:pPr>
        <w:adjustRightInd w:val="0"/>
        <w:snapToGrid w:val="0"/>
        <w:spacing w:line="570" w:lineRule="exact"/>
        <w:ind w:firstLine="640" w:firstLineChars="200"/>
        <w:rPr>
          <w:rFonts w:eastAsia="方正仿宋_GBK"/>
          <w:snapToGrid w:val="0"/>
          <w:color w:val="auto"/>
          <w:sz w:val="32"/>
          <w:szCs w:val="32"/>
          <w:highlight w:val="none"/>
          <w:lang w:val="zh-CN"/>
        </w:rPr>
      </w:pPr>
      <w:r>
        <w:rPr>
          <w:rFonts w:eastAsia="方正仿宋_GBK"/>
          <w:snapToGrid w:val="0"/>
          <w:color w:val="auto"/>
          <w:sz w:val="32"/>
          <w:szCs w:val="32"/>
          <w:highlight w:val="none"/>
          <w:lang w:val="zh-CN"/>
        </w:rPr>
        <w:t>以可视化界面展示整体业务数据统计，通过地图、雷达图、条形图、折线图、表格等方式进行展示，让领导和工作人员以最直观的方式查看数据并辅助决策支持。支持不同的统计图表以大屏可视化方式进行展示。</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96" w:name="_Toc535227957"/>
      <w:bookmarkStart w:id="97" w:name="_Toc518581959"/>
      <w:r>
        <w:rPr>
          <w:rFonts w:eastAsia="方正仿宋_GBK"/>
          <w:bCs/>
          <w:snapToGrid w:val="0"/>
          <w:color w:val="auto"/>
          <w:sz w:val="32"/>
          <w:szCs w:val="32"/>
          <w:highlight w:val="none"/>
        </w:rPr>
        <w:t>9.日志管理</w:t>
      </w:r>
      <w:bookmarkEnd w:id="96"/>
      <w:bookmarkEnd w:id="9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【操作日志】记录资源库内所有操作日志，并对操作日志回看、查询、安全审计。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【发布日志】多条件组合查询自动发布和手工发布的发布日志信息，以定位是否发布成功。</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98" w:name="_Toc518581962"/>
      <w:bookmarkStart w:id="99" w:name="_Toc535227958"/>
      <w:r>
        <w:rPr>
          <w:rFonts w:hint="eastAsia" w:eastAsia="方正仿宋_GBK"/>
          <w:bCs/>
          <w:snapToGrid w:val="0"/>
          <w:color w:val="auto"/>
          <w:sz w:val="32"/>
          <w:szCs w:val="32"/>
          <w:highlight w:val="none"/>
        </w:rPr>
        <w:t>10</w:t>
      </w:r>
      <w:r>
        <w:rPr>
          <w:rFonts w:eastAsia="方正仿宋_GBK"/>
          <w:bCs/>
          <w:snapToGrid w:val="0"/>
          <w:color w:val="auto"/>
          <w:sz w:val="32"/>
          <w:szCs w:val="32"/>
          <w:highlight w:val="none"/>
        </w:rPr>
        <w:t>.回收站</w:t>
      </w:r>
      <w:bookmarkEnd w:id="98"/>
      <w:bookmarkEnd w:id="9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支持已删除资源的找回。已经删除的资源默认在回收站中保存，可在回收站中对资源搜索查找，将资源恢复到原存放目录，亦可在回收站中将资源彻底清除。</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100" w:name="_Toc535227959"/>
      <w:r>
        <w:rPr>
          <w:rFonts w:eastAsia="方正仿宋_GBK"/>
          <w:bCs/>
          <w:snapToGrid w:val="0"/>
          <w:color w:val="auto"/>
          <w:sz w:val="32"/>
          <w:szCs w:val="32"/>
          <w:highlight w:val="none"/>
        </w:rPr>
        <w:t>11.接口服务</w:t>
      </w:r>
      <w:bookmarkEnd w:id="10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接口服务是外部系统使用信息资源库入口，外部系统通过信息资源库系统提供的接口服务，可以实现查询检索信息资源，使用信息资源，可以新增、修改和维护信息资源，可以导入和导出信息资源。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接口服务主要包括两类接口：资源搜索接口、资源维护管理接口。通过资源搜索接口，外部系统可以方便的检索到自己需要的信息资源，可以直接使用或导出检索结果。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资源维护管理接口，包括目录管理接口、元数据查询接口、信息资源维护接口，通过这些接口，外部系统可以方便快捷的与信息资源系统无缝对接，进行信息资源的相关维护操作。</w:t>
      </w:r>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snapToGrid w:val="0"/>
          <w:color w:val="auto"/>
          <w:sz w:val="32"/>
          <w:szCs w:val="32"/>
          <w:highlight w:val="none"/>
        </w:rPr>
      </w:pPr>
      <w:bookmarkStart w:id="101" w:name="_Toc12133"/>
      <w:bookmarkStart w:id="102" w:name="_Toc535227960"/>
      <w:bookmarkStart w:id="103" w:name="_Toc536611166"/>
      <w:bookmarkStart w:id="104" w:name="_Toc3748"/>
      <w:bookmarkStart w:id="105" w:name="_Toc1811266"/>
      <w:bookmarkStart w:id="106" w:name="_Toc536773520"/>
      <w:bookmarkStart w:id="107" w:name="_Toc18475"/>
      <w:bookmarkStart w:id="108" w:name="_Toc492833787"/>
      <w:bookmarkStart w:id="109" w:name="_Toc22620"/>
      <w:bookmarkStart w:id="110" w:name="_Toc493247216"/>
      <w:r>
        <w:rPr>
          <w:rFonts w:hint="eastAsia" w:ascii="方正楷体_GBK" w:eastAsia="方正楷体_GBK"/>
          <w:snapToGrid w:val="0"/>
          <w:color w:val="auto"/>
          <w:sz w:val="32"/>
          <w:szCs w:val="32"/>
          <w:highlight w:val="none"/>
        </w:rPr>
        <w:t>（三）网站群管理</w:t>
      </w:r>
      <w:bookmarkEnd w:id="101"/>
      <w:r>
        <w:rPr>
          <w:rFonts w:hint="eastAsia" w:ascii="方正楷体_GBK" w:eastAsia="方正楷体_GBK"/>
          <w:snapToGrid w:val="0"/>
          <w:color w:val="auto"/>
          <w:sz w:val="32"/>
          <w:szCs w:val="32"/>
          <w:highlight w:val="none"/>
        </w:rPr>
        <w:t>系统</w:t>
      </w:r>
      <w:bookmarkEnd w:id="102"/>
      <w:bookmarkEnd w:id="103"/>
      <w:bookmarkEnd w:id="104"/>
      <w:bookmarkEnd w:id="105"/>
      <w:bookmarkEnd w:id="106"/>
      <w:bookmarkEnd w:id="10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门户网站集约化管理系统提供从内容采集、创建、管理、传递、发布、共享、呈送、纠错、归档等信息全生命周期过程中所需的各项功能，支持统一身份认证、站群权限体系、增量多线程更新、多站点加密发布等功能，协同确保数据的规模性、可靠性和安全性。</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11" w:name="_Toc535227961"/>
      <w:r>
        <w:rPr>
          <w:rFonts w:eastAsia="方正仿宋_GBK"/>
          <w:bCs/>
          <w:snapToGrid w:val="0"/>
          <w:color w:val="auto"/>
          <w:sz w:val="32"/>
          <w:szCs w:val="32"/>
          <w:highlight w:val="none"/>
        </w:rPr>
        <w:t>1.发布管理</w:t>
      </w:r>
      <w:bookmarkEnd w:id="108"/>
      <w:bookmarkEnd w:id="109"/>
      <w:bookmarkEnd w:id="110"/>
      <w:bookmarkEnd w:id="11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内容管理系统是提供信息管理员制作、管理网站信息的操作平台，提供强大的在线可视编辑功能，自动编校审流程化管理功能，支持多种信息类型的上载，并可已根据信息分类等要求进行有选择的针对性发布，可对网站涉及信息进行统一的采集、统计分析。</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112" w:name="_Toc372096195"/>
      <w:bookmarkStart w:id="113" w:name="_Toc524688383"/>
      <w:bookmarkStart w:id="114" w:name="_Toc484116357"/>
      <w:bookmarkStart w:id="115" w:name="_Toc490427335"/>
      <w:bookmarkStart w:id="116" w:name="_Toc493247217"/>
      <w:bookmarkStart w:id="117" w:name="_Toc492833788"/>
      <w:bookmarkStart w:id="118" w:name="_Toc6565"/>
      <w:r>
        <w:rPr>
          <w:rFonts w:eastAsia="方正仿宋_GBK"/>
          <w:bCs/>
          <w:snapToGrid w:val="0"/>
          <w:color w:val="auto"/>
          <w:sz w:val="32"/>
          <w:szCs w:val="32"/>
          <w:highlight w:val="none"/>
        </w:rPr>
        <w:t>1.1　网站管理</w:t>
      </w:r>
      <w:bookmarkEnd w:id="112"/>
      <w:bookmarkEnd w:id="113"/>
      <w:bookmarkEnd w:id="114"/>
      <w:bookmarkEnd w:id="11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采用多站点内容管理模式：分布式采集制作、集中式管理发布。每个站点具备独立的内容维护管理功能。各个站点可以有独立的域名、独立的页面、独立的内容，独立的采编人员进行子网站内容的维护。</w:t>
      </w:r>
    </w:p>
    <w:p>
      <w:pPr>
        <w:adjustRightInd w:val="0"/>
        <w:snapToGrid w:val="0"/>
        <w:spacing w:line="570" w:lineRule="exact"/>
        <w:ind w:firstLine="640" w:firstLineChars="200"/>
        <w:rPr>
          <w:rFonts w:eastAsia="方正仿宋_GBK"/>
          <w:snapToGrid w:val="0"/>
          <w:color w:val="auto"/>
          <w:sz w:val="32"/>
          <w:szCs w:val="32"/>
          <w:highlight w:val="none"/>
        </w:rPr>
      </w:pPr>
      <w:bookmarkStart w:id="119" w:name="_Toc333304583"/>
      <w:bookmarkStart w:id="120" w:name="_Toc333393458"/>
      <w:bookmarkStart w:id="121" w:name="_Toc332702427"/>
      <w:bookmarkStart w:id="122" w:name="_Toc333305241"/>
      <w:bookmarkStart w:id="123" w:name="_Toc332786668"/>
      <w:bookmarkStart w:id="124" w:name="_Toc333393367"/>
      <w:r>
        <w:rPr>
          <w:rFonts w:eastAsia="方正仿宋_GBK"/>
          <w:snapToGrid w:val="0"/>
          <w:color w:val="auto"/>
          <w:sz w:val="32"/>
          <w:szCs w:val="32"/>
          <w:highlight w:val="none"/>
        </w:rPr>
        <w:t>可对多个站点方便地进行管理，可新增、修改、删除网站，能以不同的方式发布网站，支持子网站的克隆功能</w:t>
      </w:r>
      <w:bookmarkEnd w:id="119"/>
      <w:bookmarkEnd w:id="120"/>
      <w:bookmarkEnd w:id="121"/>
      <w:bookmarkEnd w:id="122"/>
      <w:bookmarkEnd w:id="123"/>
      <w:bookmarkEnd w:id="124"/>
      <w:r>
        <w:rPr>
          <w:rFonts w:eastAsia="方正仿宋_GBK"/>
          <w:snapToGrid w:val="0"/>
          <w:color w:val="auto"/>
          <w:sz w:val="32"/>
          <w:szCs w:val="32"/>
          <w:highlight w:val="none"/>
        </w:rPr>
        <w:t>，支持网站的误删除恢复功能。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子网站可以自主管理自己的网站内容，主网站可以控制子网站权限和功能，子网站能够管理自己网站的子权限系统。</w:t>
      </w:r>
    </w:p>
    <w:p>
      <w:pPr>
        <w:adjustRightInd w:val="0"/>
        <w:snapToGrid w:val="0"/>
        <w:spacing w:line="570" w:lineRule="exact"/>
        <w:ind w:firstLine="640" w:firstLineChars="200"/>
        <w:rPr>
          <w:rFonts w:eastAsia="方正仿宋_GBK"/>
          <w:snapToGrid w:val="0"/>
          <w:color w:val="auto"/>
          <w:sz w:val="32"/>
          <w:szCs w:val="32"/>
          <w:highlight w:val="none"/>
        </w:rPr>
      </w:pPr>
      <w:bookmarkStart w:id="125" w:name="_Toc333304585"/>
      <w:bookmarkStart w:id="126" w:name="_Toc333393460"/>
      <w:bookmarkStart w:id="127" w:name="_Toc333393369"/>
      <w:bookmarkStart w:id="128" w:name="_Toc333305243"/>
      <w:bookmarkStart w:id="129" w:name="_Toc332702431"/>
      <w:bookmarkStart w:id="130" w:name="_Toc332786672"/>
      <w:r>
        <w:rPr>
          <w:rFonts w:eastAsia="方正仿宋_GBK"/>
          <w:snapToGrid w:val="0"/>
          <w:color w:val="auto"/>
          <w:sz w:val="32"/>
          <w:szCs w:val="32"/>
          <w:highlight w:val="none"/>
        </w:rPr>
        <w:t>可对站群中各站点的信息更新量和访问量进行统计。</w:t>
      </w:r>
      <w:bookmarkEnd w:id="125"/>
      <w:bookmarkEnd w:id="126"/>
      <w:bookmarkEnd w:id="127"/>
      <w:bookmarkEnd w:id="128"/>
      <w:bookmarkEnd w:id="129"/>
      <w:bookmarkEnd w:id="13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支持网站数据的整体导入导出功能，也可以按照要求进行独立的栏目、模板、文档、信息的独立导入导出功能。</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131" w:name="_Toc524688384"/>
      <w:bookmarkStart w:id="132" w:name="_Toc490427336"/>
      <w:bookmarkStart w:id="133" w:name="_Toc484116358"/>
      <w:r>
        <w:rPr>
          <w:rFonts w:eastAsia="方正仿宋_GBK"/>
          <w:bCs/>
          <w:snapToGrid w:val="0"/>
          <w:color w:val="auto"/>
          <w:sz w:val="32"/>
          <w:szCs w:val="32"/>
          <w:highlight w:val="none"/>
        </w:rPr>
        <w:t>1.2　栏目同步管理</w:t>
      </w:r>
      <w:bookmarkEnd w:id="131"/>
      <w:bookmarkEnd w:id="132"/>
      <w:bookmarkEnd w:id="13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提供标准栏目同步管理，网站群内容管理系统集中建设标准栏目，为各级各部门网站构建时提供基础，各网站可直接通过同步标准栏目实现本站点栏目框架、内容框架建设，为全区政府网站建设提供标准化、高效化、便捷化的基础平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栏目管理可实现栏目的新增、删除、编辑、转移等功能，删除栏目应有验证机制，防止人员误操作；</w:t>
      </w:r>
    </w:p>
    <w:p>
      <w:pPr>
        <w:adjustRightInd w:val="0"/>
        <w:snapToGrid w:val="0"/>
        <w:spacing w:line="570" w:lineRule="exact"/>
        <w:ind w:firstLine="624"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可以设置栏目的栏目分类、权限、呈送、同步引用、同步映</w:t>
      </w:r>
      <w:r>
        <w:rPr>
          <w:rFonts w:eastAsia="方正仿宋_GBK"/>
          <w:snapToGrid w:val="0"/>
          <w:color w:val="auto"/>
          <w:sz w:val="32"/>
          <w:szCs w:val="32"/>
          <w:highlight w:val="none"/>
        </w:rPr>
        <w:t>射；</w:t>
      </w:r>
    </w:p>
    <w:p>
      <w:pPr>
        <w:adjustRightInd w:val="0"/>
        <w:snapToGrid w:val="0"/>
        <w:spacing w:line="570" w:lineRule="exact"/>
        <w:ind w:firstLine="624"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可以对栏目进行预览，根据栏目名称的关键字进行栏目的检</w:t>
      </w:r>
      <w:r>
        <w:rPr>
          <w:rFonts w:eastAsia="方正仿宋_GBK"/>
          <w:snapToGrid w:val="0"/>
          <w:color w:val="auto"/>
          <w:sz w:val="32"/>
          <w:szCs w:val="32"/>
          <w:highlight w:val="none"/>
        </w:rPr>
        <w:t>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栏目的类型可支持单信息、多信息、映射、自定义等；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系统支持自定义数据库的建设，实现信息按照定义字段的自由查询或组合查询；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支持栏目的分类和站内及站群间栏目的引用和共享；</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栏目支持是否启用、信息审核、访问统计、RSS、创建索引、网页复制保存、信息发布方式、图片和信息积分等批处理功能</w:t>
      </w:r>
      <w:r>
        <w:rPr>
          <w:rFonts w:hint="eastAsia" w:eastAsia="方正仿宋_GBK"/>
          <w:snapToGrid w:val="0"/>
          <w:color w:val="auto"/>
          <w:sz w:val="32"/>
          <w:szCs w:val="32"/>
          <w:highlight w:val="none"/>
        </w:rPr>
        <w:t>。</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134" w:name="_Toc174143421"/>
      <w:bookmarkStart w:id="135" w:name="_Toc484116359"/>
      <w:bookmarkStart w:id="136" w:name="_Toc524688385"/>
      <w:bookmarkStart w:id="137" w:name="_Toc490427337"/>
      <w:r>
        <w:rPr>
          <w:rFonts w:eastAsia="方正仿宋_GBK"/>
          <w:bCs/>
          <w:snapToGrid w:val="0"/>
          <w:color w:val="auto"/>
          <w:sz w:val="32"/>
          <w:szCs w:val="32"/>
          <w:highlight w:val="none"/>
        </w:rPr>
        <w:t>1.3　网站信息推送</w:t>
      </w:r>
      <w:bookmarkEnd w:id="134"/>
      <w:r>
        <w:rPr>
          <w:rFonts w:eastAsia="方正仿宋_GBK"/>
          <w:bCs/>
          <w:snapToGrid w:val="0"/>
          <w:color w:val="auto"/>
          <w:sz w:val="32"/>
          <w:szCs w:val="32"/>
          <w:highlight w:val="none"/>
        </w:rPr>
        <w:t>管理</w:t>
      </w:r>
      <w:bookmarkEnd w:id="135"/>
      <w:bookmarkEnd w:id="136"/>
      <w:bookmarkEnd w:id="137"/>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（1）</w:t>
      </w:r>
      <w:r>
        <w:rPr>
          <w:rFonts w:eastAsia="方正仿宋_GBK"/>
          <w:snapToGrid w:val="0"/>
          <w:color w:val="auto"/>
          <w:sz w:val="32"/>
          <w:szCs w:val="32"/>
          <w:highlight w:val="none"/>
        </w:rPr>
        <w:t>信息报送。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在网站群内容管理系统中提供信息报送功能。报送信息通过系统接口主动上传到集约化资源管理系统，经审核修改后，发布到相应的门户网站上。</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网站管理人员在编辑录入网站展示信息时，可对需要报送的信息进行勾选。编辑完成后统一上传到集约化资源管理系统进行存储。</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（2）</w:t>
      </w:r>
      <w:r>
        <w:rPr>
          <w:rFonts w:eastAsia="方正仿宋_GBK"/>
          <w:snapToGrid w:val="0"/>
          <w:color w:val="auto"/>
          <w:sz w:val="32"/>
          <w:szCs w:val="32"/>
          <w:highlight w:val="none"/>
        </w:rPr>
        <w:t>编辑审核。</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根据各地市、厅局政府上报的信息，集约化资源管理系统的管理人员可按照查询条件进行综合查询，对已上报未审核的报送信息进行内容审核和二次编辑。编辑完成后生成新的消息记录，保留报送信息原稿。</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（3）</w:t>
      </w:r>
      <w:r>
        <w:rPr>
          <w:rFonts w:eastAsia="方正仿宋_GBK"/>
          <w:snapToGrid w:val="0"/>
          <w:color w:val="auto"/>
          <w:sz w:val="32"/>
          <w:szCs w:val="32"/>
          <w:highlight w:val="none"/>
        </w:rPr>
        <w:t>撤回提醒。</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若各单位报送的信息出现错误，需要进行撤回重新编辑，则对原稿记录进行自动删除，并通过消息推送方式及时通知相应网站管理人员。</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（4）</w:t>
      </w:r>
      <w:r>
        <w:rPr>
          <w:rFonts w:eastAsia="方正仿宋_GBK"/>
          <w:snapToGrid w:val="0"/>
          <w:color w:val="auto"/>
          <w:sz w:val="32"/>
          <w:szCs w:val="32"/>
          <w:highlight w:val="none"/>
        </w:rPr>
        <w:t>信息编辑。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支持可视化编辑器，可从外部编辑器中自动粘贴图片和表格，并保持原格式信息（字体、字号、颜色）；</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网页发布时可即时在正文中插入图片或多媒体附件实现图文混排，图片/多媒体/链接也可作为文档附件上传，以实现灵活的应用效果；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支持历史库功能，对长期不使用或使用频度较低的信息能有效管理；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支持权限分配到人及栏目的功能；</w:t>
      </w:r>
    </w:p>
    <w:p>
      <w:pPr>
        <w:adjustRightInd w:val="0"/>
        <w:snapToGrid w:val="0"/>
        <w:spacing w:line="570"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支持站内和站间栏目间信息的复制、引用、转移、共享、呈</w:t>
      </w:r>
      <w:r>
        <w:rPr>
          <w:rFonts w:eastAsia="方正仿宋_GBK"/>
          <w:snapToGrid w:val="0"/>
          <w:color w:val="auto"/>
          <w:sz w:val="32"/>
          <w:szCs w:val="32"/>
          <w:highlight w:val="none"/>
        </w:rPr>
        <w:t>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系统可根据关键字进行信息自动相关；</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支持对信息的自动和手工排序；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提供信息的自动智能摘要功能，并可人工修改编辑；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提供撤稿和恢复撤稿功能；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可根据关键字对信息标题、作者、来源、录入人等进行检索；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可对信息是否置顶、是否可以评论等进行选择；</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提供信息的标题、副标题、引题、链接标题的编辑；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对于已经发布出去的信息，内容、页面可以自动同步删除，提供回收站功能，能快速恢复删除信息；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支持信息在不同栏目间的复制、粘贴、剪切、转移、引用；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支持专题栏目的随意增设和删除，并在专题栏目删除后，信息也随之删除；专题更名时，新闻也随之变动；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支持系统记录操作痕迹，保留操作日志；</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图片处理功能：上传的文档附件图片可自动生成大图、中图、小图，支持图片在线剪裁、水印，缩放等功能。可实现居中、左上、左下、右上、右下定位；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支持信息多级审核，支持工作流自定义，对某些特定栏目或信息可单独启动审批工作流进行审批；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支持网站群内的下级站点可向上级站点报送信息；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提供信息状态标记功能和信息排序拖拽功能；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支持信息的多重引用模式（包括实体信息共享、非实体引用和链接引用等）；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编辑器支持HTML5编码，可以生成HTML5信息</w:t>
      </w:r>
      <w:r>
        <w:rPr>
          <w:rFonts w:hint="eastAsia" w:eastAsia="方正仿宋_GBK"/>
          <w:snapToGrid w:val="0"/>
          <w:color w:val="auto"/>
          <w:sz w:val="32"/>
          <w:szCs w:val="32"/>
          <w:highlight w:val="none"/>
        </w:rPr>
        <w:t>。</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138" w:name="_Toc484116360"/>
      <w:bookmarkStart w:id="139" w:name="_Toc524688386"/>
      <w:bookmarkStart w:id="140" w:name="_Toc490427338"/>
      <w:r>
        <w:rPr>
          <w:rFonts w:eastAsia="方正仿宋_GBK"/>
          <w:bCs/>
          <w:snapToGrid w:val="0"/>
          <w:color w:val="auto"/>
          <w:sz w:val="32"/>
          <w:szCs w:val="32"/>
          <w:highlight w:val="none"/>
        </w:rPr>
        <w:t>1.4　模版管理</w:t>
      </w:r>
      <w:bookmarkEnd w:id="138"/>
      <w:bookmarkEnd w:id="139"/>
      <w:bookmarkEnd w:id="14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网站模板管理是对整个网站系统显示信息页面的样式、界面进行配置管理的功能，要求对网站中的所有公共页面，可根据需要实时改变页面样式及风格，网站会立即将修改效果显示出来。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主要功能如下：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采用网页模板与信息分离的技术，可以通过不断地调整网页模板的设置或更改模板来完成网站的风格改版和更新，网站中的文章信息则自动继承下来，与新网页模板智能地组合在一起，快速创建一个全新的网站；</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（2）提供模板批量导入功能；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（3）具有对网站模板的共享和接收功能；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（4）提供对模板的新增、选择、撤消、设置等功能，并可设定全局的默认栏目、文章模板；</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（5）模板设置支持静态单元、动态单元及模块单元的设置；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（6）动态单元支持图片新闻、栏目链接、标题链接、文章正文、多栏目信息、最新信息等多种类型。支持应用模块（如：调查、评论、公告等）的单元直接设置；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（7）支持跳过无图片信息，自动读取有图片信息的图片新闻设定模式；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（8）系统应提供可视化的效果编辑，如可以直接对单元内容来源、排列方式、显示条数、有效字数、图片前后缀及有效期等直接进行定义；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9）提供单元样式选择与单元库维护功能，通过样式选取能够快速的变化单元样式。面向高级用户，提供样式库编写与维护功能，编辑样式中提供对各类别字段标签（包括自定义标签）的调用，支持JS、HTML5样式定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（10）支持模板效果前台的快速预览</w:t>
      </w:r>
      <w:r>
        <w:rPr>
          <w:rFonts w:hint="eastAsia" w:eastAsia="方正仿宋_GBK"/>
          <w:snapToGrid w:val="0"/>
          <w:color w:val="auto"/>
          <w:sz w:val="32"/>
          <w:szCs w:val="32"/>
          <w:highlight w:val="none"/>
        </w:rPr>
        <w:t>；</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（11）模板需支持HTML5+DIV+CSS3组合设计；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（12）模板能够支持JS+JQuery程序嵌入；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（13）模板单元设置代码需符合HTML5规范</w:t>
      </w:r>
      <w:r>
        <w:rPr>
          <w:rFonts w:hint="eastAsia" w:eastAsia="方正仿宋_GBK"/>
          <w:snapToGrid w:val="0"/>
          <w:color w:val="auto"/>
          <w:sz w:val="32"/>
          <w:szCs w:val="32"/>
          <w:highlight w:val="none"/>
        </w:rPr>
        <w:t>。</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141" w:name="_Toc490427339"/>
      <w:bookmarkStart w:id="142" w:name="_Toc484116361"/>
      <w:bookmarkStart w:id="143" w:name="_Toc524688387"/>
      <w:r>
        <w:rPr>
          <w:rFonts w:eastAsia="方正仿宋_GBK"/>
          <w:bCs/>
          <w:snapToGrid w:val="0"/>
          <w:color w:val="auto"/>
          <w:sz w:val="32"/>
          <w:szCs w:val="32"/>
          <w:highlight w:val="none"/>
        </w:rPr>
        <w:t>1.5　网站及栏目统计</w:t>
      </w:r>
      <w:bookmarkEnd w:id="141"/>
      <w:bookmarkEnd w:id="142"/>
      <w:bookmarkEnd w:id="14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提供对部门、人员和栏目的信息加载条数进行统计，可以选择时间范围对信息加载条数统计，也可以根据输入的关键字进行统计。支持报表的生成、下载。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为每个栏目分配一定的独立分值统计，可按部门、人员进行工作量分值汇总；</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能够实现按单位、时间进行情况查询；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在统计计分时能够按照信息来源和用户名进行统计计分；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信息来源的部门名称跟部门用户名一一对应；</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支持时间段查询、报表生成与WORD下载。</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144" w:name="_Toc524688388"/>
      <w:bookmarkStart w:id="145" w:name="_Toc490427340"/>
      <w:r>
        <w:rPr>
          <w:rFonts w:eastAsia="方正仿宋_GBK"/>
          <w:bCs/>
          <w:snapToGrid w:val="0"/>
          <w:color w:val="auto"/>
          <w:sz w:val="32"/>
          <w:szCs w:val="32"/>
          <w:highlight w:val="none"/>
        </w:rPr>
        <w:t>1.6　移动端内容集约化发布管理</w:t>
      </w:r>
      <w:bookmarkEnd w:id="144"/>
      <w:bookmarkEnd w:id="145"/>
    </w:p>
    <w:p>
      <w:pPr>
        <w:adjustRightInd w:val="0"/>
        <w:snapToGrid w:val="0"/>
        <w:spacing w:line="570" w:lineRule="exact"/>
        <w:ind w:firstLine="640" w:firstLineChars="200"/>
        <w:rPr>
          <w:rFonts w:eastAsia="方正仿宋_GBK"/>
          <w:snapToGrid w:val="0"/>
          <w:color w:val="auto"/>
          <w:sz w:val="32"/>
          <w:szCs w:val="32"/>
          <w:highlight w:val="none"/>
        </w:rPr>
      </w:pPr>
      <w:bookmarkStart w:id="146" w:name="_Toc472494371"/>
      <w:bookmarkStart w:id="147" w:name="_Toc456821591"/>
      <w:r>
        <w:rPr>
          <w:rFonts w:eastAsia="方正仿宋_GBK"/>
          <w:snapToGrid w:val="0"/>
          <w:color w:val="auto"/>
          <w:sz w:val="32"/>
          <w:szCs w:val="32"/>
          <w:highlight w:val="none"/>
        </w:rPr>
        <w:t>集中管理</w:t>
      </w:r>
      <w:bookmarkEnd w:id="146"/>
      <w:bookmarkEnd w:id="147"/>
      <w:r>
        <w:rPr>
          <w:rFonts w:eastAsia="方正仿宋_GBK"/>
          <w:snapToGrid w:val="0"/>
          <w:color w:val="auto"/>
          <w:sz w:val="32"/>
          <w:szCs w:val="32"/>
          <w:highlight w:val="none"/>
        </w:rPr>
        <w:t>。系统可与多个政务微信、政务微博账号进行绑定，实现集约化建设，方便全省各政府政务微信、微博的统一建设和管理。</w:t>
      </w:r>
    </w:p>
    <w:p>
      <w:pPr>
        <w:adjustRightInd w:val="0"/>
        <w:snapToGrid w:val="0"/>
        <w:spacing w:line="570" w:lineRule="exact"/>
        <w:ind w:firstLine="640" w:firstLineChars="200"/>
        <w:rPr>
          <w:rFonts w:eastAsia="方正仿宋_GBK"/>
          <w:snapToGrid w:val="0"/>
          <w:color w:val="auto"/>
          <w:sz w:val="32"/>
          <w:szCs w:val="32"/>
          <w:highlight w:val="none"/>
        </w:rPr>
      </w:pPr>
      <w:bookmarkStart w:id="148" w:name="_Toc456821592"/>
      <w:bookmarkStart w:id="149" w:name="_Toc472494372"/>
      <w:r>
        <w:rPr>
          <w:rFonts w:eastAsia="方正仿宋_GBK"/>
          <w:snapToGrid w:val="0"/>
          <w:color w:val="auto"/>
          <w:sz w:val="32"/>
          <w:szCs w:val="32"/>
          <w:highlight w:val="none"/>
        </w:rPr>
        <w:t>内容管理。</w:t>
      </w:r>
      <w:bookmarkEnd w:id="148"/>
      <w:bookmarkEnd w:id="149"/>
      <w:r>
        <w:rPr>
          <w:rFonts w:eastAsia="方正仿宋_GBK"/>
          <w:snapToGrid w:val="0"/>
          <w:color w:val="auto"/>
          <w:sz w:val="32"/>
          <w:szCs w:val="32"/>
          <w:highlight w:val="none"/>
        </w:rPr>
        <w:t>通过网站内容管理系统信息一键发布功能，用户只需一次采编，即可以完成（PC、手持终端）、（网站、微信、微门户）等多方式、多渠道的统一发布。</w:t>
      </w:r>
      <w:bookmarkEnd w:id="116"/>
      <w:bookmarkEnd w:id="117"/>
      <w:bookmarkEnd w:id="118"/>
      <w:bookmarkStart w:id="150" w:name="_Toc493247229"/>
      <w:bookmarkStart w:id="151" w:name="_Toc22687"/>
      <w:bookmarkStart w:id="152" w:name="_Toc492833798"/>
      <w:bookmarkStart w:id="153" w:name="_Toc492833799"/>
      <w:bookmarkStart w:id="154" w:name="_Toc30977"/>
      <w:bookmarkStart w:id="155" w:name="_Toc493247230"/>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56" w:name="_Toc535227962"/>
      <w:r>
        <w:rPr>
          <w:rFonts w:eastAsia="方正仿宋_GBK"/>
          <w:bCs/>
          <w:snapToGrid w:val="0"/>
          <w:color w:val="auto"/>
          <w:sz w:val="32"/>
          <w:szCs w:val="32"/>
          <w:highlight w:val="none"/>
        </w:rPr>
        <w:t>2.可视化专题制作</w:t>
      </w:r>
      <w:bookmarkEnd w:id="15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可视化、拖拽式专题制作功能，提供背景风格、框架布局、栏目导航、新闻列表、图片播放、视频播放等丰富全面的可视化专题制作组件，对专题块在标题、背景、样式、代码方面提供完善的个性参数设置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bookmarkStart w:id="157" w:name="_Toc451757663"/>
      <w:bookmarkStart w:id="158" w:name="_Toc475892607"/>
      <w:r>
        <w:rPr>
          <w:rFonts w:eastAsia="方正仿宋_GBK"/>
          <w:snapToGrid w:val="0"/>
          <w:color w:val="auto"/>
          <w:sz w:val="32"/>
          <w:szCs w:val="32"/>
          <w:highlight w:val="none"/>
        </w:rPr>
        <w:t>专题</w:t>
      </w:r>
      <w:bookmarkEnd w:id="157"/>
      <w:r>
        <w:rPr>
          <w:rFonts w:eastAsia="方正仿宋_GBK"/>
          <w:snapToGrid w:val="0"/>
          <w:color w:val="auto"/>
          <w:sz w:val="32"/>
          <w:szCs w:val="32"/>
          <w:highlight w:val="none"/>
        </w:rPr>
        <w:t>库</w:t>
      </w:r>
      <w:bookmarkEnd w:id="158"/>
      <w:r>
        <w:rPr>
          <w:rFonts w:eastAsia="方正仿宋_GBK"/>
          <w:snapToGrid w:val="0"/>
          <w:color w:val="auto"/>
          <w:sz w:val="32"/>
          <w:szCs w:val="32"/>
          <w:highlight w:val="none"/>
        </w:rPr>
        <w:t>】分为两类专题创建过程，分别是“从母版新建专题”和“新建空白专题”。其中，“从母版新建专题”是指有共享过来的母版的情况下，用户可以基于共享过来的母版创建专题，达到快速创建专题、制作专题、发布专题的目的。“新建空白专题”是指创建的专题是一个空的，所有的设计要用户自己去创建，所有的布局要用户自己去布局，所有的组件要用户自己去拖拽，所有的风格要用户自己去拖拽。通过空白专题制作达到创建一个用户自定义的专题的目的。</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模板库】专题中新建母版是为了供新建专题的时候使用，这里的母版作为一个模板，制作专题的用户可以在此基础上进行专题的制作。另外，要特别注意的只有设置了共享的母版，他人才可以在新建专题的时候使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【区块库】可选择布局保存为区块，新建专题时可通过区块直接复用已保存的区块。</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【组件库】专题由不同组件进行组成，建立专题时可通过组件库选择适合的组件进行添加。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【设计器】是专题工具最强大，也是最核心的功能，网页设计器可以通过可视化的操作界面，仅仅依靠拖拽操作，即可编排出漂亮的网页和动态模板。支持随时预览，完全所见即所得。</w:t>
      </w:r>
    </w:p>
    <w:bookmarkEnd w:id="150"/>
    <w:bookmarkEnd w:id="151"/>
    <w:bookmarkEnd w:id="152"/>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59" w:name="_Toc535227963"/>
      <w:r>
        <w:rPr>
          <w:rFonts w:eastAsia="方正仿宋_GBK"/>
          <w:bCs/>
          <w:snapToGrid w:val="0"/>
          <w:color w:val="auto"/>
          <w:sz w:val="32"/>
          <w:szCs w:val="32"/>
          <w:highlight w:val="none"/>
        </w:rPr>
        <w:t>3.信息报送</w:t>
      </w:r>
      <w:bookmarkEnd w:id="153"/>
      <w:bookmarkEnd w:id="154"/>
      <w:bookmarkEnd w:id="155"/>
      <w:bookmarkEnd w:id="15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信息报送是下级单位向上级单位网站报送各类政务信息、上级单位采集并处理、发布信息的过程。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【信息采编】各下级单位可对报送信息进行采集、编辑、删除等操作。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【报送审核】支持设置报送流程，下级单位的审核人员对即将上报的信息审核确认后才可上报。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【信息上报】将通过审核的信息报送至上级单位，可配置是否可直接进入发布系统的稿件库。</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【采用审批】支持设置报送工作流，是否经过发布系统编辑审批后信息才可采用、发布。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【报送统计】各下级单位可对自己本单位的报送信息进行统计，上级单位可对所有下级单位报送的信息进行统计、排名。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【报送人员管理】可对报送人员信息进行管理。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【通知管理】系统自动向报送人员反馈向上级单位的采用、发布进展情况。</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60" w:name="_Toc535227964"/>
      <w:bookmarkStart w:id="161" w:name="_Toc3552"/>
      <w:bookmarkStart w:id="162" w:name="_Toc493247228"/>
      <w:bookmarkStart w:id="163" w:name="_Toc492833797"/>
      <w:bookmarkStart w:id="164" w:name="_Toc492833794"/>
      <w:bookmarkStart w:id="165" w:name="_Toc493247225"/>
      <w:bookmarkStart w:id="166" w:name="_Toc11963"/>
      <w:r>
        <w:rPr>
          <w:rFonts w:eastAsia="方正仿宋_GBK"/>
          <w:bCs/>
          <w:snapToGrid w:val="0"/>
          <w:color w:val="auto"/>
          <w:sz w:val="32"/>
          <w:szCs w:val="32"/>
          <w:highlight w:val="none"/>
        </w:rPr>
        <w:t>4.归档管理</w:t>
      </w:r>
      <w:bookmarkEnd w:id="16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归档管理是通过建立归档库的方式，把需要归档的站点、栏目、稿件、网页、资源等内容，从生产库移动到归档库，管理信息内容的历史版本资料，同时减轻生产库的处理压力，提高系统的运行效率。归档后的页面和信息要能正常访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（1）在线归档。</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【归档权限管理】按照站点、栏目分配归档权限，具有某个栏目归档权限的用户可以执行相应栏目的稿件、页面归档，同时可以查看相应栏目已经归档的内容。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【归档栏目设置】设置栏目的归档属性，建立页面、稿件归档的时限要求。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【归档执行】把需要归档的站点、栏目、稿件、网页、资源等内容，从生产库移动到归档库。</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【归档内容管理】可以查看、维护归档库中所有内容。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（2）离线归档。</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bookmarkStart w:id="167" w:name="_Toc426"/>
      <w:r>
        <w:rPr>
          <w:rFonts w:eastAsia="方正仿宋_GBK"/>
          <w:snapToGrid w:val="0"/>
          <w:color w:val="auto"/>
          <w:sz w:val="32"/>
          <w:szCs w:val="32"/>
          <w:highlight w:val="none"/>
        </w:rPr>
        <w:t>站点归档</w:t>
      </w:r>
      <w:bookmarkEnd w:id="167"/>
      <w:r>
        <w:rPr>
          <w:rFonts w:eastAsia="方正仿宋_GBK"/>
          <w:snapToGrid w:val="0"/>
          <w:color w:val="auto"/>
          <w:sz w:val="32"/>
          <w:szCs w:val="32"/>
          <w:highlight w:val="none"/>
        </w:rPr>
        <w:t>】选择归档库中的站点，离线归档操作将把此站点下的所有内容，全部卸出到一个归档文件中。</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bookmarkStart w:id="168" w:name="_Toc23862"/>
      <w:r>
        <w:rPr>
          <w:rFonts w:eastAsia="方正仿宋_GBK"/>
          <w:snapToGrid w:val="0"/>
          <w:color w:val="auto"/>
          <w:sz w:val="32"/>
          <w:szCs w:val="32"/>
          <w:highlight w:val="none"/>
        </w:rPr>
        <w:t>站点恢复</w:t>
      </w:r>
      <w:bookmarkEnd w:id="168"/>
      <w:r>
        <w:rPr>
          <w:rFonts w:eastAsia="方正仿宋_GBK"/>
          <w:snapToGrid w:val="0"/>
          <w:color w:val="auto"/>
          <w:sz w:val="32"/>
          <w:szCs w:val="32"/>
          <w:highlight w:val="none"/>
        </w:rPr>
        <w:t>】选择需要恢复的离线归档文件，把文件中所有的资源恢复到归档库中。</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69" w:name="_Toc535227965"/>
      <w:r>
        <w:rPr>
          <w:rFonts w:eastAsia="方正仿宋_GBK"/>
          <w:bCs/>
          <w:snapToGrid w:val="0"/>
          <w:color w:val="auto"/>
          <w:sz w:val="32"/>
          <w:szCs w:val="32"/>
          <w:highlight w:val="none"/>
        </w:rPr>
        <w:t>5.音视频</w:t>
      </w:r>
      <w:bookmarkEnd w:id="161"/>
      <w:r>
        <w:rPr>
          <w:rFonts w:eastAsia="方正仿宋_GBK"/>
          <w:bCs/>
          <w:snapToGrid w:val="0"/>
          <w:color w:val="auto"/>
          <w:sz w:val="32"/>
          <w:szCs w:val="32"/>
          <w:highlight w:val="none"/>
        </w:rPr>
        <w:t>管理</w:t>
      </w:r>
      <w:bookmarkEnd w:id="162"/>
      <w:bookmarkEnd w:id="163"/>
      <w:bookmarkEnd w:id="16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音视频管理对政府网站的音视频资源进行分类存储管理、前台发布管理，供网民浏览访问。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分为前台功能和后台功能：后台用来存放和管理视频类资源，创建和管理视频栏目。前台用来展示视频资源。音视频管理具有直播功能，可实时将报道的事件在前台展示。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【视频上传】后台用户对视频信息进行上传，由管理员进行审核，审核通过的才允许前台网民浏览。</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【视频下载】将后台数据库中视频文件下载至本地。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【视频管理】对数据库中视频资源进行编辑、下架、删除等操作。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【直播管理】可发布直播供网民进行浏览，可对直播过程中进行互动设置，对网民进行互动交流。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【统计分析】对视频访问量进行数据统计，通过条形图、曲线图等方式进行可视化展示。</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70" w:name="_Toc535227966"/>
      <w:r>
        <w:rPr>
          <w:rFonts w:eastAsia="方正仿宋_GBK"/>
          <w:bCs/>
          <w:snapToGrid w:val="0"/>
          <w:color w:val="auto"/>
          <w:sz w:val="32"/>
          <w:szCs w:val="32"/>
          <w:highlight w:val="none"/>
        </w:rPr>
        <w:t>6.智能表单</w:t>
      </w:r>
      <w:bookmarkEnd w:id="17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对于网站上基于表单形式的网上调查、网上咨询、网上留言、意见征集等应用，可基于智能表单进行设计开发。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【表单服务器】将表单文件转换为各种指定客户端（IE/离线填写器/OCX组件）可以显示的表单文件；转换表单提交的数据流为特定的数据对象，供数据交换及其他业务系统使用。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【数据映射】提供XML格式的数据与关系型数据库的自动转换功能。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【表单设计器】设计人员可以使用图形界面快速建立安全的类似纸质表单的模版并接受数字签名，在表单中定义业务逻辑，进行数据模型处理，从而创建符合业务需求的表单模板文件。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【映射设计器】图形化方式定义XML格式的数据和数据库表结构之间的关系。</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71" w:name="_Toc503650985"/>
      <w:bookmarkStart w:id="172" w:name="_Toc535227967"/>
      <w:r>
        <w:rPr>
          <w:rFonts w:eastAsia="方正仿宋_GBK"/>
          <w:bCs/>
          <w:snapToGrid w:val="0"/>
          <w:color w:val="auto"/>
          <w:sz w:val="32"/>
          <w:szCs w:val="32"/>
          <w:highlight w:val="none"/>
        </w:rPr>
        <w:t>7.政府信息公开</w:t>
      </w:r>
      <w:bookmarkEnd w:id="164"/>
      <w:bookmarkEnd w:id="165"/>
      <w:bookmarkEnd w:id="166"/>
      <w:bookmarkEnd w:id="171"/>
      <w:r>
        <w:rPr>
          <w:rFonts w:eastAsia="方正仿宋_GBK"/>
          <w:bCs/>
          <w:snapToGrid w:val="0"/>
          <w:color w:val="auto"/>
          <w:sz w:val="32"/>
          <w:szCs w:val="32"/>
          <w:highlight w:val="none"/>
        </w:rPr>
        <w:t>系统</w:t>
      </w:r>
      <w:bookmarkEnd w:id="172"/>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信息公开系统分为主动公开和依申请公开，主动公开政府信息是为了满足社会对政府信息的一般公开需求，而依申请公开是为了满足社会对政府信息的特殊公开需求。一般需求可以通过政府主动公开信息获得，特殊需求的网民可以通过依法申请来获得，政府单位及时通过系统向公开申请人进行处理反馈。</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173" w:name="_Toc493247226"/>
      <w:bookmarkStart w:id="174" w:name="_Toc16912"/>
      <w:bookmarkStart w:id="175" w:name="_Toc492833795"/>
      <w:r>
        <w:rPr>
          <w:rFonts w:eastAsia="方正仿宋_GBK"/>
          <w:bCs/>
          <w:snapToGrid w:val="0"/>
          <w:color w:val="auto"/>
          <w:sz w:val="32"/>
          <w:szCs w:val="32"/>
          <w:highlight w:val="none"/>
        </w:rPr>
        <w:t>7.1　主动公开</w:t>
      </w:r>
      <w:bookmarkEnd w:id="173"/>
      <w:bookmarkEnd w:id="174"/>
      <w:bookmarkEnd w:id="17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主动公开的功能配置与发布系统类似，具有对信息公开专栏的站点及栏目管理、公开信息的采编发等功能。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【站点管理】可以创建配置站点的基本信息，包括创建站点、修改站点、删除站点、发布站点、预览站点、撤销发布站点。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【栏目管理】系统应提供分级权限的管理方式，可对公开栏</w:t>
      </w:r>
      <w:r>
        <w:rPr>
          <w:rFonts w:eastAsia="方正仿宋_GBK"/>
          <w:snapToGrid w:val="0"/>
          <w:color w:val="auto"/>
          <w:spacing w:val="-4"/>
          <w:sz w:val="32"/>
          <w:szCs w:val="32"/>
          <w:highlight w:val="none"/>
        </w:rPr>
        <w:t>目进行新增、修改、删除、发布、撤销发布、复制、移动、预览</w:t>
      </w:r>
      <w:r>
        <w:rPr>
          <w:rFonts w:eastAsia="方正仿宋_GBK"/>
          <w:snapToGrid w:val="0"/>
          <w:color w:val="auto"/>
          <w:sz w:val="32"/>
          <w:szCs w:val="32"/>
          <w:highlight w:val="none"/>
        </w:rPr>
        <w:t>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【组织管理】具备组织管理权限的用户可以维护公开部门的机构信息和用户信息。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【角色管理】通过组织管理维护机构及用户信息，新增、删除、修改对组织用户的角色进行维护，以便根据需要授予不同的权限。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【权限管理】可赋予的权限包括功能权限、站点权限、栏目及信息权限等。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【工作流管理】配置主动公开信息发布过程中需要的审核流程，方便信息审核发布。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【元数据管理】系统管理员可通过元数据管理模块新增、修改、删除元数据，以便对信息需可进行属性扩展。</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176" w:name="_Toc493247227"/>
      <w:bookmarkStart w:id="177" w:name="_Toc28758"/>
      <w:bookmarkStart w:id="178" w:name="_Toc492833796"/>
      <w:r>
        <w:rPr>
          <w:rFonts w:eastAsia="方正仿宋_GBK"/>
          <w:bCs/>
          <w:snapToGrid w:val="0"/>
          <w:color w:val="auto"/>
          <w:sz w:val="32"/>
          <w:szCs w:val="32"/>
          <w:highlight w:val="none"/>
        </w:rPr>
        <w:t>7.2　依申请公开</w:t>
      </w:r>
      <w:bookmarkEnd w:id="176"/>
      <w:bookmarkEnd w:id="177"/>
      <w:bookmarkEnd w:id="17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依申请公开包括网页申请、受理答复、归档等级、综合查询、督查督办等功能。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（1）网页申请。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网页申请是政府信息公开专栏为网民提供网页版的公开申请功能。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【公开申请提交】网民通过政府信息公开专栏进行网页申请，系统能够反馈申请编号和查询密码，系统自动将申请提交至各受理单位进行受理答复。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【公开申请进度查询】网民通过在线查询可查看申请事项的办理情况，也可对申请事项主动撤销。</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（2）受理登记。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受理登记主要是对通过网页、邮寄等方式收集的申请进行相应的录入或导入并进行处理的过程。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【申请查询】可按照多个维度查询当前和历史申请信息。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【申请录入】包括单个录入及批量录入信息，系统自动识别并提示历史申请人的信息。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（3）答复登记。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答复登记包括对已经受理的申请进行拆分、取消拆分、答复、征求第三方、延期、并出具相应告知书等。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——事项拆分。申请人提交的申请内容如不符合单条事项办理，则需要对事项进行拆分并对事项进行分别答复。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【取消拆分】已拆分事项如果在答复过程中需要调整拆分事项可以取消拆分。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——办理延期。是对在规定时间内无法完成答复的事项进行延期操作的过程。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——征求第三方。待答复、需征求第三方意见的事项，可进行征求第三方操作。征求第三方操作支持多次、多单位意见征求，征得第三方反馈意见后方能进行答复处理。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【第三方反馈】征求到第三方意见后，可通过系统记录反馈信息，包括第三方的意见及反馈时间。</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【答复】包括普通答复及征求过第三方意见的答复，每一类答复类型都有对应的答复意见。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【重新出具告知书】对已出具告知书的答复事项可再重新出具告知书，并更新相关答复意见。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（4）归档登记。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完成答复的主事项在归档登记列表显示，进入归档登记列表进行归档处理，已归档的信息用来登记行政复议和行政诉讼。</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【归档办理】事项归档时，可登记每个事项对应的材料、附件，并对事项进行分类归档。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【登记诉讼复议】对于申请人提出行政复议或行政诉讼，受理人可进行政复议和行政诉讼的登记操作。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（5）档案及历史信息。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在依申请公开业务管理的受理登记、答复登记、归档登记环节中，可以查看该事项的完整信息或历史信息，包括申请事项信息、申请人信息、受理信息、答复信息、归档信息。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（6）撤销与作废。</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在受理、答复过程中可对事项进行撤销、作废处理，系统会对撤销或作废的信息留存并展示。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（7）综合查询及导出。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综合查询及导出是向各公开单位提供综合查询依申请公开受理信息并且导出的功能。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（8）督查督办。</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督察督办是为各级公开办、区政府、市委办局提供实时监督各公开单位对依申请公开申请处理情况的功能，公开办可以通过此模块清晰的看到各单位事项处理的超期情况；区政府和市委办局可以查看本辖区单位的依申请处理情况。</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（9）系统管理。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工作日配置。根据依申请公开受理答复相关规定要求，各公开单位在15个工作日内处理答复依申请事项，由于每年法定节假日日期不确定性，工作日配置为系统管理员提供自定义配置工作日的功能，以便系统能够灵活计算每个依申请事项的答复截止日期。</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——参数配置。为系统管理员提供基本的参数配置功能，当依申请公开相关规定有修改时，系统管理员可以通过此模块进行配置。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——模板管理。用户可配置各单位在受理、答复过程中的打印回执单、答复告知书或第三方意见书等相应的模板文件。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——类别管理。系统为管理员提供类别管理模块功能，以便受理单位在归档登记过程中需选择归档信息的所属类别。系统管理员通过类别管理模块可以对类别进行新增、修改、删除、导出的操作。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——事项管理。各受理单位在事项受理过程中，会出现申请人姓名录入错误的现象，系统为超级管理员提供全市所有事项的管理功能，可对事项信息进行修改。</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8.域名管理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根据《国务院办公厅关于加强政府网站域名管理的通知（国办函〔2018〕55号）》的要求，对政府网站域名命名规则进行规范管理。</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（1）</w:t>
      </w:r>
      <w:r>
        <w:rPr>
          <w:rFonts w:eastAsia="方正仿宋_GBK"/>
          <w:snapToGrid w:val="0"/>
          <w:color w:val="auto"/>
          <w:sz w:val="32"/>
          <w:szCs w:val="32"/>
          <w:highlight w:val="none"/>
        </w:rPr>
        <w:t>域名结构规范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应使用以“.gov.cn”为后缀的英文域名和“.政务”为后缀的中文域名，不得使用其他后缀的域名。不承担行政职能的事业单位原则上不得使用以“.gov.cn”为后缀的英文域名。县级以上地方各级人民政府和国务院部门开设的政府门户网站，要使用“www.</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.gov.cn”结构的英文域名，其中</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为本地区、本部门名称拼音或英文对应的字符串（下同）。省级、地市级政府部门开设的网站，要使用本级人民政府门户网站的下级英文域名，结构为“</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.gov.cn”，其中</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为本部门名称拼音或英文对应的字符串（下同）；实行垂直管理的国务院部门的基层单位网站，要使用国务院部门门户网站的下级域名，结构为“</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.gov.cn”。政府网站的中文域名结构应为“</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.政务”，其中</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为网站主办单位的中文机构全称或规范化简称（下同）。</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政府网站各栏目、频道、专题、业务系统等原则上使用同一级域名，其中政府门户网站的栏目等使用“www.</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.gov.cn/…/…”和“</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.政务/…/…”结构的域名；部门网站（包括省级、地市级政府部门，以及实行垂直管理的国务院部门的基层单位网站）的栏目等使用“</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.gov.cn/…/…”和“</w:t>
      </w:r>
      <w:r>
        <w:rPr>
          <w:rFonts w:hint="eastAsia" w:ascii="方正仿宋_GBK" w:eastAsia="方正仿宋_GBK"/>
          <w:snapToGrid w:val="0"/>
          <w:color w:val="auto"/>
          <w:sz w:val="32"/>
          <w:szCs w:val="32"/>
          <w:highlight w:val="none"/>
        </w:rPr>
        <w:t>△△△</w:t>
      </w:r>
      <w:r>
        <w:rPr>
          <w:rFonts w:eastAsia="方正仿宋_GBK"/>
          <w:snapToGrid w:val="0"/>
          <w:color w:val="auto"/>
          <w:sz w:val="32"/>
          <w:szCs w:val="32"/>
          <w:highlight w:val="none"/>
        </w:rPr>
        <w:t>.政务/…/…”结构的域名。</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（2）</w:t>
      </w:r>
      <w:r>
        <w:rPr>
          <w:rFonts w:eastAsia="方正仿宋_GBK"/>
          <w:snapToGrid w:val="0"/>
          <w:color w:val="auto"/>
          <w:sz w:val="32"/>
          <w:szCs w:val="32"/>
          <w:highlight w:val="none"/>
        </w:rPr>
        <w:t>域名注册注销管理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政府网站集约化后，网站仍然保留但域名不符合要求的，应按流程重新申请域名，域名调整情况在网站首页醒目位置公告3个月后，注销原域名。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不按规定变更域名，集约化平台上予以通报。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业务系统、办事平台原则上不再作为独立网站运行，应尽快将相关信息和服务整合迁移，原域名按流程注销。</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（3）</w:t>
      </w:r>
      <w:r>
        <w:rPr>
          <w:rFonts w:eastAsia="方正仿宋_GBK"/>
          <w:snapToGrid w:val="0"/>
          <w:color w:val="auto"/>
          <w:sz w:val="32"/>
          <w:szCs w:val="32"/>
          <w:highlight w:val="none"/>
        </w:rPr>
        <w:t>自治区政府网站管理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对全区网站开设、整合、迁移、退出的进行动态审批和备案管理。</w:t>
      </w:r>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snapToGrid w:val="0"/>
          <w:color w:val="auto"/>
          <w:sz w:val="32"/>
          <w:szCs w:val="32"/>
          <w:highlight w:val="none"/>
        </w:rPr>
      </w:pPr>
      <w:bookmarkStart w:id="179" w:name="_Toc468886102"/>
      <w:bookmarkStart w:id="180" w:name="_Toc497465363"/>
      <w:bookmarkStart w:id="181" w:name="_Toc16233"/>
      <w:bookmarkStart w:id="182" w:name="_Toc13808"/>
      <w:bookmarkStart w:id="183" w:name="_Toc536773521"/>
      <w:bookmarkStart w:id="184" w:name="_Toc536611167"/>
      <w:bookmarkStart w:id="185" w:name="_Toc535227968"/>
      <w:bookmarkStart w:id="186" w:name="_Toc11493"/>
      <w:bookmarkStart w:id="187" w:name="_Toc1811267"/>
      <w:r>
        <w:rPr>
          <w:rFonts w:hint="eastAsia" w:ascii="方正楷体_GBK" w:eastAsia="方正楷体_GBK"/>
          <w:snapToGrid w:val="0"/>
          <w:color w:val="auto"/>
          <w:sz w:val="32"/>
          <w:szCs w:val="32"/>
          <w:highlight w:val="none"/>
        </w:rPr>
        <w:t>（四）集约化应用开放</w:t>
      </w:r>
      <w:bookmarkEnd w:id="179"/>
      <w:bookmarkEnd w:id="180"/>
      <w:r>
        <w:rPr>
          <w:rFonts w:hint="eastAsia" w:ascii="方正楷体_GBK" w:eastAsia="方正楷体_GBK"/>
          <w:snapToGrid w:val="0"/>
          <w:color w:val="auto"/>
          <w:sz w:val="32"/>
          <w:szCs w:val="32"/>
          <w:highlight w:val="none"/>
        </w:rPr>
        <w:t>系统</w:t>
      </w:r>
      <w:bookmarkEnd w:id="181"/>
      <w:bookmarkEnd w:id="182"/>
      <w:bookmarkEnd w:id="183"/>
      <w:bookmarkEnd w:id="184"/>
      <w:bookmarkEnd w:id="185"/>
      <w:bookmarkEnd w:id="186"/>
      <w:bookmarkEnd w:id="18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平台将不同机构单位、不同标准、不同渠道的各类信息和服务功能经过聚合、转换，封装成统一标准、统一管理、统一展现的应用单元或服务接口，使之能够在不同展现渠道调用、发布。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对政府网站集约化平台软件产品、SaaS云服务、PaaS云服务、APP、组件、接口等应用（服务）统一进行应用注册申请、应用审核、应用授权、应用监控及统计分析等管理。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应用（服务）管理核心业务如下：</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26" o:spt="75" type="#_x0000_t75" style="height:264.85pt;width:370.65pt;" o:ole="t" filled="f" o:preferrelative="t" stroked="f" coordsize="21600,21600">
            <v:path/>
            <v:fill on="f" focussize="0,0"/>
            <v:stroke on="f" joinstyle="miter"/>
            <v:imagedata r:id="rId15" o:title=""/>
            <o:lock v:ext="edit" aspectratio="t"/>
            <w10:wrap type="none"/>
            <w10:anchorlock/>
          </v:shape>
          <o:OLEObject Type="Embed" ProgID="Visio.Drawing.11" ShapeID="_x0000_i1026" DrawAspect="Content" ObjectID="_1468075726">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hint="eastAsia" w:ascii="方正黑体_GBK" w:eastAsia="方正黑体_GBK"/>
          <w:snapToGrid w:val="0"/>
          <w:color w:val="auto"/>
          <w:sz w:val="28"/>
          <w:szCs w:val="28"/>
          <w:highlight w:val="none"/>
        </w:rPr>
        <w:t>应用服务管理核心业务图</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88" w:name="_Toc535227969"/>
      <w:r>
        <w:rPr>
          <w:rFonts w:eastAsia="方正仿宋_GBK"/>
          <w:bCs/>
          <w:snapToGrid w:val="0"/>
          <w:color w:val="auto"/>
          <w:sz w:val="32"/>
          <w:szCs w:val="32"/>
          <w:highlight w:val="none"/>
        </w:rPr>
        <w:t>1.应用注册</w:t>
      </w:r>
      <w:bookmarkEnd w:id="18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注册申请。应用在政府网站集约化平台公开发布前需应用提供者对应用进行注册申请，注册申请需向应用管理者提供应用名称、应用说明、应用相关文件等信息。应用注册申请提交后需等待应用管理者对其进行线上、线下审核，审核结果通过邮件、短信、微信等方式进行反馈。</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审核。应用管理员可查看政府网站集约化平台应用注册申请信息，应用管理用可对申请信息内容进行线上、线下审查核实，审查核实后根据申请情况进行审核通过或驳回。审核通过或驳回后系统将自动通过邮件、短信、微信等将审核结果发送到申请者。</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——审核管理。应用管理员可对应用申请进行分类管理，可按状态进行排序、按申请提交时间进行排序，可通过模糊搜索对申请进行查询，针对重复或过期申请还可进行删除操作。</w:t>
      </w:r>
    </w:p>
    <w:p>
      <w:pPr>
        <w:pStyle w:val="528"/>
        <w:tabs>
          <w:tab w:val="left" w:pos="1418"/>
        </w:tabs>
        <w:adjustRightInd w:val="0"/>
        <w:snapToGrid w:val="0"/>
        <w:spacing w:line="570" w:lineRule="exact"/>
        <w:ind w:firstLine="640" w:firstLineChars="0"/>
        <w:outlineLvl w:val="3"/>
        <w:rPr>
          <w:rFonts w:eastAsia="方正仿宋_GBK"/>
          <w:bCs/>
          <w:snapToGrid w:val="0"/>
          <w:color w:val="auto"/>
          <w:sz w:val="32"/>
          <w:szCs w:val="32"/>
          <w:highlight w:val="none"/>
        </w:rPr>
      </w:pPr>
      <w:bookmarkStart w:id="189" w:name="_Toc535227970"/>
      <w:r>
        <w:rPr>
          <w:rFonts w:eastAsia="方正仿宋_GBK"/>
          <w:bCs/>
          <w:snapToGrid w:val="0"/>
          <w:color w:val="auto"/>
          <w:sz w:val="32"/>
          <w:szCs w:val="32"/>
          <w:highlight w:val="none"/>
        </w:rPr>
        <w:t>2.应用授权</w:t>
      </w:r>
      <w:bookmarkEnd w:id="18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使用申请。政府网站集约化平台租户查看已发布应用后可向政府网站集约化平台发起应用使用申请，应用使用申请需注明申请人姓名、单位、联系方式、使用说明及相关证明材料等信息。申请提交后由应用管理员对其进行审核，审核结果将通过微信、邮件、短信及政府网站集约化平台通知等方式反馈给申请者。</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——应用授权。应用管理员查看应用使用申请后可对申请内容进行线上、线下进行审核，审核通过后针对租户申请权限对其进行授权，授权后租户将具有该应用使用、分配等权限。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——用户授权。应用管理员对租户授权某一应用后，该租户可将应用使用权限授权给其下级租户进行使用。租户选择下级租户，通过勾选相关使用权限进行进一步授权，授权后下级租户可根据授权情况使用应用。</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190" w:name="_Toc535227971"/>
      <w:r>
        <w:rPr>
          <w:rFonts w:eastAsia="方正仿宋_GBK"/>
          <w:bCs/>
          <w:snapToGrid w:val="0"/>
          <w:color w:val="auto"/>
          <w:sz w:val="32"/>
          <w:szCs w:val="32"/>
          <w:highlight w:val="none"/>
        </w:rPr>
        <w:t>3.应用监控</w:t>
      </w:r>
      <w:bookmarkEnd w:id="19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运行情况。列表展示当前应用监控数据包括应用名称、应用分组、应用端口、运行状态、平均相应时间、吞吐率、错误率等。点击应用可查看应用请求、代码堆栈、错误详情、SQL调用执行情况等。支持按时间段查询应用运行数据，采用图表形式展示运行数据趋势。</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为便于应用运行情况分析管理，支持监控对应用进行分组，支持创建新分组、删除已有分组等操作。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支持按分组进行过滤、按状态进行过滤、支持按平均相应时间、吞吐率、错误率等进行排序，支持按应用名称进行搜索。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授权情况。列表展示当前应用名称、运行状态、直接授权租户数、二次授权用户数等信息。支持点击进一步查看直接授权租户列表，列表字段包括租户名称、性别、职务、单位、二次授权用户数、授权时间、权限有效期等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应用列表支持按应用状态过滤、支持按直接授权租户数进行排序及查看排名、支持按照二次授权用户数进行排序及查看排名。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授权租户列表支持数据导出、支持按租户名称进行搜索、支持按授权时间排序、支持按二次授权用户数排序。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——应用使用情况。列表展示当前应用名称、运行状态、用户数、平均使用时长、用户评论数、用户评分等信息。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支持按应用名称搜索，按应用运行状态过滤，支持按用户数、平均使用时长、用户评论数及用户评分进行排序及查看对应排名。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——安全审计。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网络通信审计：实现网络流量中典型协议分析、识别、判断、记录，Telnet、HTTP、Email、FTP、网上聊天、文件共享等检测，流量监测及异常流量的识别和报警，网络设备运行检测等。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服务器主机审计：实现系统启动、运行情况，管理员登录、操作情况，系统配置更改（注册表、配置文件、用户系统等）及病毒感染，资源消耗情况审计，硬盘、CPU、内存、网络负载、进程、操作系统安全日志、系统内部事件、重要文件访问等审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平台软件审计：实现平台进程运行，Web Server、Miel Server、Lotus、Exchange Server、中间件、健康情况等审计。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数据库操作审计：实现数据库进成运转情况、绕过应用软件直接对数据库操作的违规访问行为，数据库配置更改、数据备份操作及其他维护管理操作，对数据访问更改、数据完整性等审计。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应用系统审计：应用系统公文流转和操作、网页完整性、相关业务系统（包括业务系统正常运转情况、用户开设/中止等重要操作、授权更改操作、数据提交/处理/访问/发布操作、业务流程等内容）等。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内网区域用户机审计：内网区域的用户机病毒感染情况、通过网络进行的文件共享操作、文件拷贝/打印操作、通过Modem擅自连接外网的情况、非业务异常软件的安装和运行等的审计。</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191" w:name="_Toc535227972"/>
      <w:r>
        <w:rPr>
          <w:rFonts w:eastAsia="方正仿宋_GBK"/>
          <w:bCs/>
          <w:snapToGrid w:val="0"/>
          <w:color w:val="auto"/>
          <w:sz w:val="32"/>
          <w:szCs w:val="32"/>
          <w:highlight w:val="none"/>
        </w:rPr>
        <w:t>4.统计分析</w:t>
      </w:r>
      <w:bookmarkEnd w:id="19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——应用热点分析。采用热力图方式展现各地区应用使用情况，不同颜色代表不同使用量等级。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——厂家分布分析。采用饼图方式展现政府网站集约化平台各厂家提供应用量，可直观得出政府网站集约化平台各厂家应用贡献量比例。</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125595" cy="2924175"/>
            <wp:effectExtent l="0" t="0" r="8255" b="9525"/>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16"/>
                    <a:srcRect t="15417"/>
                    <a:stretch>
                      <a:fillRect/>
                    </a:stretch>
                  </pic:blipFill>
                  <pic:spPr>
                    <a:xfrm>
                      <a:off x="0" y="0"/>
                      <a:ext cx="4125595" cy="2924175"/>
                    </a:xfrm>
                    <a:prstGeom prst="rect">
                      <a:avLst/>
                    </a:prstGeom>
                    <a:noFill/>
                    <a:ln>
                      <a:noFill/>
                    </a:ln>
                  </pic:spPr>
                </pic:pic>
              </a:graphicData>
            </a:graphic>
          </wp:inline>
        </w:drawing>
      </w:r>
    </w:p>
    <w:p>
      <w:pPr>
        <w:adjustRightInd w:val="0"/>
        <w:snapToGrid w:val="0"/>
        <w:spacing w:beforeLines="50" w:afterLines="80"/>
        <w:jc w:val="center"/>
        <w:rPr>
          <w:rFonts w:eastAsia="方正仿宋_GBK"/>
          <w:snapToGrid w:val="0"/>
          <w:color w:val="auto"/>
          <w:sz w:val="32"/>
          <w:szCs w:val="32"/>
          <w:highlight w:val="none"/>
        </w:rPr>
      </w:pPr>
      <w:r>
        <w:rPr>
          <w:rFonts w:ascii="方正黑体_GBK" w:eastAsia="方正黑体_GBK"/>
          <w:snapToGrid w:val="0"/>
          <w:color w:val="auto"/>
          <w:sz w:val="28"/>
          <w:szCs w:val="28"/>
          <w:highlight w:val="none"/>
        </w:rPr>
        <w:t>厂家分布分析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——应用排名分析。采用条形图形式展现本月政府网站集约化平台各应用使用数量排名情况。</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86400" cy="2126615"/>
            <wp:effectExtent l="0" t="0" r="0" b="698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17"/>
                    <a:stretch>
                      <a:fillRect/>
                    </a:stretch>
                  </pic:blipFill>
                  <pic:spPr>
                    <a:xfrm>
                      <a:off x="0" y="0"/>
                      <a:ext cx="5486400" cy="212661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应用使用排名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——应用评价排名。采用条形图形式展示政府网站集约化平台各应用在用户使用过程中对其评价评分情况排名。</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975860" cy="1892300"/>
            <wp:effectExtent l="0" t="0" r="15240" b="1270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18"/>
                    <a:stretch>
                      <a:fillRect/>
                    </a:stretch>
                  </pic:blipFill>
                  <pic:spPr>
                    <a:xfrm>
                      <a:off x="0" y="0"/>
                      <a:ext cx="4975860" cy="189230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应用评价排名</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192" w:name="_Toc535227973"/>
      <w:r>
        <w:rPr>
          <w:rFonts w:eastAsia="方正仿宋_GBK"/>
          <w:bCs/>
          <w:snapToGrid w:val="0"/>
          <w:color w:val="auto"/>
          <w:sz w:val="32"/>
          <w:szCs w:val="32"/>
          <w:highlight w:val="none"/>
        </w:rPr>
        <w:t>5.应用开放平台后台功能设计</w:t>
      </w:r>
      <w:bookmarkEnd w:id="192"/>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5.1　多系统支持服务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系统支持服务在应用管理系统上部署的政务服务应用一次性开发，多系统发布，实现PC端的支撑应用。将政务服务应用布局在政务服务接入系统上，并对二次开发提供易用的API调用接口。通过“政务服务接入系统”将异构的政务服务应用进行统一接入，提供统一的用户体验。</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518660" cy="2796540"/>
            <wp:effectExtent l="0" t="0" r="15240" b="381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19"/>
                    <a:stretch>
                      <a:fillRect/>
                    </a:stretch>
                  </pic:blipFill>
                  <pic:spPr>
                    <a:xfrm>
                      <a:off x="0" y="0"/>
                      <a:ext cx="4518660" cy="279654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bookmarkStart w:id="193" w:name="_Toc495584581"/>
      <w:r>
        <w:rPr>
          <w:rFonts w:ascii="方正黑体_GBK" w:eastAsia="方正黑体_GBK"/>
          <w:snapToGrid w:val="0"/>
          <w:color w:val="auto"/>
          <w:sz w:val="28"/>
          <w:szCs w:val="28"/>
          <w:highlight w:val="none"/>
        </w:rPr>
        <w:t>多系统接入支持服务结构图</w:t>
      </w:r>
      <w:bookmarkEnd w:id="19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政务服务接入系统是开放性的，提供统一接入规范，应用统一以政务服务的形式整合到系统上来。系统主要包含应用的汇聚管理、开放的JSSDK API、可生成标准化的应用程序。一次开发支持多系统使用。</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3923665" cy="3274695"/>
            <wp:effectExtent l="0" t="0" r="635" b="19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rcRect l="25081" r="2922" b="3625"/>
                    <a:stretch>
                      <a:fillRect/>
                    </a:stretch>
                  </pic:blipFill>
                  <pic:spPr>
                    <a:xfrm>
                      <a:off x="0" y="0"/>
                      <a:ext cx="3923665" cy="327469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bookmarkStart w:id="194" w:name="_Toc495584582"/>
      <w:r>
        <w:rPr>
          <w:rFonts w:ascii="方正黑体_GBK" w:eastAsia="方正黑体_GBK"/>
          <w:snapToGrid w:val="0"/>
          <w:color w:val="auto"/>
          <w:sz w:val="28"/>
          <w:szCs w:val="28"/>
          <w:highlight w:val="none"/>
        </w:rPr>
        <w:t>政务服务接入应用图</w:t>
      </w:r>
      <w:bookmarkEnd w:id="194"/>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5.2　标准规范应用接入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管理系统提供一系列的应用接入标准规范，如开发标准、页面规范、UI控件规范和开发调试工具，保证应用接入的标准化和规范化；系统提供标准的API和安全验证机制，提供接入Demo和调试环境供开发厂商使用，方便各政务服务应用的标准化接入。</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5.3　标准化组件库服务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提供标准化组件库服务，桥接各应用系统模块，对用户体系、设备终端的调用、常用界面流转、推送消息、支付功能和基础数据的统计等功能进行开放。</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518660" cy="2615565"/>
            <wp:effectExtent l="0" t="0" r="15240" b="1333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1"/>
                    <a:stretch>
                      <a:fillRect/>
                    </a:stretch>
                  </pic:blipFill>
                  <pic:spPr>
                    <a:xfrm>
                      <a:off x="0" y="0"/>
                      <a:ext cx="4518660" cy="261556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bookmarkStart w:id="195" w:name="_Toc495584583"/>
      <w:r>
        <w:rPr>
          <w:rFonts w:ascii="方正黑体_GBK" w:eastAsia="方正黑体_GBK"/>
          <w:snapToGrid w:val="0"/>
          <w:color w:val="auto"/>
          <w:sz w:val="28"/>
          <w:szCs w:val="28"/>
          <w:highlight w:val="none"/>
        </w:rPr>
        <w:t>标准化组件服务结构图</w:t>
      </w:r>
      <w:bookmarkEnd w:id="19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（1）用户组件。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系统提供的统一接口来获取用户信息和调用登录、注册功能，通过系统用户组件把每个应用做“统一用户”和“用户绑定”的管理。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（2）设备组件。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系统提供了众多可扩展、可维护的插件提供调用。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（3）资源组件。</w:t>
      </w:r>
    </w:p>
    <w:p>
      <w:pPr>
        <w:adjustRightInd w:val="0"/>
        <w:snapToGrid w:val="0"/>
        <w:spacing w:line="570" w:lineRule="exact"/>
        <w:ind w:firstLine="624" w:firstLineChars="200"/>
        <w:rPr>
          <w:rFonts w:eastAsia="方正仿宋_GBK"/>
          <w:snapToGrid w:val="0"/>
          <w:color w:val="auto"/>
          <w:spacing w:val="-4"/>
          <w:sz w:val="32"/>
          <w:szCs w:val="32"/>
          <w:highlight w:val="none"/>
        </w:rPr>
      </w:pPr>
      <w:r>
        <w:rPr>
          <w:rFonts w:eastAsia="方正仿宋_GBK"/>
          <w:snapToGrid w:val="0"/>
          <w:color w:val="auto"/>
          <w:spacing w:val="-4"/>
          <w:sz w:val="32"/>
          <w:szCs w:val="32"/>
          <w:highlight w:val="none"/>
        </w:rPr>
        <w:t>系统提供多媒体资源的统一管理，包括图片、视频等。同时，考虑到个性和共性的结合，每个单位编辑个人的多媒体资源可以存放在个人类别中，允许别人使用的资源可以存放在共享的类别中。</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（4）页面组件。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系统提供灵活好用的小功能，比如统一规范的提示框、简短</w:t>
      </w:r>
      <w:r>
        <w:rPr>
          <w:rFonts w:eastAsia="方正仿宋_GBK"/>
          <w:snapToGrid w:val="0"/>
          <w:color w:val="auto"/>
          <w:spacing w:val="-6"/>
          <w:sz w:val="32"/>
          <w:szCs w:val="32"/>
          <w:highlight w:val="none"/>
        </w:rPr>
        <w:t>提示、设置浏览器标题、退出浏览器、加载链接、隐藏/显示导航</w:t>
      </w:r>
      <w:r>
        <w:rPr>
          <w:rFonts w:eastAsia="方正仿宋_GBK"/>
          <w:snapToGrid w:val="0"/>
          <w:color w:val="auto"/>
          <w:sz w:val="32"/>
          <w:szCs w:val="32"/>
          <w:highlight w:val="none"/>
        </w:rPr>
        <w:t>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（5）消息组件。</w:t>
      </w:r>
    </w:p>
    <w:p>
      <w:pPr>
        <w:adjustRightInd w:val="0"/>
        <w:snapToGrid w:val="0"/>
        <w:spacing w:line="570"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政务服务接入系统提供统一的消息推送渠道，需要消息推送或者是提醒类的应用可以调用系统的消息组件来提供消息推送服</w:t>
      </w:r>
      <w:r>
        <w:rPr>
          <w:rFonts w:eastAsia="方正仿宋_GBK"/>
          <w:snapToGrid w:val="0"/>
          <w:color w:val="auto"/>
          <w:sz w:val="32"/>
          <w:szCs w:val="32"/>
          <w:highlight w:val="none"/>
        </w:rPr>
        <w:t>务。</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5.4　应用接入服务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提供统一的政务服务应用服务接入标准、提供统一的政务服务接入系统、提供政务服务应用支撑系统、提供统一的政务服务应用。政务服务接入系统Server端针对各服务模块进行统一管理，每一个开发完成的服务应用都需要在Server端统一进行管理，通过预览功能来检查功能的完善程度，是否满足上线的条件。测试通过的服务应用可以上架，上架的应用才可以提供服务。应用管理包括应用新增、删除、排序、管理和预览功能等。因此，服务管理模块提供了应用的大汇聚，集中管理、统一维护、支持在线启停等操作。</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5.5　应用接入管理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了传统PC应用系统能够方便快捷的转化为适用于政务服务的轻应用，政务服务接入系统提供了应用开发模块功能，并为开发者提供了详细的应用接入管理流程，方便开发者调用开发。接入单位在收到管理账号信息后，登录政务服务接入系统，在应用管理中上传编译完成并且在开发环境测试通过的应用程序包。</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5.6　应用测试服务流程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应用测试服务流程如下图所示。</w:t>
      </w:r>
    </w:p>
    <w:p>
      <w:pPr>
        <w:adjustRightInd w:val="0"/>
        <w:snapToGrid w:val="0"/>
        <w:spacing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50840" cy="1888490"/>
            <wp:effectExtent l="0" t="0" r="16510" b="16510"/>
            <wp:docPr id="30" name="图片 10" descr="应用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应用系统"/>
                    <pic:cNvPicPr>
                      <a:picLocks noChangeAspect="1"/>
                    </pic:cNvPicPr>
                  </pic:nvPicPr>
                  <pic:blipFill>
                    <a:blip r:embed="rId22"/>
                    <a:stretch>
                      <a:fillRect/>
                    </a:stretch>
                  </pic:blipFill>
                  <pic:spPr>
                    <a:xfrm>
                      <a:off x="0" y="0"/>
                      <a:ext cx="5450840" cy="188849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bookmarkStart w:id="196" w:name="_Toc495584584"/>
      <w:r>
        <w:rPr>
          <w:rFonts w:ascii="方正黑体_GBK" w:eastAsia="方正黑体_GBK"/>
          <w:snapToGrid w:val="0"/>
          <w:color w:val="auto"/>
          <w:sz w:val="28"/>
          <w:szCs w:val="28"/>
          <w:highlight w:val="none"/>
        </w:rPr>
        <w:t>应用测试服务流程图</w:t>
      </w:r>
      <w:bookmarkEnd w:id="196"/>
    </w:p>
    <w:p>
      <w:pPr>
        <w:adjustRightInd w:val="0"/>
        <w:snapToGrid w:val="0"/>
        <w:spacing w:line="54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务服务接入系统提供了轻应用测试功能，并为开发者提供了详细的测试文档及测试工具，以方便开发者测试应用服务。接入单位在收到管理账号信息后，登录政务服务接入系统，在应用管理中上传编译完成并且在开发环境测试通过的应用程序包。测试服务包括代码合法性测试、应用内性能测试、真实环境测试、测试结果评分、打包发布。提供测试内容有：</w:t>
      </w:r>
    </w:p>
    <w:p>
      <w:pPr>
        <w:adjustRightInd w:val="0"/>
        <w:snapToGrid w:val="0"/>
        <w:spacing w:line="54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代码合法性测试：对代码的安全性、规范性、多端兼容性等进行整体测试。</w:t>
      </w:r>
    </w:p>
    <w:p>
      <w:pPr>
        <w:adjustRightInd w:val="0"/>
        <w:snapToGrid w:val="0"/>
        <w:spacing w:line="54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应用内性能测试：对应用内各流程页面操作的响应速度进行测试并找到瓶颈。</w:t>
      </w:r>
    </w:p>
    <w:p>
      <w:pPr>
        <w:adjustRightInd w:val="0"/>
        <w:snapToGrid w:val="0"/>
        <w:spacing w:line="54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真机环境测试：可以应用快速输出到整机环境，可以及时预览和使用应用内各项功能。</w:t>
      </w:r>
    </w:p>
    <w:p>
      <w:pPr>
        <w:adjustRightInd w:val="0"/>
        <w:snapToGrid w:val="0"/>
        <w:spacing w:line="54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测试结果评分：对应用的代码合法性、页面响应速度等运行效率指标进行评分并给出问题点。</w:t>
      </w:r>
    </w:p>
    <w:p>
      <w:pPr>
        <w:numPr>
          <w:ilvl w:val="4"/>
          <w:numId w:val="0"/>
        </w:numPr>
        <w:adjustRightInd w:val="0"/>
        <w:snapToGrid w:val="0"/>
        <w:spacing w:line="54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5.7　应用接入全流程管理</w:t>
      </w:r>
    </w:p>
    <w:p>
      <w:pPr>
        <w:adjustRightInd w:val="0"/>
        <w:snapToGrid w:val="0"/>
        <w:spacing w:line="54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提供应用接入全流程管理降低运维人力投入和难度，提高接入开发的简便性。</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720715" cy="697865"/>
            <wp:effectExtent l="0" t="0" r="13335" b="698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3"/>
                    <a:stretch>
                      <a:fillRect/>
                    </a:stretch>
                  </pic:blipFill>
                  <pic:spPr>
                    <a:xfrm>
                      <a:off x="0" y="0"/>
                      <a:ext cx="5720715" cy="69786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bookmarkStart w:id="197" w:name="_Toc495584585"/>
      <w:bookmarkStart w:id="198" w:name="_Toc492214067"/>
      <w:r>
        <w:rPr>
          <w:rFonts w:ascii="方正黑体_GBK" w:eastAsia="方正黑体_GBK"/>
          <w:snapToGrid w:val="0"/>
          <w:color w:val="auto"/>
          <w:sz w:val="28"/>
          <w:szCs w:val="28"/>
          <w:highlight w:val="none"/>
        </w:rPr>
        <w:t>应用接入全流程管理图</w:t>
      </w:r>
      <w:bookmarkEnd w:id="197"/>
      <w:bookmarkEnd w:id="19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通过应用全流程管理将想法快速推到市场，让用户使用起来并获取用户的反馈，通过用户的反馈动态的对应用进行管理。</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5.8　应用多维度管理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系统实现接入应用的多维度管理，根据政务服务应用的服务内容、服务方式和服务人群等要素，进行应用的多维度管理。</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5.9　运行分析功能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通过运行分析功能模块对政务服务接入系统的应用进行监控分析，包括应用可用性监测、页面响应速度监测、异常情况预警、用户轨迹记录与分析、运行分析大屏。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（1）应用可用性监测。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对应用的线上运行是否可用进行轮询，便于发现应用的服务停止。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（2）页面响应速度监测。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应用接入要求添加轮询测试通道，通过对交互操作进行模拟测试，发现页面响应速度和数据响应速度的瓶颈，从而进行优化。</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（3）异常情况预警。</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对于应用无法访问、数据响应停止情况进行预警。</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（4）用户轨迹记录与分析。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对单体用户的访问轨迹进行记录，从而进行精准服务。</w:t>
      </w:r>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snapToGrid w:val="0"/>
          <w:color w:val="auto"/>
          <w:sz w:val="32"/>
          <w:szCs w:val="32"/>
          <w:highlight w:val="none"/>
        </w:rPr>
      </w:pPr>
      <w:bookmarkStart w:id="199" w:name="_Toc503650987"/>
      <w:bookmarkStart w:id="200" w:name="_Toc1811268"/>
      <w:bookmarkStart w:id="201" w:name="_Toc5211"/>
      <w:bookmarkStart w:id="202" w:name="_Toc25221"/>
      <w:bookmarkStart w:id="203" w:name="_Toc535227974"/>
      <w:bookmarkStart w:id="204" w:name="_Toc25800"/>
      <w:bookmarkStart w:id="205" w:name="_Toc536611168"/>
      <w:bookmarkStart w:id="206" w:name="_Toc536773522"/>
      <w:bookmarkStart w:id="207" w:name="_Toc493247232"/>
      <w:bookmarkStart w:id="208" w:name="_Toc492833801"/>
      <w:bookmarkStart w:id="209" w:name="_Toc1319"/>
      <w:r>
        <w:rPr>
          <w:rFonts w:hint="eastAsia" w:ascii="方正楷体_GBK" w:eastAsia="方正楷体_GBK"/>
          <w:snapToGrid w:val="0"/>
          <w:color w:val="auto"/>
          <w:sz w:val="32"/>
          <w:szCs w:val="32"/>
          <w:highlight w:val="none"/>
        </w:rPr>
        <w:t>（五）互动交流</w:t>
      </w:r>
      <w:bookmarkEnd w:id="199"/>
      <w:r>
        <w:rPr>
          <w:rFonts w:hint="eastAsia" w:ascii="方正楷体_GBK" w:eastAsia="方正楷体_GBK"/>
          <w:snapToGrid w:val="0"/>
          <w:color w:val="auto"/>
          <w:sz w:val="32"/>
          <w:szCs w:val="32"/>
          <w:highlight w:val="none"/>
        </w:rPr>
        <w:t>系统</w:t>
      </w:r>
      <w:bookmarkEnd w:id="200"/>
      <w:bookmarkEnd w:id="201"/>
      <w:bookmarkEnd w:id="202"/>
      <w:bookmarkEnd w:id="203"/>
      <w:bookmarkEnd w:id="204"/>
      <w:bookmarkEnd w:id="205"/>
      <w:bookmarkEnd w:id="20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政府网站集约化平台提供基于全新集约化架构下的个性化互动服务，通过统一的管理平台建立各部门联动的在线交互服务，满足公众多层次的互动服务需求。同时，与广西12345平台构建上下联动的互动交流体系。</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10" w:name="_Toc493247220"/>
      <w:bookmarkStart w:id="211" w:name="_Toc493239470"/>
      <w:bookmarkStart w:id="212" w:name="_Toc535227975"/>
      <w:r>
        <w:rPr>
          <w:rFonts w:eastAsia="方正仿宋_GBK"/>
          <w:bCs/>
          <w:snapToGrid w:val="0"/>
          <w:color w:val="auto"/>
          <w:sz w:val="32"/>
          <w:szCs w:val="32"/>
          <w:highlight w:val="none"/>
        </w:rPr>
        <w:t>1.留言评论</w:t>
      </w:r>
      <w:bookmarkEnd w:id="210"/>
      <w:bookmarkEnd w:id="211"/>
      <w:bookmarkEnd w:id="212"/>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网民可通过留言评论功能对网站发布的信息进行留言、评论，保障网民的参与权、表达权，方便政府部门对政府网站的服务质量进行统计。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【评论设置】针对站点、栏目、稿件均可设置其范围内的文章是否允许用户评论。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【留言评论】网民对网站发布的信息进行意见发表，提交后由后台政府工作人员审核通过后方可发布。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【评价】网民对政府网站的某信息、某服务是否满意进行评分、点赞等。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【审核】对前端网民留言进行审核，确保没有非法信息发布。配置敏感字检查，提醒工作人员是否有敏感性信息，以便特别注意，从而避免发生处理不当情况。</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【发布】审核通过的评论信息发布到前台网页，所有网民可以查看。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【答复】对网民留言进行答复，网民可通过前台页面进行查看回复。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【删除】对网民留言恶意信息进行删除。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【统计】对网民留言、评价情况进行统计，监督工作人员服务质量，提高群众满意度。</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13" w:name="_Toc535227976"/>
      <w:bookmarkStart w:id="214" w:name="_Toc493247221"/>
      <w:bookmarkStart w:id="215" w:name="_Toc493239471"/>
      <w:r>
        <w:rPr>
          <w:rFonts w:eastAsia="方正仿宋_GBK"/>
          <w:bCs/>
          <w:snapToGrid w:val="0"/>
          <w:color w:val="auto"/>
          <w:sz w:val="32"/>
          <w:szCs w:val="32"/>
          <w:highlight w:val="none"/>
        </w:rPr>
        <w:t>2.在线访谈</w:t>
      </w:r>
      <w:bookmarkEnd w:id="213"/>
      <w:bookmarkEnd w:id="214"/>
      <w:bookmarkEnd w:id="21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在线访谈是基于政府网站实现图文信息直播、网络视音频直播、互动交流应用等。政府人员、专家现身说法、解读回应，可以根据情况接受网友的互动参与。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【访谈角色管理】可定义网民用户、系统管理员、访谈主持人、访谈嘉宾、访谈导播、访谈审核员等角色。</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【访谈主题管理】提供主题的添加、查询、删除等操作。可以设置并管理在线访谈的主题、参与人员、访谈起止时间等，并将访谈活动信息进行预告发布等。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线访谈活动的管理与控制】在线访谈管理包括用户管理、管理参数设置、直播参数设置、访谈内容管理与发布等功能。可设置IP、Email、用户名来屏蔽一些用户。可设定访谈名称、问题和答案的最大长度、普通用户开放时间、嘉宾开放时间、用户发言内容过滤模式、发布站点等，并指定参与该访谈的嘉宾。可对在线访谈参与人员进行及时管理，删除扰乱正常访谈次序的用户；可以根据需要完成访谈现场图片内容的上传与发布，在线发布参考资料和供公众下载交流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的审核与管理】包括互动内容审核、图文直播内容管理等功能。如文字过滤功能可以自动屏蔽脏话、反动口号、不道德言语，维持直播访谈的健康主题等；支持发言认证功能，杜绝非法言论的发布。如注册用户提交问题和交流言论并经过系统自动过滤（敏感词、关键词等）后，由审核人员（如主持人）进行再次审核后才可正式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视频直播】流媒体直播应用包括实时信号的直播和录像资料的直播等。在互动直播访谈过程中，可以播放一路或者多路流媒体视频（如播放一段访谈背景资料等），可以随时开始或者结束某路流媒体节目广播等，并可以做到流媒体播放的位置与实时视频的无缝切换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【图文直播】支持访谈内容以文字和图片的方式发布出来。图文直播内容除了访谈文字内容外还可以是现场图片、背景介绍等。图文直播的内容可以保存，以便制作往期回顾。</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往期回顾】访谈结束后，管理员可将访谈的文字、图片、视频资料进行重新分类与整理，并可作为网站内容进行二次发布。可以根据需要，立即将同步上传到服务器的录制节目以静态、自定义页面呈现模板的方式自动发布到指定频道或栏目。用户可以在互动直播访谈结束同时或之后能访问到已结束的直播内容。</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16" w:name="_Toc493239472"/>
      <w:bookmarkStart w:id="217" w:name="_Toc493247222"/>
      <w:bookmarkStart w:id="218" w:name="_Toc535227977"/>
      <w:r>
        <w:rPr>
          <w:rFonts w:eastAsia="方正仿宋_GBK"/>
          <w:bCs/>
          <w:snapToGrid w:val="0"/>
          <w:color w:val="auto"/>
          <w:sz w:val="32"/>
          <w:szCs w:val="32"/>
          <w:highlight w:val="none"/>
        </w:rPr>
        <w:t>3.征集调查</w:t>
      </w:r>
      <w:bookmarkEnd w:id="216"/>
      <w:bookmarkEnd w:id="217"/>
      <w:bookmarkEnd w:id="21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开展征集调查工作，是政府密切联系群众，依法保障公民的知情权、参与权、表达权、监督权，引导群众对党和政府的工作献计献策，改进党和国家机关工作的一项重要举措。通过开展民意征集、问卷调查方式，可以迅速了解社会不同层次、不同背景的公众对一些政府工作服务的认可程度，就重大政策和重要事件客观地收集真实需求信息和征集意见，调整修正决策和策略，满足不同的需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【主题管理】管理员可新建、修改、删除、关闭征集主题。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【征集设计】对于每个征集主题可以对标题、摘要、内容、选项等组成结构等进行设计。管理员可新建、修改、删除、排序征集内容，提供多种选项类型：单选、多选、填空、上传附件等。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【统计分析】对网民提交的拯救调查内容进行统计分析，提供可视化图表展现方式。</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19" w:name="_Toc535227978"/>
      <w:bookmarkStart w:id="220" w:name="_Toc493239473"/>
      <w:bookmarkStart w:id="221" w:name="_Toc493247223"/>
      <w:r>
        <w:rPr>
          <w:rFonts w:eastAsia="方正仿宋_GBK"/>
          <w:bCs/>
          <w:snapToGrid w:val="0"/>
          <w:color w:val="auto"/>
          <w:sz w:val="32"/>
          <w:szCs w:val="32"/>
          <w:highlight w:val="none"/>
        </w:rPr>
        <w:t>4.咨询投诉</w:t>
      </w:r>
      <w:bookmarkEnd w:id="219"/>
      <w:bookmarkEnd w:id="220"/>
      <w:bookmarkEnd w:id="22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构建统一的咨询投诉渠道，实现各类信件网上受理、办理、督办和查询等功能。群众通过政府网站，可就其所关注的各类问题进行咨询、反映、申诉，提合理化建议；可对政府各部门的办事效率、行为规范进行监督投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【权限管理】建立明晰的层级关系，实现权限控制、保证问题有效转达，保证机构职责范围内的办件受理工作。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【数据统计】支持高效、翔实的工作数据统计，对部门投诉情况、处理情况进行统计分析，为考核工作提供参考数据。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【流程定义】可自定义处理流程，如：直接处理、转办、催办的控制，实现单一问题的多部门流转。</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问题处理】系统自动分配问题到相关部门，不同部门只能看到自己部门的待答复问题清单，并进行相关操作。工作人员对于无效问题可删除，有效问题直接编写答复结果，不属于自己管理范畴的问题可以转回平台或其它部门。对于典型问题可选择是否公开或是否置顶，方便网民查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前台管理】网民用户可以通过统一身份认证登录网站进行个人信息管理、问题提交、处理过程查看、处理结果查看等；也可以输入个人信息后提交问题，平台为其生成问题查询码，可依据查询码查看问题处理过程和结果。</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22" w:name="_Toc493247224"/>
      <w:bookmarkStart w:id="223" w:name="_Toc535227979"/>
      <w:bookmarkStart w:id="224" w:name="_Toc493239474"/>
      <w:r>
        <w:rPr>
          <w:rFonts w:eastAsia="方正仿宋_GBK"/>
          <w:bCs/>
          <w:snapToGrid w:val="0"/>
          <w:color w:val="auto"/>
          <w:sz w:val="32"/>
          <w:szCs w:val="32"/>
          <w:highlight w:val="none"/>
        </w:rPr>
        <w:t>5.领导信箱</w:t>
      </w:r>
      <w:bookmarkEnd w:id="222"/>
      <w:bookmarkEnd w:id="223"/>
      <w:bookmarkEnd w:id="224"/>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领导信箱是公民、法人或者其他组织通过政府网站领导信箱系统直接向领导反映情况，提出建议、意见或者投诉请求，依法由领导或有关国家机关处理和回复。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（1）在线信箱。</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线写信】网民阅读“信箱指南”，引导网民正确使用此信箱，输入个人基本信息，已经注册的用户输入帐号和密码进行认证。选择信件类型（举报、建议、意见或其他类型），编辑信件内容，如有附件可上传文件。在线提交后系统返回用户一个信件查询码用于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【在线反馈】网民可以通过信件查询码或登录网站查询答复进度、答复内容等信息。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【信件选登】对于一些典型信件或具有公开意义的信件，可</w:t>
      </w:r>
      <w:r>
        <w:rPr>
          <w:rFonts w:eastAsia="方正仿宋_GBK"/>
          <w:snapToGrid w:val="0"/>
          <w:color w:val="auto"/>
          <w:spacing w:val="6"/>
          <w:sz w:val="32"/>
          <w:szCs w:val="32"/>
          <w:highlight w:val="none"/>
        </w:rPr>
        <w:t>以通过信件选登功能在指定栏目进行显示，供网民进行查询和阅</w:t>
      </w:r>
      <w:r>
        <w:rPr>
          <w:rFonts w:eastAsia="方正仿宋_GBK"/>
          <w:snapToGrid w:val="0"/>
          <w:color w:val="auto"/>
          <w:sz w:val="32"/>
          <w:szCs w:val="32"/>
          <w:highlight w:val="none"/>
        </w:rPr>
        <w:t>览。</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（2）信件协同处理。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【信件分类】系统对提交的信件可以根据类型、主题、所属地区以及时间等进行自动分类，方便相应部门集中处理。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【信件处理】对一些简单的建议、意见和咨询，可以直接答复网民的，系统中输入答复意见后直接提交即可，网民即可上网查询到答复结果。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【信件转发】认为应转交到其他部门进行调查处理的，或者涉及两个以上部门职责范围的，系统中实现信息转发功能。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【查询统计】系统支持查询每一封信件的处理状态、处理部门、答复状态、邮件内容等信息；支持按照时间、类别、处理部门、处理状态、所属地区等对信件进行统计分析，支持可视化图表方式进行统计分析。</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25" w:name="_Toc535227980"/>
      <w:r>
        <w:rPr>
          <w:rFonts w:eastAsia="方正仿宋_GBK"/>
          <w:bCs/>
          <w:snapToGrid w:val="0"/>
          <w:color w:val="auto"/>
          <w:sz w:val="32"/>
          <w:szCs w:val="32"/>
          <w:highlight w:val="none"/>
        </w:rPr>
        <w:t>6.互动交流平台后台功能设计</w:t>
      </w:r>
      <w:bookmarkEnd w:id="225"/>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6.1　办件问题多渠道提交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系统提供多渠道的办件问题提交途径，包括用户前台提交（注册和非注册）、手机短信提交、后台增加办件（针对纸质办件）。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——用户网上前台办件。通过系统注册后的用户，可实现使用账号直接登录，并进入咨询信箱信息编辑界面，通过填写相关咨询信息后，在提交信息时，系统支持将该条信息提交到相关各机构进行办理。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系统支持用户提交办件时上传附件，上传的附件大小、类型可通过后台以配置形式方便的控制。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——后台新增办件。对于公众提交的纸质办件或电话咨询办件，系统支持后台进行新增办件形式进入到流程中。</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——手机短信办件。系统还支持用户注册时绑定手机认证后，通过手机短信方式，提交办件，提交后系统自动发送反馈信息到办件用户手机，该功能需要提供短信机或短信平台进行支持。</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6.2　后台业务办理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针对前台用户提交的信息，后台可根据预先定制的流程进行受理、办理、转办、反馈等操作。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后台业务的办理主要建立在办件流程的管理和用户资源的管理基础之上。其具体功能描述如下：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办件流程管理。为方便不同用户各种组织机构的信件处理需求，系统在创建业务时即可实现对办件办理流程化的自行定制，办件处理流程一般可分为直接处理（一般针对领导信箱的办件流程可定制为直接处理）、转办处理（对于不具备独立完成办件的部门则可设为转办权限，以便于各部门间协同完成对办件的办理过程）、上报处理（主要是下属机构对办件的无法做出办理或办理后需进行审核的，可通过上报上层机构实现对办件的审核后，作出办件是否通过对外反馈的决策。）</w:t>
      </w:r>
    </w:p>
    <w:p>
      <w:pPr>
        <w:adjustRightInd w:val="0"/>
        <w:snapToGrid w:val="0"/>
        <w:spacing w:line="570" w:lineRule="exact"/>
        <w:ind w:firstLine="624"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管理员或办理人员进入平台后可对责任范围内办件进行处</w:t>
      </w:r>
      <w:r>
        <w:rPr>
          <w:rFonts w:eastAsia="方正仿宋_GBK"/>
          <w:snapToGrid w:val="0"/>
          <w:color w:val="auto"/>
          <w:sz w:val="32"/>
          <w:szCs w:val="32"/>
          <w:highlight w:val="none"/>
        </w:rPr>
        <w:t>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——办理功能。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受理：进入受理列表，受理办件使之进入平台内流转。</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直接办理：当前用户对办件进行直接回复处理，并办结。</w:t>
      </w:r>
    </w:p>
    <w:p>
      <w:pPr>
        <w:adjustRightInd w:val="0"/>
        <w:snapToGrid w:val="0"/>
        <w:spacing w:line="570" w:lineRule="exact"/>
        <w:ind w:firstLine="624"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转办：对需要其他部门进行办理时选择相应部门进行办件转</w:t>
      </w:r>
      <w:r>
        <w:rPr>
          <w:rFonts w:eastAsia="方正仿宋_GBK"/>
          <w:snapToGrid w:val="0"/>
          <w:color w:val="auto"/>
          <w:sz w:val="32"/>
          <w:szCs w:val="32"/>
          <w:highlight w:val="none"/>
        </w:rPr>
        <w:t>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督办：查看办件办理情况，并通过在线短信进行信件催办。</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上报：将办件提交上级进行审核处理。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审核：拥有审核权限的用户对办理结果进行审核，并结束办理流程。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删除：将信件删除进入回收站。</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是否公开：提供用户咨询信息是否对外公开的控制开关。</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——办理状态。待受理，待办理，已办理，未审核，已审核，不公开，公开。</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资源管理。系统构建独立的机构与内外网用户管理体系，通过权限控制策略，实现各不同办公人员对不同业务在不同节点的访问和办理的权限控制机制。以保障办件受理后有序的进行处理，转办和反馈在各部门间的正常流转。</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一般系统默认用户角色可分为普通用户、机构管理员和系统管理员，系统使用方可根据自己自身的机构自行创建其符合自身机构办件办理的用户角色，并进行相应的用户授权。</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6.3　办结办件前台反馈</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用户通过注册用户并进行用户登陆后进入用户前台。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办件办理查询：用户可在前台查看办件办理的流程情况。</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办件查看、热点排行：用户可以在平台内对已公开的信息进行查阅同时可以查看热点信件的排行。</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最新问答：针对用户咨询的信息，按时间顺序实现对其页面的集中展现，帮助网站用户对最新的咨询信息快速的浏览。经由审核后的发布新件，将包含对标题、内容、处理单位、处理时间及提交时间的展现。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热点问题汇编：针对公众所提问的问题，经由回复、审核后并加以整理，实现对网民关心的问答对外展现，同时提供网民在线查询功能，提高问答信息的快速阅览。</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6.4　业务配置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业务定制：由于网上咨询及网上投诉业务系统都具有相似的管理和业务受理流程，因此，系统的开发设计可支持通过业务新增方式实现对各业务系统的统一创建和维护，并通过权限和机构控制模式实现各机构、各用户对不同业务系统的调用和授权管理。以提高各业务系统的集成性、资源的可共享性和维护的便捷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流程定义：为满足不同机构用户对办件的办理，系统提供了用户自定义流程模式，并通过形象化的流程设计和权限控制，可简易快捷地实现对各类复杂流程的创建和维护。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元数据管理：系统通过元数据功能，实现对省长信箱各业务系统前台用户办件递交表单字段、信息公告字段以及常见问题字段等的自定义创建管理，以满足不同政府机构的需求。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模板管理：系统提供有页面模板套系存储，通过选定某一模板套系，实现与其绑定。模板功能选取应用可有效增强前台页面表现的多样性，以满足用户多样化展现需求。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字典定义：为方便前台用户对办件办理的满意度评价；用户常见问题办件的类别选取；以及后台管理用户对各类办件的受理、转办、回复、通过、退回、跳转、终止、转阅、代理的快捷回复等，提供多种枚举类型的短语及分类类别，用户可通过选取方式即可实现快速输入，从而提高用户办件的递交和受理效率。</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系统参数设置：系统设置主要是对系统访问域名、平台名称、附件大小、附件类型等一些基本属性的设置，和前后台用户验证码的启停进行控制，同时提供多种提醒服务（短信提醒、邮件提醒）的相关参数设定。</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公告管理：提供各业务系统内的各类公告对前台的发布，以方便用户及时了解政府相关通知信息。</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6.5　数据调用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加强互动相关信息资源与网站页面及其他应用系统展现页面的整合，方便用户访问，系统在规划设计过程中，预设了各类常用数据信息（如：信息公告、常见热点问题、最新办件、热点办件、前台统计等）的调用接口，可快速地实现对各类常用信息的页面集成。</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6.6　后台功能支持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互动业务新增：管理员可对互动平台内的业务系统进行定制，其中包括：业务系统新增、业务流程定制、审核流程定制等。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办理统计：系统可按满意度统计、按单位统计、按超期天数统计、按处理人统计、按提交对象统计、按字典项统计等多途径多角度统计功能，并支持高级统计功能。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按满意度统计：系统可针对各部门受理的各条办件的满意度评价进行总体的统计，政府相关监管部门可通过满意度统计的数据掌握和督促各办件办理人员的工作效率及工作认可度。</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按单位统计：系统可根据各不同部门机构实现对各业务办件的办理数进行统计。如下图所示：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按超期天数统计模式：系统可对在规定的办理期限内未能完成办理的办件进行详细的统计。以便于政府相关监管部门督促和考核相关办理人员。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按处理人统计模式：系统可实现按办件处理人对相关办件的办件总数、已回复、未回复、回复率以及按时回复数和按时回复数的统计功能。如下图所示：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按提交对象统计模式：系统可根据用户提交的对象（公安厅、司法厅、质监局等）进行统计。如下图所示：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字典类型统计模式：按办件类型可分为领导信箱、投诉举报、在线咨询以及提交办件的外网用户性别、学历、证件等多种字典类型，系统可实现对其办件的结果通过办件总数、已办数、未办数以及已办率等进行统计。并可生成列表进行数据导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日志查询：系统提供日志查询功能，对平台办理操作进行记录并支持查询。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内公告管理：拥有公告权限的用户可以增加、修改公告。可以设定发布范围，如果指定某个业务系统，则只有拥有这个业务系统权限的用户才能查看到此公告。可以设定接收对象，如果指定用户，则只有选中的用户才能查看此公告：</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字典定义：系统支持对办件的受理、审核、转办、上报等操作的快速回复功能，回复的内容可根据实际所需自行先定义，极大地提高办件处理效率。</w:t>
      </w:r>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snapToGrid w:val="0"/>
          <w:color w:val="auto"/>
          <w:sz w:val="32"/>
          <w:szCs w:val="32"/>
          <w:highlight w:val="none"/>
        </w:rPr>
      </w:pPr>
      <w:bookmarkStart w:id="226" w:name="_Toc1811269"/>
      <w:bookmarkStart w:id="227" w:name="_Toc535227981"/>
      <w:bookmarkStart w:id="228" w:name="_Toc8820"/>
      <w:bookmarkStart w:id="229" w:name="_Toc10285"/>
      <w:bookmarkStart w:id="230" w:name="_Toc536611169"/>
      <w:bookmarkStart w:id="231" w:name="_Toc536773523"/>
      <w:r>
        <w:rPr>
          <w:rFonts w:hint="eastAsia" w:ascii="方正楷体_GBK" w:eastAsia="方正楷体_GBK"/>
          <w:snapToGrid w:val="0"/>
          <w:color w:val="auto"/>
          <w:sz w:val="32"/>
          <w:szCs w:val="32"/>
          <w:highlight w:val="none"/>
        </w:rPr>
        <w:t>（六）智能服务系统</w:t>
      </w:r>
      <w:bookmarkEnd w:id="226"/>
      <w:bookmarkEnd w:id="227"/>
      <w:bookmarkEnd w:id="228"/>
      <w:bookmarkEnd w:id="229"/>
      <w:bookmarkEnd w:id="230"/>
      <w:bookmarkEnd w:id="231"/>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32" w:name="_Toc535227982"/>
      <w:r>
        <w:rPr>
          <w:rFonts w:eastAsia="方正仿宋_GBK"/>
          <w:bCs/>
          <w:snapToGrid w:val="0"/>
          <w:color w:val="auto"/>
          <w:sz w:val="32"/>
          <w:szCs w:val="32"/>
          <w:highlight w:val="none"/>
        </w:rPr>
        <w:t>1.统一智能搜索</w:t>
      </w:r>
      <w:bookmarkEnd w:id="207"/>
      <w:bookmarkEnd w:id="208"/>
      <w:bookmarkEnd w:id="209"/>
      <w:r>
        <w:rPr>
          <w:rFonts w:eastAsia="方正仿宋_GBK"/>
          <w:bCs/>
          <w:snapToGrid w:val="0"/>
          <w:color w:val="auto"/>
          <w:sz w:val="32"/>
          <w:szCs w:val="32"/>
          <w:highlight w:val="none"/>
        </w:rPr>
        <w:t>系统</w:t>
      </w:r>
      <w:bookmarkEnd w:id="232"/>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智能搜索是结合了</w:t>
      </w:r>
      <w:r>
        <w:rPr>
          <w:color w:val="auto"/>
          <w:highlight w:val="none"/>
        </w:rPr>
        <w:fldChar w:fldCharType="begin"/>
      </w:r>
      <w:r>
        <w:rPr>
          <w:color w:val="auto"/>
          <w:highlight w:val="none"/>
        </w:rPr>
        <w:instrText xml:space="preserve"> HYPERLINK "http://baike.baidu.com/view/2949.htm" \t "_blank" </w:instrText>
      </w:r>
      <w:r>
        <w:rPr>
          <w:color w:val="auto"/>
          <w:highlight w:val="none"/>
        </w:rPr>
        <w:fldChar w:fldCharType="separate"/>
      </w:r>
      <w:r>
        <w:rPr>
          <w:rFonts w:eastAsia="方正仿宋_GBK"/>
          <w:snapToGrid w:val="0"/>
          <w:color w:val="auto"/>
          <w:sz w:val="32"/>
          <w:szCs w:val="32"/>
          <w:highlight w:val="none"/>
        </w:rPr>
        <w:t>人工智能</w:t>
      </w:r>
      <w:r>
        <w:rPr>
          <w:rFonts w:eastAsia="方正仿宋_GBK"/>
          <w:snapToGrid w:val="0"/>
          <w:color w:val="auto"/>
          <w:sz w:val="32"/>
          <w:szCs w:val="32"/>
          <w:highlight w:val="none"/>
        </w:rPr>
        <w:fldChar w:fldCharType="end"/>
      </w:r>
      <w:r>
        <w:rPr>
          <w:rFonts w:eastAsia="方正仿宋_GBK"/>
          <w:snapToGrid w:val="0"/>
          <w:color w:val="auto"/>
          <w:sz w:val="32"/>
          <w:szCs w:val="32"/>
          <w:highlight w:val="none"/>
        </w:rPr>
        <w:t>技术的新一代搜索引擎，将标签技术应用于自治区政府门户网站，对主要信息和服务都用通俗易懂、口语化的用语打上“标签”，不仅便于用户查找，而且便于将很多相关信息和服务通过“标签”关联起来，除了能提供传统的快速检索、相关度排序等功能，还需提供用户角色登记、用户兴趣自动识别、内容的语义理解、智能信息化过滤和推送等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利用先进搜索技术，为用户提供办事指南、常见问题、政策文件、最近办事地点、政务服务入口、政务APP、政务微信的精准搜索服务。</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1.1　相关推荐搜索词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当用户输入查询内容进行搜索时，有时并不能得到自己想要</w:t>
      </w:r>
      <w:r>
        <w:rPr>
          <w:rFonts w:eastAsia="方正仿宋_GBK"/>
          <w:snapToGrid w:val="0"/>
          <w:color w:val="auto"/>
          <w:spacing w:val="-4"/>
          <w:sz w:val="32"/>
          <w:szCs w:val="32"/>
          <w:highlight w:val="none"/>
        </w:rPr>
        <w:t>的结果，这往往是由于搜索关键字不够准确所造成的。而系统在用户每次进行搜索时，会根据相关度算法自动分析出和用户搜索很相似的一系列查询内容，并在页面下方按照搜索热门度进行展</w:t>
      </w:r>
      <w:r>
        <w:rPr>
          <w:rFonts w:eastAsia="方正仿宋_GBK"/>
          <w:snapToGrid w:val="0"/>
          <w:color w:val="auto"/>
          <w:sz w:val="32"/>
          <w:szCs w:val="32"/>
          <w:highlight w:val="none"/>
        </w:rPr>
        <w:t>示。</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1.2　敏感词屏蔽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针对一些敏感词汇，管理员可以通过后台管理配置，管理需要屏蔽的词汇列表，避免用户搜索到对应内容。</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1.3　搜索结果置顶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根据用户搜索关键词，后台可以置顶处理需要显示的内容，系统优先显示置顶的结果后，再显示正常的搜索结果。</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1.4　智能纠错</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当输入错别字或错别词时，系统可以智能识别到用户想要找的信息并给出正确词汇。</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1.5　拼音搜索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为了减少重复输入，系统提供拼音搜索功能，将用户输入的拼音等同于中文内容，从而提高搜索效率。</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1.6　智能推荐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平台提供科学的智能推荐，相关因素有：时间、信息价值（如点击次数）、信息评价（如点赞次数）、标题、正文、网页长度、词频、词语距离等，用户可对每个参数进行权值设定来定义结果展示规则。</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1.7　自定义框计算</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根据用户搜索关键词，使公众无需点击搜索结果链接跳转查看，直接在搜索结果页面即可完成所有操作，从而跳转到相应的结果界面。</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1.8　用户位置识别</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用户输入某一搜索词，系统会根据用户的IP自动识别用户所在地域，结合用户所在的地区列出搜索结果（该功能可在 “政务公开”、“网上办事”应用），也可取消地域识别功能。</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1.9　百姓体词汇搜索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百姓语言识别，用户可以通过输入百姓语言的短语或句子来进行搜索推荐相关结果。</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1.10　社会化搜索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要通过用户的个性行为和群体行为来对搜索结果进行智能排序。个性行为决定了单个用户的身份和喜好，计算出用户还可能喜欢和想要的东西；而群体行为决定了大多数用户喜欢的东西和想要的东西，两者需要通过一定的公式进行平衡。</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1.11　语音搜索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语音搜索是提高移动搜索体验最重要的工具，语音搜索应基于本体模型的语义算法，提供完善的人机交互语义词典和语义理解算法体系面向移动互联对话应用，采用机器学习机制，实现人机对话的中文语义理解系统。</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该系统应具备如下功能：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用户输入的自然语言，通过语义分析引擎解析成为机器识别的结构化数据；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基于多项语义理解技术，实现问答语义的智能理解；</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支持文法分析、文法管理，语义模板等系统管理功能，实现灵活、高性能的语义分析理解；</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多层次语言分析：从语义文法层、词模层、关键词层三个层面自动理解客户咨询。</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33" w:name="_Toc535227983"/>
      <w:r>
        <w:rPr>
          <w:rFonts w:eastAsia="方正仿宋_GBK"/>
          <w:bCs/>
          <w:snapToGrid w:val="0"/>
          <w:color w:val="auto"/>
          <w:sz w:val="32"/>
          <w:szCs w:val="32"/>
          <w:highlight w:val="none"/>
        </w:rPr>
        <w:t>2.统一智能问答系统</w:t>
      </w:r>
      <w:bookmarkEnd w:id="23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对知识库和网站海量信息资源的有机整合，依托系统对语言和专业知识处理能力，运用人机互动“对话”服务方式，通过“智能提示”和“人机交互”，实现网站在线咨询形式和交互流程的创新，创建政府网站由“自助式浏览”到“智能化关怀服务”的全新服务方式，为公众提供7*24小时不间断在线咨询服务。同时，与广西12345平台构建上下联动的在线咨询体系。</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2.1　实时自动答复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基于常见问题及答复资料，模拟在线客服人员，采用人机对话技术，实现对用户问题的实时自动回答，并结合智能推送系统，向用户提供其他相关问题。</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2.2　提问智能提示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具有拼音联想、关键词联想、智能纠错等人性化引导用户提问的功能，用户在提问的过程中，系统将已经输入的内容自动分析给予优化补全或相关提示信息。</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2.3　百姓体词库</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具备专业的政府事项的“百姓体词库”，自动识别百姓的口头用语，自动将相应的专业术语答复结果展示出来。</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2.4　智能学习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系统具备自我学习能力，自动将人工答复结果与相应问题加入智能问答知识库。</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234" w:name="_Toc523496153"/>
      <w:bookmarkStart w:id="235" w:name="_Toc523490085"/>
      <w:r>
        <w:rPr>
          <w:rFonts w:eastAsia="方正仿宋_GBK"/>
          <w:bCs/>
          <w:snapToGrid w:val="0"/>
          <w:color w:val="auto"/>
          <w:sz w:val="32"/>
          <w:szCs w:val="32"/>
          <w:highlight w:val="none"/>
        </w:rPr>
        <w:t>2.5　语音识别</w:t>
      </w:r>
      <w:bookmarkEnd w:id="234"/>
      <w:bookmarkEnd w:id="23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智能语音互动是基于语音识别、语义分析和自然语言解析的智能问答平台，用户可通过点击屏幕小话筒说话，使用语音快速提问，根据语音转换，快速为用户推送问题答案。</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平台功能原理：对着屏幕说出你想找的网站内容，例如：我想看看南宁的空气质量，平台自动将您说的话，转化为文字，通过对文字的分析，抽取词义，在这个案例中，抽取到了重点的词汇有“南宁”、“空气质量”，针对重点词汇，查找网站资源，为公众推送相应的信息。</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2.6　转接人工客服</w:t>
      </w:r>
    </w:p>
    <w:p>
      <w:pPr>
        <w:adjustRightInd w:val="0"/>
        <w:snapToGrid w:val="0"/>
        <w:spacing w:line="570" w:lineRule="exact"/>
        <w:ind w:firstLine="624"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如果配备了人工客服，网民可以直接在智能问答中连接人工客服人员，与便民热线12345无缝衔接，向客服人员进行在线咨</w:t>
      </w:r>
      <w:r>
        <w:rPr>
          <w:rFonts w:eastAsia="方正仿宋_GBK"/>
          <w:snapToGrid w:val="0"/>
          <w:color w:val="auto"/>
          <w:sz w:val="32"/>
          <w:szCs w:val="32"/>
          <w:highlight w:val="none"/>
        </w:rPr>
        <w:t>询。</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2.7　与智能搜索对接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智能问答系统可充分利用“智能搜索系统”的建设成果，对于智能问答系统无法识别的问题通过“智能搜索系统”来提供响应。</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2.8　知识库管理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问答知识库：利用内容管理平台对网站海量信息进行信息资源管理，可对信息资源进行分类体系管理、信息资源标识管理、元数据管理等。对内容管理平台中的所有稿件（信息资源）进行梳理、分类、标签、标识、管理，形成问答知识库。</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信息资源管理：对平台中的所有稿件（即信息资源）作为管理对象，以多分类体系、元数据作为主要管理手段，提供以下信息资源的管理功能：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——分类及多分类体系管理。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信息资源分类是把具有某种共同属性或特征的信息归并在一起，通过其类别的属性或特征来对信息资源进行区分。</w:t>
      </w:r>
    </w:p>
    <w:p>
      <w:pPr>
        <w:adjustRightInd w:val="0"/>
        <w:snapToGrid w:val="0"/>
        <w:spacing w:beforeLines="6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69230" cy="2626360"/>
            <wp:effectExtent l="0" t="0" r="7620" b="254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4"/>
                    <a:stretch>
                      <a:fillRect/>
                    </a:stretch>
                  </pic:blipFill>
                  <pic:spPr>
                    <a:xfrm>
                      <a:off x="0" y="0"/>
                      <a:ext cx="5269230" cy="262636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信息资源分类示意图</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（1）平台提供了完善的信息资源分类管理功能，和分类维护、创建等功能；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（2）平台预置服务分类体系、行业分类体系、主题分类体系和资源形态分类体系等；</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（3）平台允许用户自定义新的信息资源分类体系，同时可以设置其中一个分类体系作为主分类。</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——元数据（集）管理。</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元数据通常被定义为关于数据的数据，对信息资源的描述。在本平台中，元数据用于描述信息资源的内容、覆盖范围、质量、管理方式、所有者、提供方式等信息，是信息资源与内容管理平台之间的桥梁。</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——信息资源标识管理。</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信息资源标识是对每一项信息资源赋予的唯一不变的编码，以便于信息资源的检索、查询、定位和发现，进而实现信息资源的利用与交换。</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36" w:name="_Toc535227984"/>
      <w:r>
        <w:rPr>
          <w:rFonts w:eastAsia="方正仿宋_GBK"/>
          <w:bCs/>
          <w:snapToGrid w:val="0"/>
          <w:color w:val="auto"/>
          <w:sz w:val="32"/>
          <w:szCs w:val="32"/>
          <w:highlight w:val="none"/>
        </w:rPr>
        <w:t>3.统一智能推送系统</w:t>
      </w:r>
      <w:bookmarkEnd w:id="236"/>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通过多维度的关联计算，与用户行为分析相结合，对搜索结果、资源内容进行关联展示，将用户感兴趣的政府网站的信息、服务主动推送给用户，实现“千人千网”，以提供个性化、便捷化、智能化服务。</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政府网站要实现智能推送，需要从两个方面入手：</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后台：对网站所有信息进行分类，将信息归纳到某个业务分类体系，此项工作通过人工处理方式进行；同时利用大数据、数据挖掘、信息标引相关的技术，对网站及各个业务系统的数据进行相似度、信息价值方面的建模。</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前台：通过用户行为分析、用户身份识别，利用大数据、数据挖掘相关的技术分析用户的个性行为和群体行为，计算出需要推送给用户的信息。</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3.1　智能推送模型</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根据资源标签建立形成内容相似度，通过用户访问行为计算内容的价值，通过用户的来源、位置、资料、时间、行为等计算用户相似度。通过以上模型和数值，结合机器学习、群体推荐算法进行内容推送。</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3.2　标签库管理</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标签库主要包括以下功能点：</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信息管理人员在指定标签时，系统能自动提示其相关的标签，引导其设置规划化、可相互关联的标签；</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同一个标签被多个信息引用时，可以通过标签找到对应的信息，即多个信息之间通过标签建立了多维的关联。这样便将很多相关信息和服务通过“标签”关联起来，可主动推送给用户，提升用户体验，贴合指标要求；</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在全站搜索引擎中，增加对标签的搜索；</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能根据关键字自动关联标签；</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栏目也要能设定标签，和多维分类关联</w:t>
      </w:r>
      <w:r>
        <w:rPr>
          <w:rFonts w:eastAsia="方正仿宋_GBK"/>
          <w:snapToGrid w:val="0"/>
          <w:color w:val="auto"/>
          <w:sz w:val="32"/>
          <w:szCs w:val="32"/>
          <w:highlight w:val="none"/>
        </w:rPr>
        <w:t>；</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后台信息管理人员可以为信息指定多个标签：标签要精确、通俗易懂、口语化，符合老百姓的使用习惯</w:t>
      </w:r>
      <w:r>
        <w:rPr>
          <w:rFonts w:eastAsia="方正仿宋_GBK"/>
          <w:snapToGrid w:val="0"/>
          <w:color w:val="auto"/>
          <w:sz w:val="32"/>
          <w:szCs w:val="32"/>
          <w:highlight w:val="none"/>
        </w:rPr>
        <w:t>；</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需提供“未录入标签”的信息列表，方便管理人员查询维护</w:t>
      </w:r>
      <w:r>
        <w:rPr>
          <w:rFonts w:eastAsia="方正仿宋_GBK"/>
          <w:snapToGrid w:val="0"/>
          <w:color w:val="auto"/>
          <w:sz w:val="32"/>
          <w:szCs w:val="32"/>
          <w:highlight w:val="none"/>
        </w:rPr>
        <w:t>；</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所有信息都要能和多维分类关联</w:t>
      </w:r>
      <w:r>
        <w:rPr>
          <w:rFonts w:eastAsia="方正仿宋_GBK"/>
          <w:snapToGrid w:val="0"/>
          <w:color w:val="auto"/>
          <w:sz w:val="32"/>
          <w:szCs w:val="32"/>
          <w:highlight w:val="none"/>
        </w:rPr>
        <w:t>；</w:t>
      </w:r>
    </w:p>
    <w:p>
      <w:pPr>
        <w:adjustRightInd w:val="0"/>
        <w:snapToGrid w:val="0"/>
        <w:spacing w:line="544" w:lineRule="exact"/>
        <w:ind w:firstLine="640" w:firstLineChars="200"/>
        <w:rPr>
          <w:rFonts w:eastAsia="方正仿宋_GBK"/>
          <w:snapToGrid w:val="0"/>
          <w:color w:val="auto"/>
          <w:sz w:val="32"/>
          <w:szCs w:val="32"/>
          <w:highlight w:val="none"/>
          <w:lang w:eastAsia="zh-TW"/>
        </w:rPr>
      </w:pPr>
      <w:r>
        <w:rPr>
          <w:rFonts w:eastAsia="方正仿宋_GBK"/>
          <w:snapToGrid w:val="0"/>
          <w:color w:val="auto"/>
          <w:sz w:val="32"/>
          <w:szCs w:val="32"/>
          <w:highlight w:val="none"/>
          <w:lang w:eastAsia="zh-TW"/>
        </w:rPr>
        <w:t>在信息展示页面显示所有标签，用户可以点击标签查看更多信息。统计被引用次数最多、点击次数最多的标签，将其放在网站导读区域</w:t>
      </w:r>
      <w:r>
        <w:rPr>
          <w:rFonts w:eastAsia="方正仿宋_GBK"/>
          <w:snapToGrid w:val="0"/>
          <w:color w:val="auto"/>
          <w:sz w:val="32"/>
          <w:szCs w:val="32"/>
          <w:highlight w:val="none"/>
        </w:rPr>
        <w:t>。</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3.3　用户群体定位</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设定灵活的规则引擎，创建用户群组和推送规则。　根据隐性（行为分析）和/或显性（已知用户或特性）条件进行用户细分，基于用户和各群组的从属关系实现细粒度定位和推送，针对每个用户推送有针对性的内容。</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3.4　系统智能推送</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智能推送通过用户访问行为分析系统实时监控用户访问行为，自动记录用户行为，根据标签使用、点击流分析、转换路径分析等的结果，记录用户最感兴趣的内容，根据内容相关度，实现网站的信息、服务、互动主动推送给用户。</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实时监测用户访问行为，自动记录用户行为，根据标签使用、点击流分析、转换路径分析等的结果，记录用户最感兴趣的内容，根据内容相关度，实现网站的信息、服务、互动主动推送给用户。</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通过对用户访问行为进行分析，后台自动整理关联度的内容，以弹出窗口的形式，主动推送给用户。或在用户通过智能搜索系统过程中，将用户检索频率高的内容，通过关联度、标签技术，把相关内容自动梳理后，主动推送给用户。</w:t>
      </w:r>
    </w:p>
    <w:p>
      <w:pPr>
        <w:adjustRightInd w:val="0"/>
        <w:snapToGrid w:val="0"/>
        <w:spacing w:line="544"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（1）</w:t>
      </w:r>
      <w:r>
        <w:rPr>
          <w:rFonts w:eastAsia="方正仿宋_GBK"/>
          <w:snapToGrid w:val="0"/>
          <w:color w:val="auto"/>
          <w:sz w:val="32"/>
          <w:szCs w:val="32"/>
          <w:highlight w:val="none"/>
        </w:rPr>
        <w:t>智能推送多项内容：推送内容支持图片、文字、链接、互动、办事服务等内容。</w:t>
      </w:r>
    </w:p>
    <w:p>
      <w:pPr>
        <w:adjustRightInd w:val="0"/>
        <w:snapToGrid w:val="0"/>
        <w:spacing w:line="544"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（2）</w:t>
      </w:r>
      <w:r>
        <w:rPr>
          <w:rFonts w:eastAsia="方正仿宋_GBK"/>
          <w:snapToGrid w:val="0"/>
          <w:color w:val="auto"/>
          <w:sz w:val="32"/>
          <w:szCs w:val="32"/>
          <w:highlight w:val="none"/>
        </w:rPr>
        <w:t>智能推送范围可设定：可根据IP段进行推送范围设定。</w:t>
      </w:r>
    </w:p>
    <w:p>
      <w:pPr>
        <w:adjustRightInd w:val="0"/>
        <w:snapToGrid w:val="0"/>
        <w:spacing w:line="544"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（3）</w:t>
      </w:r>
      <w:r>
        <w:rPr>
          <w:rFonts w:eastAsia="方正仿宋_GBK"/>
          <w:snapToGrid w:val="0"/>
          <w:color w:val="auto"/>
          <w:sz w:val="32"/>
          <w:szCs w:val="32"/>
          <w:highlight w:val="none"/>
        </w:rPr>
        <w:t>智能推送触发机制可设定：基于用户访问的行为，及网页请求进行触发，可设定触发的具体内容。</w:t>
      </w:r>
    </w:p>
    <w:p>
      <w:pPr>
        <w:adjustRightInd w:val="0"/>
        <w:snapToGrid w:val="0"/>
        <w:spacing w:line="544" w:lineRule="exact"/>
        <w:ind w:firstLine="616" w:firstLineChars="200"/>
        <w:rPr>
          <w:rFonts w:eastAsia="方正仿宋_GBK"/>
          <w:snapToGrid w:val="0"/>
          <w:color w:val="auto"/>
          <w:spacing w:val="6"/>
          <w:sz w:val="32"/>
          <w:szCs w:val="32"/>
          <w:highlight w:val="none"/>
        </w:rPr>
      </w:pPr>
      <w:r>
        <w:rPr>
          <w:rFonts w:hint="eastAsia" w:eastAsia="方正仿宋_GBK"/>
          <w:snapToGrid w:val="0"/>
          <w:color w:val="auto"/>
          <w:spacing w:val="-6"/>
          <w:sz w:val="32"/>
          <w:szCs w:val="32"/>
          <w:highlight w:val="none"/>
        </w:rPr>
        <w:t>（4）</w:t>
      </w:r>
      <w:r>
        <w:rPr>
          <w:rFonts w:eastAsia="方正仿宋_GBK"/>
          <w:snapToGrid w:val="0"/>
          <w:color w:val="auto"/>
          <w:spacing w:val="6"/>
          <w:sz w:val="32"/>
          <w:szCs w:val="32"/>
          <w:highlight w:val="none"/>
        </w:rPr>
        <w:t>推送频率以及推送时间可设定：可定义多重频率，组合设置。</w:t>
      </w:r>
    </w:p>
    <w:p>
      <w:pPr>
        <w:adjustRightInd w:val="0"/>
        <w:snapToGrid w:val="0"/>
        <w:spacing w:line="544"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（5）</w:t>
      </w:r>
      <w:r>
        <w:rPr>
          <w:rFonts w:eastAsia="方正仿宋_GBK"/>
          <w:snapToGrid w:val="0"/>
          <w:color w:val="auto"/>
          <w:sz w:val="32"/>
          <w:szCs w:val="32"/>
          <w:highlight w:val="none"/>
        </w:rPr>
        <w:t>支持根据内容相关度，实现网站的信息、服务、互动内容之间的关联。</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3.5　工作人员主动推送</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工作人员根据用户群体划分，后台主动推送信息内容给手机APP用户、手机网站用户、微信用户、市民邮箱用户等群体。</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680710" cy="3173730"/>
            <wp:effectExtent l="0" t="0" r="15240" b="762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5"/>
                    <a:stretch>
                      <a:fillRect/>
                    </a:stretch>
                  </pic:blipFill>
                  <pic:spPr>
                    <a:xfrm>
                      <a:off x="0" y="0"/>
                      <a:ext cx="5680710" cy="317373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后台主动推送图</w:t>
      </w:r>
    </w:p>
    <w:p>
      <w:pPr>
        <w:numPr>
          <w:ilvl w:val="2"/>
          <w:numId w:val="0"/>
        </w:numPr>
        <w:tabs>
          <w:tab w:val="left" w:pos="1418"/>
          <w:tab w:val="left" w:pos="1560"/>
          <w:tab w:val="left" w:pos="1844"/>
        </w:tabs>
        <w:adjustRightInd w:val="0"/>
        <w:snapToGrid w:val="0"/>
        <w:spacing w:line="544" w:lineRule="exact"/>
        <w:ind w:firstLine="640" w:firstLineChars="200"/>
        <w:outlineLvl w:val="2"/>
        <w:rPr>
          <w:rFonts w:ascii="方正楷体_GBK" w:eastAsia="方正楷体_GBK"/>
          <w:bCs/>
          <w:snapToGrid w:val="0"/>
          <w:color w:val="auto"/>
          <w:sz w:val="32"/>
          <w:szCs w:val="32"/>
          <w:highlight w:val="none"/>
        </w:rPr>
      </w:pPr>
      <w:bookmarkStart w:id="237" w:name="_Toc1147"/>
      <w:bookmarkStart w:id="238" w:name="_Toc7306"/>
      <w:bookmarkStart w:id="239" w:name="_Toc536611170"/>
      <w:bookmarkStart w:id="240" w:name="_Toc536773524"/>
      <w:bookmarkStart w:id="241" w:name="_Toc23176"/>
      <w:bookmarkStart w:id="242" w:name="_Toc535227985"/>
      <w:bookmarkStart w:id="243" w:name="_Toc1811270"/>
      <w:bookmarkStart w:id="244" w:name="_Toc29466"/>
      <w:r>
        <w:rPr>
          <w:rFonts w:hint="eastAsia" w:ascii="方正楷体_GBK" w:eastAsia="方正楷体_GBK"/>
          <w:bCs/>
          <w:snapToGrid w:val="0"/>
          <w:color w:val="auto"/>
          <w:sz w:val="32"/>
          <w:szCs w:val="32"/>
          <w:highlight w:val="none"/>
        </w:rPr>
        <w:t>（七）安全监测预警</w:t>
      </w:r>
      <w:bookmarkEnd w:id="237"/>
      <w:r>
        <w:rPr>
          <w:rFonts w:hint="eastAsia" w:ascii="方正楷体_GBK" w:eastAsia="方正楷体_GBK"/>
          <w:bCs/>
          <w:snapToGrid w:val="0"/>
          <w:color w:val="auto"/>
          <w:sz w:val="32"/>
          <w:szCs w:val="32"/>
          <w:highlight w:val="none"/>
        </w:rPr>
        <w:t>系统</w:t>
      </w:r>
      <w:bookmarkEnd w:id="238"/>
      <w:bookmarkEnd w:id="239"/>
      <w:bookmarkEnd w:id="240"/>
      <w:bookmarkEnd w:id="241"/>
      <w:bookmarkEnd w:id="242"/>
      <w:bookmarkEnd w:id="243"/>
    </w:p>
    <w:p>
      <w:pPr>
        <w:adjustRightInd w:val="0"/>
        <w:snapToGrid w:val="0"/>
        <w:spacing w:line="544" w:lineRule="exact"/>
        <w:ind w:firstLine="624"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集约化安全监测预警平台针对网站群安全提供特征性安全监测、事前监测、提前预警、安全趋势精准分析、云监测服务等服</w:t>
      </w:r>
      <w:r>
        <w:rPr>
          <w:rFonts w:eastAsia="方正仿宋_GBK"/>
          <w:snapToGrid w:val="0"/>
          <w:color w:val="auto"/>
          <w:sz w:val="32"/>
          <w:szCs w:val="32"/>
          <w:highlight w:val="none"/>
        </w:rPr>
        <w:t>务。</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该平台旨在解决政府网站面临的各项web安全、信息泄露和新闻领域文本政治性错误等问题。主要监测DNS是否被劫持、被挂商业广告、恶意代码，网站外链是否有恶意网址、暗链、钓鱼网址等，国家涉密文件、军队番号、不宜公开的内部信息、个人隐私泄露以及领导人姓名、职务和领导人排序、涉及港澳台和其他敏感的政治性错误、敏感词等问题。</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26075" cy="3648710"/>
            <wp:effectExtent l="0" t="0" r="3175" b="8890"/>
            <wp:docPr id="14" name="图片 14" descr="D:\我的项目\2018年项目\广西一体化在线政务服务平台（一期）\广西数字政务一体化平台\xu\AppData\Local\Temp\ksohtml\wpsFDB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我的项目\2018年项目\广西一体化在线政务服务平台（一期）\广西数字政务一体化平台\xu\AppData\Local\Temp\ksohtml\wpsFDBF.tmp.jpg"/>
                    <pic:cNvPicPr>
                      <a:picLocks noChangeAspect="1"/>
                    </pic:cNvPicPr>
                  </pic:nvPicPr>
                  <pic:blipFill>
                    <a:blip r:embed="rId26"/>
                    <a:stretch>
                      <a:fillRect/>
                    </a:stretch>
                  </pic:blipFill>
                  <pic:spPr>
                    <a:xfrm>
                      <a:off x="0" y="0"/>
                      <a:ext cx="5426075" cy="364871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集约化安全监测预警平台图</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45" w:name="_Toc535227986"/>
      <w:r>
        <w:rPr>
          <w:rFonts w:eastAsia="方正仿宋_GBK"/>
          <w:bCs/>
          <w:snapToGrid w:val="0"/>
          <w:color w:val="auto"/>
          <w:sz w:val="32"/>
          <w:szCs w:val="32"/>
          <w:highlight w:val="none"/>
        </w:rPr>
        <w:t>1.错别字监测</w:t>
      </w:r>
      <w:bookmarkEnd w:id="245"/>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对历史稿件信息进行全站范围扫描，集中修改网页内存在的错别字，敏感词问题，实时扫描网站内新增网页错别字，敏感词问题。</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1.1　日常错别字监测。</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统计每日监测的新增稿件错别字问题，并详细记录错别字/敏感词所在位置并给出相应的推荐词等。</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1.2　全站错别字监测。</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按周期对全站的历史稿件和新增稿件进行错别字/敏感词扫描，扫描完成会自动生成一份监测数据报告。</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46" w:name="_Toc535227987"/>
      <w:r>
        <w:rPr>
          <w:rFonts w:eastAsia="方正仿宋_GBK"/>
          <w:bCs/>
          <w:snapToGrid w:val="0"/>
          <w:color w:val="auto"/>
          <w:sz w:val="32"/>
          <w:szCs w:val="32"/>
          <w:highlight w:val="none"/>
        </w:rPr>
        <w:t>2.敏感词监测</w:t>
      </w:r>
      <w:bookmarkEnd w:id="246"/>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采用机器学习经典算法，依据敏感词的特点，使用多种处理模式，快速准确查找错别字敏感词。</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综合应用传统ngram语法模型、深度学习技术（词向量、RNN、LSTM等），对大量文本内容进行深入学习训练，构建有灵活的自学习的敏感信息监测引擎，为政府网站报道、媒体信息报道保驾护航。</w:t>
      </w:r>
    </w:p>
    <w:p>
      <w:pPr>
        <w:adjustRightInd w:val="0"/>
        <w:snapToGrid w:val="0"/>
        <w:spacing w:line="544"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（1）</w:t>
      </w:r>
      <w:r>
        <w:rPr>
          <w:rFonts w:eastAsia="方正仿宋_GBK"/>
          <w:snapToGrid w:val="0"/>
          <w:color w:val="auto"/>
          <w:sz w:val="32"/>
          <w:szCs w:val="32"/>
          <w:highlight w:val="none"/>
        </w:rPr>
        <w:t>日常敏感词监测。</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按年监测每日新增稿件敏感词。</w:t>
      </w:r>
    </w:p>
    <w:p>
      <w:pPr>
        <w:adjustRightInd w:val="0"/>
        <w:snapToGrid w:val="0"/>
        <w:spacing w:line="544"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（2）</w:t>
      </w:r>
      <w:r>
        <w:rPr>
          <w:rFonts w:eastAsia="方正仿宋_GBK"/>
          <w:snapToGrid w:val="0"/>
          <w:color w:val="auto"/>
          <w:sz w:val="32"/>
          <w:szCs w:val="32"/>
          <w:highlight w:val="none"/>
        </w:rPr>
        <w:t>全站敏感词监测。</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按次，对单个站点网站内容敏感词监测。</w:t>
      </w:r>
    </w:p>
    <w:p>
      <w:pPr>
        <w:adjustRightInd w:val="0"/>
        <w:snapToGrid w:val="0"/>
        <w:spacing w:line="544"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（3）</w:t>
      </w:r>
      <w:r>
        <w:rPr>
          <w:rFonts w:eastAsia="方正仿宋_GBK"/>
          <w:snapToGrid w:val="0"/>
          <w:color w:val="auto"/>
          <w:sz w:val="32"/>
          <w:szCs w:val="32"/>
          <w:highlight w:val="none"/>
        </w:rPr>
        <w:t>自定义敏感词库。</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支持用户自定义词库，可以自定义重点词监控词库、领导人职务库和领导人排序库等。</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47" w:name="_Toc535227988"/>
      <w:r>
        <w:rPr>
          <w:rFonts w:eastAsia="方正仿宋_GBK"/>
          <w:bCs/>
          <w:snapToGrid w:val="0"/>
          <w:color w:val="auto"/>
          <w:sz w:val="32"/>
          <w:szCs w:val="32"/>
          <w:highlight w:val="none"/>
        </w:rPr>
        <w:t>3.信息泄密监测</w:t>
      </w:r>
      <w:bookmarkEnd w:id="247"/>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主要监测网站内容有无泄露涉密信息、政府内部资料等，及时避免可能出现的违法情况或政府信誉危机。</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48" w:name="_Toc535227989"/>
      <w:r>
        <w:rPr>
          <w:rFonts w:eastAsia="方正仿宋_GBK"/>
          <w:bCs/>
          <w:snapToGrid w:val="0"/>
          <w:color w:val="auto"/>
          <w:sz w:val="32"/>
          <w:szCs w:val="32"/>
          <w:highlight w:val="none"/>
        </w:rPr>
        <w:t>4.隐私泄露监测</w:t>
      </w:r>
      <w:bookmarkEnd w:id="248"/>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主要监测网站内容有无泄露公民隐私信息，及时避免可能出现的违法情况或侵权投诉。</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49" w:name="_Toc535227990"/>
      <w:r>
        <w:rPr>
          <w:rFonts w:eastAsia="方正仿宋_GBK"/>
          <w:bCs/>
          <w:snapToGrid w:val="0"/>
          <w:color w:val="auto"/>
          <w:sz w:val="32"/>
          <w:szCs w:val="32"/>
          <w:highlight w:val="none"/>
        </w:rPr>
        <w:t>5.网站外链监测</w:t>
      </w:r>
      <w:bookmarkEnd w:id="249"/>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主要监测网站外链情况，是否有异常外链如：恶意网址，钓鱼网址、商业广告，是否是政府/公益组织/中央媒体网址。</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以中国政府网为例，首页URL是https://www.gov.cn。监测系统在访问该URL时，被定位到另外一个网址，将被认为是主页劫持。这个判断是有效的，因为极少有网站会做主页重定向的。满足这种情况，将自动预警。</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50" w:name="_Toc535227991"/>
      <w:r>
        <w:rPr>
          <w:rFonts w:eastAsia="方正仿宋_GBK"/>
          <w:bCs/>
          <w:snapToGrid w:val="0"/>
          <w:color w:val="auto"/>
          <w:sz w:val="32"/>
          <w:szCs w:val="32"/>
          <w:highlight w:val="none"/>
        </w:rPr>
        <w:t>6.敏感图片监测</w:t>
      </w:r>
      <w:bookmarkEnd w:id="250"/>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色情图片识别基于大脑开放的图片API，该算法在大规模互联网图片的提取和训练的基础上，利用深度学习CNN（卷积神经网络）进行色情图片识别，算法识别准确率能达到99.7%。</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图片不仅仅分布在HTML源码中，还可能出现在CSS中。首先，系统分析一个网页源码，解释执行其中的JavaScript脚本和CSS样式，找到所有的图片链接，再分析每个图片的宽高（通过层叠计算CSS样式），过滤掉所有宽高过小的图片（witdth〈10px，height〈10px），对于较大的图片在基于CNN算法识别。</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因为图片的识别是非常耗费时间的，为了避免重复工作，每一轮首页检测前，都会对图片进行消重，图片消重算法，可以快速识别出相同/相似图片，避免重复检查，提高监测频率。</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51" w:name="_Toc23197"/>
      <w:bookmarkStart w:id="252" w:name="_Toc508634240"/>
      <w:bookmarkStart w:id="253" w:name="_Toc535227992"/>
      <w:r>
        <w:rPr>
          <w:rFonts w:eastAsia="方正仿宋_GBK"/>
          <w:bCs/>
          <w:snapToGrid w:val="0"/>
          <w:color w:val="auto"/>
          <w:sz w:val="32"/>
          <w:szCs w:val="32"/>
          <w:highlight w:val="none"/>
        </w:rPr>
        <w:t>7.恶意代码监测</w:t>
      </w:r>
      <w:bookmarkEnd w:id="251"/>
      <w:bookmarkEnd w:id="252"/>
      <w:bookmarkEnd w:id="253"/>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监测网页源代码是否规范，是否含有不安全代码字段，是否被植入恶意代码等易给网站带来风险隐患的漏洞。</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页恶意代码可能会在网页上显示非法内容，执行一段非法的脚本，或者跳转到另外一个非官方网页，严重的可能会执行系统命令以损坏数据、破坏文件系统。基于关键词检测和嵌入特征匹配的方法来检测网页恶意代码，网页恶意代码的典型特征包括：</w:t>
      </w:r>
    </w:p>
    <w:p>
      <w:pPr>
        <w:adjustRightInd w:val="0"/>
        <w:snapToGrid w:val="0"/>
        <w:spacing w:line="544"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Iframe框架嵌入：异常的iframe宽高，或display:none隐藏框</w:t>
      </w:r>
      <w:r>
        <w:rPr>
          <w:rFonts w:eastAsia="方正仿宋_GBK"/>
          <w:snapToGrid w:val="0"/>
          <w:color w:val="auto"/>
          <w:sz w:val="32"/>
          <w:szCs w:val="32"/>
          <w:highlight w:val="none"/>
        </w:rPr>
        <w:t>架。</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图片伪装嵌入：在iframe中引入了显示一张图片的同时，访问了非法的链接。</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恶意CSS代码的嵌入：通过background-image参数加载了非法链接。</w:t>
      </w:r>
    </w:p>
    <w:p>
      <w:pPr>
        <w:adjustRightInd w:val="0"/>
        <w:snapToGrid w:val="0"/>
        <w:spacing w:line="544"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通过JavaScript脚本写入一段非法的加密脚本，访问非法的链</w:t>
      </w:r>
      <w:r>
        <w:rPr>
          <w:rFonts w:eastAsia="方正仿宋_GBK"/>
          <w:snapToGrid w:val="0"/>
          <w:color w:val="auto"/>
          <w:sz w:val="32"/>
          <w:szCs w:val="32"/>
          <w:highlight w:val="none"/>
        </w:rPr>
        <w:t>接。</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通过JavaScript的innerHTML方法向网页写入一段非法链接。</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通过一些交互事件如onMouseOver执行一段非法JavaScript脚本。</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在CGI程序（如JSP、ASP）中执行非法的服务器端代码。</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以上恶意代码类别已经覆盖了网页攻击98%以上的比例。凡是满足任意一条，系统监测均会自动报警。</w:t>
      </w:r>
    </w:p>
    <w:p>
      <w:pPr>
        <w:adjustRightInd w:val="0"/>
        <w:snapToGrid w:val="0"/>
        <w:spacing w:line="544" w:lineRule="exact"/>
        <w:ind w:firstLine="640" w:firstLineChars="200"/>
        <w:rPr>
          <w:rFonts w:eastAsia="方正仿宋_GBK"/>
          <w:b/>
          <w:snapToGrid w:val="0"/>
          <w:color w:val="auto"/>
          <w:sz w:val="32"/>
          <w:szCs w:val="32"/>
          <w:highlight w:val="none"/>
        </w:rPr>
      </w:pPr>
      <w:r>
        <w:rPr>
          <w:rFonts w:eastAsia="方正仿宋_GBK"/>
          <w:b/>
          <w:snapToGrid w:val="0"/>
          <w:color w:val="auto"/>
          <w:sz w:val="32"/>
          <w:szCs w:val="32"/>
          <w:highlight w:val="none"/>
        </w:rPr>
        <w:t>监测指标说明：</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【dns监测】监测dns否被劫持、被篡改、域名ip指向是否正常，是否被挂钓鱼网址、恶意网址等影响网站运行及政府公信力的行为。</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【恶意代码监测】</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【文件下载监测】监测是否有可安装运行的下载文件。</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【网站内容变化监测】监测网站内容是否有大幅度减少，网站正常改版或被攻击可能会存在内容大幅度减少。</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【异常外链监测】监测是否含有商业广告、钓鱼网址、恶意网址、非法暗链等外链。</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【未发现异常外链】监测是否含有商业广告、钓鱼网址、恶意网址、非法暗链等外链。</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【敏感图片监测】目前提供色情图片监测。</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【仿冒网站风险监测】监测本站点是否能被其它站点嵌入（如iframe，frame），恶意网站可能通过该技术仿冒政府网站造成不良影响。</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【HTTP（S）监测】网站同时使用HTTP、HTTPS协议，可能存在风险。</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【域名使用期限监测】网站域名使用期限是否即将到期或已经过期。</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【搜索排名监测】监测网站名称在百度搜索中是否排第一、二名。</w:t>
      </w:r>
    </w:p>
    <w:bookmarkEnd w:id="244"/>
    <w:p>
      <w:pPr>
        <w:numPr>
          <w:ilvl w:val="2"/>
          <w:numId w:val="0"/>
        </w:numPr>
        <w:tabs>
          <w:tab w:val="left" w:pos="1418"/>
          <w:tab w:val="left" w:pos="1560"/>
          <w:tab w:val="left" w:pos="1844"/>
        </w:tabs>
        <w:adjustRightInd w:val="0"/>
        <w:snapToGrid w:val="0"/>
        <w:spacing w:line="544" w:lineRule="exact"/>
        <w:ind w:firstLine="640" w:firstLineChars="200"/>
        <w:outlineLvl w:val="2"/>
        <w:rPr>
          <w:rFonts w:ascii="方正楷体_GBK" w:eastAsia="方正楷体_GBK"/>
          <w:snapToGrid w:val="0"/>
          <w:color w:val="auto"/>
          <w:sz w:val="32"/>
          <w:szCs w:val="32"/>
          <w:highlight w:val="none"/>
        </w:rPr>
      </w:pPr>
      <w:bookmarkStart w:id="254" w:name="_Toc28693"/>
      <w:bookmarkStart w:id="255" w:name="_Toc1811271"/>
      <w:bookmarkStart w:id="256" w:name="_Toc535227993"/>
      <w:bookmarkStart w:id="257" w:name="_Toc536773525"/>
      <w:bookmarkStart w:id="258" w:name="_Toc17575"/>
      <w:bookmarkStart w:id="259" w:name="_Toc536611171"/>
      <w:bookmarkStart w:id="260" w:name="_Toc12194"/>
      <w:r>
        <w:rPr>
          <w:rFonts w:hint="eastAsia" w:ascii="方正楷体_GBK" w:eastAsia="方正楷体_GBK"/>
          <w:snapToGrid w:val="0"/>
          <w:color w:val="auto"/>
          <w:sz w:val="32"/>
          <w:szCs w:val="32"/>
          <w:highlight w:val="none"/>
        </w:rPr>
        <w:t>（八）网站监测</w:t>
      </w:r>
      <w:bookmarkEnd w:id="254"/>
      <w:r>
        <w:rPr>
          <w:rFonts w:hint="eastAsia" w:ascii="方正楷体_GBK" w:eastAsia="方正楷体_GBK"/>
          <w:snapToGrid w:val="0"/>
          <w:color w:val="auto"/>
          <w:sz w:val="32"/>
          <w:szCs w:val="32"/>
          <w:highlight w:val="none"/>
        </w:rPr>
        <w:t>与评估系统</w:t>
      </w:r>
      <w:bookmarkEnd w:id="255"/>
      <w:bookmarkEnd w:id="256"/>
      <w:bookmarkEnd w:id="257"/>
      <w:bookmarkEnd w:id="258"/>
      <w:bookmarkEnd w:id="259"/>
      <w:bookmarkEnd w:id="260"/>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全区政府网站及其“两微一端”运行情况进行实时监测，提供实时详尽的动态监测图表、监测报告，促进政府网站持续健康发展。开展政府网站绩效评估，多维度评估政府网站服务能力，引领政府网站向规范化、集约化、实用化和智能化发展。</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监测系统对网站进行24小时自动监测，通过自定义检查条件、检查时间为用户提供实时详尽的动态监测图表，并提供详细监测报告下载。辅助政府网站信息内容建设有关工作，提高网站信息发布、互动交流、便民服务水平全面提升网站的权威性和影响力，维护政府公信力。</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基于全国政府网站普查指标深度优化，采用多点异地监测，跨网络全面覆盖24小时不间断自动执行监测，让网站主管单位以站群管理者的视角对主管网站总体健康情况、各级网站健康情况、全区网站健康平均水平了如指掌，提供网站整改重要依据和参考。</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网站监管平台采用实时预警机制，针对站点无法访问、首页不更新、栏目不更新、空白栏目、互动回应差、内容不正确等关键指标在监管过程中发现问题采用短信、微信、邮件等多种方式进行预警提醒。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网站监管主要指标图如下：</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86400" cy="1530985"/>
            <wp:effectExtent l="0" t="0" r="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5486400" cy="1530985"/>
                    </a:xfrm>
                    <a:prstGeom prst="rect">
                      <a:avLst/>
                    </a:prstGeom>
                    <a:noFill/>
                    <a:ln>
                      <a:noFill/>
                    </a:ln>
                  </pic:spPr>
                </pic:pic>
              </a:graphicData>
            </a:graphic>
          </wp:inline>
        </w:drawing>
      </w:r>
    </w:p>
    <w:p>
      <w:pPr>
        <w:adjustRightInd w:val="0"/>
        <w:snapToGrid w:val="0"/>
        <w:spacing w:beforeLines="50" w:afterLines="50"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核心架构图如下：</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838700" cy="5076825"/>
            <wp:effectExtent l="0" t="0" r="0" b="952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8"/>
                    <a:stretch>
                      <a:fillRect/>
                    </a:stretch>
                  </pic:blipFill>
                  <pic:spPr>
                    <a:xfrm>
                      <a:off x="0" y="0"/>
                      <a:ext cx="4838700" cy="5076825"/>
                    </a:xfrm>
                    <a:prstGeom prst="rect">
                      <a:avLst/>
                    </a:prstGeom>
                    <a:noFill/>
                    <a:ln>
                      <a:noFill/>
                    </a:ln>
                  </pic:spPr>
                </pic:pic>
              </a:graphicData>
            </a:graphic>
          </wp:inline>
        </w:drawing>
      </w:r>
    </w:p>
    <w:p>
      <w:pPr>
        <w:adjustRightInd w:val="0"/>
        <w:snapToGrid w:val="0"/>
        <w:spacing w:line="360" w:lineRule="exact"/>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网站监管核心架构</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61" w:name="_Toc535227994"/>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1.日常监测</w:t>
      </w:r>
      <w:bookmarkEnd w:id="26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支持按照全部、组织单位门户、组织单位本级部门、组织单位下属单位等分类展示网站监测结果。</w:t>
      </w:r>
    </w:p>
    <w:p>
      <w:pPr>
        <w:adjustRightInd w:val="0"/>
        <w:snapToGrid w:val="0"/>
        <w:spacing w:line="570" w:lineRule="exact"/>
        <w:ind w:firstLine="624"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支持以数字、图表等方式直观展示网站监测结果。组织单位登陆系统直观查看站群平均健康指数、平均健康指数趋势、网站群问题汇总及监测结果概览，相关单位填报单位登陆系统可直观查看本网站健康指数、健康指数趋势图、问题结果汇总及健康分析趋势</w:t>
      </w:r>
      <w:r>
        <w:rPr>
          <w:rFonts w:eastAsia="方正仿宋_GBK"/>
          <w:snapToGrid w:val="0"/>
          <w:color w:val="auto"/>
          <w:sz w:val="32"/>
          <w:szCs w:val="32"/>
          <w:highlight w:val="none"/>
        </w:rPr>
        <w:t>。</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62" w:name="_Toc535227995"/>
      <w:r>
        <w:rPr>
          <w:rFonts w:eastAsia="方正仿宋_GBK"/>
          <w:bCs/>
          <w:snapToGrid w:val="0"/>
          <w:color w:val="auto"/>
          <w:sz w:val="32"/>
          <w:szCs w:val="32"/>
          <w:highlight w:val="none"/>
        </w:rPr>
        <w:t>2.网站抽查</w:t>
      </w:r>
      <w:bookmarkEnd w:id="262"/>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支持组织单位自主创建抽查任务，对选取的单位所含及以外的网站进行批量抽查。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支持抽查结果详情在抽查模块界面单独展示，并提供抽查检测报告在线预览、下载。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支持根据抽查结果在线发送整改通知及检测报告，填报单位收到整改通知可根据通知及报告内容进行整改，整改完成可发送反馈报告。</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63" w:name="_Toc535227996"/>
      <w:r>
        <w:rPr>
          <w:rFonts w:eastAsia="方正仿宋_GBK"/>
          <w:bCs/>
          <w:snapToGrid w:val="0"/>
          <w:color w:val="auto"/>
          <w:sz w:val="32"/>
          <w:szCs w:val="32"/>
          <w:highlight w:val="none"/>
        </w:rPr>
        <w:t>3.预警通知</w:t>
      </w:r>
      <w:bookmarkEnd w:id="26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支持短信通知、邮件通知、微信版预警通知，让网站管理者及时发现问题、及时获取网站预警信息，及时解决问题，降低在互联网上的不良影响，节约人力投入，极大降低网站运营成本，随时随地掌握网站问题。</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64" w:name="_Toc535227997"/>
      <w:r>
        <w:rPr>
          <w:rFonts w:eastAsia="方正仿宋_GBK"/>
          <w:bCs/>
          <w:snapToGrid w:val="0"/>
          <w:color w:val="auto"/>
          <w:sz w:val="32"/>
          <w:szCs w:val="32"/>
          <w:highlight w:val="none"/>
        </w:rPr>
        <w:t>4.监管数据分析</w:t>
      </w:r>
      <w:bookmarkEnd w:id="264"/>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站点数据概览：支持组织单位查看下辖各级站点数据概览，包括各级上报网站数、关停网站数、例外网站数、暂不检测网站数，全面检测网站数。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站点数据概览列表支持查看下级组织单位站点数据概览。到最后一级组织单位则展示其主管网站列表，列表支持按标识码、网站名称搜索。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日常监测统计：支持组织单位查看下辖各级网站日常监测数据，包括监测网站数、网站不联通比率、网站死链平均数、首页不更新网站数、首页平均更新条数、网站内容更新总数等。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监测数据默认以列表形式展示，支持切换成图标形式显示，支持按昨天、一周、两周、一月过滤。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支持监测大数据引用到组织单位官网首页，引用后可对外供网民查看。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微信端为便于用户随时随地掌握网站健康情况，网站监管平台采用微信公众号的方式对用户提供移动端服务。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网站主管单位可随时查看主管网站日常监测结果及监测问题详情，查看网站平均健康水平、网站健康排名，接收网站健康问题预警通知，查看网站历史预警信息。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网站主办单位可随时查看主办网站日常监测结果及监测结果详情，查看网站健康水平指数及与全国网站平均健康水平对比，接收网站健康问题预警通知，查看网站历史预警信息。</w:t>
      </w:r>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bCs/>
          <w:snapToGrid w:val="0"/>
          <w:color w:val="auto"/>
          <w:sz w:val="32"/>
          <w:szCs w:val="32"/>
          <w:highlight w:val="none"/>
        </w:rPr>
      </w:pPr>
      <w:bookmarkStart w:id="265" w:name="_Toc1811272"/>
      <w:bookmarkStart w:id="266" w:name="_Toc536611172"/>
      <w:bookmarkStart w:id="267" w:name="_Toc2821"/>
      <w:bookmarkStart w:id="268" w:name="_Toc535227998"/>
      <w:bookmarkStart w:id="269" w:name="_Toc32034"/>
      <w:bookmarkStart w:id="270" w:name="_Toc536773526"/>
      <w:bookmarkStart w:id="271" w:name="_Ref536773342"/>
      <w:bookmarkStart w:id="272" w:name="_Toc12294"/>
      <w:r>
        <w:rPr>
          <w:rFonts w:hint="eastAsia" w:ascii="方正楷体_GBK" w:eastAsia="方正楷体_GBK"/>
          <w:bCs/>
          <w:snapToGrid w:val="0"/>
          <w:color w:val="auto"/>
          <w:sz w:val="32"/>
          <w:szCs w:val="32"/>
          <w:highlight w:val="none"/>
        </w:rPr>
        <w:t>（九）运维管理系统</w:t>
      </w:r>
      <w:bookmarkEnd w:id="265"/>
      <w:bookmarkEnd w:id="266"/>
      <w:bookmarkEnd w:id="267"/>
      <w:bookmarkEnd w:id="268"/>
      <w:bookmarkEnd w:id="269"/>
      <w:bookmarkEnd w:id="270"/>
      <w:bookmarkEnd w:id="271"/>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73" w:name="_Toc497465340"/>
      <w:bookmarkStart w:id="274" w:name="_Toc535227999"/>
      <w:r>
        <w:rPr>
          <w:rFonts w:eastAsia="方正仿宋_GBK"/>
          <w:bCs/>
          <w:snapToGrid w:val="0"/>
          <w:color w:val="auto"/>
          <w:sz w:val="32"/>
          <w:szCs w:val="32"/>
          <w:highlight w:val="none"/>
        </w:rPr>
        <w:t>1.准入退出管理</w:t>
      </w:r>
      <w:bookmarkEnd w:id="273"/>
      <w:r>
        <w:rPr>
          <w:rFonts w:eastAsia="方正仿宋_GBK"/>
          <w:bCs/>
          <w:snapToGrid w:val="0"/>
          <w:color w:val="auto"/>
          <w:sz w:val="32"/>
          <w:szCs w:val="32"/>
          <w:highlight w:val="none"/>
        </w:rPr>
        <w:t>系统</w:t>
      </w:r>
      <w:bookmarkEnd w:id="274"/>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根据第一次全国政府网站普查的情况显示，政府网站存在随意开办、无力维护、网上名称混乱、政府网站被假冒、网站关停不规范等严重问题。因此政府网站集约化平台对各级单位网站开办、关停、维护采取标准化审核管理机制，设置标准流程对各级网站统一进行管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27" o:spt="75" type="#_x0000_t75" style="height:279.85pt;width:425.1pt;" o:ole="t" filled="f" o:preferrelative="t" stroked="f" coordsize="21600,21600">
            <v:path/>
            <v:fill on="f" focussize="0,0"/>
            <v:stroke on="f" joinstyle="miter"/>
            <v:imagedata r:id="rId29" o:title=""/>
            <o:lock v:ext="edit" aspectratio="t"/>
            <w10:wrap type="none"/>
            <w10:anchorlock/>
          </v:shape>
          <o:OLEObject Type="Embed" ProgID="Visio.Drawing.11" ShapeID="_x0000_i1027" DrawAspect="Content" ObjectID="_1468075727">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网站准入退出业务流程</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1.1　网站申请</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网站申请包括网站开办申请、网站信息变更申请、网站临时关停申请、网站永久关停申请。</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不同事项网站申请需通过政府网站集约化平台在线填写对应</w:t>
      </w:r>
      <w:r>
        <w:rPr>
          <w:rFonts w:eastAsia="方正仿宋_GBK"/>
          <w:snapToGrid w:val="0"/>
          <w:color w:val="auto"/>
          <w:spacing w:val="-4"/>
          <w:sz w:val="32"/>
          <w:szCs w:val="32"/>
          <w:highlight w:val="none"/>
        </w:rPr>
        <w:t>申请单，申请单基本信息包括申请人、职务、单位、联系方式、邮箱、手机等，临时关停申请还需填写关停开始时间、结束时间</w:t>
      </w:r>
      <w:r>
        <w:rPr>
          <w:rFonts w:eastAsia="方正仿宋_GBK"/>
          <w:snapToGrid w:val="0"/>
          <w:color w:val="auto"/>
          <w:sz w:val="32"/>
          <w:szCs w:val="32"/>
          <w:highlight w:val="none"/>
        </w:rPr>
        <w:t>等。</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申请填写完毕后可暂存为草稿，可提交等待审核结果反馈，提交后申请单变为”已提交”状态。审核过程中支持申请退回，退回后申请单由”已提交”状态变为”草稿”状态，审核人员将不会对此申请进行审核。</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1.2　申请审核</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审核员可对各租户提交的申请进行审核及编辑审核意见，审核完成后审核结果及意见系统将自动发送到申请者。</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开办审核：网站开办申请审核通过后，系统将反馈审核结果到申请端并根据申请中填写基本信息自动创建网站，租户建站时无需重复填写。审核不通过，系统将审核说明及结果反馈到申请端，申请端租户无法建站。</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网站变更审核：网站基本信息变更申请审核通过后，系统将反馈审核结果到申请端并根据填写变更信息对原信息进行更新。审核不通过，系统将审核说明及结果反馈到申请端，网站基本信息不得更新。</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关停整改审核：网站关停整改申请需注明恢复日期，申请审核通过后，系统将反馈审核结果到申请端并自动撤销该网站的发布状态，且网站管理者无权重新发布此网站，待恢复时间到达后系统自动将此网站对外发布。审核不通过，系统将驳回说明及结果反馈到申请端，该网站不得撤销发布。</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网站永久关停审核：网站永久关停申请审核通过后，系统将反馈审核结果到申请端并自动撤销该网站的发布状态，且网站管理者无权重新发布此网站。审核不通过，系统将驳回说明及结果反馈到申请端。</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1.3　日常维护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管理员可对网站开办申请、网站退出申请、网站信息变更申请及网站临时关停申请进行日常维护，包括网站申请材料的递交通知、网站审核意见通知、网站临时关停到期通知等通知内容发布。管理员可对审核通过申请进行撤回，可对申请状态进行变更，可对重复申请进行删除等。</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75" w:name="_Toc497465347"/>
      <w:bookmarkStart w:id="276" w:name="_Toc535228000"/>
      <w:r>
        <w:rPr>
          <w:rFonts w:eastAsia="方正仿宋_GBK"/>
          <w:bCs/>
          <w:snapToGrid w:val="0"/>
          <w:color w:val="auto"/>
          <w:sz w:val="32"/>
          <w:szCs w:val="32"/>
          <w:highlight w:val="none"/>
        </w:rPr>
        <w:t>2.绩效考核管理系统</w:t>
      </w:r>
      <w:bookmarkEnd w:id="275"/>
      <w:bookmarkEnd w:id="27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绩效考核系统计根据网站类型、级别制定对应合理的考核指标标准，从网站健康、网站内容覆盖、网站功能提升、网站先进典型案例等多方面对网站建设情况进行综合考核，并最终对网站整体情况做出绩效评估并生成评估报告。</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为了不断提高采编人员的职业能力和改进工作绩效，提高采编人员在工作执行中的主动性和有效性，并最终提高网站整体建</w:t>
      </w:r>
      <w:r>
        <w:rPr>
          <w:rFonts w:eastAsia="方正仿宋_GBK"/>
          <w:snapToGrid w:val="0"/>
          <w:color w:val="auto"/>
          <w:spacing w:val="-4"/>
          <w:sz w:val="32"/>
          <w:szCs w:val="32"/>
          <w:highlight w:val="none"/>
        </w:rPr>
        <w:t>设，绩效考核管理系统对各网站主办单位提供从报送量、报送长稿件量、报送图片稿件量、报送附件稿件量、报送稿件驳回量、报送稿件浏览量、报送稿件评论数、报送稿件评分等多方面制定科学合理绩效考核指标，对下级单位及网站采编人员工作绩效进</w:t>
      </w:r>
      <w:r>
        <w:rPr>
          <w:rFonts w:eastAsia="方正仿宋_GBK"/>
          <w:snapToGrid w:val="0"/>
          <w:color w:val="auto"/>
          <w:sz w:val="32"/>
          <w:szCs w:val="32"/>
          <w:highlight w:val="none"/>
        </w:rPr>
        <w:t>行考核。</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28" o:spt="75" type="#_x0000_t75" style="height:212.25pt;width:415.7pt;" o:ole="t" filled="f" o:preferrelative="t" stroked="f" coordsize="21600,21600">
            <v:path/>
            <v:fill on="f" focussize="0,0"/>
            <v:stroke on="f" joinstyle="miter"/>
            <v:imagedata r:id="rId30" o:title=""/>
            <o:lock v:ext="edit" aspectratio="t"/>
            <w10:wrap type="none"/>
            <w10:anchorlock/>
          </v:shape>
          <o:OLEObject Type="Embed" ProgID="Visio.Drawing.11" ShapeID="_x0000_i1028" DrawAspect="Content" ObjectID="_1468075728">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绩效考核管理系统核心架构</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277" w:name="_Toc468886072"/>
      <w:bookmarkStart w:id="278" w:name="_Toc497465348"/>
      <w:r>
        <w:rPr>
          <w:rFonts w:eastAsia="方正仿宋_GBK"/>
          <w:bCs/>
          <w:snapToGrid w:val="0"/>
          <w:color w:val="auto"/>
          <w:sz w:val="32"/>
          <w:szCs w:val="32"/>
          <w:highlight w:val="none"/>
        </w:rPr>
        <w:t>2.1　网站绩效评估</w:t>
      </w:r>
      <w:bookmarkEnd w:id="277"/>
      <w:bookmarkEnd w:id="27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进一步加强政府网站建设、完善政府网站平台、推动政府网站规范化、推动政府网站数据开放共享、加强与社会化平台对接、确保网站安全运行稳定，绩效考核管理系统经过指标体系研究定制及意见征集、评估指标数据采集、网站绩效自评打分、网站绩效考核评分等阶段对政府网站绩效进行统一考核并最终生成绩效考核评估报告在政府网站集约化平台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绩效考核系统业务图如下：</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29" o:spt="75" type="#_x0000_t75" style="height:376.9pt;width:383.15pt;" o:ole="t" filled="f" o:preferrelative="t" stroked="f" coordsize="21600,21600">
            <v:path/>
            <v:fill on="f" focussize="0,0"/>
            <v:stroke on="f" joinstyle="miter"/>
            <v:imagedata r:id="rId31" o:title=""/>
            <o:lock v:ext="edit" aspectratio="t"/>
            <w10:wrap type="none"/>
            <w10:anchorlock/>
          </v:shape>
          <o:OLEObject Type="Embed" ProgID="Visio.Drawing.11" ShapeID="_x0000_i1029" DrawAspect="Content" ObjectID="_1468075729">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网站绩效考核业务图</w:t>
      </w:r>
    </w:p>
    <w:p>
      <w:pPr>
        <w:adjustRightInd w:val="0"/>
        <w:snapToGrid w:val="0"/>
        <w:spacing w:beforeLines="50" w:afterLines="50" w:line="360" w:lineRule="exact"/>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br w:type="page"/>
      </w:r>
      <w:r>
        <w:rPr>
          <w:rFonts w:ascii="方正黑体_GBK" w:eastAsia="方正黑体_GBK"/>
          <w:snapToGrid w:val="0"/>
          <w:color w:val="auto"/>
          <w:sz w:val="28"/>
          <w:szCs w:val="28"/>
          <w:highlight w:val="none"/>
        </w:rPr>
        <w:t>指标体系整体架构</w:t>
      </w:r>
    </w:p>
    <w:tbl>
      <w:tblPr>
        <w:tblStyle w:val="5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35"/>
        <w:gridCol w:w="2282"/>
        <w:gridCol w:w="5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2" w:hRule="atLeast"/>
          <w:tblHeader/>
          <w:jc w:val="center"/>
        </w:trPr>
        <w:tc>
          <w:tcPr>
            <w:tcW w:w="1135" w:type="dxa"/>
            <w:tcMar>
              <w:top w:w="57" w:type="dxa"/>
              <w:bottom w:w="57" w:type="dxa"/>
            </w:tcMar>
            <w:vAlign w:val="center"/>
          </w:tcPr>
          <w:p>
            <w:pPr>
              <w:adjustRightInd w:val="0"/>
              <w:snapToGrid w:val="0"/>
              <w:spacing w:line="400" w:lineRule="exact"/>
              <w:jc w:val="center"/>
              <w:rPr>
                <w:rFonts w:ascii="方正黑体_GBK" w:eastAsia="方正黑体_GBK"/>
                <w:bCs/>
                <w:snapToGrid w:val="0"/>
                <w:color w:val="auto"/>
                <w:sz w:val="24"/>
                <w:highlight w:val="none"/>
              </w:rPr>
            </w:pPr>
            <w:r>
              <w:rPr>
                <w:rFonts w:hint="eastAsia" w:ascii="方正黑体_GBK" w:eastAsia="方正黑体_GBK"/>
                <w:bCs/>
                <w:snapToGrid w:val="0"/>
                <w:color w:val="auto"/>
                <w:sz w:val="24"/>
                <w:highlight w:val="none"/>
              </w:rPr>
              <w:t>标题</w:t>
            </w:r>
          </w:p>
        </w:tc>
        <w:tc>
          <w:tcPr>
            <w:tcW w:w="2282" w:type="dxa"/>
            <w:tcMar>
              <w:top w:w="57" w:type="dxa"/>
              <w:bottom w:w="57" w:type="dxa"/>
            </w:tcMar>
            <w:vAlign w:val="center"/>
          </w:tcPr>
          <w:p>
            <w:pPr>
              <w:adjustRightInd w:val="0"/>
              <w:snapToGrid w:val="0"/>
              <w:spacing w:line="400" w:lineRule="exact"/>
              <w:jc w:val="center"/>
              <w:rPr>
                <w:rFonts w:ascii="方正黑体_GBK" w:eastAsia="方正黑体_GBK"/>
                <w:bCs/>
                <w:snapToGrid w:val="0"/>
                <w:color w:val="auto"/>
                <w:sz w:val="24"/>
                <w:highlight w:val="none"/>
              </w:rPr>
            </w:pPr>
            <w:r>
              <w:rPr>
                <w:rFonts w:hint="eastAsia" w:ascii="方正黑体_GBK" w:eastAsia="方正黑体_GBK"/>
                <w:bCs/>
                <w:snapToGrid w:val="0"/>
                <w:color w:val="auto"/>
                <w:sz w:val="24"/>
                <w:highlight w:val="none"/>
              </w:rPr>
              <w:t>说明</w:t>
            </w:r>
          </w:p>
        </w:tc>
        <w:tc>
          <w:tcPr>
            <w:tcW w:w="5655" w:type="dxa"/>
            <w:tcMar>
              <w:top w:w="57" w:type="dxa"/>
              <w:bottom w:w="57" w:type="dxa"/>
            </w:tcMar>
            <w:vAlign w:val="center"/>
          </w:tcPr>
          <w:p>
            <w:pPr>
              <w:adjustRightInd w:val="0"/>
              <w:snapToGrid w:val="0"/>
              <w:spacing w:line="400" w:lineRule="exact"/>
              <w:jc w:val="center"/>
              <w:rPr>
                <w:rFonts w:ascii="方正黑体_GBK" w:eastAsia="方正黑体_GBK"/>
                <w:bCs/>
                <w:snapToGrid w:val="0"/>
                <w:color w:val="auto"/>
                <w:sz w:val="24"/>
                <w:highlight w:val="none"/>
              </w:rPr>
            </w:pPr>
            <w:r>
              <w:rPr>
                <w:rFonts w:hint="eastAsia" w:ascii="方正黑体_GBK" w:eastAsia="方正黑体_GBK"/>
                <w:bCs/>
                <w:snapToGrid w:val="0"/>
                <w:color w:val="auto"/>
                <w:sz w:val="24"/>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135" w:type="dxa"/>
            <w:tcMar>
              <w:top w:w="57" w:type="dxa"/>
              <w:bottom w:w="57" w:type="dxa"/>
            </w:tcMar>
            <w:vAlign w:val="center"/>
          </w:tcPr>
          <w:p>
            <w:pPr>
              <w:adjustRightInd w:val="0"/>
              <w:snapToGrid w:val="0"/>
              <w:spacing w:line="400" w:lineRule="exact"/>
              <w:jc w:val="center"/>
              <w:rPr>
                <w:rFonts w:eastAsia="方正仿宋_GBK"/>
                <w:bCs/>
                <w:snapToGrid w:val="0"/>
                <w:color w:val="auto"/>
                <w:sz w:val="24"/>
                <w:highlight w:val="none"/>
              </w:rPr>
            </w:pPr>
            <w:r>
              <w:rPr>
                <w:rFonts w:eastAsia="方正仿宋_GBK"/>
                <w:bCs/>
                <w:snapToGrid w:val="0"/>
                <w:color w:val="auto"/>
                <w:sz w:val="24"/>
                <w:highlight w:val="none"/>
              </w:rPr>
              <w:t>网站健康</w:t>
            </w:r>
          </w:p>
        </w:tc>
        <w:tc>
          <w:tcPr>
            <w:tcW w:w="2282" w:type="dxa"/>
            <w:tcMar>
              <w:top w:w="57" w:type="dxa"/>
              <w:bottom w:w="57" w:type="dxa"/>
            </w:tcMar>
            <w:vAlign w:val="center"/>
          </w:tcPr>
          <w:p>
            <w:pPr>
              <w:adjustRightInd w:val="0"/>
              <w:snapToGrid w:val="0"/>
              <w:spacing w:line="400" w:lineRule="exact"/>
              <w:rPr>
                <w:rFonts w:eastAsia="方正仿宋_GBK"/>
                <w:bCs/>
                <w:snapToGrid w:val="0"/>
                <w:color w:val="auto"/>
                <w:spacing w:val="-6"/>
                <w:sz w:val="24"/>
                <w:highlight w:val="none"/>
              </w:rPr>
            </w:pPr>
            <w:r>
              <w:rPr>
                <w:rFonts w:eastAsia="方正仿宋_GBK"/>
                <w:bCs/>
                <w:snapToGrid w:val="0"/>
                <w:color w:val="auto"/>
                <w:spacing w:val="-6"/>
                <w:sz w:val="24"/>
                <w:highlight w:val="none"/>
              </w:rPr>
              <w:t>政府网站所必须达到的底线要求的实现情况。</w:t>
            </w:r>
          </w:p>
        </w:tc>
        <w:tc>
          <w:tcPr>
            <w:tcW w:w="5655" w:type="dxa"/>
            <w:tcMar>
              <w:top w:w="57" w:type="dxa"/>
              <w:bottom w:w="57" w:type="dxa"/>
            </w:tcMar>
            <w:vAlign w:val="center"/>
          </w:tcPr>
          <w:p>
            <w:pPr>
              <w:adjustRightInd w:val="0"/>
              <w:snapToGrid w:val="0"/>
              <w:spacing w:line="400" w:lineRule="exact"/>
              <w:rPr>
                <w:rFonts w:eastAsia="方正仿宋_GBK"/>
                <w:bCs/>
                <w:snapToGrid w:val="0"/>
                <w:color w:val="auto"/>
                <w:sz w:val="24"/>
                <w:highlight w:val="none"/>
              </w:rPr>
            </w:pPr>
            <w:r>
              <w:rPr>
                <w:rFonts w:eastAsia="方正仿宋_GBK"/>
                <w:bCs/>
                <w:snapToGrid w:val="0"/>
                <w:color w:val="auto"/>
                <w:sz w:val="24"/>
                <w:highlight w:val="none"/>
              </w:rPr>
              <w:t>与全国政府网站普查工作保持衔接一致。后续将把普查数据转为平台健康指数做日常监测，每月动态发布监测结果。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135" w:type="dxa"/>
            <w:tcMar>
              <w:top w:w="57" w:type="dxa"/>
              <w:bottom w:w="57" w:type="dxa"/>
            </w:tcMar>
            <w:vAlign w:val="center"/>
          </w:tcPr>
          <w:p>
            <w:pPr>
              <w:adjustRightInd w:val="0"/>
              <w:snapToGrid w:val="0"/>
              <w:spacing w:line="400" w:lineRule="exact"/>
              <w:jc w:val="center"/>
              <w:rPr>
                <w:rFonts w:eastAsia="方正仿宋_GBK"/>
                <w:bCs/>
                <w:snapToGrid w:val="0"/>
                <w:color w:val="auto"/>
                <w:sz w:val="24"/>
                <w:highlight w:val="none"/>
              </w:rPr>
            </w:pPr>
            <w:r>
              <w:rPr>
                <w:rFonts w:eastAsia="方正仿宋_GBK"/>
                <w:bCs/>
                <w:snapToGrid w:val="0"/>
                <w:color w:val="auto"/>
                <w:sz w:val="24"/>
                <w:highlight w:val="none"/>
              </w:rPr>
              <w:t>内容覆盖</w:t>
            </w:r>
          </w:p>
        </w:tc>
        <w:tc>
          <w:tcPr>
            <w:tcW w:w="2282" w:type="dxa"/>
            <w:tcMar>
              <w:top w:w="57" w:type="dxa"/>
              <w:bottom w:w="57" w:type="dxa"/>
            </w:tcMar>
            <w:vAlign w:val="center"/>
          </w:tcPr>
          <w:p>
            <w:pPr>
              <w:adjustRightInd w:val="0"/>
              <w:snapToGrid w:val="0"/>
              <w:spacing w:line="400" w:lineRule="exact"/>
              <w:rPr>
                <w:rFonts w:eastAsia="方正仿宋_GBK"/>
                <w:bCs/>
                <w:snapToGrid w:val="0"/>
                <w:color w:val="auto"/>
                <w:sz w:val="24"/>
                <w:highlight w:val="none"/>
              </w:rPr>
            </w:pPr>
            <w:r>
              <w:rPr>
                <w:rFonts w:eastAsia="方正仿宋_GBK"/>
                <w:bCs/>
                <w:snapToGrid w:val="0"/>
                <w:color w:val="auto"/>
                <w:sz w:val="24"/>
                <w:highlight w:val="none"/>
              </w:rPr>
              <w:t>规定要公开和服务的内容都应得到体现。</w:t>
            </w:r>
          </w:p>
        </w:tc>
        <w:tc>
          <w:tcPr>
            <w:tcW w:w="5655" w:type="dxa"/>
            <w:tcMar>
              <w:top w:w="57" w:type="dxa"/>
              <w:bottom w:w="57" w:type="dxa"/>
            </w:tcMar>
            <w:vAlign w:val="center"/>
          </w:tcPr>
          <w:p>
            <w:pPr>
              <w:adjustRightInd w:val="0"/>
              <w:snapToGrid w:val="0"/>
              <w:spacing w:line="400" w:lineRule="exact"/>
              <w:rPr>
                <w:rFonts w:eastAsia="方正仿宋_GBK"/>
                <w:bCs/>
                <w:snapToGrid w:val="0"/>
                <w:color w:val="auto"/>
                <w:spacing w:val="-6"/>
                <w:sz w:val="24"/>
                <w:highlight w:val="none"/>
              </w:rPr>
            </w:pPr>
            <w:r>
              <w:rPr>
                <w:rFonts w:eastAsia="方正仿宋_GBK"/>
                <w:bCs/>
                <w:snapToGrid w:val="0"/>
                <w:color w:val="auto"/>
                <w:spacing w:val="-6"/>
                <w:sz w:val="24"/>
                <w:highlight w:val="none"/>
              </w:rPr>
              <w:t>梳理出信息公开条例和其他文件中列出的要实现的内容，是否都有相应的栏目、信息或功能与之对应。包括公开的信息，互动回应、舆论引导、办事服务等的要求。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135" w:type="dxa"/>
            <w:tcMar>
              <w:top w:w="57" w:type="dxa"/>
              <w:bottom w:w="57" w:type="dxa"/>
            </w:tcMar>
            <w:vAlign w:val="center"/>
          </w:tcPr>
          <w:p>
            <w:pPr>
              <w:adjustRightInd w:val="0"/>
              <w:snapToGrid w:val="0"/>
              <w:spacing w:line="400" w:lineRule="exact"/>
              <w:jc w:val="center"/>
              <w:rPr>
                <w:rFonts w:eastAsia="方正仿宋_GBK"/>
                <w:bCs/>
                <w:snapToGrid w:val="0"/>
                <w:color w:val="auto"/>
                <w:sz w:val="24"/>
                <w:highlight w:val="none"/>
              </w:rPr>
            </w:pPr>
            <w:r>
              <w:rPr>
                <w:rFonts w:eastAsia="方正仿宋_GBK"/>
                <w:bCs/>
                <w:snapToGrid w:val="0"/>
                <w:color w:val="auto"/>
                <w:sz w:val="24"/>
                <w:highlight w:val="none"/>
              </w:rPr>
              <w:t>功能提升</w:t>
            </w:r>
          </w:p>
        </w:tc>
        <w:tc>
          <w:tcPr>
            <w:tcW w:w="2282" w:type="dxa"/>
            <w:tcMar>
              <w:top w:w="57" w:type="dxa"/>
              <w:bottom w:w="57" w:type="dxa"/>
            </w:tcMar>
            <w:vAlign w:val="center"/>
          </w:tcPr>
          <w:p>
            <w:pPr>
              <w:adjustRightInd w:val="0"/>
              <w:snapToGrid w:val="0"/>
              <w:spacing w:line="400" w:lineRule="exact"/>
              <w:rPr>
                <w:rFonts w:eastAsia="方正仿宋_GBK"/>
                <w:bCs/>
                <w:snapToGrid w:val="0"/>
                <w:color w:val="auto"/>
                <w:sz w:val="24"/>
                <w:highlight w:val="none"/>
              </w:rPr>
            </w:pPr>
            <w:r>
              <w:rPr>
                <w:rFonts w:eastAsia="方正仿宋_GBK"/>
                <w:bCs/>
                <w:snapToGrid w:val="0"/>
                <w:color w:val="auto"/>
                <w:sz w:val="24"/>
                <w:highlight w:val="none"/>
              </w:rPr>
              <w:t>解决政府网站好不好用，安不安全的问题。</w:t>
            </w:r>
          </w:p>
        </w:tc>
        <w:tc>
          <w:tcPr>
            <w:tcW w:w="5655" w:type="dxa"/>
            <w:tcMar>
              <w:top w:w="57" w:type="dxa"/>
              <w:bottom w:w="57" w:type="dxa"/>
            </w:tcMar>
            <w:vAlign w:val="center"/>
          </w:tcPr>
          <w:p>
            <w:pPr>
              <w:adjustRightInd w:val="0"/>
              <w:snapToGrid w:val="0"/>
              <w:spacing w:line="400" w:lineRule="exact"/>
              <w:rPr>
                <w:rFonts w:eastAsia="方正仿宋_GBK"/>
                <w:bCs/>
                <w:snapToGrid w:val="0"/>
                <w:color w:val="auto"/>
                <w:sz w:val="24"/>
                <w:highlight w:val="none"/>
              </w:rPr>
            </w:pPr>
            <w:r>
              <w:rPr>
                <w:rFonts w:eastAsia="方正仿宋_GBK"/>
                <w:bCs/>
                <w:snapToGrid w:val="0"/>
                <w:color w:val="auto"/>
                <w:sz w:val="24"/>
                <w:highlight w:val="none"/>
              </w:rPr>
              <w:t>如智能搜索、实时互动等功能，改善用户的使用体验；与微博微信等新媒体对接功能，提升网站信息传播能力；以及是否存在严重的安全漏洞隐患等，提升政府网站的安全防范能力。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135" w:type="dxa"/>
            <w:tcMar>
              <w:top w:w="57" w:type="dxa"/>
              <w:bottom w:w="57" w:type="dxa"/>
            </w:tcMar>
            <w:vAlign w:val="center"/>
          </w:tcPr>
          <w:p>
            <w:pPr>
              <w:adjustRightInd w:val="0"/>
              <w:snapToGrid w:val="0"/>
              <w:spacing w:line="400" w:lineRule="exact"/>
              <w:jc w:val="center"/>
              <w:rPr>
                <w:rFonts w:eastAsia="方正仿宋_GBK"/>
                <w:bCs/>
                <w:snapToGrid w:val="0"/>
                <w:color w:val="auto"/>
                <w:sz w:val="24"/>
                <w:highlight w:val="none"/>
              </w:rPr>
            </w:pPr>
            <w:r>
              <w:rPr>
                <w:rFonts w:eastAsia="方正仿宋_GBK"/>
                <w:bCs/>
                <w:snapToGrid w:val="0"/>
                <w:color w:val="auto"/>
                <w:sz w:val="24"/>
                <w:highlight w:val="none"/>
              </w:rPr>
              <w:t>先进典型案例</w:t>
            </w:r>
          </w:p>
        </w:tc>
        <w:tc>
          <w:tcPr>
            <w:tcW w:w="2282" w:type="dxa"/>
            <w:tcMar>
              <w:top w:w="57" w:type="dxa"/>
              <w:bottom w:w="57" w:type="dxa"/>
            </w:tcMar>
            <w:vAlign w:val="center"/>
          </w:tcPr>
          <w:p>
            <w:pPr>
              <w:adjustRightInd w:val="0"/>
              <w:snapToGrid w:val="0"/>
              <w:spacing w:line="400" w:lineRule="exact"/>
              <w:rPr>
                <w:rFonts w:eastAsia="方正仿宋_GBK"/>
                <w:bCs/>
                <w:snapToGrid w:val="0"/>
                <w:color w:val="auto"/>
                <w:sz w:val="24"/>
                <w:highlight w:val="none"/>
              </w:rPr>
            </w:pPr>
            <w:r>
              <w:rPr>
                <w:rFonts w:eastAsia="方正仿宋_GBK"/>
                <w:bCs/>
                <w:snapToGrid w:val="0"/>
                <w:color w:val="auto"/>
                <w:sz w:val="24"/>
                <w:highlight w:val="none"/>
              </w:rPr>
              <w:t>引导政府网站发展创新，总结先进典型案例经验。（加分项）</w:t>
            </w:r>
          </w:p>
        </w:tc>
        <w:tc>
          <w:tcPr>
            <w:tcW w:w="5655" w:type="dxa"/>
            <w:tcMar>
              <w:top w:w="57" w:type="dxa"/>
              <w:bottom w:w="57" w:type="dxa"/>
            </w:tcMar>
            <w:vAlign w:val="center"/>
          </w:tcPr>
          <w:p>
            <w:pPr>
              <w:adjustRightInd w:val="0"/>
              <w:snapToGrid w:val="0"/>
              <w:spacing w:line="400" w:lineRule="exact"/>
              <w:rPr>
                <w:rFonts w:eastAsia="方正仿宋_GBK"/>
                <w:bCs/>
                <w:snapToGrid w:val="0"/>
                <w:color w:val="auto"/>
                <w:sz w:val="24"/>
                <w:highlight w:val="none"/>
              </w:rPr>
            </w:pPr>
            <w:r>
              <w:rPr>
                <w:rFonts w:eastAsia="方正仿宋_GBK"/>
                <w:bCs/>
                <w:snapToGrid w:val="0"/>
                <w:color w:val="auto"/>
                <w:sz w:val="24"/>
                <w:highlight w:val="none"/>
              </w:rPr>
              <w:t>收集整理各网站在信息内容建设和管理各方面的亮点和特色做法。评选政府网站在信息公开重点工作、数据开放、政策解读、回应关切、互动交流、办事服务、集约化建设、网站管理等方面具有成效的先进典型案例。对入选先进典型案例的政府网站进行加分。</w:t>
            </w:r>
          </w:p>
        </w:tc>
      </w:tr>
    </w:tbl>
    <w:p>
      <w:pPr>
        <w:adjustRightInd w:val="0"/>
        <w:snapToGrid w:val="0"/>
        <w:spacing w:beforeLines="50"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网站绩效得分计算公式：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政府网站最终评估得分=网站健康得分*40%+内容覆盖得分*40%+功能提升指数*20%+先进典型案例加分</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2.1.1　意见征集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——创建征集。网站主管单位可创建意见征集通知，编辑通知内容包括通知标题、通知内容、附件、特别说明及反馈日期等内容。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内容编辑采用内嵌编辑器方式，支持插入图片和图片说明，</w:t>
      </w:r>
      <w:r>
        <w:rPr>
          <w:rFonts w:eastAsia="方正仿宋_GBK"/>
          <w:snapToGrid w:val="0"/>
          <w:color w:val="auto"/>
          <w:spacing w:val="-6"/>
          <w:sz w:val="32"/>
          <w:szCs w:val="32"/>
          <w:highlight w:val="none"/>
        </w:rPr>
        <w:t>支持文字样式、颜色、排版调整，支持一件排版、一件纠错等功</w:t>
      </w:r>
      <w:r>
        <w:rPr>
          <w:rFonts w:eastAsia="方正仿宋_GBK"/>
          <w:snapToGrid w:val="0"/>
          <w:color w:val="auto"/>
          <w:sz w:val="32"/>
          <w:szCs w:val="32"/>
          <w:highlight w:val="none"/>
        </w:rPr>
        <w:t>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上传附件应支持Word、PDF、Excel等常见文件，支持ZIP、RAR等常见压缩包格式。上传附件至少支持50M以内文件上传。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发布征集：网站主管单位编辑意见征集通知后可发送通知给相关网站主办单位。根据全国政府网站报送组织结构，网站主管单位发送通知时支持勾选接收单位，默认全部勾选，取消勾选则表示不发送通知到该单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网站主办单位登录政府网站集约化平台可查看此通知详情，可在通知详情中对此通知进行反馈，反馈内容需在通知规定反馈日期前提交，逾期则无法提交。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反馈内容编辑框采用内嵌编辑器方式，支持插入图片和图片说明，支持文字样式、颜色、排版调整，支持一件排版、一件纠错等功能。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编辑反馈内容时支持上传附件，上传附件应支持Word、PDF、Excel等常见文件，支持ZIP、RAR等常见压缩包格式。上传附件至少支持50M以内文件上传。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——查看意见：网站主管单位可查看反馈列表，反馈列表展示字段包括网站标识码、网站名称、网站首页地址、主办单位名称、是否反馈、反馈内容、附件、反馈时间等。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网站主管单位可查看接收通知单位总数、已反馈单位数，可按网站标识码、网站名称进行搜索、按是否反馈进行过滤，可将反馈列表导出。</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2.1.2　指标管理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网站主管单位可根据指标体系整体架构及第一阶段向各网站主办单位收集的意见建议根据不同级别、不同类型网站制定专用考核指标。</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创建指标：需先下载指标模版，通过线下编辑方式制作指标文件。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创建指标需编辑指标名称、指标类别、辅助说明、上传指标文件。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上传指标文件后支持在线预览指标文件内容，支持删除指标文件重新上传。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查看指标：网站主管单位可查看现有指标列表，包括指标名称、类别、说明、指标文件预览及绑定此指标的任务等。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指标列表支持按指标名称搜索，支持按指标绑定状态过滤，支持按绑定任务搜索。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修改指标：网站主管单位可对现有指标进行修改，包括对指标名称、类别、说明的修改及指标文件删除重新上传等，已被任务绑定且任务已启动的指标则不允许修改。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删除指标：网站主管单位可对现有指标进行删除，其指标文件将一并删除。已被任务绑定且任务已启动的指标则不允许删除。</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2.1.3　任务管理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创建任务：网站主管单位可创建考评任务，创建任务时可编</w:t>
      </w:r>
      <w:r>
        <w:rPr>
          <w:rFonts w:eastAsia="方正仿宋_GBK"/>
          <w:snapToGrid w:val="0"/>
          <w:color w:val="auto"/>
          <w:spacing w:val="-6"/>
          <w:sz w:val="32"/>
          <w:szCs w:val="32"/>
          <w:highlight w:val="none"/>
        </w:rPr>
        <w:t>辑任务名称、任务负责人、年份、自评周期、考评周期等基本信</w:t>
      </w:r>
      <w:r>
        <w:rPr>
          <w:rFonts w:eastAsia="方正仿宋_GBK"/>
          <w:snapToGrid w:val="0"/>
          <w:color w:val="auto"/>
          <w:sz w:val="32"/>
          <w:szCs w:val="32"/>
          <w:highlight w:val="none"/>
        </w:rPr>
        <w:t>息。</w:t>
      </w:r>
    </w:p>
    <w:p>
      <w:pPr>
        <w:adjustRightInd w:val="0"/>
        <w:snapToGrid w:val="0"/>
        <w:spacing w:line="570"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创建任务时可选择考评指标进行绑定，绑定指标支持再选预</w:t>
      </w:r>
      <w:r>
        <w:rPr>
          <w:rFonts w:eastAsia="方正仿宋_GBK"/>
          <w:snapToGrid w:val="0"/>
          <w:color w:val="auto"/>
          <w:sz w:val="32"/>
          <w:szCs w:val="32"/>
          <w:highlight w:val="none"/>
        </w:rPr>
        <w:t>览。</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创建任务时可查看下辖网站列表，列表中可选择此次任务要考核的网站。</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查看任务：网站主管单位可查看当前任务列表，列表显示字段包括任务名称、任务负责人、任务年份、自评周期、考评周期、任务状态、指标名称、考评网站数、已自评网站数、已考评网站数等基本信息。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可选择某一考评任务查看考评网站列表，列表中可查看网站标识码、网站名称、自评状态、自评进度、考评状态、考评进度。列表支持按标识码搜索、按网站名称搜索、按自评状态过滤、按考评状态过滤。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任务详情列表可选择已完成自评的网站在线预览自评报告、下载自评报告。可选择已完成考评的网站在线预览考评报告、下载考评报告。</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修改任务：可对未启动任务进行修改，可修改任务名称、任务负责人、年份、自评周期、考评周期等基本信息。可修改任务绑定指标，可更改考评对象。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删除任务：网站主管单位可对未启动任务进行删除，删除后任务对应指标绑定关系解除。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发布任务：任务创建完成后可发布任务，任务发布后各被考评网站主办单位登录政府网站集约化平台可查看自评任务。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网站主管单位创建任务后可选择手动启动任务，也可选择等待到达自评开始日期系统自动启动。任务启动后系统将自动发送自评通知到各被考评网站主办单位。</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2.1.4　网站自评</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任务：网站主管单位发布任务后，各被考评网站主办单位登录政府网站集约化平台可查看任务。若当前日期未达到自评开始日期则被考评网站主办单位仅能查看自评说明及考评指标，若当前日期到达自评开始日期则网站主办单位可开始自评。</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任务自评：网站主办单位及自评专员收到自评通知后可登陆政府网站集约化平台进行网站自评。</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网站自评时自评专员根据考评指标，对每一个指标根据网站情况进行填写自评得分、填写对应栏目、自评说明、上传附件及截图等。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网站自评界面采用浏览器内置编辑器，支持插入图片和图片说明，支持文字样式、颜色、排版调整，支持一件排版、一件纠错等功能。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上传附件应支持Word、PDF、Excel等常见文件，支持ZIP、RAR等常见压缩包格式。上传附件至少支持50M以内文件上传。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自评提交：网站主办单位完成自评后可选择提交自评数据，若不提交则自评周期结束后系统将自动提交。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自评报告：自评数据提交后，系统自动生成自评报告。网站主办单位可在自评任务列表选择任务在线览自评报告、下载自评报告。网站主管单位可在网站考评任务详情中在线预览自评报告、可下载自评报告。</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2.1.5　网站考评</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查看任务：考评任务启动后，网站主管单位及考评专员可随时登录政府网站集约化平台查看各被考评单位自评进度。</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考评打分：考评专员可选择自评完成网站进行考评打分，可选择考评进行中的网站继续考评打分。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考评专员根据自评提交数据针对考评指标对每一个指标进行考评，考评过程中需对每个指标填写考评得分、考评说明、对应栏目、上传附件等。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网站考评界面采用浏览器内置编辑器，支持插入图片和图片说明，支持文字样式、颜色、排版调整，支持一件排版、一件纠错等功能。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上传附件应支持Word、PDF、Excel等常见文件，支持ZIP、RAR等常见压缩包格式。上传附件至少支持50M以内文件上传。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考评报告：考评打分完成，提交数据后系统将根据考评的结果自动生成考评报告。</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网站主管单位可对每一个被考评网站的考评报告在线预览或下载，网站主办单位可在线预览考评报告、下载考评报告。</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2.1.6　考核结果公布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查看自评数据：网站主管单位在自评周期结束后，可查看各网站各指标自评得分汇总，可查看各指标项自评得分排名、可查看各网站自评总分排名。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查看考评数据：网站主管单位在考评周期结束后，可查看各网站各指标考评得分汇总，可查看各指标项考评得分排名、可查看各网站考评总分排名。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评估报告撰写：网站主管单位在考评结束后，可根据自评数据、考评数据在线编辑网站绩效考核评估报告。编辑界面采用浏览器内置编辑器，支持插入图片和图片说明，支持文字样式、颜色、排版调整，支持一件排版、一件纠错等功能。编辑完成可在线预览、可下载到本地。也可选择下载报告模板到本地，编辑完成后再上传，上传报告支持在线预览。</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评估报告发布：网站主管单位在编辑完成网站绩效考核评估报告后可选择发布，网站绩效考核评估报告发布后将在政府网站集约化平台公共首页展示。</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279" w:name="_Toc468886073"/>
      <w:bookmarkStart w:id="280" w:name="_Toc497465349"/>
      <w:r>
        <w:rPr>
          <w:rFonts w:eastAsia="方正仿宋_GBK"/>
          <w:bCs/>
          <w:snapToGrid w:val="0"/>
          <w:color w:val="auto"/>
          <w:sz w:val="32"/>
          <w:szCs w:val="32"/>
          <w:highlight w:val="none"/>
        </w:rPr>
        <w:t>2.2　内容保障绩效评估</w:t>
      </w:r>
      <w:bookmarkEnd w:id="279"/>
      <w:bookmarkEnd w:id="28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内容保障绩效评估通过考评指标项选择、评估指标项权重划分、考评体系制定、数据统计等过程对下级部门及网站编辑个人绩效进行绩效考核，并最终生成单位绩效排名、个人绩效排名。</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30" o:spt="75" type="#_x0000_t75" style="height:327.45pt;width:318.05pt;" o:ole="t" filled="f" o:preferrelative="t" stroked="f" coordsize="21600,21600">
            <v:path/>
            <v:fill on="f" focussize="0,0"/>
            <v:stroke on="f" joinstyle="miter"/>
            <v:imagedata r:id="rId32" o:title=""/>
            <o:lock v:ext="edit" aspectratio="t"/>
            <w10:wrap type="none"/>
            <w10:anchorlock/>
          </v:shape>
          <o:OLEObject Type="Embed" ProgID="Visio.Drawing.11" ShapeID="_x0000_i1030" DrawAspect="Content" ObjectID="_1468075730">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内容保障绩效评估业务图</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2.2.1　指标库维护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对绩效考评基础指标进行日常维护，例如报送量、报送长稿件量、报送图片稿件量、报送附件稿件量、报送稿件驳回量、报送稿件浏览量、报送稿件评论数、报送稿件评分等。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支持根据实际情况增加新的考评指标到指标库，支持对指标名称、指标说明、指标默认权重等内容调整，支持落后指标从指标库中清除。</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2.2.2　考评指标体系制定</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制定指标体系需给指标体系选择基础指标，需对基础指标默认权重进行调整以确保整个考评指标体中所有考评指标权重之和为100。</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考评指标体系制定完成并启用后，底层数据处理系统将按照最新启用的考评指标体系进行统计考核。支持旧指标重新启用，重新启用后将按照当前启用指标进行统计考核。</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支持历史考评指标体系查看，可查看其基础指标构成、基础指标权重、启用时间、制作人等信息。</w:t>
      </w:r>
    </w:p>
    <w:p>
      <w:pPr>
        <w:numPr>
          <w:ilvl w:val="5"/>
          <w:numId w:val="0"/>
        </w:numPr>
        <w:adjustRightInd w:val="0"/>
        <w:snapToGrid w:val="0"/>
        <w:spacing w:line="570" w:lineRule="exact"/>
        <w:ind w:firstLine="640" w:firstLineChars="200"/>
        <w:outlineLvl w:val="5"/>
        <w:rPr>
          <w:rFonts w:eastAsia="方正仿宋_GBK"/>
          <w:bCs/>
          <w:snapToGrid w:val="0"/>
          <w:color w:val="auto"/>
          <w:sz w:val="32"/>
          <w:szCs w:val="32"/>
          <w:highlight w:val="none"/>
        </w:rPr>
      </w:pPr>
      <w:r>
        <w:rPr>
          <w:rFonts w:eastAsia="方正仿宋_GBK"/>
          <w:bCs/>
          <w:snapToGrid w:val="0"/>
          <w:color w:val="auto"/>
          <w:sz w:val="32"/>
          <w:szCs w:val="32"/>
          <w:highlight w:val="none"/>
        </w:rPr>
        <w:t>2.2.3　考核排名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以绩效考核指标体系作为考核标准，支持按月度/季度/年度对下级部门、网站采编人员绩效考核排名查询。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可按照绩效评分对下级各单位绩效进行排名，可查看各单位各指标项详细得分情况，得分详情中可按个指标项得分情况进行排名。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可按照单位划分对单位内部网站采编人员个人绩效考核得分进行排名，可查看各单位各指标项详细得分情况，得分详情中可按个指标项得分情况进行排名。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可对下级单位所有采编人员个人绩效得分进行统一排名，可查看各单位各指标项详细得分情况，得分详情中可按个指标项得分情况进行排名。</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81" w:name="_Toc535228001"/>
      <w:r>
        <w:rPr>
          <w:rFonts w:eastAsia="方正仿宋_GBK"/>
          <w:bCs/>
          <w:snapToGrid w:val="0"/>
          <w:color w:val="auto"/>
          <w:sz w:val="32"/>
          <w:szCs w:val="32"/>
          <w:highlight w:val="none"/>
        </w:rPr>
        <w:t>3.运维监控平台</w:t>
      </w:r>
      <w:bookmarkEnd w:id="28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对服务器、网络、数据库、任务、预警等进行日常监控，帮助政府网站集约化平台运维人员实时掌握服务器、网络、数据库及应用系统运行情况，保障政府网站集约化平台正常运维。</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3.1　服务监控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监测政府网站集约化平台各应用服务的运行状态，包括注册状态、申请情况、用户数量、运行状态、IT资源消耗等，并提供图形化展示。可设定敏感状态告警机制，例如计算资源不足、异常操作、注册审核异常等。如出现异常或访问不通，及时预警。“统一服务治理”可以使用本功能监测应用服务运行状态。</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3.2　IT资源监控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对云平台的资源负载情况，如：磁盘使用情况、内存使用情况、CPU使用情况等进行实时监控，对磁盘空间不足、内存不足、CPU使用率过高等情况进行及时预警。</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3.3　任务监控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各应用服务中发布任务所产生的图片、文件、视频、模板等资源进行实时监控，同时对发布任务中各类资源的数据传输情况、网络占用情况及任务的平均处理时长进行实时监控。发布任务过程中数据传输过慢、任务处理时间过长等要进行实时预警。</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任务跟踪：根据任务id或任务名称模糊查询相关任务，点击任务，显示任务执行各个阶段的用时。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发布任务执行情况：统计各类型发布任务，在各时间段内执行的数量，以曲线图形式展示。同时，显示任务的总数量与任务失败的总数量。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上传任务执行情况：统计各时间段内任务执行的数量、任务成功的数量、任务失败的数量。同时，展示日期内任务的总数与任务失败的总数。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任务处理平均时间：以仪表盘形式展示当前统计时间内发布任务与分发任务的平均处理时间。</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处理最慢任务top30：显示统计时间内任务执行速度最慢的前30条。</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3.4　数据监控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接口使用情况监控：对政府网站集约化平台的接口数量、各接口的调用次数及各接口的运行状态进行实时监控，对接口调用出现异常或已停止工作的情况进行及时预警。管理员可通过预警情况查看相关接口状态并进行修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数据资源情况监控：对政府网站集约化平台上的网页文件、视频、图片、附件、碎片文件等各类资源的储存量及数据更新进行实时监控。对系统产生的冗余文件进行及时处理。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平台用户数量监控：对政府网站集约化平台上的用户数量、用户分布情况、用户访问情况进行实时监控。</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3.5　监控预警</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创建预警事件：根据阈值设置生成预警事件信息服务进入系统后台服务，并可定时执行。</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预警事件：查看预警事件列表信息。</w:t>
      </w:r>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snapToGrid w:val="0"/>
          <w:color w:val="auto"/>
          <w:sz w:val="32"/>
          <w:szCs w:val="32"/>
          <w:highlight w:val="none"/>
        </w:rPr>
      </w:pPr>
      <w:bookmarkStart w:id="282" w:name="_Toc1811273"/>
      <w:bookmarkStart w:id="283" w:name="_Toc16368"/>
      <w:bookmarkStart w:id="284" w:name="_Toc12473"/>
      <w:bookmarkStart w:id="285" w:name="_Toc536611173"/>
      <w:bookmarkStart w:id="286" w:name="_Toc535228002"/>
      <w:bookmarkStart w:id="287" w:name="_Toc536773527"/>
      <w:r>
        <w:rPr>
          <w:rFonts w:hint="eastAsia" w:ascii="方正楷体_GBK" w:eastAsia="方正楷体_GBK"/>
          <w:snapToGrid w:val="0"/>
          <w:color w:val="auto"/>
          <w:sz w:val="32"/>
          <w:szCs w:val="32"/>
          <w:highlight w:val="none"/>
        </w:rPr>
        <w:t>（十）用户行为分析系统</w:t>
      </w:r>
      <w:bookmarkEnd w:id="282"/>
      <w:bookmarkEnd w:id="283"/>
      <w:bookmarkEnd w:id="284"/>
      <w:bookmarkEnd w:id="285"/>
      <w:bookmarkEnd w:id="286"/>
      <w:bookmarkEnd w:id="28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体验分析系统通过实时采集政府网站或政务APP在线用户行为数据，发现用户行为规律，从而客观揭示网上政务服务访问和办理过程的内在图景，洞察用户体验提升需求，为政府构建“更高效、更便捷、更智能”的政务服务提供有力数据支撑。</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88" w:name="_Toc535228003"/>
      <w:r>
        <w:rPr>
          <w:rFonts w:eastAsia="方正仿宋_GBK"/>
          <w:bCs/>
          <w:snapToGrid w:val="0"/>
          <w:color w:val="auto"/>
          <w:sz w:val="32"/>
          <w:szCs w:val="32"/>
          <w:highlight w:val="none"/>
        </w:rPr>
        <w:t>1.概览</w:t>
      </w:r>
      <w:bookmarkEnd w:id="28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集中展示用户所关注的关键数据，进行整体汇总分析。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主管单位在概览界面不仅可通过迁徙图了解所辖区域网站总体访问情况，还可直观了解到下级各网站访客数、浏览量及排名。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主办单位在概览界面不仅可了解本网站总体访问情况、访客来源地域及排名还可了解网站流量变化趋势、网站最受欢迎栏目TOP5、网站受欢迎文章TOP5、网站热门服务TOP5及网站热搜关键词。</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89" w:name="_Toc535228004"/>
      <w:r>
        <w:rPr>
          <w:rFonts w:eastAsia="方正仿宋_GBK"/>
          <w:bCs/>
          <w:snapToGrid w:val="0"/>
          <w:color w:val="auto"/>
          <w:sz w:val="32"/>
          <w:szCs w:val="32"/>
          <w:highlight w:val="none"/>
        </w:rPr>
        <w:t>2.热力图</w:t>
      </w:r>
      <w:bookmarkEnd w:id="28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热力图以特殊高亮、数据图表形式显示用户热衷的页面区域。采用颜色的深浅来表明页面的哪些部分吸引了大多数用户的注意，采用数据的形式，展示用户在页面每个链接的点击量，针对不同页面，可展示某一天或一段时间内的数据，可对不同页面或不同日期内数据进行比对，从而更好的了解用户点击习惯和用户真实需求。</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90" w:name="_Toc535228005"/>
      <w:r>
        <w:rPr>
          <w:rFonts w:eastAsia="方正仿宋_GBK"/>
          <w:bCs/>
          <w:snapToGrid w:val="0"/>
          <w:color w:val="auto"/>
          <w:sz w:val="32"/>
          <w:szCs w:val="32"/>
          <w:highlight w:val="none"/>
        </w:rPr>
        <w:t>3.实时分析</w:t>
      </w:r>
      <w:bookmarkEnd w:id="29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最近30分钟内数据的统计分析，通过实时访客、实时画像、实时表单、实时地域四个角度实时分析展示，便于针对网站开展的活动或新上的专题，实时查看访问效果；刚刚开通服务时即刻查看采集到的用户行为数据。</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91" w:name="_Toc535228006"/>
      <w:r>
        <w:rPr>
          <w:rFonts w:eastAsia="方正仿宋_GBK"/>
          <w:bCs/>
          <w:snapToGrid w:val="0"/>
          <w:color w:val="auto"/>
          <w:sz w:val="32"/>
          <w:szCs w:val="32"/>
          <w:highlight w:val="none"/>
        </w:rPr>
        <w:t>4.流量分析</w:t>
      </w:r>
      <w:bookmarkEnd w:id="29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从不同时间维度展示网站的访问人数和浏览量等信息。要求：按小时、每日、每月分析访客数、浏览量、IP数的趋势；灵活指定不同时间段，分析浏览趋势 、新访客趋势 、活跃访客趋势及数据对比变化情况。</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92" w:name="_Toc535228007"/>
      <w:r>
        <w:rPr>
          <w:rFonts w:eastAsia="方正仿宋_GBK"/>
          <w:bCs/>
          <w:snapToGrid w:val="0"/>
          <w:color w:val="auto"/>
          <w:sz w:val="32"/>
          <w:szCs w:val="32"/>
          <w:highlight w:val="none"/>
        </w:rPr>
        <w:t>5.访客分析</w:t>
      </w:r>
      <w:bookmarkEnd w:id="292"/>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维度组合对用户进行细分和描述（如用户来源、用户画像等），了解用户的访问规律和喜好，发现政府网站在信息公开、互动交流、在线办事方面的服务热点和服务短板。画像分析：包含用户画像、实时分析、访客分析、访客轨迹分析、跳出率、活跃度、留存度、创建用户群等；来源分析：包含来源媒介、来源网站、来源页面、直接访问、搜索引擎、搜索关键词、实时地域、地域分析、客户端环境等。</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93" w:name="_Toc535228008"/>
      <w:r>
        <w:rPr>
          <w:rFonts w:eastAsia="方正仿宋_GBK"/>
          <w:bCs/>
          <w:snapToGrid w:val="0"/>
          <w:color w:val="auto"/>
          <w:sz w:val="32"/>
          <w:szCs w:val="32"/>
          <w:highlight w:val="none"/>
        </w:rPr>
        <w:t>6.页面分析</w:t>
      </w:r>
      <w:bookmarkEnd w:id="29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用户访问的信息公开、互动交流、办事指南等页面进行监测分析。受访页面：对网站浏览页面集中展示，查看网页热点图，可分析网站进入页面、离开页面、外链页面等，支持从访客数、流失量、访问时长、跳出率、退出率等不同维度对每个页面进行分析；可筛选查询大于特定浏览量的页面；受访域名：对网站内所有被访问域名排名，从访客数、浏览量、平均浏览页数、访问时长等不同维度分析，并记录该页面历史访客数。</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94" w:name="_Toc535228009"/>
      <w:r>
        <w:rPr>
          <w:rFonts w:eastAsia="方正仿宋_GBK"/>
          <w:bCs/>
          <w:snapToGrid w:val="0"/>
          <w:color w:val="auto"/>
          <w:sz w:val="32"/>
          <w:szCs w:val="32"/>
          <w:highlight w:val="none"/>
        </w:rPr>
        <w:t>7.公开分析</w:t>
      </w:r>
      <w:bookmarkEnd w:id="294"/>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针对政府或政务网站的公开栏目，利用采集到访客数据做专题分析；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公开分析：公开栏目首页热力图、热门分类、热门文章、重点分析、公开年报（数据的获取依赖网站公开栏目的url识别规则及公开文章的识别规则）；</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依申请公开：流程转化、表单转化、表单漏斗；</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用于统计展示填写依申请公开表的访客趋势、转化报告等数据，展示效果和功能同二级菜单“表单分析”下的“表单转化”保持一致，只是从网站的众多表单中，把依申请公开的表单单独拿出来展示。</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295" w:name="_Toc535228010"/>
      <w:r>
        <w:rPr>
          <w:rFonts w:eastAsia="方正仿宋_GBK"/>
          <w:bCs/>
          <w:snapToGrid w:val="0"/>
          <w:color w:val="auto"/>
          <w:sz w:val="32"/>
          <w:szCs w:val="32"/>
          <w:highlight w:val="none"/>
        </w:rPr>
        <w:t>8.互动分析</w:t>
      </w:r>
      <w:bookmarkEnd w:id="29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针对政府网站的互动栏目，利用采集到的用户行为数据做专门具体分析；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互动总览：数据总览、互动热图；</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展示互动总栏目的热力效果图，数据总览，暂时访客数、页面浏览量、互动次数、参与热度等数据，展示本省及地市TOP10数据；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调查征集：网上调查、在线征集；</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针对互动栏目下的网上调查或在线征集活动，展示开展活动次数、访客数、参与热度、浏览量、提交数、本地网民覆盖率等数据；</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领导信箱：信箱流量、流程分析、表单分析；</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针对互动栏目下的领导信箱，展示访客数、参与热度、浏览量、写信人数、本地网民覆盖率等数据；</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网上咨询：咨询流量、流程分析、表单分析；</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针对互动栏目下的网上咨询，展示访客数、浏览量、参与热度、写信人数、本地网民覆盖率等数据；</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在线访谈：访谈流量</w:t>
      </w:r>
      <w:r>
        <w:rPr>
          <w:rFonts w:hint="eastAsia" w:eastAsia="方正仿宋_GBK"/>
          <w:snapToGrid w:val="0"/>
          <w:color w:val="auto"/>
          <w:sz w:val="32"/>
          <w:szCs w:val="32"/>
          <w:highlight w:val="none"/>
        </w:rPr>
        <w:t>。</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96" w:name="_Toc535228011"/>
      <w:r>
        <w:rPr>
          <w:rFonts w:eastAsia="方正仿宋_GBK"/>
          <w:bCs/>
          <w:snapToGrid w:val="0"/>
          <w:color w:val="auto"/>
          <w:sz w:val="32"/>
          <w:szCs w:val="32"/>
          <w:highlight w:val="none"/>
        </w:rPr>
        <w:t>9.办事分析</w:t>
      </w:r>
      <w:bookmarkEnd w:id="296"/>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互联网+政务服务”、政府信息公开、互动交流等进行网上办理过程、表单填写体验等数据进行监测、分析和统计展示。利用漏斗图形的方式，分析一个多步骤过程中每一步的转化与流失情况，直观展示每个节点数据；还原用户访问轨迹、表单填写过程，真实再现用户的原始操作场景。功能包含： 页面漏斗、办事漏斗 、表单漏斗 、办事节点定义、表单转化 、统计分析等。注册、登录、网上办事事项、依申请公开、领导信箱、在线咨询等类似于一个办事应用。</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97" w:name="_Toc535228012"/>
      <w:r>
        <w:rPr>
          <w:rFonts w:hint="eastAsia" w:eastAsia="方正仿宋_GBK"/>
          <w:bCs/>
          <w:snapToGrid w:val="0"/>
          <w:color w:val="auto"/>
          <w:sz w:val="32"/>
          <w:szCs w:val="32"/>
          <w:highlight w:val="none"/>
        </w:rPr>
        <w:t>10</w:t>
      </w:r>
      <w:r>
        <w:rPr>
          <w:rFonts w:eastAsia="方正仿宋_GBK"/>
          <w:bCs/>
          <w:snapToGrid w:val="0"/>
          <w:color w:val="auto"/>
          <w:sz w:val="32"/>
          <w:szCs w:val="32"/>
          <w:highlight w:val="none"/>
        </w:rPr>
        <w:t>.在线报告</w:t>
      </w:r>
      <w:bookmarkEnd w:id="297"/>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按月统计网站用户体验行为数据并生成报告，提供报告在线预览及下载生成Word文件，便于数据利用及工作汇报。</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98" w:name="_Toc535228013"/>
      <w:r>
        <w:rPr>
          <w:rFonts w:eastAsia="方正仿宋_GBK"/>
          <w:bCs/>
          <w:snapToGrid w:val="0"/>
          <w:color w:val="auto"/>
          <w:sz w:val="32"/>
          <w:szCs w:val="32"/>
          <w:highlight w:val="none"/>
        </w:rPr>
        <w:t>11.APP监测</w:t>
      </w:r>
      <w:bookmarkEnd w:id="298"/>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对政务APP的用户和运营情况进行监测和分析，形成全平台APP应用情况全景图。了解APP用户访问热点、忠诚度、跳出率、活跃度留存度以及地域分布等情况。</w:t>
      </w:r>
    </w:p>
    <w:p>
      <w:pPr>
        <w:numPr>
          <w:ilvl w:val="3"/>
          <w:numId w:val="0"/>
        </w:numPr>
        <w:tabs>
          <w:tab w:val="left" w:pos="1418"/>
        </w:tabs>
        <w:adjustRightInd w:val="0"/>
        <w:snapToGrid w:val="0"/>
        <w:spacing w:line="544" w:lineRule="exact"/>
        <w:ind w:firstLine="640" w:firstLineChars="200"/>
        <w:outlineLvl w:val="3"/>
        <w:rPr>
          <w:rFonts w:eastAsia="方正仿宋_GBK"/>
          <w:bCs/>
          <w:snapToGrid w:val="0"/>
          <w:color w:val="auto"/>
          <w:sz w:val="32"/>
          <w:szCs w:val="32"/>
          <w:highlight w:val="none"/>
        </w:rPr>
      </w:pPr>
      <w:bookmarkStart w:id="299" w:name="_Toc535228014"/>
      <w:r>
        <w:rPr>
          <w:rFonts w:eastAsia="方正仿宋_GBK"/>
          <w:bCs/>
          <w:snapToGrid w:val="0"/>
          <w:color w:val="auto"/>
          <w:sz w:val="32"/>
          <w:szCs w:val="32"/>
          <w:highlight w:val="none"/>
        </w:rPr>
        <w:t>12.用户行为分析后台功能设计</w:t>
      </w:r>
      <w:bookmarkEnd w:id="299"/>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12.1　用户行为分析</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来源及终端分析：获取用户终端信息，展现终端设备（PC、移动端）、操作系统、浏览器的使用比例，记录用户访问IP，统计用户访问的全国地区分布情况，统计用户访问量的趋势；记录用户特征码区分新老用户，以周、月为单位进行分析用户总量增长趋势及新增用户趋势，作为并发参考提供服务能力拓展依据。</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访问趋势分析：通过不同时间用户的用户访问量，绘制站点访问趋势，发现用户访问的高峰低谷分布规律，结合服务调整、上线、改版等重要节点，分析访问流量趋势，分析服务与流量的关联度，作为服务推送和上线时间节点的依据。</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用户访问深度分析：记录用户访问时长及访问轨迹，通过模型计算生成用户活跃度、平均访问时长、用户忠诚度等深度内容，分析注册用户和非注册用户的浏览习惯，为个性化服务推荐提供优化支撑。</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检索数据分析：检索数据分析分为两部分，第一部分为访问来源，获取用户进入站点的搜索引擎、关键字信息，分析用户入口来源以及热词，提供服务推广依据；第二部记录站内检索关键字和日志，分析搜索最多的关键字、分析搜索关键字轨迹、分析搜索关键字的搜索贡献量等指标，获取关键字和搜索结果的关联关系，提高检索准确性，优化检索推荐，准确把握用户需求。</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12.2　用户画像</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用户全景分析：利用对用户年龄段、性别、访问来源（地址</w:t>
      </w:r>
      <w:r>
        <w:rPr>
          <w:rFonts w:eastAsia="方正仿宋_GBK"/>
          <w:snapToGrid w:val="0"/>
          <w:color w:val="auto"/>
          <w:spacing w:val="-4"/>
          <w:sz w:val="32"/>
          <w:szCs w:val="32"/>
          <w:highlight w:val="none"/>
        </w:rPr>
        <w:t>栏输入、搜索引擎等）、IP来源，使用终端，用户访问轨迹，站内检索关键字，进行可视化展现，可以依据在线状态，用户名，地域、IP地址进行查询用户，全景展现用户在服务使用周期内的情</w:t>
      </w:r>
      <w:r>
        <w:rPr>
          <w:rFonts w:eastAsia="方正仿宋_GBK"/>
          <w:snapToGrid w:val="0"/>
          <w:color w:val="auto"/>
          <w:sz w:val="32"/>
          <w:szCs w:val="32"/>
          <w:highlight w:val="none"/>
        </w:rPr>
        <w:t>况。</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行为建模：以用户体验监测作为数据基础，通过行为建模，精炼用户特征标签，作为服务推送和推荐的依据。</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用户访问轨迹分析：记录用户访问模块及时间，生成用户访问路径，提供优化网站格局及服务优先级的依据。</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自然人和法人全景画像：根据服务使用情况，获取访问信息、办件信息、评价信息、咨询信息、投诉信息，构建自然人画像；根据法人注册资本、地址分布、办件信息，构建法人全景画像。</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12.3　服务使用分析</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站点服务概括：能够层层深入挖掘，分析各服务站点的访问情况，每个服务站点的数据能够自定义。点击每层的数据，能够查询详细走势或者排名。服务站点排行能够统计各服务站点的页面浏览量、独立用户数、IP地址、省份和最受关注页面等。</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服务使用分析：为考核互联网政务服务门户中对在线服务的成效度，系统统计全区各政务服务平台在线服务办理结果统计与展现，将从以下四个维度对全区、各部门、各地区在线服务办理时效进行考核与监督。按全区、各部门、各地区统计已实现网上申报的权力事项，以及占总事项数量的对比率、排名的展现。</w:t>
      </w:r>
    </w:p>
    <w:p>
      <w:pPr>
        <w:numPr>
          <w:ilvl w:val="4"/>
          <w:numId w:val="0"/>
        </w:numPr>
        <w:adjustRightInd w:val="0"/>
        <w:snapToGrid w:val="0"/>
        <w:spacing w:line="544"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12.4　优化支撑</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分析项管理：系统提供分析项管理功能，分析项主要基于用户体验监测项对优化支撑分析内容项目进行动态管理，根据分析项的调整实时调整优化支撑分析数据展示内容。</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区域分析管理：系统提供区域分析管理功能，主要提供指定区域设置和灵活的区域选取功能。</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指定区域设置：可以对某个页面进行区域划分，划分好的区域根据分析项设置可以进行指定区域实时检验数据分析。</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区域选取：用户可以通过鼠标在页面进行自由区域选取，选取后选择数据分析项进行该区域用户检验数据分析。</w:t>
      </w:r>
    </w:p>
    <w:p>
      <w:pPr>
        <w:numPr>
          <w:ilvl w:val="2"/>
          <w:numId w:val="0"/>
        </w:numPr>
        <w:tabs>
          <w:tab w:val="left" w:pos="1418"/>
          <w:tab w:val="left" w:pos="1560"/>
          <w:tab w:val="left" w:pos="1844"/>
        </w:tabs>
        <w:adjustRightInd w:val="0"/>
        <w:snapToGrid w:val="0"/>
        <w:spacing w:line="544" w:lineRule="exact"/>
        <w:ind w:firstLine="640" w:firstLineChars="200"/>
        <w:outlineLvl w:val="2"/>
        <w:rPr>
          <w:rFonts w:ascii="方正楷体_GBK" w:eastAsia="方正楷体_GBK"/>
          <w:bCs/>
          <w:snapToGrid w:val="0"/>
          <w:color w:val="auto"/>
          <w:sz w:val="32"/>
          <w:szCs w:val="32"/>
          <w:highlight w:val="none"/>
        </w:rPr>
      </w:pPr>
      <w:bookmarkStart w:id="300" w:name="_Toc13469"/>
      <w:bookmarkStart w:id="301" w:name="_Toc56"/>
      <w:bookmarkStart w:id="302" w:name="_Toc1811274"/>
      <w:bookmarkStart w:id="303" w:name="_Toc536611174"/>
      <w:bookmarkStart w:id="304" w:name="_Toc536773528"/>
      <w:bookmarkStart w:id="305" w:name="_Toc30388"/>
      <w:bookmarkStart w:id="306" w:name="_Toc535228015"/>
      <w:r>
        <w:rPr>
          <w:rFonts w:hint="eastAsia" w:ascii="方正楷体_GBK" w:eastAsia="方正楷体_GBK"/>
          <w:snapToGrid w:val="0"/>
          <w:color w:val="auto"/>
          <w:sz w:val="32"/>
          <w:szCs w:val="32"/>
          <w:highlight w:val="none"/>
        </w:rPr>
        <w:t>（十一）大数据分析和量化评价</w:t>
      </w:r>
      <w:bookmarkEnd w:id="300"/>
      <w:r>
        <w:rPr>
          <w:rFonts w:hint="eastAsia" w:ascii="方正楷体_GBK" w:eastAsia="方正楷体_GBK"/>
          <w:snapToGrid w:val="0"/>
          <w:color w:val="auto"/>
          <w:sz w:val="32"/>
          <w:szCs w:val="32"/>
          <w:highlight w:val="none"/>
        </w:rPr>
        <w:t>系统</w:t>
      </w:r>
      <w:bookmarkEnd w:id="301"/>
      <w:bookmarkEnd w:id="302"/>
      <w:bookmarkEnd w:id="303"/>
      <w:bookmarkEnd w:id="304"/>
      <w:bookmarkEnd w:id="305"/>
      <w:bookmarkEnd w:id="306"/>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随着政府网站集约化平台使用将积累大量的使用数据，通过数据聚类、分类、语义分析、搜索、过滤、数据标签、关联词、分词等数据挖掘手段，对政府网站集约化平台用户行为、网站内容、网站传播、领导影响力传播、舆情、政声传递、决策等进行量化分析，从而为政府网站集约化平台的优化改进提供可靠的数据支撑。</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数据分析流程说明：</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86400" cy="2381885"/>
            <wp:effectExtent l="0" t="0" r="0" b="1841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3"/>
                    <a:stretch>
                      <a:fillRect/>
                    </a:stretch>
                  </pic:blipFill>
                  <pic:spPr>
                    <a:xfrm>
                      <a:off x="0" y="0"/>
                      <a:ext cx="5486400" cy="238188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数据分析流程</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bookmarkStart w:id="307" w:name="_Toc535228016"/>
      <w:r>
        <w:rPr>
          <w:rFonts w:eastAsia="方正仿宋_GBK"/>
          <w:bCs/>
          <w:snapToGrid w:val="0"/>
          <w:color w:val="auto"/>
          <w:sz w:val="32"/>
          <w:szCs w:val="32"/>
          <w:highlight w:val="none"/>
        </w:rPr>
        <w:t>1.用户行为分析</w:t>
      </w:r>
      <w:bookmarkEnd w:id="307"/>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行为分析主要从访问者地理来源、访问者渠道来源、搜索引擎来源、访问者系统环境、搜索引擎可见性、用户粘度、页面访问、站内搜索等方面基于当前基于用户行为，进行量化分析，为网站改进优化提供支撑。</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概况分析：通过网站的整体数据、不同终端占比以及网站访客明细分析，在线访客的画像标签以及访问明细等数据分析，访客关注的页面、页面文字内容，通过热点图进行可视化分析，访客的来源以及所产生的页面转化等分析，从而有针对性的去了解网站重要的分析数据。</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流量分析：通过访客数、浏览量、新访客以及活跃访客的趋势分析，24小时、每日、每月以及每年的访问量变化趋势分析，访问量的构成以及产生变化的原因分析，从而了解访客趋势，浏览量趋势以及流量变化的原因。</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用户来源分析：通过访客的来源渠道，来源媒介，来源网站数据分析，搜索引擎贡献的流量以及对应搜索关键词分析，从而了解流量的贡献来源，搜索引擎以及搜索关键词。</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访问页面分析：通过各种页面以及页面分组的访问量情况分析，访客访问数据流的变化分析，页面上的文字的点击情况分析。为网站受访页面的页面分组、进入页面、页面内容、页面标签以及页面版本优化提供依据。</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访客分析：通过访客的跳出率、忠诚度、回访频率、访问时长数据分析，访客的活跃度以及留存度数据分析；访客的地域属性、页面访问速度、设备终端以及客户端的环境数据分析；从而了解访客的访问规律，了解访客忠诚度、跳出率、活跃度留存度以及地域分布。</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用户目标分析：通过访客填写表单的转化率，针对访客填写的每一步进行分析，访客在页面上触发的事件次数分析，访客在页面流的转化数据分析，从而了解访客关注的重点及对分析页面目标完成度；</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APP使用分析：通过APP的使用趋势，版本分布，地域分布以及终端和运营商的基础指标分析，APP的启动次数，使用时长，回访次数以及页面分析，APP的活跃度和留存度分析，APP的各种渠道转化效果分析，APP的崩溃、网络异常、请求性能以及服务器响应情况分析，从而了解APP访客来源，启动，使用，服务以及使用体验和行为。</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bookmarkStart w:id="308" w:name="_Toc535228017"/>
      <w:r>
        <w:rPr>
          <w:rFonts w:eastAsia="方正仿宋_GBK"/>
          <w:bCs/>
          <w:snapToGrid w:val="0"/>
          <w:color w:val="auto"/>
          <w:sz w:val="32"/>
          <w:szCs w:val="32"/>
          <w:highlight w:val="none"/>
        </w:rPr>
        <w:t>2.网站内容分析</w:t>
      </w:r>
      <w:bookmarkEnd w:id="308"/>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政府网站集约化平台按照数据标签实现自动聚类方式，对网站各类内容更新量、更新内容热度、更新内容正确性及网站内容保障性等进行分析从而为网站内容建设优化提供数据分析支撑和方向。</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内容更新分析：通过对信息公开、通知公告、政策法规等各类内容定期更数量进行统计及对比分析，从而了解政府网站各类信息更新数总体情况。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网站更新量分析：通过对依托政府网站集约化平台开设网站定期更新内容总量分心，按级别对网站更新量对比分析，按地域对网站内容更新量对比分析。从而了解网站网站内容更新特点及地域分布情况。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内容热度分析：通过对网站内容搜索数据分析，网站内容评论次数分析、网站内容浏览次数分析、网站内容转载次数分析，从而了解网民对政府网站建设内容关注情况。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内容正确性分析：通过对网站内容错别字出现情况分析、敏感词出现情况分析、领导姓名出现情况分析、色情名词出现情况分析等。从而了解政府网站内容建设正确情况。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内容准确性分析：通过对政府网站机构设置及职能内容分析，动态要闻内容分析，通知公告、政策文件内容分析，规划计划、人事信息内容分析等等，从而了解政府网站内容建设准确情况。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内容保障性分析：通过对政府网站关键栏目更新情况分析，出现空白栏目情况分析，互动回应栏目建设及使用情况分析，从而了解政府网站内容建设保障情况。</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bookmarkStart w:id="309" w:name="_Toc535228018"/>
      <w:r>
        <w:rPr>
          <w:rFonts w:eastAsia="方正仿宋_GBK"/>
          <w:bCs/>
          <w:snapToGrid w:val="0"/>
          <w:color w:val="auto"/>
          <w:sz w:val="32"/>
          <w:szCs w:val="32"/>
          <w:highlight w:val="none"/>
        </w:rPr>
        <w:t>3.网站传播影响力分析</w:t>
      </w:r>
      <w:bookmarkEnd w:id="309"/>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通过搜索引擎、网络媒体、社交媒体等多中传播途径数据进行分析，从而得出网站综合传播指数，为网站传播影响力提高提供数据分析支撑和方向。</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搜索引擎影响力：对网站在百度、搜狗、谷歌等知名搜索引擎词条收录情况进行分析、对网站在知名搜索引擎搜索结果排名进行分析、对网站在知名搜索引擎中搜索次数、频度进行分析，从而了解网站搜索引擎影响力。</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络媒体影响力：对网站被人民网、CCTV、新华网、新浪、搜狐、腾讯等知名新闻媒体转载量进行分析、对网站被知名新闻媒体正向转载频次进行分析、对网站被知名新闻媒体媒体转载趋势进行分析、对网站知名新闻媒体媒体观点评价进行分析，从而了解网站在媒体传播影响力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社交媒体影响力：对网站官方微博粉丝关注量进行分析、对网站论坛评论情况进行分析、对网站贴吧热议情况进行分析、对网站博客评论情况进行分析、对网站官方微信公众号关注量进行分析，从而了解网站社交媒体影响力。</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网民影响力：对网站议题网民参与度进行分析、对网站议题网民评论情况进行分析、对网站热门内容网民转发情况进行分析，从而了解网站网民影响力。</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bookmarkStart w:id="310" w:name="_Toc535228019"/>
      <w:r>
        <w:rPr>
          <w:rFonts w:eastAsia="方正仿宋_GBK"/>
          <w:bCs/>
          <w:snapToGrid w:val="0"/>
          <w:color w:val="auto"/>
          <w:sz w:val="32"/>
          <w:szCs w:val="32"/>
          <w:highlight w:val="none"/>
        </w:rPr>
        <w:t>4.领导影响力分析</w:t>
      </w:r>
      <w:bookmarkEnd w:id="310"/>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通过搜索引擎、网络媒体、社交媒体等多中传播途径数据进行分析，从而得出网站综合传播指数，为领导影响力传播优化提高提供数据分析支撑和方向。</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搜索引擎影响力：对领导姓名在百度、搜狗、谷歌等知名搜索引擎词条收录情况进行分析、对领导姓名在知名搜索引擎搜索结果排名进行分析、对领导姓名在知名搜索引擎中搜索次数、频度进行分析，从而了解领导搜索引擎影响力。</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络媒体影响力：对领导活动被人民网，CCTV，新华网，新浪，搜狐，腾讯等知名新闻媒体转载量进行分析、对领导活动被知名新闻媒体正向转载频次进行分析、对领导活动被知名新闻媒体媒体转载趋势进行分析、对领导活动被知名新闻媒体媒体观点评价进行分析，从而了解领导媒体传播影响力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社交媒体影响力:对领导活动被知名微博转载情况进行分析、对领导活动被知名论坛评论情况进行分析、对领导活动被贴吧热议情况进行分析、对领导活动被博客转载、评论情况进行分析、对领导活动被知名官方微信公众号转载情况进行分析，从而了解领导社交媒体影响力。</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网民影响力:对领导活动网民参与度进行分析、对领导活动网民评论情况进行分析、对领导活动网民转发情况进行分析，从而了解领导网名影响力。</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bookmarkStart w:id="311" w:name="_Toc535228020"/>
      <w:r>
        <w:rPr>
          <w:rFonts w:eastAsia="方正仿宋_GBK"/>
          <w:bCs/>
          <w:snapToGrid w:val="0"/>
          <w:color w:val="auto"/>
          <w:sz w:val="32"/>
          <w:szCs w:val="32"/>
          <w:highlight w:val="none"/>
        </w:rPr>
        <w:t>5.舆情分析</w:t>
      </w:r>
      <w:bookmarkEnd w:id="311"/>
    </w:p>
    <w:p>
      <w:pPr>
        <w:adjustRightInd w:val="0"/>
        <w:snapToGrid w:val="0"/>
        <w:spacing w:line="596"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通过对国内主流新闻网站（新浪、搜狐等）、政府网站、论坛（天涯、百度贴吧等）、微博（新浪、腾讯等）的监测。并对信息进行统一的过滤、自动分类和处理，使用户能清楚地看到政府相关的热门事件和影响，提供条分缕析、分门别类的舆情信息。监控广西全区相关的社会热点和负面信息，及时发现问题，为政府决策提供参考</w:t>
      </w:r>
      <w:r>
        <w:rPr>
          <w:rFonts w:eastAsia="方正仿宋_GBK"/>
          <w:snapToGrid w:val="0"/>
          <w:color w:val="auto"/>
          <w:sz w:val="32"/>
          <w:szCs w:val="32"/>
          <w:highlight w:val="none"/>
        </w:rPr>
        <w:t>。</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新闻搜索：用户可以输入特定关键字，如领导人、特定地区或机构等，或热门事件及主要相关人物，系统快速的推出与该关键字相关的新闻。</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比较搜索：通过采集互联网的多个搜索引擎，弥补单一搜索引擎数据覆盖面较窄的问题，并且可以在多个搜索引擎中进行比较使用，获取一个事件在不同地域和国家的发展情况。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内容分类：按照事件的性质不同可以自动归类，划分成不同的频道：如经济领域、政治领域、文化领域、社会民生、生态保护等；系统还可对这些聚类事件按照一定热度进行排序。</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热点发现：利用采集工具可以获取到来自论坛、博客、新闻最原始的信息，系统可以在这浩瀚无边的信息海洋中自动发现热点问题，特别是在热点刚刚形成时能及时捕捉。</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关键词发现：对大量文本信息进行智能分词处理，自动发现、提取出事件关键词。点击相应的关键词，系统会推送出与关键词相关的事件信息。</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个性化追踪：提供个性化追踪和专题报道功能，使用户能很清晰地了解事态过程，了解整个事件在网上的传播路径和事件演变过程，特别是事件的源头开始于哪里，又往何处发展，都有轨迹可寻。系统还能通过反追踪源头的地址，破解该源头的IP。</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热点趋势分析：根据新闻文章数及文章在各大网站和社区的传播链进行自动跟踪统计，提供不同时间段（1天、1周、1月等）的热点新闻，并且每条热点新闻还可以查看新闻相关传播链，了解在某一时间段该热点新闻在某些站点的传播数量，这些代表了网络媒体和网友对热点事件关注度。</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事件热度分级：系统对热点事件的热度有相应的等级配置，等级主要分为高级、中级、低级、安全级别，具体等级要根据用户需求来制定调整。</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舆情预警：对于用户所关注的领域或者事件建立科学的分类体系并进行有效结果评估和分析当前的宏观舆情趋势，并给出预警信号，每个舆情分类对应的新闻列表，包括地区、事件、政府响应、信息透明度、政府公信力等讯息以及当前新闻的报警级别等相关信息。</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bookmarkStart w:id="312" w:name="_Toc535228021"/>
      <w:r>
        <w:rPr>
          <w:rFonts w:eastAsia="方正仿宋_GBK"/>
          <w:bCs/>
          <w:snapToGrid w:val="0"/>
          <w:color w:val="auto"/>
          <w:sz w:val="32"/>
          <w:szCs w:val="32"/>
          <w:highlight w:val="none"/>
        </w:rPr>
        <w:t>6.政声传递分析</w:t>
      </w:r>
      <w:bookmarkEnd w:id="312"/>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通过转载量、转播路径、传播范围等对政府文件、政策、号召政声传递情况进行分析。</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政声转载分析：通过政声被直接转载数量进行统计分析并进行排名、对政声二次转载量、三次转载量进行分析，从而了解政声转载情况。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传播路径分析：通过对政声源头目录进行分析，对政声传播深度进行分析、政声传播过程进行分析、对政声传播工具进行分析，从而了解对政声传递源头目录、路径节点、应用工具，为政声传播路径优化提供参考依据。</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bookmarkStart w:id="313" w:name="_Toc535228022"/>
      <w:r>
        <w:rPr>
          <w:rFonts w:eastAsia="方正仿宋_GBK"/>
          <w:bCs/>
          <w:snapToGrid w:val="0"/>
          <w:color w:val="auto"/>
          <w:sz w:val="32"/>
          <w:szCs w:val="32"/>
          <w:highlight w:val="none"/>
        </w:rPr>
        <w:t>7.大屏展示</w:t>
      </w:r>
      <w:bookmarkEnd w:id="313"/>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以管理者、监管者视角，对用户访问行为大数据，通过统一大屏展示系统，提供对自治区政府门户网站日常维护管理、日常访问行为、常态化监测监管等各项业务进行全局性的统一监测、统一指挥、统一调度、统一决策服务。</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060950" cy="6656070"/>
            <wp:effectExtent l="0" t="0" r="6350" b="1143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34"/>
                    <a:stretch>
                      <a:fillRect/>
                    </a:stretch>
                  </pic:blipFill>
                  <pic:spPr>
                    <a:xfrm>
                      <a:off x="0" y="0"/>
                      <a:ext cx="5060950" cy="665607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大数据统计分析大屏展示效果示意</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bookmarkStart w:id="314" w:name="_Toc503650994"/>
      <w:bookmarkStart w:id="315" w:name="_Toc535228023"/>
      <w:r>
        <w:rPr>
          <w:rFonts w:eastAsia="方正仿宋_GBK"/>
          <w:bCs/>
          <w:snapToGrid w:val="0"/>
          <w:color w:val="auto"/>
          <w:sz w:val="32"/>
          <w:szCs w:val="32"/>
          <w:highlight w:val="none"/>
        </w:rPr>
        <w:t>8.运营数据分析</w:t>
      </w:r>
      <w:bookmarkEnd w:id="314"/>
      <w:bookmarkEnd w:id="31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政府网站集约化平台的资源情况、健康情况和访问情况进行不同维度数据统计，以可视化界面展示整体业务数据统计，通过地图、雷达图、条形图、折线图、表格等方式进行展示，让领导和工作人员以最直观的方式查看数据并辅助分析。</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8.1　平台资源情况</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【基数数据】统计平台已有多少应用服务、多少政府部门、多少站点、多少政府用户、多少稿件、多少多媒体文件等资源数据，并分析不同时段的变化趋势。</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【资源排名】对各地区、各网站的信息资源生成情况进行排名。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【信息公开】对信息公开的发布情况和业务变化趋势进行统计分析、网站排名。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【互动交流】对互动交流的互动情况和业务变化趋势进行统计分析、网站排名。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【网上办事】对网上办事的办理情况和业务变化趋势进行统计分析、网站排名。</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8.2　平台健康情况</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【健康指数】对政府网站集约化平台上的所有政府网站健康水平、区域健康水平进行排名。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【网站更新】从网站个体、地域等维度统计分析网站更新情况，特别展示前几名和后几名的清单。</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【问题分析】对站点可用性、访问速度、健康度、错误链接、网站安全、服务不实用等问题进行分析，找出最容易出现的问题是哪些、出现在哪些网站上等。</w:t>
      </w:r>
    </w:p>
    <w:p>
      <w:pPr>
        <w:numPr>
          <w:ilvl w:val="4"/>
          <w:numId w:val="0"/>
        </w:numPr>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8.3　平台访问情况</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【访问排名】对所有网站在不同时段的世界访问量、全国访问量、本地访问量进行排名。</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【热门栏目】展示某时段访问最多的热门栏目。</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【热门文章】展示某时段访问最多的热门文章。</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【热门服务】展示某时段访问最多的热门政务服务类别、热门政务服务事项。</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【热搜词】展示某时段站内搜索、站外搜索最多的热搜词。</w:t>
      </w:r>
      <w:bookmarkEnd w:id="272"/>
    </w:p>
    <w:p>
      <w:pPr>
        <w:numPr>
          <w:ilvl w:val="2"/>
          <w:numId w:val="0"/>
        </w:numPr>
        <w:tabs>
          <w:tab w:val="left" w:pos="1418"/>
          <w:tab w:val="left" w:pos="1560"/>
          <w:tab w:val="left" w:pos="1844"/>
        </w:tabs>
        <w:adjustRightInd w:val="0"/>
        <w:snapToGrid w:val="0"/>
        <w:spacing w:line="596" w:lineRule="exact"/>
        <w:ind w:firstLine="640" w:firstLineChars="200"/>
        <w:outlineLvl w:val="2"/>
        <w:rPr>
          <w:rFonts w:ascii="方正楷体_GBK" w:eastAsia="方正楷体_GBK"/>
          <w:snapToGrid w:val="0"/>
          <w:color w:val="auto"/>
          <w:sz w:val="32"/>
          <w:szCs w:val="32"/>
          <w:highlight w:val="none"/>
        </w:rPr>
      </w:pPr>
      <w:bookmarkStart w:id="316" w:name="_Toc1811275"/>
      <w:bookmarkStart w:id="317" w:name="_Toc22360"/>
      <w:bookmarkStart w:id="318" w:name="_Toc18699"/>
      <w:bookmarkStart w:id="319" w:name="_Toc536773529"/>
      <w:bookmarkStart w:id="320" w:name="_Toc536611175"/>
      <w:r>
        <w:rPr>
          <w:rFonts w:hint="eastAsia" w:ascii="方正楷体_GBK" w:eastAsia="方正楷体_GBK"/>
          <w:snapToGrid w:val="0"/>
          <w:color w:val="auto"/>
          <w:sz w:val="32"/>
          <w:szCs w:val="32"/>
          <w:highlight w:val="none"/>
        </w:rPr>
        <w:t>（十二）政务新媒体矩阵管理</w:t>
      </w:r>
      <w:bookmarkEnd w:id="316"/>
      <w:bookmarkEnd w:id="317"/>
      <w:bookmarkEnd w:id="318"/>
      <w:bookmarkEnd w:id="319"/>
      <w:bookmarkEnd w:id="320"/>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建立包含微信公众号、官方微博、移动端APP的政务新媒体矩阵。实现资源有效整合，促进媒体融合，发挥主流新媒体宣传集群优势，打造横向到底、纵向到边的新媒体舆论引导新格局。聚合各区直单位、地市单位主要微信公众号、微博、移动端APP，实现在新闻宣传和舆论引导方面，变“独唱”为“合唱”，化“单打一”为“组合拳”，更好地发挥新媒体集群优势。主要功能包括：加入申请、审批、发布、退出等后台管理功能。以及前端页面的集中展示、扫码关注、下载等。</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1.加入/退出申请</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各区直单位、地市单位完成本单位新媒体终端（微信、微博、APP）的创建后，可向集约化平台申请加入自治区官方新媒体矩阵；当因业务调整需要退出矩阵的，也需要在集约化平台中提出申请。</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2.审批</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集约化平台管理员接到加入申请，对新媒体的所属主体真实性、内容、功能设置进行审查，审查通过后，该申请的状态变为“待发布”。</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3.发布/下架</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对于审查通过的加入申请，管理员可以在此界面进行发布操作。而对于审查通过的退出申请，则管理员可以在此界面进行下架操作。</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4.排序编号</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可对发布至新媒体矩阵的微信、微博、APP进行编号设置，从而实现在页面展示中的自定义排序。</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5.置顶</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可对新媒体矩阵内的新媒体终端进行置顶操作。使其始终保持在新媒体矩阵展示页面的最顶端。</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6.新媒体矩阵分类管理</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将所有新媒体矩阵的同类型新媒体终端（微信/微博/APP）进行分类，可按“地市”、“委办局”、“重要机构”类别等进行分类，也可自定义分类。微信矩阵进行分类后，将在展现界面以不同页签的形式进行呈现，方便用户浏览。</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7.自定义新媒体</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为了更好的扩展新媒体的终端类型，允许管理员在微信、微博、APP之外，根据实际需要，自定义新媒体的终端类型（如电子报刊、专题等）</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8.新媒体矩阵微信端展现</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微信主公众号中，增加“新媒体矩阵”功能，以统一的展现界面，呈现各单位经审核加入新媒体终端内容。微信用户可以在此界面中，根据自身需要关注各单位的公众号、关注相关的官方微博以及下载相关的APP。</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9.微信矩阵PC端展示页面</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自治区政府门户网站相关板块中，增加“新媒体矩阵”页面，以统一的展现界面，呈现各单位经审核加入新媒体终端。页面按新媒体终端类型划分不同的子版块，如“微信矩阵”、“微博矩阵”、“APP矩阵”等。</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r>
        <w:rPr>
          <w:rFonts w:hint="eastAsia" w:eastAsia="方正仿宋_GBK"/>
          <w:snapToGrid w:val="0"/>
          <w:color w:val="auto"/>
          <w:sz w:val="32"/>
          <w:szCs w:val="32"/>
          <w:highlight w:val="none"/>
        </w:rPr>
        <w:t>1</w:t>
      </w:r>
      <w:r>
        <w:rPr>
          <w:rFonts w:eastAsia="方正仿宋_GBK"/>
          <w:snapToGrid w:val="0"/>
          <w:color w:val="auto"/>
          <w:sz w:val="32"/>
          <w:szCs w:val="32"/>
          <w:highlight w:val="none"/>
        </w:rPr>
        <w:t>）用户可以在“微信矩阵”版块界面中，可通过微信扫一扫功能实现对公众号的关注。</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r>
        <w:rPr>
          <w:rFonts w:hint="eastAsia" w:eastAsia="方正仿宋_GBK"/>
          <w:snapToGrid w:val="0"/>
          <w:color w:val="auto"/>
          <w:sz w:val="32"/>
          <w:szCs w:val="32"/>
          <w:highlight w:val="none"/>
        </w:rPr>
        <w:t>2</w:t>
      </w:r>
      <w:r>
        <w:rPr>
          <w:rFonts w:eastAsia="方正仿宋_GBK"/>
          <w:snapToGrid w:val="0"/>
          <w:color w:val="auto"/>
          <w:sz w:val="32"/>
          <w:szCs w:val="32"/>
          <w:highlight w:val="none"/>
        </w:rPr>
        <w:t>）用户也可以在“微博矩阵”版块界面中，通过新浪微博的“扫一扫”功能可以实现对官方微博的关注。</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r>
        <w:rPr>
          <w:rFonts w:hint="eastAsia" w:eastAsia="方正仿宋_GBK"/>
          <w:snapToGrid w:val="0"/>
          <w:color w:val="auto"/>
          <w:sz w:val="32"/>
          <w:szCs w:val="32"/>
          <w:highlight w:val="none"/>
        </w:rPr>
        <w:t>3</w:t>
      </w:r>
      <w:r>
        <w:rPr>
          <w:rFonts w:eastAsia="方正仿宋_GBK"/>
          <w:snapToGrid w:val="0"/>
          <w:color w:val="auto"/>
          <w:sz w:val="32"/>
          <w:szCs w:val="32"/>
          <w:highlight w:val="none"/>
        </w:rPr>
        <w:t>）用户可以在“APP矩阵”版块界面中，通过手机微信的“扫一扫“功能，打开相关APP的下载界面进行APP的下载和安装。</w:t>
      </w:r>
    </w:p>
    <w:p>
      <w:pPr>
        <w:numPr>
          <w:ilvl w:val="3"/>
          <w:numId w:val="0"/>
        </w:numPr>
        <w:tabs>
          <w:tab w:val="left" w:pos="1418"/>
        </w:tabs>
        <w:adjustRightInd w:val="0"/>
        <w:snapToGrid w:val="0"/>
        <w:spacing w:line="596" w:lineRule="exact"/>
        <w:ind w:firstLine="640" w:firstLineChars="200"/>
        <w:outlineLvl w:val="3"/>
        <w:rPr>
          <w:rFonts w:eastAsia="方正仿宋_GBK"/>
          <w:bCs/>
          <w:snapToGrid w:val="0"/>
          <w:color w:val="auto"/>
          <w:sz w:val="32"/>
          <w:szCs w:val="32"/>
          <w:highlight w:val="none"/>
        </w:rPr>
      </w:pPr>
      <w:r>
        <w:rPr>
          <w:rFonts w:hint="eastAsia" w:eastAsia="方正仿宋_GBK"/>
          <w:bCs/>
          <w:snapToGrid w:val="0"/>
          <w:color w:val="auto"/>
          <w:sz w:val="32"/>
          <w:szCs w:val="32"/>
          <w:highlight w:val="none"/>
        </w:rPr>
        <w:t>10</w:t>
      </w:r>
      <w:r>
        <w:rPr>
          <w:rFonts w:eastAsia="方正仿宋_GBK"/>
          <w:bCs/>
          <w:snapToGrid w:val="0"/>
          <w:color w:val="auto"/>
          <w:sz w:val="32"/>
          <w:szCs w:val="32"/>
          <w:highlight w:val="none"/>
        </w:rPr>
        <w:t>.后台功能</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系统采用开放性系统构架，可以实现与内容管理系统、互动交流系统、业务系统等实现数据对接与业务集成。如下图所示：</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071745" cy="3827780"/>
            <wp:effectExtent l="0" t="0" r="14605" b="127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35"/>
                    <a:stretch>
                      <a:fillRect/>
                    </a:stretch>
                  </pic:blipFill>
                  <pic:spPr>
                    <a:xfrm>
                      <a:off x="0" y="0"/>
                      <a:ext cx="5071745" cy="3827780"/>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（1）系统管理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账号托管：系统能支持对多个微博号、微信公众号、APP应用进行集中管理。平台可与多个账号进行绑定，实现新媒体矩阵化管理。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文章、图片、视频数据库管理：系统提供的素材管理模块须包括单图文消息素材管理，多图文消息素材管理，图片库管理，语音消息素材管理，视频消息素材管理等。</w:t>
      </w:r>
    </w:p>
    <w:p>
      <w:pPr>
        <w:adjustRightInd w:val="0"/>
        <w:snapToGrid w:val="0"/>
        <w:spacing w:line="570" w:lineRule="exact"/>
        <w:ind w:firstLine="624" w:firstLineChars="200"/>
        <w:rPr>
          <w:rFonts w:eastAsia="方正仿宋_GBK"/>
          <w:snapToGrid w:val="0"/>
          <w:color w:val="auto"/>
          <w:spacing w:val="-4"/>
          <w:sz w:val="32"/>
          <w:szCs w:val="32"/>
          <w:highlight w:val="none"/>
        </w:rPr>
      </w:pPr>
      <w:r>
        <w:rPr>
          <w:rFonts w:eastAsia="方正仿宋_GBK"/>
          <w:snapToGrid w:val="0"/>
          <w:color w:val="auto"/>
          <w:spacing w:val="-4"/>
          <w:sz w:val="32"/>
          <w:szCs w:val="32"/>
          <w:highlight w:val="none"/>
        </w:rPr>
        <w:t>机构管理：系统能够对各个机构的机构进行增加、删除、修改。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信息编辑：信息管理人员可对单篇信息进行编辑，并支持多篇信息的合并，实现将多篇信息自动合并一篇后进行编辑。编辑后另存的信息，不改动原稿。</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信息分类：管理人员可增加信息类别，并可按分类浏览。</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信息发送：</w:t>
      </w:r>
      <w:r>
        <w:rPr>
          <w:rFonts w:eastAsia="方正仿宋_GBK"/>
          <w:snapToGrid w:val="0"/>
          <w:color w:val="auto"/>
          <w:spacing w:val="-6"/>
          <w:sz w:val="32"/>
          <w:szCs w:val="32"/>
          <w:highlight w:val="none"/>
        </w:rPr>
        <w:t>用权限用户可以通过信息发送功能对信息进行发送</w:t>
      </w:r>
      <w:r>
        <w:rPr>
          <w:rFonts w:eastAsia="方正仿宋_GBK"/>
          <w:snapToGrid w:val="0"/>
          <w:color w:val="auto"/>
          <w:sz w:val="32"/>
          <w:szCs w:val="32"/>
          <w:highlight w:val="none"/>
        </w:rPr>
        <w:t>。</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发送统计：系统可按机构、用户进行汇总统计。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计功能：系统对以发布微信的阅读量和点赞量进行统计，便于用户通过统计数据对访客行为进行分析。包括阅读量、点赞量统计，按各个部门统计，按人员统计，按作者统计，按来源统计，工作量报表，工作量查询以及依据省、市、其他单位标签统计各公众号新闻。</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动态统计：按日、周、月、年结合阅读量、点赞排行进行动态统计。通过用户统计分析模块，管理员可以快速了解到账号的用户增长情况及用户属性。包括新增人数、取消关注人数、净增人数、累计关注人数等用户增长关键指标，并以相应的曲线图和数据表来显示数量发展趋势。</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一新闻列表展示：前台点击每个微博号、公众号、APP图标或者点击其他媒体图标，出现统一的新闻列表。新闻内容可采用统一的信息列表表现形式，样式上有多种选择，例如标题+时间+摘要、左图右文式、右图左文式、多图式等。对于图片集、视频、专题、微信图文等内容，支持采用特定列表形式，以便达到最佳展现效果，例如瀑布流、微卡片、图片集等展现形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（2）应用模块</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新媒体矩阵可提供多样化的专题互动需求。管理者可在后台进行创建，并进行内容编辑，信息发布，等操作。平台整合各种互动方式，采用统一部署和集中管理的模式，为各级政府、单位、社会组织提供统一用户管理和访问入口，同时对各种服务的不同机构提供个性化接入、流程的定制等。前台根据定位，有按钮切换地市，可切换到任意一个城市，了解当前城市的展示内容。后台分级管理权限配置，分为超级管理员，信息编辑员，信息审核员等不同角色。后台可统计共发布了多少信息、阅读人数、热点地区、相关数据等。主要功能效果如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团队管理：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提供团队管理，提供在线注册（报名）功能和内部新增用户功能，详细描述管理。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团队在平台中申请认证，各级管理员在后台通过认证；申请认证后，可在团队管理中群发消息、管理团队信息、反馈网友发布需要帮助事宜、发布信息、和管理信息等。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人员管理：</w:t>
      </w:r>
    </w:p>
    <w:p>
      <w:pPr>
        <w:adjustRightInd w:val="0"/>
        <w:snapToGrid w:val="0"/>
        <w:spacing w:line="570"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管理员将根据角色分配各自权限，不同的权限拥有不同的功</w:t>
      </w:r>
      <w:r>
        <w:rPr>
          <w:rFonts w:eastAsia="方正仿宋_GBK"/>
          <w:snapToGrid w:val="0"/>
          <w:color w:val="auto"/>
          <w:sz w:val="32"/>
          <w:szCs w:val="32"/>
          <w:highlight w:val="none"/>
        </w:rPr>
        <w:t>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用户分为普通用户和管理员，普通用户的权限需要管理员或系统管理员进行添加；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省、市、县（区）、乡镇、村各级政府单位可通过栏目板块实行统一管理。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定位：提供定位功能，在发布的信息下可以添加定位信息，便于用户了解地点的详细情况。</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导航：用户点击详情，可以在详情中查看详细地址，并进行路径导航。</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评价：可在通过评价模块进行评价反馈，提供匿名评价及实名评价两种方式，支持上传图片进行评价。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提醒：发送微信消息。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分享名片：可将某个内容（包括名称、时间、地点、详细内容）生成名片，用户可通过发送名片的方式推荐分享给他人。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（3）组织展示应用模块</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通过地图定位功能，展示附近的相关信息，包括联系方式和工作时间等等。统计组织数量、最活跃组织，组织相关统计。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地图定位：调用百度或其他第三方电子地图，可显示相关详细地址、联系方式、工作时间等信息。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路径导航：调用腾讯或其他第三方电子导航系统，可弹出导航系统进行路线指引。</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组织分享名片：用户可以把各微博号、公众号、APP信息生</w:t>
      </w:r>
      <w:r>
        <w:rPr>
          <w:rFonts w:eastAsia="方正仿宋_GBK"/>
          <w:snapToGrid w:val="0"/>
          <w:color w:val="auto"/>
          <w:spacing w:val="-6"/>
          <w:sz w:val="32"/>
          <w:szCs w:val="32"/>
          <w:highlight w:val="none"/>
        </w:rPr>
        <w:t>成名片，用户可以通过发送名片的方式将相关信息推荐分享给他</w:t>
      </w:r>
      <w:r>
        <w:rPr>
          <w:rFonts w:eastAsia="方正仿宋_GBK"/>
          <w:snapToGrid w:val="0"/>
          <w:color w:val="auto"/>
          <w:sz w:val="32"/>
          <w:szCs w:val="32"/>
          <w:highlight w:val="none"/>
        </w:rPr>
        <w:t>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（4）评价体系模块</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评价体系支持动态审核管理。用户对所展示内容都可以进行评论或查看他人的评论，可从另一方面参与互动。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（5）微博、微信征集、投票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可在微博、微信平台发起征集活动，生成相应页面，用户可在页面中上传文字、图片、音频、视频等内容。征集内容可自动生成投票页面；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可根据活动要求设定和管理页面样式、投票形式（单选、多选、组合选、问卷等形式）、投票项目，支持问卷批量调查，在线意见填写等；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可实时统计投票结果、并以多种图形状态显示；支持IP地址与COOKIS过滤，防止同一IP地址的多投，以保障投票计数的真实性。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（6）微博、微信管理平台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微博、微信管理平台主要用于各级账号的运维管理和信息发布，其功能主要包括：</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能实现多个账号统一管理；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能实现信息一次采编，即可以完成多渠道的统一发布；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可一键同步粉丝信息，自定义选择粉丝进行消息群发；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实现互动响应功能；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实现应用可自由扩展整合功能。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（7）APP集中管理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可以集中分类管理各APP的Android、Iphone和Ipad客户端的应用程序，及相关下载的二维码。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（8）接口管理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可通过接口配置集成内容管理系统，实现信息一次采编即可以完成多方式、多渠道的统一发布；</w:t>
      </w:r>
    </w:p>
    <w:p>
      <w:pPr>
        <w:adjustRightInd w:val="0"/>
        <w:snapToGrid w:val="0"/>
        <w:spacing w:line="570"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按照标准接口接入可实现多应用自由扩展，快速整合各类应</w:t>
      </w:r>
      <w:r>
        <w:rPr>
          <w:rFonts w:eastAsia="方正仿宋_GBK"/>
          <w:snapToGrid w:val="0"/>
          <w:color w:val="auto"/>
          <w:sz w:val="32"/>
          <w:szCs w:val="32"/>
          <w:highlight w:val="none"/>
        </w:rPr>
        <w:t>用。</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11.与集约化内容管理系统、第三方平台对接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随着移动互联网的发展，微信、微博、APP客户端正在演变成PC门户外主流的政府服务及宣传平台。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国务院办公厅下发的《关于进一步加强政府信息公开回应社会关切提升政府公信力的意见》（国办发</w:t>
      </w:r>
      <w:r>
        <w:rPr>
          <w:rFonts w:hint="eastAsia" w:eastAsia="方正仿宋_GBK"/>
          <w:snapToGrid w:val="0"/>
          <w:color w:val="auto"/>
          <w:sz w:val="32"/>
          <w:szCs w:val="32"/>
          <w:highlight w:val="none"/>
        </w:rPr>
        <w:t>〔</w:t>
      </w:r>
      <w:r>
        <w:rPr>
          <w:rFonts w:eastAsia="方正仿宋_GBK"/>
          <w:snapToGrid w:val="0"/>
          <w:color w:val="auto"/>
          <w:sz w:val="32"/>
          <w:szCs w:val="32"/>
          <w:highlight w:val="none"/>
        </w:rPr>
        <w:t>2013</w:t>
      </w:r>
      <w:r>
        <w:rPr>
          <w:rFonts w:hint="eastAsia" w:eastAsia="方正仿宋_GBK"/>
          <w:snapToGrid w:val="0"/>
          <w:color w:val="auto"/>
          <w:sz w:val="32"/>
          <w:szCs w:val="32"/>
          <w:highlight w:val="none"/>
        </w:rPr>
        <w:t>〕</w:t>
      </w:r>
      <w:r>
        <w:rPr>
          <w:rFonts w:eastAsia="方正仿宋_GBK"/>
          <w:snapToGrid w:val="0"/>
          <w:color w:val="auto"/>
          <w:sz w:val="32"/>
          <w:szCs w:val="32"/>
          <w:highlight w:val="none"/>
        </w:rPr>
        <w:t>100号）着重强调政务微博、微信的重要地位和关键作用。“政务微信”将作为与“政府新闻发言人制度”、“政府网站”并列的第三种政务公开途径，是政府向服务型政府转型、向建设智慧政府迈进的重要一步。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政务微信公众号不仅是政府政务公开的平台，也是拓宽移动互联为民服务的入口。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务微信通过与政府内部各业务系统的整合，如：在微信上提供领导信箱、市民意见征集、机动车违章查询、公积金查询、社保查询、诊疗挂号、水电气缴费、机动车违法查询、智能机器人等，实现了为广大微信用户提供随时、随地、专属服务的最佳用户体验。</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务微博作为官方发言人，能实现更多、更快的政情发布，特别是遇到突发事件作用更为突出。除此之外微博在畅通对话渠道、塑造形象方面的无形收益亦非常可观，通过微门户与官方微博的互动，是移动互联网络作为互动方式的创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随着移动互联网的发展，政府APP客户端作为政府PC端门户网站的自然延展，通过智能聚合原网站的信息资源，支持各种移动智能终端的访问，完成由以发布信息为主到以提供服务为主的转变。使人们不再局限于在电脑面前访问政府门户网，还能够随时、随地、随身了解最新政务资讯、获取政府服务，有效扩大了政府服务范围和服务对象，拓展了政府服务渠道。</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本次项目建设，通过政务新媒体矩阵平台，外部实现与腾讯微信管理平台、微博发布平台对接和政府APP客户端平台对接，内部实现与集约化内容管理平台对接。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在数据层面，政务新媒体矩阵平台和网站平台实现数据共享，实现一遍输入多端发布的机制，保持多渠道的一致性，并且避免了增加维护人员的工作量。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在运维管理层面，政务新媒体矩阵平台和网站平台实现用户权限的统一管理，实现对同一用户不同角色和权限的统一管理，维护操作界面统一。数据流程如下：</w:t>
      </w:r>
    </w:p>
    <w:p>
      <w:pPr>
        <w:adjustRightInd w:val="0"/>
        <w:snapToGrid w:val="0"/>
        <w:spacing w:beforeLines="80" w:afterLines="8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441825" cy="5098415"/>
            <wp:effectExtent l="0" t="0" r="15875" b="6985"/>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36"/>
                    <a:stretch>
                      <a:fillRect/>
                    </a:stretch>
                  </pic:blipFill>
                  <pic:spPr>
                    <a:xfrm>
                      <a:off x="0" y="0"/>
                      <a:ext cx="4441825" cy="509841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与集约化管理平台对接要求如下：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（1）支持内容管理平台信息同时推送至微信、微博、微门户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可无缝集成内容管理系统，实现信息一次采编即可以完成多方式、多渠道的统一发布；支持网站内容管理信息平台的内容同时推送、分享至微博、微信、微门户。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可无缝对接大汉微门户系统，实现在移动APP上共享微信、微博信息</w:t>
      </w:r>
      <w:r>
        <w:rPr>
          <w:rFonts w:hint="eastAsia" w:eastAsia="方正仿宋_GBK"/>
          <w:snapToGrid w:val="0"/>
          <w:color w:val="auto"/>
          <w:sz w:val="32"/>
          <w:szCs w:val="32"/>
          <w:highlight w:val="none"/>
        </w:rPr>
        <w:t>。</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（2）支持微博、微信内容编辑、推送（图片、视频、语音）</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微信公共账号作为信息发布和展示的创新化传播、分享平台，需要有强大的、完善的信息内容和信息素材进行支撑。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系统所提供的素材管理模块，能够为该平台提供内容支撑保障，使得平台展示和分享内容能够充实，同时通过素材管理的分类维护，也使得平台展现内容能够进行规范化、多样化的展示和体现。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单图文消息素材管理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73675" cy="2498725"/>
            <wp:effectExtent l="0" t="0" r="3175" b="15875"/>
            <wp:docPr id="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pic:cNvPicPr>
                      <a:picLocks noChangeAspect="1"/>
                    </pic:cNvPicPr>
                  </pic:nvPicPr>
                  <pic:blipFill>
                    <a:blip r:embed="rId37"/>
                    <a:stretch>
                      <a:fillRect/>
                    </a:stretch>
                  </pic:blipFill>
                  <pic:spPr>
                    <a:xfrm>
                      <a:off x="0" y="0"/>
                      <a:ext cx="5273675" cy="249872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单图文消息素材管理图</w:t>
      </w:r>
    </w:p>
    <w:p>
      <w:pPr>
        <w:adjustRightInd w:val="0"/>
        <w:snapToGrid w:val="0"/>
        <w:spacing w:line="570" w:lineRule="exact"/>
        <w:ind w:firstLine="640" w:firstLineChars="200"/>
        <w:rPr>
          <w:rFonts w:eastAsia="方正仿宋_GBK"/>
          <w:snapToGrid w:val="0"/>
          <w:color w:val="auto"/>
          <w:sz w:val="32"/>
          <w:szCs w:val="32"/>
          <w:highlight w:val="none"/>
        </w:rPr>
      </w:pPr>
      <w:bookmarkStart w:id="321" w:name="_Toc41521910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多图文消息素材</w:t>
      </w:r>
      <w:bookmarkEnd w:id="321"/>
      <w:r>
        <w:rPr>
          <w:rFonts w:eastAsia="方正仿宋_GBK"/>
          <w:snapToGrid w:val="0"/>
          <w:color w:val="auto"/>
          <w:sz w:val="32"/>
          <w:szCs w:val="32"/>
          <w:highlight w:val="none"/>
        </w:rPr>
        <w:t>管理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944110" cy="3498215"/>
            <wp:effectExtent l="0" t="0" r="8890" b="6985"/>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pic:cNvPicPr>
                      <a:picLocks noChangeAspect="1"/>
                    </pic:cNvPicPr>
                  </pic:nvPicPr>
                  <pic:blipFill>
                    <a:blip r:embed="rId38"/>
                    <a:stretch>
                      <a:fillRect/>
                    </a:stretch>
                  </pic:blipFill>
                  <pic:spPr>
                    <a:xfrm>
                      <a:off x="0" y="0"/>
                      <a:ext cx="4944110" cy="349821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多图文消息素材管理图</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图片库管理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763135" cy="3040380"/>
            <wp:effectExtent l="0" t="0" r="18415" b="7620"/>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pic:cNvPicPr>
                      <a:picLocks noChangeAspect="1"/>
                    </pic:cNvPicPr>
                  </pic:nvPicPr>
                  <pic:blipFill>
                    <a:blip r:embed="rId39"/>
                    <a:stretch>
                      <a:fillRect/>
                    </a:stretch>
                  </pic:blipFill>
                  <pic:spPr>
                    <a:xfrm>
                      <a:off x="0" y="0"/>
                      <a:ext cx="4763135" cy="304038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图片库管理图</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语音消息素材管理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125085" cy="2870835"/>
            <wp:effectExtent l="0" t="0" r="18415" b="5715"/>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40"/>
                    <a:stretch>
                      <a:fillRect/>
                    </a:stretch>
                  </pic:blipFill>
                  <pic:spPr>
                    <a:xfrm>
                      <a:off x="0" y="0"/>
                      <a:ext cx="5125085" cy="287083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语音消息素材管理图</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视频消息素材管理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95265" cy="3274695"/>
            <wp:effectExtent l="0" t="0" r="635" b="1905"/>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pic:cNvPicPr>
                  </pic:nvPicPr>
                  <pic:blipFill>
                    <a:blip r:embed="rId41"/>
                    <a:stretch>
                      <a:fillRect/>
                    </a:stretch>
                  </pic:blipFill>
                  <pic:spPr>
                    <a:xfrm>
                      <a:off x="0" y="0"/>
                      <a:ext cx="5295265" cy="327469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视频消息素材管理图</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（3）微博群发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政务新媒体矩阵平台支持对多个微博账号进行集中管理及信息分享。</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965700" cy="3030220"/>
            <wp:effectExtent l="0" t="0" r="6350" b="17780"/>
            <wp:docPr id="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pic:cNvPicPr>
                      <a:picLocks noChangeAspect="1"/>
                    </pic:cNvPicPr>
                  </pic:nvPicPr>
                  <pic:blipFill>
                    <a:blip r:embed="rId42"/>
                    <a:stretch>
                      <a:fillRect/>
                    </a:stretch>
                  </pic:blipFill>
                  <pic:spPr>
                    <a:xfrm>
                      <a:off x="0" y="0"/>
                      <a:ext cx="4965700" cy="303022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多微博账号集中管理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933315" cy="2041525"/>
            <wp:effectExtent l="0" t="0" r="635" b="15875"/>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pic:cNvPicPr>
                      <a:picLocks noChangeAspect="1"/>
                    </pic:cNvPicPr>
                  </pic:nvPicPr>
                  <pic:blipFill>
                    <a:blip r:embed="rId43"/>
                    <a:stretch>
                      <a:fillRect/>
                    </a:stretch>
                  </pic:blipFill>
                  <pic:spPr>
                    <a:xfrm>
                      <a:off x="0" y="0"/>
                      <a:ext cx="4933315" cy="204152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多微博账号信息分享</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（4）定时推送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可自定义选择粉丝进行消息群发，消息类型满足：文本、图文、图片、视频、音频。使群发对象选择更自由。</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73675" cy="4423410"/>
            <wp:effectExtent l="0" t="0" r="3175" b="1524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44"/>
                    <a:stretch>
                      <a:fillRect/>
                    </a:stretch>
                  </pic:blipFill>
                  <pic:spPr>
                    <a:xfrm>
                      <a:off x="0" y="0"/>
                      <a:ext cx="5273675" cy="442341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指定粉丝消息群发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同时提供消息预览功能有助于进行更好的排版。避免出现错误消息发布。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可自定义消息推送时间进行消息推送服务。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bCs/>
          <w:snapToGrid w:val="0"/>
          <w:color w:val="auto"/>
          <w:sz w:val="32"/>
          <w:szCs w:val="32"/>
          <w:highlight w:val="none"/>
        </w:rPr>
        <w:t>（5）自动回复</w:t>
      </w:r>
    </w:p>
    <w:p>
      <w:pPr>
        <w:adjustRightInd w:val="0"/>
        <w:snapToGrid w:val="0"/>
        <w:spacing w:line="570" w:lineRule="exact"/>
        <w:ind w:firstLine="640" w:firstLineChars="200"/>
        <w:rPr>
          <w:rFonts w:eastAsia="方正仿宋_GBK"/>
          <w:snapToGrid w:val="0"/>
          <w:color w:val="auto"/>
          <w:sz w:val="32"/>
          <w:szCs w:val="32"/>
          <w:highlight w:val="none"/>
        </w:rPr>
      </w:pPr>
      <w:bookmarkStart w:id="322" w:name="_Ref421611716"/>
      <w:bookmarkStart w:id="323" w:name="_Toc455071073"/>
      <w:r>
        <w:rPr>
          <w:rFonts w:eastAsia="方正仿宋_GBK"/>
          <w:snapToGrid w:val="0"/>
          <w:color w:val="auto"/>
          <w:sz w:val="32"/>
          <w:szCs w:val="32"/>
          <w:highlight w:val="none"/>
        </w:rPr>
        <w:t>被关注回复</w:t>
      </w:r>
      <w:bookmarkEnd w:id="322"/>
      <w:bookmarkEnd w:id="323"/>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公众号被微信用户关注的时候，自动回复一段文本或图文，所示页面中设置，包括新增文本和图文回复两种。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新增文本回复，直接在高级编辑器中输入文本内容即可。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新建图文回复语句需要在素材管理中新增图文素材。点击选择图文素材将进入选择素材页面，可以选择单图文素材和多图文素材，选择后点击确定即可。</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86400" cy="342392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5"/>
                    <a:stretch>
                      <a:fillRect/>
                    </a:stretch>
                  </pic:blipFill>
                  <pic:spPr>
                    <a:xfrm>
                      <a:off x="0" y="0"/>
                      <a:ext cx="5486400" cy="3423920"/>
                    </a:xfrm>
                    <a:prstGeom prst="rect">
                      <a:avLst/>
                    </a:prstGeom>
                    <a:noFill/>
                    <a:ln>
                      <a:noFill/>
                    </a:ln>
                  </pic:spPr>
                </pic:pic>
              </a:graphicData>
            </a:graphic>
          </wp:inline>
        </w:drawing>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86400" cy="3274695"/>
            <wp:effectExtent l="0" t="0" r="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6"/>
                    <a:stretch>
                      <a:fillRect/>
                    </a:stretch>
                  </pic:blipFill>
                  <pic:spPr>
                    <a:xfrm>
                      <a:off x="0" y="0"/>
                      <a:ext cx="5486400" cy="3274695"/>
                    </a:xfrm>
                    <a:prstGeom prst="rect">
                      <a:avLst/>
                    </a:prstGeom>
                    <a:noFill/>
                    <a:ln>
                      <a:noFill/>
                    </a:ln>
                  </pic:spPr>
                </pic:pic>
              </a:graphicData>
            </a:graphic>
          </wp:inline>
        </w:drawing>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86400" cy="4114800"/>
            <wp:effectExtent l="0" t="0" r="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47"/>
                    <a:stretch>
                      <a:fillRect/>
                    </a:stretch>
                  </pic:blipFill>
                  <pic:spPr>
                    <a:xfrm>
                      <a:off x="0" y="0"/>
                      <a:ext cx="5486400" cy="4114800"/>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bookmarkStart w:id="324" w:name="_Toc455071074"/>
      <w:r>
        <w:rPr>
          <w:rFonts w:eastAsia="方正仿宋_GBK"/>
          <w:snapToGrid w:val="0"/>
          <w:color w:val="auto"/>
          <w:sz w:val="32"/>
          <w:szCs w:val="32"/>
          <w:highlight w:val="none"/>
        </w:rPr>
        <w:t>关键词回复</w:t>
      </w:r>
      <w:bookmarkEnd w:id="324"/>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管理员可以通过本模块设置回复内容。该模板包括新增、删除、检索和自动回复内容设置功能。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管理员可以通过本模块添加关键词，匹配方式包括包含、完全2种。首先进行“完全匹配”，如果不符合，再进行“包含匹配”。</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97195" cy="1010285"/>
            <wp:effectExtent l="0" t="0" r="8255" b="18415"/>
            <wp:docPr id="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pic:cNvPicPr>
                      <a:picLocks noChangeAspect="1"/>
                    </pic:cNvPicPr>
                  </pic:nvPicPr>
                  <pic:blipFill>
                    <a:blip r:embed="rId48"/>
                    <a:stretch>
                      <a:fillRect/>
                    </a:stretch>
                  </pic:blipFill>
                  <pic:spPr>
                    <a:xfrm>
                      <a:off x="0" y="0"/>
                      <a:ext cx="5497195" cy="101028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bookmarkStart w:id="325" w:name="_Toc455071075"/>
      <w:r>
        <w:rPr>
          <w:rFonts w:eastAsia="方正仿宋_GBK"/>
          <w:snapToGrid w:val="0"/>
          <w:color w:val="auto"/>
          <w:sz w:val="32"/>
          <w:szCs w:val="32"/>
          <w:highlight w:val="none"/>
        </w:rPr>
        <w:t>基本操作</w:t>
      </w:r>
      <w:bookmarkEnd w:id="32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关键词操作基本操作包括新增、删除和检索功能。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新增：点击新增按钮弹出关键词新增页面。新建好关键词后就可以设置回复内容了。</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667375" cy="2041525"/>
            <wp:effectExtent l="0" t="0" r="9525" b="15875"/>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49"/>
                    <a:stretch>
                      <a:fillRect/>
                    </a:stretch>
                  </pic:blipFill>
                  <pic:spPr>
                    <a:xfrm>
                      <a:off x="0" y="0"/>
                      <a:ext cx="5667375" cy="204152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删除：勾选关键词点击删除即可，可多选删除。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检索：根据输入的关键词进行检索。</w:t>
      </w:r>
    </w:p>
    <w:p>
      <w:pPr>
        <w:adjustRightInd w:val="0"/>
        <w:snapToGrid w:val="0"/>
        <w:spacing w:line="570" w:lineRule="exact"/>
        <w:ind w:firstLine="640" w:firstLineChars="200"/>
        <w:rPr>
          <w:rFonts w:eastAsia="方正仿宋_GBK"/>
          <w:snapToGrid w:val="0"/>
          <w:color w:val="auto"/>
          <w:sz w:val="32"/>
          <w:szCs w:val="32"/>
          <w:highlight w:val="none"/>
        </w:rPr>
      </w:pPr>
      <w:bookmarkStart w:id="326" w:name="_Toc455071076"/>
      <w:r>
        <w:rPr>
          <w:rFonts w:eastAsia="方正仿宋_GBK"/>
          <w:snapToGrid w:val="0"/>
          <w:color w:val="auto"/>
          <w:sz w:val="32"/>
          <w:szCs w:val="32"/>
          <w:highlight w:val="none"/>
        </w:rPr>
        <w:t>自动回复内容设置</w:t>
      </w:r>
      <w:bookmarkEnd w:id="32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在微信端输入关键词查询时的回复内容在本模块设置。点击设置按钮进入关键词回复设置页面。</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795010" cy="2179955"/>
            <wp:effectExtent l="0" t="0" r="15240" b="10795"/>
            <wp:docPr id="5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8"/>
                    <pic:cNvPicPr>
                      <a:picLocks noChangeAspect="1"/>
                    </pic:cNvPicPr>
                  </pic:nvPicPr>
                  <pic:blipFill>
                    <a:blip r:embed="rId50"/>
                    <a:stretch>
                      <a:fillRect/>
                    </a:stretch>
                  </pic:blipFill>
                  <pic:spPr>
                    <a:xfrm>
                      <a:off x="0" y="0"/>
                      <a:ext cx="5795010" cy="217995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增：点击新增进入回复内容新增页面，包括新增文本、图文、图片、语音、视频和应用六种回复方式。该模块中文本和图文回复类型操作与新增被关注回复类似，可以新增多个回复，随机选择其中一个进行回复。</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752975" cy="3444875"/>
            <wp:effectExtent l="0" t="0" r="9525" b="317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51"/>
                    <a:stretch>
                      <a:fillRect/>
                    </a:stretch>
                  </pic:blipFill>
                  <pic:spPr>
                    <a:xfrm>
                      <a:off x="0" y="0"/>
                      <a:ext cx="4752975" cy="344487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添加“应用”回复类型时。可选择该公众号应用管理中设置的应用。</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625340" cy="3348990"/>
            <wp:effectExtent l="0" t="0" r="3810" b="381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52"/>
                    <a:stretch>
                      <a:fillRect/>
                    </a:stretch>
                  </pic:blipFill>
                  <pic:spPr>
                    <a:xfrm>
                      <a:off x="0" y="0"/>
                      <a:ext cx="4625340" cy="3348990"/>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删除：勾选回复内容点击删除即可。</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（6）账号维护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成功登录后，可以在【账户设置】中修改个人属性。</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（7）用户权限管理</w:t>
      </w:r>
    </w:p>
    <w:p>
      <w:pPr>
        <w:adjustRightInd w:val="0"/>
        <w:snapToGrid w:val="0"/>
        <w:spacing w:line="570" w:lineRule="exact"/>
        <w:ind w:firstLine="640" w:firstLineChars="200"/>
        <w:rPr>
          <w:rFonts w:eastAsia="方正仿宋_GBK"/>
          <w:snapToGrid w:val="0"/>
          <w:color w:val="auto"/>
          <w:sz w:val="32"/>
          <w:szCs w:val="32"/>
          <w:highlight w:val="none"/>
        </w:rPr>
      </w:pPr>
      <w:bookmarkStart w:id="327" w:name="_Toc455071065"/>
      <w:r>
        <w:rPr>
          <w:rFonts w:eastAsia="方正仿宋_GBK"/>
          <w:snapToGrid w:val="0"/>
          <w:color w:val="auto"/>
          <w:sz w:val="32"/>
          <w:szCs w:val="32"/>
          <w:highlight w:val="none"/>
        </w:rPr>
        <w:t>机构管理</w:t>
      </w:r>
      <w:bookmarkEnd w:id="32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机构管理是系统管理机构的模块。主要用来管理机构的相关信息，不同的机构有不同的用户和权限。该模块有新建、修改、删除、导入、导出和查询功能。</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029200" cy="1052830"/>
            <wp:effectExtent l="0" t="0" r="0" b="13970"/>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53"/>
                    <a:stretch>
                      <a:fillRect/>
                    </a:stretch>
                  </pic:blipFill>
                  <pic:spPr>
                    <a:xfrm>
                      <a:off x="0" y="0"/>
                      <a:ext cx="5029200" cy="1052830"/>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新增：点击【新增】，弹出机构管理新建表单。</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401820" cy="3827780"/>
            <wp:effectExtent l="0" t="0" r="17780" b="127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54"/>
                    <a:stretch>
                      <a:fillRect/>
                    </a:stretch>
                  </pic:blipFill>
                  <pic:spPr>
                    <a:xfrm>
                      <a:off x="0" y="0"/>
                      <a:ext cx="4401820" cy="3827780"/>
                    </a:xfrm>
                    <a:prstGeom prst="rect">
                      <a:avLst/>
                    </a:prstGeom>
                    <a:noFill/>
                    <a:ln>
                      <a:noFill/>
                    </a:ln>
                  </pic:spPr>
                </pic:pic>
              </a:graphicData>
            </a:graphic>
          </wp:inline>
        </w:drawing>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基本信息：</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新建机构字段有机构名称（必填）、机构标识（必填）、所属机构、角色、机构描述。</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删除：选择所要删除的机构，点击【删除】按钮，将提示“是否确认删除所选机构”，点击“确定”将删除选择的机构，删除成功后动态刷新列表。</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导入：选择对应的xls文件进行机构的导入。可下载机构导入的参考样例进行编辑。</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导出：选择机构点击导出即可。不选择机构直接点击导出则导出所有机构。</w:t>
      </w:r>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检索：按照机构名称或机构标识进行检索。</w:t>
      </w:r>
    </w:p>
    <w:p>
      <w:pPr>
        <w:adjustRightInd w:val="0"/>
        <w:snapToGrid w:val="0"/>
        <w:spacing w:line="544" w:lineRule="exact"/>
        <w:ind w:firstLine="640" w:firstLineChars="200"/>
        <w:rPr>
          <w:rFonts w:eastAsia="方正仿宋_GBK"/>
          <w:snapToGrid w:val="0"/>
          <w:color w:val="auto"/>
          <w:sz w:val="32"/>
          <w:szCs w:val="32"/>
          <w:highlight w:val="none"/>
        </w:rPr>
      </w:pPr>
      <w:bookmarkStart w:id="328" w:name="_Toc455071066"/>
      <w:r>
        <w:rPr>
          <w:rFonts w:eastAsia="方正仿宋_GBK"/>
          <w:snapToGrid w:val="0"/>
          <w:color w:val="auto"/>
          <w:sz w:val="32"/>
          <w:szCs w:val="32"/>
          <w:highlight w:val="none"/>
        </w:rPr>
        <w:t>用户管理</w:t>
      </w:r>
      <w:bookmarkEnd w:id="328"/>
    </w:p>
    <w:p>
      <w:pPr>
        <w:adjustRightInd w:val="0"/>
        <w:snapToGrid w:val="0"/>
        <w:spacing w:line="544"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用户管理是系统管理用户的模块。主要用来管理用户的相关信息，该模块有新建、修改、删除、导入、导出、检索和高级检索功能。列表页显示字段有姓名、登录名、所属机构、职务和账号开启状态：</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528945" cy="1414145"/>
            <wp:effectExtent l="0" t="0" r="14605" b="14605"/>
            <wp:docPr id="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3"/>
                    <pic:cNvPicPr>
                      <a:picLocks noChangeAspect="1"/>
                    </pic:cNvPicPr>
                  </pic:nvPicPr>
                  <pic:blipFill>
                    <a:blip r:embed="rId55"/>
                    <a:stretch>
                      <a:fillRect/>
                    </a:stretch>
                  </pic:blipFill>
                  <pic:spPr>
                    <a:xfrm>
                      <a:off x="0" y="0"/>
                      <a:ext cx="5528945" cy="141414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新增：新建用户字段有姓名（必填）、登录名（必填）、密码（必填）、所属机构（必填）、角色、职务、固定电话、移动电话（必填）、电子邮箱、联系方式、联系地址，用户管理新建页面：</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156835" cy="5262880"/>
            <wp:effectExtent l="0" t="0" r="5715" b="13970"/>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56"/>
                    <a:stretch>
                      <a:fillRect/>
                    </a:stretch>
                  </pic:blipFill>
                  <pic:spPr>
                    <a:xfrm>
                      <a:off x="0" y="0"/>
                      <a:ext cx="5156835" cy="5262880"/>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修改：点击用户名，弹出编辑表单，修改表单信息，点击“保存”按钮，编辑成功后将刷新用户列表。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删除：选择所要删除的用户，点击【删除】按钮，将删除选择的用户，删除成功后动态刷新列表。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导入：选择对应的xls文件进行用户的导入。可下载用户导入的参考样例进行编辑。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导出：选择用户点击导出即可。不选择用户直接点击导出则导出所有用户。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检索和高级检索：按照姓名或登录名进行模糊查询。</w:t>
      </w:r>
    </w:p>
    <w:p>
      <w:pPr>
        <w:adjustRightInd w:val="0"/>
        <w:snapToGrid w:val="0"/>
        <w:spacing w:line="570" w:lineRule="exact"/>
        <w:ind w:firstLine="640" w:firstLineChars="200"/>
        <w:rPr>
          <w:rFonts w:eastAsia="方正仿宋_GBK"/>
          <w:snapToGrid w:val="0"/>
          <w:color w:val="auto"/>
          <w:sz w:val="32"/>
          <w:szCs w:val="32"/>
          <w:highlight w:val="none"/>
        </w:rPr>
      </w:pPr>
      <w:bookmarkStart w:id="329" w:name="_Toc455071067"/>
      <w:r>
        <w:rPr>
          <w:rFonts w:eastAsia="方正仿宋_GBK"/>
          <w:snapToGrid w:val="0"/>
          <w:color w:val="auto"/>
          <w:sz w:val="32"/>
          <w:szCs w:val="32"/>
          <w:highlight w:val="none"/>
        </w:rPr>
        <w:t>角色管理</w:t>
      </w:r>
      <w:bookmarkEnd w:id="32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角色管理是系统管理角色的模块。主要用来管理角色的相关信息，该模块有新建、修改、删除和查询功能。列表页显示字段有角色名称、缺省角色、设置成员和设置权限。</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73675" cy="1158875"/>
            <wp:effectExtent l="0" t="0" r="3175" b="3175"/>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57"/>
                    <a:stretch>
                      <a:fillRect/>
                    </a:stretch>
                  </pic:blipFill>
                  <pic:spPr>
                    <a:xfrm>
                      <a:off x="0" y="0"/>
                      <a:ext cx="5273675" cy="115887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新增：新建角色字段有角色名称（必填）和角色简介，角色管理新建页面</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528945" cy="4253230"/>
            <wp:effectExtent l="0" t="0" r="14605" b="13970"/>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pic:cNvPicPr>
                      <a:picLocks noChangeAspect="1"/>
                    </pic:cNvPicPr>
                  </pic:nvPicPr>
                  <pic:blipFill>
                    <a:blip r:embed="rId58"/>
                    <a:stretch>
                      <a:fillRect/>
                    </a:stretch>
                  </pic:blipFill>
                  <pic:spPr>
                    <a:xfrm>
                      <a:off x="0" y="0"/>
                      <a:ext cx="5528945" cy="4253230"/>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修改：点击角色名称，弹出编辑表单，修改表单信息，点击“保存”按钮，编辑成功后将刷新角色列表。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删除：选择所要删除的角色，点击【删除】按钮，将删除选择的角色，删除成功后动态刷新列表。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缺省角色：勾选新建角色后的缺省角色框，将用户设置为“缺省角色”。当角色被设置为缺省角色时，新建里的用户将会默认添加此角色权限。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设置成员：点击角色后的【设置成员】按钮，进入“设置成员”页面：</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648960" cy="2966085"/>
            <wp:effectExtent l="0" t="0" r="8890" b="5715"/>
            <wp:docPr id="5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7"/>
                    <pic:cNvPicPr>
                      <a:picLocks noChangeAspect="1"/>
                    </pic:cNvPicPr>
                  </pic:nvPicPr>
                  <pic:blipFill>
                    <a:blip r:embed="rId59"/>
                    <a:stretch>
                      <a:fillRect/>
                    </a:stretch>
                  </pic:blipFill>
                  <pic:spPr>
                    <a:xfrm>
                      <a:off x="0" y="0"/>
                      <a:ext cx="5648960" cy="296608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可进行该角色成员的新增，删除，情况和检索操作。成员可以新增单独的用户或者机构。</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检索：按照角色名称进行模糊查询。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权限设置：点击权限设置下的，可对某一角色权限进行设置。</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31" o:spt="75" type="#_x0000_t75" style="height:204.75pt;width:402.55pt;" o:ole="t" filled="f" o:preferrelative="t" stroked="f" coordsize="21600,21600">
            <v:path/>
            <v:fill on="f" focussize="0,0"/>
            <v:stroke on="f" joinstyle="miter"/>
            <v:imagedata r:id="rId61" o:title=""/>
            <o:lock v:ext="edit" aspectratio="t"/>
            <w10:wrap type="none"/>
            <w10:anchorlock/>
          </v:shape>
          <o:OLEObject Type="Embed" ProgID="Picture.PicObj.1" ShapeID="_x0000_i1031" DrawAspect="Content" ObjectID="_1468075731" r:id="rId60">
            <o:LockedField>false</o:LockedField>
          </o:OLEObject>
        </w:objec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（8）用户封停启用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封停管理页面有删除和检索两个功能。对登录后台账号或密码连续输入错误次数达到系统最大限制，对该用户进行封停操作。若某用户被封停了则在此处显示，在限定时间内不能再登录后台，将此处该用户记录删除，该用户输入正确账号密码就能重新登录系统。</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784215" cy="1180465"/>
            <wp:effectExtent l="0" t="0" r="6985" b="635"/>
            <wp:docPr id="4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9"/>
                    <pic:cNvPicPr>
                      <a:picLocks noChangeAspect="1"/>
                    </pic:cNvPicPr>
                  </pic:nvPicPr>
                  <pic:blipFill>
                    <a:blip r:embed="rId62"/>
                    <a:stretch>
                      <a:fillRect/>
                    </a:stretch>
                  </pic:blipFill>
                  <pic:spPr>
                    <a:xfrm>
                      <a:off x="0" y="0"/>
                      <a:ext cx="5784215" cy="118046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检索：按照登录名进行模糊查询。</w:t>
      </w:r>
    </w:p>
    <w:p>
      <w:pPr>
        <w:adjustRightInd w:val="0"/>
        <w:snapToGrid w:val="0"/>
        <w:spacing w:line="570" w:lineRule="exact"/>
        <w:ind w:firstLine="640" w:firstLineChars="200"/>
        <w:rPr>
          <w:rFonts w:eastAsia="方正仿宋_GBK"/>
          <w:snapToGrid w:val="0"/>
          <w:color w:val="auto"/>
          <w:sz w:val="32"/>
          <w:szCs w:val="32"/>
          <w:highlight w:val="none"/>
        </w:rPr>
      </w:pPr>
      <w:bookmarkStart w:id="330" w:name="_Toc455071069"/>
      <w:r>
        <w:rPr>
          <w:rFonts w:eastAsia="方正仿宋_GBK"/>
          <w:snapToGrid w:val="0"/>
          <w:color w:val="auto"/>
          <w:sz w:val="32"/>
          <w:szCs w:val="32"/>
          <w:highlight w:val="none"/>
        </w:rPr>
        <w:t>系统参数</w:t>
      </w:r>
      <w:bookmarkEnd w:id="33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系统参数设置具体页面</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720080" cy="3051810"/>
            <wp:effectExtent l="0" t="0" r="13970" b="1524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63"/>
                    <a:stretch>
                      <a:fillRect/>
                    </a:stretch>
                  </pic:blipFill>
                  <pic:spPr>
                    <a:xfrm>
                      <a:off x="0" y="0"/>
                      <a:ext cx="5720080" cy="3051810"/>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bCs/>
          <w:snapToGrid w:val="0"/>
          <w:color w:val="auto"/>
          <w:sz w:val="32"/>
          <w:szCs w:val="32"/>
          <w:highlight w:val="none"/>
        </w:rPr>
      </w:pP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bCs/>
          <w:snapToGrid w:val="0"/>
          <w:color w:val="auto"/>
          <w:sz w:val="32"/>
          <w:szCs w:val="32"/>
          <w:highlight w:val="none"/>
        </w:rPr>
        <w:t>（9）公众号管理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政务新媒体矩阵平台支持对多个微信公众号进行集中管理，包括订阅号、服务号和企业号。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平台可与多个公众号进行绑定。实现集约化建设。</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741670" cy="1265555"/>
            <wp:effectExtent l="0" t="0" r="11430" b="10795"/>
            <wp:docPr id="4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1"/>
                    <pic:cNvPicPr>
                      <a:picLocks noChangeAspect="1"/>
                    </pic:cNvPicPr>
                  </pic:nvPicPr>
                  <pic:blipFill>
                    <a:blip r:embed="rId64"/>
                    <a:stretch>
                      <a:fillRect/>
                    </a:stretch>
                  </pic:blipFill>
                  <pic:spPr>
                    <a:xfrm>
                      <a:off x="0" y="0"/>
                      <a:ext cx="5741670" cy="126555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公众号集中管理</w:t>
      </w:r>
    </w:p>
    <w:p>
      <w:pPr>
        <w:adjustRightInd w:val="0"/>
        <w:snapToGrid w:val="0"/>
        <w:spacing w:line="570" w:lineRule="exact"/>
        <w:ind w:firstLine="640" w:firstLineChars="200"/>
        <w:rPr>
          <w:rFonts w:eastAsia="方正仿宋_GBK"/>
          <w:snapToGrid w:val="0"/>
          <w:color w:val="auto"/>
          <w:sz w:val="32"/>
          <w:szCs w:val="32"/>
          <w:highlight w:val="none"/>
        </w:rPr>
      </w:pPr>
    </w:p>
    <w:p>
      <w:pPr>
        <w:adjustRightInd w:val="0"/>
        <w:snapToGrid w:val="0"/>
        <w:spacing w:afterLines="3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135245" cy="3221355"/>
            <wp:effectExtent l="0" t="0" r="8255" b="17145"/>
            <wp:docPr id="5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pic:cNvPicPr>
                      <a:picLocks noChangeAspect="1"/>
                    </pic:cNvPicPr>
                  </pic:nvPicPr>
                  <pic:blipFill>
                    <a:blip r:embed="rId65"/>
                    <a:stretch>
                      <a:fillRect/>
                    </a:stretch>
                  </pic:blipFill>
                  <pic:spPr>
                    <a:xfrm>
                      <a:off x="0" y="0"/>
                      <a:ext cx="5135245" cy="322135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微信信息分享</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（10）同步粉丝</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snapToGrid w:val="0"/>
          <w:color w:val="auto"/>
          <w:sz w:val="32"/>
          <w:szCs w:val="32"/>
          <w:highlight w:val="none"/>
        </w:rPr>
        <w:t>可实现微信粉丝一键同步，并可与指定粉丝进行互动。</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679440" cy="928370"/>
            <wp:effectExtent l="0" t="0" r="16510" b="5080"/>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pic:cNvPicPr>
                      <a:picLocks noChangeAspect="1"/>
                    </pic:cNvPicPr>
                  </pic:nvPicPr>
                  <pic:blipFill>
                    <a:blip r:embed="rId66"/>
                    <a:stretch>
                      <a:fillRect/>
                    </a:stretch>
                  </pic:blipFill>
                  <pic:spPr>
                    <a:xfrm>
                      <a:off x="0" y="0"/>
                      <a:ext cx="5679440" cy="92837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一键同步粉丝</w:t>
      </w:r>
    </w:p>
    <w:p>
      <w:pPr>
        <w:adjustRightInd w:val="0"/>
        <w:snapToGrid w:val="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32" o:spt="75" type="#_x0000_t75" style="height:122.1pt;width:443.9pt;" o:ole="t" filled="f" o:preferrelative="t" stroked="f" coordsize="21600,21600">
            <v:path/>
            <v:fill on="f" focussize="0,0"/>
            <v:stroke on="f" joinstyle="miter"/>
            <v:imagedata r:id="rId68" o:title=""/>
            <o:lock v:ext="edit" aspectratio="t"/>
            <w10:wrap type="none"/>
            <w10:anchorlock/>
          </v:shape>
          <o:OLEObject Type="Embed" ProgID="Picture.PicObj.1" ShapeID="_x0000_i1032" DrawAspect="Content" ObjectID="_1468075732" r:id="rId67">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粉丝分组管理</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（11）对关注账号的微信用户进行查看和管理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政务新媒体矩阵平台提供动态用户统计分析功能</w:t>
      </w:r>
      <w:bookmarkStart w:id="331" w:name="_Toc419131817"/>
      <w:r>
        <w:rPr>
          <w:rFonts w:eastAsia="方正仿宋_GBK"/>
          <w:snapToGrid w:val="0"/>
          <w:color w:val="auto"/>
          <w:sz w:val="32"/>
          <w:szCs w:val="32"/>
          <w:highlight w:val="none"/>
        </w:rPr>
        <w:t>。</w:t>
      </w:r>
      <w:bookmarkEnd w:id="331"/>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用户统计分析模块，管理员可以快速了解到账号的用户增长情况及用户属性。包括新增人数、取消关注人数、净增人数、累计关注人数等用户增长关键指标，并以相应的曲线图和数据表来显示数量发展趋势。在用户属性中，可以看到用户的性别、语言、省份分布数量以及各自所占的比例。</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522470" cy="4866640"/>
            <wp:effectExtent l="0" t="0" r="11430" b="10160"/>
            <wp:docPr id="6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5"/>
                    <pic:cNvPicPr>
                      <a:picLocks noChangeAspect="1"/>
                    </pic:cNvPicPr>
                  </pic:nvPicPr>
                  <pic:blipFill>
                    <a:blip r:embed="rId69"/>
                    <a:srcRect l="29642" t="13303" r="18086" b="33119"/>
                    <a:stretch>
                      <a:fillRect/>
                    </a:stretch>
                  </pic:blipFill>
                  <pic:spPr>
                    <a:xfrm>
                      <a:off x="0" y="0"/>
                      <a:ext cx="4522470" cy="486664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动态统计分析图</w:t>
      </w:r>
    </w:p>
    <w:p>
      <w:pPr>
        <w:adjustRightInd w:val="0"/>
        <w:snapToGrid w:val="0"/>
        <w:spacing w:line="570" w:lineRule="exact"/>
        <w:ind w:firstLine="616" w:firstLineChars="200"/>
        <w:rPr>
          <w:rFonts w:eastAsia="方正仿宋_GBK"/>
          <w:snapToGrid w:val="0"/>
          <w:color w:val="auto"/>
          <w:sz w:val="32"/>
          <w:szCs w:val="32"/>
          <w:highlight w:val="none"/>
        </w:rPr>
      </w:pPr>
      <w:r>
        <w:rPr>
          <w:rFonts w:eastAsia="方正仿宋_GBK"/>
          <w:snapToGrid w:val="0"/>
          <w:color w:val="auto"/>
          <w:spacing w:val="-6"/>
          <w:sz w:val="32"/>
          <w:szCs w:val="32"/>
          <w:highlight w:val="none"/>
        </w:rPr>
        <w:t>菜单统计模块对改公众号的菜单点击次数、人数等进行了统</w:t>
      </w:r>
      <w:r>
        <w:rPr>
          <w:rFonts w:eastAsia="方正仿宋_GBK"/>
          <w:snapToGrid w:val="0"/>
          <w:color w:val="auto"/>
          <w:sz w:val="32"/>
          <w:szCs w:val="32"/>
          <w:highlight w:val="none"/>
        </w:rPr>
        <w:t>计。</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33" o:spt="75" type="#_x0000_t75" style="height:150.9pt;width:449.55pt;" o:ole="t" filled="f" o:preferrelative="t" stroked="f" coordsize="21600,21600">
            <v:path/>
            <v:fill on="f" focussize="0,0"/>
            <v:stroke on="f" joinstyle="miter"/>
            <v:imagedata r:id="rId71" o:title=""/>
            <o:lock v:ext="edit" aspectratio="t"/>
            <w10:wrap type="none"/>
            <w10:anchorlock/>
          </v:shape>
          <o:OLEObject Type="Embed" ProgID="Picture.PicObj.1" ShapeID="_x0000_i1033" DrawAspect="Content" ObjectID="_1468075733" r:id="rId70">
            <o:LockedField>false</o:LockedField>
          </o:OLEObject>
        </w:object>
      </w:r>
    </w:p>
    <w:p>
      <w:pPr>
        <w:adjustRightInd w:val="0"/>
        <w:snapToGrid w:val="0"/>
        <w:spacing w:line="360" w:lineRule="exact"/>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菜单统计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图文统计模块对该公众号的消息群发进行了统计，并且默认最近一次发的日期，如果该系统无最近的信息，则默认前一天的日期。</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34" o:spt="75" type="#_x0000_t75" style="height:197.85pt;width:442pt;" o:ole="t" filled="f" o:preferrelative="t" stroked="f" coordsize="21600,21600">
            <v:path/>
            <v:fill on="f" focussize="0,0"/>
            <v:stroke on="f" joinstyle="miter"/>
            <v:imagedata r:id="rId73" o:title=""/>
            <o:lock v:ext="edit" aspectratio="t"/>
            <w10:wrap type="none"/>
            <w10:anchorlock/>
          </v:shape>
          <o:OLEObject Type="Embed" ProgID="Picture.PicObj.1" ShapeID="_x0000_i1034" DrawAspect="Content" ObjectID="_1468075734" r:id="rId72">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消息统计</w:t>
      </w:r>
      <w:bookmarkStart w:id="332" w:name="_Toc455566785"/>
      <w:bookmarkStart w:id="333" w:name="_Toc430357345"/>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bCs/>
          <w:snapToGrid w:val="0"/>
          <w:color w:val="auto"/>
          <w:sz w:val="32"/>
          <w:szCs w:val="32"/>
          <w:highlight w:val="none"/>
        </w:rPr>
        <w:t>（12）便捷菜单设计</w:t>
      </w:r>
      <w:bookmarkEnd w:id="332"/>
      <w:bookmarkEnd w:id="333"/>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用户可使用“菜单管理”功能设置3个一级菜单，每个一级菜单可设置5个二级菜单，菜单创建后，微信公众号将出现相应的菜单入口。</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 xml:space="preserve">菜单类型满足：链接地址、应用、文本消息、图文消息。应用指与系统集成的业务系统或第三方应用。 </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752465" cy="1478915"/>
            <wp:effectExtent l="0" t="0" r="635" b="6985"/>
            <wp:docPr id="4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8"/>
                    <pic:cNvPicPr>
                      <a:picLocks noChangeAspect="1"/>
                    </pic:cNvPicPr>
                  </pic:nvPicPr>
                  <pic:blipFill>
                    <a:blip r:embed="rId74"/>
                    <a:stretch>
                      <a:fillRect/>
                    </a:stretch>
                  </pic:blipFill>
                  <pic:spPr>
                    <a:xfrm>
                      <a:off x="0" y="0"/>
                      <a:ext cx="5752465" cy="147891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便捷菜单栏目设计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bCs/>
          <w:snapToGrid w:val="0"/>
          <w:color w:val="auto"/>
          <w:sz w:val="32"/>
          <w:szCs w:val="32"/>
          <w:highlight w:val="none"/>
        </w:rPr>
        <w:t>（13）提供菜单动作库</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二级菜单或者没有二级菜单的一级菜单可以设置动作。新增菜单或者编辑菜单时，勾选“设置动作”则可以为该菜单设置动作，动作类型分为链接地址、应用、文本消息和图文消息四种。</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403725" cy="3783965"/>
            <wp:effectExtent l="0" t="0" r="15875" b="6985"/>
            <wp:docPr id="3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9"/>
                    <pic:cNvPicPr>
                      <a:picLocks noChangeAspect="1"/>
                    </pic:cNvPicPr>
                  </pic:nvPicPr>
                  <pic:blipFill>
                    <a:blip r:embed="rId75"/>
                    <a:stretch>
                      <a:fillRect/>
                    </a:stretch>
                  </pic:blipFill>
                  <pic:spPr>
                    <a:xfrm>
                      <a:off x="0" y="0"/>
                      <a:ext cx="4403725" cy="378396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动作备注：</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1.链接地址：点击后直接跳转url链接；</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2.应用：点击后直接使用某个应用；</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3.文本消息：点击后直接提示文本消息；</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4.图文消息：点击后直接提示图文消息。</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（14）提供在线编辑操作</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消息群发包括新增、发送、删除、预览和检索这几个功能。主要实现了对粉丝的消息群发功能。已发送成功的消息不可选中与编辑。服务号每月可发送4条消息，发送对象可选择全部粉丝或自选粉丝。订阅号每天可发送1条消息，可以选择发送给全部粉丝或是发送给某一分组中的粉丝。</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805170" cy="1871345"/>
            <wp:effectExtent l="0" t="0" r="5080" b="14605"/>
            <wp:docPr id="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0"/>
                    <pic:cNvPicPr>
                      <a:picLocks noChangeAspect="1"/>
                    </pic:cNvPicPr>
                  </pic:nvPicPr>
                  <pic:blipFill>
                    <a:blip r:embed="rId76"/>
                    <a:stretch>
                      <a:fillRect/>
                    </a:stretch>
                  </pic:blipFill>
                  <pic:spPr>
                    <a:xfrm>
                      <a:off x="0" y="0"/>
                      <a:ext cx="5805170" cy="187134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新增：点击新增按钮将进入新增群发页面。可以选择群发对象，全部粉丝或是自选粉丝。若选择自选粉丝，则可以继续选择消息发送的对象。消息类型可以选择文本、图文、图片、语音或者是视频。</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73675" cy="3806190"/>
            <wp:effectExtent l="0" t="0" r="3175" b="381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77"/>
                    <a:stretch>
                      <a:fillRect/>
                    </a:stretch>
                  </pic:blipFill>
                  <pic:spPr>
                    <a:xfrm>
                      <a:off x="0" y="0"/>
                      <a:ext cx="5273675" cy="3806190"/>
                    </a:xfrm>
                    <a:prstGeom prst="rect">
                      <a:avLst/>
                    </a:prstGeom>
                    <a:noFill/>
                    <a:ln>
                      <a:noFill/>
                    </a:ln>
                  </pic:spPr>
                </pic:pic>
              </a:graphicData>
            </a:graphic>
          </wp:inline>
        </w:drawing>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86400" cy="3997960"/>
            <wp:effectExtent l="0" t="0" r="0" b="2540"/>
            <wp:docPr id="5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2"/>
                    <pic:cNvPicPr>
                      <a:picLocks noChangeAspect="1"/>
                    </pic:cNvPicPr>
                  </pic:nvPicPr>
                  <pic:blipFill>
                    <a:blip r:embed="rId78"/>
                    <a:stretch>
                      <a:fillRect/>
                    </a:stretch>
                  </pic:blipFill>
                  <pic:spPr>
                    <a:xfrm>
                      <a:off x="0" y="0"/>
                      <a:ext cx="5486400" cy="3997960"/>
                    </a:xfrm>
                    <a:prstGeom prst="rect">
                      <a:avLst/>
                    </a:prstGeom>
                    <a:noFill/>
                    <a:ln>
                      <a:noFill/>
                    </a:ln>
                  </pic:spPr>
                </pic:pic>
              </a:graphicData>
            </a:graphic>
          </wp:inline>
        </w:drawing>
      </w:r>
    </w:p>
    <w:p>
      <w:pPr>
        <w:adjustRightInd w:val="0"/>
        <w:snapToGrid w:val="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86400" cy="2158365"/>
            <wp:effectExtent l="0" t="0" r="0" b="13335"/>
            <wp:docPr id="5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3"/>
                    <pic:cNvPicPr>
                      <a:picLocks noChangeAspect="1"/>
                    </pic:cNvPicPr>
                  </pic:nvPicPr>
                  <pic:blipFill>
                    <a:blip r:embed="rId79"/>
                    <a:srcRect b="10161"/>
                    <a:stretch>
                      <a:fillRect/>
                    </a:stretch>
                  </pic:blipFill>
                  <pic:spPr>
                    <a:xfrm>
                      <a:off x="0" y="0"/>
                      <a:ext cx="5486400" cy="215836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发送：勾选消息点击发送，即可群发该消息。已发送过的消息将不能再次进行发送。</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删除：当消息在未发送状态的时候，可以勾选进行删除。一旦状态为已发送时，只能删除图文消息和视频消息，其他类型的消息一经发送将无法删除。</w:t>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预览：使用预览功能将有助于更好的进行排版。可以通过预览</w:t>
      </w:r>
      <w:r>
        <w:rPr>
          <w:rFonts w:hint="eastAsia" w:eastAsia="方正仿宋_GBK"/>
          <w:bCs/>
          <w:snapToGrid w:val="0"/>
          <w:color w:val="auto"/>
          <w:sz w:val="32"/>
          <w:szCs w:val="32"/>
          <w:highlight w:val="none"/>
        </w:rPr>
        <w:t>→</w:t>
      </w:r>
      <w:r>
        <w:rPr>
          <w:rFonts w:eastAsia="方正仿宋_GBK"/>
          <w:bCs/>
          <w:snapToGrid w:val="0"/>
          <w:color w:val="auto"/>
          <w:sz w:val="32"/>
          <w:szCs w:val="32"/>
          <w:highlight w:val="none"/>
        </w:rPr>
        <w:t>选择粉丝后先发送一条消息样式给该粉丝，等排版样式等都确定之后再进行发送工作。只能选择一位粉丝发送预览。</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73675" cy="2637155"/>
            <wp:effectExtent l="0" t="0" r="3175" b="10795"/>
            <wp:docPr id="5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4"/>
                    <pic:cNvPicPr>
                      <a:picLocks noChangeAspect="1"/>
                    </pic:cNvPicPr>
                  </pic:nvPicPr>
                  <pic:blipFill>
                    <a:blip r:embed="rId80"/>
                    <a:stretch>
                      <a:fillRect/>
                    </a:stretch>
                  </pic:blipFill>
                  <pic:spPr>
                    <a:xfrm>
                      <a:off x="0" y="0"/>
                      <a:ext cx="5273675" cy="2637155"/>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bCs/>
          <w:snapToGrid w:val="0"/>
          <w:color w:val="auto"/>
          <w:sz w:val="32"/>
          <w:szCs w:val="32"/>
          <w:highlight w:val="none"/>
        </w:rPr>
      </w:pPr>
      <w:r>
        <w:rPr>
          <w:rFonts w:eastAsia="方正仿宋_GBK"/>
          <w:bCs/>
          <w:snapToGrid w:val="0"/>
          <w:color w:val="auto"/>
          <w:sz w:val="32"/>
          <w:szCs w:val="32"/>
          <w:highlight w:val="none"/>
        </w:rPr>
        <w:t>检索：根据图文标题/文本内容/文本名进行模糊查询。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（15）提供政务APP客户端二维码统一管理，各类不同用户能够从苹果APP store、各个Android市场下载到最新版本的APP。无论用户使用何种操作系统的智能终端，都可以方便、快捷地享受基于微门户提供的政务公共服务，从而使政务服务能够覆盖更多人群。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政务APP客户端通过使用HTTP接口、WebService接口以及底层数据库间的数据交换等方式与集约化管理平台对接，可满足政务APP客户端与第三方应用系统数据交互、资源共享等需求。</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12.新媒体对接及舆情分析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接全自治区范围内4774家新媒体，实现和集约化平台内容管理系统等业务系统的对接，并从互联网定向抓取各个新媒体（微博、微信、APP）的信息，通过排重、分词、抽取、索引等预处理工作，建立起庞大的海量信息库，对采集信息内容进行热点分析和识别，图形化展示聚类结果和热点趋势。定向聚类功能，能够选择聚类范围，如来源、时间、类型、类别、墙内墙外、来源网站，进行自动聚类，并图形化展示聚类结果和热点趋势。定题聚类功能，能够针对某一专题内容进行聚类分析，并图形化展示聚类结果和热点趋势。支持定向定题聚类分析，能够针对不同范围、不同新闻主体进行聚类分析，并图形化展示聚类结果和热点趋势。</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12.1信息收集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基于网络数据采集的互联网信息接入模块，采用基础的分布式爬虫工具，通过二次定制 开发，使平台具备对互联网新媒体网络社交论坛、微博舆论信息、微信公众号、APP客户端等相关信息资源进行接入的能力。爬虫工具使用者通过在工具中配置目标网站或网址、爬取语义关键词、数据筛选、数据存储位置及方式等参数，可以快速实现对目标网站的数据爬取工作。实现部分互</w:t>
      </w:r>
      <w:r>
        <w:rPr>
          <w:rFonts w:eastAsia="方正仿宋_GBK"/>
          <w:snapToGrid w:val="0"/>
          <w:color w:val="auto"/>
          <w:spacing w:val="-4"/>
          <w:sz w:val="32"/>
          <w:szCs w:val="32"/>
          <w:highlight w:val="none"/>
        </w:rPr>
        <w:t>联网门户网站、网络社交论坛、微博以及微信公众号的爬虫，并采集相应数据以供平台使用。对于以后新增的应用，如果需要用到其他网站的数据，则可以基于平台的爬虫框架，提供相应的爬</w:t>
      </w:r>
      <w:r>
        <w:rPr>
          <w:rFonts w:eastAsia="方正仿宋_GBK"/>
          <w:snapToGrid w:val="0"/>
          <w:color w:val="auto"/>
          <w:sz w:val="32"/>
          <w:szCs w:val="32"/>
          <w:highlight w:val="none"/>
        </w:rPr>
        <w:t>虫。</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687570" cy="1894840"/>
            <wp:effectExtent l="0" t="0" r="17780" b="10160"/>
            <wp:docPr id="63" name="图片 65" descr="说明: 信息抓取流程图11"/>
            <wp:cNvGraphicFramePr/>
            <a:graphic xmlns:a="http://schemas.openxmlformats.org/drawingml/2006/main">
              <a:graphicData uri="http://schemas.openxmlformats.org/drawingml/2006/picture">
                <pic:pic xmlns:pic="http://schemas.openxmlformats.org/drawingml/2006/picture">
                  <pic:nvPicPr>
                    <pic:cNvPr id="63" name="图片 65" descr="说明: 信息抓取流程图11"/>
                    <pic:cNvPicPr/>
                  </pic:nvPicPr>
                  <pic:blipFill>
                    <a:blip r:embed="rId81"/>
                    <a:stretch>
                      <a:fillRect/>
                    </a:stretch>
                  </pic:blipFill>
                  <pic:spPr>
                    <a:xfrm>
                      <a:off x="0" y="0"/>
                      <a:ext cx="4687570" cy="189484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混合数据接入分析存储过程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基于数据源层的数据接入系统通过对新媒体互联网数据资源进行统一接入，为新媒体矩阵平台提供原始数据支撑。原始数据至少包括政府信息、企业信息、工业经济信息、地理空间信息和互联网信息。采集接入的所有工作，并负责数据采集接入过程中相关的协调、数据清洗处理、数据脱敏脱密等工作，并准确定义接入的数据来源、数据分类、数据内容、数据量、数据获取的方式和途径。系统需要精准度高、易用性好、灵活性强、稳定性高、信息采集内容全面、采集性能高、资源共享便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精确度高：可以按照自身需要自行选择、设定监测的目标网站和特定信息源，实施24小时不间断监测和采集，信息动态始终处于掌握之中。系统支持将新媒体中的信息内容按某个区域进行提取并能实现对分页文章页的分别采集与重新组合功能，对无关的信息可实行过滤。信息采集范围可以精确到特定网站、特定栏目、特定页面及特定的区域。</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易用性好：系统参数设置简单，一次设定可多次循环采集。采用精确抓取时针对不同用户应用要求，可设定“所见即所得”的区域点击选取信息内容方式。设置过程直观、便捷。系统能将收集的信息进行精确的自动分类与整理，按照用户要求向其它应用快速推送或流入本系统数据中储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灵活性强：系统具有很强的灵活性，可按需选择目标站点，并根据需求，可随时增加、删除或启用、停用对目标站点的采集任务。并可对所采集的信息有条的选取、过滤和部分信息的替换。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稳定性高：系统稳定性要高，可以在“7天×24小时”运行模式下长时间地运行。</w:t>
      </w:r>
    </w:p>
    <w:p>
      <w:pPr>
        <w:adjustRightInd w:val="0"/>
        <w:snapToGrid w:val="0"/>
        <w:spacing w:line="570" w:lineRule="exact"/>
        <w:ind w:firstLine="624" w:firstLineChars="200"/>
        <w:rPr>
          <w:rFonts w:eastAsia="方正仿宋_GBK"/>
          <w:snapToGrid w:val="0"/>
          <w:color w:val="auto"/>
          <w:sz w:val="32"/>
          <w:szCs w:val="32"/>
          <w:highlight w:val="none"/>
        </w:rPr>
      </w:pPr>
      <w:r>
        <w:rPr>
          <w:rFonts w:eastAsia="方正仿宋_GBK"/>
          <w:snapToGrid w:val="0"/>
          <w:color w:val="auto"/>
          <w:spacing w:val="-4"/>
          <w:sz w:val="32"/>
          <w:szCs w:val="32"/>
          <w:highlight w:val="none"/>
        </w:rPr>
        <w:t>采集内容全面：能适应对不同网站架构不同内容格式的信息采集（如：文字、图片、附件、论坛、微信、博客、APP等），能完整地获取需要采集的信息，网页采集内容的完整性可达99%以</w:t>
      </w:r>
      <w:r>
        <w:rPr>
          <w:rFonts w:eastAsia="方正仿宋_GBK"/>
          <w:snapToGrid w:val="0"/>
          <w:color w:val="auto"/>
          <w:sz w:val="32"/>
          <w:szCs w:val="32"/>
          <w:highlight w:val="none"/>
        </w:rPr>
        <w:t>上。</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采集性能高：系统支持多线程处理技术，支持运行多线程及对上万个新媒体的多任务并发采集。大大加快了信息的采集速度，保证在同等单位时间内信息的采集量成倍数增长。每分钟可以采集到上百条最新网页信息，每小时可以同时监控10万个以上的新媒体展现端。同时可实现对线程的自由监控与管理，保障系统不间断地平稳运行。</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资源共享便捷：通过系统对第三方系统的接口预留，可实现对采集到的信息向其它系统流转（如采集系统可与集约化平台内容管理系统无缝对接），实现采集到的信息资源对其他系统的共享，保障资源能够得到有效和合理的利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具体功能如下：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（1）高效的任务管理，提供丰富的采集通道</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多任务分类管理：通过任务类别管理可实现对信息采集任务的分类创建。可方便地对任务的清晰查看。其主要提供的功能有：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系统采用多层目录树方式实现对采集任务的各种复杂分类；</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系统支持鼠标右键功能，方便用户的使用和快捷维护。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多任务编辑与创建：任务管理主要是实现任务设置的模块，其支持任务创建、编辑管理和自定义分类，并可进行相应的任务参数设定。</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33060" cy="2679700"/>
            <wp:effectExtent l="0" t="0" r="15240" b="6350"/>
            <wp:docPr id="43" name="图片 66" descr="说明: 1"/>
            <wp:cNvGraphicFramePr/>
            <a:graphic xmlns:a="http://schemas.openxmlformats.org/drawingml/2006/main">
              <a:graphicData uri="http://schemas.openxmlformats.org/drawingml/2006/picture">
                <pic:pic xmlns:pic="http://schemas.openxmlformats.org/drawingml/2006/picture">
                  <pic:nvPicPr>
                    <pic:cNvPr id="43" name="图片 66" descr="说明: 1"/>
                    <pic:cNvPicPr/>
                  </pic:nvPicPr>
                  <pic:blipFill>
                    <a:blip r:embed="rId82"/>
                    <a:stretch>
                      <a:fillRect/>
                    </a:stretch>
                  </pic:blipFill>
                  <pic:spPr>
                    <a:xfrm>
                      <a:off x="0" y="0"/>
                      <a:ext cx="5433060" cy="2679700"/>
                    </a:xfrm>
                    <a:prstGeom prst="rect">
                      <a:avLst/>
                    </a:prstGeom>
                    <a:noFill/>
                    <a:ln>
                      <a:noFill/>
                    </a:ln>
                  </pic:spPr>
                </pic:pic>
              </a:graphicData>
            </a:graphic>
          </wp:inline>
        </w:drawing>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任务参数设定：可实现对RSS资源的采集和URL导航信息的采集功能，针对RSS资源信息的采集，系统提供有任务概述和高级设置，针对URL导航采集方式除提供任务概述、高级设置外，还增设有采集规则和数据提取规则的参数设定。其具体功能点及相关简要说明如下表所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（2）完善的信息管理，提供优质的信息资源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高效的信息管理：信息管理是对采集到的信息进行维护管理的模块。包括对信息的查看、编辑、删除、导出、清空、检索、高级检索等多种管理模式。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严谨的信息审核机制：信息采集后可直接进入系统中间稿库（信息审核库），通过手工选择编辑后，也可同步到集约化内容管理系统中，并且中间稿库支持多级分类设置及入库审批。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精准的数据采集处理：为了能进一步精确采集信息，系统提供高级精确智能采集来扩展采集设定。可以以“文章标题、副标题、作者、发稿时间、来源、摘要、正文、关键字、编辑、图片、附件”等字段进行精确设定，以此来保证信息的可用性、精确性，操作方式同样采用区域选择拖拽式，一步到位，最大限度保证过滤掉页面中广告等无用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（3）详尽的日志记录，提供有力的安全保障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通过日志管理可实现对系统相关的采集任务作详细的记录，系统对日志的管理主要提供有：任务名称、采集周期、上次采集时间、下次采集时间、采集次数、延时情况、运行结果、日志查看、历史日志的清除等。同时系统支持对异常任务日志单独记录，方便分析查看。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（4）实时的运行监控，提供灵活的采集控制：运行监控用于查看和监控任务的采集状态。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支持多任务线程池采集技术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支持当前线程池中运行采集任务状态的实时查看，并且可以对当前任务进行暂停、重新开始、停止操作。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支持对任务的循环采集，每次采集结束后到下次采集开始时在等待任务列表中。</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5）简易的系统设置，提供多用户协同管理：主要用于对本系统的机构、用户以及角色的管理。用户可根据本机构的实际情况自行创建、修改、导入或删除机构目录，并可在相关机构目录下创建用户账户和授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系统提供了完整的权限管理方案，可根据不同的角色来管理不同的模块，如管理员可配置任务、监控任务，领导可审核信息、查看信息分发的统计情况。</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多用户机构设定：通过系统设置中的机构定功能，可根据客观情况设定机构层级体系自由地设定系统维护机构体系。系统支持多层级目录树式机构创建，基本满足不同用户的需求。</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通过角色设定，实现对用户使用功能菜单的权限进行界定，一个用户可以拥有多个角色。网站群内容管理系统提供有系统管理员角色、网站管理员角色、信息管理员角色以及模板管理员角色几种类型。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多用户权限设定：通过用户设定，设置系统的用户管理体系，并采用矩阵式分配方式实现对用户权限的自由分配。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（6）丰富的系统接口，提供向各类系统分发，资源格式转换，系统获取到信息后，针对可能包含图片文件，可根据需要将图片格式进行转换，如JPG、GIF、BMP图片转换成PNG图片。文件大小能够可自由控制。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信息资源分发：经由格式转换后的信息资源，可提供进一步的信息编辑、审核、分发的功能，管理员可以对转换过的信息进行二次编辑，编辑后可由领导进行审核。</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审核完毕的信息可通过规范化接口直接分发到相关服务商所提供的各业务应用系统内。信息分发可支持手工分发和自动分发。</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eastAsia="方正仿宋_GBK"/>
          <w:snapToGrid w:val="0"/>
          <w:color w:val="auto"/>
          <w:sz w:val="32"/>
          <w:szCs w:val="32"/>
          <w:highlight w:val="none"/>
        </w:rPr>
        <w:t>12.2</w:t>
      </w:r>
      <w:r>
        <w:rPr>
          <w:rFonts w:eastAsia="方正仿宋_GBK"/>
          <w:snapToGrid w:val="0"/>
          <w:color w:val="auto"/>
          <w:sz w:val="32"/>
          <w:szCs w:val="32"/>
          <w:highlight w:val="none"/>
        </w:rPr>
        <w:t>舆情分析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从而对新媒体矩阵中已对接的微博、微信、APP进行互联网的舆情传播分析及监测，实现定向监测、全网监测、专题监测、重点人员监测、舆情搜索、统计分析、热点舆情、舆情报告、舆情预警、舆情快照、探针功能、敏感词库功能、综合传播力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（1）定向监测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在已添加的信息源中进行监测/搜索。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（2）全网监测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整合了百度、必应、中搜、搜狗、soso、有道等搜索引擎的搜索结果，并可按网页、APP新闻、微信公众号、博客分类搜索和显示。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（3）专题监测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可根据用户设定的专题和关键字浏览舆情信息。可创建、编辑、删除专题。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（4）重点人员监测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通过发布作者网名，实时跟踪该人员的网络活动轨迹，找到发布的帖子、博文和评论。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（5）舆情搜索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多条件检索：支持多种条件的检索。（如：标题、作者、贴子……）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布尔逻辑检索：支持“与、或、非”三种逻辑关系的检索。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逻辑符号 + 表示“与”。</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逻辑符号 |  表示“或”。</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逻辑符号 – 表示“非”。</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逻辑符号（）括号 表示“集合”或组合。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高级检索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可按标题、所有文章、论坛主题帖、新闻、限论坛主题帖、时间、信息源等多种条件检索内容。</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（6）统计分析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近期舆情趋势</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可分类查看一周内的舆情整体趋势，如：每日论坛文章数、每日新闻文章数、每日博文文章数等。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媒体分布图：可查看一周排名前10的媒体分布。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时间分布图：统计设定时间内文章数的分布。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来源分布图：统计信息来源处出下的文章数。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专题统计图：可查看一周内排名前十的热点舆情指数，排名越靠前说明舆情信息越多，需重点关注。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网站统计图：统计各大网站信息来源下的文章数。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（7）热点舆情</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博客热点：显示信息源内当日热映的博客。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微信热点：显示信息源内当日热映的微信公众号。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APP新闻热点：显示信息源内当日热点的舆情新闻。</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（8）舆情报告</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Word报告：支持WORD形式的导出简报。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Excel报告：支持EXCEL形式的导出简报。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（9）舆情预警和上报</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邮件预警：可根据自定义专题进行邮件预警，可灵活设置预警时间。</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舆情上报：可对上级部门报送舆情信息，也可向平级部门推送舆情信息。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（10）舆情快照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取证功能，将选中的信息保存在您的系统中，即使网站删除该信息，从系统中依旧可以调出原信息源。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（11）探针功能</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可为某条信息设置探针，系统自动跟踪该条信息，并将该信息是否被删除的状态反馈给用户。</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（12）敏感词库</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 xml:space="preserve">可对敏感词进行分类、添加、删除、修改等管理操作。 </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（13）综合传播力分析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综合传播力指数是微博传播力、微信传播力、客户端传播力新媒体维度测量的综合性指数，每一维度都是构成具体方面的分指数，每个分指数又由若干个指标合成。其测评方法主要借鉴了微博推出的微指数、Alexa排名指数、谷歌PageRank算法，基本思路是根据每个评价指标的上、下限阈值来计算单个指标指数（即无量纲化），指数一般分布在0和10000之间，再根据每个指标的权重最终合成综合传播力指数。此种方法测算的指数不仅横向可比，而且纵向可比各新媒体的传播力和影响力。通过微博、微信、APP等新媒体的互联网传播情况监测，生成引导力榜单，可充分评估各新媒体在互联网的综合影响力。</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811520" cy="4733925"/>
            <wp:effectExtent l="0" t="0" r="17780" b="9525"/>
            <wp:docPr id="3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7"/>
                    <pic:cNvPicPr>
                      <a:picLocks noChangeAspect="1"/>
                    </pic:cNvPicPr>
                  </pic:nvPicPr>
                  <pic:blipFill>
                    <a:blip r:embed="rId83"/>
                    <a:stretch>
                      <a:fillRect/>
                    </a:stretch>
                  </pic:blipFill>
                  <pic:spPr>
                    <a:xfrm>
                      <a:off x="0" y="0"/>
                      <a:ext cx="5811520" cy="4733925"/>
                    </a:xfrm>
                    <a:prstGeom prst="rect">
                      <a:avLst/>
                    </a:prstGeom>
                    <a:noFill/>
                    <a:ln>
                      <a:noFill/>
                    </a:ln>
                  </pic:spPr>
                </pic:pic>
              </a:graphicData>
            </a:graphic>
          </wp:inline>
        </w:drawing>
      </w:r>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bCs/>
          <w:snapToGrid w:val="0"/>
          <w:color w:val="auto"/>
          <w:sz w:val="32"/>
          <w:szCs w:val="32"/>
          <w:highlight w:val="none"/>
        </w:rPr>
      </w:pPr>
      <w:bookmarkStart w:id="334" w:name="_Toc536611176"/>
      <w:bookmarkStart w:id="335" w:name="_Toc536773530"/>
      <w:bookmarkStart w:id="336" w:name="_Toc1811276"/>
      <w:bookmarkStart w:id="337" w:name="_Toc20880"/>
      <w:bookmarkStart w:id="338" w:name="_Toc10957"/>
    </w:p>
    <w:p>
      <w:pPr>
        <w:numPr>
          <w:ilvl w:val="2"/>
          <w:numId w:val="0"/>
        </w:numPr>
        <w:tabs>
          <w:tab w:val="left" w:pos="1418"/>
          <w:tab w:val="left" w:pos="1560"/>
          <w:tab w:val="left" w:pos="1844"/>
        </w:tabs>
        <w:adjustRightInd w:val="0"/>
        <w:snapToGrid w:val="0"/>
        <w:spacing w:line="570" w:lineRule="exact"/>
        <w:ind w:firstLine="640" w:firstLineChars="200"/>
        <w:outlineLvl w:val="2"/>
        <w:rPr>
          <w:rFonts w:ascii="方正楷体_GBK" w:eastAsia="方正楷体_GBK"/>
          <w:bCs/>
          <w:snapToGrid w:val="0"/>
          <w:color w:val="auto"/>
          <w:sz w:val="32"/>
          <w:szCs w:val="32"/>
          <w:highlight w:val="none"/>
        </w:rPr>
      </w:pPr>
      <w:r>
        <w:rPr>
          <w:rFonts w:hint="eastAsia" w:ascii="方正楷体_GBK" w:eastAsia="方正楷体_GBK"/>
          <w:bCs/>
          <w:snapToGrid w:val="0"/>
          <w:color w:val="auto"/>
          <w:sz w:val="32"/>
          <w:szCs w:val="32"/>
          <w:highlight w:val="none"/>
        </w:rPr>
        <w:t>（十三）安全态势感知系统</w:t>
      </w:r>
      <w:bookmarkEnd w:id="334"/>
      <w:bookmarkEnd w:id="335"/>
      <w:bookmarkEnd w:id="336"/>
      <w:bookmarkEnd w:id="337"/>
      <w:bookmarkEnd w:id="338"/>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1.总体设计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自适应安全防护平台、安全威胁预警平台，对所有网站进行统一管理，全面发现业务安全问题，运维人员能够接收云端智能推送的定制化每日安全职守报告，快速了解、汇报实时安全态势。同时以微信实时告警、智能策略调优、专家跟进响应等方式，让安全运维可视化自动化，极大减轻运维人员工作量，并达到7*24小时监控，5分钟内响应恶性事件的效果。结合传统人工服务，利用风险评估、渗透测试，定期对业务系统进行深度安全检测，提供加固建议；同时对本单位人员进行安全培训、安全演练等，提升网络安全意识，提升网络安全维护人员自身技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本项目基于成熟的安全态势感知系统，并针对集约化网站作定制开发的方式实现系统快速开发和部署。</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网站安全态势感知系统总体框架如下图：</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580380" cy="2783840"/>
            <wp:effectExtent l="0" t="0" r="1270" b="16510"/>
            <wp:docPr id="9" name="图片 68" descr="C:\Users\HP\AppData\Local\Microsoft\Windows\INetCache\Content.Word\态势感知整体框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descr="C:\Users\HP\AppData\Local\Microsoft\Windows\INetCache\Content.Word\态势感知整体框架.png"/>
                    <pic:cNvPicPr>
                      <a:picLocks noChangeAspect="1"/>
                    </pic:cNvPicPr>
                  </pic:nvPicPr>
                  <pic:blipFill>
                    <a:blip r:embed="rId84"/>
                    <a:stretch>
                      <a:fillRect/>
                    </a:stretch>
                  </pic:blipFill>
                  <pic:spPr>
                    <a:xfrm>
                      <a:off x="0" y="0"/>
                      <a:ext cx="5580380" cy="278384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网站安全监测态势感知整体框架图</w:t>
      </w:r>
    </w:p>
    <w:p>
      <w:pPr>
        <w:numPr>
          <w:ilvl w:val="3"/>
          <w:numId w:val="0"/>
        </w:numPr>
        <w:tabs>
          <w:tab w:val="left" w:pos="1418"/>
        </w:tabs>
        <w:adjustRightInd w:val="0"/>
        <w:snapToGrid w:val="0"/>
        <w:spacing w:line="570" w:lineRule="exact"/>
        <w:ind w:firstLine="640" w:firstLineChars="200"/>
        <w:outlineLvl w:val="3"/>
        <w:rPr>
          <w:rFonts w:eastAsia="方正仿宋_GBK"/>
          <w:bCs/>
          <w:snapToGrid w:val="0"/>
          <w:color w:val="auto"/>
          <w:sz w:val="32"/>
          <w:szCs w:val="32"/>
          <w:highlight w:val="none"/>
        </w:rPr>
      </w:pPr>
      <w:r>
        <w:rPr>
          <w:rFonts w:eastAsia="方正仿宋_GBK"/>
          <w:bCs/>
          <w:snapToGrid w:val="0"/>
          <w:color w:val="auto"/>
          <w:sz w:val="32"/>
          <w:szCs w:val="32"/>
          <w:highlight w:val="none"/>
        </w:rPr>
        <w:t>2.功能设计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网站安全监测态势感知方案按照功能模块，主要由4个子系统组成，具体如下：</w:t>
      </w:r>
    </w:p>
    <w:p>
      <w:pPr>
        <w:adjustRightInd w:val="0"/>
        <w:snapToGrid w:val="0"/>
        <w:spacing w:before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486910" cy="2296795"/>
            <wp:effectExtent l="0" t="0" r="8890" b="8255"/>
            <wp:docPr id="7" name="图片 69" descr="C:\Users\HP\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9" descr="C:\Users\HP\Desktop\图片3.png"/>
                    <pic:cNvPicPr>
                      <a:picLocks noChangeAspect="1"/>
                    </pic:cNvPicPr>
                  </pic:nvPicPr>
                  <pic:blipFill>
                    <a:blip r:embed="rId85"/>
                    <a:stretch>
                      <a:fillRect/>
                    </a:stretch>
                  </pic:blipFill>
                  <pic:spPr>
                    <a:xfrm>
                      <a:off x="0" y="0"/>
                      <a:ext cx="4486910" cy="229679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网站安全监测态势感知解决方案主要功能结构图</w:t>
      </w:r>
    </w:p>
    <w:p>
      <w:pPr>
        <w:numPr>
          <w:ilvl w:val="4"/>
          <w:numId w:val="0"/>
        </w:numPr>
        <w:tabs>
          <w:tab w:val="left" w:pos="1418"/>
        </w:tabs>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2.1  安全监测子系统</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安全监测子系统，主要采用流式计算引擎、关联分析引擎、智能检索引擎等大数据处理技术，实时监测网站安全情况，及时发现国际敌对势力、黑客组织等不法分子的攻击活动、攻击手段和攻击目的，全面监测广西政府网站集约化平台管理范围内单位信息系统和网络，实现对安全漏洞、威胁隐患、高级威胁攻击的快速识别，并为通报处置和侦测调查等业务子系统提供强有力的数据支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要功能模块包括安全监测管理、报表管理、用户管理、日志管理、安全事件管理、资产管理、系统管理。其中，安全监测管理主要是漏洞监测、网页篡改监测、网页挂马监测、内容变更监测、黑词监测、黑链监测、敏感词监测，可用性监测等。功能模块如下图：</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151755" cy="3001010"/>
            <wp:effectExtent l="0" t="0" r="10795" b="8890"/>
            <wp:docPr id="3" name="图片 70" descr="C:\Users\HP\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0" descr="C:\Users\HP\Desktop\图片2.png"/>
                    <pic:cNvPicPr>
                      <a:picLocks noChangeAspect="1"/>
                    </pic:cNvPicPr>
                  </pic:nvPicPr>
                  <pic:blipFill>
                    <a:blip r:embed="rId86"/>
                    <a:stretch>
                      <a:fillRect/>
                    </a:stretch>
                  </pic:blipFill>
                  <pic:spPr>
                    <a:xfrm>
                      <a:off x="0" y="0"/>
                      <a:ext cx="5151755" cy="3001010"/>
                    </a:xfrm>
                    <a:prstGeom prst="rect">
                      <a:avLst/>
                    </a:prstGeom>
                    <a:noFill/>
                    <a:ln>
                      <a:noFill/>
                    </a:ln>
                  </pic:spPr>
                </pic:pic>
              </a:graphicData>
            </a:graphic>
          </wp:inline>
        </w:drawing>
      </w:r>
    </w:p>
    <w:p>
      <w:pPr>
        <w:adjustRightInd w:val="0"/>
        <w:snapToGrid w:val="0"/>
        <w:spacing w:beforeLines="50" w:afterLines="80"/>
        <w:jc w:val="center"/>
        <w:rPr>
          <w:rFonts w:eastAsia="方正仿宋_GBK"/>
          <w:snapToGrid w:val="0"/>
          <w:color w:val="auto"/>
          <w:sz w:val="32"/>
          <w:szCs w:val="32"/>
          <w:highlight w:val="none"/>
        </w:rPr>
      </w:pPr>
      <w:r>
        <w:rPr>
          <w:rFonts w:ascii="方正黑体_GBK" w:eastAsia="方正黑体_GBK"/>
          <w:snapToGrid w:val="0"/>
          <w:color w:val="auto"/>
          <w:sz w:val="28"/>
          <w:szCs w:val="28"/>
          <w:highlight w:val="none"/>
        </w:rPr>
        <w:t>网站安全云监测子系统整体框架</w:t>
      </w:r>
    </w:p>
    <w:p>
      <w:pPr>
        <w:tabs>
          <w:tab w:val="left" w:pos="0"/>
        </w:tabs>
        <w:adjustRightInd w:val="0"/>
        <w:snapToGrid w:val="0"/>
        <w:spacing w:line="570" w:lineRule="exact"/>
        <w:ind w:firstLine="640"/>
        <w:rPr>
          <w:rFonts w:eastAsia="方正仿宋_GBK"/>
          <w:snapToGrid w:val="0"/>
          <w:color w:val="auto"/>
          <w:sz w:val="32"/>
          <w:szCs w:val="32"/>
          <w:highlight w:val="none"/>
        </w:rPr>
      </w:pPr>
      <w:r>
        <w:rPr>
          <w:rFonts w:ascii="Wingdings" w:hAnsi="Wingdings" w:eastAsia="方正仿宋_GBK"/>
          <w:snapToGrid w:val="0"/>
          <w:color w:val="auto"/>
          <w:sz w:val="32"/>
          <w:szCs w:val="32"/>
          <w:highlight w:val="none"/>
        </w:rPr>
        <w:t></w:t>
      </w:r>
      <w:r>
        <w:rPr>
          <w:rFonts w:ascii="Wingdings" w:hAnsi="Wingdings" w:eastAsia="方正仿宋_GBK"/>
          <w:snapToGrid w:val="0"/>
          <w:color w:val="auto"/>
          <w:sz w:val="32"/>
          <w:szCs w:val="32"/>
          <w:highlight w:val="none"/>
        </w:rPr>
        <w:tab/>
      </w:r>
      <w:r>
        <w:rPr>
          <w:rFonts w:eastAsia="方正仿宋_GBK"/>
          <w:snapToGrid w:val="0"/>
          <w:color w:val="auto"/>
          <w:sz w:val="32"/>
          <w:szCs w:val="32"/>
          <w:highlight w:val="none"/>
        </w:rPr>
        <w:t>安全事件挖掘分析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采用云监测及云多点探测等技术，解决以往网站监测仅依靠漏洞扫描及人工分析存在的时效性低、覆盖面不全等问题。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通过分析多种数据源采集的数据，实现对重点网站安全性与可用性的监测，及时发现网站漏洞、网站挂马、网站篡改（黑链/暗链）、钓鱼网站和访问异常等安全事件。</w:t>
      </w:r>
    </w:p>
    <w:p>
      <w:pPr>
        <w:tabs>
          <w:tab w:val="left" w:pos="0"/>
        </w:tabs>
        <w:adjustRightInd w:val="0"/>
        <w:snapToGrid w:val="0"/>
        <w:spacing w:line="570" w:lineRule="exact"/>
        <w:ind w:firstLine="640"/>
        <w:rPr>
          <w:rFonts w:eastAsia="方正仿宋_GBK"/>
          <w:snapToGrid w:val="0"/>
          <w:color w:val="auto"/>
          <w:sz w:val="32"/>
          <w:szCs w:val="32"/>
          <w:highlight w:val="none"/>
        </w:rPr>
      </w:pPr>
      <w:r>
        <w:rPr>
          <w:rFonts w:ascii="Wingdings" w:hAnsi="Wingdings" w:eastAsia="方正仿宋_GBK"/>
          <w:snapToGrid w:val="0"/>
          <w:color w:val="auto"/>
          <w:sz w:val="32"/>
          <w:szCs w:val="32"/>
          <w:highlight w:val="none"/>
        </w:rPr>
        <w:t></w:t>
      </w:r>
      <w:r>
        <w:rPr>
          <w:rFonts w:ascii="Wingdings" w:hAnsi="Wingdings" w:eastAsia="方正仿宋_GBK"/>
          <w:snapToGrid w:val="0"/>
          <w:color w:val="auto"/>
          <w:sz w:val="32"/>
          <w:szCs w:val="32"/>
          <w:highlight w:val="none"/>
        </w:rPr>
        <w:tab/>
      </w:r>
      <w:r>
        <w:rPr>
          <w:rFonts w:eastAsia="方正仿宋_GBK"/>
          <w:snapToGrid w:val="0"/>
          <w:color w:val="auto"/>
          <w:sz w:val="32"/>
          <w:szCs w:val="32"/>
          <w:highlight w:val="none"/>
        </w:rPr>
        <w:t>外部监测数据分析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利用大数据技术，采用正则匹配的方式，从海量数据中进行深度挖掘，提取攻击特征，结合云端威胁情报对高级威胁攻击进行检测，获取攻击方法等数据。同时，通过对云端大数据中提取的恶意域名、IP、主防库、样本库等信息进行关联分析，发现传统规则检测手段无法发现的未知威胁。</w:t>
      </w:r>
    </w:p>
    <w:p>
      <w:pPr>
        <w:numPr>
          <w:ilvl w:val="4"/>
          <w:numId w:val="0"/>
        </w:numPr>
        <w:tabs>
          <w:tab w:val="left" w:pos="1418"/>
        </w:tabs>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2.2  态势感知子系统</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态势感知子系统包括重点网络安全监测、DDoS攻击监测等功能，通过恶意代码检测、异常流量分析、威胁分析等技术，实现对辖区内存在的威胁有效感知并实现可视化呈现。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该系统应用实现监测重保网站安全性与可用性，采用云监测及云多点探测等新技术，解决以往网站监测仅依靠漏洞扫描及人工分析存在的时效性和全面性等问题。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传统网站安全检查通常采用本地漏洞扫描器定期扫描的方案，该方案无法满足重大事件保障过程中同时对几百个重点网站进行监测的全面、性能、效率的需求，传统漏洞扫描器的特征库也限制了网站全方位监测的要求，对Web 0Day漏洞更是无能为力；传统的网站可用性监测仅依靠值守人员单点、间歇式的访问目标网站来实现，当监测目标网站数量较多时，监测的准确性和时效性均无法保证。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本系统通过云监测技术解决对大量网站同时进行的漏洞监测性能和效率的需求，并具备篡改、挂马及暗链的发现能力，通过云多点监测平台全天候对成批网站进行可用性监测，有效解决传统网站监测及可用性监测难题，确保监控网站的安全性和可用性处于可控状态。</w:t>
      </w:r>
      <w:bookmarkStart w:id="339" w:name="_Toc52131351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网站云监测中心的Web云监测模块及网站可用性云监测模块并行工作，各模块不相互影响，由大数据查询分析引擎进行调用处理，并在网站安全与运行监测系统展示分析平台进行展现。</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52720" cy="2722245"/>
            <wp:effectExtent l="0" t="0" r="5080" b="1905"/>
            <wp:docPr id="1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1"/>
                    <pic:cNvPicPr>
                      <a:picLocks noChangeAspect="1"/>
                    </pic:cNvPicPr>
                  </pic:nvPicPr>
                  <pic:blipFill>
                    <a:blip r:embed="rId87"/>
                    <a:stretch>
                      <a:fillRect/>
                    </a:stretch>
                  </pic:blipFill>
                  <pic:spPr>
                    <a:xfrm>
                      <a:off x="0" y="0"/>
                      <a:ext cx="5252720" cy="272224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图 态势感知子系统-概况可视化</w:t>
      </w:r>
    </w:p>
    <w:p>
      <w:pPr>
        <w:adjustRightInd w:val="0"/>
        <w:snapToGrid w:val="0"/>
        <w:spacing w:beforeLines="50" w:afterLines="50"/>
        <w:jc w:val="center"/>
        <w:rPr>
          <w:rFonts w:eastAsia="方正仿宋_GBK"/>
          <w:snapToGrid w:val="0"/>
          <w:color w:val="auto"/>
          <w:sz w:val="32"/>
          <w:szCs w:val="32"/>
          <w:highlight w:val="none"/>
        </w:rPr>
      </w:pP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241925" cy="2743200"/>
            <wp:effectExtent l="0" t="0" r="15875" b="0"/>
            <wp:docPr id="5" name="图片 72" descr="D:\网站云监测\规划\2018\1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2" descr="D:\网站云监测\规划\2018\1111111111111111.png"/>
                    <pic:cNvPicPr>
                      <a:picLocks noChangeAspect="1"/>
                    </pic:cNvPicPr>
                  </pic:nvPicPr>
                  <pic:blipFill>
                    <a:blip r:embed="rId88"/>
                    <a:stretch>
                      <a:fillRect/>
                    </a:stretch>
                  </pic:blipFill>
                  <pic:spPr>
                    <a:xfrm>
                      <a:off x="0" y="0"/>
                      <a:ext cx="5241925" cy="274320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图 态势感知子系统-安全事件可视化</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156835" cy="2552065"/>
            <wp:effectExtent l="0" t="0" r="5715" b="635"/>
            <wp:docPr id="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3"/>
                    <pic:cNvPicPr>
                      <a:picLocks noChangeAspect="1"/>
                    </pic:cNvPicPr>
                  </pic:nvPicPr>
                  <pic:blipFill>
                    <a:blip r:embed="rId89"/>
                    <a:stretch>
                      <a:fillRect/>
                    </a:stretch>
                  </pic:blipFill>
                  <pic:spPr>
                    <a:xfrm>
                      <a:off x="0" y="0"/>
                      <a:ext cx="5156835" cy="255206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图 态势感知子系统-事件详情可视化</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156835" cy="2583815"/>
            <wp:effectExtent l="0" t="0" r="5715" b="6985"/>
            <wp:docPr id="1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4"/>
                    <pic:cNvPicPr>
                      <a:picLocks noChangeAspect="1"/>
                    </pic:cNvPicPr>
                  </pic:nvPicPr>
                  <pic:blipFill>
                    <a:blip r:embed="rId90"/>
                    <a:stretch>
                      <a:fillRect/>
                    </a:stretch>
                  </pic:blipFill>
                  <pic:spPr>
                    <a:xfrm>
                      <a:off x="0" y="0"/>
                      <a:ext cx="5156835" cy="258381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图 态势感知子系统-资产管理可视化</w:t>
      </w:r>
      <w:bookmarkEnd w:id="339"/>
    </w:p>
    <w:p>
      <w:pPr>
        <w:numPr>
          <w:ilvl w:val="4"/>
          <w:numId w:val="0"/>
        </w:numPr>
        <w:tabs>
          <w:tab w:val="left" w:pos="1418"/>
        </w:tabs>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2.3  通告预警子系统</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网站云监测平台在导入网站资产时，可以将网站运维人员的邮箱以及电话进行录入，在发现网站相关问题后，网站云监测平台管理人员可以通过邮件、短信的方式通知给网站运维人员，运维人员收到通报后，可以查看到网站问题信息以及解决建议，并且需要同时回复管理人员问题修复情况，管理人员随时通过云监测平台获取当前网站漏洞修复情况，直到问题修复闭环。</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563235" cy="3642995"/>
            <wp:effectExtent l="0" t="0" r="18415" b="14605"/>
            <wp:docPr id="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5"/>
                    <pic:cNvPicPr>
                      <a:picLocks noChangeAspect="1"/>
                    </pic:cNvPicPr>
                  </pic:nvPicPr>
                  <pic:blipFill>
                    <a:blip r:embed="rId91"/>
                    <a:stretch>
                      <a:fillRect/>
                    </a:stretch>
                  </pic:blipFill>
                  <pic:spPr>
                    <a:xfrm>
                      <a:off x="0" y="0"/>
                      <a:ext cx="5563235" cy="3642995"/>
                    </a:xfrm>
                    <a:prstGeom prst="rect">
                      <a:avLst/>
                    </a:prstGeom>
                    <a:noFill/>
                    <a:ln>
                      <a:noFill/>
                    </a:ln>
                  </pic:spPr>
                </pic:pic>
              </a:graphicData>
            </a:graphic>
          </wp:inline>
        </w:drawing>
      </w:r>
    </w:p>
    <w:p>
      <w:pPr>
        <w:adjustRightInd w:val="0"/>
        <w:snapToGrid w:val="0"/>
        <w:spacing w:beforeLines="50" w:afterLines="80"/>
        <w:jc w:val="center"/>
        <w:rPr>
          <w:rFonts w:eastAsia="方正仿宋_GBK"/>
          <w:snapToGrid w:val="0"/>
          <w:color w:val="auto"/>
          <w:sz w:val="32"/>
          <w:szCs w:val="32"/>
          <w:highlight w:val="none"/>
        </w:rPr>
      </w:pPr>
      <w:r>
        <w:rPr>
          <w:rFonts w:ascii="方正黑体_GBK" w:eastAsia="方正黑体_GBK"/>
          <w:snapToGrid w:val="0"/>
          <w:color w:val="auto"/>
          <w:sz w:val="28"/>
          <w:szCs w:val="28"/>
          <w:highlight w:val="none"/>
        </w:rPr>
        <w:t>通告预警子系统子系统运行流程图</w:t>
      </w:r>
    </w:p>
    <w:p>
      <w:pPr>
        <w:numPr>
          <w:ilvl w:val="4"/>
          <w:numId w:val="0"/>
        </w:numPr>
        <w:tabs>
          <w:tab w:val="left" w:pos="1418"/>
        </w:tabs>
        <w:adjustRightInd w:val="0"/>
        <w:snapToGrid w:val="0"/>
        <w:spacing w:line="570" w:lineRule="exact"/>
        <w:ind w:firstLine="640" w:firstLineChars="200"/>
        <w:outlineLvl w:val="4"/>
        <w:rPr>
          <w:rFonts w:eastAsia="方正仿宋_GBK"/>
          <w:bCs/>
          <w:snapToGrid w:val="0"/>
          <w:color w:val="auto"/>
          <w:sz w:val="32"/>
          <w:szCs w:val="32"/>
          <w:highlight w:val="none"/>
        </w:rPr>
      </w:pPr>
      <w:bookmarkStart w:id="340" w:name="_Toc521313518"/>
      <w:r>
        <w:rPr>
          <w:rFonts w:eastAsia="方正仿宋_GBK"/>
          <w:bCs/>
          <w:snapToGrid w:val="0"/>
          <w:color w:val="auto"/>
          <w:sz w:val="32"/>
          <w:szCs w:val="32"/>
          <w:highlight w:val="none"/>
        </w:rPr>
        <w:t>2.4　</w:t>
      </w:r>
      <w:bookmarkEnd w:id="340"/>
      <w:r>
        <w:rPr>
          <w:rFonts w:eastAsia="方正仿宋_GBK"/>
          <w:bCs/>
          <w:snapToGrid w:val="0"/>
          <w:color w:val="auto"/>
          <w:sz w:val="32"/>
          <w:szCs w:val="32"/>
          <w:highlight w:val="none"/>
        </w:rPr>
        <w:t>应急处置子系统</w:t>
      </w:r>
    </w:p>
    <w:p>
      <w:pPr>
        <w:adjustRightInd w:val="0"/>
        <w:snapToGrid w:val="0"/>
        <w:spacing w:line="570" w:lineRule="exact"/>
        <w:ind w:firstLine="640" w:firstLineChars="200"/>
        <w:rPr>
          <w:rFonts w:eastAsia="方正仿宋_GBK"/>
          <w:snapToGrid w:val="0"/>
          <w:color w:val="auto"/>
          <w:sz w:val="32"/>
          <w:szCs w:val="32"/>
          <w:highlight w:val="none"/>
        </w:rPr>
      </w:pPr>
      <w:bookmarkStart w:id="341" w:name="_Toc521313519"/>
      <w:r>
        <w:rPr>
          <w:rFonts w:eastAsia="方正仿宋_GBK"/>
          <w:snapToGrid w:val="0"/>
          <w:color w:val="auto"/>
          <w:sz w:val="32"/>
          <w:szCs w:val="32"/>
          <w:highlight w:val="none"/>
        </w:rPr>
        <w:t>网站安全监测应急处置，提供了针对网站安全状态进行实时托管式的安全监控服务，服务内容包括网站漏洞、敏感词、暗链、钓鱼等状态检测。主要分为两个方面：授权使用监测云平台进行安全事件管理、通告处置和报表管理；提供7*24小时安全事件人工运维服务和实时告警，保证客户网站长期、稳定、高效、安全地运行。</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125085" cy="1849755"/>
            <wp:effectExtent l="0" t="0" r="18415" b="17145"/>
            <wp:docPr id="11" name="图片 76" descr="C:\Users\HP\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6" descr="C:\Users\HP\Desktop\图片4.png"/>
                    <pic:cNvPicPr>
                      <a:picLocks noChangeAspect="1"/>
                    </pic:cNvPicPr>
                  </pic:nvPicPr>
                  <pic:blipFill>
                    <a:blip r:embed="rId92"/>
                    <a:stretch>
                      <a:fillRect/>
                    </a:stretch>
                  </pic:blipFill>
                  <pic:spPr>
                    <a:xfrm>
                      <a:off x="0" y="0"/>
                      <a:ext cx="5125085" cy="1849755"/>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应急处理子系统子系统运行流程图</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2.5　应急响应</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安全应急响应主要是针对安全事件发生时，及时、准确的解决事件，化解安全危机，将安全事件的风险及损失降到最低。安全事件是指在客户信息系统中出现的影响业务正常运行的任何异常事件。例如：破坏系统的完整性、系统资源拒绝服务、通过渗透或者入侵的方式来对系统进行非法访问，系统资源的滥用以及任何可能对系统造成损害的行为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急响应服务是由安全专家团队对用户业务环境中的安全事件进行响应，对用户的主机安全数据进行分析、全方位监测发现的威胁和异常进行快速响应和处置，并针对安全事件进行深入调查和原因分析；同时输出事件响应处理报告，帮助用户正确应对攻击入侵事件，降低安全事件带来的损失。</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入侵影响抑制：通过对事件检测分析，提供抑制手段，降低入侵影响，协助快速恢复业务。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入侵威胁清除：排查攻击路径，恶意文件清除，分析入侵事件原因。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入侵原因分析：排查攻击路径，分析入侵事件原因。</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加固建议指导：结合现有安全防御体系，指导用户进行安全加固，防止再次入侵。</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应急响应小组同时可根据需求，在安全事件发生后提供追踪、诱捕服务，协助相关部门取证。</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4646295" cy="2626360"/>
            <wp:effectExtent l="0" t="0" r="0" b="2540"/>
            <wp:docPr id="6" name="图片 77"/>
            <wp:cNvGraphicFramePr/>
            <a:graphic xmlns:a="http://schemas.openxmlformats.org/drawingml/2006/main">
              <a:graphicData uri="http://schemas.openxmlformats.org/drawingml/2006/picture">
                <pic:pic xmlns:pic="http://schemas.openxmlformats.org/drawingml/2006/picture">
                  <pic:nvPicPr>
                    <pic:cNvPr id="6" name="图片 77"/>
                    <pic:cNvPicPr/>
                  </pic:nvPicPr>
                  <pic:blipFill>
                    <a:blip r:embed="rId93"/>
                    <a:srcRect l="-42769" r="-42598"/>
                    <a:stretch>
                      <a:fillRect/>
                    </a:stretch>
                  </pic:blipFill>
                  <pic:spPr>
                    <a:xfrm>
                      <a:off x="0" y="0"/>
                      <a:ext cx="4646295" cy="2626360"/>
                    </a:xfrm>
                    <a:prstGeom prst="rect">
                      <a:avLst/>
                    </a:prstGeom>
                    <a:noFill/>
                    <a:ln>
                      <a:noFill/>
                    </a:ln>
                  </pic:spPr>
                </pic:pic>
              </a:graphicData>
            </a:graphic>
          </wp:inline>
        </w:drawing>
      </w:r>
    </w:p>
    <w:p>
      <w:pPr>
        <w:adjustRightInd w:val="0"/>
        <w:snapToGrid w:val="0"/>
        <w:spacing w:beforeLines="50" w:afterLines="50" w:line="400" w:lineRule="exact"/>
        <w:ind w:firstLine="640" w:firstLineChars="200"/>
        <w:rPr>
          <w:rFonts w:eastAsia="方正仿宋_GBK"/>
          <w:snapToGrid w:val="0"/>
          <w:color w:val="auto"/>
          <w:sz w:val="32"/>
          <w:szCs w:val="32"/>
          <w:highlight w:val="none"/>
        </w:rPr>
      </w:pPr>
    </w:p>
    <w:p>
      <w:pPr>
        <w:numPr>
          <w:ilvl w:val="4"/>
          <w:numId w:val="0"/>
        </w:numPr>
        <w:tabs>
          <w:tab w:val="left" w:pos="1418"/>
        </w:tabs>
        <w:adjustRightInd w:val="0"/>
        <w:snapToGrid w:val="0"/>
        <w:spacing w:line="570" w:lineRule="exact"/>
        <w:ind w:firstLine="640" w:firstLineChars="200"/>
        <w:outlineLvl w:val="4"/>
        <w:rPr>
          <w:rFonts w:eastAsia="方正仿宋_GBK"/>
          <w:bCs/>
          <w:snapToGrid w:val="0"/>
          <w:color w:val="auto"/>
          <w:sz w:val="32"/>
          <w:szCs w:val="32"/>
          <w:highlight w:val="none"/>
        </w:rPr>
      </w:pPr>
      <w:r>
        <w:rPr>
          <w:rFonts w:eastAsia="方正仿宋_GBK"/>
          <w:bCs/>
          <w:snapToGrid w:val="0"/>
          <w:color w:val="auto"/>
          <w:sz w:val="32"/>
          <w:szCs w:val="32"/>
          <w:highlight w:val="none"/>
        </w:rPr>
        <w:t>2.6　</w:t>
      </w:r>
      <w:bookmarkEnd w:id="341"/>
      <w:r>
        <w:rPr>
          <w:rFonts w:eastAsia="方正仿宋_GBK"/>
          <w:bCs/>
          <w:snapToGrid w:val="0"/>
          <w:color w:val="auto"/>
          <w:sz w:val="32"/>
          <w:szCs w:val="32"/>
          <w:highlight w:val="none"/>
        </w:rPr>
        <w:t>渗透测试</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针对集约化平台网站系统，采用各种手段模拟真实的安全攻击，从而发现黑客入侵信息系统的潜在可能途径。渗透测试工作以人工渗透为主，辅助以攻击工具的使用。主要的渗透测试方法包括：信息收集、端口扫描、远程溢出、口令猜测、本地溢出、云服务客户端攻击、中间人攻击、web脚本渗透、B/S或C/S应用程序测试、社会工程等，在初次渗透测试工作实施结束后输出《系统渗透测试报告》，并协助客户修复漏洞，待漏洞修复完成后，进行复测，并输出《系统渗透测试报告（复测）》。</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渗透测试主要将围绕如下但不仅限于以下安全弱点进行：</w:t>
      </w:r>
    </w:p>
    <w:p>
      <w:pPr>
        <w:adjustRightInd w:val="0"/>
        <w:snapToGrid w:val="0"/>
        <w:spacing w:beforeLines="5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645785" cy="3774440"/>
            <wp:effectExtent l="0" t="0" r="12065" b="16510"/>
            <wp:docPr id="1" name="图片 78" descr="C:\Users\hua\AppData\Roaming\Tencent\Users\410926683\QQ\WinTemp\RichOle\PX)%DFRT0$H]CN4JENN]$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8" descr="C:\Users\hua\AppData\Roaming\Tencent\Users\410926683\QQ\WinTemp\RichOle\PX)%DFRT0$H]CN4JENN]$_O.jpg"/>
                    <pic:cNvPicPr>
                      <a:picLocks noChangeAspect="1"/>
                    </pic:cNvPicPr>
                  </pic:nvPicPr>
                  <pic:blipFill>
                    <a:blip r:embed="rId94"/>
                    <a:stretch>
                      <a:fillRect/>
                    </a:stretch>
                  </pic:blipFill>
                  <pic:spPr>
                    <a:xfrm>
                      <a:off x="0" y="0"/>
                      <a:ext cx="5645785" cy="3774440"/>
                    </a:xfrm>
                    <a:prstGeom prst="rect">
                      <a:avLst/>
                    </a:prstGeom>
                    <a:noFill/>
                    <a:ln>
                      <a:noFill/>
                    </a:ln>
                  </pic:spPr>
                </pic:pic>
              </a:graphicData>
            </a:graphic>
          </wp:inline>
        </w:drawing>
      </w:r>
    </w:p>
    <w:p>
      <w:pPr>
        <w:adjustRightInd w:val="0"/>
        <w:snapToGrid w:val="0"/>
        <w:spacing w:beforeLines="50" w:afterLines="50" w:line="400" w:lineRule="exact"/>
        <w:ind w:firstLine="640" w:firstLineChars="200"/>
        <w:rPr>
          <w:rFonts w:eastAsia="方正仿宋_GBK"/>
          <w:snapToGrid w:val="0"/>
          <w:color w:val="auto"/>
          <w:sz w:val="32"/>
          <w:szCs w:val="32"/>
          <w:highlight w:val="none"/>
        </w:rPr>
      </w:pPr>
    </w:p>
    <w:p>
      <w:pPr>
        <w:pStyle w:val="4"/>
        <w:keepNext w:val="0"/>
        <w:keepLines w:val="0"/>
        <w:tabs>
          <w:tab w:val="left" w:pos="560"/>
        </w:tabs>
        <w:spacing w:before="156" w:line="570" w:lineRule="exact"/>
        <w:ind w:firstLine="643" w:firstLineChars="200"/>
        <w:rPr>
          <w:rFonts w:ascii="方正黑体_GBK" w:hAnsi="Times New Roman"/>
          <w:bCs w:val="0"/>
          <w:snapToGrid w:val="0"/>
          <w:color w:val="auto"/>
          <w:highlight w:val="none"/>
        </w:rPr>
      </w:pPr>
      <w:r>
        <w:rPr>
          <w:rFonts w:hint="eastAsia" w:ascii="方正黑体_GBK" w:hAnsi="Times New Roman"/>
          <w:bCs w:val="0"/>
          <w:snapToGrid w:val="0"/>
          <w:color w:val="auto"/>
          <w:highlight w:val="none"/>
        </w:rPr>
        <w:t>二、应用支撑平台</w:t>
      </w:r>
    </w:p>
    <w:p>
      <w:pPr>
        <w:pStyle w:val="5"/>
        <w:keepNext w:val="0"/>
        <w:keepLines w:val="0"/>
        <w:numPr>
          <w:ilvl w:val="2"/>
          <w:numId w:val="0"/>
        </w:numPr>
        <w:adjustRightInd w:val="0"/>
        <w:snapToGrid w:val="0"/>
        <w:spacing w:before="0" w:after="0" w:line="570" w:lineRule="exact"/>
        <w:ind w:firstLine="640" w:firstLineChars="200"/>
        <w:rPr>
          <w:rFonts w:ascii="方正楷体_GBK" w:eastAsia="方正楷体_GBK"/>
          <w:snapToGrid w:val="0"/>
          <w:color w:val="auto"/>
          <w:highlight w:val="none"/>
        </w:rPr>
      </w:pPr>
      <w:bookmarkStart w:id="342" w:name="_Toc503650978"/>
      <w:bookmarkStart w:id="343" w:name="_Toc3503"/>
      <w:bookmarkStart w:id="344" w:name="_Toc536773512"/>
      <w:bookmarkStart w:id="345" w:name="_Toc492833781"/>
      <w:bookmarkStart w:id="346" w:name="_Toc5979"/>
      <w:bookmarkStart w:id="347" w:name="_Toc8671"/>
      <w:bookmarkStart w:id="348" w:name="_Toc1811258"/>
      <w:bookmarkStart w:id="349" w:name="_Toc493247210"/>
      <w:bookmarkStart w:id="350" w:name="_Toc536611158"/>
      <w:r>
        <w:rPr>
          <w:rFonts w:hint="eastAsia" w:ascii="方正楷体_GBK" w:eastAsia="方正楷体_GBK"/>
          <w:b w:val="0"/>
          <w:bCs w:val="0"/>
          <w:snapToGrid w:val="0"/>
          <w:color w:val="auto"/>
          <w:highlight w:val="none"/>
        </w:rPr>
        <w:t>（一）统一身份认证</w:t>
      </w:r>
      <w:bookmarkEnd w:id="342"/>
      <w:bookmarkEnd w:id="343"/>
      <w:bookmarkEnd w:id="344"/>
      <w:bookmarkEnd w:id="345"/>
      <w:bookmarkEnd w:id="346"/>
      <w:bookmarkEnd w:id="347"/>
      <w:bookmarkEnd w:id="348"/>
      <w:bookmarkEnd w:id="349"/>
      <w:bookmarkEnd w:id="350"/>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是一个集成的平台，将集成和承载着越来越多的应用，而不同的应用可能具有不同的账户管理体系，传统模式下，用户每访问一个应用，都需要单独登录，用户体验非常差且用户身份难以界定。因此，政府网站集约化平台建设中必须搭建统一用户认证系统。统一用户管理系统是以用户信息、系统权限为核心，集成各业务系统的认证信息，为客户提供一个高度集成且统一的认证平台。</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统一身份认证包括面向政府工作人员和互联网用户（个人、企业、社会组织等）的用户体系和认证体系。</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（1）政府工作人员。</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将政府网站集约化平台的政府工作人员用户身份认证、机构及用户信息储存至政府网站集约化平台进行统一管理，机构、用户信息发生变更后将信息同步至所授权的应用，确保用户信息的一致性，用户通过平台完成认证后可单点登录直接访问授权应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主要功能包括：机构管理、用户管理、身份认证。</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①</w:t>
      </w:r>
      <w:r>
        <w:rPr>
          <w:rFonts w:eastAsia="方正仿宋_GBK"/>
          <w:snapToGrid w:val="0"/>
          <w:color w:val="auto"/>
          <w:sz w:val="32"/>
          <w:szCs w:val="32"/>
          <w:highlight w:val="none"/>
        </w:rPr>
        <w:t>机构管理。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机构管理针对政府机构创建分级管理，能够添加、修改、删除、查询、导入导出机构信息，并可查看能访问应用功能，如应用服务允许机构信息同步，则机构信息变更后自动同步至应用服务中。</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【添加】管理员添加新的机构，机构可以分级管理，每个机构有自己的管理员，机构信息包括机构ID、机构名称、管理员等信息。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【修改】管理员维护机构信息变更，同时将信息同步至其它应用服务中，保持机构信息一致。</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【删除】删除机构信息，连同将机构下用户信息进行删除，同时同步至其它应用服务中，一并将协作应用中机构信息、用户信息进行删除。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【查询】可通过机构名称进行查询。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【导入】管理员可批量导入机构信息，减轻初始化工作量。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【导出】管理员可对机构信息进行批量导出。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r>
        <w:rPr>
          <w:rFonts w:eastAsia="方正仿宋_GBK"/>
          <w:snapToGrid w:val="0"/>
          <w:color w:val="auto"/>
          <w:spacing w:val="6"/>
          <w:sz w:val="32"/>
          <w:szCs w:val="32"/>
          <w:highlight w:val="none"/>
        </w:rPr>
        <w:t>查看可访问应用】管理员可查看某机构可访问哪些应用服</w:t>
      </w:r>
      <w:r>
        <w:rPr>
          <w:rFonts w:eastAsia="方正仿宋_GBK"/>
          <w:snapToGrid w:val="0"/>
          <w:color w:val="auto"/>
          <w:sz w:val="32"/>
          <w:szCs w:val="32"/>
          <w:highlight w:val="none"/>
        </w:rPr>
        <w:t>务。</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②</w:t>
      </w:r>
      <w:r>
        <w:rPr>
          <w:rFonts w:eastAsia="方正仿宋_GBK"/>
          <w:snapToGrid w:val="0"/>
          <w:color w:val="auto"/>
          <w:sz w:val="32"/>
          <w:szCs w:val="32"/>
          <w:highlight w:val="none"/>
        </w:rPr>
        <w:t>用户管理。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依托政府网站集约化平台建立统一的政府工作人员用户管理体系。使用平台应用服务的政府用户由政府网站集约化平台统一提供用户的新增、维护、删除等管理。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依附于机构存在，没有机构则不能添加用户。主要功能包括：注册、修改、查询、删除、批量操作、导入导出、查看权限、查看可访问应用，如授权应用服务中允许用户同步，则用户信息变更后自动同步变更。</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【注册】机构中新增用户，管理员可对用户进行添加，主要添加用户的姓名、账号、密码等信息。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【修改】机构中用户信息发生变更，管理员对用户信息进行修改，同时将用户信息同步至协作应用中。</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【查询】可通过姓名和账号等进行查询。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【删除】机构用户人员调岗或离职，管理员可删除用户信息，删除后该用户不能进行登录等操作，同时将删除信息同步至其它应用服务中，保持数据一致性。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【批量操作】可对多个用户进行帐号删除、停用、启用、更改密码、发送邮件等批处理操作。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【导入】管理员可对多个用户信息进行批量导入，导入成功后将用户信息同步至其它应用服务中，保持数据一致性。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【导出】管理员可对用户信息进行批量导出。</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【查看权限】管理员可查看用户拥有哪些权限，但不可编辑。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【查看可访问应用】管理员可查看用户可访问的应用服务，不可进行操作。</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使用个性化自建应用服务的政府用户，可自行建立用户管理体系。需要接入的可使用以下方式：</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一登录名和密码】对于接入政府网站集约化平台的政府部门应用服务系统，如果所有政府工作人员用户在市级政府网站集约化平台统一管理、统一认证，需采用统一登录名和密码方式接入，并实现单点登录。由政府网站集约化平台提供统一用户管理页面，自建应用服务通过修改用户管理地址链接到该页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【映射方式接入】如果只是实现从政府网站集约化平台单点</w:t>
      </w:r>
      <w:r>
        <w:rPr>
          <w:rFonts w:eastAsia="方正仿宋_GBK"/>
          <w:snapToGrid w:val="0"/>
          <w:color w:val="auto"/>
          <w:spacing w:val="-4"/>
          <w:sz w:val="32"/>
          <w:szCs w:val="32"/>
          <w:highlight w:val="none"/>
        </w:rPr>
        <w:t>登录自建应用服务系统，可采用映射方式接入市级政府网站集约化平台。映射方式下的部门应用服务系统，自己管理系统内的用</w:t>
      </w:r>
      <w:r>
        <w:rPr>
          <w:rFonts w:eastAsia="方正仿宋_GBK"/>
          <w:snapToGrid w:val="0"/>
          <w:color w:val="auto"/>
          <w:sz w:val="32"/>
          <w:szCs w:val="32"/>
          <w:highlight w:val="none"/>
        </w:rPr>
        <w:t>户。</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③</w:t>
      </w:r>
      <w:r>
        <w:rPr>
          <w:rFonts w:eastAsia="方正仿宋_GBK"/>
          <w:snapToGrid w:val="0"/>
          <w:color w:val="auto"/>
          <w:sz w:val="32"/>
          <w:szCs w:val="32"/>
          <w:highlight w:val="none"/>
        </w:rPr>
        <w:t>身份认证。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用户认证信息统一保存在政府网站集约化平台，用户可通过账号密码、手机短信、数字证书等方式进行统一在政府网站集约化平台进行认证，用户认证完成后可单点登录直接进入各授权应用服务，无需再次认证。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（2）互联网用户。</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①</w:t>
      </w:r>
      <w:r>
        <w:rPr>
          <w:rFonts w:eastAsia="方正仿宋_GBK"/>
          <w:snapToGrid w:val="0"/>
          <w:color w:val="auto"/>
          <w:sz w:val="32"/>
          <w:szCs w:val="32"/>
          <w:highlight w:val="none"/>
        </w:rPr>
        <w:t>注册。</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依托政府门户网站建立统一的互联网用户体系，提供个人、企业和社会组织等用户的网上注册功能。同时提供页面和接口两种对外的用户注册服务，实现互联网用户的统一注册。</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【页面方式】政府网站集约化平台提供统一注册页面，第三方应用系统通过修改注册地址链接到该页面。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【接口方式】政府网站集约化平台提供统一用户注册接口，第三方应用系统发起用户注册时，调用该用户注册接口增加用户。</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②</w:t>
      </w:r>
      <w:r>
        <w:rPr>
          <w:rFonts w:eastAsia="方正仿宋_GBK"/>
          <w:snapToGrid w:val="0"/>
          <w:color w:val="auto"/>
          <w:sz w:val="32"/>
          <w:szCs w:val="32"/>
          <w:highlight w:val="none"/>
        </w:rPr>
        <w:t>用户管理。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【禁用】对注册用户帐号禁用，禁用后不可登录，将用户状态同步至授权应用，不可使用授权应用。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【启用】对注册用户账号启用，启用后可使用授权应用，将用户状态同步至授权应用。</w:t>
      </w:r>
    </w:p>
    <w:p>
      <w:pPr>
        <w:adjustRightInd w:val="0"/>
        <w:snapToGrid w:val="0"/>
        <w:spacing w:line="570" w:lineRule="exact"/>
        <w:ind w:firstLine="640" w:firstLineChars="200"/>
        <w:rPr>
          <w:rFonts w:eastAsia="方正仿宋_GBK"/>
          <w:snapToGrid w:val="0"/>
          <w:color w:val="auto"/>
          <w:sz w:val="32"/>
          <w:szCs w:val="32"/>
          <w:highlight w:val="none"/>
        </w:rPr>
      </w:pPr>
      <w:r>
        <w:rPr>
          <w:rFonts w:hint="eastAsia" w:ascii="方正仿宋_GBK" w:eastAsia="方正仿宋_GBK"/>
          <w:snapToGrid w:val="0"/>
          <w:color w:val="auto"/>
          <w:sz w:val="32"/>
          <w:szCs w:val="32"/>
          <w:highlight w:val="none"/>
        </w:rPr>
        <w:t>③</w:t>
      </w:r>
      <w:r>
        <w:rPr>
          <w:rFonts w:eastAsia="方正仿宋_GBK"/>
          <w:snapToGrid w:val="0"/>
          <w:color w:val="auto"/>
          <w:sz w:val="32"/>
          <w:szCs w:val="32"/>
          <w:highlight w:val="none"/>
        </w:rPr>
        <w:t>身份认证。</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身份认证服务提供用户名密码、手机号码密码、身份证号码密码和数字证书等登录方式。具体的认证方式由用户或者所使用的应用系统决定。</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同一个用户而言，可以根据所使用的应用服务的要求采用相应的认证方式，如果用户已经通过了高安全级别的身份认证，对只要求低安全级别的应用服务则无需进行再次认证。如果用户已经通过了低安全级别的身份认证，需要高安全级别的认证时则需要再次进行相应的高安全级别认证。</w:t>
      </w:r>
    </w:p>
    <w:p>
      <w:pPr>
        <w:pStyle w:val="5"/>
        <w:keepNext w:val="0"/>
        <w:keepLines w:val="0"/>
        <w:numPr>
          <w:ilvl w:val="2"/>
          <w:numId w:val="0"/>
        </w:numPr>
        <w:adjustRightInd w:val="0"/>
        <w:snapToGrid w:val="0"/>
        <w:spacing w:before="0" w:after="0" w:line="570" w:lineRule="exact"/>
        <w:ind w:firstLine="640" w:firstLineChars="200"/>
        <w:rPr>
          <w:rFonts w:ascii="方正楷体_GBK" w:eastAsia="方正楷体_GBK"/>
          <w:b w:val="0"/>
          <w:snapToGrid w:val="0"/>
          <w:color w:val="auto"/>
          <w:highlight w:val="none"/>
        </w:rPr>
      </w:pPr>
      <w:bookmarkStart w:id="351" w:name="_Toc30056"/>
      <w:bookmarkStart w:id="352" w:name="_Toc13649"/>
      <w:bookmarkStart w:id="353" w:name="_Toc493247211"/>
      <w:bookmarkStart w:id="354" w:name="_Toc492833782"/>
      <w:bookmarkStart w:id="355" w:name="_Toc536773513"/>
      <w:bookmarkStart w:id="356" w:name="_Toc503650979"/>
      <w:bookmarkStart w:id="357" w:name="_Toc14607"/>
      <w:bookmarkStart w:id="358" w:name="_Toc1811259"/>
      <w:bookmarkStart w:id="359" w:name="_Toc536611159"/>
      <w:r>
        <w:rPr>
          <w:rFonts w:hint="eastAsia" w:ascii="方正楷体_GBK" w:eastAsia="方正楷体_GBK"/>
          <w:b w:val="0"/>
          <w:snapToGrid w:val="0"/>
          <w:color w:val="auto"/>
          <w:highlight w:val="none"/>
        </w:rPr>
        <w:t>（二）统一权限管理</w:t>
      </w:r>
      <w:bookmarkEnd w:id="351"/>
      <w:bookmarkEnd w:id="352"/>
      <w:bookmarkEnd w:id="353"/>
      <w:bookmarkEnd w:id="354"/>
      <w:bookmarkEnd w:id="355"/>
      <w:bookmarkEnd w:id="356"/>
      <w:bookmarkEnd w:id="357"/>
      <w:bookmarkEnd w:id="358"/>
      <w:bookmarkEnd w:id="359"/>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通过对各类操作权限、数据权限设置和组织机构设置紧密配合来实现业务分工以及业务权限管理。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（1）后台政府工作人员用户权限管理。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统一权限管理通过角色权限划分，实现最小颗粒度控制，精确控制用户的操作权限，通过机构管理授权实现用户分级授权管理，用户权限由各机构管理员进行分配。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统一调取各应用角色权限，对用户进行应用访问授权后将用户分配至应用系统角色中，将角色、用户信息同步至应用服务，用户通过政府网站集约化平台进行统一身份认证，认证完成后可直接进入应用服务进行操作，无需再次登录、再次分配系统权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【用户授权】对用户进行应用服务访问授权。调取应用内部角色，将用户分配至该角色，拥有相应权限。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【删除授权】解除用户对应用服务访问权限，同时将用户信息同步至应用。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【移除用户】将用户移除某应用内部角色，取消用户在该应用中的权限。</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【机构授权】对机构进行访问授权，机构下所有用户继承机构已授权应用访问权限。可以授权至当前机构、下一级机构或当前机构下所有子机构。</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（2）互联网用户权限管理。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互联网用户注册完成后，由政府网站集约化平台进行统一权限管理，认证成功后用户可直接使用所授权的应用。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授权】对前台通过手机号/邮箱注册/微信/支付宝等方式注册用户进行统一管理，根据用户资料完整度判断用户等级，根据用户等级分配授权应用服务，将用户信息同步至授权应用服务，用户统一认证后即可直接进入授权应用服务。</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【授权变更】用户等级发生变更，变更后根据当前等级重新进行访问授权划分，重新同步用户信息。</w:t>
      </w:r>
    </w:p>
    <w:p>
      <w:pPr>
        <w:pStyle w:val="5"/>
        <w:keepNext w:val="0"/>
        <w:keepLines w:val="0"/>
        <w:numPr>
          <w:ilvl w:val="2"/>
          <w:numId w:val="0"/>
        </w:numPr>
        <w:adjustRightInd w:val="0"/>
        <w:snapToGrid w:val="0"/>
        <w:spacing w:before="0" w:after="0" w:line="570" w:lineRule="exact"/>
        <w:ind w:firstLine="640" w:firstLineChars="200"/>
        <w:rPr>
          <w:rFonts w:ascii="方正楷体_GBK" w:eastAsia="方正楷体_GBK"/>
          <w:b w:val="0"/>
          <w:snapToGrid w:val="0"/>
          <w:color w:val="auto"/>
          <w:highlight w:val="none"/>
        </w:rPr>
      </w:pPr>
      <w:bookmarkStart w:id="360" w:name="_Toc6938"/>
      <w:bookmarkStart w:id="361" w:name="_Toc536611160"/>
      <w:bookmarkStart w:id="362" w:name="_Toc1811260"/>
      <w:bookmarkStart w:id="363" w:name="_Toc493247212"/>
      <w:bookmarkStart w:id="364" w:name="_Toc503650980"/>
      <w:bookmarkStart w:id="365" w:name="_Toc4711"/>
      <w:bookmarkStart w:id="366" w:name="_Toc31027"/>
      <w:bookmarkStart w:id="367" w:name="_Toc536773514"/>
      <w:bookmarkStart w:id="368" w:name="_Toc492833783"/>
      <w:r>
        <w:rPr>
          <w:rFonts w:hint="eastAsia" w:ascii="方正楷体_GBK" w:eastAsia="方正楷体_GBK"/>
          <w:b w:val="0"/>
          <w:snapToGrid w:val="0"/>
          <w:color w:val="auto"/>
          <w:highlight w:val="none"/>
        </w:rPr>
        <w:t>（三）统一服务治理</w:t>
      </w:r>
      <w:bookmarkEnd w:id="360"/>
      <w:bookmarkEnd w:id="361"/>
      <w:bookmarkEnd w:id="362"/>
      <w:bookmarkEnd w:id="363"/>
      <w:bookmarkEnd w:id="364"/>
      <w:bookmarkEnd w:id="365"/>
      <w:bookmarkEnd w:id="366"/>
      <w:bookmarkEnd w:id="367"/>
      <w:bookmarkEnd w:id="368"/>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政府网站集约化平台上的所有应用服务都要进行统一注册，由管理员进行审核，审核通过后对应用服务进行机构用户访问授权，日常对注册的服务进行监控维护。</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（1）服务注册。</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所有应用服务由政府网站集约化平台统一管理，用户可通过政府网站集约化平台对应用提交申请开通，由后台管理员对申请进行审核，审核通过后直接授权给申请人访问权限。后台管理员可对应用进行添加、修改、删除，添加/修改后由上级管理员进行审核，审核通过后可对机构用户进行访问授权控制，将机构、用户信息通过接口设置进行数据同步。主要功能包括：添加、修改、删除、查询、审核、同步设置、接口设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【注册申请】管理员对要对接的应用服务进行注册、添加，主要包括：应用名称、图标、链接、有效期、提供单位、技术支持人员等信息。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【注册审核】管理员对应用服务进行注册后，上级管理员对新添加服务进行审核，审核通过后变更为发布状态，普通用户才能进行访问使用。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r>
        <w:rPr>
          <w:rFonts w:eastAsia="方正仿宋_GBK"/>
          <w:snapToGrid w:val="0"/>
          <w:color w:val="auto"/>
          <w:spacing w:val="-6"/>
          <w:sz w:val="32"/>
          <w:szCs w:val="32"/>
          <w:highlight w:val="none"/>
        </w:rPr>
        <w:t>授权申请】政府机构管理员对未授权应用服务提出使用申请</w:t>
      </w:r>
      <w:r>
        <w:rPr>
          <w:rFonts w:eastAsia="方正仿宋_GBK"/>
          <w:snapToGrid w:val="0"/>
          <w:color w:val="auto"/>
          <w:sz w:val="32"/>
          <w:szCs w:val="32"/>
          <w:highlight w:val="none"/>
        </w:rPr>
        <w:t>。</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【授权审批】管理员对授权申请进行审批，通过后提出使用申请的政府机构才能正常使用。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【服务维护】管理员对已添加的应用服务信息进行修改、删除等维护操作，变更后的服务要重新进行审核；删除服务则已授权的机构及用户取消该应用授权。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【服务查询】对应用服务通过应用状态、应用名称等条件进行组合查询。</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【同步设置】设置完成后，已授权的机构、用户信息发生变更时，通过设置接口将机构、用户信息同步至应用服务中，保持数据一致性。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（2）服务路由。</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服务路由】服务注册用于存储服务提供者地址信息、服务发布相关的属性信息，外联系统通过主动查询和被动通知的方式获取服务提供者的地址信息，外联系统只需要知道当前政府网站集约化平台发布了哪些服务，而不需要知道服务具体存在于什么位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对于负载较高的服务来说，往往对应着由多台服务器组成的集群。在请求到来时，为了将请求均衡地分配到后端服务器，负载均衡程序将从服务对应的地址列表中，通过轮询法、随机法、源地址哈希法、加权轮询法等进行分配。</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（3）服务监控。</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服务监控】监测政府网站集约化平台各应用服务的运行状态，包括注册状态、申请情况、用户数量、运行状态、IT资源消耗等，并提供图形化展示。可设定敏感状态告警机制，例如计算资源不足、异常操作、注册审核异常等。本功能可以利用“运维中心”的服务。</w:t>
      </w:r>
    </w:p>
    <w:p>
      <w:pPr>
        <w:pStyle w:val="5"/>
        <w:keepNext w:val="0"/>
        <w:keepLines w:val="0"/>
        <w:numPr>
          <w:ilvl w:val="2"/>
          <w:numId w:val="0"/>
        </w:numPr>
        <w:adjustRightInd w:val="0"/>
        <w:snapToGrid w:val="0"/>
        <w:spacing w:before="0" w:after="0" w:line="570" w:lineRule="exact"/>
        <w:ind w:firstLine="640" w:firstLineChars="200"/>
        <w:rPr>
          <w:rFonts w:ascii="方正楷体_GBK" w:eastAsia="方正楷体_GBK"/>
          <w:b w:val="0"/>
          <w:snapToGrid w:val="0"/>
          <w:color w:val="auto"/>
          <w:highlight w:val="none"/>
        </w:rPr>
      </w:pPr>
      <w:bookmarkStart w:id="369" w:name="_Toc503650981"/>
      <w:bookmarkStart w:id="370" w:name="_Toc493247213"/>
      <w:bookmarkStart w:id="371" w:name="_Toc536611161"/>
      <w:bookmarkStart w:id="372" w:name="_Toc3733"/>
      <w:bookmarkStart w:id="373" w:name="_Toc492833784"/>
      <w:bookmarkStart w:id="374" w:name="_Toc536773515"/>
      <w:bookmarkStart w:id="375" w:name="_Toc15459"/>
      <w:bookmarkStart w:id="376" w:name="_Toc1811261"/>
      <w:bookmarkStart w:id="377" w:name="_Toc2797"/>
      <w:r>
        <w:rPr>
          <w:rFonts w:hint="eastAsia" w:ascii="方正楷体_GBK" w:eastAsia="方正楷体_GBK"/>
          <w:b w:val="0"/>
          <w:snapToGrid w:val="0"/>
          <w:color w:val="auto"/>
          <w:highlight w:val="none"/>
        </w:rPr>
        <w:t>（四）统一安全审计</w:t>
      </w:r>
      <w:bookmarkEnd w:id="369"/>
      <w:bookmarkEnd w:id="370"/>
      <w:bookmarkEnd w:id="371"/>
      <w:bookmarkEnd w:id="372"/>
      <w:bookmarkEnd w:id="373"/>
      <w:bookmarkEnd w:id="374"/>
      <w:bookmarkEnd w:id="375"/>
      <w:bookmarkEnd w:id="376"/>
      <w:bookmarkEnd w:id="377"/>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记录最终用户、管理人员的访问过程，建立一套全面的、有效的追查机制。同时系统管理员可以实时监测用户对应用服务的访问状态，及时发现非法访问事件，进行事后追溯，为责任追究提供依据。</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登录日志管理】对用户登录进行安全审计，验证用户身份，确保系统安全性。对用户的非法访问进行安全预警，记录用户访问政府网站集约化平台、应用服务的名称、访问时间、访问ip等信息，系统出现安全问题可通过登录日志进行问题追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数据库操作日志管理】用户对数据库执行操作的同时把所有操作行为自动记录到系统的审计日志中，如造成数据泄露或任何安全问题，通过审计日志跟踪用户操作行为记录找到对系统或数据造成破坏的用户进行追责。</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【同步执行日志管理】记录机构、用户新增/修改信息同步至授权应用的次数及状态，方便管理员对同步信息进行及时处理。</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w:t>
      </w:r>
      <w:r>
        <w:rPr>
          <w:rFonts w:eastAsia="方正仿宋_GBK"/>
          <w:snapToGrid w:val="0"/>
          <w:color w:val="auto"/>
          <w:spacing w:val="-6"/>
          <w:sz w:val="32"/>
          <w:szCs w:val="32"/>
          <w:highlight w:val="none"/>
        </w:rPr>
        <w:t>导出日志】对登录日志、审计日志、同步日志进行表格导</w:t>
      </w:r>
      <w:r>
        <w:rPr>
          <w:rFonts w:eastAsia="方正仿宋_GBK"/>
          <w:snapToGrid w:val="0"/>
          <w:color w:val="auto"/>
          <w:sz w:val="32"/>
          <w:szCs w:val="32"/>
          <w:highlight w:val="none"/>
        </w:rPr>
        <w:t>出。</w:t>
      </w:r>
    </w:p>
    <w:p>
      <w:pPr>
        <w:pStyle w:val="5"/>
        <w:keepNext w:val="0"/>
        <w:keepLines w:val="0"/>
        <w:numPr>
          <w:ilvl w:val="2"/>
          <w:numId w:val="0"/>
        </w:numPr>
        <w:adjustRightInd w:val="0"/>
        <w:snapToGrid w:val="0"/>
        <w:spacing w:before="0" w:after="0" w:line="570" w:lineRule="exact"/>
        <w:ind w:firstLine="640" w:firstLineChars="200"/>
        <w:rPr>
          <w:rFonts w:ascii="方正楷体_GBK" w:eastAsia="方正楷体_GBK"/>
          <w:b w:val="0"/>
          <w:snapToGrid w:val="0"/>
          <w:color w:val="auto"/>
          <w:highlight w:val="none"/>
        </w:rPr>
      </w:pPr>
      <w:bookmarkStart w:id="378" w:name="_Toc493247214"/>
      <w:bookmarkStart w:id="379" w:name="_Toc1811262"/>
      <w:bookmarkStart w:id="380" w:name="_Toc4777"/>
      <w:bookmarkStart w:id="381" w:name="_Toc22936"/>
      <w:bookmarkStart w:id="382" w:name="_Toc536773516"/>
      <w:bookmarkStart w:id="383" w:name="_Toc536611162"/>
      <w:bookmarkStart w:id="384" w:name="_Toc503650982"/>
      <w:bookmarkStart w:id="385" w:name="_Toc26230"/>
      <w:bookmarkStart w:id="386" w:name="_Toc492833785"/>
      <w:r>
        <w:rPr>
          <w:rFonts w:hint="eastAsia" w:ascii="方正楷体_GBK" w:eastAsia="方正楷体_GBK"/>
          <w:b w:val="0"/>
          <w:snapToGrid w:val="0"/>
          <w:color w:val="auto"/>
          <w:highlight w:val="none"/>
        </w:rPr>
        <w:t>（五）消息中间件</w:t>
      </w:r>
      <w:bookmarkEnd w:id="378"/>
      <w:bookmarkEnd w:id="379"/>
      <w:bookmarkEnd w:id="380"/>
      <w:bookmarkEnd w:id="381"/>
      <w:bookmarkEnd w:id="382"/>
      <w:bookmarkEnd w:id="383"/>
      <w:bookmarkEnd w:id="384"/>
      <w:bookmarkEnd w:id="385"/>
      <w:bookmarkEnd w:id="386"/>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为消除应用服务之间信息孤岛，防止应用数据丢失、网络环境差导致的数据传输不稳定等问题，可通过消息中间件建立服务之间的消息互通，提供同步和异步数据传输机制，任何时刻都可以将消息进行传送或者存储转发。</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如应用A与应用B进行消息通信时，应用A通过接口将消息发送至消息中间件，消息中间件将消息通过接口发送至应用B，如应用B网络连接不可用，消息中间件将消息储存，直到应用B网络可用，再将消息推送至B。</w:t>
      </w:r>
    </w:p>
    <w:p>
      <w:pPr>
        <w:adjustRightInd w:val="0"/>
        <w:snapToGrid w:val="0"/>
        <w:spacing w:beforeLines="8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object>
          <v:shape id="_x0000_i1035" o:spt="75" type="#_x0000_t75" style="height:229.15pt;width:313.05pt;" o:ole="t" filled="f" o:preferrelative="t" stroked="f" coordsize="21600,21600">
            <v:path/>
            <v:fill on="f" focussize="0,0"/>
            <v:stroke on="f" joinstyle="miter"/>
            <v:imagedata r:id="rId95" o:title=""/>
            <o:lock v:ext="edit" aspectratio="t"/>
            <w10:wrap type="none"/>
            <w10:anchorlock/>
          </v:shape>
          <o:OLEObject Type="Embed" ProgID="Visio.Drawing.15" ShapeID="_x0000_i1035" DrawAspect="Content" ObjectID="_1468075735">
            <o:LockedField>false</o:LockedField>
          </o:OLEObject>
        </w:object>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消息中间件工作机制</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消息中间件可应用在多个领域，包括异步通信解耦、金融支付、电信、即时通信、物联网、社交等。</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应用场景：</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一对多，多对多异步解耦，基于发布订阅模型，对分布式应用进行异步解耦，增加应用的水平扩展能力。</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削峰填谷，大促等流量洪流突然来袭时，可以缓冲突发流量，避免下游订阅系统因突发流量崩溃。</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日志监控，作为重要日志的监控通信管道，将应用日志监控对系统性能影响降到最低。</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消息推送，为应用服务提供点对点推送，一对多广播式推送的能力。</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报文，发送报文，实现准实时的报文传输，可靠安全。</w:t>
      </w:r>
    </w:p>
    <w:p>
      <w:pPr>
        <w:adjustRightInd w:val="0"/>
        <w:snapToGrid w:val="0"/>
        <w:spacing w:line="570"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信令，将信令封装成消息，传递到各个控制终端，实现准实时控制和信息传递。</w:t>
      </w:r>
    </w:p>
    <w:p>
      <w:pPr>
        <w:adjustRightInd w:val="0"/>
        <w:snapToGrid w:val="0"/>
        <w:spacing w:beforeLines="80" w:afterLines="50"/>
        <w:jc w:val="center"/>
        <w:rPr>
          <w:rFonts w:eastAsia="方正仿宋_GBK"/>
          <w:snapToGrid w:val="0"/>
          <w:color w:val="auto"/>
          <w:sz w:val="32"/>
          <w:szCs w:val="32"/>
          <w:highlight w:val="none"/>
        </w:rPr>
      </w:pPr>
      <w:r>
        <w:rPr>
          <w:rFonts w:eastAsia="方正仿宋_GBK"/>
          <w:snapToGrid w:val="0"/>
          <w:color w:val="auto"/>
          <w:sz w:val="32"/>
          <w:szCs w:val="32"/>
          <w:highlight w:val="none"/>
        </w:rPr>
        <w:drawing>
          <wp:inline distT="0" distB="0" distL="114300" distR="114300">
            <wp:extent cx="5422900" cy="3370580"/>
            <wp:effectExtent l="0" t="0" r="6350" b="1270"/>
            <wp:docPr id="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0"/>
                    <pic:cNvPicPr>
                      <a:picLocks noChangeAspect="1"/>
                    </pic:cNvPicPr>
                  </pic:nvPicPr>
                  <pic:blipFill>
                    <a:blip r:embed="rId96"/>
                    <a:stretch>
                      <a:fillRect/>
                    </a:stretch>
                  </pic:blipFill>
                  <pic:spPr>
                    <a:xfrm>
                      <a:off x="0" y="0"/>
                      <a:ext cx="5422900" cy="3370580"/>
                    </a:xfrm>
                    <a:prstGeom prst="rect">
                      <a:avLst/>
                    </a:prstGeom>
                    <a:noFill/>
                    <a:ln>
                      <a:noFill/>
                    </a:ln>
                  </pic:spPr>
                </pic:pic>
              </a:graphicData>
            </a:graphic>
          </wp:inline>
        </w:drawing>
      </w:r>
    </w:p>
    <w:p>
      <w:pPr>
        <w:adjustRightInd w:val="0"/>
        <w:snapToGrid w:val="0"/>
        <w:spacing w:beforeLines="50" w:afterLines="80"/>
        <w:jc w:val="center"/>
        <w:rPr>
          <w:rFonts w:ascii="方正黑体_GBK" w:eastAsia="方正黑体_GBK"/>
          <w:snapToGrid w:val="0"/>
          <w:color w:val="auto"/>
          <w:sz w:val="28"/>
          <w:szCs w:val="28"/>
          <w:highlight w:val="none"/>
        </w:rPr>
      </w:pPr>
      <w:r>
        <w:rPr>
          <w:rFonts w:ascii="方正黑体_GBK" w:eastAsia="方正黑体_GBK"/>
          <w:snapToGrid w:val="0"/>
          <w:color w:val="auto"/>
          <w:sz w:val="28"/>
          <w:szCs w:val="28"/>
          <w:highlight w:val="none"/>
        </w:rPr>
        <w:t>消息中间件应用场景图</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【定时消息】应用服务指定消息进行定时/延时发送。</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【顺序消息】按照消息发送的顺序对消息进行发送。</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【重置进度】允许用户进行消息回溯或者丢弃堆积消息。</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【取消队列】将正在排队发送的消息取消发送。</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【优先发送】提前发送正在排队的消息任务。</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【接口设置】设置是否需要通过政府网站集约化平台接口发送消息和发送类型设置。</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【多协议支持】应支持http、tcp等协议。</w:t>
      </w:r>
    </w:p>
    <w:p>
      <w:pPr>
        <w:adjustRightInd w:val="0"/>
        <w:snapToGrid w:val="0"/>
        <w:spacing w:line="596" w:lineRule="exact"/>
        <w:ind w:firstLine="640" w:firstLineChars="200"/>
        <w:rPr>
          <w:rFonts w:eastAsia="方正仿宋_GBK"/>
          <w:snapToGrid w:val="0"/>
          <w:color w:val="auto"/>
          <w:sz w:val="32"/>
          <w:szCs w:val="32"/>
          <w:highlight w:val="none"/>
        </w:rPr>
      </w:pPr>
      <w:r>
        <w:rPr>
          <w:rFonts w:eastAsia="方正仿宋_GBK"/>
          <w:snapToGrid w:val="0"/>
          <w:color w:val="auto"/>
          <w:sz w:val="32"/>
          <w:szCs w:val="32"/>
          <w:highlight w:val="none"/>
        </w:rPr>
        <w:t>【消息轨迹】通过消息轨迹，用户能清晰定位消息从发布者发出，经由服务端，投递给消息订阅者的完整链路，方便定位排查问题。</w:t>
      </w:r>
    </w:p>
    <w:p>
      <w:pPr>
        <w:pStyle w:val="527"/>
        <w:spacing w:line="360" w:lineRule="auto"/>
        <w:ind w:firstLine="420"/>
        <w:jc w:val="left"/>
        <w:rPr>
          <w:color w:val="auto"/>
          <w:highlight w:val="none"/>
        </w:rPr>
      </w:pPr>
    </w:p>
    <w:p>
      <w:pPr>
        <w:pStyle w:val="527"/>
        <w:spacing w:line="360" w:lineRule="auto"/>
        <w:ind w:firstLine="420"/>
        <w:jc w:val="left"/>
        <w:rPr>
          <w:color w:val="auto"/>
          <w:highlight w:val="none"/>
        </w:rPr>
      </w:pPr>
    </w:p>
    <w:p>
      <w:pPr>
        <w:pStyle w:val="527"/>
        <w:spacing w:line="360" w:lineRule="auto"/>
        <w:ind w:firstLine="0"/>
        <w:jc w:val="left"/>
        <w:rPr>
          <w:color w:val="auto"/>
          <w:highlight w:val="none"/>
        </w:rPr>
      </w:pPr>
    </w:p>
    <w:p>
      <w:pPr>
        <w:pStyle w:val="527"/>
        <w:spacing w:line="360" w:lineRule="auto"/>
        <w:ind w:firstLine="0"/>
        <w:jc w:val="left"/>
        <w:rPr>
          <w:color w:val="auto"/>
          <w:highlight w:val="none"/>
        </w:rPr>
      </w:pPr>
    </w:p>
    <w:p>
      <w:pPr>
        <w:pStyle w:val="527"/>
        <w:spacing w:line="360" w:lineRule="auto"/>
        <w:ind w:firstLine="0"/>
        <w:jc w:val="left"/>
        <w:rPr>
          <w:color w:val="auto"/>
          <w:highlight w:val="none"/>
        </w:rPr>
      </w:pPr>
    </w:p>
    <w:p>
      <w:pPr>
        <w:pStyle w:val="527"/>
        <w:spacing w:line="360" w:lineRule="auto"/>
        <w:ind w:firstLine="0"/>
        <w:jc w:val="left"/>
        <w:rPr>
          <w:color w:val="auto"/>
          <w:highlight w:val="none"/>
        </w:rPr>
      </w:pPr>
    </w:p>
    <w:p>
      <w:pPr>
        <w:snapToGrid w:val="0"/>
        <w:jc w:val="center"/>
        <w:outlineLvl w:val="0"/>
        <w:rPr>
          <w:rFonts w:ascii="宋体" w:hAnsi="宋体"/>
          <w:b/>
          <w:color w:val="auto"/>
          <w:sz w:val="44"/>
          <w:szCs w:val="44"/>
          <w:highlight w:val="none"/>
        </w:rPr>
      </w:pPr>
      <w:bookmarkStart w:id="387" w:name="_Toc533546848"/>
      <w:bookmarkStart w:id="388" w:name="_Toc32271"/>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hAnsi="宋体"/>
          <w:b/>
          <w:color w:val="auto"/>
          <w:sz w:val="44"/>
          <w:szCs w:val="44"/>
          <w:highlight w:val="none"/>
        </w:rPr>
      </w:pPr>
    </w:p>
    <w:p>
      <w:pPr>
        <w:snapToGrid w:val="0"/>
        <w:jc w:val="center"/>
        <w:outlineLvl w:val="0"/>
        <w:rPr>
          <w:rFonts w:ascii="宋体"/>
          <w:b/>
          <w:color w:val="auto"/>
          <w:sz w:val="44"/>
          <w:szCs w:val="44"/>
          <w:highlight w:val="none"/>
        </w:rPr>
      </w:pPr>
      <w:r>
        <w:rPr>
          <w:rFonts w:hint="eastAsia" w:ascii="宋体" w:hAnsi="宋体"/>
          <w:b/>
          <w:color w:val="auto"/>
          <w:sz w:val="44"/>
          <w:szCs w:val="44"/>
          <w:highlight w:val="none"/>
        </w:rPr>
        <w:t>第三章 投标人须知</w:t>
      </w:r>
      <w:bookmarkEnd w:id="387"/>
      <w:bookmarkEnd w:id="388"/>
    </w:p>
    <w:p>
      <w:pPr>
        <w:snapToGrid w:val="0"/>
        <w:spacing w:beforeLines="50" w:afterLines="50"/>
        <w:jc w:val="center"/>
        <w:rPr>
          <w:rFonts w:ascii="宋体" w:hAnsi="宋体"/>
          <w:b/>
          <w:color w:val="auto"/>
          <w:sz w:val="32"/>
          <w:szCs w:val="32"/>
          <w:highlight w:val="none"/>
        </w:rPr>
      </w:pPr>
      <w:bookmarkStart w:id="389" w:name="_Toc254970667"/>
      <w:bookmarkStart w:id="390" w:name="_Toc254970526"/>
      <w:r>
        <w:rPr>
          <w:rFonts w:ascii="宋体"/>
          <w:b/>
          <w:color w:val="auto"/>
          <w:szCs w:val="28"/>
          <w:highlight w:val="none"/>
        </w:rPr>
        <w:br w:type="page"/>
      </w:r>
      <w:bookmarkEnd w:id="389"/>
      <w:bookmarkEnd w:id="390"/>
      <w:r>
        <w:rPr>
          <w:rFonts w:hint="eastAsia" w:ascii="宋体" w:hAnsi="宋体"/>
          <w:b/>
          <w:color w:val="auto"/>
          <w:sz w:val="32"/>
          <w:szCs w:val="32"/>
          <w:highlight w:val="none"/>
        </w:rPr>
        <w:t>前附表</w:t>
      </w:r>
    </w:p>
    <w:tbl>
      <w:tblPr>
        <w:tblStyle w:val="59"/>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86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olor w:val="auto"/>
                <w:szCs w:val="21"/>
                <w:highlight w:val="none"/>
              </w:rPr>
            </w:pPr>
            <w:r>
              <w:rPr>
                <w:rFonts w:hint="eastAsia" w:ascii="宋体" w:hAnsi="宋体"/>
                <w:color w:val="auto"/>
                <w:szCs w:val="21"/>
                <w:highlight w:val="none"/>
              </w:rPr>
              <w:t>序号</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olor w:val="auto"/>
                <w:szCs w:val="21"/>
                <w:highlight w:val="none"/>
              </w:rPr>
            </w:pPr>
            <w:r>
              <w:rPr>
                <w:rFonts w:hint="eastAsia" w:ascii="宋体" w:hAnsi="宋体"/>
                <w:color w:val="auto"/>
                <w:szCs w:val="21"/>
                <w:highlight w:val="none"/>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b/>
                <w:color w:val="auto"/>
                <w:szCs w:val="21"/>
                <w:highlight w:val="none"/>
              </w:rPr>
            </w:pPr>
            <w:r>
              <w:rPr>
                <w:rFonts w:hint="eastAsia" w:ascii="宋体" w:hAnsi="宋体"/>
                <w:b/>
                <w:color w:val="auto"/>
                <w:szCs w:val="21"/>
                <w:highlight w:val="none"/>
              </w:rPr>
              <w:t xml:space="preserve">项目名称：广西政府网站集约化平台系统建设及总集成服务采购   </w:t>
            </w:r>
          </w:p>
          <w:p>
            <w:pPr>
              <w:snapToGrid w:val="0"/>
              <w:spacing w:line="360" w:lineRule="exact"/>
              <w:rPr>
                <w:rFonts w:hint="eastAsia" w:ascii="宋体" w:hAnsi="宋体" w:eastAsia="宋体"/>
                <w:color w:val="auto"/>
                <w:szCs w:val="21"/>
                <w:highlight w:val="none"/>
                <w:lang w:eastAsia="zh-CN"/>
              </w:rPr>
            </w:pPr>
            <w:r>
              <w:rPr>
                <w:rFonts w:hint="eastAsia" w:ascii="宋体" w:hAnsi="宋体"/>
                <w:b/>
                <w:color w:val="auto"/>
                <w:szCs w:val="21"/>
                <w:highlight w:val="none"/>
              </w:rPr>
              <w:t>项目编号：</w:t>
            </w:r>
            <w:r>
              <w:rPr>
                <w:rFonts w:hint="eastAsia" w:ascii="宋体" w:hAnsi="宋体"/>
                <w:b/>
                <w:color w:val="auto"/>
                <w:szCs w:val="21"/>
                <w:highlight w:val="none"/>
                <w:lang w:eastAsia="zh-CN"/>
              </w:rPr>
              <w:t xml:space="preserve">GXZC2020-G3-000115-JGJD/HCA(3)2020007G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2</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b/>
                <w:color w:val="auto"/>
                <w:szCs w:val="21"/>
                <w:highlight w:val="none"/>
              </w:rPr>
              <w:t>投标报价及费用：</w:t>
            </w:r>
            <w:r>
              <w:rPr>
                <w:rFonts w:hint="eastAsia" w:ascii="宋体" w:hAnsi="宋体"/>
                <w:color w:val="auto"/>
                <w:szCs w:val="21"/>
                <w:highlight w:val="none"/>
              </w:rPr>
              <w:t>1、本项目投标应以人民币报价，投标人须就《招标项目采购需求》中的某个、某几个或全部分标的货物和服务内容分别按分标作完整唯一报价；2、不论投标结果如何，投标人均应自行承担所有与投标有关的全部费用；3、本项目招标代理服务费参照计价格[2002]1980号《招标代理服务收费管理暂行办法》标准向中标人收取。领取中标通知书前，中标人应向采购代理机构一次付清招标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7" w:hRule="exac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3</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b/>
                <w:color w:val="auto"/>
                <w:szCs w:val="21"/>
                <w:highlight w:val="none"/>
              </w:rPr>
              <w:t>投标保证金（人民币）</w:t>
            </w:r>
            <w:r>
              <w:rPr>
                <w:rFonts w:hint="eastAsia" w:ascii="宋体" w:hAnsi="宋体"/>
                <w:color w:val="auto"/>
                <w:szCs w:val="21"/>
                <w:highlight w:val="none"/>
              </w:rPr>
              <w:t>：25万元整。</w:t>
            </w:r>
          </w:p>
          <w:p>
            <w:pPr>
              <w:snapToGrid w:val="0"/>
              <w:spacing w:line="360" w:lineRule="exact"/>
              <w:rPr>
                <w:rFonts w:ascii="宋体" w:hAnsi="宋体"/>
                <w:color w:val="auto"/>
                <w:szCs w:val="21"/>
                <w:highlight w:val="none"/>
              </w:rPr>
            </w:pPr>
            <w:r>
              <w:rPr>
                <w:rFonts w:hint="eastAsia" w:ascii="宋体" w:hAnsi="宋体"/>
                <w:color w:val="auto"/>
                <w:szCs w:val="21"/>
                <w:highlight w:val="none"/>
              </w:rPr>
              <w:t>投标人应于投标截止时间前将投标保证金以电汇、转帐、汇票等非现金形式交至以下账户,否则投标无效。</w:t>
            </w:r>
          </w:p>
          <w:p>
            <w:pPr>
              <w:snapToGrid w:val="0"/>
              <w:spacing w:line="360" w:lineRule="exact"/>
              <w:rPr>
                <w:rFonts w:ascii="宋体" w:hAnsi="宋体"/>
                <w:color w:val="auto"/>
                <w:szCs w:val="21"/>
                <w:highlight w:val="none"/>
              </w:rPr>
            </w:pPr>
            <w:r>
              <w:rPr>
                <w:rFonts w:hint="eastAsia" w:ascii="宋体" w:hAnsi="宋体"/>
                <w:color w:val="auto"/>
                <w:szCs w:val="21"/>
                <w:highlight w:val="none"/>
              </w:rPr>
              <w:t>开户名称：广西建设工程机电设备招标中心有限公司</w:t>
            </w:r>
          </w:p>
          <w:p>
            <w:pPr>
              <w:snapToGrid w:val="0"/>
              <w:spacing w:line="360" w:lineRule="exact"/>
              <w:rPr>
                <w:rFonts w:ascii="宋体" w:hAnsi="宋体"/>
                <w:color w:val="auto"/>
                <w:szCs w:val="21"/>
                <w:highlight w:val="none"/>
              </w:rPr>
            </w:pPr>
            <w:r>
              <w:rPr>
                <w:rFonts w:hint="eastAsia" w:ascii="宋体" w:hAnsi="宋体"/>
                <w:color w:val="auto"/>
                <w:szCs w:val="21"/>
                <w:highlight w:val="none"/>
              </w:rPr>
              <w:t>开户银行：招商银行南宁分行营业部</w:t>
            </w:r>
          </w:p>
          <w:p>
            <w:pPr>
              <w:snapToGrid w:val="0"/>
              <w:spacing w:line="360" w:lineRule="exact"/>
              <w:rPr>
                <w:rFonts w:ascii="宋体" w:hAnsi="宋体"/>
                <w:color w:val="auto"/>
                <w:szCs w:val="21"/>
                <w:highlight w:val="none"/>
              </w:rPr>
            </w:pPr>
            <w:r>
              <w:rPr>
                <w:rFonts w:hint="eastAsia" w:ascii="宋体" w:hAnsi="宋体"/>
                <w:color w:val="auto"/>
                <w:szCs w:val="21"/>
                <w:highlight w:val="none"/>
              </w:rPr>
              <w:t>银行帐号：7719 0142 3310 201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4</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default" w:ascii="宋体" w:hAnsi="宋体" w:eastAsia="宋体"/>
                <w:color w:val="auto"/>
                <w:szCs w:val="21"/>
                <w:highlight w:val="none"/>
                <w:lang w:val="en-US" w:eastAsia="zh-CN"/>
              </w:rPr>
            </w:pPr>
            <w:r>
              <w:rPr>
                <w:rFonts w:hint="eastAsia" w:ascii="宋体" w:hAnsi="宋体"/>
                <w:b/>
                <w:color w:val="auto"/>
                <w:szCs w:val="21"/>
                <w:highlight w:val="none"/>
              </w:rPr>
              <w:t>现场踏勘：</w:t>
            </w:r>
            <w:r>
              <w:rPr>
                <w:rFonts w:hint="eastAsia" w:ascii="宋体" w:hAnsi="宋体"/>
                <w:b/>
                <w:color w:val="auto"/>
                <w:szCs w:val="21"/>
                <w:highlight w:val="none"/>
                <w:lang w:val="en-US" w:eastAsia="zh-CN"/>
              </w:rPr>
              <w:t>自行组织</w:t>
            </w:r>
            <w:bookmarkStart w:id="459" w:name="_GoBack"/>
            <w:bookmarkEnd w:id="459"/>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5" w:hRule="exac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5</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b/>
                <w:color w:val="auto"/>
                <w:szCs w:val="21"/>
                <w:highlight w:val="none"/>
              </w:rPr>
              <w:t>演示时间及地点：</w:t>
            </w:r>
            <w:r>
              <w:rPr>
                <w:rFonts w:hint="eastAsia" w:ascii="宋体" w:hAnsi="宋体"/>
                <w:color w:val="auto"/>
                <w:szCs w:val="21"/>
                <w:highlight w:val="none"/>
              </w:rPr>
              <w:t>广西壮族自治区公共资源交易中心（广西南宁市青秀区怡宾路6号自治区政务服务中心4楼）（具体开标室根据电子屏幕显示的安排）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6</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b/>
                <w:color w:val="auto"/>
                <w:szCs w:val="21"/>
                <w:highlight w:val="none"/>
              </w:rPr>
              <w:t>答疑与澄清</w:t>
            </w:r>
            <w:r>
              <w:rPr>
                <w:rFonts w:hint="eastAsia" w:ascii="宋体" w:hAnsi="宋体"/>
                <w:color w:val="auto"/>
                <w:szCs w:val="21"/>
                <w:highlight w:val="none"/>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napToGrid w:val="0"/>
              <w:spacing w:line="360" w:lineRule="exact"/>
              <w:rPr>
                <w:rFonts w:ascii="宋体" w:hAnsi="宋体"/>
                <w:color w:val="auto"/>
                <w:szCs w:val="21"/>
                <w:highlight w:val="none"/>
              </w:rPr>
            </w:pPr>
            <w:r>
              <w:rPr>
                <w:rFonts w:hint="eastAsia" w:ascii="宋体" w:hAnsi="宋体"/>
                <w:color w:val="auto"/>
                <w:szCs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投标人必须按照桂财采【2007】65号文件第二十九条规定，在澄清或修改通知发出后24小时内以书面形式进行确认，否则视为已经收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1"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7</w:t>
            </w:r>
          </w:p>
        </w:tc>
        <w:tc>
          <w:tcPr>
            <w:tcW w:w="86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b/>
                <w:color w:val="auto"/>
                <w:szCs w:val="21"/>
                <w:highlight w:val="none"/>
              </w:rPr>
            </w:pPr>
            <w:r>
              <w:rPr>
                <w:rFonts w:hint="eastAsia" w:ascii="宋体" w:hAnsi="宋体"/>
                <w:b/>
                <w:color w:val="auto"/>
                <w:szCs w:val="21"/>
                <w:highlight w:val="none"/>
              </w:rPr>
              <w:t>投标文件组成：开标一览表正本一份，副本二份；资格审查文件正本一份，副本二份；投标文件（商务、技术、报价文件）正本一份，副本六份。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8</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color w:val="auto"/>
                <w:szCs w:val="21"/>
                <w:highlight w:val="none"/>
              </w:rPr>
              <w:t>投标截止时间及地点：</w:t>
            </w:r>
            <w:r>
              <w:rPr>
                <w:rFonts w:hint="eastAsia" w:ascii="宋体" w:hAnsi="宋体"/>
                <w:b/>
                <w:color w:val="auto"/>
                <w:szCs w:val="21"/>
                <w:highlight w:val="none"/>
              </w:rPr>
              <w:t>投标人应于2020年</w:t>
            </w:r>
            <w:r>
              <w:rPr>
                <w:rFonts w:hint="eastAsia" w:ascii="宋体" w:hAnsi="宋体"/>
                <w:b/>
                <w:color w:val="auto"/>
                <w:szCs w:val="21"/>
                <w:highlight w:val="none"/>
                <w:lang w:val="en-US" w:eastAsia="zh-CN"/>
              </w:rPr>
              <w:t>3</w:t>
            </w:r>
            <w:r>
              <w:rPr>
                <w:rFonts w:hint="eastAsia" w:ascii="宋体" w:hAnsi="宋体"/>
                <w:b/>
                <w:color w:val="auto"/>
                <w:szCs w:val="21"/>
                <w:highlight w:val="none"/>
              </w:rPr>
              <w:t xml:space="preserve">月 </w:t>
            </w:r>
            <w:r>
              <w:rPr>
                <w:rFonts w:hint="eastAsia" w:ascii="宋体" w:hAnsi="宋体"/>
                <w:b/>
                <w:color w:val="auto"/>
                <w:szCs w:val="21"/>
                <w:highlight w:val="none"/>
                <w:lang w:val="en-US" w:eastAsia="zh-CN"/>
              </w:rPr>
              <w:t>2</w:t>
            </w:r>
            <w:r>
              <w:rPr>
                <w:rFonts w:hint="eastAsia" w:ascii="宋体" w:hAnsi="宋体"/>
                <w:b/>
                <w:color w:val="auto"/>
                <w:szCs w:val="21"/>
                <w:highlight w:val="none"/>
              </w:rPr>
              <w:t>日</w:t>
            </w:r>
            <w:r>
              <w:rPr>
                <w:rFonts w:hint="eastAsia" w:ascii="宋体" w:hAnsi="宋体"/>
                <w:b/>
                <w:color w:val="auto"/>
                <w:szCs w:val="21"/>
                <w:highlight w:val="none"/>
                <w:lang w:val="en-US" w:eastAsia="zh-CN"/>
              </w:rPr>
              <w:t>9</w:t>
            </w:r>
            <w:r>
              <w:rPr>
                <w:rFonts w:hint="eastAsia" w:ascii="宋体" w:hAnsi="宋体"/>
                <w:b/>
                <w:color w:val="auto"/>
                <w:szCs w:val="21"/>
                <w:highlight w:val="none"/>
              </w:rPr>
              <w:t>时</w:t>
            </w:r>
            <w:r>
              <w:rPr>
                <w:rFonts w:hint="eastAsia" w:ascii="宋体" w:hAnsi="宋体"/>
                <w:b/>
                <w:color w:val="auto"/>
                <w:szCs w:val="21"/>
                <w:highlight w:val="none"/>
                <w:lang w:val="en-US" w:eastAsia="zh-CN"/>
              </w:rPr>
              <w:t>30分</w:t>
            </w:r>
            <w:r>
              <w:rPr>
                <w:rFonts w:hint="eastAsia" w:ascii="宋体" w:hAnsi="宋体"/>
                <w:b/>
                <w:color w:val="auto"/>
                <w:szCs w:val="21"/>
                <w:highlight w:val="none"/>
              </w:rPr>
              <w:t>前将投标文件密封送交到广西壮族自治区公共资源交易中心（广西南宁市青秀区怡宾路6号自治区政务服务中心4楼）（具体开标室根据电子屏幕显示的安排），逾期送达或未密封将予以拒收（或作无效投标文件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9</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color w:val="auto"/>
                <w:szCs w:val="21"/>
                <w:highlight w:val="none"/>
              </w:rPr>
              <w:t>开标时间及地点：</w:t>
            </w:r>
            <w:r>
              <w:rPr>
                <w:rFonts w:hint="eastAsia" w:ascii="宋体" w:hAnsi="宋体" w:cs="Arial"/>
                <w:b/>
                <w:color w:val="auto"/>
                <w:szCs w:val="21"/>
                <w:highlight w:val="none"/>
              </w:rPr>
              <w:t>开标时间同投标截止时间，开标地点同投标截止地点</w:t>
            </w:r>
            <w:r>
              <w:rPr>
                <w:rFonts w:hint="eastAsia" w:ascii="宋体" w:hAnsi="宋体" w:cs="Arial"/>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10</w:t>
            </w:r>
          </w:p>
        </w:tc>
        <w:tc>
          <w:tcPr>
            <w:tcW w:w="86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color w:val="auto"/>
                <w:szCs w:val="21"/>
                <w:highlight w:val="none"/>
              </w:rPr>
            </w:pPr>
            <w:r>
              <w:rPr>
                <w:rFonts w:hint="eastAsia" w:ascii="宋体" w:hAnsi="宋体"/>
                <w:color w:val="auto"/>
                <w:szCs w:val="21"/>
                <w:highlight w:val="none"/>
              </w:rPr>
              <w:t>评标办法及评分标准：本项目评标办法是综合评分法，具体评标内容及评分标准等详见《第四章：评标办法及评分标准》。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9"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11</w:t>
            </w:r>
          </w:p>
        </w:tc>
        <w:tc>
          <w:tcPr>
            <w:tcW w:w="8651" w:type="dxa"/>
            <w:tcBorders>
              <w:top w:val="single" w:color="auto" w:sz="4" w:space="0"/>
              <w:left w:val="single" w:color="auto" w:sz="4" w:space="0"/>
              <w:bottom w:val="single" w:color="auto" w:sz="4" w:space="0"/>
              <w:right w:val="single" w:color="auto" w:sz="4" w:space="0"/>
            </w:tcBorders>
            <w:vAlign w:val="center"/>
          </w:tcPr>
          <w:p>
            <w:pPr>
              <w:spacing w:line="420" w:lineRule="exact"/>
              <w:ind w:firstLine="420" w:firstLineChars="200"/>
              <w:rPr>
                <w:rFonts w:ascii="宋体" w:hAnsi="宋体"/>
                <w:b/>
                <w:color w:val="auto"/>
                <w:spacing w:val="-4"/>
                <w:szCs w:val="21"/>
                <w:highlight w:val="none"/>
              </w:rPr>
            </w:pPr>
            <w:r>
              <w:rPr>
                <w:rFonts w:hint="eastAsia" w:ascii="宋体" w:hAnsi="宋体"/>
                <w:color w:val="auto"/>
                <w:szCs w:val="21"/>
                <w:highlight w:val="none"/>
              </w:rPr>
              <w:t>中标公告及中标通知书：采购代理机构在采购人依法确认中标人后二个工作日内发布中标公告和中标通知书，中标公告发布于</w:t>
            </w:r>
            <w:r>
              <w:rPr>
                <w:rFonts w:hint="eastAsia" w:ascii="宋体" w:hAnsi="宋体"/>
                <w:color w:val="auto"/>
                <w:spacing w:val="-4"/>
                <w:szCs w:val="21"/>
                <w:highlight w:val="none"/>
              </w:rPr>
              <w:t>中国政府采购网</w:t>
            </w:r>
            <w:r>
              <w:rPr>
                <w:rFonts w:hint="eastAsia"/>
                <w:color w:val="auto"/>
                <w:spacing w:val="-4"/>
                <w:szCs w:val="21"/>
                <w:highlight w:val="none"/>
              </w:rPr>
              <w:t>、广西壮族自治区政府采购网、广西招标网</w:t>
            </w:r>
          </w:p>
          <w:p>
            <w:pPr>
              <w:autoSpaceDE w:val="0"/>
              <w:autoSpaceDN w:val="0"/>
              <w:snapToGrid w:val="0"/>
              <w:spacing w:line="360" w:lineRule="exact"/>
              <w:textAlignment w:val="bottom"/>
              <w:rPr>
                <w:rFonts w:ascii="宋体" w:hAnsi="宋体"/>
                <w:color w:val="auto"/>
                <w:szCs w:val="21"/>
                <w:highlight w:val="none"/>
              </w:rPr>
            </w:pP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12</w:t>
            </w:r>
          </w:p>
        </w:tc>
        <w:tc>
          <w:tcPr>
            <w:tcW w:w="86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color w:val="auto"/>
                <w:szCs w:val="21"/>
                <w:highlight w:val="none"/>
              </w:rPr>
            </w:pPr>
            <w:r>
              <w:rPr>
                <w:rFonts w:hint="eastAsia" w:ascii="宋体" w:hAnsi="宋体"/>
                <w:color w:val="auto"/>
                <w:szCs w:val="21"/>
                <w:highlight w:val="none"/>
              </w:rPr>
              <w:t>投标保证金退还：除招标文件规定不予退还保证金的情形外，未中标人的投标保证金在中标通知书发出后5个工作日内退还，中标人的投标保证金在中标人与采购人签订合同并将两份合同送到采购代理机构备案后五个工作日内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13</w:t>
            </w:r>
          </w:p>
        </w:tc>
        <w:tc>
          <w:tcPr>
            <w:tcW w:w="86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color w:val="auto"/>
                <w:szCs w:val="21"/>
                <w:highlight w:val="none"/>
              </w:rPr>
            </w:pPr>
            <w:r>
              <w:rPr>
                <w:rFonts w:hint="eastAsia" w:ascii="宋体" w:hAnsi="宋体"/>
                <w:color w:val="auto"/>
                <w:szCs w:val="21"/>
                <w:highlight w:val="none"/>
              </w:rPr>
              <w:t>签订合同时间：中标通知书发出后30日内。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14</w:t>
            </w:r>
          </w:p>
        </w:tc>
        <w:tc>
          <w:tcPr>
            <w:tcW w:w="865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exact"/>
              <w:textAlignment w:val="bottom"/>
              <w:rPr>
                <w:rFonts w:ascii="宋体" w:hAnsi="宋体"/>
                <w:color w:val="auto"/>
                <w:szCs w:val="21"/>
                <w:highlight w:val="none"/>
              </w:rPr>
            </w:pPr>
            <w:r>
              <w:rPr>
                <w:rFonts w:hint="eastAsia" w:ascii="宋体" w:hAnsi="宋体"/>
                <w:color w:val="auto"/>
                <w:szCs w:val="21"/>
                <w:highlight w:val="none"/>
              </w:rPr>
              <w:t>采购资金来源：财政资金。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15</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color w:val="auto"/>
                <w:szCs w:val="21"/>
                <w:highlight w:val="none"/>
              </w:rPr>
              <w:t>付款方式：详见《招标项目采购需求》中的“商务要求表”中的“付款方式”。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16</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color w:val="auto"/>
                <w:szCs w:val="21"/>
                <w:highlight w:val="none"/>
              </w:rPr>
              <w:t>投标文件有效期：</w:t>
            </w:r>
            <w:r>
              <w:rPr>
                <w:rFonts w:hint="eastAsia" w:ascii="宋体" w:hAnsi="宋体" w:cs="Arial"/>
                <w:color w:val="auto"/>
                <w:szCs w:val="21"/>
                <w:highlight w:val="none"/>
                <w:u w:val="single"/>
              </w:rPr>
              <w:t>60</w:t>
            </w:r>
            <w:r>
              <w:rPr>
                <w:rFonts w:hint="eastAsia" w:ascii="宋体" w:hAnsi="宋体" w:cs="Arial"/>
                <w:color w:val="auto"/>
                <w:szCs w:val="21"/>
                <w:highlight w:val="none"/>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17</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ascii="宋体" w:hAnsi="宋体"/>
                <w:color w:val="auto"/>
                <w:szCs w:val="21"/>
                <w:highlight w:val="none"/>
              </w:rPr>
              <w:t>解释：本招标文件的解释权属于招标采购单位。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olor w:val="auto"/>
                <w:szCs w:val="21"/>
                <w:highlight w:val="none"/>
              </w:rPr>
            </w:pPr>
            <w:r>
              <w:rPr>
                <w:rFonts w:hint="eastAsia" w:ascii="宋体" w:hAnsi="宋体"/>
                <w:color w:val="auto"/>
                <w:szCs w:val="21"/>
                <w:highlight w:val="none"/>
              </w:rPr>
              <w:t>18</w:t>
            </w:r>
          </w:p>
        </w:tc>
        <w:tc>
          <w:tcPr>
            <w:tcW w:w="86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olor w:val="auto"/>
                <w:szCs w:val="21"/>
                <w:highlight w:val="none"/>
              </w:rPr>
            </w:pPr>
            <w:r>
              <w:rPr>
                <w:rFonts w:hint="eastAsia" w:hAnsi="宋体"/>
                <w:b/>
                <w:color w:val="auto"/>
                <w:sz w:val="24"/>
                <w:highlight w:val="none"/>
              </w:rPr>
              <w:t>信用查询：</w:t>
            </w:r>
            <w:r>
              <w:rPr>
                <w:rFonts w:hint="eastAsia" w:ascii="宋体" w:hAnsi="宋体"/>
                <w:color w:val="auto"/>
                <w:szCs w:val="21"/>
                <w:highlight w:val="none"/>
              </w:rPr>
              <w:t>根据《关于做好政府采购有关信用主体标识码登记及在政府采购活动中查询使用信用记录有关问题的通知》桂财采〔2016〕37号的通知，中标通知书发出前，由采购代理机构对第一中标候选人进行信用查询：</w:t>
            </w:r>
          </w:p>
          <w:p>
            <w:pPr>
              <w:snapToGrid w:val="0"/>
              <w:spacing w:line="360" w:lineRule="exact"/>
              <w:rPr>
                <w:rFonts w:ascii="宋体" w:hAnsi="宋体"/>
                <w:color w:val="auto"/>
                <w:szCs w:val="21"/>
                <w:highlight w:val="none"/>
              </w:rPr>
            </w:pPr>
            <w:r>
              <w:rPr>
                <w:rFonts w:hint="eastAsia" w:ascii="宋体" w:hAnsi="宋体"/>
                <w:color w:val="auto"/>
                <w:szCs w:val="21"/>
                <w:highlight w:val="none"/>
              </w:rPr>
              <w:t>⑴查询渠道：“信用中国”网站(www.creditchina.gov.cn)、中国政府采购网(www.ccgp.gov.cn)等；</w:t>
            </w:r>
          </w:p>
          <w:p>
            <w:pPr>
              <w:snapToGrid w:val="0"/>
              <w:spacing w:line="360" w:lineRule="exact"/>
              <w:rPr>
                <w:rFonts w:ascii="宋体" w:hAnsi="宋体"/>
                <w:color w:val="auto"/>
                <w:szCs w:val="21"/>
                <w:highlight w:val="none"/>
              </w:rPr>
            </w:pPr>
            <w:r>
              <w:rPr>
                <w:rFonts w:hint="eastAsia" w:ascii="宋体" w:hAnsi="宋体"/>
                <w:color w:val="auto"/>
                <w:szCs w:val="21"/>
                <w:highlight w:val="none"/>
              </w:rPr>
              <w:t>⑵查询截止时点：中标通知书发出前；</w:t>
            </w:r>
          </w:p>
          <w:p>
            <w:pPr>
              <w:snapToGrid w:val="0"/>
              <w:spacing w:line="360" w:lineRule="exact"/>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pPr>
              <w:snapToGrid w:val="0"/>
              <w:spacing w:line="360" w:lineRule="exact"/>
              <w:rPr>
                <w:rFonts w:ascii="宋体" w:hAnsi="宋体"/>
                <w:color w:val="auto"/>
                <w:szCs w:val="21"/>
                <w:highlight w:val="none"/>
              </w:rPr>
            </w:pPr>
            <w:r>
              <w:rPr>
                <w:rFonts w:hint="eastAsia" w:ascii="宋体" w:hAnsi="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人资格。</w:t>
            </w:r>
          </w:p>
        </w:tc>
      </w:tr>
    </w:tbl>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20" w:lineRule="exact"/>
        <w:rPr>
          <w:rFonts w:hAnsi="宋体"/>
          <w:b/>
          <w:color w:val="auto"/>
          <w:sz w:val="24"/>
          <w:szCs w:val="24"/>
          <w:highlight w:val="none"/>
        </w:rPr>
      </w:pPr>
    </w:p>
    <w:p>
      <w:pPr>
        <w:pStyle w:val="29"/>
        <w:snapToGrid w:val="0"/>
        <w:spacing w:before="120" w:after="120" w:line="400" w:lineRule="exact"/>
        <w:rPr>
          <w:rFonts w:hAnsi="宋体"/>
          <w:b/>
          <w:color w:val="auto"/>
          <w:sz w:val="24"/>
          <w:szCs w:val="24"/>
          <w:highlight w:val="none"/>
        </w:rPr>
      </w:pPr>
      <w:r>
        <w:rPr>
          <w:rFonts w:hint="eastAsia" w:hAnsi="宋体"/>
          <w:b/>
          <w:color w:val="auto"/>
          <w:sz w:val="24"/>
          <w:szCs w:val="24"/>
          <w:highlight w:val="none"/>
        </w:rPr>
        <w:t>一、总  则</w:t>
      </w:r>
    </w:p>
    <w:p>
      <w:pPr>
        <w:snapToGrid w:val="0"/>
        <w:spacing w:line="400" w:lineRule="exact"/>
        <w:ind w:firstLine="472" w:firstLineChars="196"/>
        <w:jc w:val="left"/>
        <w:rPr>
          <w:rFonts w:ascii="宋体" w:hAnsi="宋体"/>
          <w:b/>
          <w:color w:val="auto"/>
          <w:sz w:val="24"/>
          <w:highlight w:val="none"/>
        </w:rPr>
      </w:pPr>
      <w:bookmarkStart w:id="391" w:name="_Toc254970527"/>
      <w:bookmarkStart w:id="392" w:name="_Toc254970668"/>
      <w:r>
        <w:rPr>
          <w:rFonts w:hint="eastAsia" w:ascii="宋体" w:hAnsi="宋体"/>
          <w:b/>
          <w:color w:val="auto"/>
          <w:sz w:val="24"/>
          <w:highlight w:val="none"/>
        </w:rPr>
        <w:t>（一） 适用范围</w:t>
      </w:r>
      <w:bookmarkEnd w:id="391"/>
      <w:bookmarkEnd w:id="392"/>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本招标文件适用于</w:t>
      </w:r>
      <w:r>
        <w:rPr>
          <w:rFonts w:hint="eastAsia" w:ascii="宋体" w:hAnsi="宋体" w:cs="Arial"/>
          <w:b/>
          <w:color w:val="auto"/>
          <w:szCs w:val="21"/>
          <w:highlight w:val="none"/>
        </w:rPr>
        <w:t>广西政府网站集约化平台系统建设及总集成服务采购</w:t>
      </w:r>
      <w:r>
        <w:rPr>
          <w:rFonts w:hint="eastAsia" w:ascii="宋体" w:hAnsi="宋体"/>
          <w:color w:val="auto"/>
          <w:sz w:val="24"/>
          <w:highlight w:val="none"/>
        </w:rPr>
        <w:t>的招标、投标、评标、定标、验收、合同履约、付款等行为（法律、法规另有规定的，从其规定）。</w:t>
      </w:r>
    </w:p>
    <w:p>
      <w:pPr>
        <w:snapToGrid w:val="0"/>
        <w:spacing w:beforeLines="50" w:line="400" w:lineRule="exact"/>
        <w:ind w:firstLine="354" w:firstLineChars="147"/>
        <w:jc w:val="left"/>
        <w:rPr>
          <w:rFonts w:ascii="宋体" w:hAnsi="宋体"/>
          <w:b/>
          <w:color w:val="auto"/>
          <w:sz w:val="24"/>
          <w:highlight w:val="none"/>
        </w:rPr>
      </w:pPr>
      <w:bookmarkStart w:id="393" w:name="_Toc254970669"/>
      <w:bookmarkStart w:id="394" w:name="_Toc254970528"/>
      <w:r>
        <w:rPr>
          <w:rFonts w:hint="eastAsia" w:ascii="宋体" w:hAnsi="宋体"/>
          <w:b/>
          <w:color w:val="auto"/>
          <w:sz w:val="24"/>
          <w:highlight w:val="none"/>
        </w:rPr>
        <w:t>（二）定义</w:t>
      </w:r>
      <w:bookmarkEnd w:id="393"/>
      <w:bookmarkEnd w:id="394"/>
    </w:p>
    <w:p>
      <w:pPr>
        <w:snapToGrid w:val="0"/>
        <w:spacing w:line="400" w:lineRule="exact"/>
        <w:ind w:firstLine="480" w:firstLineChars="200"/>
        <w:jc w:val="left"/>
        <w:rPr>
          <w:rFonts w:ascii="宋体" w:hAnsi="宋体"/>
          <w:color w:val="auto"/>
          <w:sz w:val="24"/>
          <w:highlight w:val="none"/>
        </w:rPr>
      </w:pPr>
      <w:bookmarkStart w:id="395" w:name="_Toc254970529"/>
      <w:bookmarkStart w:id="396" w:name="_Toc254970670"/>
      <w:r>
        <w:rPr>
          <w:rFonts w:hint="eastAsia" w:ascii="宋体" w:hAnsi="宋体"/>
          <w:color w:val="auto"/>
          <w:sz w:val="24"/>
          <w:highlight w:val="none"/>
        </w:rPr>
        <w:t>1.“采购人”是指：广西壮族自治区大数据发展局。</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2.“采购代理机构”是指：广西建设工程机电设备招标中心有限公司。</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3.“投标人”系指购买招标文件并向采购代理机构提交投标文件的单位或自然人。</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4.“产品”系指供方按招标文件规定，须向采购人提供的一切设备、保险、税金、备品备件、工具、手册及其它有关技术资料和材料。</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5.“服务”系指招标文件规定投标人须承担的安装、调试、技术协助、校准、培训、技术指导以及其他类似的义务。</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6.“项目”系指投标人按招标文件规定向采购人提供的产品和服务。</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7.“书面形式”包括信函、传真、电报等。</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8.“▲”系指实质性要求条款。</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（三）招标方式</w:t>
      </w:r>
      <w:bookmarkEnd w:id="395"/>
      <w:bookmarkEnd w:id="396"/>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公开招标方式。</w:t>
      </w:r>
    </w:p>
    <w:p>
      <w:pPr>
        <w:snapToGrid w:val="0"/>
        <w:spacing w:beforeLines="50" w:line="400" w:lineRule="exact"/>
        <w:ind w:firstLine="472" w:firstLineChars="196"/>
        <w:jc w:val="left"/>
        <w:rPr>
          <w:rFonts w:ascii="宋体" w:hAnsi="宋体"/>
          <w:b/>
          <w:color w:val="auto"/>
          <w:sz w:val="24"/>
          <w:highlight w:val="none"/>
        </w:rPr>
      </w:pPr>
      <w:bookmarkStart w:id="397" w:name="_Toc254970530"/>
      <w:bookmarkStart w:id="398" w:name="_Toc254970671"/>
      <w:r>
        <w:rPr>
          <w:rFonts w:hint="eastAsia" w:ascii="宋体" w:hAnsi="宋体"/>
          <w:b/>
          <w:color w:val="auto"/>
          <w:sz w:val="24"/>
          <w:highlight w:val="none"/>
        </w:rPr>
        <w:t>（四）投标委托</w:t>
      </w:r>
      <w:bookmarkEnd w:id="397"/>
      <w:bookmarkEnd w:id="398"/>
    </w:p>
    <w:p>
      <w:pPr>
        <w:pStyle w:val="22"/>
        <w:snapToGrid w:val="0"/>
        <w:spacing w:line="400" w:lineRule="exact"/>
        <w:ind w:firstLine="482" w:firstLineChars="200"/>
        <w:jc w:val="left"/>
        <w:rPr>
          <w:rFonts w:ascii="宋体" w:hAnsi="宋体" w:eastAsia="宋体"/>
          <w:b/>
          <w:color w:val="auto"/>
          <w:sz w:val="24"/>
          <w:szCs w:val="24"/>
          <w:highlight w:val="none"/>
        </w:rPr>
      </w:pPr>
      <w:r>
        <w:rPr>
          <w:rFonts w:hint="eastAsia" w:ascii="宋体" w:hAnsi="宋体" w:eastAsia="宋体"/>
          <w:b/>
          <w:color w:val="auto"/>
          <w:sz w:val="24"/>
          <w:szCs w:val="24"/>
          <w:highlight w:val="none"/>
        </w:rPr>
        <w:t>投标人代表须携带有效身份证件。如投标人代表不是法定代表人，须有法定代表人出具的授权委托书（正本用原件，副本用复印件，格式见第六章）。</w:t>
      </w:r>
    </w:p>
    <w:p>
      <w:pPr>
        <w:snapToGrid w:val="0"/>
        <w:spacing w:beforeLines="50" w:line="400" w:lineRule="exact"/>
        <w:ind w:firstLine="472" w:firstLineChars="196"/>
        <w:jc w:val="left"/>
        <w:rPr>
          <w:rFonts w:ascii="宋体" w:hAnsi="宋体"/>
          <w:b/>
          <w:color w:val="auto"/>
          <w:sz w:val="24"/>
          <w:highlight w:val="none"/>
        </w:rPr>
      </w:pPr>
      <w:bookmarkStart w:id="399" w:name="_Toc254970531"/>
      <w:bookmarkStart w:id="400" w:name="_Toc254970672"/>
      <w:r>
        <w:rPr>
          <w:rFonts w:hint="eastAsia" w:ascii="宋体" w:hAnsi="宋体"/>
          <w:b/>
          <w:color w:val="auto"/>
          <w:sz w:val="24"/>
          <w:highlight w:val="none"/>
        </w:rPr>
        <w:t>（五）投标费用</w:t>
      </w:r>
      <w:bookmarkEnd w:id="399"/>
      <w:bookmarkEnd w:id="400"/>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投标人均应自行承担所有与投标有关的全部费用（招标文件有相关的规定除外）。</w:t>
      </w:r>
    </w:p>
    <w:p>
      <w:pPr>
        <w:snapToGrid w:val="0"/>
        <w:spacing w:beforeLines="50" w:line="40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（六）联合体投标</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 xml:space="preserve">▲1.本项目不接受联合体投标。 </w:t>
      </w:r>
    </w:p>
    <w:p>
      <w:pPr>
        <w:snapToGrid w:val="0"/>
        <w:spacing w:beforeLines="50" w:line="400" w:lineRule="exact"/>
        <w:ind w:firstLine="472" w:firstLineChars="196"/>
        <w:rPr>
          <w:rFonts w:ascii="宋体" w:hAnsi="宋体" w:cs="宋体"/>
          <w:b/>
          <w:color w:val="auto"/>
          <w:kern w:val="0"/>
          <w:sz w:val="24"/>
          <w:highlight w:val="none"/>
        </w:rPr>
      </w:pPr>
      <w:r>
        <w:rPr>
          <w:rFonts w:hint="eastAsia" w:ascii="宋体" w:hAnsi="宋体"/>
          <w:b/>
          <w:color w:val="auto"/>
          <w:sz w:val="24"/>
          <w:highlight w:val="none"/>
        </w:rPr>
        <w:t>（七）</w:t>
      </w:r>
      <w:r>
        <w:rPr>
          <w:rFonts w:hint="eastAsia" w:ascii="宋体" w:hAnsi="宋体" w:cs="宋体"/>
          <w:b/>
          <w:color w:val="auto"/>
          <w:kern w:val="0"/>
          <w:sz w:val="24"/>
          <w:highlight w:val="none"/>
        </w:rPr>
        <w:t>转包与分包</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1.本项目不允许转包。</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2.本项目不可以分包。</w:t>
      </w:r>
    </w:p>
    <w:p>
      <w:pPr>
        <w:snapToGrid w:val="0"/>
        <w:spacing w:line="400" w:lineRule="exact"/>
        <w:ind w:firstLine="482" w:firstLineChars="200"/>
        <w:jc w:val="left"/>
        <w:rPr>
          <w:rFonts w:ascii="宋体" w:hAnsi="宋体"/>
          <w:b/>
          <w:color w:val="auto"/>
          <w:sz w:val="24"/>
          <w:highlight w:val="none"/>
        </w:rPr>
      </w:pPr>
      <w:bookmarkStart w:id="401" w:name="_Toc254970673"/>
      <w:bookmarkStart w:id="402" w:name="_Toc254970532"/>
      <w:r>
        <w:rPr>
          <w:rFonts w:hint="eastAsia" w:ascii="宋体" w:hAnsi="宋体"/>
          <w:b/>
          <w:color w:val="auto"/>
          <w:sz w:val="24"/>
          <w:highlight w:val="none"/>
        </w:rPr>
        <w:t>（八）特别说明：</w:t>
      </w:r>
      <w:bookmarkEnd w:id="401"/>
      <w:bookmarkEnd w:id="402"/>
    </w:p>
    <w:p>
      <w:pPr>
        <w:snapToGrid w:val="0"/>
        <w:spacing w:line="400" w:lineRule="exact"/>
        <w:ind w:firstLine="480" w:firstLineChars="200"/>
        <w:jc w:val="left"/>
        <w:rPr>
          <w:rFonts w:ascii="宋体" w:hAnsi="宋体"/>
          <w:color w:val="auto"/>
          <w:sz w:val="24"/>
          <w:highlight w:val="none"/>
        </w:rPr>
      </w:pPr>
      <w:bookmarkStart w:id="403" w:name="_Toc254970533"/>
      <w:bookmarkStart w:id="404" w:name="_Toc254970674"/>
      <w:r>
        <w:rPr>
          <w:rFonts w:hint="eastAsia" w:ascii="宋体" w:hAnsi="宋体"/>
          <w:color w:val="auto"/>
          <w:sz w:val="24"/>
          <w:highlight w:val="none"/>
        </w:rPr>
        <w:t>▲1.单位负责人为同一人或者存在直接控股、管理关系的不同供应商，不得参加同一合同项下的政府采购活动。</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 xml:space="preserve"> ▲2.提供相同品牌产品且通过资格审核、符合性审查的不同投标人参加同一分标投标的，按一家投标人计算，评审后得分最高的同品牌投标人获得中标人推荐资格；评审得分相同的，由采购人或者采购人委托评标委员会确定一个投标人获得中标人推荐资格，其他同品牌投标人不作为中标候选人。</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非单一产品采购项目中，多家投标人提供的招标文件中载明的核心产品品牌相同的，视为提供相同品牌产品。</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▲3.生产厂商授权给供应商后自己不得参加同一合同项下的政府采购活动；生产厂商对同一品牌同一型号的货物，仅能委托一个代理商参加投标。</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▲4.投标人应仔细阅读招标文件的所有内容，按照招标文件的要求提交投标文件，并对所提供的全部资料的真实性承担法律责任。</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▲5.投标人在投标活动中提供任何虚假材料、互相串通投标，其投标无效，并报监管部门查处。</w:t>
      </w:r>
    </w:p>
    <w:p>
      <w:pPr>
        <w:pStyle w:val="29"/>
        <w:snapToGrid w:val="0"/>
        <w:spacing w:line="400" w:lineRule="exact"/>
        <w:ind w:firstLine="472" w:firstLineChars="196"/>
        <w:rPr>
          <w:rFonts w:hAnsi="宋体"/>
          <w:b/>
          <w:bCs/>
          <w:color w:val="auto"/>
          <w:sz w:val="24"/>
          <w:szCs w:val="24"/>
          <w:highlight w:val="none"/>
        </w:rPr>
      </w:pPr>
      <w:r>
        <w:rPr>
          <w:rFonts w:hint="eastAsia" w:hAnsi="宋体"/>
          <w:b/>
          <w:bCs/>
          <w:color w:val="auto"/>
          <w:sz w:val="24"/>
          <w:szCs w:val="24"/>
          <w:highlight w:val="none"/>
        </w:rPr>
        <w:t>（九）质疑和投诉</w:t>
      </w:r>
      <w:bookmarkEnd w:id="403"/>
      <w:bookmarkEnd w:id="404"/>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人认为招标文件、招标过程或中标结果使自己的合法权益受到损害的，应当在知道或者应知其权益受到损害之日起七个工作日内，以书面形式向采购人、采购代理机构提出质疑(质疑函和必要的证明材料按财政部令第94号第十二条要求提供) 。投标人对招标采购单位的质疑答复不满意或者招标采购单位未在规定时间内作出答复的，可以在答复期满后十五个工作日内向同级采购监管部门投诉。</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pStyle w:val="29"/>
        <w:snapToGrid w:val="0"/>
        <w:spacing w:line="400" w:lineRule="exact"/>
        <w:ind w:firstLine="472" w:firstLineChars="196"/>
        <w:rPr>
          <w:rFonts w:hAnsi="宋体"/>
          <w:b/>
          <w:color w:val="auto"/>
          <w:sz w:val="24"/>
          <w:szCs w:val="24"/>
          <w:highlight w:val="none"/>
        </w:rPr>
      </w:pPr>
      <w:bookmarkStart w:id="405" w:name="_Toc254970534"/>
      <w:bookmarkStart w:id="406" w:name="_Toc254970675"/>
      <w:r>
        <w:rPr>
          <w:rFonts w:hint="eastAsia" w:hAnsi="宋体"/>
          <w:b/>
          <w:color w:val="auto"/>
          <w:sz w:val="24"/>
          <w:szCs w:val="24"/>
          <w:highlight w:val="none"/>
        </w:rPr>
        <w:t>二、招标文件</w:t>
      </w:r>
      <w:bookmarkEnd w:id="405"/>
      <w:bookmarkEnd w:id="406"/>
    </w:p>
    <w:p>
      <w:pPr>
        <w:snapToGrid w:val="0"/>
        <w:spacing w:line="40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（一）招标文件的构成。本招标文件由以下部份组成：</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1.招标公告；</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2.招标需求；</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3.投标人须知；</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4.评标办法及标准；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5.合同主要条款；</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6.投标文件格式。</w:t>
      </w:r>
    </w:p>
    <w:p>
      <w:pPr>
        <w:snapToGrid w:val="0"/>
        <w:spacing w:beforeLines="50" w:line="40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（二）投标人的风险</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投标人没有按照招标文件要求提供全部资料，或者投标人没有对招标文件在各方面作出实质性响应是投标人的风险，并可能导致其投标被拒绝。</w:t>
      </w:r>
    </w:p>
    <w:p>
      <w:pPr>
        <w:pStyle w:val="15"/>
        <w:widowControl w:val="0"/>
        <w:tabs>
          <w:tab w:val="clear" w:pos="454"/>
          <w:tab w:val="clear" w:pos="900"/>
        </w:tabs>
        <w:snapToGrid w:val="0"/>
        <w:spacing w:beforeLines="50" w:afterLines="0" w:line="400" w:lineRule="exact"/>
        <w:ind w:left="0" w:firstLine="472" w:firstLineChars="196"/>
        <w:rPr>
          <w:rFonts w:ascii="宋体" w:hAnsi="宋体"/>
          <w:b/>
          <w:color w:val="auto"/>
          <w:szCs w:val="24"/>
          <w:highlight w:val="none"/>
        </w:rPr>
      </w:pPr>
      <w:r>
        <w:rPr>
          <w:rFonts w:hint="eastAsia" w:ascii="宋体" w:hAnsi="宋体"/>
          <w:b/>
          <w:color w:val="auto"/>
          <w:szCs w:val="24"/>
          <w:highlight w:val="none"/>
        </w:rPr>
        <w:t xml:space="preserve">（三）招标文件的澄清与修改 </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投标人必须按照桂财采【2007】65号文件第二十九条规定，在澄清或修改通知发出后24小时内以书面形式进行确认，否则视为已经收到。</w:t>
      </w:r>
    </w:p>
    <w:p>
      <w:pPr>
        <w:snapToGrid w:val="0"/>
        <w:spacing w:line="400" w:lineRule="exact"/>
        <w:ind w:firstLine="480" w:firstLineChars="200"/>
        <w:jc w:val="left"/>
        <w:rPr>
          <w:rFonts w:ascii="宋体" w:hAnsi="宋体"/>
          <w:color w:val="auto"/>
          <w:sz w:val="24"/>
          <w:highlight w:val="none"/>
        </w:rPr>
      </w:pPr>
      <w:bookmarkStart w:id="407" w:name="_Toc254970535"/>
      <w:bookmarkStart w:id="408" w:name="_Toc254970676"/>
      <w:r>
        <w:rPr>
          <w:rFonts w:hint="eastAsia" w:ascii="宋体" w:hAnsi="宋体"/>
          <w:color w:val="auto"/>
          <w:sz w:val="24"/>
          <w:highlight w:val="none"/>
        </w:rPr>
        <w:t xml:space="preserve"> 2.招标文件中有不一致的，有澄清的部分以最终的澄清更正内容为准；未澄清的，以投标须知前附表为准；投标须知前附表不涉及的内容，以编排在后的最后描述为准。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3.招标文件的澄清或者修改都应当通过采购人或者采购代理机构以法定形式发布。</w:t>
      </w:r>
    </w:p>
    <w:p>
      <w:pPr>
        <w:snapToGrid w:val="0"/>
        <w:spacing w:line="400" w:lineRule="exact"/>
        <w:ind w:firstLine="482" w:firstLineChars="200"/>
        <w:jc w:val="left"/>
        <w:rPr>
          <w:rFonts w:hAnsi="宋体"/>
          <w:b/>
          <w:color w:val="auto"/>
          <w:sz w:val="24"/>
          <w:highlight w:val="none"/>
        </w:rPr>
      </w:pPr>
      <w:r>
        <w:rPr>
          <w:rFonts w:hint="eastAsia" w:hAnsi="宋体"/>
          <w:b/>
          <w:color w:val="auto"/>
          <w:sz w:val="24"/>
          <w:highlight w:val="none"/>
        </w:rPr>
        <w:t>三、投标文件的编制</w:t>
      </w:r>
      <w:bookmarkEnd w:id="407"/>
      <w:bookmarkEnd w:id="408"/>
    </w:p>
    <w:p>
      <w:pPr>
        <w:snapToGrid w:val="0"/>
        <w:spacing w:beforeLines="50" w:line="40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（一）投标文件的组成</w:t>
      </w:r>
    </w:p>
    <w:p>
      <w:pPr>
        <w:snapToGrid w:val="0"/>
        <w:spacing w:beforeLines="50" w:line="40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投标文件由资格审查文件、商务文件、技术文件、投标报价文件组成。</w:t>
      </w:r>
    </w:p>
    <w:p>
      <w:pPr>
        <w:snapToGrid w:val="0"/>
        <w:spacing w:line="400" w:lineRule="exact"/>
        <w:ind w:firstLine="472" w:firstLineChars="196"/>
        <w:rPr>
          <w:rFonts w:ascii="宋体" w:hAnsi="宋体"/>
          <w:b/>
          <w:color w:val="auto"/>
          <w:sz w:val="24"/>
          <w:highlight w:val="none"/>
        </w:rPr>
      </w:pPr>
      <w:r>
        <w:rPr>
          <w:rFonts w:hint="eastAsia" w:ascii="宋体" w:hAnsi="宋体"/>
          <w:b/>
          <w:color w:val="auto"/>
          <w:sz w:val="24"/>
          <w:highlight w:val="none"/>
        </w:rPr>
        <w:t>1、资格审查文件：</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（1）▲投标保证金交纳证明；</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（2）▲投标人有效的加载统一社会信用代码的营业执照、事业单位法人证书等主体资格证明副本复印件；</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（3）▲投标截止之日前半年内投标人连续三个月依法缴纳税收或依法免缴税收的证明；无缴纳税收记录的，应提供由投标人所在地主管国税、地税部门出具的《依法纳税或依法免税证明》（格式自拟）；</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 xml:space="preserve">（4）▲投标截止之日前半年内投标人连续三个月依法缴纳社会保障资金的证明；无缴费记录的，应提供由投标人所在地社保部门出具的《依法缴纳或依法免缴社保费证明》（格式自拟）； </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（5）▲参加政府采购活动前三年内在经营活动中没有重大违法记录和不良信用记录的书面声明</w:t>
      </w:r>
    </w:p>
    <w:p>
      <w:pPr>
        <w:snapToGrid w:val="0"/>
        <w:spacing w:line="400" w:lineRule="exact"/>
        <w:ind w:firstLine="470" w:firstLineChars="196"/>
        <w:jc w:val="left"/>
        <w:rPr>
          <w:rFonts w:ascii="宋体" w:hAnsi="宋体"/>
          <w:color w:val="auto"/>
          <w:sz w:val="24"/>
          <w:highlight w:val="none"/>
        </w:rPr>
      </w:pPr>
      <w:r>
        <w:rPr>
          <w:rFonts w:hint="eastAsia" w:ascii="宋体" w:hAnsi="宋体"/>
          <w:color w:val="auto"/>
          <w:sz w:val="24"/>
          <w:highlight w:val="none"/>
        </w:rPr>
        <w:t>（6）供应商可在“信用中国”网站（www.creditchina.gov.cn）或中国政府采购网（www.ccgp.gov.cn）查询相关供应商主体信用记录，同时将查询结果截图加盖公章与上述书面声明一并提交。</w:t>
      </w:r>
    </w:p>
    <w:p>
      <w:pPr>
        <w:snapToGrid w:val="0"/>
        <w:spacing w:line="400" w:lineRule="exact"/>
        <w:ind w:firstLine="472" w:firstLineChars="196"/>
        <w:jc w:val="left"/>
        <w:rPr>
          <w:rFonts w:ascii="宋体" w:hAnsi="宋体"/>
          <w:b/>
          <w:bCs/>
          <w:color w:val="auto"/>
          <w:sz w:val="24"/>
          <w:highlight w:val="none"/>
        </w:rPr>
      </w:pPr>
      <w:r>
        <w:rPr>
          <w:rFonts w:hint="eastAsia" w:ascii="宋体" w:hAnsi="宋体"/>
          <w:b/>
          <w:bCs/>
          <w:color w:val="auto"/>
          <w:sz w:val="24"/>
          <w:highlight w:val="none"/>
        </w:rPr>
        <w:t>2、商务文件：</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（1）▲投标声明书 （格式见第六章《投标文件格式》）；</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（2）▲法定代表人身份证复印件，委托代理时还须提供法定代表人授权委托书原件及被授权人身份证复印件（格式见第六章《投标文件格式》）；</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（3）产品销售许可证、安全生产许可证等；</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（4）类似案例成功的业绩（投标人同类项目实施情况一览表、合同复印件、用户验收报告、用户评价）；</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（5）招标文件列明的其他证明文件（注明必须提供的必须提供，否则投标无效）；</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（6）节能环保等方面的资质证书；</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（7）投标人的信誉、荣誉证书；</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（8）投标人质量管理和质量保证体系等方面的认证证书；</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（9）投标人认为可以证明其能力或业绩的其他材料；</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（10）投标人情况介绍；</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（11）中小企业声明函（投标人如为中小微型企业的请按第六章要求的格式填写，否则不予享受优惠政策）；</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（12）监狱企业由省级以上监狱管理局、戒毒管理局（含新疆生产建设兵团）出具的属于监狱企业的证明文件；</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（13）残疾人福利性单位声明函（投标人如为残疾人福利性单位的请按第六章要求的格式填写，否则不予享受优惠政策）；</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（14）广西工业产品声明函格式；</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（15）▲商务响应表（格式见第六章《投标文件格式》）；</w:t>
      </w:r>
    </w:p>
    <w:p>
      <w:pPr>
        <w:snapToGrid w:val="0"/>
        <w:spacing w:line="400" w:lineRule="exact"/>
        <w:ind w:firstLine="472" w:firstLineChars="196"/>
        <w:jc w:val="left"/>
        <w:rPr>
          <w:rFonts w:ascii="宋体" w:hAnsi="宋体"/>
          <w:b/>
          <w:bCs/>
          <w:color w:val="auto"/>
          <w:sz w:val="24"/>
          <w:highlight w:val="none"/>
        </w:rPr>
      </w:pPr>
      <w:r>
        <w:rPr>
          <w:rFonts w:hint="eastAsia" w:ascii="宋体" w:hAnsi="宋体"/>
          <w:b/>
          <w:bCs/>
          <w:color w:val="auto"/>
          <w:sz w:val="24"/>
          <w:highlight w:val="none"/>
        </w:rPr>
        <w:t>3、技术文件</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（1）▲技术响应表；</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（2）培训、技术支持和售后服务方案（根据招标文件“第二章 招标项目采购需求和第四章  评标办法及评分标准”要求自行编写）；</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（3）项目实施人员一览表；</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（4）产品出厂标准、质量检测报告（其中有精度要求的仪器设备类政府采购项目，应当要求投标人提供由第三方精度检测报告或由采购人在投标前组织的精度实测数据）</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（5）原厂出厂配置表及原厂中文使用说明书；</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（6）投标人需要说明的其他文件和说明（格式略，▲第二章《招标项目采购需求》中要求必须提供的，必须提供，否则投标无效）；</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（7）根据招标文件“第四章  评标办法及评分标准”要求提供的各种文件和材料；</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（8）投标人认为有必要提供的材料；</w:t>
      </w:r>
    </w:p>
    <w:p>
      <w:pPr>
        <w:snapToGrid w:val="0"/>
        <w:spacing w:line="40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4、报价文件：</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（1）▲投标函（格式见第六章《投标文件格式》）；</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（2）▲投标报价明细表（格式见第六章《投标文件格式》）；</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（3）投标人针对报价需要说明的其他文件和说明（格式自拟）；</w:t>
      </w:r>
    </w:p>
    <w:p>
      <w:pPr>
        <w:snapToGrid w:val="0"/>
        <w:spacing w:line="400" w:lineRule="exact"/>
        <w:ind w:firstLine="482" w:firstLineChars="200"/>
        <w:jc w:val="left"/>
        <w:rPr>
          <w:rFonts w:ascii="宋体" w:hAnsi="宋体"/>
          <w:color w:val="auto"/>
          <w:sz w:val="24"/>
          <w:highlight w:val="none"/>
        </w:rPr>
      </w:pPr>
      <w:r>
        <w:rPr>
          <w:rFonts w:hint="eastAsia" w:ascii="宋体" w:hAnsi="宋体"/>
          <w:b/>
          <w:color w:val="auto"/>
          <w:sz w:val="24"/>
          <w:highlight w:val="none"/>
        </w:rPr>
        <w:t>5、</w:t>
      </w:r>
      <w:r>
        <w:rPr>
          <w:rFonts w:hint="eastAsia" w:ascii="宋体" w:hAnsi="宋体"/>
          <w:color w:val="auto"/>
          <w:sz w:val="24"/>
          <w:highlight w:val="none"/>
        </w:rPr>
        <w:t>▲开标一览表（单独封装，格式见第六章《投标文件格式》）；</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▲特别说明：投标声明书、法定代表人授权委托书、商务响应表、技术响应表、投标函、投标报价明细表、开标一览表必须由法定代表人或委托代理人签字并加盖单位公章，否则投标无效。</w:t>
      </w:r>
    </w:p>
    <w:p>
      <w:pPr>
        <w:pStyle w:val="52"/>
        <w:spacing w:line="400" w:lineRule="exact"/>
        <w:ind w:firstLine="482" w:firstLineChars="200"/>
        <w:rPr>
          <w:rFonts w:ascii="宋体" w:hAnsi="宋体"/>
          <w:b/>
          <w:color w:val="auto"/>
          <w:sz w:val="24"/>
          <w:highlight w:val="none"/>
        </w:rPr>
      </w:pPr>
      <w:bookmarkStart w:id="409" w:name="_Toc254970678"/>
      <w:bookmarkStart w:id="410" w:name="_Toc254970537"/>
      <w:r>
        <w:rPr>
          <w:rFonts w:hint="eastAsia" w:ascii="宋体" w:hAnsi="宋体"/>
          <w:b/>
          <w:color w:val="auto"/>
          <w:sz w:val="24"/>
          <w:highlight w:val="none"/>
        </w:rPr>
        <w:t>（二）投标文件的语言及计量</w:t>
      </w:r>
      <w:bookmarkEnd w:id="409"/>
      <w:bookmarkEnd w:id="410"/>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1、投标文件以及投标方与招标方就有关投标事宜的所有来往函电，均应以中文汉语书写。除签字、盖章、专用名称等特殊情形外，以中文汉语以外的文字表述的投标文件视同未提供。</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2、投标计量单位，招标文件已有明确规定的，使用招标文件规定的计量单位；招标文件没有规定的，应采用中华人民共和国法定计量单位（货币单位：人民币元），否则视同未响应。</w:t>
      </w:r>
    </w:p>
    <w:p>
      <w:pPr>
        <w:pStyle w:val="52"/>
        <w:spacing w:line="400" w:lineRule="exact"/>
        <w:ind w:firstLine="482" w:firstLineChars="200"/>
        <w:rPr>
          <w:rFonts w:ascii="宋体" w:hAnsi="宋体"/>
          <w:b/>
          <w:color w:val="auto"/>
          <w:sz w:val="24"/>
          <w:highlight w:val="none"/>
        </w:rPr>
      </w:pPr>
      <w:bookmarkStart w:id="411" w:name="_Toc254970679"/>
      <w:bookmarkStart w:id="412" w:name="_Toc254970538"/>
      <w:r>
        <w:rPr>
          <w:rFonts w:hint="eastAsia" w:ascii="宋体" w:hAnsi="宋体"/>
          <w:b/>
          <w:color w:val="auto"/>
          <w:sz w:val="24"/>
          <w:highlight w:val="none"/>
        </w:rPr>
        <w:t>（三）投标报价</w:t>
      </w:r>
      <w:bookmarkEnd w:id="411"/>
      <w:bookmarkEnd w:id="412"/>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1.投标报价应按招标文件中相关附表格式填写。</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2.投标报价是履行合同的最终价格，应包括货款、标准附件、备品备件、专用工具、包装、运输、装卸、保险、税金、货到就位以及安装、调试、培训、保修等一切税金和费用。</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 投标文件只允许有一个报价（如有分标按分标报价），有选择的或有条件的报价将不予接受。</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（四）投标文件的有效期</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1.自投标截止日起60天投标文件应保持有效。有效期不足的投标文件将被拒绝。</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2.在特殊情况下，招标人可与投标人协商延长投标书的有效期，这种要求和答复均以书面形式进行。</w:t>
      </w:r>
    </w:p>
    <w:p>
      <w:pPr>
        <w:snapToGrid w:val="0"/>
        <w:spacing w:line="400" w:lineRule="exact"/>
        <w:ind w:firstLine="480" w:firstLineChars="200"/>
        <w:jc w:val="left"/>
        <w:rPr>
          <w:rFonts w:ascii="宋体" w:hAnsi="宋体"/>
          <w:color w:val="auto"/>
          <w:sz w:val="24"/>
          <w:highlight w:val="none"/>
        </w:rPr>
      </w:pPr>
      <w:bookmarkStart w:id="413" w:name="_Toc254970539"/>
      <w:bookmarkStart w:id="414" w:name="_Toc254970680"/>
      <w:r>
        <w:rPr>
          <w:rFonts w:hint="eastAsia" w:ascii="宋体" w:hAnsi="宋体"/>
          <w:color w:val="auto"/>
          <w:sz w:val="24"/>
          <w:highlight w:val="none"/>
        </w:rPr>
        <w:t>3.投标人可拒绝接受延期要求而不会导致投标保证金被没收。同意延长有效期的投标人需要相应延长投标保证金的有效期，但不能修改投标文件。</w:t>
      </w:r>
      <w:bookmarkEnd w:id="413"/>
      <w:bookmarkEnd w:id="414"/>
    </w:p>
    <w:p>
      <w:pPr>
        <w:snapToGrid w:val="0"/>
        <w:spacing w:line="400" w:lineRule="exact"/>
        <w:ind w:firstLine="480" w:firstLineChars="200"/>
        <w:jc w:val="left"/>
        <w:rPr>
          <w:rFonts w:ascii="宋体" w:hAnsi="宋体"/>
          <w:color w:val="auto"/>
          <w:sz w:val="24"/>
          <w:highlight w:val="none"/>
        </w:rPr>
      </w:pPr>
      <w:bookmarkStart w:id="415" w:name="_Toc254970540"/>
      <w:bookmarkStart w:id="416" w:name="_Toc254970681"/>
      <w:r>
        <w:rPr>
          <w:rFonts w:hint="eastAsia" w:ascii="宋体" w:hAnsi="宋体"/>
          <w:color w:val="auto"/>
          <w:sz w:val="24"/>
          <w:highlight w:val="none"/>
        </w:rPr>
        <w:t>4.中标人的投标文件自开标之日起至合同履行完毕止均应保持有效。</w:t>
      </w:r>
      <w:bookmarkEnd w:id="415"/>
      <w:bookmarkEnd w:id="416"/>
    </w:p>
    <w:p>
      <w:pPr>
        <w:pStyle w:val="52"/>
        <w:spacing w:line="400" w:lineRule="exact"/>
        <w:ind w:firstLine="482" w:firstLineChars="200"/>
        <w:rPr>
          <w:rFonts w:ascii="宋体" w:hAnsi="宋体"/>
          <w:b/>
          <w:color w:val="auto"/>
          <w:sz w:val="24"/>
          <w:highlight w:val="none"/>
        </w:rPr>
      </w:pPr>
      <w:bookmarkStart w:id="417" w:name="_Toc254970541"/>
      <w:bookmarkStart w:id="418" w:name="_Toc254970682"/>
      <w:r>
        <w:rPr>
          <w:rFonts w:hint="eastAsia" w:ascii="宋体" w:hAnsi="宋体"/>
          <w:b/>
          <w:color w:val="auto"/>
          <w:sz w:val="24"/>
          <w:highlight w:val="none"/>
        </w:rPr>
        <w:t>（五）投标保证金</w:t>
      </w:r>
      <w:bookmarkEnd w:id="417"/>
      <w:bookmarkEnd w:id="418"/>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▲1.投标人须按规定提交投标保证金。否则，其投标将被拒绝。</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 投标保证金交纳形式：电汇、转账、汇票等非现金形式。办理投标保证金手续时，请务必在银行进帐单或电汇单的附言或用途栏上注明项目编号及项目名称等信息，否则，信息不明确或有误的视为未按规定提交投标保证金处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3.未中标人的投标保证金在中标通知书发出后5个工作日内退还。</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 中标人的投标保证金在中标人与采购人签订合同并将两份合同送到采购代理机构备案后五个工作日内退还。</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5.保证金不计息。</w:t>
      </w:r>
    </w:p>
    <w:p>
      <w:pPr>
        <w:rPr>
          <w:rFonts w:ascii="宋体" w:hAnsi="宋体"/>
          <w:b/>
          <w:bCs/>
          <w:color w:val="auto"/>
          <w:sz w:val="24"/>
          <w:highlight w:val="none"/>
        </w:rPr>
      </w:pPr>
      <w:r>
        <w:rPr>
          <w:rFonts w:hint="eastAsia" w:ascii="宋体" w:hAnsi="宋体"/>
          <w:b/>
          <w:bCs/>
          <w:color w:val="auto"/>
          <w:sz w:val="24"/>
          <w:highlight w:val="none"/>
        </w:rPr>
        <w:t>6.投标人有下列情形之一的，投标保证金将不予退还：</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（1）投标人在投标有效期内撤回投标文件的；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（2）投标人在投标过程中弄虚作假，提供虚假材料的；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（3）中标人无正当理由不与采购人签订合同的；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（4）将中标项目转让给他人或者在投标文件中未说明且未经招标采购人同意，将中标项目分包给他人的；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（5）拒绝履行合同义务的；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（6）其他严重扰乱招投标程序的。</w:t>
      </w:r>
    </w:p>
    <w:p>
      <w:pPr>
        <w:pStyle w:val="52"/>
        <w:spacing w:line="400" w:lineRule="exact"/>
        <w:ind w:firstLine="482" w:firstLineChars="200"/>
        <w:rPr>
          <w:rFonts w:ascii="宋体" w:hAnsi="宋体"/>
          <w:b/>
          <w:color w:val="auto"/>
          <w:sz w:val="24"/>
          <w:highlight w:val="none"/>
        </w:rPr>
      </w:pPr>
      <w:bookmarkStart w:id="419" w:name="_Toc254970683"/>
      <w:bookmarkStart w:id="420" w:name="_Toc254970542"/>
      <w:r>
        <w:rPr>
          <w:rFonts w:hint="eastAsia" w:ascii="宋体" w:hAnsi="宋体"/>
          <w:b/>
          <w:color w:val="auto"/>
          <w:sz w:val="24"/>
          <w:highlight w:val="none"/>
        </w:rPr>
        <w:t>（六）投标文件的签署和份数</w:t>
      </w:r>
      <w:bookmarkEnd w:id="419"/>
      <w:bookmarkEnd w:id="420"/>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1.投标人应按本招标文件规定的格式和顺序编制、装订投标文件并标注页码，投标文件内容不完整、编排混乱导致投标文件被误读、漏读或者查找不到相关内容的，是投标人的责任。</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2.投标人应将开标一览表单独装订成一册，其中，正本一份，副本二份，并单独密封封装。</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3.投标人应将资格审查文件单独装订成一册，其中，正本一份，副本二份，封面应注明“正本”、“副本”字样。</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4.投标人应将商务文件、技术文件、投标报价文件合并装订成一册，其中，正本一份，副本六份，封面应注明“正本”、“副本”字样。</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5.活页装订的投标文件将有可能被拒绝。</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6.投标文件的正本应打印或用不褪色的墨水填写，投标文件正本除本项目招标文件中规定的可提供复印件外均须提供原件。副本可以为正本的复印件。</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7.投标文件须由投标人在规定位置盖章并由投标人的法定代表人或其委托代理人签署，否则投标无效，投标人应写全称。</w:t>
      </w:r>
    </w:p>
    <w:p>
      <w:pPr>
        <w:snapToGrid w:val="0"/>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8.投标文件不得涂改，若有修改错漏处，须加盖投标人单位公章或由投标人的法定代表人或其委托代理人签字或盖章。投标文件因字迹潦草或表达不清所引起的后果由投标人负责。</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（七）投标文件的包装、递交、修改和撤回</w:t>
      </w:r>
    </w:p>
    <w:p>
      <w:pPr>
        <w:snapToGrid w:val="0"/>
        <w:spacing w:line="400" w:lineRule="exact"/>
        <w:ind w:firstLine="480" w:firstLineChars="200"/>
        <w:jc w:val="left"/>
        <w:rPr>
          <w:rFonts w:ascii="宋体" w:hAnsi="宋体"/>
          <w:color w:val="auto"/>
          <w:sz w:val="24"/>
          <w:highlight w:val="none"/>
        </w:rPr>
      </w:pPr>
      <w:bookmarkStart w:id="421" w:name="_Toc254970684"/>
      <w:bookmarkStart w:id="422" w:name="_Toc254970543"/>
      <w:r>
        <w:rPr>
          <w:rFonts w:hint="eastAsia" w:ascii="宋体" w:hAnsi="宋体"/>
          <w:color w:val="auto"/>
          <w:sz w:val="24"/>
          <w:highlight w:val="none"/>
        </w:rPr>
        <w:t xml:space="preserve">1.投标人应将投标文件【含资格审查文件（单独成册）以及商务文件、技术文件、投标报价文件（合并成册）等，含正、副本，应尽量将全部投标文件一并装入一个投标文件袋中】一起密封封装，并将开标一览表单独用信封密封。同时在封贴处密封签章（公章或密封章或法定代表人或其委托代理人签字均可），密封以投标文件袋（信封）无明显缝隙露出袋（信封）内文件且封贴处有密封签章为合格。 </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2.投标文件、开标一览表的包装封面上应注明投标人名称、投标人地址、投标文件名称（投标文件、开标一览表等）、投标项目名称、项目编号、标项及“开标时启封”字样，并加盖投标人公章。</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投标人递交投标文件时应确认投标文件的密封、标记情况，由此造成投标文件被误投或提前拆封或密封、标记不合格等风险由投标人承担。采购代理机构在接收投标文件时只负责检查包装是否完好，不负责检查投标文件的密封、标记情况。 投标文件的密封性检查由投标人或投标人代表负责检查，未按规定密封或标记的投标文件将被拒绝。</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投标人在投标截止时间之前，可以对已提交的投标文件进行修改或撤回，并书面通知采购人；投标截止时间后，投标人不得撤回、修改投标文件。修改后重新递交的投标文件应当按本招标文件的要求签署、盖章和密封。</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 逾期送达或未按规定密封或标记的投标文件将被拒绝；没有购买招标文件的供应商的投标文件将被拒绝。</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（八）投标无效的情形</w:t>
      </w:r>
      <w:bookmarkEnd w:id="421"/>
      <w:bookmarkEnd w:id="422"/>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人没有按照招标文件要求提供全部资料，或实质上没有响应招标文件要求的投标将被视为无效投标。投标人不得通过修正或撤消不合要求的偏离或保留从而使其投标成为实质上响应的投标，但经评标委员会认定属于投标人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rPr>
          <w:rFonts w:ascii="宋体" w:hAnsi="宋体"/>
          <w:b/>
          <w:bCs/>
          <w:color w:val="auto"/>
          <w:sz w:val="24"/>
          <w:highlight w:val="none"/>
        </w:rPr>
      </w:pPr>
      <w:r>
        <w:rPr>
          <w:rFonts w:hint="eastAsia" w:ascii="宋体" w:hAnsi="宋体"/>
          <w:b/>
          <w:bCs/>
          <w:color w:val="auto"/>
          <w:sz w:val="24"/>
          <w:highlight w:val="none"/>
        </w:rPr>
        <w:t>1.在符合性审查和</w:t>
      </w:r>
      <w:r>
        <w:rPr>
          <w:rFonts w:hint="eastAsia" w:ascii="宋体" w:hAnsi="宋体" w:cs="Courier New"/>
          <w:b/>
          <w:bCs/>
          <w:color w:val="auto"/>
          <w:sz w:val="24"/>
          <w:highlight w:val="none"/>
        </w:rPr>
        <w:t>资格性审查时</w:t>
      </w:r>
      <w:r>
        <w:rPr>
          <w:rFonts w:hint="eastAsia" w:ascii="宋体" w:hAnsi="宋体"/>
          <w:b/>
          <w:bCs/>
          <w:color w:val="auto"/>
          <w:sz w:val="24"/>
          <w:highlight w:val="none"/>
        </w:rPr>
        <w:t>，如发现下列情形之一的，投标文件将被视为无效：</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（1）超越了按照法律法规规定必须获得行政许可或者行政审批的经营范围的；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（2）资格证明文件不全的，或者不符合招标文件标明的资格要求的；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（3）投标文件无法定代表人或委托代理人签字，或未提供法定代表人授权委托书、投标声明书或者填写项目错误、不齐全的；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（4）投标代表人未能出具有效身份证明或与法定代表人或委托代理人身份不符的。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（5）未按招标文件要求的格式编写投标文件、 项目不齐全或者内容虚假的；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（6）投标文件的实质性内容未使用中文表述、意思表述不明确、前后矛盾或者使用计量单位不符合招标文件要求的（经评标委员会认定并允许其当场更正的笔误除外）；</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（7）投标有效期、交付使用时间、质保期等商务条款不能满足招标文件要求的；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（8）未实质性响应招标文件要求或者投标文件有招标采购单位不能接受的附加条件的；</w:t>
      </w:r>
    </w:p>
    <w:p>
      <w:pPr>
        <w:rPr>
          <w:rFonts w:ascii="宋体" w:hAnsi="宋体"/>
          <w:b/>
          <w:bCs/>
          <w:color w:val="auto"/>
          <w:sz w:val="24"/>
          <w:highlight w:val="none"/>
        </w:rPr>
      </w:pPr>
      <w:r>
        <w:rPr>
          <w:rFonts w:hint="eastAsia" w:ascii="宋体" w:hAnsi="宋体"/>
          <w:b/>
          <w:bCs/>
          <w:color w:val="auto"/>
          <w:sz w:val="24"/>
          <w:highlight w:val="none"/>
        </w:rPr>
        <w:t>2.在技术评审时，如发现下列情形之一的，投标文件将被视为无效：</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（1）未提供或未如实提供投标货物的技术参数，或者投标文件标明的响应或偏离与事实不符或虚假投标的；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（2）明显不符合招标文件要求的规格型号、质量标准、其他等实质性条件，或者经评标委员会认定与招标文件中标注“▲”、“</w:t>
      </w:r>
      <w:r>
        <w:rPr>
          <w:rFonts w:hint="eastAsia" w:asciiTheme="minorEastAsia" w:hAnsiTheme="minorEastAsia" w:eastAsiaTheme="minorEastAsia" w:cstheme="minorEastAsia"/>
          <w:snapToGrid w:val="0"/>
          <w:color w:val="auto"/>
          <w:szCs w:val="21"/>
          <w:highlight w:val="none"/>
        </w:rPr>
        <w:t>★</w:t>
      </w:r>
      <w:r>
        <w:rPr>
          <w:rFonts w:hint="eastAsia" w:ascii="宋体" w:hAnsi="宋体"/>
          <w:color w:val="auto"/>
          <w:sz w:val="24"/>
          <w:highlight w:val="none"/>
        </w:rPr>
        <w:t>”的技术指标、主要功能及要求发生实质性偏离的；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（3）允许偏离的技术、性能指标或者辅助功能项目经评标委员会认定发生负偏离达</w:t>
      </w:r>
      <w:r>
        <w:rPr>
          <w:rFonts w:hint="eastAsia" w:ascii="宋体" w:hAnsi="宋体"/>
          <w:color w:val="auto"/>
          <w:sz w:val="24"/>
          <w:highlight w:val="none"/>
          <w:u w:val="single"/>
        </w:rPr>
        <w:t>8</w:t>
      </w:r>
      <w:r>
        <w:rPr>
          <w:rFonts w:hint="eastAsia" w:ascii="宋体" w:hAnsi="宋体"/>
          <w:color w:val="auto"/>
          <w:sz w:val="24"/>
          <w:highlight w:val="none"/>
        </w:rPr>
        <w:t>项（含）以上的（按分标独立统计）；</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（4）投标技术方案不明确，存在一个或一个以上备选（替代）投标方案的；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（5）与其他参加本次投标人的投标文件（技术文件）的文字表述内容差错相同2处以上的。</w:t>
      </w:r>
    </w:p>
    <w:p>
      <w:pPr>
        <w:rPr>
          <w:rFonts w:ascii="宋体" w:hAnsi="宋体"/>
          <w:b/>
          <w:bCs/>
          <w:color w:val="auto"/>
          <w:sz w:val="24"/>
          <w:highlight w:val="none"/>
        </w:rPr>
      </w:pPr>
      <w:bookmarkStart w:id="423" w:name="_Toc254970685"/>
      <w:bookmarkStart w:id="424" w:name="_Toc254970544"/>
      <w:r>
        <w:rPr>
          <w:rFonts w:hint="eastAsia" w:ascii="宋体" w:hAnsi="宋体"/>
          <w:b/>
          <w:bCs/>
          <w:color w:val="auto"/>
          <w:sz w:val="24"/>
          <w:highlight w:val="none"/>
        </w:rPr>
        <w:t>3.在报价评审时，如发现下列情形之一的，投标文件将被视为无效：</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（1）未采用人民币报价或者未按照招标文件标明的币种报价的；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（2）报价超过招标文件中规定的预算金额或者最高限价的。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 xml:space="preserve">（3）投标报价具有选择性，或者开标价格与投标文件承诺的优惠、折扣、价格不一致的。 </w:t>
      </w:r>
    </w:p>
    <w:p>
      <w:pPr>
        <w:snapToGrid w:val="0"/>
        <w:spacing w:line="400" w:lineRule="exact"/>
        <w:ind w:firstLine="482" w:firstLineChars="200"/>
        <w:jc w:val="left"/>
        <w:rPr>
          <w:rFonts w:ascii="宋体" w:hAnsi="宋体"/>
          <w:b/>
          <w:bCs/>
          <w:color w:val="auto"/>
          <w:sz w:val="24"/>
          <w:highlight w:val="none"/>
        </w:rPr>
      </w:pPr>
      <w:r>
        <w:rPr>
          <w:rFonts w:hint="eastAsia" w:ascii="宋体" w:hAnsi="宋体"/>
          <w:b/>
          <w:bCs/>
          <w:color w:val="auto"/>
          <w:sz w:val="24"/>
          <w:highlight w:val="none"/>
        </w:rPr>
        <w:t>（4）</w:t>
      </w:r>
      <w:r>
        <w:rPr>
          <w:rFonts w:ascii="宋体" w:hAnsi="宋体"/>
          <w:b/>
          <w:bCs/>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宋体" w:hAnsi="宋体"/>
          <w:b/>
          <w:bCs/>
          <w:color w:val="auto"/>
          <w:sz w:val="24"/>
          <w:highlight w:val="none"/>
        </w:rPr>
      </w:pPr>
      <w:r>
        <w:rPr>
          <w:rFonts w:hint="eastAsia" w:ascii="宋体" w:hAnsi="宋体"/>
          <w:b/>
          <w:bCs/>
          <w:color w:val="auto"/>
          <w:sz w:val="24"/>
          <w:highlight w:val="none"/>
        </w:rPr>
        <w:t>4.投标人有下列情形之一的视为投标人相互串通投标，投标文件将被视为无效：</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（1）不同投标人的投标文件由同一单位或者个人编制；或不同投标人报名的IP地址一致的；</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（2）不同投标人委托同一单位或者个人办理投标事宜；</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（3）不同的投标人的投标文件载明的项目管理员或项目实施人员为同一个人；</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（4）不同投标人的投标文件异常一致或投标报价呈规律性差异；</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（5）不同投标人的投标文件相互混装；</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pPr>
        <w:rPr>
          <w:rFonts w:ascii="宋体" w:hAnsi="宋体"/>
          <w:b/>
          <w:bCs/>
          <w:color w:val="auto"/>
          <w:sz w:val="24"/>
          <w:highlight w:val="none"/>
        </w:rPr>
      </w:pPr>
      <w:r>
        <w:rPr>
          <w:rFonts w:hint="eastAsia" w:ascii="宋体" w:hAnsi="宋体"/>
          <w:b/>
          <w:bCs/>
          <w:color w:val="auto"/>
          <w:sz w:val="24"/>
          <w:highlight w:val="none"/>
        </w:rPr>
        <w:t>5.关联供应商不得参加同一合同项下政府采购活动，否则投标文件将被视为无效：</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（1）单位负责人为同一人或者存在直接控股、管理关系的不同的供应商，不得参加同一合同项下的政府采购活动；</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（2）生产厂商授权给供应商后自己不得参加同一合同项下的政府采购活动；生产厂商对同一品牌同一型号的货物，仅能委托一个代理商参加投标。</w:t>
      </w:r>
    </w:p>
    <w:p>
      <w:pPr>
        <w:rPr>
          <w:rFonts w:ascii="宋体" w:hAnsi="宋体"/>
          <w:b/>
          <w:bCs/>
          <w:color w:val="auto"/>
          <w:sz w:val="24"/>
          <w:highlight w:val="none"/>
        </w:rPr>
      </w:pPr>
      <w:r>
        <w:rPr>
          <w:rFonts w:hint="eastAsia" w:ascii="宋体" w:hAnsi="宋体"/>
          <w:b/>
          <w:bCs/>
          <w:color w:val="auto"/>
          <w:sz w:val="24"/>
          <w:highlight w:val="none"/>
        </w:rPr>
        <w:t>6.被拒绝的投标文件为无效。</w:t>
      </w:r>
    </w:p>
    <w:bookmarkEnd w:id="423"/>
    <w:bookmarkEnd w:id="424"/>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四、开标</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（一）开标准备</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采购代理机构将在规定的时间和地点进行开标，投标人的法定代表人或其委托代理人应参加开标会并签到。投标人的法定代表人或其委托代理人未按时签到的，视同放弃开标监督权利、认可开标结果。</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投标人不足3家的，不予以开标。</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（二） 开标：</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1、开标由采购人或者采购代理机构主持，邀请投标人参加。</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2、开标时，由投标人或投标人的代表检查投标文件的密封情况，并签字确认。</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3、经确认无误后，由采购人或者采购代理机构工作人员当众拆封《开标一览表》，宣布投标人名称、投标价格和招标文件规定的需要宣布的其他内容。</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4、开标过程应当由采购人或者采购代理机构负责记录，由参加开标的各投标人代表和相关工作人员签字确认。</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五、资格审查</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公开招标采购项目开标结束后，采购人依法对投标人的资格进行审查。合格投标人不足3家的，不得评标。</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六、评标</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（一）组建评标委员会</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 xml:space="preserve">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 </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（二）评标的方式</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本项目采用不公开方式评标，评标的依据为招标文件和投标文件。</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 xml:space="preserve">（三）评标程序 </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1.形式审查</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评标委员会对投标文件的完整性、合法性等进行审查。</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2.符合性审查与比较</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（1）评标委员会对符合资格的投标人的投标文件进行符合性审查，以确定其是否满足招标文件的实质性要求。</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评标委员会审查投标文件的有效性、对招标文件的商务、技术等要求的响应程度，以确定投标文件是否符合招标文件的商务、技术等实质性要求。</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（2）评标委员会将根据投标人的投标文件进行审查、核对，如有疑问，将对投标人进行询标，投标人要向评标委员会澄清有关问题，并最终以书面形式进行答复。</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投标人代表未到场或者拒绝澄清或者澄清的内容改变了投标文件的实质性内容的，评标委员会有权视该投标文件无效。</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（3）评标委员会按照招标文件中规定的评标方法和标准，对符合性审查合格的投标文件进行商务和技术评估，综合比较与评价。</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（4）评标委员会根据投标文件综合比较与评价的结果确定中标候选人名单，或根据采购人委托直接确定中标人。</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评标委员会根据全体成员签字的原始评标记录和评标结果编写评标报告。评标委员会成员对需要共同认定的事项存在争议的，按照少数服从多数的原则作出结论。持不同意见的评标委员会成员应当在评标报告上签署不同意见及理由，否则视为同意评标报告。</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6）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（四）澄清问题的形式</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对投标文件中含义不明确、同类问题表述不一致或者有明显文字和计算错误的内容，评标委员会可要求投标人作出必要的澄清、说明或者纠正。投标人的澄清、说明或者补正应当采用书面形式，由法定代表人或其委托代理人签字或盖章确认，并不得超出投标文件的范围或者改变投标文件的实质性内容。</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（五）错误修正</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投标文件如果出现计算或表达上的错误，修正错误的原则如下：</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1、开标一览表内容与投标文件中相应内容不一致的，以开标一览表为准；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2、大写金额和小写金额不一致的，以大写金额为准；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3、单价金额小数点或者百分比有明显错位的，以开标一览表的总价为准，并修改单价；</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4、总价金额与按单价汇总金额不一致的，以单价金额计算结果为准；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5、对不同文字文本投标文件的解释发生异议的，以中文文本为准。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同时出现两种以上不一致的，按照上述规定的顺序修正。修正后的报价经投标人加盖公章或者由法定代表人或其授权的代表签字确认后产生约束力，投标人不确认的，其投标无效。</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（六）评标原则和评标办法</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2、评标办法。本项目评标办法是综合评分法，具体评标内容及评分标准等详见《第四章：评标办法及评分标准》。</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（七）评标过程的监控</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本项目评标过程实行全程录音、录像监控，投标人在评标过程中所进行的试图影响评标结果的不公正活动，可能导致其投标被拒绝。</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七、评标结果</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一）采购代理机构将在评标结束后两个工作日内将评标报告送采购人，采购人在五个工作日内按照评标报告中推荐的中标候选供应商顺序确定中标人。中标候选人并列的，由采购人自行确定其中一家为中标人。采购人也可以事先授权评标委员会直接确定中标人。</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（二）中标人确定后，采购代理机构在中国政府采购网（www.ccgp.gov.cn）、广西壮族自治区政府采购网（www.gxzfcg.gov.cn）、广西公共资源交易中心网站（www.gxzbtb.cn）发布中标公告。</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（三）在发布中标公告的同时，采购代理机构向中标人发出中标通知书。</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（四）投标人认为招标文件、招标过程和中标结果使自己的权益受到损害的，可以在知道或者应知其权益受到损害之日起七个工作日内，以书面形式向采购代理机构提出质疑，并及时索要书面回执。</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（五）采购代理机构应当按照有关规定就采购人委托授权范围内的事项在收到投标人的书面质疑后七个工作日内做出答复，但答复的内容不得涉及商业秘密。</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（六）采购代理机构无义务向未中标的供应商解释未中标原因和退还投标文件。</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八 、签订合同</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（一）合同授予标准</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合同将授予被确定实质上响应招标文件要求，具备履行合同能力，综合评分排名第一的投标人。</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（二）签订合同</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（1）投标人接到中标通知书后，应按中标通知书规定的时间、地点与采购人签订合同。</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（2）如中标人不按中标通知书的规定签订合同，则按中标人违约处理，采购代理机构将不予退还中标人投标的全部投标保证金，并将全部投标保证金上缴同级财政国库。</w:t>
      </w:r>
    </w:p>
    <w:p>
      <w:pPr>
        <w:snapToGrid w:val="0"/>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（3）中标人因不可抗力或者自身原因不能履行采购合同的，采购人可以与中标人之后排名第一的中标候选供应商签订采购合同，以此类推。</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（三）履约保证金：无</w:t>
      </w:r>
    </w:p>
    <w:p>
      <w:pPr>
        <w:pStyle w:val="52"/>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九、其他事项</w:t>
      </w:r>
    </w:p>
    <w:p>
      <w:pPr>
        <w:snapToGrid w:val="0"/>
        <w:spacing w:line="400" w:lineRule="exact"/>
        <w:ind w:firstLine="480" w:firstLineChars="200"/>
        <w:jc w:val="left"/>
        <w:rPr>
          <w:rFonts w:ascii="宋体" w:hAnsi="宋体"/>
          <w:color w:val="auto"/>
          <w:sz w:val="24"/>
          <w:highlight w:val="none"/>
        </w:rPr>
      </w:pPr>
      <w:bookmarkStart w:id="425" w:name="_Toc254970689"/>
      <w:bookmarkStart w:id="426" w:name="_Toc254970548"/>
      <w:bookmarkStart w:id="427" w:name="OLE_LINK1"/>
      <w:r>
        <w:rPr>
          <w:rFonts w:hint="eastAsia" w:ascii="宋体" w:hAnsi="宋体"/>
          <w:color w:val="auto"/>
          <w:sz w:val="24"/>
          <w:highlight w:val="none"/>
        </w:rPr>
        <w:t>本项目招标代理服务费参照计价格[2002]1980号《招标代理服务收费管理暂行办法》标准向中标人收取。领取中标通知书前，中标人应向采购代理机构一次付清招标代理服务费。</w:t>
      </w:r>
    </w:p>
    <w:p>
      <w:pPr>
        <w:pStyle w:val="29"/>
        <w:snapToGrid w:val="0"/>
        <w:spacing w:before="120" w:after="120"/>
        <w:outlineLvl w:val="0"/>
        <w:rPr>
          <w:rFonts w:hAnsi="宋体"/>
          <w:b/>
          <w:color w:val="auto"/>
          <w:sz w:val="32"/>
          <w:szCs w:val="32"/>
          <w:highlight w:val="none"/>
        </w:rPr>
      </w:pPr>
      <w:bookmarkStart w:id="428" w:name="_Toc3283345"/>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bookmarkStart w:id="429" w:name="_Toc25138"/>
      <w:r>
        <w:rPr>
          <w:rFonts w:hint="eastAsia" w:hAnsi="宋体"/>
          <w:b/>
          <w:color w:val="auto"/>
          <w:sz w:val="32"/>
          <w:szCs w:val="32"/>
          <w:highlight w:val="none"/>
        </w:rPr>
        <w:t>第四章  评标办法及评分标准</w:t>
      </w:r>
      <w:bookmarkEnd w:id="425"/>
      <w:bookmarkEnd w:id="426"/>
      <w:bookmarkEnd w:id="428"/>
      <w:bookmarkEnd w:id="429"/>
    </w:p>
    <w:bookmarkEnd w:id="427"/>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一、评标原则</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(一)评委构成：本招标采购项目的评委分别由依法组成的专家、采购单位代表共 7人以上单数构成，其中专家人数不少于成员总数的三分之二。</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(二)评标方法：采用百分制综合评分法。</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1、价格分 20分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（1）评标价为投标人的投标报价进行政策性扣除后的价格，评标价只是作为评标时使用。最终中标人的中标金额=投标报价。</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（2）政策性扣除计算方法：</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①按照《政府采购促进中小企业发展暂行办法》（财库〔2011〕181号）之规定，投标产品被认定为小型和微型企业产品</w:t>
      </w:r>
      <w:r>
        <w:rPr>
          <w:rFonts w:hint="eastAsia" w:ascii="宋体" w:hAnsi="宋体" w:cs="宋体"/>
          <w:color w:val="auto"/>
          <w:highlight w:val="none"/>
          <w:u w:val="single"/>
        </w:rPr>
        <w:t>（供应商须如实填写中小企业声明函，并对声明的真实性负责）</w:t>
      </w:r>
      <w:r>
        <w:rPr>
          <w:rFonts w:hint="eastAsia" w:ascii="宋体" w:hAnsi="宋体" w:cs="宋体"/>
          <w:color w:val="auto"/>
          <w:highlight w:val="none"/>
        </w:rPr>
        <w:t>的，对小型和微型企业产品的价格给予6%的扣除，扣除后的价格为评标报价，即评标报价=投标价×（1—6%）；大中型企业和其他自然人、法人或者其他组织与小型、微型企业组成联合体投标，联合体协议中约定小型、微型企业的协议合同金额占到联合体协议合同总金额30%以上的，联合体投标价给予2%的扣除，扣除后的价格为评标价，即评标报价=投标价×（1—2%）；除上述情况外，评标报价=投标价。</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小型、微型企业组成联合体参加投标的，联合体视同为小型、微型企业享受扶持政策。</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供应商符合小型、微型企业或监狱企业条件的，其投标报价将按相应比例进行扣除，用扣除后的价格参与评审（计算价格分）。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②按照《财政部、司法部关于政府采购支持监狱企业发展有关问题的通知》（财库〔2014〕68号）之规定，监狱企业视同小型、微型企业。</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③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（3）以进入综合评分环节的最低的评标报价为基准价，基准价报价得分为20分。</w:t>
      </w:r>
    </w:p>
    <w:p>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价格分计算公式：某投标人价格分=基准价/某投标人评标报价金额×20分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为确保采购质量和维护公平的竞争，根据《中华人民共和国政府采购法》第七十七条和中华人民共和国反不正当竞争法第十一条，经营者不得以排挤对手为目的，以低于成本的价格销售货物。采购人不能接受投标人的恶意低价的竞争。</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评标小组发现投标人的报价明显低于其他投标人的报价，使得其报价可能低于其个别成本的，应当要求该投标人作出书面说明并提供相关证明材料。投标人不能合理说明或者不能提供相关证明材料的，由评标小组认定该投标人以低于成本报价恶性竞争，其投标文件应作废标处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备注：对于存在严重不平衡、不合理、有可能低于投标人自身成本的投标价，投标人不能合理说明或不能提供证明材料的，评标委员会有权予以拒绝。</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2、技术分</w:t>
      </w:r>
      <w:r>
        <w:rPr>
          <w:rFonts w:hint="eastAsia" w:ascii="宋体" w:hAnsi="宋体" w:cs="宋体"/>
          <w:color w:val="auto"/>
          <w:highlight w:val="none"/>
        </w:rPr>
        <w:tab/>
      </w:r>
      <w:r>
        <w:rPr>
          <w:rFonts w:hint="eastAsia" w:ascii="宋体" w:hAnsi="宋体" w:cs="宋体"/>
          <w:color w:val="auto"/>
          <w:highlight w:val="none"/>
        </w:rPr>
        <w:t>56分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（1）技术设计方案分（满分9分）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由评标委员会在打分前根据投标人提供的技术设计方案进行确定各投标人所属档次，不提供不得分，不入档不得分。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档（3分）：基本理解本项目的建设背景、目标、范围，基本把握本项目的技术重点、难点，提出了基本可行的业务流程分析、系统功能分析、性能需求分析、用户和业务分析的；基本把握本项目的平台技术架构，提出基本可行的总体设计方案、应用支撑平台方案、各应用系统设计方案（13个应用系统）；提供的技术方案基本满足招标文件的系统需求分析、开发、测试、上线要求。</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档（6分）：较准确理解本项目的建设背景、目标、范围，能够把握本项目的技术重点、难点，提出了比较可行的业务流程分析、系统功能分析、性能需求分析、用户和业务分析；较准确理解本项目的平台技术架构，提出了比较可行的总体设计方案、应用支撑平台方案、各应用系统设计方案（13个应用系统）；提供的技术方案较好满足招标文件的系统需求分析、开发、测试、上线要求，需求分析具有针对性，技术方案与需求契合度良好。</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三档（9分）：完全准确理解本项目的建设背景、目标、范围，准确把握本项目的技术重点、难点，提出了详细、完善、全面可行的业务流程分析、系统功能分析、性能需求分析、用户和业务分析，提出有利于该项目进展的意见和建议的。完全准确理解本项目的平台技术架构，能够完整阐述平台设计的信息安全体系架构、性能优化设计、关键技术，提出了全面可行的、完善的总体设计方案、应用支撑平台方案、各应用系统设计方案（13个应用系统）。提供的技术方案最大限度满足招标文件的系统需求分析、开发、测试、上线要求，需求分析具有针对性，技术方案与需求契合度高。</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（2）组织实施方案分（满分18分）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由评标委员会在打分前根据投标人提供的组织实施方案进行确定各投标人所属档次，不提供不得分，不入档不得分。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档（6分）：项目实施方案基本满足采购招标要求，提供简单的所有平台和系统的集成方案，有基本的系统开发实施、政府网站迁移进度计划、地市平台对接思路和实施方法及保障措施；提供项目实施组织机构图、项目实施分工表，投标人或投标人所投产品厂商投入本项目实施人员不少于30人，其中，至少5名实施人员人须具有PMP证书或计算机技术与软件专业技术资格（水平）考试的信息系统项目管理师证书，至少5名实施人员须具有计算机技术与软件专业技术资格（水平）考试的软件设计师、软件测评师、网络工程师、数据库系统工程师、信息系统管理工程师资格证书原表述（以上证书任意一个）。</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档（12分）：项目实施方案满足采购招标要求，提供详细的所有平台和系统的集成方案，有较好的系统开发实施、政府网站迁移进度计划、地市平台对接思路和实施方法及保障措施；提供详细阐述项目实施组织办法及保障体系、实施进度、项目管理制度，具有较完备的管理组织、项目实施规范和管理制度，有较完备的质量管理体系和安全保障措施。提供项目实施组织机构图、项目实施分工表，投标人或投标人所投产品厂商投入本项目实施人员不少于45人，其中，至少1名实施人员须具有计算机信息系统集成及服务高级项目经理资格证书，至少10名实施人员须具有PMP证书或计算机技术与软件专业技术资格（水平）考试的信息系统项目管理师证书，至少10名实施人员须具有计算机技术与软件专业技术资格（水平）考试的软件设计师、软件测评师、网络工程师、数据库系统工程师、信息系统管理工程师资格证书（以上证书任意一个）。</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三档（18分）：项目实施方案完全满足采购招标要求，提供完善的所有平台和系统的集成方案，有完善的系统开发实施、政府网站迁移进度计划、地市平台对接思路和实施方法及保障措施；提供完善的项目实施组织办法及保障体系、实施进度、项目管理制度，具有较完善的管理组织、项目实施规范和管理制度，有较完善的质量管理体系和安全保障措施。项目实施方案详实，具有详细而合理项目组织机构图、项目实施分工表。投标人或投标人所投产品厂商投入本项目实施人员不少于60人，其中，至少1名实施人员须具有计算机信息系统集成及服务高级项目经理资格证书，1名实施人员具有高级工程师证书（教授级），至少15名实施人员须具有PMP证书或计算机技术与软件专业技术资格（水平）考试的信息系统项目管理师证书，至少15名实施人员须具有计算机技术与软件专业技术资格（水平）考试的软件设计师、软件测评师、网络工程师、数据库系统工程师、信息系统管理工程师资格证书（以上证书任意一个）。</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备注：实施人员必须提供相关证书复印件及最近连续3个月的投标人或投标人所投产品厂商为其缴纳的社保缴费证明。</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（3）演示分（满分20分）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本次项目安排各投标人按招标文件要求进行现场讲解和软件部分的功能演示，时间为不超过30分钟，如未提供演示的，本环节不得分，投标人必须提供现场真实系统功能演示。演示功能项要求设计界面简洁合理，功能清晰，并提供灵活互动功能，出现不演示或内容缺失的按缺项计算。</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演示内容（如果只是点开相关功能讲解不得分，必须要在现场对模块功能和子系统进行实际操作并体现一个完整应用场景的流程）：</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①演示信息资源管理系统，重点演示对信息资源库中的资源标准、资源目录、数据结构等资源模型进行设定，资源可按不同维度分类及多级分类，对常用的数据结构进行管理；对接入资源库的资源进行统一配置，可通过图形化界面对源数据表和目标数据表进行连接配置，并可修改或结束映射关系；对资源内容溯源检测、修改痕迹审查、知识图谱分析等智能处理功能；对接入资源库的资源同步进行自动分类、自动打标、自动排重等处理。（8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②演示网站群管理系统，包括发布管理、可视化专题、信息报送、信息采集、归档管理、音视频管理、智能表单、政府信息公开系统（主动公开、依申请公开）、域名管理等模块功能。重点演示对稿件的关键词提取、自动摘要、一键排版功能；稿件所见即所得的发布，不通过操作模板直接修改页面中的文字、图片等内容，快速完成其发布（5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③演示智能服务系统，包括统一智能搜索系统、统一智能问答系统、统一智能推送系统等子系统；重点演示搜索功能，对所有站点内容进行一键搜索，并对结果进行一键删除或修改；词典管理、字典管理、搜索日志管理等功能（3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④演示网站监测与评估系统，包括日常监测、网站抽查、预警通知、监管数据分析、监测与评估报告等模块功能。重点演示可分时间段对服务器的CPU、内存、网络、磁盘等资源进行监测，并可自定义监控大盘，对硬件资源出现的问题进行服务报警；可按状态展示待处理的工单，并对工单进行审核、分派、复审等操作；平台具备操作日志、发布日志、分发日志、归档日志、安全日志等功能（2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⑤演示政务新媒体矩阵管理，包括加入/退出申请、审批、发布/下架、新媒体矩阵分类管理、自定义新媒体、新媒体矩阵微信端展现、微信矩阵PC端展示页面、后台功能等模块功能。（1分）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⑥演示安全态势感知系统，包括安全监测子系统、预警子系统、态势感知子系统、应急处置子系统。（1分）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（4）售后服务方案分（满分9分）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由评标委员会在打分前根据投标人提供的售后服务方案进行确定各投标人所属档次，不提供不得分，不入档不得分。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一档（3分）：提供有售后服务方案，方案包含有人员培训、运维管理制度、故障处理流程、应急保障方案、售后服务方案，方案一般的。</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档（6分）：提供有售后服务方案，方案包含有人员培训、运维管理制度、故障处理流程、应急保障方案、售后服务方案，方案可行、较好的；投标人或投标人所投产品厂商派出的售后保障驻场人员不少于5人，售后保障驻场人员须具有信息系统运行维护或程序设计或新闻编辑或网页美工设计或网络安全等方面的资格证书或学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三档（9分）：提供有售后服务方案，方案包含有人员培训、运维管理制度、故障处理流程、应急保障方案、售后服务方案，方案有针对性、较完善；投标人或投标人所投产品厂商派出的售后保障驻场人员不少于10人，售后保障驻场人员须具有信息系统运行维护或程序设计或新闻编辑或网页美工设计或网络安全等方面的资格证书或学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备注：售后保障驻场人员必须提供相关证书复印件及最近连续3个月的投标人或投标人所投产品厂商为其缴纳的社保缴费证明。</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3、信誉业绩分</w:t>
      </w:r>
      <w:r>
        <w:rPr>
          <w:rFonts w:hint="eastAsia" w:ascii="宋体" w:hAnsi="宋体" w:cs="宋体"/>
          <w:color w:val="auto"/>
          <w:highlight w:val="none"/>
        </w:rPr>
        <w:tab/>
      </w:r>
      <w:r>
        <w:rPr>
          <w:rFonts w:hint="eastAsia" w:ascii="宋体" w:hAnsi="宋体" w:cs="宋体"/>
          <w:color w:val="auto"/>
          <w:highlight w:val="none"/>
        </w:rPr>
        <w:t>24分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投标人或投标人所采用的网站集约化平台的软件厂商，自2017年起，具有类似网站集约化建设项目案例，每提供一个得1分，满分7分；以上均需提供案例合同首页、金额页（包括分项）、显示项目名称页、显示项目内容页和签署页复印件（加盖公章）。</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（2）投标人或投标人所采用的集约化平台软件的厂商，在网站集约化领域取得《软件著作权证书》（证书名称包含“集约化”字样），且证书获得时间早于发标日期至少一个月，每提供1个，得1分，满分5分。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（3）投标人或投标人所采用的集约化平台的软件厂商具有ITSS信息技术服务运行维护标准符合性证书成熟度证书（三级），提供有效期内的证书复印件，得1分，满分1分，原件备查。</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（4）投标人或投标人所采用的网站集约化平台的软件厂商具有CMMI（四级）认证资质的得1分，具有CMMI（五级）认证资质的得2分，提供有效期内的证书复印件，满分2分，原件备查。</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（5）投标人或投标人所采用的网站集约化平台的软件厂商具有高新技术企业证书，提供有效期内的证书复印件，得1分，满分1分，原件备查。</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（6）投标人或投标人所采用的网站集约化平台软件系统获得公安机关的信息系统安全等级保护备案证明第三级，提供备案证明复印件并加盖公章，得2分，满分2分，原件备查。</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（7）投标人或投标人所采用的网站集约化平台的软件厂商获得过中国软件行业协会颁发的中国自主可靠企业—核心软件品牌证书（该证书每年颁发1次），提供复印件并加盖公章，每获得一次得2分，满分6分。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5、总得分 = 1 + 2 + 3 </w:t>
      </w:r>
    </w:p>
    <w:p>
      <w:pPr>
        <w:pStyle w:val="29"/>
        <w:spacing w:line="360" w:lineRule="exact"/>
        <w:rPr>
          <w:rFonts w:hAnsi="宋体"/>
          <w:bCs/>
          <w:color w:val="auto"/>
          <w:highlight w:val="none"/>
        </w:rPr>
      </w:pPr>
      <w:r>
        <w:rPr>
          <w:rFonts w:hint="eastAsia" w:hAnsi="宋体"/>
          <w:bCs/>
          <w:color w:val="auto"/>
          <w:highlight w:val="none"/>
        </w:rPr>
        <w:t>二、中标候选人推荐原则</w:t>
      </w:r>
    </w:p>
    <w:p>
      <w:pPr>
        <w:pStyle w:val="29"/>
        <w:spacing w:line="360" w:lineRule="exact"/>
        <w:ind w:firstLine="289" w:firstLineChars="138"/>
        <w:rPr>
          <w:rFonts w:hAnsi="宋体"/>
          <w:bCs/>
          <w:color w:val="auto"/>
          <w:highlight w:val="none"/>
        </w:rPr>
      </w:pPr>
      <w:r>
        <w:rPr>
          <w:rFonts w:hint="eastAsia" w:hAnsi="宋体"/>
          <w:bCs/>
          <w:color w:val="auto"/>
          <w:highlight w:val="none"/>
        </w:rPr>
        <w:t>（一）评标委员会将根据得分由高到低排列次序（得分相同时，以投标报价由低到高顺序排列；得分相同且投标报价相同的，按技术指标优劣顺序排列）并推荐中标候选供应商。招标采购单位应当确定评审委员会推荐排名第一的中标候选人为中标人。排名第一的中标候选人放弃中标、因不可抗力提出不能履行合同，或者招标文件规定应当提交质量保证金而在规定的期限内未能提交的，招标采购单位可以确定排名第二的中标候选人为中标人。排名第二的中标候选人因前款规定的同样原因不能签订合同的，招标采购单位可以确定排名第三的中标候选人为中标人，其余以此类推。</w:t>
      </w: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bookmarkStart w:id="430" w:name="_Toc14611"/>
      <w:bookmarkStart w:id="431" w:name="_Toc3283346"/>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p>
    <w:p>
      <w:pPr>
        <w:pStyle w:val="29"/>
        <w:spacing w:line="360" w:lineRule="exact"/>
        <w:jc w:val="center"/>
        <w:outlineLvl w:val="0"/>
        <w:rPr>
          <w:rFonts w:hAnsi="宋体"/>
          <w:b/>
          <w:color w:val="auto"/>
          <w:sz w:val="32"/>
          <w:szCs w:val="32"/>
          <w:highlight w:val="none"/>
        </w:rPr>
      </w:pPr>
      <w:r>
        <w:rPr>
          <w:rFonts w:hint="eastAsia" w:hAnsi="宋体"/>
          <w:b/>
          <w:color w:val="auto"/>
          <w:sz w:val="32"/>
          <w:szCs w:val="32"/>
          <w:highlight w:val="none"/>
        </w:rPr>
        <w:t>第五章  合同主要条款格式</w:t>
      </w:r>
      <w:bookmarkEnd w:id="430"/>
      <w:bookmarkEnd w:id="431"/>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p>
    <w:p>
      <w:pPr>
        <w:snapToGrid w:val="0"/>
        <w:spacing w:line="400" w:lineRule="exact"/>
        <w:rPr>
          <w:rFonts w:ascii="宋体" w:hAnsi="宋体"/>
          <w:b/>
          <w:bCs/>
          <w:color w:val="auto"/>
          <w:sz w:val="24"/>
          <w:highlight w:val="none"/>
        </w:rPr>
      </w:pPr>
    </w:p>
    <w:p>
      <w:pPr>
        <w:snapToGrid w:val="0"/>
        <w:spacing w:line="400" w:lineRule="exact"/>
        <w:jc w:val="center"/>
        <w:rPr>
          <w:rFonts w:ascii="宋体" w:hAnsi="宋体"/>
          <w:b/>
          <w:bCs/>
          <w:color w:val="auto"/>
          <w:sz w:val="24"/>
          <w:highlight w:val="none"/>
        </w:rPr>
      </w:pPr>
      <w:r>
        <w:rPr>
          <w:rFonts w:hint="eastAsia" w:ascii="宋体" w:hAnsi="宋体"/>
          <w:b/>
          <w:bCs/>
          <w:color w:val="auto"/>
          <w:sz w:val="24"/>
          <w:highlight w:val="none"/>
        </w:rPr>
        <w:t>广西壮族自治区政府采购合同</w:t>
      </w:r>
    </w:p>
    <w:p>
      <w:pPr>
        <w:snapToGrid w:val="0"/>
        <w:spacing w:line="360" w:lineRule="auto"/>
        <w:rPr>
          <w:rFonts w:ascii="宋体" w:hAnsi="宋体"/>
          <w:color w:val="auto"/>
          <w:sz w:val="24"/>
          <w:highlight w:val="none"/>
        </w:rPr>
      </w:pPr>
    </w:p>
    <w:p>
      <w:pPr>
        <w:snapToGrid w:val="0"/>
        <w:spacing w:line="400" w:lineRule="exact"/>
        <w:rPr>
          <w:rFonts w:ascii="宋体" w:hAnsi="宋体"/>
          <w:color w:val="auto"/>
          <w:sz w:val="24"/>
          <w:highlight w:val="none"/>
          <w:u w:val="single"/>
        </w:rPr>
      </w:pPr>
      <w:r>
        <w:rPr>
          <w:rFonts w:hint="eastAsia" w:ascii="宋体" w:hAnsi="宋体"/>
          <w:color w:val="auto"/>
          <w:sz w:val="24"/>
          <w:highlight w:val="none"/>
        </w:rPr>
        <w:t>采购单位（甲方）：采购计划号</w:t>
      </w:r>
      <w:r>
        <w:rPr>
          <w:rFonts w:hint="eastAsia" w:ascii="宋体" w:hAnsi="宋体"/>
          <w:color w:val="auto"/>
          <w:spacing w:val="-20"/>
          <w:sz w:val="24"/>
          <w:highlight w:val="none"/>
        </w:rPr>
        <w:t>：</w:t>
      </w:r>
    </w:p>
    <w:p>
      <w:pPr>
        <w:snapToGrid w:val="0"/>
        <w:spacing w:line="400" w:lineRule="exact"/>
        <w:rPr>
          <w:rFonts w:ascii="宋体" w:hAnsi="宋体"/>
          <w:color w:val="auto"/>
          <w:sz w:val="24"/>
          <w:highlight w:val="none"/>
          <w:u w:val="single"/>
        </w:rPr>
      </w:pPr>
      <w:r>
        <w:rPr>
          <w:rFonts w:hint="eastAsia" w:ascii="宋体" w:hAnsi="宋体"/>
          <w:color w:val="auto"/>
          <w:sz w:val="24"/>
          <w:highlight w:val="none"/>
        </w:rPr>
        <w:t>供应商（乙方）：项目编号</w:t>
      </w:r>
      <w:r>
        <w:rPr>
          <w:rFonts w:hint="eastAsia" w:ascii="宋体" w:hAnsi="宋体"/>
          <w:color w:val="auto"/>
          <w:spacing w:val="-20"/>
          <w:sz w:val="24"/>
          <w:highlight w:val="none"/>
        </w:rPr>
        <w:t>：</w:t>
      </w:r>
    </w:p>
    <w:p>
      <w:pPr>
        <w:snapToGrid w:val="0"/>
        <w:spacing w:line="400" w:lineRule="exact"/>
        <w:rPr>
          <w:rFonts w:ascii="宋体" w:hAnsi="宋体"/>
          <w:color w:val="auto"/>
          <w:sz w:val="24"/>
          <w:highlight w:val="none"/>
          <w:u w:val="single"/>
        </w:rPr>
      </w:pPr>
      <w:r>
        <w:rPr>
          <w:rFonts w:hint="eastAsia" w:ascii="宋体" w:hAnsi="宋体"/>
          <w:color w:val="auto"/>
          <w:sz w:val="24"/>
          <w:highlight w:val="none"/>
        </w:rPr>
        <w:t>签订地点： 签订时间：</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根据《中华人民共和国政府采购法》、《中华人民共和国合同法》等法律、法规规定，按照招投标文件（采购文件）规定条款和中标（成交）供应商承诺，甲乙双方签订本合同。</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第一条　合同标的</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1、供货一览表</w:t>
      </w:r>
    </w:p>
    <w:tbl>
      <w:tblPr>
        <w:tblStyle w:val="59"/>
        <w:tblW w:w="9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428"/>
        <w:gridCol w:w="2151"/>
        <w:gridCol w:w="1193"/>
        <w:gridCol w:w="1229"/>
        <w:gridCol w:w="1199"/>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25"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序号</w:t>
            </w:r>
          </w:p>
        </w:tc>
        <w:tc>
          <w:tcPr>
            <w:tcW w:w="1428"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产品名称</w:t>
            </w:r>
          </w:p>
        </w:tc>
        <w:tc>
          <w:tcPr>
            <w:tcW w:w="2151"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品牌、规格型号</w:t>
            </w:r>
          </w:p>
        </w:tc>
        <w:tc>
          <w:tcPr>
            <w:tcW w:w="1193"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生产厂家</w:t>
            </w:r>
          </w:p>
        </w:tc>
        <w:tc>
          <w:tcPr>
            <w:tcW w:w="1229"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数量</w:t>
            </w:r>
          </w:p>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（单位）</w:t>
            </w:r>
          </w:p>
        </w:tc>
        <w:tc>
          <w:tcPr>
            <w:tcW w:w="1199"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单  价</w:t>
            </w:r>
          </w:p>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（元）</w:t>
            </w:r>
          </w:p>
        </w:tc>
        <w:tc>
          <w:tcPr>
            <w:tcW w:w="1199"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金  额</w:t>
            </w:r>
          </w:p>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5"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1</w:t>
            </w:r>
          </w:p>
        </w:tc>
        <w:tc>
          <w:tcPr>
            <w:tcW w:w="1428" w:type="dxa"/>
            <w:vAlign w:val="center"/>
          </w:tcPr>
          <w:p>
            <w:pPr>
              <w:snapToGrid w:val="0"/>
              <w:spacing w:line="400" w:lineRule="exact"/>
              <w:jc w:val="center"/>
              <w:rPr>
                <w:rFonts w:ascii="宋体" w:hAnsi="宋体"/>
                <w:color w:val="auto"/>
                <w:sz w:val="24"/>
                <w:highlight w:val="none"/>
              </w:rPr>
            </w:pPr>
          </w:p>
        </w:tc>
        <w:tc>
          <w:tcPr>
            <w:tcW w:w="2151" w:type="dxa"/>
            <w:vAlign w:val="center"/>
          </w:tcPr>
          <w:p>
            <w:pPr>
              <w:snapToGrid w:val="0"/>
              <w:spacing w:line="400" w:lineRule="exact"/>
              <w:jc w:val="center"/>
              <w:rPr>
                <w:rFonts w:ascii="宋体" w:hAnsi="宋体"/>
                <w:color w:val="auto"/>
                <w:sz w:val="24"/>
                <w:highlight w:val="none"/>
              </w:rPr>
            </w:pPr>
          </w:p>
        </w:tc>
        <w:tc>
          <w:tcPr>
            <w:tcW w:w="1193" w:type="dxa"/>
          </w:tcPr>
          <w:p>
            <w:pPr>
              <w:snapToGrid w:val="0"/>
              <w:spacing w:line="400" w:lineRule="exact"/>
              <w:jc w:val="center"/>
              <w:rPr>
                <w:rFonts w:ascii="宋体" w:hAnsi="宋体"/>
                <w:color w:val="auto"/>
                <w:sz w:val="24"/>
                <w:highlight w:val="none"/>
              </w:rPr>
            </w:pPr>
          </w:p>
        </w:tc>
        <w:tc>
          <w:tcPr>
            <w:tcW w:w="1229" w:type="dxa"/>
          </w:tcPr>
          <w:p>
            <w:pPr>
              <w:snapToGrid w:val="0"/>
              <w:spacing w:line="400" w:lineRule="exact"/>
              <w:jc w:val="center"/>
              <w:rPr>
                <w:rFonts w:ascii="宋体" w:hAnsi="宋体"/>
                <w:color w:val="auto"/>
                <w:sz w:val="24"/>
                <w:highlight w:val="none"/>
              </w:rPr>
            </w:pPr>
          </w:p>
        </w:tc>
        <w:tc>
          <w:tcPr>
            <w:tcW w:w="1199" w:type="dxa"/>
            <w:vAlign w:val="center"/>
          </w:tcPr>
          <w:p>
            <w:pPr>
              <w:snapToGrid w:val="0"/>
              <w:spacing w:line="400" w:lineRule="exact"/>
              <w:jc w:val="center"/>
              <w:rPr>
                <w:rFonts w:ascii="宋体" w:hAnsi="宋体"/>
                <w:color w:val="auto"/>
                <w:sz w:val="24"/>
                <w:highlight w:val="none"/>
              </w:rPr>
            </w:pPr>
          </w:p>
        </w:tc>
        <w:tc>
          <w:tcPr>
            <w:tcW w:w="1199" w:type="dxa"/>
            <w:vAlign w:val="center"/>
          </w:tcPr>
          <w:p>
            <w:pPr>
              <w:snapToGrid w:val="0"/>
              <w:spacing w:line="400" w:lineRule="exa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5"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2</w:t>
            </w:r>
          </w:p>
        </w:tc>
        <w:tc>
          <w:tcPr>
            <w:tcW w:w="1428" w:type="dxa"/>
            <w:vAlign w:val="center"/>
          </w:tcPr>
          <w:p>
            <w:pPr>
              <w:snapToGrid w:val="0"/>
              <w:spacing w:line="400" w:lineRule="exact"/>
              <w:jc w:val="center"/>
              <w:rPr>
                <w:rFonts w:ascii="宋体" w:hAnsi="宋体"/>
                <w:color w:val="auto"/>
                <w:sz w:val="24"/>
                <w:highlight w:val="none"/>
              </w:rPr>
            </w:pPr>
          </w:p>
        </w:tc>
        <w:tc>
          <w:tcPr>
            <w:tcW w:w="2151" w:type="dxa"/>
            <w:vAlign w:val="center"/>
          </w:tcPr>
          <w:p>
            <w:pPr>
              <w:snapToGrid w:val="0"/>
              <w:spacing w:line="400" w:lineRule="exact"/>
              <w:jc w:val="center"/>
              <w:rPr>
                <w:rFonts w:ascii="宋体" w:hAnsi="宋体"/>
                <w:color w:val="auto"/>
                <w:sz w:val="24"/>
                <w:highlight w:val="none"/>
              </w:rPr>
            </w:pPr>
          </w:p>
        </w:tc>
        <w:tc>
          <w:tcPr>
            <w:tcW w:w="1193" w:type="dxa"/>
          </w:tcPr>
          <w:p>
            <w:pPr>
              <w:snapToGrid w:val="0"/>
              <w:spacing w:line="400" w:lineRule="exact"/>
              <w:jc w:val="center"/>
              <w:rPr>
                <w:rFonts w:ascii="宋体" w:hAnsi="宋体"/>
                <w:color w:val="auto"/>
                <w:sz w:val="24"/>
                <w:highlight w:val="none"/>
              </w:rPr>
            </w:pPr>
          </w:p>
        </w:tc>
        <w:tc>
          <w:tcPr>
            <w:tcW w:w="1229" w:type="dxa"/>
          </w:tcPr>
          <w:p>
            <w:pPr>
              <w:snapToGrid w:val="0"/>
              <w:spacing w:line="400" w:lineRule="exact"/>
              <w:jc w:val="center"/>
              <w:rPr>
                <w:rFonts w:ascii="宋体" w:hAnsi="宋体"/>
                <w:color w:val="auto"/>
                <w:sz w:val="24"/>
                <w:highlight w:val="none"/>
              </w:rPr>
            </w:pPr>
          </w:p>
        </w:tc>
        <w:tc>
          <w:tcPr>
            <w:tcW w:w="1199" w:type="dxa"/>
            <w:vAlign w:val="center"/>
          </w:tcPr>
          <w:p>
            <w:pPr>
              <w:snapToGrid w:val="0"/>
              <w:spacing w:line="400" w:lineRule="exact"/>
              <w:jc w:val="center"/>
              <w:rPr>
                <w:rFonts w:ascii="宋体" w:hAnsi="宋体"/>
                <w:color w:val="auto"/>
                <w:sz w:val="24"/>
                <w:highlight w:val="none"/>
              </w:rPr>
            </w:pPr>
          </w:p>
        </w:tc>
        <w:tc>
          <w:tcPr>
            <w:tcW w:w="1199" w:type="dxa"/>
            <w:vAlign w:val="center"/>
          </w:tcPr>
          <w:p>
            <w:pPr>
              <w:snapToGrid w:val="0"/>
              <w:spacing w:line="400" w:lineRule="exa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5" w:type="dxa"/>
            <w:vAlign w:val="center"/>
          </w:tcPr>
          <w:p>
            <w:pPr>
              <w:snapToGrid w:val="0"/>
              <w:spacing w:line="400" w:lineRule="exact"/>
              <w:jc w:val="center"/>
              <w:rPr>
                <w:rFonts w:ascii="宋体" w:hAnsi="宋体"/>
                <w:color w:val="auto"/>
                <w:sz w:val="24"/>
                <w:highlight w:val="none"/>
              </w:rPr>
            </w:pPr>
            <w:r>
              <w:rPr>
                <w:rFonts w:hint="eastAsia" w:ascii="宋体" w:hAnsi="宋体"/>
                <w:color w:val="auto"/>
                <w:sz w:val="24"/>
                <w:highlight w:val="none"/>
              </w:rPr>
              <w:t>3</w:t>
            </w:r>
          </w:p>
        </w:tc>
        <w:tc>
          <w:tcPr>
            <w:tcW w:w="1428" w:type="dxa"/>
            <w:vAlign w:val="center"/>
          </w:tcPr>
          <w:p>
            <w:pPr>
              <w:snapToGrid w:val="0"/>
              <w:spacing w:line="400" w:lineRule="exact"/>
              <w:jc w:val="center"/>
              <w:rPr>
                <w:rFonts w:ascii="宋体" w:hAnsi="宋体"/>
                <w:color w:val="auto"/>
                <w:sz w:val="24"/>
                <w:highlight w:val="none"/>
              </w:rPr>
            </w:pPr>
          </w:p>
        </w:tc>
        <w:tc>
          <w:tcPr>
            <w:tcW w:w="2151" w:type="dxa"/>
            <w:vAlign w:val="center"/>
          </w:tcPr>
          <w:p>
            <w:pPr>
              <w:snapToGrid w:val="0"/>
              <w:spacing w:line="400" w:lineRule="exact"/>
              <w:jc w:val="center"/>
              <w:rPr>
                <w:rFonts w:ascii="宋体" w:hAnsi="宋体"/>
                <w:color w:val="auto"/>
                <w:sz w:val="24"/>
                <w:highlight w:val="none"/>
              </w:rPr>
            </w:pPr>
          </w:p>
        </w:tc>
        <w:tc>
          <w:tcPr>
            <w:tcW w:w="1193" w:type="dxa"/>
          </w:tcPr>
          <w:p>
            <w:pPr>
              <w:snapToGrid w:val="0"/>
              <w:spacing w:line="400" w:lineRule="exact"/>
              <w:jc w:val="center"/>
              <w:rPr>
                <w:rFonts w:ascii="宋体" w:hAnsi="宋体"/>
                <w:color w:val="auto"/>
                <w:sz w:val="24"/>
                <w:highlight w:val="none"/>
              </w:rPr>
            </w:pPr>
          </w:p>
        </w:tc>
        <w:tc>
          <w:tcPr>
            <w:tcW w:w="1229" w:type="dxa"/>
          </w:tcPr>
          <w:p>
            <w:pPr>
              <w:snapToGrid w:val="0"/>
              <w:spacing w:line="400" w:lineRule="exact"/>
              <w:jc w:val="center"/>
              <w:rPr>
                <w:rFonts w:ascii="宋体" w:hAnsi="宋体"/>
                <w:color w:val="auto"/>
                <w:sz w:val="24"/>
                <w:highlight w:val="none"/>
              </w:rPr>
            </w:pPr>
          </w:p>
        </w:tc>
        <w:tc>
          <w:tcPr>
            <w:tcW w:w="1199" w:type="dxa"/>
            <w:vAlign w:val="center"/>
          </w:tcPr>
          <w:p>
            <w:pPr>
              <w:snapToGrid w:val="0"/>
              <w:spacing w:line="400" w:lineRule="exact"/>
              <w:jc w:val="center"/>
              <w:rPr>
                <w:rFonts w:ascii="宋体" w:hAnsi="宋体"/>
                <w:color w:val="auto"/>
                <w:sz w:val="24"/>
                <w:highlight w:val="none"/>
              </w:rPr>
            </w:pPr>
          </w:p>
        </w:tc>
        <w:tc>
          <w:tcPr>
            <w:tcW w:w="1199" w:type="dxa"/>
            <w:vAlign w:val="center"/>
          </w:tcPr>
          <w:p>
            <w:pPr>
              <w:snapToGrid w:val="0"/>
              <w:spacing w:line="400" w:lineRule="exa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9124" w:type="dxa"/>
            <w:gridSpan w:val="7"/>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 xml:space="preserve">人民币合计金额（大写）                          （小写）                 </w:t>
            </w:r>
          </w:p>
        </w:tc>
      </w:tr>
    </w:tbl>
    <w:p>
      <w:pPr>
        <w:snapToGrid w:val="0"/>
        <w:spacing w:line="400" w:lineRule="exact"/>
        <w:ind w:right="420" w:firstLine="480" w:firstLineChars="200"/>
        <w:rPr>
          <w:rFonts w:ascii="宋体" w:hAnsi="宋体"/>
          <w:color w:val="auto"/>
          <w:sz w:val="24"/>
          <w:highlight w:val="none"/>
        </w:rPr>
      </w:pPr>
      <w:r>
        <w:rPr>
          <w:rFonts w:hint="eastAsia" w:ascii="宋体" w:hAnsi="宋体"/>
          <w:color w:val="auto"/>
          <w:sz w:val="24"/>
          <w:highlight w:val="none"/>
        </w:rPr>
        <w:t>2、合同合计金额包括货物价款，检验、技术培训及技术资料和包装、运输等全部费用。如招投标文件对其另有规定的，从其规定。</w:t>
      </w:r>
    </w:p>
    <w:p>
      <w:pPr>
        <w:snapToGrid w:val="0"/>
        <w:spacing w:line="400" w:lineRule="exact"/>
        <w:ind w:firstLine="482" w:firstLineChars="200"/>
        <w:rPr>
          <w:rFonts w:ascii="宋体" w:hAnsi="宋体"/>
          <w:color w:val="auto"/>
          <w:sz w:val="24"/>
          <w:highlight w:val="none"/>
        </w:rPr>
      </w:pPr>
      <w:r>
        <w:rPr>
          <w:rFonts w:hint="eastAsia" w:ascii="宋体" w:hAnsi="宋体"/>
          <w:b/>
          <w:color w:val="auto"/>
          <w:sz w:val="24"/>
          <w:highlight w:val="none"/>
        </w:rPr>
        <w:t>第二条　质量保证</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1、乙方所提供的货物型号、技术规格、技术参数等质量必须与招投标文件和承诺相一致。乙方提供的节能和环保产品必须是列入政府采购清单的产品。</w:t>
      </w:r>
    </w:p>
    <w:p>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2、乙方所提供的货物必须是全新、未使用的原装产品，且在正常安装、使用和保养条件下，其使用寿命期内各项指标均达到质量要求。</w:t>
      </w:r>
    </w:p>
    <w:p>
      <w:pPr>
        <w:snapToGrid w:val="0"/>
        <w:spacing w:line="400" w:lineRule="exact"/>
        <w:ind w:firstLine="482" w:firstLineChars="200"/>
        <w:rPr>
          <w:rFonts w:ascii="宋体" w:hAnsi="宋体"/>
          <w:color w:val="auto"/>
          <w:sz w:val="24"/>
          <w:highlight w:val="none"/>
        </w:rPr>
      </w:pPr>
      <w:r>
        <w:rPr>
          <w:rFonts w:hint="eastAsia" w:ascii="宋体" w:hAnsi="宋体"/>
          <w:b/>
          <w:color w:val="auto"/>
          <w:sz w:val="24"/>
          <w:highlight w:val="none"/>
        </w:rPr>
        <w:t>第三条　权力保证</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乙方应保证所提供货物在使用时不会侵犯任何第三方的专利权、商标权、工业设计权或其他权利。</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乙方应按招标文件规定的时间向甲方提供使用货物的有关技术资料。</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乙方保证所交付的货物的所有权完全属于乙方且无任何抵押、质押、查封等产权瑕疵。</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第四条　包装和运输</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1、乙方提供的货物均应按招投标文件要求的包装材料、包装标准、包装方式进行包装，每一包装单元内应附详细的装箱单和质量合格证。</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2、货物的运输方式：</w:t>
      </w:r>
      <w:r>
        <w:rPr>
          <w:rFonts w:hint="eastAsia" w:ascii="宋体" w:hAnsi="宋体"/>
          <w:color w:val="auto"/>
          <w:sz w:val="24"/>
          <w:highlight w:val="none"/>
          <w:u w:val="single"/>
        </w:rPr>
        <w:t>由乙方自行安排。</w:t>
      </w:r>
    </w:p>
    <w:p>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3、乙方负责货物运输，货物运输合理损耗及计算方法：</w:t>
      </w:r>
      <w:r>
        <w:rPr>
          <w:rFonts w:hint="eastAsia" w:ascii="宋体" w:hAnsi="宋体"/>
          <w:color w:val="auto"/>
          <w:sz w:val="24"/>
          <w:highlight w:val="none"/>
          <w:u w:val="single"/>
        </w:rPr>
        <w:t>无。</w:t>
      </w:r>
    </w:p>
    <w:p>
      <w:pPr>
        <w:snapToGrid w:val="0"/>
        <w:spacing w:line="400" w:lineRule="exact"/>
        <w:ind w:firstLine="482" w:firstLineChars="200"/>
        <w:rPr>
          <w:rFonts w:ascii="宋体" w:hAnsi="宋体"/>
          <w:color w:val="auto"/>
          <w:sz w:val="24"/>
          <w:highlight w:val="none"/>
        </w:rPr>
      </w:pPr>
      <w:r>
        <w:rPr>
          <w:rFonts w:hint="eastAsia" w:ascii="宋体" w:hAnsi="宋体"/>
          <w:b/>
          <w:color w:val="auto"/>
          <w:sz w:val="24"/>
          <w:highlight w:val="none"/>
        </w:rPr>
        <w:t>第五条　交付和验收</w:t>
      </w:r>
    </w:p>
    <w:p>
      <w:pPr>
        <w:snapToGrid w:val="0"/>
        <w:spacing w:line="400" w:lineRule="exact"/>
        <w:ind w:left="479" w:leftChars="228"/>
        <w:rPr>
          <w:rFonts w:ascii="宋体" w:hAnsi="宋体"/>
          <w:color w:val="auto"/>
          <w:sz w:val="24"/>
          <w:highlight w:val="none"/>
        </w:rPr>
      </w:pPr>
      <w:r>
        <w:rPr>
          <w:rFonts w:hint="eastAsia" w:ascii="宋体" w:hAnsi="宋体"/>
          <w:color w:val="auto"/>
          <w:sz w:val="24"/>
          <w:highlight w:val="none"/>
        </w:rPr>
        <w:t>1、交货时间和地点：</w:t>
      </w:r>
      <w:r>
        <w:rPr>
          <w:rFonts w:hint="eastAsia" w:ascii="宋体" w:hAnsi="宋体"/>
          <w:color w:val="auto"/>
          <w:sz w:val="24"/>
          <w:highlight w:val="none"/>
          <w:u w:val="single"/>
        </w:rPr>
        <w:t xml:space="preserve"> 详见“</w:t>
      </w:r>
      <w:r>
        <w:rPr>
          <w:rFonts w:hint="eastAsia" w:ascii="宋体" w:hAnsi="宋体" w:cs="Courier New"/>
          <w:color w:val="auto"/>
          <w:sz w:val="24"/>
          <w:highlight w:val="none"/>
          <w:u w:val="single"/>
        </w:rPr>
        <w:t>第二章  招标项目采购需求”里的交货时间地点条件</w:t>
      </w:r>
      <w:r>
        <w:rPr>
          <w:rFonts w:hint="eastAsia" w:ascii="宋体" w:hAnsi="宋体" w:cs="Courier New"/>
          <w:color w:val="auto"/>
          <w:sz w:val="24"/>
          <w:highlight w:val="none"/>
        </w:rPr>
        <w:t>。</w:t>
      </w:r>
      <w:r>
        <w:rPr>
          <w:rFonts w:hint="eastAsia" w:ascii="宋体" w:hAnsi="宋体"/>
          <w:color w:val="auto"/>
          <w:sz w:val="24"/>
          <w:highlight w:val="none"/>
        </w:rPr>
        <w:t>2、乙方提供不符合招投标文件和本合同规定的货物，甲方有权拒绝接受。</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3、乙方应将所提供货物的装箱清单、用户手册、原厂保修卡、随机资料、工具和备品、备件等交付给甲方，如有缺失应及时补齐，否则视为逾期交货。</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4、甲方应当在到货后7个工作日内进行验收，逾期不验收的，乙方可视同验收合格。验收合格后由甲乙双方签署货物验收单并加盖采购单位公章，甲乙双方各执一份。</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6、甲方对验收有异议的，在验收后5个工作日内以书面形式向乙方提出，乙方应自收到甲方书面异议后</w:t>
      </w:r>
      <w:r>
        <w:rPr>
          <w:rFonts w:hint="eastAsia" w:ascii="宋体" w:hAnsi="宋体"/>
          <w:color w:val="auto"/>
          <w:sz w:val="24"/>
          <w:highlight w:val="none"/>
          <w:u w:val="single"/>
        </w:rPr>
        <w:t>10</w:t>
      </w:r>
      <w:r>
        <w:rPr>
          <w:rFonts w:hint="eastAsia" w:ascii="宋体" w:hAnsi="宋体"/>
          <w:color w:val="auto"/>
          <w:sz w:val="24"/>
          <w:highlight w:val="none"/>
        </w:rPr>
        <w:t>日内及时予以解决。</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第六条　培训</w:t>
      </w:r>
    </w:p>
    <w:p>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1、乙方负责甲方有关人员的培训。培训时间：、地点：</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第七条  售后服务、保修期</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1、乙方应按照国家有关法律法规和“三包”规定以及招投标文件和本合同所附的《服务承诺》，为甲方提供售后服务。</w:t>
      </w:r>
    </w:p>
    <w:p>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2、货物保修期：</w:t>
      </w:r>
      <w:r>
        <w:rPr>
          <w:rFonts w:hint="eastAsia" w:ascii="宋体" w:hAnsi="宋体"/>
          <w:color w:val="auto"/>
          <w:sz w:val="24"/>
          <w:highlight w:val="none"/>
          <w:u w:val="single"/>
        </w:rPr>
        <w:t>按乙方投标文件中所承诺的期限。</w:t>
      </w:r>
    </w:p>
    <w:p>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3、乙方提供的服务承诺和售后服务及保修期责任等其它具体约定事项。（见合同附件）</w:t>
      </w:r>
    </w:p>
    <w:p>
      <w:pPr>
        <w:snapToGrid w:val="0"/>
        <w:spacing w:line="400" w:lineRule="exact"/>
        <w:ind w:firstLine="482" w:firstLineChars="200"/>
        <w:rPr>
          <w:rFonts w:ascii="宋体" w:hAnsi="宋体"/>
          <w:color w:val="auto"/>
          <w:sz w:val="24"/>
          <w:highlight w:val="none"/>
        </w:rPr>
      </w:pPr>
      <w:r>
        <w:rPr>
          <w:rFonts w:hint="eastAsia" w:ascii="宋体" w:hAnsi="宋体"/>
          <w:b/>
          <w:color w:val="auto"/>
          <w:sz w:val="24"/>
          <w:highlight w:val="none"/>
        </w:rPr>
        <w:t>第八条　付款方式</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1、当采购数量与实际使用数量不一致时，乙方应根据实际使用量供货，合同的最终结算金额按实际使用量乘以成交单价进行计算。</w:t>
      </w:r>
    </w:p>
    <w:p>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2、资金性质：</w:t>
      </w:r>
      <w:r>
        <w:rPr>
          <w:rFonts w:hint="eastAsia" w:ascii="宋体" w:hAnsi="宋体"/>
          <w:color w:val="auto"/>
          <w:sz w:val="24"/>
          <w:highlight w:val="none"/>
          <w:u w:val="single"/>
        </w:rPr>
        <w:t>财政性资金。</w:t>
      </w:r>
    </w:p>
    <w:p>
      <w:pPr>
        <w:snapToGrid w:val="0"/>
        <w:spacing w:line="400" w:lineRule="exact"/>
        <w:ind w:right="33" w:firstLine="480" w:firstLineChars="200"/>
        <w:rPr>
          <w:rFonts w:ascii="宋体" w:hAnsi="宋体" w:cs="Courier New"/>
          <w:color w:val="auto"/>
          <w:sz w:val="24"/>
          <w:highlight w:val="none"/>
        </w:rPr>
      </w:pPr>
      <w:r>
        <w:rPr>
          <w:rFonts w:hint="eastAsia" w:ascii="宋体" w:hAnsi="宋体"/>
          <w:color w:val="auto"/>
          <w:sz w:val="24"/>
          <w:highlight w:val="none"/>
        </w:rPr>
        <w:t>3、付款方式：</w:t>
      </w:r>
      <w:r>
        <w:rPr>
          <w:rFonts w:hint="eastAsia" w:ascii="宋体" w:hAnsi="宋体"/>
          <w:color w:val="auto"/>
          <w:sz w:val="24"/>
          <w:highlight w:val="none"/>
          <w:u w:val="single"/>
        </w:rPr>
        <w:t>详见“</w:t>
      </w:r>
      <w:r>
        <w:rPr>
          <w:rFonts w:hint="eastAsia" w:ascii="宋体" w:hAnsi="宋体" w:cs="Courier New"/>
          <w:color w:val="auto"/>
          <w:sz w:val="24"/>
          <w:highlight w:val="none"/>
          <w:u w:val="single"/>
        </w:rPr>
        <w:t>第二章  招标项目采购需求”里的付款条件</w:t>
      </w:r>
      <w:r>
        <w:rPr>
          <w:rFonts w:hint="eastAsia" w:ascii="宋体" w:hAnsi="宋体" w:cs="Courier New"/>
          <w:color w:val="auto"/>
          <w:sz w:val="24"/>
          <w:highlight w:val="none"/>
        </w:rPr>
        <w:t>。</w:t>
      </w:r>
    </w:p>
    <w:p>
      <w:pPr>
        <w:pStyle w:val="2"/>
        <w:rPr>
          <w:color w:val="auto"/>
          <w:highlight w:val="none"/>
        </w:rPr>
      </w:pPr>
      <w:r>
        <w:rPr>
          <w:rFonts w:hint="eastAsia" w:ascii="宋体" w:hAnsi="宋体" w:cs="Courier New"/>
          <w:color w:val="auto"/>
          <w:highlight w:val="none"/>
        </w:rPr>
        <w:t xml:space="preserve">    4、税费本合同执行中相关的一切税费均由乙方负担。</w:t>
      </w:r>
    </w:p>
    <w:p>
      <w:pPr>
        <w:snapToGrid w:val="0"/>
        <w:spacing w:line="400" w:lineRule="exact"/>
        <w:ind w:right="33" w:firstLine="482" w:firstLineChars="200"/>
        <w:rPr>
          <w:rFonts w:ascii="宋体" w:hAnsi="宋体"/>
          <w:b/>
          <w:color w:val="auto"/>
          <w:sz w:val="24"/>
          <w:highlight w:val="none"/>
        </w:rPr>
      </w:pPr>
      <w:r>
        <w:rPr>
          <w:rFonts w:hint="eastAsia" w:ascii="宋体" w:hAnsi="宋体"/>
          <w:b/>
          <w:color w:val="auto"/>
          <w:sz w:val="24"/>
          <w:highlight w:val="none"/>
        </w:rPr>
        <w:t>第九条　保证金：</w:t>
      </w:r>
      <w:r>
        <w:rPr>
          <w:rFonts w:hint="eastAsia" w:ascii="宋体" w:hAnsi="宋体"/>
          <w:color w:val="auto"/>
          <w:sz w:val="24"/>
          <w:highlight w:val="none"/>
          <w:u w:val="single"/>
        </w:rPr>
        <w:t>无</w:t>
      </w:r>
      <w:r>
        <w:rPr>
          <w:rFonts w:hint="eastAsia" w:ascii="宋体" w:hAnsi="宋体"/>
          <w:b/>
          <w:color w:val="auto"/>
          <w:sz w:val="24"/>
          <w:highlight w:val="none"/>
        </w:rPr>
        <w:t>。</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第十条  熔断机制。</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1、乙方未按项目建设时间节点及相应要求完成工作，甲方可以立即启动熔断机制，终止合同。</w:t>
      </w:r>
      <w:r>
        <w:rPr>
          <w:rFonts w:hint="eastAsia" w:ascii="宋体" w:hAnsi="宋体"/>
          <w:color w:val="auto"/>
          <w:sz w:val="24"/>
          <w:highlight w:val="none"/>
        </w:rPr>
        <w:br w:type="textWrapping"/>
      </w:r>
      <w:r>
        <w:rPr>
          <w:rFonts w:hint="eastAsia" w:ascii="宋体" w:hAnsi="宋体"/>
          <w:color w:val="auto"/>
          <w:sz w:val="24"/>
          <w:highlight w:val="none"/>
        </w:rPr>
        <w:t>2、因合同终止产生的损失由乙方承担。</w:t>
      </w:r>
    </w:p>
    <w:p>
      <w:pPr>
        <w:snapToGrid w:val="0"/>
        <w:spacing w:line="400" w:lineRule="exact"/>
        <w:ind w:firstLine="482" w:firstLineChars="200"/>
        <w:rPr>
          <w:rFonts w:ascii="宋体" w:hAnsi="宋体"/>
          <w:b/>
          <w:color w:val="auto"/>
          <w:sz w:val="24"/>
          <w:highlight w:val="none"/>
        </w:rPr>
      </w:pPr>
      <w:bookmarkStart w:id="432" w:name="OLE_LINK13"/>
      <w:bookmarkStart w:id="433" w:name="OLE_LINK14"/>
      <w:r>
        <w:rPr>
          <w:rFonts w:hint="eastAsia" w:ascii="宋体" w:hAnsi="宋体"/>
          <w:b/>
          <w:color w:val="auto"/>
          <w:sz w:val="24"/>
          <w:highlight w:val="none"/>
        </w:rPr>
        <w:t>第十一条  质量保证及售后服务</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1、乙方应按招标文件规定的货物性能、技术要求、质量标准向甲方提供未经使用的全新产品。不符合要求者，根据实际情况，经双方协商，可按以下办法处理：</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⑴更换：由乙方承担所发生的全部费用。</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⑵贬值处理：由甲乙双方合议定价。</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⑶退货处理：乙方应退还甲方支付的合同款，同时应承担该货物的直接费用（运输、保险、检验、货款利息及银行手续费等）。</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2、如在使用过程中发生质量问题，乙方在接到甲方通知后在24小时内到达甲方现场。</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3、在质保期内，乙方应对货物出现的质量及安全问题负责处理解决并承担一切费用。</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4、上述的货物免费保修期按乙方投标文件中所承诺的期限，因人为因素出现的故障不在免费保修范围内。超过保修期的机器设备，终生维修，维修时只收部件成本费。</w:t>
      </w:r>
    </w:p>
    <w:p>
      <w:pPr>
        <w:pStyle w:val="2"/>
        <w:ind w:firstLine="480" w:firstLineChars="200"/>
        <w:rPr>
          <w:color w:val="auto"/>
          <w:highlight w:val="none"/>
        </w:rPr>
      </w:pPr>
      <w:r>
        <w:rPr>
          <w:rFonts w:hint="eastAsia"/>
          <w:color w:val="auto"/>
          <w:highlight w:val="none"/>
        </w:rPr>
        <w:t>5、服务期内，免费满足各级各部门网站升级改造需求。</w:t>
      </w:r>
    </w:p>
    <w:bookmarkEnd w:id="432"/>
    <w:bookmarkEnd w:id="433"/>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第十二条  验收</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 甲方对乙方提交的货物依据招标文件上的技术规格要求和国家有关质量标准进行现场初步验收，外观、说明书符合招标文件技术要求的，给予签收，初步验收不合格的不予签收。货到后，甲方应当在7个工作日内进行验收。</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2、乙方交货前应对产品作出全面检查和对验收文件进行整理，并列出清单，作为甲方收货验收和使用的技术条件依据，检验的结果应随货物交甲方。</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3、对技术复杂的货物，甲方应请国家认可的专业检测机构参与初步验收及最终验收，并由其出具质量检测报告。</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4、甲方应随货物出具包括有货物名称、生产厂家、数量、批号（效期）等信息的验收单，并一式三份，甲乙方及具体收货方各一份。验收时乙方必须在现场，甲乙方在验收单上签章后验收完成。</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第十三条  货物包装、发运及运输</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1、乙方应在货物发运前对其进行满足运输距离、防潮、防震、防锈和防破损装卸等要求包装，以保证货物安全运达甲方指定地点。</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2、使用说明书、质量检验证明书、随配附件和工具以及清单一并附于货物内。</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3、乙方在货物发运手续办理完毕后24小时内或货到甲方48小时前通知甲方，以准备接货。</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4、货物在验收合格交付甲方使用前发生的所有风险均由乙方负责。</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5、货物在规定的交付期限内由乙方送达甲方指定的地点视为交付，乙方同时需通知甲方货物已送达。</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第十四条　违约责任</w:t>
      </w:r>
    </w:p>
    <w:p>
      <w:pPr>
        <w:snapToGrid w:val="0"/>
        <w:spacing w:line="400" w:lineRule="exact"/>
        <w:ind w:firstLine="600" w:firstLineChars="250"/>
        <w:rPr>
          <w:rFonts w:ascii="宋体" w:hAnsi="宋体"/>
          <w:color w:val="auto"/>
          <w:sz w:val="24"/>
          <w:highlight w:val="none"/>
        </w:rPr>
      </w:pPr>
      <w:r>
        <w:rPr>
          <w:rFonts w:hint="eastAsia" w:ascii="宋体" w:hAnsi="宋体"/>
          <w:color w:val="auto"/>
          <w:sz w:val="24"/>
          <w:highlight w:val="none"/>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pPr>
        <w:snapToGrid w:val="0"/>
        <w:spacing w:line="400" w:lineRule="exact"/>
        <w:ind w:firstLine="540" w:firstLineChars="225"/>
        <w:rPr>
          <w:rFonts w:ascii="宋体" w:hAnsi="宋体"/>
          <w:color w:val="auto"/>
          <w:sz w:val="24"/>
          <w:highlight w:val="none"/>
        </w:rPr>
      </w:pPr>
      <w:r>
        <w:rPr>
          <w:rFonts w:hint="eastAsia" w:ascii="宋体" w:hAnsi="宋体"/>
          <w:color w:val="auto"/>
          <w:sz w:val="24"/>
          <w:highlight w:val="none"/>
        </w:rPr>
        <w:t>2、乙方提供的货物如侵犯了第三方合法权益而引发的任何纠纷或诉讼，均由乙方负责交涉并承担全部责任。</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3、因包装、运输引起的货物损坏，按质量不合格处罚。</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4、乙方逾期交货的，每天向对方偿付违约货款额3‰违约金，但违约金累计不得超过违约货款额5%，超过</w:t>
      </w:r>
      <w:r>
        <w:rPr>
          <w:rFonts w:hint="eastAsia" w:ascii="宋体" w:hAnsi="宋体"/>
          <w:color w:val="auto"/>
          <w:sz w:val="24"/>
          <w:highlight w:val="none"/>
          <w:u w:val="single"/>
        </w:rPr>
        <w:t>20</w:t>
      </w:r>
      <w:r>
        <w:rPr>
          <w:rFonts w:hint="eastAsia" w:ascii="宋体" w:hAnsi="宋体"/>
          <w:color w:val="auto"/>
          <w:sz w:val="24"/>
          <w:highlight w:val="none"/>
        </w:rPr>
        <w:t>天对方有权解除合同，违约方承担因此给对方造成经济损失。</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5、乙方未按本合同和投标文件中规定的服务承诺提供售后服务的，乙方应按本合同合计金额 5%向甲方支付违约金。</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6、乙方提供的货物在质量保证期内，因设计、工艺或材料的缺陷和其它质量原因造成的问题，由乙方负责，需退换货处理的，费用由乙方负责。如因相关质量问题造成甲方经济损失或引发任何纠纷诉讼的，由乙方承担赔偿经济损失并承担全部责任。</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7、其它违约行为按违约货款额5%收取违约金并赔偿经济损失。</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第十五条  不可抗力事件处理</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1、在合同有效期内，任何一方因不可抗力事件导致不能履行合同，则合同履行期可延长，其延长期与不可抗力影响期相同。</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2、不可抗力事件发生后，应立即通知对方，并寄送有关权威机构出具的证明。</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3、不可抗力事件延续120天以上，双方应通过友好协商，确定是否继续履行合同。</w:t>
      </w:r>
    </w:p>
    <w:p>
      <w:pPr>
        <w:snapToGrid w:val="0"/>
        <w:spacing w:line="400" w:lineRule="exact"/>
        <w:ind w:firstLine="482" w:firstLineChars="200"/>
        <w:rPr>
          <w:rFonts w:ascii="宋体" w:hAnsi="宋体"/>
          <w:color w:val="auto"/>
          <w:sz w:val="24"/>
          <w:highlight w:val="none"/>
        </w:rPr>
      </w:pPr>
      <w:r>
        <w:rPr>
          <w:rFonts w:hint="eastAsia" w:ascii="宋体" w:hAnsi="宋体"/>
          <w:b/>
          <w:color w:val="auto"/>
          <w:sz w:val="24"/>
          <w:highlight w:val="none"/>
        </w:rPr>
        <w:t>第十六条  合同争议解决</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1、因货物质量问题发生争议的，应邀请国家认可的质量检测机构对货物质量进行鉴定。货物符合标准的，鉴定费由甲方承担；货物不符合标准的，鉴定费由乙方承担。</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2、因履行本合同引起的或与本合同有关的争议，甲乙双方应首先通过友好协商解决，如果协商不能解决，可向仲裁委员会申请仲裁或向人民法院提起诉讼。</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3、诉讼期间，本合同继续履行。</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第十七条  诉讼</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双方在执行合同中所发生的一切争议，应通过协商解决。如果协商不能解决，可向仲裁委员会申请仲裁或向人民法院提起诉讼。</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第十八条  合同生效及其它</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1、合同经双方法定代表人或授权代表签字并加盖单位公章后生效。</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2、合同执行中涉及采购资金和采购内容修改或补充的，须经财政部门审批，并签书面补充协议报财政部门备案，方可作为主合同不可分割的一部分。</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3、本合同未尽事宜，遵照《合同法》有关条文执行。</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第十九条　合同的变更、终止与转让</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1、除《中华人民共和国政府采购法》第50条规定的情形外，本合同一经签订，甲乙双方不得擅自变更、中止或终止。</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2、乙方不得擅自转让（无进口资格的供应商委托进口货物除外）其应履行的合同义务。</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3、合同经双方法定代表人或授权代表签字并加盖单位公章后生效。</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4、合同执行中涉及采购资金和采购内容修改或补充的，须经财政部门审批，并签书面补充协议报财政部门备案，方可作为主合同不可分割的一部分。</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5、本合同未尽事宜，遵照《合同法》有关条文执行。</w:t>
      </w:r>
    </w:p>
    <w:p>
      <w:pPr>
        <w:snapToGrid w:val="0"/>
        <w:spacing w:line="400" w:lineRule="exact"/>
        <w:ind w:firstLine="482" w:firstLineChars="200"/>
        <w:rPr>
          <w:rFonts w:ascii="宋体" w:hAnsi="宋体"/>
          <w:b/>
          <w:color w:val="auto"/>
          <w:sz w:val="24"/>
          <w:highlight w:val="none"/>
        </w:rPr>
      </w:pPr>
      <w:r>
        <w:rPr>
          <w:rFonts w:hint="eastAsia" w:ascii="宋体" w:hAnsi="宋体"/>
          <w:b/>
          <w:color w:val="auto"/>
          <w:sz w:val="24"/>
          <w:highlight w:val="none"/>
        </w:rPr>
        <w:t>第二十条　签订本合同依据</w:t>
      </w:r>
    </w:p>
    <w:p>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1、政府采购招标文件；2、乙方提供的投标文件；3、投标承诺书；4、中标或成交通知书。</w:t>
      </w:r>
    </w:p>
    <w:p>
      <w:pPr>
        <w:snapToGrid w:val="0"/>
        <w:spacing w:line="300" w:lineRule="exact"/>
        <w:ind w:firstLine="482" w:firstLineChars="200"/>
        <w:rPr>
          <w:rFonts w:ascii="宋体" w:hAnsi="宋体"/>
          <w:color w:val="auto"/>
          <w:sz w:val="24"/>
          <w:highlight w:val="none"/>
        </w:rPr>
      </w:pPr>
      <w:r>
        <w:rPr>
          <w:rFonts w:hint="eastAsia" w:ascii="宋体" w:hAnsi="宋体"/>
          <w:b/>
          <w:color w:val="auto"/>
          <w:sz w:val="24"/>
          <w:highlight w:val="none"/>
        </w:rPr>
        <w:t>第二十一条　</w:t>
      </w:r>
      <w:r>
        <w:rPr>
          <w:rFonts w:hint="eastAsia" w:ascii="宋体" w:hAnsi="宋体"/>
          <w:color w:val="auto"/>
          <w:sz w:val="24"/>
          <w:highlight w:val="none"/>
        </w:rPr>
        <w:t>本合同一式八份，具有同等法律效力。财政部门(政府采购监督管理部门)、采购代理机构各一份，甲五份,乙方一份（可根据需要另增加）。</w:t>
      </w:r>
    </w:p>
    <w:p>
      <w:pPr>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本合同甲乙双方签字盖章后生效，自签订之日起七个工作日内，采购人或采购代理机构应当将合同副本报同级财政部门备案。</w:t>
      </w:r>
    </w:p>
    <w:p>
      <w:pPr>
        <w:snapToGrid w:val="0"/>
        <w:spacing w:line="400" w:lineRule="exact"/>
        <w:ind w:firstLine="480" w:firstLineChars="200"/>
        <w:rPr>
          <w:rFonts w:ascii="宋体" w:hAnsi="宋体"/>
          <w:color w:val="auto"/>
          <w:sz w:val="24"/>
          <w:highlight w:val="none"/>
        </w:rPr>
      </w:pPr>
    </w:p>
    <w:tbl>
      <w:tblPr>
        <w:tblStyle w:val="59"/>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 xml:space="preserve">甲方（章）           </w:t>
            </w:r>
          </w:p>
          <w:p>
            <w:pPr>
              <w:snapToGrid w:val="0"/>
              <w:spacing w:line="400" w:lineRule="exact"/>
              <w:rPr>
                <w:rFonts w:ascii="宋体" w:hAnsi="宋体"/>
                <w:color w:val="auto"/>
                <w:sz w:val="24"/>
                <w:highlight w:val="none"/>
              </w:rPr>
            </w:pPr>
          </w:p>
          <w:p>
            <w:pPr>
              <w:snapToGrid w:val="0"/>
              <w:spacing w:line="400" w:lineRule="exact"/>
              <w:ind w:firstLine="1080" w:firstLineChars="450"/>
              <w:jc w:val="right"/>
              <w:rPr>
                <w:rFonts w:ascii="宋体" w:hAnsi="宋体"/>
                <w:color w:val="auto"/>
                <w:sz w:val="24"/>
                <w:highlight w:val="none"/>
              </w:rPr>
            </w:pPr>
            <w:r>
              <w:rPr>
                <w:rFonts w:hint="eastAsia" w:ascii="宋体" w:hAnsi="宋体"/>
                <w:color w:val="auto"/>
                <w:sz w:val="24"/>
                <w:highlight w:val="none"/>
              </w:rPr>
              <w:t>年   月   日</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 xml:space="preserve">乙方（章）              </w:t>
            </w:r>
          </w:p>
          <w:p>
            <w:pPr>
              <w:snapToGrid w:val="0"/>
              <w:spacing w:line="400" w:lineRule="exact"/>
              <w:rPr>
                <w:rFonts w:ascii="宋体" w:hAnsi="宋体"/>
                <w:color w:val="auto"/>
                <w:sz w:val="24"/>
                <w:highlight w:val="none"/>
              </w:rPr>
            </w:pPr>
          </w:p>
          <w:p>
            <w:pPr>
              <w:snapToGrid w:val="0"/>
              <w:spacing w:line="400" w:lineRule="exact"/>
              <w:jc w:val="right"/>
              <w:rPr>
                <w:rFonts w:ascii="宋体" w:hAnsi="宋体"/>
                <w:color w:val="auto"/>
                <w:sz w:val="24"/>
                <w:highlight w:val="none"/>
              </w:rPr>
            </w:pPr>
            <w:r>
              <w:rPr>
                <w:rFonts w:hint="eastAsia" w:ascii="宋体" w:hAnsi="宋体"/>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单位地址：</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法定代表或授权代表：</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法定代表或授权代表：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签约代表：</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签约代表：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联系人及电话：</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电子邮箱：</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开户银行：</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账号：</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邮政编码：</w:t>
            </w:r>
          </w:p>
        </w:tc>
        <w:tc>
          <w:tcPr>
            <w:tcW w:w="4517" w:type="dxa"/>
            <w:vAlign w:val="center"/>
          </w:tcPr>
          <w:p>
            <w:pPr>
              <w:snapToGrid w:val="0"/>
              <w:spacing w:line="400" w:lineRule="exact"/>
              <w:rPr>
                <w:rFonts w:ascii="宋体" w:hAnsi="宋体"/>
                <w:color w:val="auto"/>
                <w:sz w:val="24"/>
                <w:highlight w:val="none"/>
              </w:rPr>
            </w:pPr>
            <w:r>
              <w:rPr>
                <w:rFonts w:hint="eastAsia" w:ascii="宋体" w:hAnsi="宋体"/>
                <w:color w:val="auto"/>
                <w:sz w:val="24"/>
                <w:highlight w:val="none"/>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9033" w:type="dxa"/>
            <w:gridSpan w:val="2"/>
          </w:tcPr>
          <w:p>
            <w:pPr>
              <w:wordWrap w:val="0"/>
              <w:snapToGrid w:val="0"/>
              <w:spacing w:line="400" w:lineRule="exact"/>
              <w:ind w:right="240"/>
              <w:jc w:val="right"/>
              <w:rPr>
                <w:rFonts w:ascii="宋体" w:hAnsi="宋体"/>
                <w:color w:val="auto"/>
                <w:sz w:val="24"/>
                <w:highlight w:val="none"/>
              </w:rPr>
            </w:pPr>
            <w:r>
              <w:rPr>
                <w:rFonts w:hint="eastAsia" w:ascii="宋体" w:hAnsi="宋体"/>
                <w:color w:val="auto"/>
                <w:sz w:val="24"/>
                <w:highlight w:val="none"/>
              </w:rPr>
              <w:t>经办人：                                                 年    月    日</w:t>
            </w:r>
          </w:p>
        </w:tc>
      </w:tr>
    </w:tbl>
    <w:p>
      <w:pPr>
        <w:snapToGrid w:val="0"/>
        <w:ind w:left="480" w:hanging="480" w:hangingChars="200"/>
        <w:rPr>
          <w:rFonts w:ascii="宋体" w:hAnsi="宋体"/>
          <w:color w:val="auto"/>
          <w:sz w:val="24"/>
          <w:highlight w:val="none"/>
        </w:rPr>
      </w:pPr>
    </w:p>
    <w:p>
      <w:pPr>
        <w:snapToGrid w:val="0"/>
        <w:spacing w:line="360" w:lineRule="auto"/>
        <w:jc w:val="center"/>
        <w:rPr>
          <w:rFonts w:ascii="宋体" w:hAnsi="宋体"/>
          <w:b/>
          <w:color w:val="auto"/>
          <w:sz w:val="24"/>
          <w:highlight w:val="none"/>
        </w:rPr>
      </w:pPr>
      <w:r>
        <w:rPr>
          <w:rFonts w:hint="eastAsia" w:ascii="宋体" w:hAnsi="宋体"/>
          <w:b/>
          <w:color w:val="auto"/>
          <w:sz w:val="24"/>
          <w:highlight w:val="none"/>
        </w:rPr>
        <w:t>合 同 附 件</w:t>
      </w:r>
    </w:p>
    <w:tbl>
      <w:tblPr>
        <w:tblStyle w:val="59"/>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08" w:type="dxa"/>
            <w:gridSpan w:val="2"/>
            <w:tcBorders>
              <w:top w:val="single" w:color="auto" w:sz="4" w:space="0"/>
              <w:left w:val="single" w:color="auto" w:sz="4" w:space="0"/>
              <w:right w:val="single" w:color="auto" w:sz="4" w:space="0"/>
            </w:tcBorders>
            <w:vAlign w:val="center"/>
          </w:tcPr>
          <w:p>
            <w:pPr>
              <w:snapToGrid w:val="0"/>
              <w:ind w:firstLine="482"/>
              <w:rPr>
                <w:rFonts w:ascii="宋体" w:hAnsi="宋体"/>
                <w:color w:val="auto"/>
                <w:sz w:val="24"/>
                <w:highlight w:val="none"/>
              </w:rPr>
            </w:pPr>
            <w:r>
              <w:rPr>
                <w:rFonts w:hint="eastAsia" w:ascii="宋体" w:hAnsi="宋体"/>
                <w:color w:val="auto"/>
                <w:sz w:val="24"/>
                <w:highlight w:val="none"/>
              </w:rPr>
              <w:t>1、供应商承诺具体事项：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08" w:type="dxa"/>
            <w:gridSpan w:val="2"/>
            <w:tcBorders>
              <w:left w:val="single" w:color="auto" w:sz="4" w:space="0"/>
              <w:right w:val="single" w:color="auto" w:sz="4" w:space="0"/>
            </w:tcBorders>
            <w:vAlign w:val="center"/>
          </w:tcPr>
          <w:p>
            <w:pPr>
              <w:snapToGrid w:val="0"/>
              <w:ind w:firstLine="482"/>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08" w:type="dxa"/>
            <w:gridSpan w:val="2"/>
            <w:tcBorders>
              <w:top w:val="single" w:color="auto" w:sz="4" w:space="0"/>
              <w:left w:val="single" w:color="auto" w:sz="4" w:space="0"/>
              <w:right w:val="single" w:color="auto" w:sz="4" w:space="0"/>
            </w:tcBorders>
            <w:vAlign w:val="center"/>
          </w:tcPr>
          <w:p>
            <w:pPr>
              <w:snapToGrid w:val="0"/>
              <w:ind w:firstLine="482"/>
              <w:rPr>
                <w:rFonts w:ascii="宋体" w:hAnsi="宋体"/>
                <w:color w:val="auto"/>
                <w:sz w:val="24"/>
                <w:highlight w:val="none"/>
              </w:rPr>
            </w:pPr>
            <w:r>
              <w:rPr>
                <w:rFonts w:hint="eastAsia" w:ascii="宋体" w:hAnsi="宋体"/>
                <w:color w:val="auto"/>
                <w:sz w:val="24"/>
                <w:highlight w:val="none"/>
              </w:rPr>
              <w:t>2、售后服务具体事项：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08" w:type="dxa"/>
            <w:gridSpan w:val="2"/>
            <w:tcBorders>
              <w:left w:val="single" w:color="auto" w:sz="4" w:space="0"/>
              <w:bottom w:val="single" w:color="auto" w:sz="4" w:space="0"/>
              <w:right w:val="single" w:color="auto" w:sz="4" w:space="0"/>
            </w:tcBorders>
            <w:vAlign w:val="center"/>
          </w:tcPr>
          <w:p>
            <w:pPr>
              <w:snapToGrid w:val="0"/>
              <w:ind w:firstLine="482"/>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08" w:type="dxa"/>
            <w:gridSpan w:val="2"/>
            <w:tcBorders>
              <w:top w:val="single" w:color="auto" w:sz="4" w:space="0"/>
              <w:left w:val="single" w:color="auto" w:sz="4" w:space="0"/>
              <w:right w:val="single" w:color="auto" w:sz="4" w:space="0"/>
            </w:tcBorders>
            <w:vAlign w:val="center"/>
          </w:tcPr>
          <w:p>
            <w:pPr>
              <w:snapToGrid w:val="0"/>
              <w:ind w:firstLine="482"/>
              <w:rPr>
                <w:rFonts w:ascii="宋体" w:hAnsi="宋体"/>
                <w:color w:val="auto"/>
                <w:sz w:val="24"/>
                <w:highlight w:val="none"/>
              </w:rPr>
            </w:pPr>
            <w:r>
              <w:rPr>
                <w:rFonts w:hint="eastAsia" w:ascii="宋体" w:hAnsi="宋体"/>
                <w:color w:val="auto"/>
                <w:sz w:val="24"/>
                <w:highlight w:val="none"/>
              </w:rPr>
              <w:t>3、保修期责任：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08" w:type="dxa"/>
            <w:gridSpan w:val="2"/>
            <w:tcBorders>
              <w:left w:val="single" w:color="auto" w:sz="4" w:space="0"/>
              <w:bottom w:val="single" w:color="auto" w:sz="4" w:space="0"/>
              <w:right w:val="single" w:color="auto" w:sz="4" w:space="0"/>
            </w:tcBorders>
            <w:vAlign w:val="center"/>
          </w:tcPr>
          <w:p>
            <w:pPr>
              <w:snapToGrid w:val="0"/>
              <w:ind w:firstLine="482"/>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08" w:type="dxa"/>
            <w:gridSpan w:val="2"/>
            <w:tcBorders>
              <w:top w:val="single" w:color="auto" w:sz="4" w:space="0"/>
              <w:left w:val="single" w:color="auto" w:sz="4" w:space="0"/>
              <w:right w:val="single" w:color="auto" w:sz="4" w:space="0"/>
            </w:tcBorders>
            <w:vAlign w:val="center"/>
          </w:tcPr>
          <w:p>
            <w:pPr>
              <w:snapToGrid w:val="0"/>
              <w:ind w:firstLine="482"/>
              <w:rPr>
                <w:rFonts w:ascii="宋体" w:hAnsi="宋体"/>
                <w:color w:val="auto"/>
                <w:sz w:val="24"/>
                <w:highlight w:val="none"/>
              </w:rPr>
            </w:pPr>
            <w:r>
              <w:rPr>
                <w:rFonts w:hint="eastAsia" w:ascii="宋体" w:hAnsi="宋体"/>
                <w:color w:val="auto"/>
                <w:sz w:val="24"/>
                <w:highlight w:val="none"/>
              </w:rPr>
              <w:t>4、其他具体事项：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08" w:type="dxa"/>
            <w:gridSpan w:val="2"/>
            <w:tcBorders>
              <w:left w:val="single" w:color="auto" w:sz="4" w:space="0"/>
              <w:right w:val="single" w:color="auto" w:sz="4" w:space="0"/>
            </w:tcBorders>
            <w:vAlign w:val="center"/>
          </w:tcPr>
          <w:p>
            <w:pPr>
              <w:snapToGrid w:val="0"/>
              <w:ind w:firstLine="482"/>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jc w:val="center"/>
        </w:trPr>
        <w:tc>
          <w:tcPr>
            <w:tcW w:w="4248" w:type="dxa"/>
            <w:tcBorders>
              <w:top w:val="single" w:color="auto" w:sz="4" w:space="0"/>
              <w:left w:val="single" w:color="auto" w:sz="4" w:space="0"/>
              <w:bottom w:val="single" w:color="auto" w:sz="4" w:space="0"/>
              <w:right w:val="single" w:color="auto" w:sz="4" w:space="0"/>
            </w:tcBorders>
            <w:vAlign w:val="center"/>
          </w:tcPr>
          <w:p>
            <w:pPr>
              <w:snapToGrid w:val="0"/>
              <w:ind w:firstLine="482"/>
              <w:rPr>
                <w:rFonts w:ascii="宋体" w:hAnsi="宋体"/>
                <w:color w:val="auto"/>
                <w:sz w:val="24"/>
                <w:highlight w:val="none"/>
              </w:rPr>
            </w:pPr>
            <w:r>
              <w:rPr>
                <w:rFonts w:hint="eastAsia" w:ascii="宋体" w:hAnsi="宋体"/>
                <w:color w:val="auto"/>
                <w:sz w:val="24"/>
                <w:highlight w:val="none"/>
              </w:rPr>
              <w:t>甲方（章）</w:t>
            </w:r>
          </w:p>
          <w:p>
            <w:pPr>
              <w:snapToGrid w:val="0"/>
              <w:ind w:firstLine="482"/>
              <w:rPr>
                <w:rFonts w:ascii="宋体" w:hAnsi="宋体"/>
                <w:color w:val="auto"/>
                <w:sz w:val="24"/>
                <w:highlight w:val="none"/>
              </w:rPr>
            </w:pPr>
          </w:p>
          <w:p>
            <w:pPr>
              <w:snapToGrid w:val="0"/>
              <w:ind w:firstLine="482"/>
              <w:rPr>
                <w:rFonts w:ascii="宋体" w:hAnsi="宋体"/>
                <w:color w:val="auto"/>
                <w:sz w:val="24"/>
                <w:highlight w:val="none"/>
              </w:rPr>
            </w:pPr>
            <w:r>
              <w:rPr>
                <w:rFonts w:hint="eastAsia" w:ascii="宋体" w:hAnsi="宋体"/>
                <w:color w:val="auto"/>
                <w:sz w:val="24"/>
                <w:highlight w:val="none"/>
              </w:rPr>
              <w:t xml:space="preserve">                 年   月   日 </w:t>
            </w:r>
          </w:p>
        </w:tc>
        <w:tc>
          <w:tcPr>
            <w:tcW w:w="4860" w:type="dxa"/>
            <w:tcBorders>
              <w:top w:val="single" w:color="auto" w:sz="4" w:space="0"/>
              <w:left w:val="single" w:color="auto" w:sz="4" w:space="0"/>
              <w:bottom w:val="single" w:color="auto" w:sz="4" w:space="0"/>
              <w:right w:val="single" w:color="auto" w:sz="4" w:space="0"/>
            </w:tcBorders>
            <w:vAlign w:val="center"/>
          </w:tcPr>
          <w:p>
            <w:pPr>
              <w:snapToGrid w:val="0"/>
              <w:ind w:firstLine="482"/>
              <w:rPr>
                <w:rFonts w:ascii="宋体" w:hAnsi="宋体"/>
                <w:color w:val="auto"/>
                <w:sz w:val="24"/>
                <w:highlight w:val="none"/>
              </w:rPr>
            </w:pPr>
            <w:r>
              <w:rPr>
                <w:rFonts w:hint="eastAsia" w:ascii="宋体" w:hAnsi="宋体"/>
                <w:color w:val="auto"/>
                <w:sz w:val="24"/>
                <w:highlight w:val="none"/>
              </w:rPr>
              <w:t>乙方（章）</w:t>
            </w:r>
          </w:p>
          <w:p>
            <w:pPr>
              <w:snapToGrid w:val="0"/>
              <w:ind w:firstLine="482"/>
              <w:rPr>
                <w:rFonts w:ascii="宋体" w:hAnsi="宋体"/>
                <w:color w:val="auto"/>
                <w:sz w:val="24"/>
                <w:highlight w:val="none"/>
              </w:rPr>
            </w:pPr>
          </w:p>
          <w:p>
            <w:pPr>
              <w:snapToGrid w:val="0"/>
              <w:ind w:firstLine="482"/>
              <w:rPr>
                <w:rFonts w:ascii="宋体" w:hAnsi="宋体"/>
                <w:color w:val="auto"/>
                <w:sz w:val="24"/>
                <w:highlight w:val="none"/>
              </w:rPr>
            </w:pPr>
            <w:r>
              <w:rPr>
                <w:rFonts w:hint="eastAsia" w:ascii="宋体" w:hAnsi="宋体"/>
                <w:color w:val="auto"/>
                <w:sz w:val="24"/>
                <w:highlight w:val="none"/>
              </w:rPr>
              <w:t xml:space="preserve">                年   月   日</w:t>
            </w:r>
          </w:p>
        </w:tc>
      </w:tr>
    </w:tbl>
    <w:p>
      <w:pPr>
        <w:snapToGrid w:val="0"/>
        <w:rPr>
          <w:rFonts w:ascii="宋体" w:hAnsi="宋体"/>
          <w:color w:val="auto"/>
          <w:sz w:val="24"/>
          <w:highlight w:val="none"/>
        </w:rPr>
      </w:pPr>
      <w:r>
        <w:rPr>
          <w:rFonts w:hint="eastAsia" w:ascii="宋体" w:hAnsi="宋体"/>
          <w:color w:val="auto"/>
          <w:sz w:val="24"/>
          <w:highlight w:val="none"/>
        </w:rPr>
        <w:t xml:space="preserve">  注：售后服务事项填不下时可另加附页</w:t>
      </w: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numPr>
          <w:ilvl w:val="0"/>
          <w:numId w:val="20"/>
        </w:numPr>
        <w:snapToGrid w:val="0"/>
        <w:spacing w:before="120" w:after="120"/>
        <w:jc w:val="center"/>
        <w:outlineLvl w:val="0"/>
        <w:rPr>
          <w:rFonts w:hAnsi="宋体"/>
          <w:b/>
          <w:color w:val="auto"/>
          <w:sz w:val="32"/>
          <w:szCs w:val="32"/>
          <w:highlight w:val="none"/>
        </w:rPr>
      </w:pPr>
      <w:bookmarkStart w:id="434" w:name="_Toc3283347"/>
      <w:bookmarkStart w:id="435" w:name="_Toc15807"/>
      <w:r>
        <w:rPr>
          <w:rFonts w:hint="eastAsia" w:hAnsi="宋体"/>
          <w:b/>
          <w:color w:val="auto"/>
          <w:sz w:val="32"/>
          <w:szCs w:val="32"/>
          <w:highlight w:val="none"/>
        </w:rPr>
        <w:t>投标文件格式</w:t>
      </w:r>
      <w:bookmarkEnd w:id="434"/>
      <w:bookmarkEnd w:id="435"/>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pStyle w:val="29"/>
        <w:snapToGrid w:val="0"/>
        <w:spacing w:before="120" w:after="120"/>
        <w:jc w:val="center"/>
        <w:outlineLvl w:val="0"/>
        <w:rPr>
          <w:rFonts w:hAnsi="宋体"/>
          <w:b/>
          <w:color w:val="auto"/>
          <w:sz w:val="32"/>
          <w:szCs w:val="32"/>
          <w:highlight w:val="none"/>
        </w:rPr>
      </w:pPr>
    </w:p>
    <w:p>
      <w:pPr>
        <w:snapToGrid w:val="0"/>
        <w:spacing w:beforeLines="50" w:after="50" w:line="440" w:lineRule="exact"/>
        <w:jc w:val="center"/>
        <w:outlineLvl w:val="1"/>
        <w:rPr>
          <w:rFonts w:ascii="仿宋_GB2312" w:hAnsi="宋体" w:eastAsia="仿宋_GB2312"/>
          <w:b/>
          <w:bCs/>
          <w:color w:val="auto"/>
          <w:sz w:val="28"/>
          <w:szCs w:val="28"/>
          <w:highlight w:val="none"/>
        </w:rPr>
      </w:pPr>
      <w:bookmarkStart w:id="436" w:name="_Toc254970697"/>
      <w:bookmarkStart w:id="437" w:name="_Toc22735783"/>
      <w:bookmarkStart w:id="438" w:name="_Toc254970556"/>
      <w:bookmarkStart w:id="439" w:name="_Toc6719"/>
      <w:r>
        <w:rPr>
          <w:rFonts w:hint="eastAsia" w:ascii="仿宋_GB2312" w:hAnsi="宋体" w:eastAsia="仿宋_GB2312"/>
          <w:b/>
          <w:bCs/>
          <w:color w:val="auto"/>
          <w:sz w:val="28"/>
          <w:szCs w:val="28"/>
          <w:highlight w:val="none"/>
        </w:rPr>
        <w:t>一、投标文件包装封面及投标文件封面格式</w:t>
      </w:r>
      <w:bookmarkEnd w:id="436"/>
      <w:bookmarkEnd w:id="437"/>
      <w:bookmarkEnd w:id="438"/>
      <w:bookmarkEnd w:id="439"/>
    </w:p>
    <w:p>
      <w:pPr>
        <w:snapToGrid w:val="0"/>
        <w:spacing w:beforeLines="50" w:after="50" w:line="440" w:lineRule="exac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1.投标文件的包装封面格式：</w:t>
      </w:r>
    </w:p>
    <w:p>
      <w:pPr>
        <w:snapToGrid w:val="0"/>
        <w:spacing w:beforeLines="50" w:after="50" w:line="440" w:lineRule="exact"/>
        <w:rPr>
          <w:rFonts w:ascii="仿宋_GB2312" w:hAnsi="宋体" w:eastAsia="仿宋_GB2312"/>
          <w:color w:val="auto"/>
          <w:sz w:val="28"/>
          <w:szCs w:val="28"/>
          <w:highlight w:val="none"/>
        </w:rPr>
      </w:pPr>
    </w:p>
    <w:p>
      <w:pPr>
        <w:snapToGrid w:val="0"/>
        <w:spacing w:beforeLines="50" w:after="50" w:line="440" w:lineRule="exact"/>
        <w:jc w:val="center"/>
        <w:rPr>
          <w:rFonts w:ascii="仿宋_GB2312" w:hAnsi="宋体" w:eastAsia="仿宋_GB2312"/>
          <w:bCs/>
          <w:color w:val="auto"/>
          <w:sz w:val="28"/>
          <w:szCs w:val="28"/>
          <w:highlight w:val="none"/>
        </w:rPr>
      </w:pPr>
    </w:p>
    <w:p>
      <w:pPr>
        <w:snapToGrid w:val="0"/>
        <w:spacing w:beforeLines="50" w:after="50" w:line="440" w:lineRule="exact"/>
        <w:jc w:val="center"/>
        <w:rPr>
          <w:rFonts w:ascii="仿宋_GB2312" w:hAnsi="宋体" w:eastAsia="仿宋_GB2312"/>
          <w:b/>
          <w:bCs/>
          <w:color w:val="auto"/>
          <w:sz w:val="28"/>
          <w:szCs w:val="28"/>
          <w:highlight w:val="none"/>
        </w:rPr>
      </w:pPr>
      <w:r>
        <w:rPr>
          <w:rFonts w:hint="eastAsia" w:ascii="仿宋_GB2312" w:hAnsi="宋体" w:eastAsia="仿宋_GB2312"/>
          <w:b/>
          <w:bCs/>
          <w:color w:val="auto"/>
          <w:sz w:val="28"/>
          <w:szCs w:val="28"/>
          <w:highlight w:val="none"/>
        </w:rPr>
        <w:t>投 标 文 件</w:t>
      </w:r>
    </w:p>
    <w:p>
      <w:pPr>
        <w:snapToGrid w:val="0"/>
        <w:spacing w:beforeLines="50" w:after="50" w:line="440" w:lineRule="exact"/>
        <w:rPr>
          <w:rFonts w:ascii="仿宋_GB2312" w:hAnsi="宋体" w:eastAsia="仿宋_GB2312"/>
          <w:bCs/>
          <w:color w:val="auto"/>
          <w:sz w:val="28"/>
          <w:szCs w:val="28"/>
          <w:highlight w:val="none"/>
        </w:rPr>
      </w:pP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 xml:space="preserve">项目名称： </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项目编号：</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分标号：（如有）</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投标文件名称：投标文件、开标一览表</w:t>
      </w:r>
    </w:p>
    <w:p>
      <w:pPr>
        <w:pStyle w:val="8"/>
        <w:snapToGrid w:val="0"/>
        <w:spacing w:before="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投标人名称：</w:t>
      </w:r>
    </w:p>
    <w:p>
      <w:pPr>
        <w:pStyle w:val="8"/>
        <w:snapToGrid w:val="0"/>
        <w:spacing w:before="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投标人地址：</w:t>
      </w:r>
    </w:p>
    <w:p>
      <w:pPr>
        <w:pStyle w:val="8"/>
        <w:snapToGrid w:val="0"/>
        <w:spacing w:before="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在  年  月  日  时  分之前不得启封</w:t>
      </w:r>
    </w:p>
    <w:p>
      <w:pPr>
        <w:pStyle w:val="8"/>
        <w:snapToGrid w:val="0"/>
        <w:spacing w:before="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开标时启封</w:t>
      </w:r>
    </w:p>
    <w:p>
      <w:pPr>
        <w:snapToGrid w:val="0"/>
        <w:spacing w:beforeLines="50" w:after="50" w:line="440" w:lineRule="exact"/>
        <w:ind w:firstLine="4760" w:firstLineChars="1700"/>
        <w:rPr>
          <w:rFonts w:ascii="仿宋_GB2312" w:hAnsi="宋体" w:eastAsia="仿宋_GB2312"/>
          <w:bCs/>
          <w:color w:val="auto"/>
          <w:sz w:val="28"/>
          <w:szCs w:val="28"/>
          <w:highlight w:val="none"/>
        </w:rPr>
      </w:pPr>
    </w:p>
    <w:p>
      <w:pPr>
        <w:snapToGrid w:val="0"/>
        <w:spacing w:beforeLines="50" w:after="50" w:line="440" w:lineRule="exact"/>
        <w:ind w:firstLine="645"/>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 xml:space="preserve">                        年  月  日</w:t>
      </w:r>
    </w:p>
    <w:p>
      <w:pPr>
        <w:snapToGrid w:val="0"/>
        <w:spacing w:beforeLines="50" w:after="50" w:line="440" w:lineRule="exact"/>
        <w:jc w:val="center"/>
        <w:outlineLvl w:val="1"/>
        <w:rPr>
          <w:rFonts w:ascii="宋体" w:hAnsi="宋体"/>
          <w:color w:val="auto"/>
          <w:sz w:val="24"/>
          <w:highlight w:val="none"/>
        </w:rPr>
      </w:pPr>
    </w:p>
    <w:p>
      <w:pPr>
        <w:snapToGrid w:val="0"/>
        <w:spacing w:beforeLines="50" w:after="50" w:line="440" w:lineRule="exact"/>
        <w:jc w:val="center"/>
        <w:outlineLvl w:val="1"/>
        <w:rPr>
          <w:rFonts w:ascii="宋体" w:hAnsi="宋体"/>
          <w:color w:val="auto"/>
          <w:sz w:val="24"/>
          <w:highlight w:val="none"/>
        </w:rPr>
      </w:pPr>
    </w:p>
    <w:p>
      <w:pPr>
        <w:snapToGrid w:val="0"/>
        <w:spacing w:beforeLines="50" w:after="50" w:line="440" w:lineRule="exact"/>
        <w:jc w:val="center"/>
        <w:outlineLvl w:val="1"/>
        <w:rPr>
          <w:rFonts w:ascii="宋体" w:hAnsi="宋体"/>
          <w:color w:val="auto"/>
          <w:sz w:val="24"/>
          <w:highlight w:val="none"/>
        </w:rPr>
      </w:pPr>
    </w:p>
    <w:p>
      <w:pPr>
        <w:snapToGrid w:val="0"/>
        <w:spacing w:beforeLines="50" w:after="50" w:line="440" w:lineRule="exact"/>
        <w:jc w:val="center"/>
        <w:outlineLvl w:val="1"/>
        <w:rPr>
          <w:rFonts w:ascii="宋体" w:hAnsi="宋体"/>
          <w:color w:val="auto"/>
          <w:sz w:val="24"/>
          <w:highlight w:val="none"/>
        </w:rPr>
      </w:pPr>
    </w:p>
    <w:p>
      <w:pPr>
        <w:snapToGrid w:val="0"/>
        <w:spacing w:beforeLines="50" w:after="50" w:line="440" w:lineRule="exact"/>
        <w:jc w:val="center"/>
        <w:outlineLvl w:val="1"/>
        <w:rPr>
          <w:rFonts w:ascii="宋体" w:hAnsi="宋体"/>
          <w:color w:val="auto"/>
          <w:sz w:val="24"/>
          <w:highlight w:val="none"/>
        </w:rPr>
      </w:pPr>
    </w:p>
    <w:p>
      <w:pPr>
        <w:snapToGrid w:val="0"/>
        <w:spacing w:beforeLines="50" w:after="50" w:line="440" w:lineRule="exact"/>
        <w:jc w:val="center"/>
        <w:outlineLvl w:val="1"/>
        <w:rPr>
          <w:rFonts w:ascii="宋体" w:hAnsi="宋体"/>
          <w:color w:val="auto"/>
          <w:sz w:val="24"/>
          <w:highlight w:val="none"/>
        </w:rPr>
      </w:pPr>
    </w:p>
    <w:p>
      <w:pPr>
        <w:snapToGrid w:val="0"/>
        <w:spacing w:beforeLines="50" w:after="50" w:line="440" w:lineRule="exact"/>
        <w:jc w:val="center"/>
        <w:outlineLvl w:val="1"/>
        <w:rPr>
          <w:rFonts w:ascii="宋体" w:hAnsi="宋体"/>
          <w:color w:val="auto"/>
          <w:sz w:val="24"/>
          <w:highlight w:val="none"/>
        </w:rPr>
      </w:pPr>
    </w:p>
    <w:p>
      <w:pPr>
        <w:snapToGrid w:val="0"/>
        <w:spacing w:beforeLines="50" w:after="50" w:line="440" w:lineRule="exact"/>
        <w:jc w:val="center"/>
        <w:outlineLvl w:val="1"/>
        <w:rPr>
          <w:rFonts w:ascii="宋体" w:hAnsi="宋体"/>
          <w:color w:val="auto"/>
          <w:sz w:val="24"/>
          <w:highlight w:val="none"/>
        </w:rPr>
      </w:pPr>
    </w:p>
    <w:p>
      <w:pPr>
        <w:pStyle w:val="2"/>
        <w:rPr>
          <w:color w:val="auto"/>
          <w:highlight w:val="none"/>
        </w:rPr>
      </w:pPr>
    </w:p>
    <w:p>
      <w:pPr>
        <w:snapToGrid w:val="0"/>
        <w:spacing w:beforeLines="50" w:after="50" w:line="440" w:lineRule="exact"/>
        <w:jc w:val="center"/>
        <w:outlineLvl w:val="1"/>
        <w:rPr>
          <w:rFonts w:ascii="宋体" w:hAnsi="宋体"/>
          <w:color w:val="auto"/>
          <w:sz w:val="24"/>
          <w:highlight w:val="none"/>
        </w:rPr>
      </w:pPr>
    </w:p>
    <w:p>
      <w:pPr>
        <w:snapToGrid w:val="0"/>
        <w:spacing w:beforeLines="50" w:after="50" w:line="440" w:lineRule="exact"/>
        <w:jc w:val="center"/>
        <w:outlineLvl w:val="1"/>
        <w:rPr>
          <w:rFonts w:ascii="黑体" w:hAnsi="宋体" w:eastAsia="黑体"/>
          <w:b/>
          <w:bCs/>
          <w:color w:val="auto"/>
          <w:sz w:val="32"/>
          <w:szCs w:val="32"/>
          <w:highlight w:val="none"/>
        </w:rPr>
      </w:pPr>
      <w:bookmarkStart w:id="440" w:name="_Toc22735784"/>
      <w:bookmarkStart w:id="441" w:name="_Toc29159"/>
      <w:r>
        <w:rPr>
          <w:rFonts w:hint="eastAsia" w:ascii="黑体" w:hAnsi="宋体" w:eastAsia="黑体"/>
          <w:b/>
          <w:bCs/>
          <w:color w:val="auto"/>
          <w:sz w:val="32"/>
          <w:szCs w:val="32"/>
          <w:highlight w:val="none"/>
        </w:rPr>
        <w:t>二、投标文件格式</w:t>
      </w:r>
      <w:bookmarkEnd w:id="440"/>
      <w:bookmarkEnd w:id="441"/>
    </w:p>
    <w:p>
      <w:pPr>
        <w:snapToGrid w:val="0"/>
        <w:spacing w:beforeLines="50" w:after="50" w:line="440" w:lineRule="exact"/>
        <w:jc w:val="center"/>
        <w:rPr>
          <w:rFonts w:ascii="仿宋_GB2312" w:hAnsi="宋体" w:eastAsia="仿宋_GB2312"/>
          <w:color w:val="auto"/>
          <w:sz w:val="28"/>
          <w:szCs w:val="28"/>
          <w:highlight w:val="none"/>
        </w:rPr>
      </w:pPr>
    </w:p>
    <w:p>
      <w:pPr>
        <w:snapToGrid w:val="0"/>
        <w:spacing w:beforeLines="50" w:after="50" w:line="440" w:lineRule="exact"/>
        <w:jc w:val="center"/>
        <w:rPr>
          <w:rFonts w:ascii="仿宋_GB2312" w:hAnsi="宋体" w:eastAsia="仿宋_GB2312"/>
          <w:color w:val="auto"/>
          <w:sz w:val="28"/>
          <w:szCs w:val="28"/>
          <w:highlight w:val="none"/>
        </w:rPr>
      </w:pPr>
      <w:r>
        <w:rPr>
          <w:rFonts w:hint="eastAsia" w:ascii="仿宋_GB2312" w:hAnsi="宋体" w:eastAsia="仿宋_GB2312"/>
          <w:b/>
          <w:color w:val="auto"/>
          <w:sz w:val="28"/>
          <w:szCs w:val="28"/>
          <w:highlight w:val="none"/>
        </w:rPr>
        <w:t>（一）封面格式</w:t>
      </w:r>
    </w:p>
    <w:p>
      <w:pPr>
        <w:snapToGrid w:val="0"/>
        <w:spacing w:before="50" w:after="50" w:line="440" w:lineRule="exact"/>
        <w:rPr>
          <w:rFonts w:ascii="仿宋_GB2312" w:hAnsi="宋体" w:eastAsia="仿宋_GB2312"/>
          <w:b/>
          <w:color w:val="auto"/>
          <w:sz w:val="28"/>
          <w:szCs w:val="28"/>
          <w:highlight w:val="none"/>
        </w:rPr>
      </w:pPr>
    </w:p>
    <w:p>
      <w:pPr>
        <w:snapToGrid w:val="0"/>
        <w:spacing w:before="50" w:after="50" w:line="440" w:lineRule="exac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 xml:space="preserve">1、投标文件（资格审查文件）封面格式： </w:t>
      </w:r>
    </w:p>
    <w:p>
      <w:pPr>
        <w:snapToGrid w:val="0"/>
        <w:spacing w:before="50" w:after="50" w:line="440" w:lineRule="exact"/>
        <w:rPr>
          <w:rFonts w:ascii="仿宋_GB2312" w:hAnsi="宋体" w:eastAsia="仿宋_GB2312"/>
          <w:b/>
          <w:color w:val="auto"/>
          <w:sz w:val="28"/>
          <w:szCs w:val="28"/>
          <w:highlight w:val="none"/>
        </w:rPr>
      </w:pPr>
    </w:p>
    <w:p>
      <w:pPr>
        <w:snapToGrid w:val="0"/>
        <w:spacing w:beforeLines="50" w:after="50" w:line="440" w:lineRule="exact"/>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正本/或副本</w:t>
      </w:r>
    </w:p>
    <w:p>
      <w:pPr>
        <w:snapToGrid w:val="0"/>
        <w:spacing w:beforeLines="50" w:after="50" w:line="440" w:lineRule="exact"/>
        <w:rPr>
          <w:rFonts w:ascii="仿宋_GB2312" w:hAnsi="宋体" w:eastAsia="仿宋_GB2312"/>
          <w:color w:val="auto"/>
          <w:sz w:val="28"/>
          <w:szCs w:val="28"/>
          <w:highlight w:val="none"/>
        </w:rPr>
      </w:pPr>
    </w:p>
    <w:p>
      <w:pPr>
        <w:snapToGrid w:val="0"/>
        <w:spacing w:beforeLines="50" w:after="50" w:line="440" w:lineRule="exact"/>
        <w:rPr>
          <w:rFonts w:ascii="仿宋_GB2312" w:hAnsi="宋体" w:eastAsia="仿宋_GB2312"/>
          <w:color w:val="auto"/>
          <w:sz w:val="28"/>
          <w:szCs w:val="28"/>
          <w:highlight w:val="none"/>
        </w:rPr>
      </w:pPr>
    </w:p>
    <w:p>
      <w:pPr>
        <w:snapToGrid w:val="0"/>
        <w:spacing w:beforeLines="50" w:after="50" w:line="440" w:lineRule="exact"/>
        <w:rPr>
          <w:rFonts w:ascii="仿宋_GB2312" w:hAnsi="宋体" w:eastAsia="仿宋_GB2312"/>
          <w:color w:val="auto"/>
          <w:sz w:val="28"/>
          <w:szCs w:val="28"/>
          <w:highlight w:val="none"/>
        </w:rPr>
      </w:pPr>
    </w:p>
    <w:p>
      <w:pPr>
        <w:snapToGrid w:val="0"/>
        <w:spacing w:beforeLines="50" w:after="50" w:line="440" w:lineRule="exact"/>
        <w:jc w:val="center"/>
        <w:rPr>
          <w:rFonts w:ascii="仿宋_GB2312" w:hAnsi="宋体" w:eastAsia="仿宋_GB2312"/>
          <w:b/>
          <w:bCs/>
          <w:color w:val="auto"/>
          <w:sz w:val="52"/>
          <w:szCs w:val="52"/>
          <w:highlight w:val="none"/>
        </w:rPr>
      </w:pPr>
      <w:r>
        <w:rPr>
          <w:rFonts w:hint="eastAsia" w:ascii="仿宋_GB2312" w:hAnsi="宋体" w:eastAsia="仿宋_GB2312"/>
          <w:b/>
          <w:bCs/>
          <w:color w:val="auto"/>
          <w:sz w:val="52"/>
          <w:szCs w:val="52"/>
          <w:highlight w:val="none"/>
        </w:rPr>
        <w:t>投 标 文 件</w:t>
      </w:r>
    </w:p>
    <w:p>
      <w:pPr>
        <w:snapToGrid w:val="0"/>
        <w:spacing w:beforeLines="50" w:after="50" w:line="440" w:lineRule="exact"/>
        <w:jc w:val="center"/>
        <w:rPr>
          <w:rFonts w:ascii="仿宋_GB2312" w:hAnsi="宋体" w:eastAsia="仿宋_GB2312"/>
          <w:b/>
          <w:bCs/>
          <w:color w:val="auto"/>
          <w:sz w:val="28"/>
          <w:szCs w:val="28"/>
          <w:highlight w:val="none"/>
        </w:rPr>
      </w:pPr>
      <w:r>
        <w:rPr>
          <w:rFonts w:hint="eastAsia" w:ascii="仿宋_GB2312" w:hAnsi="宋体" w:eastAsia="仿宋_GB2312"/>
          <w:b/>
          <w:color w:val="auto"/>
          <w:sz w:val="28"/>
          <w:szCs w:val="28"/>
          <w:highlight w:val="none"/>
        </w:rPr>
        <w:t>（资格审查文件）</w:t>
      </w:r>
    </w:p>
    <w:p>
      <w:pPr>
        <w:snapToGrid w:val="0"/>
        <w:spacing w:beforeLines="50" w:after="50" w:line="440" w:lineRule="exact"/>
        <w:rPr>
          <w:rFonts w:ascii="仿宋_GB2312" w:hAnsi="宋体" w:eastAsia="仿宋_GB2312"/>
          <w:bCs/>
          <w:color w:val="auto"/>
          <w:sz w:val="28"/>
          <w:szCs w:val="28"/>
          <w:highlight w:val="none"/>
        </w:rPr>
      </w:pP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 xml:space="preserve">项目名称： </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 xml:space="preserve">项目编号： </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分标号：（如有）</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投标人名称：</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投标人地址：</w:t>
      </w:r>
    </w:p>
    <w:p>
      <w:pPr>
        <w:pStyle w:val="8"/>
        <w:snapToGrid w:val="0"/>
        <w:spacing w:before="50" w:after="50" w:line="440" w:lineRule="exact"/>
        <w:ind w:firstLine="1120" w:firstLineChars="400"/>
        <w:rPr>
          <w:rFonts w:ascii="仿宋_GB2312" w:hAnsi="宋体" w:eastAsia="仿宋_GB2312"/>
          <w:bCs/>
          <w:color w:val="auto"/>
          <w:sz w:val="28"/>
          <w:szCs w:val="28"/>
          <w:highlight w:val="none"/>
        </w:rPr>
      </w:pPr>
    </w:p>
    <w:p>
      <w:pPr>
        <w:pStyle w:val="8"/>
        <w:snapToGrid w:val="0"/>
        <w:spacing w:before="50" w:after="50" w:line="440" w:lineRule="exact"/>
        <w:ind w:firstLine="1120" w:firstLineChars="400"/>
        <w:rPr>
          <w:rFonts w:ascii="仿宋_GB2312" w:hAnsi="宋体" w:eastAsia="仿宋_GB2312"/>
          <w:bCs/>
          <w:color w:val="auto"/>
          <w:sz w:val="28"/>
          <w:szCs w:val="28"/>
          <w:highlight w:val="none"/>
        </w:rPr>
      </w:pPr>
    </w:p>
    <w:p>
      <w:pPr>
        <w:pStyle w:val="8"/>
        <w:snapToGrid w:val="0"/>
        <w:spacing w:before="50" w:after="50" w:line="440" w:lineRule="exact"/>
        <w:ind w:firstLine="1120" w:firstLineChars="400"/>
        <w:rPr>
          <w:rFonts w:ascii="仿宋_GB2312" w:hAnsi="宋体" w:eastAsia="仿宋_GB2312"/>
          <w:bCs/>
          <w:color w:val="auto"/>
          <w:sz w:val="28"/>
          <w:szCs w:val="28"/>
          <w:highlight w:val="none"/>
        </w:rPr>
      </w:pPr>
    </w:p>
    <w:p>
      <w:pPr>
        <w:snapToGrid w:val="0"/>
        <w:spacing w:beforeLines="50" w:after="50" w:line="440" w:lineRule="exact"/>
        <w:ind w:firstLine="645"/>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pPr>
        <w:snapToGrid w:val="0"/>
        <w:spacing w:beforeLines="50" w:after="50" w:line="440" w:lineRule="exact"/>
        <w:jc w:val="center"/>
        <w:outlineLvl w:val="1"/>
        <w:rPr>
          <w:rFonts w:ascii="宋体" w:hAnsi="宋体"/>
          <w:color w:val="auto"/>
          <w:sz w:val="24"/>
          <w:highlight w:val="none"/>
        </w:rPr>
      </w:pPr>
    </w:p>
    <w:p>
      <w:pPr>
        <w:pStyle w:val="2"/>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pStyle w:val="2"/>
        <w:rPr>
          <w:rFonts w:ascii="宋体" w:hAnsi="宋体"/>
          <w:color w:val="auto"/>
          <w:highlight w:val="none"/>
        </w:rPr>
      </w:pPr>
    </w:p>
    <w:p>
      <w:pPr>
        <w:snapToGrid w:val="0"/>
        <w:spacing w:before="50" w:after="50" w:line="420" w:lineRule="exact"/>
        <w:rPr>
          <w:rFonts w:ascii="仿宋_GB2312" w:hAnsi="宋体" w:eastAsia="仿宋_GB2312"/>
          <w:b/>
          <w:bCs/>
          <w:color w:val="auto"/>
          <w:sz w:val="28"/>
          <w:szCs w:val="28"/>
          <w:highlight w:val="none"/>
        </w:rPr>
      </w:pPr>
    </w:p>
    <w:p>
      <w:pPr>
        <w:snapToGrid w:val="0"/>
        <w:spacing w:before="50" w:after="50" w:line="420" w:lineRule="exact"/>
        <w:rPr>
          <w:rFonts w:ascii="仿宋_GB2312" w:hAnsi="宋体" w:eastAsia="仿宋_GB2312"/>
          <w:b/>
          <w:color w:val="auto"/>
          <w:sz w:val="28"/>
          <w:szCs w:val="28"/>
          <w:highlight w:val="none"/>
        </w:rPr>
      </w:pPr>
      <w:r>
        <w:rPr>
          <w:rFonts w:hint="eastAsia" w:ascii="仿宋_GB2312" w:hAnsi="宋体" w:eastAsia="仿宋_GB2312"/>
          <w:b/>
          <w:bCs/>
          <w:color w:val="auto"/>
          <w:sz w:val="28"/>
          <w:szCs w:val="28"/>
          <w:highlight w:val="none"/>
        </w:rPr>
        <w:t>2、投标文件</w:t>
      </w:r>
      <w:r>
        <w:rPr>
          <w:rFonts w:hint="eastAsia" w:ascii="仿宋_GB2312" w:hAnsi="宋体" w:eastAsia="仿宋_GB2312"/>
          <w:b/>
          <w:color w:val="auto"/>
          <w:sz w:val="28"/>
          <w:szCs w:val="28"/>
          <w:highlight w:val="none"/>
        </w:rPr>
        <w:t>（资格审查文件）</w:t>
      </w:r>
      <w:r>
        <w:rPr>
          <w:rFonts w:hint="eastAsia" w:ascii="仿宋_GB2312" w:hAnsi="宋体" w:eastAsia="仿宋_GB2312"/>
          <w:b/>
          <w:bCs/>
          <w:color w:val="auto"/>
          <w:sz w:val="28"/>
          <w:szCs w:val="28"/>
          <w:highlight w:val="none"/>
        </w:rPr>
        <w:t>目录</w:t>
      </w:r>
      <w:r>
        <w:rPr>
          <w:rFonts w:hint="eastAsia" w:ascii="仿宋_GB2312" w:hAnsi="宋体" w:eastAsia="仿宋_GB2312"/>
          <w:b/>
          <w:color w:val="auto"/>
          <w:sz w:val="28"/>
          <w:szCs w:val="28"/>
          <w:highlight w:val="none"/>
        </w:rPr>
        <w:t>格式：</w:t>
      </w:r>
    </w:p>
    <w:p>
      <w:pPr>
        <w:snapToGrid w:val="0"/>
        <w:spacing w:before="50" w:after="50" w:line="420" w:lineRule="exact"/>
        <w:rPr>
          <w:rFonts w:ascii="仿宋_GB2312" w:hAnsi="宋体" w:eastAsia="仿宋_GB2312"/>
          <w:b/>
          <w:color w:val="auto"/>
          <w:sz w:val="28"/>
          <w:szCs w:val="28"/>
          <w:highlight w:val="none"/>
        </w:rPr>
      </w:pPr>
    </w:p>
    <w:p>
      <w:pPr>
        <w:snapToGrid w:val="0"/>
        <w:spacing w:before="50" w:after="50" w:line="420" w:lineRule="exact"/>
        <w:rPr>
          <w:rFonts w:ascii="仿宋_GB2312" w:hAnsi="宋体" w:eastAsia="仿宋_GB2312"/>
          <w:b/>
          <w:bCs/>
          <w:color w:val="auto"/>
          <w:sz w:val="28"/>
          <w:szCs w:val="28"/>
          <w:highlight w:val="none"/>
        </w:rPr>
      </w:pPr>
    </w:p>
    <w:p>
      <w:pPr>
        <w:snapToGrid w:val="0"/>
        <w:spacing w:before="50" w:after="50" w:line="420" w:lineRule="exact"/>
        <w:jc w:val="center"/>
        <w:rPr>
          <w:rFonts w:ascii="仿宋_GB2312" w:hAnsi="宋体" w:eastAsia="仿宋_GB2312"/>
          <w:b/>
          <w:bCs/>
          <w:color w:val="auto"/>
          <w:sz w:val="28"/>
          <w:szCs w:val="28"/>
          <w:highlight w:val="none"/>
        </w:rPr>
      </w:pPr>
      <w:r>
        <w:rPr>
          <w:rFonts w:hint="eastAsia" w:ascii="仿宋_GB2312" w:hAnsi="宋体" w:eastAsia="仿宋_GB2312"/>
          <w:b/>
          <w:bCs/>
          <w:color w:val="auto"/>
          <w:sz w:val="28"/>
          <w:szCs w:val="28"/>
          <w:highlight w:val="none"/>
        </w:rPr>
        <w:t>投标文件（资格审查文件）目录</w:t>
      </w:r>
    </w:p>
    <w:p>
      <w:pPr>
        <w:snapToGrid w:val="0"/>
        <w:spacing w:before="50" w:after="50" w:line="400" w:lineRule="exact"/>
        <w:jc w:val="center"/>
        <w:rPr>
          <w:rFonts w:ascii="仿宋_GB2312" w:hAnsi="宋体" w:eastAsia="仿宋_GB2312"/>
          <w:color w:val="auto"/>
          <w:sz w:val="28"/>
          <w:szCs w:val="28"/>
          <w:highlight w:val="none"/>
        </w:rPr>
      </w:pPr>
    </w:p>
    <w:p>
      <w:pPr>
        <w:snapToGrid w:val="0"/>
        <w:spacing w:line="42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bCs/>
          <w:color w:val="auto"/>
          <w:sz w:val="24"/>
          <w:highlight w:val="none"/>
        </w:rPr>
        <w:t>（1）投标保证金交纳证明</w:t>
      </w:r>
      <w:r>
        <w:rPr>
          <w:rFonts w:hint="eastAsia" w:ascii="仿宋_GB2312" w:hAnsi="宋体" w:eastAsia="仿宋_GB2312"/>
          <w:color w:val="auto"/>
          <w:sz w:val="24"/>
          <w:highlight w:val="none"/>
        </w:rPr>
        <w:t>————————————————————（页码）</w:t>
      </w:r>
    </w:p>
    <w:p>
      <w:pPr>
        <w:snapToGrid w:val="0"/>
        <w:spacing w:line="420" w:lineRule="exact"/>
        <w:ind w:firstLine="470" w:firstLineChars="196"/>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（2）投标人有效的加载统一社会信用代码的营业执照、事业单位法人证书等主体资格证明副本复印件</w:t>
      </w:r>
      <w:r>
        <w:rPr>
          <w:rFonts w:hint="eastAsia" w:ascii="仿宋_GB2312" w:hAnsi="宋体" w:eastAsia="仿宋_GB2312"/>
          <w:color w:val="auto"/>
          <w:sz w:val="24"/>
          <w:highlight w:val="none"/>
        </w:rPr>
        <w:t>———</w:t>
      </w:r>
    </w:p>
    <w:p>
      <w:pPr>
        <w:snapToGrid w:val="0"/>
        <w:spacing w:line="42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bCs/>
          <w:color w:val="auto"/>
          <w:sz w:val="24"/>
          <w:highlight w:val="none"/>
        </w:rPr>
        <w:t>（3） 投标截止之日前半年内投标人连续三个月依法缴纳税收或依法免缴税收的证明；无缴纳税收记录的，应提供由投标人所在地主管国税、地税部门出具的《依法纳税或依法免税证明》（格式自拟）</w:t>
      </w:r>
      <w:r>
        <w:rPr>
          <w:rFonts w:hint="eastAsia" w:ascii="仿宋_GB2312" w:hAnsi="宋体" w:eastAsia="仿宋_GB2312"/>
          <w:color w:val="auto"/>
          <w:sz w:val="24"/>
          <w:highlight w:val="none"/>
        </w:rPr>
        <w:t>—————————</w:t>
      </w:r>
    </w:p>
    <w:p>
      <w:pPr>
        <w:snapToGrid w:val="0"/>
        <w:spacing w:line="420" w:lineRule="exact"/>
        <w:ind w:firstLine="470" w:firstLineChars="196"/>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（4）投标截止之日前半年内投标人连续三个月依法缴纳社会保障资金的证明；无缴费记录的，应提供由投标人所在地社保部门出具的《依法缴纳或依法免缴社保费证明》（格式自拟）</w:t>
      </w:r>
      <w:r>
        <w:rPr>
          <w:rFonts w:hint="eastAsia" w:ascii="仿宋_GB2312" w:hAnsi="宋体" w:eastAsia="仿宋_GB2312"/>
          <w:color w:val="auto"/>
          <w:sz w:val="24"/>
          <w:highlight w:val="none"/>
        </w:rPr>
        <w:t>—————————</w:t>
      </w:r>
    </w:p>
    <w:p>
      <w:pPr>
        <w:snapToGrid w:val="0"/>
        <w:spacing w:line="420" w:lineRule="exact"/>
        <w:ind w:firstLine="470" w:firstLineChars="196"/>
        <w:jc w:val="left"/>
        <w:rPr>
          <w:rFonts w:ascii="仿宋_GB2312" w:hAnsi="宋体" w:eastAsia="仿宋_GB2312"/>
          <w:bCs/>
          <w:color w:val="auto"/>
          <w:sz w:val="24"/>
          <w:highlight w:val="none"/>
        </w:rPr>
      </w:pPr>
      <w:r>
        <w:rPr>
          <w:rFonts w:hint="eastAsia" w:ascii="仿宋_GB2312" w:hAnsi="宋体" w:eastAsia="仿宋_GB2312"/>
          <w:bCs/>
          <w:color w:val="auto"/>
          <w:sz w:val="24"/>
          <w:highlight w:val="none"/>
        </w:rPr>
        <w:t>（5）参加政府采购活动前三年内在经营活动中没有重大违法记录和不良信用记录的书面声明</w:t>
      </w:r>
      <w:r>
        <w:rPr>
          <w:rFonts w:hint="eastAsia" w:ascii="仿宋_GB2312" w:hAnsi="宋体" w:eastAsia="仿宋_GB2312"/>
          <w:color w:val="auto"/>
          <w:sz w:val="24"/>
          <w:highlight w:val="none"/>
        </w:rPr>
        <w:t>—————————</w:t>
      </w:r>
    </w:p>
    <w:p>
      <w:pPr>
        <w:snapToGrid w:val="0"/>
        <w:spacing w:line="420" w:lineRule="exact"/>
        <w:ind w:firstLine="470" w:firstLineChars="196"/>
        <w:jc w:val="left"/>
        <w:rPr>
          <w:rFonts w:ascii="仿宋_GB2312" w:hAnsi="宋体" w:eastAsia="仿宋_GB2312"/>
          <w:b/>
          <w:bCs/>
          <w:color w:val="auto"/>
          <w:szCs w:val="21"/>
          <w:highlight w:val="none"/>
        </w:rPr>
      </w:pPr>
      <w:r>
        <w:rPr>
          <w:rFonts w:hint="eastAsia" w:ascii="仿宋_GB2312" w:hAnsi="宋体" w:eastAsia="仿宋_GB2312"/>
          <w:bCs/>
          <w:color w:val="auto"/>
          <w:sz w:val="24"/>
          <w:highlight w:val="none"/>
        </w:rPr>
        <w:t>（6）供应商可在“信用中国”网站（www.creditchina.gov.cn）或中国政府采购网（www.ccgp.gov.cn）查询相关供应商主体信用记录，同时将查询结果截图加盖公章与上述书面声明一并提交。</w:t>
      </w:r>
      <w:r>
        <w:rPr>
          <w:rFonts w:hint="eastAsia" w:ascii="仿宋_GB2312" w:hAnsi="宋体" w:eastAsia="仿宋_GB2312"/>
          <w:color w:val="auto"/>
          <w:sz w:val="24"/>
          <w:highlight w:val="none"/>
        </w:rPr>
        <w:t>————</w:t>
      </w:r>
    </w:p>
    <w:p>
      <w:pPr>
        <w:snapToGrid w:val="0"/>
        <w:spacing w:before="50" w:after="50" w:line="440" w:lineRule="exact"/>
        <w:rPr>
          <w:rFonts w:ascii="宋体" w:hAnsi="宋体"/>
          <w:b/>
          <w:color w:val="auto"/>
          <w:sz w:val="24"/>
          <w:highlight w:val="none"/>
        </w:rPr>
      </w:pPr>
    </w:p>
    <w:p>
      <w:pPr>
        <w:snapToGrid w:val="0"/>
        <w:spacing w:before="50" w:after="50" w:line="440" w:lineRule="exact"/>
        <w:rPr>
          <w:rFonts w:ascii="宋体" w:hAnsi="宋体"/>
          <w:b/>
          <w:color w:val="auto"/>
          <w:sz w:val="24"/>
          <w:highlight w:val="none"/>
        </w:rPr>
      </w:pPr>
    </w:p>
    <w:p>
      <w:pPr>
        <w:snapToGrid w:val="0"/>
        <w:spacing w:before="50" w:after="50" w:line="440" w:lineRule="exact"/>
        <w:rPr>
          <w:rFonts w:ascii="宋体" w:hAnsi="宋体"/>
          <w:b/>
          <w:color w:val="auto"/>
          <w:sz w:val="24"/>
          <w:highlight w:val="none"/>
        </w:rPr>
      </w:pPr>
    </w:p>
    <w:p>
      <w:pPr>
        <w:snapToGrid w:val="0"/>
        <w:spacing w:before="50" w:after="50" w:line="440" w:lineRule="exact"/>
        <w:rPr>
          <w:rFonts w:ascii="宋体" w:hAnsi="宋体"/>
          <w:b/>
          <w:color w:val="auto"/>
          <w:sz w:val="24"/>
          <w:highlight w:val="none"/>
        </w:rPr>
      </w:pPr>
    </w:p>
    <w:p>
      <w:pPr>
        <w:snapToGrid w:val="0"/>
        <w:spacing w:before="50" w:after="50" w:line="440" w:lineRule="exact"/>
        <w:rPr>
          <w:rFonts w:ascii="宋体" w:hAnsi="宋体"/>
          <w:b/>
          <w:color w:val="auto"/>
          <w:sz w:val="24"/>
          <w:highlight w:val="none"/>
        </w:rPr>
      </w:pPr>
    </w:p>
    <w:p>
      <w:pPr>
        <w:snapToGrid w:val="0"/>
        <w:spacing w:before="50" w:after="50" w:line="440" w:lineRule="exact"/>
        <w:rPr>
          <w:rFonts w:ascii="宋体" w:hAnsi="宋体"/>
          <w:b/>
          <w:color w:val="auto"/>
          <w:sz w:val="24"/>
          <w:highlight w:val="none"/>
        </w:rPr>
      </w:pPr>
    </w:p>
    <w:p>
      <w:pPr>
        <w:snapToGrid w:val="0"/>
        <w:spacing w:before="50" w:after="50" w:line="440" w:lineRule="exac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 xml:space="preserve">3、投标文件（商务、技术、报价文件）封面格式： </w:t>
      </w:r>
    </w:p>
    <w:p>
      <w:pPr>
        <w:snapToGrid w:val="0"/>
        <w:spacing w:before="50" w:after="50" w:line="440" w:lineRule="exact"/>
        <w:rPr>
          <w:rFonts w:ascii="仿宋_GB2312" w:hAnsi="宋体" w:eastAsia="仿宋_GB2312"/>
          <w:b/>
          <w:color w:val="auto"/>
          <w:sz w:val="28"/>
          <w:szCs w:val="28"/>
          <w:highlight w:val="none"/>
        </w:rPr>
      </w:pPr>
    </w:p>
    <w:p>
      <w:pPr>
        <w:snapToGrid w:val="0"/>
        <w:spacing w:beforeLines="50" w:after="50" w:line="440" w:lineRule="exact"/>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正本/或副本</w:t>
      </w:r>
    </w:p>
    <w:p>
      <w:pPr>
        <w:snapToGrid w:val="0"/>
        <w:spacing w:beforeLines="50" w:after="50" w:line="440" w:lineRule="exact"/>
        <w:rPr>
          <w:rFonts w:ascii="仿宋_GB2312" w:hAnsi="宋体" w:eastAsia="仿宋_GB2312"/>
          <w:color w:val="auto"/>
          <w:sz w:val="28"/>
          <w:szCs w:val="28"/>
          <w:highlight w:val="none"/>
        </w:rPr>
      </w:pPr>
    </w:p>
    <w:p>
      <w:pPr>
        <w:snapToGrid w:val="0"/>
        <w:spacing w:beforeLines="50" w:after="50" w:line="440" w:lineRule="exact"/>
        <w:rPr>
          <w:rFonts w:ascii="仿宋_GB2312" w:hAnsi="宋体" w:eastAsia="仿宋_GB2312"/>
          <w:color w:val="auto"/>
          <w:sz w:val="28"/>
          <w:szCs w:val="28"/>
          <w:highlight w:val="none"/>
        </w:rPr>
      </w:pPr>
    </w:p>
    <w:p>
      <w:pPr>
        <w:snapToGrid w:val="0"/>
        <w:spacing w:beforeLines="50" w:after="50" w:line="440" w:lineRule="exact"/>
        <w:rPr>
          <w:rFonts w:ascii="仿宋_GB2312" w:hAnsi="宋体" w:eastAsia="仿宋_GB2312"/>
          <w:color w:val="auto"/>
          <w:sz w:val="28"/>
          <w:szCs w:val="28"/>
          <w:highlight w:val="none"/>
        </w:rPr>
      </w:pPr>
    </w:p>
    <w:p>
      <w:pPr>
        <w:snapToGrid w:val="0"/>
        <w:spacing w:beforeLines="50" w:after="50" w:line="440" w:lineRule="exact"/>
        <w:jc w:val="center"/>
        <w:rPr>
          <w:rFonts w:ascii="仿宋_GB2312" w:hAnsi="宋体" w:eastAsia="仿宋_GB2312"/>
          <w:b/>
          <w:bCs/>
          <w:color w:val="auto"/>
          <w:sz w:val="52"/>
          <w:szCs w:val="52"/>
          <w:highlight w:val="none"/>
        </w:rPr>
      </w:pPr>
      <w:r>
        <w:rPr>
          <w:rFonts w:hint="eastAsia" w:ascii="仿宋_GB2312" w:hAnsi="宋体" w:eastAsia="仿宋_GB2312"/>
          <w:b/>
          <w:bCs/>
          <w:color w:val="auto"/>
          <w:sz w:val="52"/>
          <w:szCs w:val="52"/>
          <w:highlight w:val="none"/>
        </w:rPr>
        <w:t>投 标 文 件</w:t>
      </w:r>
    </w:p>
    <w:p>
      <w:pPr>
        <w:snapToGrid w:val="0"/>
        <w:spacing w:beforeLines="50" w:after="50" w:line="440" w:lineRule="exact"/>
        <w:jc w:val="center"/>
        <w:rPr>
          <w:rFonts w:ascii="仿宋_GB2312" w:hAnsi="宋体" w:eastAsia="仿宋_GB2312"/>
          <w:b/>
          <w:bCs/>
          <w:color w:val="auto"/>
          <w:sz w:val="28"/>
          <w:szCs w:val="28"/>
          <w:highlight w:val="none"/>
        </w:rPr>
      </w:pPr>
      <w:r>
        <w:rPr>
          <w:rFonts w:hint="eastAsia" w:ascii="仿宋_GB2312" w:hAnsi="宋体" w:eastAsia="仿宋_GB2312"/>
          <w:b/>
          <w:color w:val="auto"/>
          <w:sz w:val="28"/>
          <w:szCs w:val="28"/>
          <w:highlight w:val="none"/>
        </w:rPr>
        <w:t>（商务、技术、报价文件）</w:t>
      </w:r>
    </w:p>
    <w:p>
      <w:pPr>
        <w:snapToGrid w:val="0"/>
        <w:spacing w:beforeLines="50" w:after="50" w:line="440" w:lineRule="exact"/>
        <w:rPr>
          <w:rFonts w:ascii="仿宋_GB2312" w:hAnsi="宋体" w:eastAsia="仿宋_GB2312"/>
          <w:bCs/>
          <w:color w:val="auto"/>
          <w:sz w:val="28"/>
          <w:szCs w:val="28"/>
          <w:highlight w:val="none"/>
        </w:rPr>
      </w:pP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 xml:space="preserve">项目名称： </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 xml:space="preserve">项目编号： </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分标号：（如有）</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投标人名称：</w:t>
      </w:r>
    </w:p>
    <w:p>
      <w:pPr>
        <w:snapToGrid w:val="0"/>
        <w:spacing w:beforeLines="50" w:after="50" w:line="440" w:lineRule="exact"/>
        <w:ind w:firstLine="840" w:firstLineChars="3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投标人地址：</w:t>
      </w:r>
    </w:p>
    <w:p>
      <w:pPr>
        <w:pStyle w:val="8"/>
        <w:snapToGrid w:val="0"/>
        <w:spacing w:before="50" w:after="50" w:line="440" w:lineRule="exact"/>
        <w:ind w:firstLine="1120" w:firstLineChars="400"/>
        <w:rPr>
          <w:rFonts w:ascii="仿宋_GB2312" w:hAnsi="宋体" w:eastAsia="仿宋_GB2312"/>
          <w:bCs/>
          <w:color w:val="auto"/>
          <w:sz w:val="28"/>
          <w:szCs w:val="28"/>
          <w:highlight w:val="none"/>
        </w:rPr>
      </w:pPr>
    </w:p>
    <w:p>
      <w:pPr>
        <w:pStyle w:val="8"/>
        <w:snapToGrid w:val="0"/>
        <w:spacing w:before="50" w:after="50" w:line="440" w:lineRule="exact"/>
        <w:ind w:firstLine="1120" w:firstLineChars="400"/>
        <w:rPr>
          <w:rFonts w:ascii="仿宋_GB2312" w:hAnsi="宋体" w:eastAsia="仿宋_GB2312"/>
          <w:bCs/>
          <w:color w:val="auto"/>
          <w:sz w:val="28"/>
          <w:szCs w:val="28"/>
          <w:highlight w:val="none"/>
        </w:rPr>
      </w:pPr>
    </w:p>
    <w:p>
      <w:pPr>
        <w:pStyle w:val="8"/>
        <w:snapToGrid w:val="0"/>
        <w:spacing w:before="50" w:after="50" w:line="440" w:lineRule="exact"/>
        <w:ind w:firstLine="1120" w:firstLineChars="400"/>
        <w:rPr>
          <w:rFonts w:ascii="仿宋_GB2312" w:hAnsi="宋体" w:eastAsia="仿宋_GB2312"/>
          <w:bCs/>
          <w:color w:val="auto"/>
          <w:sz w:val="28"/>
          <w:szCs w:val="28"/>
          <w:highlight w:val="none"/>
        </w:rPr>
      </w:pPr>
    </w:p>
    <w:p>
      <w:pPr>
        <w:snapToGrid w:val="0"/>
        <w:spacing w:beforeLines="50" w:after="50" w:line="440" w:lineRule="exact"/>
        <w:ind w:firstLine="645"/>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pPr>
        <w:snapToGrid w:val="0"/>
        <w:spacing w:before="50" w:after="50" w:line="440" w:lineRule="exact"/>
        <w:rPr>
          <w:rFonts w:ascii="仿宋_GB2312" w:hAnsi="宋体" w:eastAsia="仿宋_GB2312"/>
          <w:color w:val="auto"/>
          <w:sz w:val="28"/>
          <w:szCs w:val="28"/>
          <w:highlight w:val="none"/>
        </w:rPr>
      </w:pPr>
    </w:p>
    <w:p>
      <w:pPr>
        <w:snapToGrid w:val="0"/>
        <w:spacing w:before="50" w:after="50" w:line="440" w:lineRule="exact"/>
        <w:rPr>
          <w:rFonts w:ascii="仿宋_GB2312" w:hAnsi="宋体" w:eastAsia="仿宋_GB2312"/>
          <w:color w:val="auto"/>
          <w:sz w:val="28"/>
          <w:szCs w:val="28"/>
          <w:highlight w:val="none"/>
        </w:rPr>
      </w:pPr>
    </w:p>
    <w:p>
      <w:pPr>
        <w:snapToGrid w:val="0"/>
        <w:spacing w:before="50" w:after="50" w:line="440" w:lineRule="exact"/>
        <w:rPr>
          <w:rFonts w:ascii="仿宋_GB2312" w:hAnsi="宋体" w:eastAsia="仿宋_GB2312"/>
          <w:color w:val="auto"/>
          <w:sz w:val="28"/>
          <w:szCs w:val="28"/>
          <w:highlight w:val="none"/>
        </w:rPr>
      </w:pPr>
    </w:p>
    <w:p>
      <w:pPr>
        <w:snapToGrid w:val="0"/>
        <w:spacing w:before="50" w:after="50" w:line="420" w:lineRule="exact"/>
        <w:rPr>
          <w:rFonts w:ascii="仿宋_GB2312" w:hAnsi="宋体" w:eastAsia="仿宋_GB2312"/>
          <w:b/>
          <w:color w:val="auto"/>
          <w:sz w:val="28"/>
          <w:szCs w:val="28"/>
          <w:highlight w:val="none"/>
        </w:rPr>
      </w:pPr>
      <w:r>
        <w:rPr>
          <w:rFonts w:ascii="仿宋_GB2312" w:hAnsi="宋体" w:eastAsia="仿宋_GB2312"/>
          <w:b/>
          <w:bCs/>
          <w:color w:val="auto"/>
          <w:sz w:val="28"/>
          <w:szCs w:val="28"/>
          <w:highlight w:val="none"/>
        </w:rPr>
        <w:br w:type="page"/>
      </w:r>
      <w:r>
        <w:rPr>
          <w:rFonts w:hint="eastAsia" w:ascii="仿宋_GB2312" w:hAnsi="宋体" w:eastAsia="仿宋_GB2312"/>
          <w:b/>
          <w:bCs/>
          <w:color w:val="auto"/>
          <w:sz w:val="28"/>
          <w:szCs w:val="28"/>
          <w:highlight w:val="none"/>
        </w:rPr>
        <w:t>4、投标文件（商务、技术、报价文件）目录</w:t>
      </w:r>
      <w:r>
        <w:rPr>
          <w:rFonts w:hint="eastAsia" w:ascii="仿宋_GB2312" w:hAnsi="宋体" w:eastAsia="仿宋_GB2312"/>
          <w:b/>
          <w:color w:val="auto"/>
          <w:sz w:val="28"/>
          <w:szCs w:val="28"/>
          <w:highlight w:val="none"/>
        </w:rPr>
        <w:t>格式：</w:t>
      </w:r>
    </w:p>
    <w:p>
      <w:pPr>
        <w:snapToGrid w:val="0"/>
        <w:spacing w:before="50" w:after="50" w:line="420" w:lineRule="exact"/>
        <w:rPr>
          <w:rFonts w:ascii="仿宋_GB2312" w:hAnsi="宋体" w:eastAsia="仿宋_GB2312"/>
          <w:b/>
          <w:bCs/>
          <w:color w:val="auto"/>
          <w:sz w:val="28"/>
          <w:szCs w:val="28"/>
          <w:highlight w:val="none"/>
        </w:rPr>
      </w:pPr>
    </w:p>
    <w:p>
      <w:pPr>
        <w:snapToGrid w:val="0"/>
        <w:spacing w:before="50" w:after="50" w:line="420" w:lineRule="exact"/>
        <w:jc w:val="center"/>
        <w:rPr>
          <w:rFonts w:ascii="仿宋_GB2312" w:hAnsi="宋体" w:eastAsia="仿宋_GB2312"/>
          <w:b/>
          <w:bCs/>
          <w:color w:val="auto"/>
          <w:sz w:val="28"/>
          <w:szCs w:val="28"/>
          <w:highlight w:val="none"/>
        </w:rPr>
      </w:pPr>
      <w:r>
        <w:rPr>
          <w:rFonts w:hint="eastAsia" w:ascii="仿宋_GB2312" w:hAnsi="宋体" w:eastAsia="仿宋_GB2312"/>
          <w:b/>
          <w:bCs/>
          <w:color w:val="auto"/>
          <w:sz w:val="28"/>
          <w:szCs w:val="28"/>
          <w:highlight w:val="none"/>
        </w:rPr>
        <w:t>投标文件</w:t>
      </w:r>
      <w:r>
        <w:rPr>
          <w:rFonts w:hint="eastAsia" w:ascii="仿宋_GB2312" w:hAnsi="宋体" w:eastAsia="仿宋_GB2312"/>
          <w:b/>
          <w:color w:val="auto"/>
          <w:sz w:val="28"/>
          <w:szCs w:val="28"/>
          <w:highlight w:val="none"/>
        </w:rPr>
        <w:t>（商务、技术、报价文件）</w:t>
      </w:r>
      <w:r>
        <w:rPr>
          <w:rFonts w:hint="eastAsia" w:ascii="仿宋_GB2312" w:hAnsi="宋体" w:eastAsia="仿宋_GB2312"/>
          <w:b/>
          <w:bCs/>
          <w:color w:val="auto"/>
          <w:sz w:val="28"/>
          <w:szCs w:val="28"/>
          <w:highlight w:val="none"/>
        </w:rPr>
        <w:t>目录</w:t>
      </w:r>
    </w:p>
    <w:p>
      <w:pPr>
        <w:snapToGrid w:val="0"/>
        <w:spacing w:before="50" w:after="50" w:line="400" w:lineRule="exact"/>
        <w:jc w:val="center"/>
        <w:rPr>
          <w:rFonts w:ascii="仿宋_GB2312" w:hAnsi="宋体" w:eastAsia="仿宋_GB2312"/>
          <w:color w:val="auto"/>
          <w:sz w:val="28"/>
          <w:szCs w:val="28"/>
          <w:highlight w:val="none"/>
        </w:rPr>
      </w:pPr>
    </w:p>
    <w:p>
      <w:pPr>
        <w:snapToGrid w:val="0"/>
        <w:spacing w:before="50" w:afterLines="50" w:line="400" w:lineRule="exact"/>
        <w:rPr>
          <w:rFonts w:ascii="仿宋_GB2312" w:hAnsi="宋体" w:eastAsia="仿宋_GB2312"/>
          <w:b/>
          <w:bCs/>
          <w:color w:val="auto"/>
          <w:sz w:val="28"/>
          <w:szCs w:val="28"/>
          <w:highlight w:val="none"/>
        </w:rPr>
      </w:pPr>
      <w:r>
        <w:rPr>
          <w:rFonts w:hint="eastAsia" w:ascii="仿宋_GB2312" w:hAnsi="宋体" w:eastAsia="仿宋_GB2312"/>
          <w:b/>
          <w:bCs/>
          <w:color w:val="auto"/>
          <w:sz w:val="28"/>
          <w:szCs w:val="28"/>
          <w:highlight w:val="none"/>
        </w:rPr>
        <w:t>一、商务文件</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（1）投标声明书———————————————————————————（页码）</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（2）法定代表人授权委托书——————————————————————</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（3）产品销售许可证复印件、安全生产许可证复印件等——————————</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（4）投标人的类似成功案例的业绩证明文件（投标人同类项目实施情况一览表、合同复印件、用户验收报告、用户评价意见） ————————————————————</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（5）招标文件列明的其他证明文件：</w:t>
      </w:r>
    </w:p>
    <w:p>
      <w:pPr>
        <w:snapToGrid w:val="0"/>
        <w:spacing w:before="50" w:afterLines="50"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5.1：主要设备、材料的原厂商出具的文件及相关资料等 ————————</w:t>
      </w:r>
    </w:p>
    <w:p>
      <w:pPr>
        <w:snapToGrid w:val="0"/>
        <w:spacing w:before="50" w:afterLines="50"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5.2：距采购人最近或者能为本项目提供最优服务的网点情况表 —————</w:t>
      </w:r>
    </w:p>
    <w:p>
      <w:pPr>
        <w:snapToGrid w:val="0"/>
        <w:spacing w:before="50" w:afterLines="50"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5.3：其他证明文件 ————————————————————————</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（6）节能环保等方面的资质证书或文件 —————————————————</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（7）投标人的信誉、荣誉证书或文件 ——————————————————</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（8）投标人质量管理和环境认证体系等方面的认证证书 ——————————</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（9）投标人认为可以证明其能力或业绩的其他材料 ————————————</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（10）投标人情况介绍—————————————————————————</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（11）中小企业声明函—————————————————————————</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（12）监狱企业证明文件————————————————————————</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（13）残疾人福利性单位————————————————————————</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（14）广西工业产品声明函格式—————————————————————</w:t>
      </w:r>
    </w:p>
    <w:p>
      <w:pPr>
        <w:snapToGrid w:val="0"/>
        <w:spacing w:before="50" w:afterLines="50"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（15）商务响应表  ——————————————————————————</w:t>
      </w:r>
    </w:p>
    <w:p>
      <w:pPr>
        <w:snapToGrid w:val="0"/>
        <w:spacing w:before="50" w:afterLines="50" w:line="400" w:lineRule="exact"/>
        <w:jc w:val="left"/>
        <w:rPr>
          <w:rFonts w:ascii="仿宋_GB2312" w:hAnsi="宋体" w:eastAsia="仿宋_GB2312"/>
          <w:b/>
          <w:bCs/>
          <w:color w:val="auto"/>
          <w:sz w:val="28"/>
          <w:szCs w:val="28"/>
          <w:highlight w:val="none"/>
        </w:rPr>
      </w:pPr>
      <w:r>
        <w:rPr>
          <w:rFonts w:hint="eastAsia" w:ascii="仿宋_GB2312" w:hAnsi="宋体" w:eastAsia="仿宋_GB2312"/>
          <w:b/>
          <w:bCs/>
          <w:color w:val="auto"/>
          <w:sz w:val="28"/>
          <w:szCs w:val="28"/>
          <w:highlight w:val="none"/>
        </w:rPr>
        <w:t>二、技术文件</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（1）技术响应表——————————————————————————</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 培训、技术支持和售后服务方案（根据招标文件“第二章 招标项目采购需求和第四章  评标办法及评分标准”要求自行编写）—————————————————</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（3）项目实施人员一览表——————————————————————</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（4）产品出厂标准、质量检测报告（其中有精度要求的仪器设备类政府采购项目，应当要求投标人提供由第三方精度检测报告或由采购人在投标前组织的精度实测数据）——————</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（5）原厂出厂配置表及原厂中文使用说明书——————————————</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（6）投标人需要说明的其他文件和说明（格式略，▲第二章《招标项目采购需求》中要求必须提供的，必须提供，否则投标无效）—————————————————</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（7）根据招标文件“第四章  评标办法及评分标准”要求提供的各种文件和材料———</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（8）投标人认为有必要提供的材料———————————————————</w:t>
      </w:r>
    </w:p>
    <w:p>
      <w:pPr>
        <w:snapToGrid w:val="0"/>
        <w:spacing w:line="500" w:lineRule="exact"/>
        <w:jc w:val="left"/>
        <w:rPr>
          <w:rFonts w:ascii="仿宋_GB2312" w:hAnsi="宋体" w:eastAsia="仿宋_GB2312"/>
          <w:b/>
          <w:bCs/>
          <w:color w:val="auto"/>
          <w:sz w:val="28"/>
          <w:szCs w:val="28"/>
          <w:highlight w:val="none"/>
        </w:rPr>
      </w:pPr>
      <w:r>
        <w:rPr>
          <w:rFonts w:hint="eastAsia" w:ascii="仿宋_GB2312" w:hAnsi="宋体" w:eastAsia="仿宋_GB2312"/>
          <w:b/>
          <w:bCs/>
          <w:color w:val="auto"/>
          <w:sz w:val="28"/>
          <w:szCs w:val="28"/>
          <w:highlight w:val="none"/>
        </w:rPr>
        <w:t>三、报价文件</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（1）投标函 ——————————————————————————————</w:t>
      </w:r>
    </w:p>
    <w:p>
      <w:pPr>
        <w:snapToGrid w:val="0"/>
        <w:spacing w:before="50" w:afterLines="50" w:line="4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（2）投标报价明细表———————————————————————————</w:t>
      </w:r>
    </w:p>
    <w:p>
      <w:pPr>
        <w:snapToGrid w:val="0"/>
        <w:spacing w:before="50" w:afterLines="50"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（3）开标一览表（单独封装）</w:t>
      </w: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p>
    <w:p>
      <w:pPr>
        <w:snapToGrid w:val="0"/>
        <w:spacing w:before="50" w:afterLines="50" w:line="400" w:lineRule="exact"/>
        <w:jc w:val="center"/>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（二）投标文件格式</w:t>
      </w:r>
    </w:p>
    <w:p>
      <w:pPr>
        <w:snapToGrid w:val="0"/>
        <w:spacing w:before="50" w:afterLines="50" w:line="400" w:lineRule="exact"/>
        <w:jc w:val="left"/>
        <w:rPr>
          <w:rFonts w:ascii="仿宋_GB2312" w:hAnsi="宋体" w:eastAsia="仿宋_GB2312"/>
          <w:b/>
          <w:bCs/>
          <w:color w:val="auto"/>
          <w:sz w:val="28"/>
          <w:szCs w:val="28"/>
          <w:highlight w:val="none"/>
        </w:rPr>
      </w:pPr>
    </w:p>
    <w:p>
      <w:pPr>
        <w:snapToGrid w:val="0"/>
        <w:spacing w:before="50" w:afterLines="50" w:line="400" w:lineRule="exact"/>
        <w:jc w:val="left"/>
        <w:rPr>
          <w:rFonts w:ascii="仿宋_GB2312" w:hAnsi="宋体" w:eastAsia="仿宋_GB2312"/>
          <w:b/>
          <w:color w:val="auto"/>
          <w:sz w:val="28"/>
          <w:szCs w:val="28"/>
          <w:highlight w:val="none"/>
        </w:rPr>
      </w:pPr>
      <w:r>
        <w:rPr>
          <w:rFonts w:hint="eastAsia" w:ascii="仿宋_GB2312" w:hAnsi="宋体" w:eastAsia="仿宋_GB2312"/>
          <w:b/>
          <w:bCs/>
          <w:color w:val="auto"/>
          <w:sz w:val="28"/>
          <w:szCs w:val="28"/>
          <w:highlight w:val="none"/>
        </w:rPr>
        <w:t>资格审查文件</w:t>
      </w:r>
      <w:r>
        <w:rPr>
          <w:rFonts w:hint="eastAsia" w:ascii="仿宋_GB2312" w:hAnsi="宋体" w:eastAsia="仿宋_GB2312"/>
          <w:b/>
          <w:color w:val="auto"/>
          <w:sz w:val="28"/>
          <w:szCs w:val="28"/>
          <w:highlight w:val="none"/>
        </w:rPr>
        <w:t>格式：</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（1）▲投标保证金交纳证明；</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（2）▲投标人有效的加载统一社会信用代码的营业执照、事业单位法人证书等主体资格证明副本复印件；</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（3）▲投标截止之日前半年内投标人连续三个月依法缴纳税收或依法免缴税收的证明；无缴纳税收记录的，应提供由投标人所在地主管国税、地税部门出具的《依法纳税或依法免税证明》（格式自拟）；</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（4）▲投标截止之日前半年内投标人连续三个月依法缴纳社会保障资金的证明；无缴费记录的，应提供由投标人所在地社保部门出具的《依法缴纳或依法免缴社保费证明》（格式自拟）； </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（5）▲参加政府采购活动前三年内在经营活动中没有重大违法记录和不良信用记录的书面声明</w:t>
      </w:r>
    </w:p>
    <w:p>
      <w:pPr>
        <w:snapToGrid w:val="0"/>
        <w:spacing w:line="50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（6）供应商可在“信用中国”网站（www.creditchina.gov.cn）或中国政府采购网（www.ccgp.gov.cn）查询相关供应商主体信用记录，同时将查询结果截图加盖公章与上述书面声明一并提交。</w:t>
      </w: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b/>
          <w:color w:val="auto"/>
          <w:sz w:val="28"/>
          <w:szCs w:val="28"/>
          <w:highlight w:val="none"/>
        </w:rPr>
      </w:pPr>
    </w:p>
    <w:p>
      <w:pPr>
        <w:snapToGrid w:val="0"/>
        <w:spacing w:line="440" w:lineRule="exact"/>
        <w:jc w:val="center"/>
        <w:outlineLvl w:val="4"/>
        <w:rPr>
          <w:rFonts w:ascii="仿宋_GB2312" w:hAnsi="宋体" w:eastAsia="仿宋_GB2312" w:cs="Courier New"/>
          <w:b/>
          <w:color w:val="auto"/>
          <w:sz w:val="44"/>
          <w:szCs w:val="44"/>
          <w:highlight w:val="none"/>
        </w:rPr>
      </w:pPr>
    </w:p>
    <w:p>
      <w:pPr>
        <w:snapToGrid w:val="0"/>
        <w:spacing w:line="440" w:lineRule="exact"/>
        <w:jc w:val="center"/>
        <w:outlineLvl w:val="4"/>
        <w:rPr>
          <w:rFonts w:ascii="仿宋_GB2312" w:hAnsi="宋体" w:eastAsia="仿宋_GB2312" w:cs="Courier New"/>
          <w:b/>
          <w:color w:val="auto"/>
          <w:sz w:val="32"/>
          <w:szCs w:val="32"/>
          <w:highlight w:val="none"/>
        </w:rPr>
      </w:pPr>
      <w:r>
        <w:rPr>
          <w:rFonts w:hint="eastAsia" w:ascii="仿宋_GB2312" w:hAnsi="宋体" w:eastAsia="仿宋_GB2312" w:cs="Courier New"/>
          <w:b/>
          <w:color w:val="auto"/>
          <w:sz w:val="32"/>
          <w:szCs w:val="32"/>
          <w:highlight w:val="none"/>
        </w:rPr>
        <w:t>5、参加政府采购活动前三年内在经营活动中没有重大违法记录和不良信用记录的书面声明</w:t>
      </w:r>
    </w:p>
    <w:p>
      <w:pPr>
        <w:snapToGrid w:val="0"/>
        <w:spacing w:line="440" w:lineRule="exact"/>
        <w:jc w:val="center"/>
        <w:outlineLvl w:val="4"/>
        <w:rPr>
          <w:rFonts w:ascii="仿宋_GB2312" w:hAnsi="宋体" w:eastAsia="仿宋_GB2312"/>
          <w:color w:val="auto"/>
          <w:sz w:val="28"/>
          <w:szCs w:val="28"/>
          <w:highlight w:val="none"/>
        </w:rPr>
      </w:pPr>
    </w:p>
    <w:p>
      <w:pPr>
        <w:snapToGrid w:val="0"/>
        <w:spacing w:line="440" w:lineRule="exact"/>
        <w:outlineLvl w:val="4"/>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致：</w:t>
      </w:r>
      <w:r>
        <w:rPr>
          <w:rFonts w:hint="eastAsia" w:ascii="仿宋_GB2312" w:hAnsi="宋体" w:eastAsia="仿宋_GB2312"/>
          <w:color w:val="auto"/>
          <w:sz w:val="28"/>
          <w:szCs w:val="28"/>
          <w:highlight w:val="none"/>
          <w:u w:val="single"/>
        </w:rPr>
        <w:t>广西建设工程机电设备招标中心有限公司</w:t>
      </w:r>
    </w:p>
    <w:p>
      <w:pPr>
        <w:pStyle w:val="29"/>
        <w:spacing w:line="440" w:lineRule="exact"/>
        <w:ind w:firstLine="560" w:firstLineChars="200"/>
        <w:rPr>
          <w:rFonts w:ascii="仿宋_GB2312" w:hAnsi="宋体" w:eastAsia="仿宋_GB2312"/>
          <w:color w:val="auto"/>
          <w:sz w:val="28"/>
          <w:szCs w:val="28"/>
          <w:highlight w:val="none"/>
        </w:rPr>
      </w:pPr>
    </w:p>
    <w:p>
      <w:pPr>
        <w:snapToGrid w:val="0"/>
        <w:spacing w:line="500" w:lineRule="exact"/>
        <w:ind w:firstLine="794"/>
        <w:outlineLvl w:val="4"/>
        <w:rPr>
          <w:rFonts w:ascii="仿宋_GB2312" w:hAnsi="宋体" w:eastAsia="仿宋_GB2312" w:cs="Courier New"/>
          <w:color w:val="auto"/>
          <w:sz w:val="28"/>
          <w:szCs w:val="28"/>
          <w:highlight w:val="none"/>
        </w:rPr>
      </w:pPr>
      <w:r>
        <w:rPr>
          <w:rFonts w:hint="eastAsia" w:ascii="仿宋_GB2312" w:hAnsi="宋体" w:eastAsia="仿宋_GB2312" w:cs="Courier New"/>
          <w:color w:val="auto"/>
          <w:sz w:val="28"/>
          <w:szCs w:val="28"/>
          <w:highlight w:val="none"/>
        </w:rPr>
        <w:t>我单位在参加政府采购活动前三年内在经营活动中没有《政府采购法》第二十二条第一款第(五)项所称重大违法记录，包括：</w:t>
      </w:r>
    </w:p>
    <w:p>
      <w:pPr>
        <w:snapToGrid w:val="0"/>
        <w:spacing w:line="500" w:lineRule="exact"/>
        <w:ind w:firstLine="794"/>
        <w:outlineLvl w:val="4"/>
        <w:rPr>
          <w:rFonts w:ascii="仿宋_GB2312" w:hAnsi="宋体" w:eastAsia="仿宋_GB2312" w:cs="Courier New"/>
          <w:color w:val="auto"/>
          <w:sz w:val="28"/>
          <w:szCs w:val="28"/>
          <w:highlight w:val="none"/>
        </w:rPr>
      </w:pPr>
      <w:r>
        <w:rPr>
          <w:rFonts w:hint="eastAsia" w:ascii="仿宋_GB2312" w:hAnsi="宋体" w:eastAsia="仿宋_GB2312" w:cs="Courier New"/>
          <w:color w:val="auto"/>
          <w:sz w:val="28"/>
          <w:szCs w:val="28"/>
          <w:highlight w:val="none"/>
        </w:rPr>
        <w:t>我单位或者其法定代表人、董事、监事、高级管理人员未因经营活动中的违法行为受到刑事处罚或者责令停产停业、吊销许可证或者执照、较大数额罚款等行政处罚。</w:t>
      </w:r>
    </w:p>
    <w:p>
      <w:pPr>
        <w:snapToGrid w:val="0"/>
        <w:spacing w:line="500" w:lineRule="exact"/>
        <w:ind w:firstLine="794"/>
        <w:outlineLvl w:val="4"/>
        <w:rPr>
          <w:rFonts w:ascii="仿宋_GB2312" w:hAnsi="宋体" w:eastAsia="仿宋_GB2312" w:cs="Courier New"/>
          <w:color w:val="auto"/>
          <w:sz w:val="28"/>
          <w:szCs w:val="28"/>
          <w:highlight w:val="none"/>
        </w:rPr>
      </w:pPr>
      <w:r>
        <w:rPr>
          <w:rFonts w:hint="eastAsia" w:ascii="仿宋_GB2312" w:hAnsi="宋体" w:eastAsia="仿宋_GB2312" w:cs="Courier New"/>
          <w:color w:val="auto"/>
          <w:sz w:val="28"/>
          <w:szCs w:val="28"/>
          <w:highlight w:val="none"/>
        </w:rPr>
        <w:t>我单位在“信用中国”网站(www.creditchina.gov.cn)、中国政府采购网(www.ccgp.gov.cn)等渠道没有被列入失信被执行人、重大税收违法案件当事人名单、政府采购严重违法失信行为记录名单。</w:t>
      </w:r>
    </w:p>
    <w:p>
      <w:pPr>
        <w:snapToGrid w:val="0"/>
        <w:spacing w:line="500" w:lineRule="exact"/>
        <w:ind w:firstLine="794"/>
        <w:outlineLvl w:val="4"/>
        <w:rPr>
          <w:rFonts w:ascii="仿宋_GB2312" w:hAnsi="宋体" w:eastAsia="仿宋_GB2312"/>
          <w:color w:val="auto"/>
          <w:sz w:val="28"/>
          <w:szCs w:val="28"/>
          <w:highlight w:val="none"/>
        </w:rPr>
      </w:pPr>
      <w:r>
        <w:rPr>
          <w:rFonts w:hint="eastAsia" w:ascii="仿宋_GB2312" w:hAnsi="宋体" w:eastAsia="仿宋_GB2312" w:cs="Courier New"/>
          <w:color w:val="auto"/>
          <w:sz w:val="28"/>
          <w:szCs w:val="28"/>
          <w:highlight w:val="none"/>
        </w:rPr>
        <w:t>特此声明！</w:t>
      </w:r>
    </w:p>
    <w:p>
      <w:pPr>
        <w:snapToGrid w:val="0"/>
        <w:spacing w:line="440" w:lineRule="exact"/>
        <w:ind w:firstLine="4900" w:firstLineChars="1750"/>
        <w:rPr>
          <w:rFonts w:ascii="仿宋_GB2312" w:hAnsi="宋体" w:eastAsia="仿宋_GB2312" w:cs="Courier New"/>
          <w:color w:val="auto"/>
          <w:sz w:val="28"/>
          <w:szCs w:val="28"/>
          <w:highlight w:val="none"/>
        </w:rPr>
      </w:pPr>
    </w:p>
    <w:p>
      <w:pPr>
        <w:snapToGrid w:val="0"/>
        <w:spacing w:line="440" w:lineRule="exact"/>
        <w:ind w:firstLine="4900" w:firstLineChars="1750"/>
        <w:rPr>
          <w:rFonts w:ascii="仿宋_GB2312" w:hAnsi="宋体" w:eastAsia="仿宋_GB2312" w:cs="Courier New"/>
          <w:color w:val="auto"/>
          <w:sz w:val="28"/>
          <w:szCs w:val="28"/>
          <w:highlight w:val="none"/>
        </w:rPr>
      </w:pPr>
    </w:p>
    <w:p>
      <w:pPr>
        <w:snapToGrid w:val="0"/>
        <w:spacing w:line="440" w:lineRule="exact"/>
        <w:ind w:firstLine="4900" w:firstLineChars="1750"/>
        <w:rPr>
          <w:rFonts w:ascii="仿宋_GB2312" w:hAnsi="宋体" w:eastAsia="仿宋_GB2312" w:cs="Courier New"/>
          <w:color w:val="auto"/>
          <w:sz w:val="28"/>
          <w:szCs w:val="28"/>
          <w:highlight w:val="none"/>
        </w:rPr>
      </w:pPr>
      <w:r>
        <w:rPr>
          <w:rFonts w:hint="eastAsia" w:ascii="仿宋_GB2312" w:hAnsi="宋体" w:eastAsia="仿宋_GB2312" w:cs="Courier New"/>
          <w:color w:val="auto"/>
          <w:sz w:val="28"/>
          <w:szCs w:val="28"/>
          <w:highlight w:val="none"/>
        </w:rPr>
        <w:t>法定代表人签字：</w:t>
      </w:r>
    </w:p>
    <w:p>
      <w:pPr>
        <w:snapToGrid w:val="0"/>
        <w:spacing w:line="440" w:lineRule="exact"/>
        <w:ind w:firstLine="4900" w:firstLineChars="1750"/>
        <w:jc w:val="left"/>
        <w:rPr>
          <w:rFonts w:ascii="仿宋_GB2312" w:hAnsi="宋体" w:eastAsia="仿宋_GB2312" w:cs="Courier New"/>
          <w:color w:val="auto"/>
          <w:sz w:val="28"/>
          <w:szCs w:val="28"/>
          <w:highlight w:val="none"/>
        </w:rPr>
      </w:pPr>
      <w:r>
        <w:rPr>
          <w:rFonts w:hint="eastAsia" w:ascii="仿宋_GB2312" w:hAnsi="宋体" w:eastAsia="仿宋_GB2312" w:cs="Courier New"/>
          <w:color w:val="auto"/>
          <w:sz w:val="28"/>
          <w:szCs w:val="28"/>
          <w:highlight w:val="none"/>
        </w:rPr>
        <w:t xml:space="preserve">投标人盖章： </w:t>
      </w:r>
    </w:p>
    <w:p>
      <w:pPr>
        <w:spacing w:line="440" w:lineRule="exact"/>
        <w:ind w:firstLine="4900" w:firstLineChars="1750"/>
        <w:rPr>
          <w:rFonts w:ascii="宋体" w:hAnsi="宋体" w:cs="Courier New"/>
          <w:color w:val="auto"/>
          <w:sz w:val="28"/>
          <w:szCs w:val="28"/>
          <w:highlight w:val="none"/>
        </w:rPr>
      </w:pPr>
      <w:r>
        <w:rPr>
          <w:rFonts w:hint="eastAsia" w:ascii="仿宋_GB2312" w:hAnsi="宋体" w:eastAsia="仿宋_GB2312" w:cs="Courier New"/>
          <w:color w:val="auto"/>
          <w:sz w:val="28"/>
          <w:szCs w:val="28"/>
          <w:highlight w:val="none"/>
        </w:rPr>
        <w:t>日期：</w:t>
      </w: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cs="Times New Roman"/>
          <w:color w:val="auto"/>
          <w:sz w:val="28"/>
          <w:szCs w:val="28"/>
          <w:highlight w:val="none"/>
        </w:rPr>
      </w:pPr>
    </w:p>
    <w:p>
      <w:pPr>
        <w:pStyle w:val="29"/>
        <w:spacing w:line="400" w:lineRule="exact"/>
        <w:rPr>
          <w:rFonts w:ascii="仿宋_GB2312" w:hAnsi="宋体" w:eastAsia="仿宋_GB2312"/>
          <w:b/>
          <w:color w:val="auto"/>
          <w:sz w:val="28"/>
          <w:szCs w:val="28"/>
          <w:highlight w:val="none"/>
        </w:rPr>
      </w:pPr>
      <w:r>
        <w:rPr>
          <w:rFonts w:hint="eastAsia" w:ascii="仿宋_GB2312" w:hAnsi="宋体" w:eastAsia="仿宋_GB2312" w:cs="Times New Roman"/>
          <w:b/>
          <w:color w:val="auto"/>
          <w:sz w:val="28"/>
          <w:szCs w:val="28"/>
          <w:highlight w:val="none"/>
        </w:rPr>
        <w:t>6 、</w:t>
      </w:r>
      <w:r>
        <w:rPr>
          <w:rFonts w:hint="eastAsia" w:ascii="仿宋_GB2312" w:hAnsi="宋体" w:eastAsia="仿宋_GB2312"/>
          <w:b/>
          <w:color w:val="auto"/>
          <w:sz w:val="28"/>
          <w:szCs w:val="28"/>
          <w:highlight w:val="none"/>
        </w:rPr>
        <w:t>信用中国网、中国政府采购网</w:t>
      </w:r>
      <w:r>
        <w:rPr>
          <w:rFonts w:ascii="仿宋_GB2312" w:hAnsi="宋体" w:eastAsia="仿宋_GB2312"/>
          <w:b/>
          <w:color w:val="auto"/>
          <w:sz w:val="28"/>
          <w:szCs w:val="28"/>
          <w:highlight w:val="none"/>
        </w:rPr>
        <w:t>查询结果截图</w:t>
      </w:r>
    </w:p>
    <w:p>
      <w:pPr>
        <w:snapToGrid w:val="0"/>
        <w:spacing w:before="50" w:afterLines="50" w:line="440" w:lineRule="exact"/>
        <w:jc w:val="left"/>
        <w:rPr>
          <w:rFonts w:ascii="仿宋_GB2312" w:hAnsi="宋体" w:eastAsia="仿宋_GB2312"/>
          <w:b/>
          <w:color w:val="auto"/>
          <w:sz w:val="24"/>
          <w:highlight w:val="none"/>
        </w:rPr>
        <w:sectPr>
          <w:footerReference r:id="rId6" w:type="first"/>
          <w:headerReference r:id="rId3" w:type="default"/>
          <w:footerReference r:id="rId4" w:type="default"/>
          <w:footerReference r:id="rId5" w:type="even"/>
          <w:pgSz w:w="11906" w:h="16838"/>
          <w:pgMar w:top="1134" w:right="1134" w:bottom="1134" w:left="1134" w:header="709" w:footer="709" w:gutter="0"/>
          <w:cols w:space="720" w:num="1"/>
          <w:titlePg/>
          <w:docGrid w:linePitch="312" w:charSpace="0"/>
        </w:sectPr>
      </w:pPr>
    </w:p>
    <w:p>
      <w:pPr>
        <w:rPr>
          <w:color w:val="auto"/>
          <w:sz w:val="36"/>
          <w:szCs w:val="36"/>
          <w:highlight w:val="none"/>
        </w:rPr>
      </w:pPr>
      <w:r>
        <w:rPr>
          <w:rFonts w:hint="eastAsia"/>
          <w:color w:val="auto"/>
          <w:sz w:val="36"/>
          <w:szCs w:val="36"/>
          <w:highlight w:val="none"/>
        </w:rPr>
        <w:t>商务文件格式：</w:t>
      </w:r>
    </w:p>
    <w:p>
      <w:pPr>
        <w:snapToGrid w:val="0"/>
        <w:spacing w:before="50" w:afterLines="50" w:line="400" w:lineRule="exact"/>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1、投标声明书格式：</w:t>
      </w:r>
    </w:p>
    <w:p>
      <w:pPr>
        <w:snapToGrid w:val="0"/>
        <w:spacing w:beforeLines="50" w:after="50" w:line="360" w:lineRule="exact"/>
        <w:jc w:val="center"/>
        <w:rPr>
          <w:rFonts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投标声明书</w:t>
      </w:r>
    </w:p>
    <w:p>
      <w:pPr>
        <w:snapToGrid w:val="0"/>
        <w:spacing w:beforeLines="50" w:after="50" w:line="3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致：（招标采购单位名称）</w:t>
      </w:r>
    </w:p>
    <w:p>
      <w:pPr>
        <w:snapToGrid w:val="0"/>
        <w:spacing w:beforeLines="50" w:after="50"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（投标人名称）系中华人民共和国合法企业，经营地址</w:t>
      </w:r>
    </w:p>
    <w:p>
      <w:pPr>
        <w:snapToGrid w:val="0"/>
        <w:spacing w:beforeLines="50" w:after="50"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我（姓名）系（投标人名称）的法定代表人，我方愿意参加贵方组织的项目的投标，为便于贵方公正、择优地确定中标人及其投标产品和服务，我方就本次投标有关事项郑重声明如下：</w:t>
      </w:r>
    </w:p>
    <w:p>
      <w:pPr>
        <w:snapToGrid w:val="0"/>
        <w:spacing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1.我方向贵方提交的所有投标文件、资料都是准确的和真实的。</w:t>
      </w:r>
    </w:p>
    <w:p>
      <w:pPr>
        <w:snapToGrid w:val="0"/>
        <w:spacing w:beforeLines="50"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2.我方不是采购人的附属机构；在获知本项目采购信息后，与采购人聘请的为此项目提供咨询服务的公司及其附属机构没有任何联系。</w:t>
      </w:r>
    </w:p>
    <w:p>
      <w:pPr>
        <w:snapToGrid w:val="0"/>
        <w:spacing w:beforeLines="50"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3.我方此次向贵方提供的产品名称为：；规格型号：；该型号产品我方有现货可供，并已于年月生产完工或向</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（原厂商名称）购进［或需在中标后向订购］。</w:t>
      </w:r>
    </w:p>
    <w:p>
      <w:pPr>
        <w:snapToGrid w:val="0"/>
        <w:spacing w:beforeLines="50"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4.我方诚意提请贵方关注：近期有关该型号产品的生产、供货、售后服务以及性能等方面的重大决策和事项有：</w:t>
      </w:r>
    </w:p>
    <w:p>
      <w:pPr>
        <w:snapToGrid w:val="0"/>
        <w:spacing w:beforeLines="50" w:line="360" w:lineRule="exact"/>
        <w:ind w:firstLine="560" w:firstLineChars="200"/>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u w:val="single"/>
        </w:rPr>
        <w:t>　　　　　　　　　　　　　　　　　　　　　　　　　　　</w:t>
      </w:r>
    </w:p>
    <w:p>
      <w:pPr>
        <w:snapToGrid w:val="0"/>
        <w:spacing w:beforeLines="50"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u w:val="single"/>
        </w:rPr>
        <w:t>　　　　　　　　　　　　　　　　　　　　　　　　　　　</w:t>
      </w:r>
    </w:p>
    <w:p>
      <w:pPr>
        <w:snapToGrid w:val="0"/>
        <w:spacing w:beforeLines="50"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 以上事项如有虚假或隐瞒，我方愿意承担一切后果，并不再寻求任何旨在减轻或免除法律责任的辩解。</w:t>
      </w:r>
    </w:p>
    <w:p>
      <w:pPr>
        <w:snapToGrid w:val="0"/>
        <w:spacing w:beforeLines="50" w:line="3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6. 我方在此声明，我方及由本人担任法定代表人的其他机构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pStyle w:val="24"/>
        <w:tabs>
          <w:tab w:val="left" w:pos="939"/>
        </w:tabs>
        <w:snapToGrid w:val="0"/>
        <w:spacing w:line="360" w:lineRule="exact"/>
        <w:ind w:left="849" w:leftChars="150" w:hanging="534" w:hangingChars="191"/>
        <w:rPr>
          <w:rFonts w:ascii="仿宋_GB2312" w:hAnsi="宋体" w:eastAsia="仿宋_GB2312"/>
          <w:color w:val="auto"/>
          <w:szCs w:val="28"/>
          <w:highlight w:val="none"/>
        </w:rPr>
      </w:pPr>
    </w:p>
    <w:p>
      <w:pPr>
        <w:snapToGrid w:val="0"/>
        <w:spacing w:beforeLines="50" w:line="360" w:lineRule="exact"/>
        <w:ind w:firstLine="4678" w:firstLineChars="1671"/>
        <w:rPr>
          <w:rFonts w:ascii="仿宋_GB2312" w:hAnsi="宋体" w:eastAsia="仿宋_GB2312"/>
          <w:color w:val="auto"/>
          <w:sz w:val="28"/>
          <w:szCs w:val="28"/>
          <w:highlight w:val="none"/>
        </w:rPr>
      </w:pPr>
    </w:p>
    <w:p>
      <w:pPr>
        <w:snapToGrid w:val="0"/>
        <w:spacing w:beforeLines="50" w:line="360" w:lineRule="exact"/>
        <w:ind w:firstLine="4678" w:firstLineChars="1671"/>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法定代表人签字：</w:t>
      </w:r>
    </w:p>
    <w:p>
      <w:pPr>
        <w:snapToGrid w:val="0"/>
        <w:spacing w:beforeLines="50" w:after="50" w:line="360" w:lineRule="exact"/>
        <w:ind w:firstLine="4760" w:firstLineChars="17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投标人公章：</w:t>
      </w:r>
    </w:p>
    <w:p>
      <w:pPr>
        <w:snapToGrid w:val="0"/>
        <w:spacing w:beforeLines="50" w:after="50" w:line="360" w:lineRule="exact"/>
        <w:ind w:firstLine="280" w:firstLineChars="1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pPr>
        <w:pStyle w:val="2"/>
        <w:rPr>
          <w:rFonts w:ascii="仿宋_GB2312" w:hAnsi="宋体" w:eastAsia="仿宋_GB2312"/>
          <w:color w:val="auto"/>
          <w:sz w:val="28"/>
          <w:szCs w:val="28"/>
          <w:highlight w:val="none"/>
        </w:rPr>
      </w:pPr>
    </w:p>
    <w:p>
      <w:pPr>
        <w:pStyle w:val="2"/>
        <w:rPr>
          <w:rFonts w:ascii="仿宋_GB2312" w:hAnsi="宋体" w:eastAsia="仿宋_GB2312"/>
          <w:color w:val="auto"/>
          <w:sz w:val="28"/>
          <w:szCs w:val="28"/>
          <w:highlight w:val="none"/>
        </w:rPr>
      </w:pPr>
    </w:p>
    <w:p>
      <w:pPr>
        <w:pStyle w:val="2"/>
        <w:rPr>
          <w:rFonts w:ascii="仿宋_GB2312" w:hAnsi="宋体" w:eastAsia="仿宋_GB2312"/>
          <w:color w:val="auto"/>
          <w:sz w:val="28"/>
          <w:szCs w:val="28"/>
          <w:highlight w:val="none"/>
        </w:rPr>
      </w:pPr>
    </w:p>
    <w:p>
      <w:pPr>
        <w:snapToGrid w:val="0"/>
        <w:spacing w:before="50" w:afterLines="50" w:line="440" w:lineRule="exact"/>
        <w:jc w:val="left"/>
        <w:rPr>
          <w:rFonts w:ascii="仿宋_GB2312" w:hAnsi="宋体" w:eastAsia="仿宋_GB2312"/>
          <w:color w:val="auto"/>
          <w:sz w:val="28"/>
          <w:szCs w:val="28"/>
          <w:highlight w:val="none"/>
        </w:rPr>
      </w:pPr>
      <w:r>
        <w:rPr>
          <w:rFonts w:hint="eastAsia" w:ascii="仿宋_GB2312" w:hAnsi="宋体" w:eastAsia="仿宋_GB2312"/>
          <w:b/>
          <w:color w:val="auto"/>
          <w:sz w:val="28"/>
          <w:szCs w:val="28"/>
          <w:highlight w:val="none"/>
        </w:rPr>
        <w:t>2、法定代表人授权委托书格式：</w:t>
      </w:r>
    </w:p>
    <w:p>
      <w:pPr>
        <w:snapToGrid w:val="0"/>
        <w:spacing w:beforeLines="50" w:after="50" w:line="440" w:lineRule="exact"/>
        <w:jc w:val="center"/>
        <w:rPr>
          <w:rFonts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法定代表人授权委托书</w:t>
      </w:r>
    </w:p>
    <w:p>
      <w:pPr>
        <w:snapToGrid w:val="0"/>
        <w:spacing w:line="600" w:lineRule="exact"/>
        <w:rPr>
          <w:rFonts w:ascii="仿宋_GB2312" w:hAnsi="宋体" w:eastAsia="仿宋_GB2312"/>
          <w:b/>
          <w:bCs/>
          <w:color w:val="auto"/>
          <w:sz w:val="28"/>
          <w:szCs w:val="28"/>
          <w:highlight w:val="none"/>
        </w:rPr>
      </w:pPr>
      <w:r>
        <w:rPr>
          <w:rFonts w:hint="eastAsia" w:ascii="仿宋_GB2312" w:hAnsi="宋体" w:eastAsia="仿宋_GB2312"/>
          <w:bCs/>
          <w:color w:val="auto"/>
          <w:sz w:val="28"/>
          <w:szCs w:val="28"/>
          <w:highlight w:val="none"/>
        </w:rPr>
        <w:t>致：</w:t>
      </w:r>
      <w:r>
        <w:rPr>
          <w:rFonts w:hint="eastAsia" w:ascii="仿宋_GB2312" w:hAnsi="宋体" w:eastAsia="仿宋_GB2312"/>
          <w:color w:val="auto"/>
          <w:sz w:val="28"/>
          <w:szCs w:val="28"/>
          <w:highlight w:val="none"/>
          <w:u w:val="single"/>
        </w:rPr>
        <w:t xml:space="preserve">  （采购代理机构名称）   </w:t>
      </w:r>
      <w:r>
        <w:rPr>
          <w:rFonts w:hint="eastAsia" w:ascii="仿宋_GB2312" w:hAnsi="宋体" w:eastAsia="仿宋_GB2312"/>
          <w:color w:val="auto"/>
          <w:sz w:val="28"/>
          <w:szCs w:val="28"/>
          <w:highlight w:val="none"/>
        </w:rPr>
        <w:t>：</w:t>
      </w:r>
    </w:p>
    <w:p>
      <w:pPr>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我</w:t>
      </w:r>
      <w:r>
        <w:rPr>
          <w:rFonts w:hint="eastAsia" w:ascii="仿宋_GB2312" w:hAnsi="宋体" w:eastAsia="仿宋_GB2312"/>
          <w:color w:val="auto"/>
          <w:sz w:val="28"/>
          <w:szCs w:val="28"/>
          <w:highlight w:val="none"/>
          <w:u w:val="single"/>
        </w:rPr>
        <w:t xml:space="preserve">  （姓名）  </w:t>
      </w:r>
      <w:r>
        <w:rPr>
          <w:rFonts w:hint="eastAsia" w:ascii="仿宋_GB2312" w:hAnsi="宋体" w:eastAsia="仿宋_GB2312"/>
          <w:color w:val="auto"/>
          <w:sz w:val="28"/>
          <w:szCs w:val="28"/>
          <w:highlight w:val="none"/>
        </w:rPr>
        <w:t>系</w:t>
      </w:r>
      <w:r>
        <w:rPr>
          <w:rFonts w:hint="eastAsia" w:ascii="仿宋_GB2312" w:hAnsi="宋体" w:eastAsia="仿宋_GB2312"/>
          <w:color w:val="auto"/>
          <w:sz w:val="28"/>
          <w:szCs w:val="28"/>
          <w:highlight w:val="none"/>
          <w:u w:val="single"/>
        </w:rPr>
        <w:t xml:space="preserve">       （投标人名称）       </w:t>
      </w:r>
      <w:r>
        <w:rPr>
          <w:rFonts w:hint="eastAsia" w:ascii="仿宋_GB2312" w:hAnsi="宋体" w:eastAsia="仿宋_GB2312"/>
          <w:color w:val="auto"/>
          <w:sz w:val="28"/>
          <w:szCs w:val="28"/>
          <w:highlight w:val="none"/>
        </w:rPr>
        <w:t>的法定代表人，现授权委托本单位在职职工</w:t>
      </w:r>
      <w:r>
        <w:rPr>
          <w:rFonts w:hint="eastAsia" w:ascii="仿宋_GB2312" w:hAnsi="宋体" w:eastAsia="仿宋_GB2312"/>
          <w:color w:val="auto"/>
          <w:sz w:val="28"/>
          <w:szCs w:val="28"/>
          <w:highlight w:val="none"/>
          <w:u w:val="single"/>
        </w:rPr>
        <w:t xml:space="preserve">   （姓名）   </w:t>
      </w:r>
      <w:r>
        <w:rPr>
          <w:rFonts w:hint="eastAsia" w:ascii="仿宋_GB2312" w:hAnsi="宋体" w:eastAsia="仿宋_GB2312"/>
          <w:color w:val="auto"/>
          <w:sz w:val="28"/>
          <w:szCs w:val="28"/>
          <w:highlight w:val="none"/>
        </w:rPr>
        <w:t>以我方的名义参加项目（项目编号：）的投标活动，并代表我方全权办理针对上述项目的投标、开标、评标、签约等具体事务和签署相关文件。</w:t>
      </w:r>
    </w:p>
    <w:p>
      <w:pPr>
        <w:snapToGrid w:val="0"/>
        <w:spacing w:line="60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我方对被授权人的签字事项负全部责任。</w:t>
      </w:r>
    </w:p>
    <w:p>
      <w:pPr>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u w:val="single"/>
        </w:rPr>
        <w:t>在撤销授权的书面通知以前，本授权书一直有效。</w:t>
      </w:r>
      <w:r>
        <w:rPr>
          <w:rFonts w:hint="eastAsia" w:ascii="仿宋_GB2312" w:hAnsi="宋体" w:eastAsia="仿宋_GB2312"/>
          <w:color w:val="auto"/>
          <w:sz w:val="28"/>
          <w:szCs w:val="28"/>
          <w:highlight w:val="none"/>
        </w:rPr>
        <w:t>被授权人在授权书有效期内签署的所有文件不因授权的撤销而失效。</w:t>
      </w:r>
    </w:p>
    <w:p>
      <w:pPr>
        <w:snapToGrid w:val="0"/>
        <w:spacing w:line="600" w:lineRule="exact"/>
        <w:ind w:firstLine="48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被授权人无转委托权，特此委托。</w:t>
      </w:r>
    </w:p>
    <w:p>
      <w:pPr>
        <w:snapToGrid w:val="0"/>
        <w:spacing w:line="600" w:lineRule="exact"/>
        <w:rPr>
          <w:rFonts w:ascii="仿宋_GB2312" w:hAnsi="宋体" w:eastAsia="仿宋_GB2312"/>
          <w:color w:val="auto"/>
          <w:sz w:val="28"/>
          <w:szCs w:val="28"/>
          <w:highlight w:val="none"/>
        </w:rPr>
      </w:pPr>
    </w:p>
    <w:p>
      <w:pPr>
        <w:snapToGrid w:val="0"/>
        <w:spacing w:line="600" w:lineRule="exact"/>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被授权人签字：                 法定代表人签字：</w:t>
      </w:r>
    </w:p>
    <w:p>
      <w:pPr>
        <w:snapToGrid w:val="0"/>
        <w:spacing w:line="60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所在部门职务：                          职务：</w:t>
      </w:r>
    </w:p>
    <w:p>
      <w:pPr>
        <w:snapToGrid w:val="0"/>
        <w:spacing w:line="60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被授权人身份证号码：</w:t>
      </w:r>
    </w:p>
    <w:p>
      <w:pPr>
        <w:snapToGrid w:val="0"/>
        <w:spacing w:line="600" w:lineRule="exact"/>
        <w:rPr>
          <w:rFonts w:ascii="仿宋_GB2312" w:hAnsi="宋体" w:eastAsia="仿宋_GB2312"/>
          <w:color w:val="auto"/>
          <w:sz w:val="28"/>
          <w:szCs w:val="28"/>
          <w:highlight w:val="none"/>
        </w:rPr>
      </w:pPr>
    </w:p>
    <w:p>
      <w:pPr>
        <w:snapToGrid w:val="0"/>
        <w:spacing w:line="600" w:lineRule="exact"/>
        <w:ind w:firstLine="4900" w:firstLineChars="17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投标人公章：</w:t>
      </w:r>
    </w:p>
    <w:p>
      <w:pPr>
        <w:snapToGrid w:val="0"/>
        <w:spacing w:line="60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pPr>
        <w:snapToGrid w:val="0"/>
        <w:spacing w:line="600" w:lineRule="exact"/>
        <w:rPr>
          <w:rFonts w:ascii="仿宋_GB2312" w:hAnsi="宋体" w:eastAsia="仿宋_GB2312"/>
          <w:color w:val="auto"/>
          <w:sz w:val="28"/>
          <w:szCs w:val="28"/>
          <w:highlight w:val="none"/>
        </w:rPr>
      </w:pPr>
    </w:p>
    <w:p>
      <w:pPr>
        <w:snapToGrid w:val="0"/>
        <w:spacing w:line="60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附件：法定代表人及被授权人身份证复印件</w:t>
      </w:r>
    </w:p>
    <w:p>
      <w:pPr>
        <w:snapToGrid w:val="0"/>
        <w:spacing w:beforeLines="50" w:after="50" w:line="44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一、法定代表人身份证复印件</w:t>
      </w:r>
    </w:p>
    <w:p>
      <w:pPr>
        <w:snapToGrid w:val="0"/>
        <w:spacing w:beforeLines="50" w:after="50" w:line="44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二、被授权人身份证复印件</w:t>
      </w:r>
    </w:p>
    <w:p>
      <w:pPr>
        <w:snapToGrid w:val="0"/>
        <w:spacing w:before="50" w:afterLines="50" w:line="440" w:lineRule="exact"/>
        <w:jc w:val="left"/>
        <w:rPr>
          <w:rFonts w:ascii="仿宋_GB2312" w:hAnsi="宋体" w:eastAsia="仿宋_GB2312"/>
          <w:b/>
          <w:color w:val="auto"/>
          <w:sz w:val="28"/>
          <w:szCs w:val="28"/>
          <w:highlight w:val="none"/>
        </w:rPr>
      </w:pPr>
      <w:r>
        <w:rPr>
          <w:rFonts w:ascii="仿宋_GB2312" w:hAnsi="宋体" w:eastAsia="仿宋_GB2312"/>
          <w:color w:val="auto"/>
          <w:sz w:val="28"/>
          <w:szCs w:val="28"/>
          <w:highlight w:val="none"/>
        </w:rPr>
        <w:br w:type="page"/>
      </w:r>
      <w:r>
        <w:rPr>
          <w:rFonts w:hint="eastAsia" w:ascii="仿宋_GB2312" w:hAnsi="宋体" w:eastAsia="仿宋_GB2312"/>
          <w:b/>
          <w:color w:val="auto"/>
          <w:sz w:val="28"/>
          <w:szCs w:val="28"/>
          <w:highlight w:val="none"/>
        </w:rPr>
        <w:t>3、产品销售许可证复印件、安全生产许可证复印件等（如有）</w:t>
      </w:r>
    </w:p>
    <w:p>
      <w:pPr>
        <w:snapToGrid w:val="0"/>
        <w:spacing w:before="50" w:afterLines="50" w:line="440" w:lineRule="exact"/>
        <w:jc w:val="left"/>
        <w:rPr>
          <w:rFonts w:ascii="仿宋_GB2312" w:hAnsi="宋体" w:eastAsia="仿宋_GB2312"/>
          <w:b/>
          <w:color w:val="auto"/>
          <w:sz w:val="28"/>
          <w:szCs w:val="28"/>
          <w:highlight w:val="none"/>
        </w:rPr>
      </w:pPr>
    </w:p>
    <w:p>
      <w:pPr>
        <w:snapToGrid w:val="0"/>
        <w:spacing w:before="50" w:afterLines="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4、投标人的类似成功案例的业绩证明文件：</w:t>
      </w:r>
    </w:p>
    <w:p>
      <w:pPr>
        <w:pStyle w:val="43"/>
        <w:snapToGrid w:val="0"/>
        <w:ind w:left="480" w:hanging="480"/>
        <w:rPr>
          <w:rFonts w:ascii="仿宋_GB2312" w:hAnsi="宋体" w:eastAsia="仿宋_GB2312"/>
          <w:color w:val="auto"/>
          <w:sz w:val="24"/>
          <w:highlight w:val="none"/>
        </w:rPr>
      </w:pPr>
    </w:p>
    <w:p>
      <w:pPr>
        <w:pStyle w:val="43"/>
        <w:snapToGrid w:val="0"/>
        <w:ind w:left="480" w:hanging="480"/>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投标人同类项目实施情况一览表格式： </w:t>
      </w:r>
    </w:p>
    <w:p>
      <w:pPr>
        <w:pStyle w:val="43"/>
        <w:snapToGrid w:val="0"/>
        <w:ind w:left="480" w:hanging="480"/>
        <w:rPr>
          <w:rFonts w:ascii="仿宋_GB2312" w:hAnsi="宋体" w:eastAsia="仿宋_GB2312"/>
          <w:color w:val="auto"/>
          <w:sz w:val="24"/>
          <w:highlight w:val="none"/>
        </w:rPr>
      </w:pPr>
    </w:p>
    <w:tbl>
      <w:tblPr>
        <w:tblStyle w:val="59"/>
        <w:tblW w:w="96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866"/>
        <w:gridCol w:w="654"/>
        <w:gridCol w:w="720"/>
        <w:gridCol w:w="1080"/>
        <w:gridCol w:w="816"/>
        <w:gridCol w:w="720"/>
        <w:gridCol w:w="720"/>
        <w:gridCol w:w="1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采购单位名称</w:t>
            </w:r>
          </w:p>
        </w:tc>
        <w:tc>
          <w:tcPr>
            <w:tcW w:w="1866"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设备或项目名称</w:t>
            </w:r>
          </w:p>
        </w:tc>
        <w:tc>
          <w:tcPr>
            <w:tcW w:w="65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采购</w:t>
            </w:r>
          </w:p>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数量</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单价</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合同</w:t>
            </w:r>
          </w:p>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金额</w:t>
            </w:r>
          </w:p>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（万元）</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附件页码</w:t>
            </w:r>
          </w:p>
        </w:tc>
        <w:tc>
          <w:tcPr>
            <w:tcW w:w="134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采购单位联系人及</w:t>
            </w:r>
          </w:p>
          <w:p>
            <w:pPr>
              <w:snapToGrid w:val="0"/>
              <w:spacing w:line="240" w:lineRule="exact"/>
              <w:jc w:val="center"/>
              <w:rPr>
                <w:rFonts w:ascii="仿宋_GB2312" w:hAnsi="宋体" w:eastAsia="仿宋_GB2312"/>
                <w:color w:val="auto"/>
                <w:sz w:val="18"/>
                <w:szCs w:val="20"/>
                <w:highlight w:val="none"/>
              </w:rPr>
            </w:pPr>
            <w:r>
              <w:rPr>
                <w:rFonts w:hint="eastAsia" w:ascii="仿宋_GB2312" w:hAnsi="宋体" w:eastAsia="仿宋_GB2312"/>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Cs w:val="21"/>
                <w:highlight w:val="none"/>
              </w:rPr>
            </w:pPr>
          </w:p>
        </w:tc>
        <w:tc>
          <w:tcPr>
            <w:tcW w:w="18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Cs w:val="21"/>
                <w:highlight w:val="none"/>
              </w:rPr>
            </w:pPr>
          </w:p>
        </w:tc>
        <w:tc>
          <w:tcPr>
            <w:tcW w:w="6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Cs w:val="21"/>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Cs w:val="21"/>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合同</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验收报告</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用户评价</w:t>
            </w:r>
          </w:p>
        </w:tc>
        <w:tc>
          <w:tcPr>
            <w:tcW w:w="13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 w:val="1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72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86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65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81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34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72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86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65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81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34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72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86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65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81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c>
          <w:tcPr>
            <w:tcW w:w="134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_GB2312" w:hAnsi="宋体" w:eastAsia="仿宋_GB2312"/>
                <w:color w:val="auto"/>
                <w:sz w:val="18"/>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86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65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81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34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7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86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65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81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34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86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65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81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34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86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65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81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c>
          <w:tcPr>
            <w:tcW w:w="134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4"/>
                <w:szCs w:val="20"/>
                <w:highlight w:val="none"/>
              </w:rPr>
            </w:pPr>
          </w:p>
        </w:tc>
      </w:tr>
    </w:tbl>
    <w:p>
      <w:pPr>
        <w:pStyle w:val="16"/>
        <w:snapToGrid w:val="0"/>
        <w:rPr>
          <w:rFonts w:ascii="仿宋_GB2312" w:hAnsi="宋体" w:eastAsia="仿宋_GB2312"/>
          <w:color w:val="auto"/>
          <w:sz w:val="24"/>
          <w:highlight w:val="none"/>
        </w:rPr>
      </w:pPr>
      <w:r>
        <w:rPr>
          <w:rFonts w:hint="eastAsia" w:ascii="仿宋_GB2312" w:hAnsi="宋体" w:eastAsia="仿宋_GB2312"/>
          <w:color w:val="auto"/>
          <w:sz w:val="24"/>
          <w:highlight w:val="none"/>
        </w:rPr>
        <w:t>注：投标人同类项目合同复印件、用户验收报告、用户评价意见格式自拟</w:t>
      </w:r>
    </w:p>
    <w:p>
      <w:pPr>
        <w:rPr>
          <w:color w:val="auto"/>
          <w:highlight w:val="none"/>
        </w:rPr>
      </w:pPr>
    </w:p>
    <w:p>
      <w:pPr>
        <w:rPr>
          <w:color w:val="auto"/>
          <w:highlight w:val="none"/>
        </w:rPr>
      </w:pPr>
    </w:p>
    <w:p>
      <w:pPr>
        <w:rPr>
          <w:color w:val="auto"/>
          <w:highlight w:val="none"/>
        </w:rPr>
      </w:pPr>
    </w:p>
    <w:p>
      <w:pPr>
        <w:snapToGrid w:val="0"/>
        <w:spacing w:before="50" w:after="50" w:line="440" w:lineRule="exact"/>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法定代表人或委托代理人签字：</w:t>
      </w:r>
    </w:p>
    <w:p>
      <w:pPr>
        <w:snapToGrid w:val="0"/>
        <w:spacing w:before="50" w:afterLines="50" w:line="44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投标人盖章：</w:t>
      </w:r>
    </w:p>
    <w:p>
      <w:pPr>
        <w:snapToGrid w:val="0"/>
        <w:spacing w:before="50" w:afterLines="50" w:line="44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日期：</w:t>
      </w:r>
    </w:p>
    <w:p>
      <w:pPr>
        <w:snapToGrid w:val="0"/>
        <w:spacing w:before="50" w:afterLines="50" w:line="440" w:lineRule="exact"/>
        <w:jc w:val="left"/>
        <w:rPr>
          <w:rFonts w:ascii="仿宋_GB2312" w:hAnsi="宋体" w:eastAsia="仿宋_GB2312"/>
          <w:b/>
          <w:color w:val="auto"/>
          <w:sz w:val="28"/>
          <w:szCs w:val="28"/>
          <w:highlight w:val="none"/>
        </w:rPr>
      </w:pPr>
    </w:p>
    <w:p>
      <w:pPr>
        <w:snapToGrid w:val="0"/>
        <w:spacing w:before="50" w:afterLines="50" w:line="440" w:lineRule="exact"/>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pStyle w:val="2"/>
        <w:rPr>
          <w:color w:val="auto"/>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5、招标文件列明的其他证明文件</w:t>
      </w:r>
    </w:p>
    <w:p>
      <w:pPr>
        <w:snapToGrid w:val="0"/>
        <w:spacing w:before="50"/>
        <w:jc w:val="left"/>
        <w:rPr>
          <w:rFonts w:ascii="仿宋_GB2312" w:hAnsi="宋体" w:eastAsia="仿宋_GB2312"/>
          <w:color w:val="auto"/>
          <w:sz w:val="28"/>
          <w:szCs w:val="28"/>
          <w:highlight w:val="none"/>
        </w:rPr>
      </w:pPr>
    </w:p>
    <w:p>
      <w:pPr>
        <w:snapToGrid w:val="0"/>
        <w:spacing w:before="50"/>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5.1主要设备、材料的原厂商出具的文件及相关资料等</w:t>
      </w:r>
    </w:p>
    <w:p>
      <w:pPr>
        <w:snapToGrid w:val="0"/>
        <w:spacing w:before="50"/>
        <w:jc w:val="left"/>
        <w:rPr>
          <w:rFonts w:ascii="仿宋_GB2312" w:hAnsi="宋体" w:eastAsia="仿宋_GB2312"/>
          <w:color w:val="auto"/>
          <w:sz w:val="28"/>
          <w:szCs w:val="28"/>
          <w:highlight w:val="none"/>
        </w:rPr>
      </w:pPr>
    </w:p>
    <w:p>
      <w:pPr>
        <w:snapToGrid w:val="0"/>
        <w:spacing w:before="50" w:afterLines="50"/>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5.2距采购人最近或者能为本项目提供最优服务的网点情况表</w:t>
      </w:r>
    </w:p>
    <w:p>
      <w:pPr>
        <w:pStyle w:val="43"/>
        <w:snapToGrid w:val="0"/>
        <w:ind w:left="480" w:hanging="480"/>
        <w:rPr>
          <w:rFonts w:ascii="仿宋_GB2312" w:hAnsi="宋体" w:eastAsia="仿宋_GB2312"/>
          <w:color w:val="auto"/>
          <w:sz w:val="24"/>
          <w:highlight w:val="none"/>
        </w:rPr>
      </w:pPr>
    </w:p>
    <w:tbl>
      <w:tblPr>
        <w:tblStyle w:val="59"/>
        <w:tblW w:w="89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9"/>
        <w:gridCol w:w="1624"/>
        <w:gridCol w:w="191"/>
        <w:gridCol w:w="1440"/>
        <w:gridCol w:w="889"/>
        <w:gridCol w:w="1436"/>
        <w:gridCol w:w="12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服务网点名称</w:t>
            </w:r>
          </w:p>
        </w:tc>
        <w:tc>
          <w:tcPr>
            <w:tcW w:w="5580"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vMerge w:val="restart"/>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地址</w:t>
            </w:r>
          </w:p>
        </w:tc>
        <w:tc>
          <w:tcPr>
            <w:tcW w:w="5580"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注册资本金</w:t>
            </w:r>
          </w:p>
        </w:tc>
        <w:tc>
          <w:tcPr>
            <w:tcW w:w="162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2520" w:type="dxa"/>
            <w:gridSpan w:val="3"/>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其中：投标人出资比例</w:t>
            </w:r>
          </w:p>
        </w:tc>
        <w:tc>
          <w:tcPr>
            <w:tcW w:w="143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员工总人数</w:t>
            </w:r>
          </w:p>
        </w:tc>
        <w:tc>
          <w:tcPr>
            <w:tcW w:w="162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2520" w:type="dxa"/>
            <w:gridSpan w:val="3"/>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left="60"/>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其中：技术人员数</w:t>
            </w:r>
          </w:p>
        </w:tc>
        <w:tc>
          <w:tcPr>
            <w:tcW w:w="143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经营期限</w:t>
            </w:r>
          </w:p>
        </w:tc>
        <w:tc>
          <w:tcPr>
            <w:tcW w:w="5580"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售后服务协议</w:t>
            </w:r>
          </w:p>
        </w:tc>
        <w:tc>
          <w:tcPr>
            <w:tcW w:w="5580"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售后服务内容</w:t>
            </w:r>
          </w:p>
        </w:tc>
        <w:tc>
          <w:tcPr>
            <w:tcW w:w="5580"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工作业绩</w:t>
            </w:r>
          </w:p>
        </w:tc>
        <w:tc>
          <w:tcPr>
            <w:tcW w:w="5580"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服务承诺</w:t>
            </w:r>
          </w:p>
        </w:tc>
        <w:tc>
          <w:tcPr>
            <w:tcW w:w="5580"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业务咨询电话</w:t>
            </w:r>
          </w:p>
        </w:tc>
        <w:tc>
          <w:tcPr>
            <w:tcW w:w="1815" w:type="dxa"/>
            <w:gridSpan w:val="2"/>
            <w:tcBorders>
              <w:top w:val="single" w:color="auto" w:sz="4" w:space="0"/>
              <w:left w:val="single" w:color="auto" w:sz="4" w:space="0"/>
              <w:bottom w:val="single" w:color="auto" w:sz="4" w:space="0"/>
              <w:right w:val="single" w:color="auto" w:sz="2"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440" w:type="dxa"/>
            <w:tcBorders>
              <w:top w:val="single" w:color="auto" w:sz="4" w:space="0"/>
              <w:left w:val="single" w:color="auto" w:sz="2" w:space="0"/>
              <w:bottom w:val="single" w:color="auto" w:sz="4" w:space="0"/>
              <w:right w:val="single" w:color="auto" w:sz="2" w:space="0"/>
            </w:tcBorders>
          </w:tcPr>
          <w:p>
            <w:pPr>
              <w:snapToGrid w:val="0"/>
              <w:spacing w:before="50" w:afterLines="50" w:line="400" w:lineRule="exact"/>
              <w:ind w:firstLine="280" w:firstLineChars="100"/>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传 真</w:t>
            </w:r>
          </w:p>
        </w:tc>
        <w:tc>
          <w:tcPr>
            <w:tcW w:w="2325" w:type="dxa"/>
            <w:gridSpan w:val="2"/>
            <w:tcBorders>
              <w:top w:val="single" w:color="auto" w:sz="4" w:space="0"/>
              <w:left w:val="single" w:color="auto" w:sz="2" w:space="0"/>
              <w:bottom w:val="single" w:color="auto" w:sz="4" w:space="0"/>
              <w:right w:val="single" w:color="auto" w:sz="2"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2"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负责人</w:t>
            </w:r>
          </w:p>
        </w:tc>
        <w:tc>
          <w:tcPr>
            <w:tcW w:w="1815" w:type="dxa"/>
            <w:gridSpan w:val="2"/>
            <w:tcBorders>
              <w:top w:val="single" w:color="auto" w:sz="4" w:space="0"/>
              <w:left w:val="single" w:color="auto" w:sz="4" w:space="0"/>
              <w:bottom w:val="single" w:color="auto" w:sz="4" w:space="0"/>
              <w:right w:val="single" w:color="auto" w:sz="2"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440" w:type="dxa"/>
            <w:tcBorders>
              <w:top w:val="single" w:color="auto" w:sz="4" w:space="0"/>
              <w:left w:val="single" w:color="auto" w:sz="2" w:space="0"/>
              <w:bottom w:val="single" w:color="auto" w:sz="4" w:space="0"/>
              <w:right w:val="single" w:color="auto" w:sz="2" w:space="0"/>
            </w:tcBorders>
          </w:tcPr>
          <w:p>
            <w:pPr>
              <w:snapToGrid w:val="0"/>
              <w:spacing w:before="50" w:afterLines="50" w:line="40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联系电话</w:t>
            </w:r>
          </w:p>
        </w:tc>
        <w:tc>
          <w:tcPr>
            <w:tcW w:w="2325" w:type="dxa"/>
            <w:gridSpan w:val="2"/>
            <w:tcBorders>
              <w:top w:val="single" w:color="auto" w:sz="4" w:space="0"/>
              <w:left w:val="single" w:color="auto" w:sz="2"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c>
          <w:tcPr>
            <w:tcW w:w="12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_GB2312" w:hAnsi="宋体" w:eastAsia="仿宋_GB2312"/>
                <w:color w:val="auto"/>
                <w:sz w:val="28"/>
                <w:szCs w:val="28"/>
                <w:highlight w:val="none"/>
              </w:rPr>
            </w:pPr>
          </w:p>
        </w:tc>
      </w:tr>
    </w:tbl>
    <w:p>
      <w:pPr>
        <w:pStyle w:val="16"/>
        <w:snapToGrid w:val="0"/>
        <w:rPr>
          <w:rFonts w:ascii="仿宋_GB2312" w:hAnsi="宋体" w:eastAsia="仿宋_GB2312"/>
          <w:color w:val="auto"/>
          <w:sz w:val="28"/>
          <w:szCs w:val="28"/>
          <w:highlight w:val="none"/>
        </w:rPr>
      </w:pPr>
    </w:p>
    <w:p>
      <w:pPr>
        <w:snapToGrid w:val="0"/>
        <w:spacing w:before="50" w:after="50" w:line="440" w:lineRule="exact"/>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法定代表人或委托代理人签字：</w:t>
      </w:r>
    </w:p>
    <w:p>
      <w:pPr>
        <w:snapToGrid w:val="0"/>
        <w:spacing w:before="50" w:afterLines="50" w:line="44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投标人盖章：</w:t>
      </w:r>
    </w:p>
    <w:p>
      <w:pPr>
        <w:snapToGrid w:val="0"/>
        <w:spacing w:before="50" w:afterLines="50" w:line="440" w:lineRule="exact"/>
        <w:jc w:val="left"/>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日期：</w:t>
      </w:r>
    </w:p>
    <w:p>
      <w:pPr>
        <w:snapToGrid w:val="0"/>
        <w:spacing w:before="50" w:afterLines="50"/>
        <w:jc w:val="left"/>
        <w:rPr>
          <w:rFonts w:ascii="仿宋_GB2312" w:hAnsi="宋体" w:eastAsia="仿宋_GB2312"/>
          <w:color w:val="auto"/>
          <w:sz w:val="28"/>
          <w:szCs w:val="28"/>
          <w:highlight w:val="none"/>
        </w:rPr>
      </w:pPr>
    </w:p>
    <w:p>
      <w:pPr>
        <w:snapToGrid w:val="0"/>
        <w:spacing w:before="50" w:afterLines="50"/>
        <w:jc w:val="left"/>
        <w:rPr>
          <w:rFonts w:ascii="仿宋_GB2312" w:hAnsi="宋体" w:eastAsia="仿宋_GB2312"/>
          <w:color w:val="auto"/>
          <w:sz w:val="28"/>
          <w:szCs w:val="28"/>
          <w:highlight w:val="none"/>
        </w:rPr>
      </w:pPr>
    </w:p>
    <w:p>
      <w:pPr>
        <w:snapToGrid w:val="0"/>
        <w:spacing w:before="50" w:afterLines="50"/>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5.3其他证明文件（招标文件有规定的，据实提供）</w:t>
      </w:r>
    </w:p>
    <w:p>
      <w:pPr>
        <w:snapToGrid w:val="0"/>
        <w:spacing w:before="50" w:afterLines="50"/>
        <w:jc w:val="left"/>
        <w:rPr>
          <w:rFonts w:ascii="仿宋_GB2312" w:hAnsi="宋体" w:eastAsia="仿宋_GB2312"/>
          <w:b/>
          <w:color w:val="auto"/>
          <w:sz w:val="28"/>
          <w:szCs w:val="28"/>
          <w:highlight w:val="none"/>
        </w:rPr>
      </w:pPr>
      <w:r>
        <w:rPr>
          <w:rFonts w:ascii="仿宋_GB2312" w:hAnsi="宋体" w:eastAsia="仿宋_GB2312"/>
          <w:b/>
          <w:color w:val="auto"/>
          <w:sz w:val="28"/>
          <w:szCs w:val="28"/>
          <w:highlight w:val="none"/>
        </w:rPr>
        <w:br w:type="page"/>
      </w:r>
      <w:r>
        <w:rPr>
          <w:rFonts w:hint="eastAsia" w:ascii="仿宋_GB2312" w:hAnsi="宋体" w:eastAsia="仿宋_GB2312"/>
          <w:b/>
          <w:color w:val="auto"/>
          <w:sz w:val="28"/>
          <w:szCs w:val="28"/>
          <w:highlight w:val="none"/>
        </w:rPr>
        <w:t>6、节能环保等方面的资质证书或文件（复印件）</w:t>
      </w:r>
    </w:p>
    <w:p>
      <w:pPr>
        <w:snapToGrid w:val="0"/>
        <w:spacing w:before="50" w:afterLines="50"/>
        <w:jc w:val="left"/>
        <w:rPr>
          <w:rFonts w:ascii="仿宋_GB2312" w:hAnsi="宋体" w:eastAsia="仿宋_GB2312"/>
          <w:b/>
          <w:color w:val="auto"/>
          <w:sz w:val="28"/>
          <w:szCs w:val="28"/>
          <w:highlight w:val="none"/>
        </w:rPr>
      </w:pPr>
    </w:p>
    <w:p>
      <w:pPr>
        <w:snapToGrid w:val="0"/>
        <w:spacing w:before="50" w:afterLines="50"/>
        <w:jc w:val="left"/>
        <w:rPr>
          <w:rFonts w:ascii="仿宋_GB2312" w:hAnsi="宋体" w:eastAsia="仿宋_GB2312"/>
          <w:b/>
          <w:color w:val="auto"/>
          <w:sz w:val="28"/>
          <w:szCs w:val="28"/>
          <w:highlight w:val="none"/>
        </w:rPr>
      </w:pPr>
    </w:p>
    <w:p>
      <w:pPr>
        <w:snapToGrid w:val="0"/>
        <w:spacing w:before="50" w:afterLines="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7、投标人的信誉、荣誉证书或文件（复印件）</w:t>
      </w:r>
    </w:p>
    <w:p>
      <w:pPr>
        <w:snapToGrid w:val="0"/>
        <w:spacing w:before="50" w:afterLines="50"/>
        <w:jc w:val="left"/>
        <w:rPr>
          <w:rFonts w:ascii="仿宋_GB2312" w:hAnsi="宋体" w:eastAsia="仿宋_GB2312"/>
          <w:b/>
          <w:color w:val="auto"/>
          <w:sz w:val="28"/>
          <w:szCs w:val="28"/>
          <w:highlight w:val="none"/>
        </w:rPr>
      </w:pPr>
    </w:p>
    <w:p>
      <w:pPr>
        <w:snapToGrid w:val="0"/>
        <w:spacing w:before="50" w:afterLines="50"/>
        <w:jc w:val="left"/>
        <w:rPr>
          <w:rFonts w:ascii="仿宋_GB2312" w:hAnsi="宋体" w:eastAsia="仿宋_GB2312"/>
          <w:b/>
          <w:color w:val="auto"/>
          <w:sz w:val="28"/>
          <w:szCs w:val="28"/>
          <w:highlight w:val="none"/>
        </w:rPr>
      </w:pPr>
    </w:p>
    <w:p>
      <w:pPr>
        <w:snapToGrid w:val="0"/>
        <w:spacing w:before="50" w:afterLines="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8、投标人质量管理和环境认证体系等方面的认证证书（复印件）</w:t>
      </w:r>
    </w:p>
    <w:p>
      <w:pPr>
        <w:snapToGrid w:val="0"/>
        <w:spacing w:before="50" w:afterLines="50"/>
        <w:jc w:val="left"/>
        <w:rPr>
          <w:rFonts w:ascii="仿宋_GB2312" w:hAnsi="宋体" w:eastAsia="仿宋_GB2312"/>
          <w:b/>
          <w:color w:val="auto"/>
          <w:sz w:val="28"/>
          <w:szCs w:val="28"/>
          <w:highlight w:val="none"/>
        </w:rPr>
      </w:pPr>
    </w:p>
    <w:p>
      <w:pPr>
        <w:snapToGrid w:val="0"/>
        <w:spacing w:before="50" w:afterLines="50"/>
        <w:jc w:val="left"/>
        <w:rPr>
          <w:rFonts w:ascii="仿宋_GB2312" w:hAnsi="宋体" w:eastAsia="仿宋_GB2312"/>
          <w:b/>
          <w:color w:val="auto"/>
          <w:sz w:val="28"/>
          <w:szCs w:val="28"/>
          <w:highlight w:val="none"/>
        </w:rPr>
      </w:pPr>
    </w:p>
    <w:p>
      <w:pPr>
        <w:snapToGrid w:val="0"/>
        <w:spacing w:before="50" w:afterLines="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9、投标人认为可以证明其能力或业绩的其他材料（格式自拟）</w:t>
      </w:r>
    </w:p>
    <w:p>
      <w:pPr>
        <w:snapToGrid w:val="0"/>
        <w:spacing w:before="50" w:afterLines="50"/>
        <w:jc w:val="left"/>
        <w:rPr>
          <w:rFonts w:ascii="仿宋_GB2312" w:hAnsi="宋体" w:eastAsia="仿宋_GB2312"/>
          <w:b/>
          <w:color w:val="auto"/>
          <w:sz w:val="28"/>
          <w:szCs w:val="28"/>
          <w:highlight w:val="none"/>
        </w:rPr>
      </w:pPr>
    </w:p>
    <w:p>
      <w:pPr>
        <w:snapToGrid w:val="0"/>
        <w:spacing w:before="50" w:afterLines="50"/>
        <w:jc w:val="left"/>
        <w:rPr>
          <w:rFonts w:ascii="仿宋_GB2312" w:hAnsi="宋体" w:eastAsia="仿宋_GB2312"/>
          <w:b/>
          <w:color w:val="auto"/>
          <w:sz w:val="28"/>
          <w:szCs w:val="28"/>
          <w:highlight w:val="none"/>
        </w:rPr>
      </w:pPr>
    </w:p>
    <w:p>
      <w:pPr>
        <w:snapToGrid w:val="0"/>
        <w:spacing w:before="50" w:afterLines="50"/>
        <w:ind w:left="548" w:hanging="548" w:hangingChars="195"/>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10、投标人情况介绍（主要产品、技术力量、生产规模、经营业绩等，格式自拟）</w:t>
      </w:r>
    </w:p>
    <w:p>
      <w:pPr>
        <w:snapToGrid w:val="0"/>
        <w:spacing w:before="50" w:afterLines="50"/>
        <w:jc w:val="left"/>
        <w:rPr>
          <w:rFonts w:ascii="仿宋_GB2312" w:hAnsi="宋体" w:eastAsia="仿宋_GB2312"/>
          <w:b/>
          <w:color w:val="auto"/>
          <w:sz w:val="24"/>
          <w:szCs w:val="20"/>
          <w:highlight w:val="none"/>
        </w:rPr>
      </w:pPr>
    </w:p>
    <w:p>
      <w:pPr>
        <w:snapToGrid w:val="0"/>
        <w:spacing w:before="50" w:afterLines="50"/>
        <w:ind w:left="468" w:hanging="468" w:hangingChars="195"/>
        <w:jc w:val="left"/>
        <w:rPr>
          <w:rFonts w:ascii="仿宋_GB2312" w:hAnsi="宋体" w:eastAsia="仿宋_GB2312"/>
          <w:b/>
          <w:color w:val="auto"/>
          <w:sz w:val="28"/>
          <w:szCs w:val="28"/>
          <w:highlight w:val="none"/>
        </w:rPr>
      </w:pPr>
      <w:r>
        <w:rPr>
          <w:rFonts w:ascii="仿宋_GB2312" w:hAnsi="宋体" w:eastAsia="仿宋_GB2312"/>
          <w:color w:val="auto"/>
          <w:sz w:val="24"/>
          <w:szCs w:val="20"/>
          <w:highlight w:val="none"/>
        </w:rPr>
        <w:br w:type="page"/>
      </w:r>
      <w:r>
        <w:rPr>
          <w:rFonts w:hint="eastAsia" w:ascii="仿宋_GB2312" w:hAnsi="宋体" w:eastAsia="仿宋_GB2312"/>
          <w:b/>
          <w:color w:val="auto"/>
          <w:sz w:val="28"/>
          <w:szCs w:val="28"/>
          <w:highlight w:val="none"/>
        </w:rPr>
        <w:t>11、中小企业声明函</w:t>
      </w:r>
    </w:p>
    <w:p>
      <w:pPr>
        <w:shd w:val="clear" w:color="auto" w:fill="FFFFFF"/>
        <w:spacing w:after="240" w:line="360" w:lineRule="atLeast"/>
        <w:jc w:val="center"/>
        <w:rPr>
          <w:rFonts w:ascii="仿宋_GB2312" w:hAnsi="宋体" w:eastAsia="仿宋_GB2312" w:cs="宋体"/>
          <w:color w:val="auto"/>
          <w:kern w:val="0"/>
          <w:sz w:val="28"/>
          <w:szCs w:val="28"/>
          <w:highlight w:val="none"/>
        </w:rPr>
      </w:pPr>
    </w:p>
    <w:p>
      <w:pPr>
        <w:shd w:val="clear" w:color="auto" w:fill="FFFFFF"/>
        <w:spacing w:after="240" w:line="360" w:lineRule="atLeast"/>
        <w:jc w:val="center"/>
        <w:rPr>
          <w:rFonts w:ascii="仿宋_GB2312" w:hAnsi="宋体" w:eastAsia="仿宋_GB2312" w:cs="宋体"/>
          <w:b/>
          <w:color w:val="auto"/>
          <w:kern w:val="0"/>
          <w:sz w:val="28"/>
          <w:szCs w:val="28"/>
          <w:highlight w:val="none"/>
        </w:rPr>
      </w:pPr>
      <w:r>
        <w:rPr>
          <w:rFonts w:hint="eastAsia" w:ascii="仿宋_GB2312" w:hAnsi="宋体" w:eastAsia="仿宋_GB2312" w:cs="宋体"/>
          <w:b/>
          <w:color w:val="auto"/>
          <w:kern w:val="0"/>
          <w:sz w:val="28"/>
          <w:szCs w:val="28"/>
          <w:highlight w:val="none"/>
        </w:rPr>
        <w:t>中小企业声明函</w:t>
      </w:r>
    </w:p>
    <w:p>
      <w:pPr>
        <w:widowControl/>
        <w:shd w:val="clear" w:color="auto" w:fill="FFFFFF"/>
        <w:spacing w:after="240" w:line="440" w:lineRule="exact"/>
        <w:ind w:firstLine="480"/>
        <w:jc w:val="left"/>
        <w:rPr>
          <w:rFonts w:ascii="仿宋_GB2312" w:hAnsi="宋体" w:eastAsia="仿宋_GB2312" w:cs="宋体"/>
          <w:color w:val="auto"/>
          <w:kern w:val="0"/>
          <w:sz w:val="28"/>
          <w:szCs w:val="28"/>
          <w:highlight w:val="none"/>
        </w:rPr>
      </w:pPr>
      <w:r>
        <w:rPr>
          <w:rFonts w:hint="eastAsia" w:ascii="仿宋_GB2312" w:hAnsi="宋体" w:eastAsia="仿宋_GB2312" w:cs="宋体"/>
          <w:color w:val="auto"/>
          <w:kern w:val="0"/>
          <w:sz w:val="28"/>
          <w:szCs w:val="28"/>
          <w:highlight w:val="none"/>
        </w:rPr>
        <w:t>本公司郑重声明，根据《政府采购促进中小企业发展暂行办法》（财库[2011]181号）的规定，本公司为______（请填写：中型、小型、微型）企业。即，本公司同时满足以下条件：</w:t>
      </w:r>
    </w:p>
    <w:p>
      <w:pPr>
        <w:widowControl/>
        <w:shd w:val="clear" w:color="auto" w:fill="FFFFFF"/>
        <w:spacing w:after="240" w:line="440" w:lineRule="exact"/>
        <w:ind w:firstLine="480"/>
        <w:jc w:val="left"/>
        <w:rPr>
          <w:rFonts w:ascii="仿宋_GB2312" w:hAnsi="宋体" w:eastAsia="仿宋_GB2312" w:cs="宋体"/>
          <w:color w:val="auto"/>
          <w:kern w:val="0"/>
          <w:sz w:val="28"/>
          <w:szCs w:val="28"/>
          <w:highlight w:val="none"/>
        </w:rPr>
      </w:pPr>
      <w:r>
        <w:rPr>
          <w:rFonts w:hint="eastAsia" w:ascii="仿宋_GB2312" w:hAnsi="宋体" w:eastAsia="仿宋_GB2312" w:cs="宋体"/>
          <w:color w:val="auto"/>
          <w:kern w:val="0"/>
          <w:sz w:val="28"/>
          <w:szCs w:val="28"/>
          <w:highlight w:val="none"/>
        </w:rPr>
        <w:t>1.根据《工业和信息化部、国家统计局、国家发展和改革委员会、财政部关于印发中小企业划型标准规定的通知》（工信部联企业[2011]300号）规定的划分标准，本公司为______（请填写：中型、小型、微型）企业。</w:t>
      </w:r>
    </w:p>
    <w:p>
      <w:pPr>
        <w:widowControl/>
        <w:shd w:val="clear" w:color="auto" w:fill="FFFFFF"/>
        <w:spacing w:after="240" w:line="440" w:lineRule="exact"/>
        <w:ind w:firstLine="480"/>
        <w:jc w:val="left"/>
        <w:rPr>
          <w:rFonts w:ascii="仿宋_GB2312" w:hAnsi="宋体" w:eastAsia="仿宋_GB2312" w:cs="宋体"/>
          <w:color w:val="auto"/>
          <w:kern w:val="0"/>
          <w:sz w:val="28"/>
          <w:szCs w:val="28"/>
          <w:highlight w:val="none"/>
        </w:rPr>
      </w:pPr>
      <w:r>
        <w:rPr>
          <w:rFonts w:hint="eastAsia" w:ascii="仿宋_GB2312" w:hAnsi="宋体" w:eastAsia="仿宋_GB2312" w:cs="宋体"/>
          <w:color w:val="auto"/>
          <w:kern w:val="0"/>
          <w:sz w:val="28"/>
          <w:szCs w:val="28"/>
          <w:highlight w:val="none"/>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widowControl/>
        <w:shd w:val="clear" w:color="auto" w:fill="FFFFFF"/>
        <w:spacing w:after="240" w:line="440" w:lineRule="exact"/>
        <w:ind w:firstLine="480"/>
        <w:jc w:val="left"/>
        <w:rPr>
          <w:rFonts w:ascii="仿宋_GB2312" w:hAnsi="宋体" w:eastAsia="仿宋_GB2312" w:cs="宋体"/>
          <w:color w:val="auto"/>
          <w:kern w:val="0"/>
          <w:sz w:val="28"/>
          <w:szCs w:val="28"/>
          <w:highlight w:val="none"/>
        </w:rPr>
      </w:pPr>
      <w:r>
        <w:rPr>
          <w:rFonts w:hint="eastAsia" w:ascii="仿宋_GB2312" w:hAnsi="宋体" w:eastAsia="仿宋_GB2312" w:cs="宋体"/>
          <w:color w:val="auto"/>
          <w:kern w:val="0"/>
          <w:sz w:val="28"/>
          <w:szCs w:val="28"/>
          <w:highlight w:val="none"/>
        </w:rPr>
        <w:t>本公司对上述声明的真实性负责。如有虚假，将依法承担相应责任。</w:t>
      </w:r>
    </w:p>
    <w:p>
      <w:pPr>
        <w:widowControl/>
        <w:shd w:val="clear" w:color="auto" w:fill="FFFFFF"/>
        <w:spacing w:after="240" w:line="440" w:lineRule="exact"/>
        <w:ind w:firstLine="480"/>
        <w:jc w:val="left"/>
        <w:rPr>
          <w:rFonts w:ascii="仿宋_GB2312" w:hAnsi="宋体" w:eastAsia="仿宋_GB2312" w:cs="宋体"/>
          <w:color w:val="auto"/>
          <w:kern w:val="0"/>
          <w:sz w:val="28"/>
          <w:szCs w:val="28"/>
          <w:highlight w:val="none"/>
        </w:rPr>
      </w:pPr>
      <w:r>
        <w:rPr>
          <w:rFonts w:hint="eastAsia" w:ascii="宋体" w:hAnsi="宋体" w:eastAsia="仿宋_GB2312" w:cs="宋体"/>
          <w:color w:val="auto"/>
          <w:kern w:val="0"/>
          <w:sz w:val="28"/>
          <w:szCs w:val="28"/>
          <w:highlight w:val="none"/>
        </w:rPr>
        <w:t> </w:t>
      </w:r>
    </w:p>
    <w:p>
      <w:pPr>
        <w:snapToGrid w:val="0"/>
        <w:spacing w:before="50" w:after="50" w:line="440" w:lineRule="exact"/>
        <w:rPr>
          <w:rFonts w:ascii="仿宋_GB2312" w:hAnsi="宋体" w:eastAsia="仿宋_GB2312"/>
          <w:color w:val="auto"/>
          <w:sz w:val="28"/>
          <w:szCs w:val="28"/>
          <w:highlight w:val="none"/>
          <w:u w:val="single"/>
        </w:rPr>
      </w:pPr>
      <w:r>
        <w:rPr>
          <w:rFonts w:hint="eastAsia" w:ascii="仿宋_GB2312" w:hAnsi="宋体" w:eastAsia="仿宋_GB2312" w:cs="宋体"/>
          <w:color w:val="auto"/>
          <w:kern w:val="0"/>
          <w:sz w:val="28"/>
          <w:szCs w:val="28"/>
          <w:highlight w:val="none"/>
        </w:rPr>
        <w:t>　　　　　　　　　　　　　　　</w:t>
      </w:r>
      <w:r>
        <w:rPr>
          <w:rFonts w:hint="eastAsia" w:ascii="仿宋_GB2312" w:hAnsi="宋体" w:eastAsia="仿宋_GB2312"/>
          <w:color w:val="auto"/>
          <w:sz w:val="28"/>
          <w:szCs w:val="28"/>
          <w:highlight w:val="none"/>
        </w:rPr>
        <w:t>法定代表人或委托代理人签字：</w:t>
      </w:r>
    </w:p>
    <w:p>
      <w:pPr>
        <w:snapToGrid w:val="0"/>
        <w:spacing w:before="50" w:after="50" w:line="440" w:lineRule="exact"/>
        <w:ind w:firstLine="5040" w:firstLineChars="18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投标人盖章：</w:t>
      </w:r>
    </w:p>
    <w:p>
      <w:pPr>
        <w:snapToGrid w:val="0"/>
        <w:spacing w:before="50" w:after="50" w:line="440" w:lineRule="exact"/>
        <w:ind w:firstLine="5040" w:firstLineChars="18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日期： </w:t>
      </w:r>
    </w:p>
    <w:p>
      <w:pPr>
        <w:spacing w:line="440" w:lineRule="exact"/>
        <w:rPr>
          <w:rFonts w:ascii="仿宋_GB2312" w:hAnsi="宋体" w:eastAsia="仿宋_GB2312"/>
          <w:color w:val="auto"/>
          <w:sz w:val="24"/>
          <w:highlight w:val="none"/>
        </w:rPr>
      </w:pPr>
    </w:p>
    <w:p>
      <w:pPr>
        <w:spacing w:line="440" w:lineRule="exact"/>
        <w:ind w:firstLine="360" w:firstLineChars="150"/>
        <w:rPr>
          <w:rFonts w:ascii="仿宋_GB2312" w:hAnsi="宋体" w:eastAsia="仿宋_GB2312"/>
          <w:color w:val="auto"/>
          <w:sz w:val="24"/>
          <w:highlight w:val="none"/>
        </w:rPr>
      </w:pPr>
      <w:r>
        <w:rPr>
          <w:rFonts w:hint="eastAsia" w:ascii="仿宋_GB2312" w:hAnsi="宋体" w:eastAsia="仿宋_GB2312"/>
          <w:color w:val="auto"/>
          <w:sz w:val="24"/>
          <w:highlight w:val="none"/>
        </w:rPr>
        <w:t>备注：投标人或投标产品厂家如为中小微型企业的请按格式填写相关内容并提供政府行政部门出具的证明文件复印件，否则不予享受优惠政策。</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p>
    <w:p>
      <w:pPr>
        <w:snapToGrid w:val="0"/>
        <w:spacing w:before="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12、监狱企业证明文件</w:t>
      </w: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13、残疾人福利性单位声明函</w:t>
      </w:r>
    </w:p>
    <w:p>
      <w:pPr>
        <w:snapToGrid w:val="0"/>
        <w:spacing w:before="50"/>
        <w:jc w:val="left"/>
        <w:rPr>
          <w:rFonts w:ascii="仿宋_GB2312" w:hAnsi="宋体" w:eastAsia="仿宋_GB2312"/>
          <w:b/>
          <w:color w:val="auto"/>
          <w:sz w:val="28"/>
          <w:szCs w:val="28"/>
          <w:highlight w:val="none"/>
        </w:rPr>
      </w:pPr>
    </w:p>
    <w:p>
      <w:pPr>
        <w:spacing w:line="588" w:lineRule="exact"/>
        <w:jc w:val="center"/>
        <w:rPr>
          <w:rFonts w:ascii="仿宋_GB2312" w:hAnsi="宋体" w:eastAsia="仿宋_GB2312" w:cs="宋体"/>
          <w:b/>
          <w:color w:val="auto"/>
          <w:kern w:val="0"/>
          <w:sz w:val="24"/>
          <w:highlight w:val="none"/>
        </w:rPr>
      </w:pPr>
      <w:r>
        <w:rPr>
          <w:rFonts w:hint="eastAsia" w:ascii="仿宋_GB2312" w:hAnsi="宋体" w:eastAsia="仿宋_GB2312" w:cs="宋体"/>
          <w:b/>
          <w:color w:val="auto"/>
          <w:kern w:val="0"/>
          <w:sz w:val="24"/>
          <w:highlight w:val="none"/>
        </w:rPr>
        <w:t>残疾人福利性单位声明函</w:t>
      </w:r>
    </w:p>
    <w:p>
      <w:pPr>
        <w:spacing w:line="588" w:lineRule="exact"/>
        <w:rPr>
          <w:rFonts w:ascii="仿宋_GB2312" w:eastAsia="仿宋_GB2312"/>
          <w:color w:val="auto"/>
          <w:spacing w:val="6"/>
          <w:sz w:val="24"/>
          <w:highlight w:val="none"/>
        </w:rPr>
      </w:pPr>
    </w:p>
    <w:p>
      <w:pPr>
        <w:widowControl/>
        <w:shd w:val="clear" w:color="auto" w:fill="FFFFFF"/>
        <w:spacing w:after="240" w:line="440" w:lineRule="exact"/>
        <w:ind w:firstLine="48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shd w:val="clear" w:color="auto" w:fill="FFFFFF"/>
        <w:spacing w:after="240" w:line="440" w:lineRule="exact"/>
        <w:ind w:firstLine="48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本单位对上述声明的真实性负责。如有虚假，将依法承担相应责任。</w:t>
      </w:r>
    </w:p>
    <w:p>
      <w:pPr>
        <w:spacing w:line="588" w:lineRule="exact"/>
        <w:ind w:firstLine="504" w:firstLineChars="200"/>
        <w:rPr>
          <w:rFonts w:ascii="仿宋_GB2312" w:eastAsia="仿宋_GB2312"/>
          <w:color w:val="auto"/>
          <w:spacing w:val="6"/>
          <w:sz w:val="24"/>
          <w:highlight w:val="none"/>
        </w:rPr>
      </w:pPr>
    </w:p>
    <w:p>
      <w:pPr>
        <w:spacing w:line="588" w:lineRule="exact"/>
        <w:ind w:firstLine="504" w:firstLineChars="200"/>
        <w:rPr>
          <w:rFonts w:ascii="仿宋_GB2312" w:eastAsia="仿宋_GB2312"/>
          <w:color w:val="auto"/>
          <w:spacing w:val="6"/>
          <w:sz w:val="24"/>
          <w:highlight w:val="none"/>
        </w:rPr>
      </w:pPr>
    </w:p>
    <w:p>
      <w:pPr>
        <w:tabs>
          <w:tab w:val="left" w:pos="4860"/>
        </w:tabs>
        <w:spacing w:line="588" w:lineRule="exact"/>
        <w:ind w:right="1560" w:firstLine="504" w:firstLineChars="200"/>
        <w:jc w:val="center"/>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               单位名称（盖章）：</w:t>
      </w:r>
    </w:p>
    <w:p>
      <w:pPr>
        <w:tabs>
          <w:tab w:val="left" w:pos="4860"/>
        </w:tabs>
        <w:spacing w:line="588" w:lineRule="exact"/>
        <w:ind w:right="1560" w:firstLine="504" w:firstLineChars="200"/>
        <w:jc w:val="center"/>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       日  期：</w:t>
      </w:r>
    </w:p>
    <w:p>
      <w:pPr>
        <w:snapToGrid w:val="0"/>
        <w:spacing w:before="50"/>
        <w:jc w:val="left"/>
        <w:rPr>
          <w:rFonts w:ascii="仿宋_GB2312" w:hAnsi="宋体" w:eastAsia="仿宋_GB2312"/>
          <w:b/>
          <w:color w:val="auto"/>
          <w:sz w:val="24"/>
          <w:highlight w:val="none"/>
        </w:rPr>
      </w:pPr>
    </w:p>
    <w:p>
      <w:pPr>
        <w:snapToGrid w:val="0"/>
        <w:spacing w:before="50" w:afterLines="50" w:line="440" w:lineRule="exact"/>
        <w:jc w:val="left"/>
        <w:rPr>
          <w:rFonts w:ascii="宋体" w:hAnsi="宋体"/>
          <w:b/>
          <w:color w:val="auto"/>
          <w:sz w:val="24"/>
          <w:highlight w:val="none"/>
        </w:rPr>
      </w:pPr>
    </w:p>
    <w:p>
      <w:pPr>
        <w:snapToGrid w:val="0"/>
        <w:spacing w:before="50" w:afterLines="50" w:line="440" w:lineRule="exact"/>
        <w:jc w:val="left"/>
        <w:rPr>
          <w:rFonts w:ascii="宋体" w:hAnsi="宋体"/>
          <w:b/>
          <w:color w:val="auto"/>
          <w:sz w:val="24"/>
          <w:highlight w:val="none"/>
        </w:rPr>
      </w:pPr>
    </w:p>
    <w:p>
      <w:pPr>
        <w:snapToGrid w:val="0"/>
        <w:spacing w:before="50" w:afterLines="50" w:line="440" w:lineRule="exact"/>
        <w:jc w:val="left"/>
        <w:rPr>
          <w:rFonts w:ascii="宋体" w:hAnsi="宋体"/>
          <w:b/>
          <w:color w:val="auto"/>
          <w:sz w:val="24"/>
          <w:highlight w:val="none"/>
        </w:rPr>
      </w:pPr>
    </w:p>
    <w:p>
      <w:pPr>
        <w:snapToGrid w:val="0"/>
        <w:spacing w:before="50" w:afterLines="50" w:line="440" w:lineRule="exact"/>
        <w:jc w:val="left"/>
        <w:rPr>
          <w:rFonts w:ascii="宋体" w:hAnsi="宋体"/>
          <w:b/>
          <w:color w:val="auto"/>
          <w:sz w:val="24"/>
          <w:highlight w:val="none"/>
        </w:rPr>
      </w:pPr>
    </w:p>
    <w:p>
      <w:pPr>
        <w:snapToGrid w:val="0"/>
        <w:spacing w:before="50" w:afterLines="50" w:line="440" w:lineRule="exact"/>
        <w:jc w:val="left"/>
        <w:rPr>
          <w:rFonts w:ascii="宋体" w:hAnsi="宋体"/>
          <w:b/>
          <w:color w:val="auto"/>
          <w:sz w:val="24"/>
          <w:highlight w:val="none"/>
        </w:rPr>
      </w:pPr>
    </w:p>
    <w:p>
      <w:pPr>
        <w:snapToGrid w:val="0"/>
        <w:spacing w:before="50" w:afterLines="50" w:line="440" w:lineRule="exact"/>
        <w:jc w:val="left"/>
        <w:rPr>
          <w:rFonts w:ascii="宋体" w:hAnsi="宋体"/>
          <w:b/>
          <w:color w:val="auto"/>
          <w:sz w:val="24"/>
          <w:highlight w:val="none"/>
        </w:rPr>
      </w:pPr>
    </w:p>
    <w:p>
      <w:pPr>
        <w:pStyle w:val="2"/>
        <w:rPr>
          <w:rFonts w:ascii="宋体" w:hAnsi="宋体"/>
          <w:b/>
          <w:color w:val="auto"/>
          <w:highlight w:val="none"/>
        </w:rPr>
      </w:pPr>
    </w:p>
    <w:p>
      <w:pPr>
        <w:pStyle w:val="2"/>
        <w:rPr>
          <w:rFonts w:ascii="宋体" w:hAnsi="宋体"/>
          <w:b/>
          <w:color w:val="auto"/>
          <w:highlight w:val="none"/>
        </w:rPr>
      </w:pPr>
    </w:p>
    <w:p>
      <w:pPr>
        <w:pStyle w:val="2"/>
        <w:rPr>
          <w:rFonts w:ascii="宋体" w:hAnsi="宋体"/>
          <w:b/>
          <w:color w:val="auto"/>
          <w:highlight w:val="none"/>
        </w:rPr>
      </w:pPr>
    </w:p>
    <w:p>
      <w:pPr>
        <w:pStyle w:val="2"/>
        <w:rPr>
          <w:rFonts w:ascii="宋体" w:hAnsi="宋体"/>
          <w:b/>
          <w:color w:val="auto"/>
          <w:highlight w:val="none"/>
        </w:rPr>
      </w:pPr>
    </w:p>
    <w:p>
      <w:pPr>
        <w:pStyle w:val="2"/>
        <w:rPr>
          <w:rFonts w:ascii="宋体" w:hAnsi="宋体"/>
          <w:b/>
          <w:color w:val="auto"/>
          <w:highlight w:val="none"/>
        </w:rPr>
      </w:pPr>
    </w:p>
    <w:p>
      <w:pPr>
        <w:snapToGrid w:val="0"/>
        <w:spacing w:before="50" w:afterLines="50" w:line="440" w:lineRule="exact"/>
        <w:jc w:val="left"/>
        <w:rPr>
          <w:rFonts w:ascii="宋体" w:hAnsi="宋体"/>
          <w:b/>
          <w:color w:val="auto"/>
          <w:sz w:val="24"/>
          <w:highlight w:val="none"/>
        </w:rPr>
      </w:pPr>
    </w:p>
    <w:p>
      <w:pPr>
        <w:snapToGrid w:val="0"/>
        <w:spacing w:before="50" w:afterLines="50" w:line="440" w:lineRule="exact"/>
        <w:jc w:val="left"/>
        <w:rPr>
          <w:rFonts w:ascii="宋体" w:hAnsi="宋体"/>
          <w:b/>
          <w:color w:val="auto"/>
          <w:sz w:val="24"/>
          <w:highlight w:val="none"/>
        </w:rPr>
      </w:pPr>
    </w:p>
    <w:p>
      <w:pPr>
        <w:snapToGrid w:val="0"/>
        <w:spacing w:before="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14、</w:t>
      </w:r>
      <w:r>
        <w:rPr>
          <w:rFonts w:ascii="仿宋_GB2312" w:hAnsi="宋体" w:eastAsia="仿宋_GB2312"/>
          <w:b/>
          <w:color w:val="auto"/>
          <w:sz w:val="28"/>
          <w:szCs w:val="28"/>
          <w:highlight w:val="none"/>
        </w:rPr>
        <w:t>广西工业产品声明函格式</w:t>
      </w:r>
    </w:p>
    <w:p>
      <w:pPr>
        <w:widowControl/>
        <w:spacing w:line="360" w:lineRule="auto"/>
        <w:jc w:val="left"/>
        <w:rPr>
          <w:rFonts w:ascii="仿宋_GB2312" w:hAnsi="ˎ̥,Verdana" w:eastAsia="仿宋_GB2312" w:cs="宋体"/>
          <w:color w:val="auto"/>
          <w:kern w:val="0"/>
          <w:sz w:val="24"/>
          <w:highlight w:val="none"/>
        </w:rPr>
      </w:pPr>
    </w:p>
    <w:p>
      <w:pPr>
        <w:widowControl/>
        <w:spacing w:line="360" w:lineRule="auto"/>
        <w:jc w:val="center"/>
        <w:rPr>
          <w:rFonts w:ascii="仿宋_GB2312" w:hAnsi="ˎ̥,Verdana" w:eastAsia="仿宋_GB2312" w:cs="宋体"/>
          <w:color w:val="auto"/>
          <w:kern w:val="0"/>
          <w:sz w:val="24"/>
          <w:highlight w:val="none"/>
        </w:rPr>
      </w:pPr>
      <w:r>
        <w:rPr>
          <w:rFonts w:hint="eastAsia" w:ascii="仿宋_GB2312" w:hAnsi="ˎ̥,Verdana" w:eastAsia="仿宋_GB2312" w:cs="宋体"/>
          <w:color w:val="auto"/>
          <w:kern w:val="0"/>
          <w:sz w:val="24"/>
          <w:highlight w:val="none"/>
        </w:rPr>
        <w:t>　　</w:t>
      </w:r>
      <w:r>
        <w:rPr>
          <w:rFonts w:hint="eastAsia" w:ascii="仿宋_GB2312" w:hAnsi="ˎ̥,Verdana" w:eastAsia="仿宋_GB2312" w:cs="宋体"/>
          <w:b/>
          <w:bCs/>
          <w:color w:val="auto"/>
          <w:kern w:val="0"/>
          <w:sz w:val="24"/>
          <w:highlight w:val="none"/>
        </w:rPr>
        <w:t xml:space="preserve">广西工业产品声明函 </w:t>
      </w:r>
    </w:p>
    <w:p>
      <w:pPr>
        <w:widowControl/>
        <w:spacing w:line="360" w:lineRule="auto"/>
        <w:jc w:val="left"/>
        <w:rPr>
          <w:rFonts w:ascii="仿宋_GB2312" w:hAnsi="宋体" w:eastAsia="仿宋_GB2312" w:cs="宋体"/>
          <w:color w:val="auto"/>
          <w:kern w:val="0"/>
          <w:sz w:val="24"/>
          <w:highlight w:val="none"/>
        </w:rPr>
      </w:pPr>
      <w:r>
        <w:rPr>
          <w:rFonts w:hint="eastAsia" w:ascii="仿宋_GB2312" w:hAnsi="ˎ̥,Verdana" w:eastAsia="仿宋_GB2312" w:cs="宋体"/>
          <w:color w:val="auto"/>
          <w:kern w:val="0"/>
          <w:sz w:val="24"/>
          <w:highlight w:val="none"/>
        </w:rPr>
        <w:t>　</w:t>
      </w:r>
      <w:r>
        <w:rPr>
          <w:rFonts w:hint="eastAsia" w:ascii="仿宋_GB2312" w:hAnsi="宋体" w:eastAsia="仿宋_GB2312" w:cs="宋体"/>
          <w:color w:val="auto"/>
          <w:kern w:val="0"/>
          <w:sz w:val="24"/>
          <w:highlight w:val="none"/>
        </w:rPr>
        <w:t>　本公司郑重声明,根据《招标采购促进广西工业产品产销对接实施细则》的规定，本公司在本次投标/竞标中或者工程项目中提供的下述产品为广西工业产品，详情如下：</w:t>
      </w:r>
    </w:p>
    <w:tbl>
      <w:tblPr>
        <w:tblStyle w:val="59"/>
        <w:tblW w:w="9184" w:type="dxa"/>
        <w:jc w:val="center"/>
        <w:tblLayout w:type="fixed"/>
        <w:tblCellMar>
          <w:top w:w="0" w:type="dxa"/>
          <w:left w:w="0" w:type="dxa"/>
          <w:bottom w:w="0" w:type="dxa"/>
          <w:right w:w="0" w:type="dxa"/>
        </w:tblCellMar>
      </w:tblPr>
      <w:tblGrid>
        <w:gridCol w:w="845"/>
        <w:gridCol w:w="1910"/>
        <w:gridCol w:w="1522"/>
        <w:gridCol w:w="935"/>
        <w:gridCol w:w="2137"/>
        <w:gridCol w:w="1073"/>
        <w:gridCol w:w="762"/>
      </w:tblGrid>
      <w:tr>
        <w:tblPrEx>
          <w:tblCellMar>
            <w:top w:w="0" w:type="dxa"/>
            <w:left w:w="0" w:type="dxa"/>
            <w:bottom w:w="0" w:type="dxa"/>
            <w:right w:w="0" w:type="dxa"/>
          </w:tblCellMar>
        </w:tblPrEx>
        <w:trPr>
          <w:trHeight w:val="454" w:hRule="atLeast"/>
          <w:jc w:val="center"/>
        </w:trPr>
        <w:tc>
          <w:tcPr>
            <w:tcW w:w="845" w:type="dxa"/>
            <w:tcBorders>
              <w:top w:val="single" w:color="auto" w:sz="12" w:space="0"/>
              <w:left w:val="single" w:color="auto" w:sz="12" w:space="0"/>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序号</w:t>
            </w:r>
          </w:p>
        </w:tc>
        <w:tc>
          <w:tcPr>
            <w:tcW w:w="1910"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产品名称</w:t>
            </w:r>
          </w:p>
        </w:tc>
        <w:tc>
          <w:tcPr>
            <w:tcW w:w="1522"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型号和规格</w:t>
            </w:r>
          </w:p>
        </w:tc>
        <w:tc>
          <w:tcPr>
            <w:tcW w:w="935"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数量</w:t>
            </w:r>
          </w:p>
        </w:tc>
        <w:tc>
          <w:tcPr>
            <w:tcW w:w="2137"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制造厂商及原产地</w:t>
            </w:r>
          </w:p>
        </w:tc>
        <w:tc>
          <w:tcPr>
            <w:tcW w:w="1073"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投标价</w:t>
            </w:r>
          </w:p>
        </w:tc>
        <w:tc>
          <w:tcPr>
            <w:tcW w:w="762" w:type="dxa"/>
            <w:tcBorders>
              <w:top w:val="single" w:color="auto" w:sz="12" w:space="0"/>
              <w:left w:val="nil"/>
              <w:bottom w:val="single" w:color="auto" w:sz="8" w:space="0"/>
              <w:right w:val="single" w:color="auto" w:sz="12"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备注</w:t>
            </w:r>
          </w:p>
        </w:tc>
      </w:tr>
      <w:tr>
        <w:tblPrEx>
          <w:tblCellMar>
            <w:top w:w="0" w:type="dxa"/>
            <w:left w:w="0" w:type="dxa"/>
            <w:bottom w:w="0" w:type="dxa"/>
            <w:right w:w="0" w:type="dxa"/>
          </w:tblCellMar>
        </w:tblPrEx>
        <w:trPr>
          <w:trHeight w:val="454" w:hRule="atLeast"/>
          <w:jc w:val="center"/>
        </w:trPr>
        <w:tc>
          <w:tcPr>
            <w:tcW w:w="845"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1</w:t>
            </w:r>
          </w:p>
        </w:tc>
        <w:tc>
          <w:tcPr>
            <w:tcW w:w="1910"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1522"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9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213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1073"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762" w:type="dxa"/>
            <w:tcBorders>
              <w:top w:val="nil"/>
              <w:left w:val="nil"/>
              <w:bottom w:val="single" w:color="auto" w:sz="8" w:space="0"/>
              <w:right w:val="single" w:color="auto" w:sz="12"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r>
      <w:tr>
        <w:tblPrEx>
          <w:tblCellMar>
            <w:top w:w="0" w:type="dxa"/>
            <w:left w:w="0" w:type="dxa"/>
            <w:bottom w:w="0" w:type="dxa"/>
            <w:right w:w="0" w:type="dxa"/>
          </w:tblCellMar>
        </w:tblPrEx>
        <w:trPr>
          <w:trHeight w:val="454" w:hRule="atLeast"/>
          <w:jc w:val="center"/>
        </w:trPr>
        <w:tc>
          <w:tcPr>
            <w:tcW w:w="845"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2</w:t>
            </w:r>
          </w:p>
        </w:tc>
        <w:tc>
          <w:tcPr>
            <w:tcW w:w="1910"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1522"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9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213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1073"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762" w:type="dxa"/>
            <w:tcBorders>
              <w:top w:val="nil"/>
              <w:left w:val="nil"/>
              <w:bottom w:val="single" w:color="auto" w:sz="8" w:space="0"/>
              <w:right w:val="single" w:color="auto" w:sz="12"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r>
      <w:tr>
        <w:tblPrEx>
          <w:tblCellMar>
            <w:top w:w="0" w:type="dxa"/>
            <w:left w:w="0" w:type="dxa"/>
            <w:bottom w:w="0" w:type="dxa"/>
            <w:right w:w="0" w:type="dxa"/>
          </w:tblCellMar>
        </w:tblPrEx>
        <w:trPr>
          <w:trHeight w:val="454" w:hRule="atLeast"/>
          <w:jc w:val="center"/>
        </w:trPr>
        <w:tc>
          <w:tcPr>
            <w:tcW w:w="845"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w:t>
            </w:r>
          </w:p>
        </w:tc>
        <w:tc>
          <w:tcPr>
            <w:tcW w:w="1910"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1522"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9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213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1073"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c>
          <w:tcPr>
            <w:tcW w:w="762" w:type="dxa"/>
            <w:tcBorders>
              <w:top w:val="nil"/>
              <w:left w:val="nil"/>
              <w:bottom w:val="single" w:color="auto" w:sz="8" w:space="0"/>
              <w:right w:val="single" w:color="auto" w:sz="12"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r>
      <w:tr>
        <w:tblPrEx>
          <w:tblCellMar>
            <w:top w:w="0" w:type="dxa"/>
            <w:left w:w="0" w:type="dxa"/>
            <w:bottom w:w="0" w:type="dxa"/>
            <w:right w:w="0" w:type="dxa"/>
          </w:tblCellMar>
        </w:tblPrEx>
        <w:trPr>
          <w:trHeight w:val="454" w:hRule="atLeast"/>
          <w:jc w:val="center"/>
        </w:trPr>
        <w:tc>
          <w:tcPr>
            <w:tcW w:w="845" w:type="dxa"/>
            <w:tcBorders>
              <w:top w:val="nil"/>
              <w:left w:val="single" w:color="auto" w:sz="12" w:space="0"/>
              <w:bottom w:val="single" w:color="auto" w:sz="12" w:space="0"/>
              <w:right w:val="single" w:color="auto" w:sz="8" w:space="0"/>
            </w:tcBorders>
            <w:vAlign w:val="center"/>
          </w:tcPr>
          <w:p>
            <w:pPr>
              <w:widowControl/>
              <w:spacing w:line="360" w:lineRule="auto"/>
              <w:jc w:val="left"/>
              <w:rPr>
                <w:rFonts w:ascii="仿宋_GB2312" w:hAnsi="宋体" w:eastAsia="仿宋_GB2312" w:cs="宋体"/>
                <w:color w:val="auto"/>
                <w:kern w:val="0"/>
                <w:sz w:val="24"/>
                <w:highlight w:val="none"/>
              </w:rPr>
            </w:pPr>
          </w:p>
        </w:tc>
        <w:tc>
          <w:tcPr>
            <w:tcW w:w="1910" w:type="dxa"/>
            <w:tcBorders>
              <w:top w:val="nil"/>
              <w:left w:val="nil"/>
              <w:bottom w:val="single" w:color="auto" w:sz="12" w:space="0"/>
              <w:right w:val="single" w:color="auto" w:sz="8" w:space="0"/>
            </w:tcBorders>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广西工业产品</w:t>
            </w:r>
          </w:p>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合计价格：</w:t>
            </w:r>
          </w:p>
        </w:tc>
        <w:tc>
          <w:tcPr>
            <w:tcW w:w="2457" w:type="dxa"/>
            <w:gridSpan w:val="2"/>
            <w:tcBorders>
              <w:top w:val="nil"/>
              <w:left w:val="nil"/>
              <w:bottom w:val="single" w:color="auto" w:sz="12" w:space="0"/>
              <w:right w:val="single" w:color="auto" w:sz="8" w:space="0"/>
            </w:tcBorders>
            <w:vAlign w:val="center"/>
          </w:tcPr>
          <w:p>
            <w:pPr>
              <w:widowControl/>
              <w:spacing w:line="360" w:lineRule="auto"/>
              <w:jc w:val="left"/>
              <w:rPr>
                <w:rFonts w:ascii="仿宋_GB2312" w:hAnsi="宋体" w:eastAsia="仿宋_GB2312" w:cs="宋体"/>
                <w:color w:val="auto"/>
                <w:kern w:val="0"/>
                <w:sz w:val="24"/>
                <w:highlight w:val="none"/>
              </w:rPr>
            </w:pPr>
          </w:p>
        </w:tc>
        <w:tc>
          <w:tcPr>
            <w:tcW w:w="2137" w:type="dxa"/>
            <w:tcBorders>
              <w:top w:val="nil"/>
              <w:left w:val="nil"/>
              <w:bottom w:val="single" w:color="auto" w:sz="12" w:space="0"/>
              <w:right w:val="single" w:color="auto" w:sz="8" w:space="0"/>
            </w:tcBorders>
            <w:tcMar>
              <w:top w:w="0" w:type="dxa"/>
              <w:left w:w="57" w:type="dxa"/>
              <w:bottom w:w="0" w:type="dxa"/>
              <w:right w:w="57" w:type="dxa"/>
            </w:tcMar>
            <w:vAlign w:val="center"/>
          </w:tcPr>
          <w:p>
            <w:pPr>
              <w:widowControl/>
              <w:snapToGrid w:val="0"/>
              <w:spacing w:line="360" w:lineRule="auto"/>
              <w:jc w:val="center"/>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占投标总价比例：</w:t>
            </w:r>
          </w:p>
        </w:tc>
        <w:tc>
          <w:tcPr>
            <w:tcW w:w="1835" w:type="dxa"/>
            <w:gridSpan w:val="2"/>
            <w:tcBorders>
              <w:top w:val="nil"/>
              <w:left w:val="nil"/>
              <w:bottom w:val="single" w:color="auto" w:sz="12" w:space="0"/>
              <w:right w:val="single" w:color="auto" w:sz="12" w:space="0"/>
            </w:tcBorders>
            <w:tcMar>
              <w:top w:w="0" w:type="dxa"/>
              <w:left w:w="57" w:type="dxa"/>
              <w:bottom w:w="0" w:type="dxa"/>
              <w:right w:w="57" w:type="dxa"/>
            </w:tcMar>
            <w:vAlign w:val="center"/>
          </w:tcPr>
          <w:p>
            <w:pPr>
              <w:widowControl/>
              <w:spacing w:line="360" w:lineRule="auto"/>
              <w:jc w:val="left"/>
              <w:rPr>
                <w:rFonts w:ascii="仿宋_GB2312" w:hAnsi="宋体" w:eastAsia="仿宋_GB2312" w:cs="宋体"/>
                <w:color w:val="auto"/>
                <w:kern w:val="0"/>
                <w:sz w:val="24"/>
                <w:highlight w:val="none"/>
              </w:rPr>
            </w:pPr>
          </w:p>
        </w:tc>
      </w:tr>
    </w:tbl>
    <w:p>
      <w:pPr>
        <w:widowControl/>
        <w:spacing w:line="360" w:lineRule="auto"/>
        <w:ind w:firstLine="751" w:firstLineChars="313"/>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本公司对上述声明的真实性负责。如有虚假,将依法承担相应责任。</w:t>
      </w:r>
    </w:p>
    <w:p>
      <w:pPr>
        <w:widowControl/>
        <w:spacing w:line="360" w:lineRule="auto"/>
        <w:ind w:firstLine="751" w:firstLineChars="313"/>
        <w:jc w:val="left"/>
        <w:rPr>
          <w:rFonts w:ascii="仿宋_GB2312" w:hAnsi="宋体" w:eastAsia="仿宋_GB2312" w:cs="宋体"/>
          <w:color w:val="auto"/>
          <w:kern w:val="0"/>
          <w:sz w:val="24"/>
          <w:highlight w:val="none"/>
        </w:rPr>
      </w:pPr>
    </w:p>
    <w:p>
      <w:pPr>
        <w:widowControl/>
        <w:spacing w:line="360" w:lineRule="auto"/>
        <w:ind w:firstLine="751" w:firstLineChars="313"/>
        <w:jc w:val="left"/>
        <w:rPr>
          <w:rFonts w:ascii="仿宋_GB2312" w:hAnsi="宋体" w:eastAsia="仿宋_GB2312" w:cs="宋体"/>
          <w:color w:val="auto"/>
          <w:kern w:val="0"/>
          <w:sz w:val="24"/>
          <w:highlight w:val="none"/>
        </w:rPr>
      </w:pPr>
    </w:p>
    <w:p>
      <w:pPr>
        <w:widowControl/>
        <w:spacing w:line="360" w:lineRule="auto"/>
        <w:ind w:firstLine="751" w:firstLineChars="313"/>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企业名称(盖章)：</w:t>
      </w:r>
    </w:p>
    <w:p>
      <w:pPr>
        <w:widowControl/>
        <w:spacing w:line="360" w:lineRule="auto"/>
        <w:ind w:firstLine="751" w:firstLineChars="313"/>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日 期：</w:t>
      </w:r>
    </w:p>
    <w:p>
      <w:pPr>
        <w:snapToGrid w:val="0"/>
        <w:spacing w:before="50" w:afterLines="50" w:line="440" w:lineRule="exact"/>
        <w:jc w:val="left"/>
        <w:rPr>
          <w:rFonts w:ascii="仿宋_GB2312" w:hAnsi="宋体" w:eastAsia="仿宋_GB2312"/>
          <w:b/>
          <w:color w:val="auto"/>
          <w:sz w:val="24"/>
          <w:highlight w:val="none"/>
        </w:rPr>
      </w:pPr>
    </w:p>
    <w:p>
      <w:pPr>
        <w:snapToGrid w:val="0"/>
        <w:spacing w:before="50" w:afterLines="50" w:line="440" w:lineRule="exact"/>
        <w:jc w:val="left"/>
        <w:rPr>
          <w:rFonts w:ascii="仿宋_GB2312" w:hAnsi="宋体" w:eastAsia="仿宋_GB2312"/>
          <w:b/>
          <w:color w:val="auto"/>
          <w:sz w:val="24"/>
          <w:highlight w:val="none"/>
        </w:rPr>
      </w:pPr>
    </w:p>
    <w:p>
      <w:pPr>
        <w:snapToGrid w:val="0"/>
        <w:spacing w:before="50" w:afterLines="50" w:line="440" w:lineRule="exact"/>
        <w:jc w:val="left"/>
        <w:rPr>
          <w:rFonts w:ascii="仿宋_GB2312" w:hAnsi="宋体" w:eastAsia="仿宋_GB2312"/>
          <w:b/>
          <w:color w:val="auto"/>
          <w:sz w:val="24"/>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pStyle w:val="2"/>
        <w:rPr>
          <w:rFonts w:ascii="仿宋_GB2312" w:hAnsi="宋体" w:eastAsia="仿宋_GB2312"/>
          <w:b/>
          <w:color w:val="auto"/>
          <w:sz w:val="28"/>
          <w:szCs w:val="28"/>
          <w:highlight w:val="none"/>
        </w:rPr>
      </w:pPr>
    </w:p>
    <w:p>
      <w:pPr>
        <w:pStyle w:val="2"/>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p>
    <w:p>
      <w:pPr>
        <w:snapToGrid w:val="0"/>
        <w:spacing w:before="50"/>
        <w:jc w:val="left"/>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15、商务响应表格式：</w:t>
      </w:r>
    </w:p>
    <w:p>
      <w:pPr>
        <w:snapToGrid w:val="0"/>
        <w:spacing w:before="50"/>
        <w:jc w:val="left"/>
        <w:rPr>
          <w:rFonts w:ascii="仿宋_GB2312" w:hAnsi="宋体" w:eastAsia="仿宋_GB2312"/>
          <w:b/>
          <w:color w:val="auto"/>
          <w:szCs w:val="21"/>
          <w:highlight w:val="none"/>
        </w:rPr>
      </w:pPr>
    </w:p>
    <w:p>
      <w:pPr>
        <w:snapToGrid w:val="0"/>
        <w:spacing w:before="50"/>
        <w:jc w:val="center"/>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商务响应表</w:t>
      </w:r>
    </w:p>
    <w:p>
      <w:pPr>
        <w:snapToGrid w:val="0"/>
        <w:spacing w:before="50"/>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分标：</w:t>
      </w:r>
    </w:p>
    <w:tbl>
      <w:tblPr>
        <w:tblStyle w:val="59"/>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60"/>
        <w:gridCol w:w="2700"/>
        <w:gridCol w:w="1440"/>
        <w:gridCol w:w="28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序号</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招标文件要求</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是否响应</w:t>
            </w: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ind w:left="43"/>
              <w:jc w:val="center"/>
              <w:rPr>
                <w:rFonts w:ascii="仿宋_GB2312" w:hAnsi="宋体" w:eastAsia="仿宋_GB2312"/>
                <w:color w:val="auto"/>
                <w:sz w:val="28"/>
                <w:szCs w:val="28"/>
                <w:highlight w:val="none"/>
              </w:rPr>
            </w:pP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ind w:left="43"/>
              <w:jc w:val="center"/>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56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c>
          <w:tcPr>
            <w:tcW w:w="2840" w:type="dxa"/>
            <w:tcBorders>
              <w:top w:val="single" w:color="auto" w:sz="4" w:space="0"/>
              <w:left w:val="single" w:color="auto" w:sz="4" w:space="0"/>
              <w:bottom w:val="single" w:color="auto" w:sz="4" w:space="0"/>
              <w:right w:val="single" w:color="auto" w:sz="4" w:space="0"/>
            </w:tcBorders>
            <w:vAlign w:val="center"/>
          </w:tcPr>
          <w:p>
            <w:pPr>
              <w:snapToGrid w:val="0"/>
              <w:spacing w:beforeLines="50"/>
              <w:jc w:val="center"/>
              <w:rPr>
                <w:rFonts w:ascii="仿宋_GB2312" w:hAnsi="宋体" w:eastAsia="仿宋_GB2312"/>
                <w:color w:val="auto"/>
                <w:sz w:val="28"/>
                <w:szCs w:val="28"/>
                <w:highlight w:val="none"/>
              </w:rPr>
            </w:pPr>
          </w:p>
        </w:tc>
      </w:tr>
    </w:tbl>
    <w:p>
      <w:pPr>
        <w:snapToGrid w:val="0"/>
        <w:spacing w:beforeLines="5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注：投标人应按第二章招标项目采购需求各分标“商务最低要求“内容填写</w:t>
      </w:r>
    </w:p>
    <w:p>
      <w:pPr>
        <w:snapToGrid w:val="0"/>
        <w:spacing w:before="50" w:after="50" w:line="440" w:lineRule="exact"/>
        <w:rPr>
          <w:rFonts w:ascii="仿宋_GB2312" w:hAnsi="宋体" w:eastAsia="仿宋_GB2312"/>
          <w:color w:val="auto"/>
          <w:sz w:val="28"/>
          <w:szCs w:val="28"/>
          <w:highlight w:val="none"/>
        </w:rPr>
      </w:pPr>
    </w:p>
    <w:p>
      <w:pPr>
        <w:snapToGrid w:val="0"/>
        <w:spacing w:before="50" w:after="50" w:line="440" w:lineRule="exact"/>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法定代表人或委托代理人签字：</w:t>
      </w:r>
    </w:p>
    <w:p>
      <w:pPr>
        <w:snapToGrid w:val="0"/>
        <w:spacing w:before="50" w:afterLines="50" w:line="440" w:lineRule="exact"/>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投标人盖章：</w:t>
      </w:r>
    </w:p>
    <w:p>
      <w:pPr>
        <w:snapToGrid w:val="0"/>
        <w:spacing w:before="50" w:afterLines="50" w:line="440" w:lineRule="exact"/>
        <w:jc w:val="left"/>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日期：</w:t>
      </w:r>
    </w:p>
    <w:p>
      <w:pPr>
        <w:snapToGrid w:val="0"/>
        <w:spacing w:beforeLines="50" w:after="50" w:line="320" w:lineRule="exact"/>
        <w:rPr>
          <w:rFonts w:ascii="宋体" w:hAnsi="宋体"/>
          <w:b/>
          <w:bCs/>
          <w:color w:val="auto"/>
          <w:sz w:val="24"/>
          <w:highlight w:val="none"/>
        </w:rPr>
      </w:pPr>
    </w:p>
    <w:p>
      <w:pPr>
        <w:snapToGrid w:val="0"/>
        <w:spacing w:beforeLines="50" w:after="50" w:line="320" w:lineRule="exact"/>
        <w:rPr>
          <w:rFonts w:ascii="宋体" w:hAnsi="宋体"/>
          <w:b/>
          <w:bCs/>
          <w:color w:val="auto"/>
          <w:sz w:val="24"/>
          <w:highlight w:val="none"/>
        </w:rPr>
      </w:pPr>
    </w:p>
    <w:p>
      <w:pPr>
        <w:snapToGrid w:val="0"/>
        <w:spacing w:beforeLines="50" w:after="50" w:line="320" w:lineRule="exact"/>
        <w:rPr>
          <w:rFonts w:ascii="宋体" w:hAnsi="宋体"/>
          <w:b/>
          <w:bCs/>
          <w:color w:val="auto"/>
          <w:sz w:val="24"/>
          <w:highlight w:val="none"/>
        </w:rPr>
      </w:pPr>
    </w:p>
    <w:p>
      <w:pPr>
        <w:snapToGrid w:val="0"/>
        <w:spacing w:beforeLines="50" w:after="50" w:line="320" w:lineRule="exact"/>
        <w:rPr>
          <w:rFonts w:ascii="宋体" w:hAnsi="宋体"/>
          <w:b/>
          <w:bCs/>
          <w:color w:val="auto"/>
          <w:sz w:val="24"/>
          <w:highlight w:val="none"/>
        </w:rPr>
      </w:pPr>
    </w:p>
    <w:p>
      <w:pPr>
        <w:rPr>
          <w:rFonts w:ascii="宋体" w:hAnsi="宋体"/>
          <w:b/>
          <w:bCs/>
          <w:color w:val="auto"/>
          <w:sz w:val="24"/>
          <w:highlight w:val="none"/>
        </w:rPr>
      </w:pPr>
    </w:p>
    <w:p>
      <w:pPr>
        <w:pStyle w:val="2"/>
        <w:rPr>
          <w:rFonts w:ascii="宋体" w:hAnsi="宋体"/>
          <w:b/>
          <w:bCs/>
          <w:color w:val="auto"/>
          <w:highlight w:val="none"/>
        </w:rPr>
      </w:pPr>
    </w:p>
    <w:p>
      <w:pPr>
        <w:pStyle w:val="2"/>
        <w:rPr>
          <w:rFonts w:ascii="宋体" w:hAnsi="宋体"/>
          <w:b/>
          <w:bCs/>
          <w:color w:val="auto"/>
          <w:highlight w:val="none"/>
        </w:rPr>
      </w:pPr>
    </w:p>
    <w:p>
      <w:pPr>
        <w:rPr>
          <w:rFonts w:ascii="宋体" w:hAnsi="宋体"/>
          <w:b/>
          <w:bCs/>
          <w:color w:val="auto"/>
          <w:sz w:val="24"/>
          <w:highlight w:val="none"/>
        </w:rPr>
      </w:pPr>
    </w:p>
    <w:p>
      <w:pPr>
        <w:rPr>
          <w:rFonts w:ascii="宋体" w:hAnsi="宋体"/>
          <w:b/>
          <w:bCs/>
          <w:color w:val="auto"/>
          <w:sz w:val="24"/>
          <w:highlight w:val="none"/>
        </w:rPr>
      </w:pPr>
    </w:p>
    <w:p>
      <w:pPr>
        <w:rPr>
          <w:rFonts w:ascii="宋体" w:hAnsi="宋体"/>
          <w:b/>
          <w:bCs/>
          <w:color w:val="auto"/>
          <w:sz w:val="24"/>
          <w:highlight w:val="none"/>
        </w:rPr>
      </w:pPr>
    </w:p>
    <w:p>
      <w:pPr>
        <w:rPr>
          <w:rFonts w:ascii="宋体" w:hAnsi="宋体"/>
          <w:b/>
          <w:bCs/>
          <w:color w:val="auto"/>
          <w:sz w:val="24"/>
          <w:highlight w:val="none"/>
        </w:rPr>
      </w:pPr>
    </w:p>
    <w:p>
      <w:pPr>
        <w:rPr>
          <w:color w:val="auto"/>
          <w:sz w:val="36"/>
          <w:szCs w:val="36"/>
          <w:highlight w:val="none"/>
        </w:rPr>
      </w:pPr>
      <w:r>
        <w:rPr>
          <w:rFonts w:hint="eastAsia"/>
          <w:color w:val="auto"/>
          <w:sz w:val="36"/>
          <w:szCs w:val="36"/>
          <w:highlight w:val="none"/>
        </w:rPr>
        <w:t>技术文件格式：</w:t>
      </w:r>
    </w:p>
    <w:p>
      <w:pPr>
        <w:snapToGrid w:val="0"/>
        <w:spacing w:before="50" w:line="360" w:lineRule="auto"/>
        <w:jc w:val="left"/>
        <w:rPr>
          <w:rFonts w:ascii="仿宋_GB2312" w:hAnsi="宋体" w:eastAsia="仿宋_GB2312"/>
          <w:b/>
          <w:color w:val="auto"/>
          <w:sz w:val="36"/>
          <w:szCs w:val="36"/>
          <w:highlight w:val="none"/>
        </w:rPr>
      </w:pPr>
      <w:r>
        <w:rPr>
          <w:rFonts w:hint="eastAsia" w:ascii="仿宋_GB2312" w:hAnsi="宋体" w:eastAsia="仿宋_GB2312"/>
          <w:b/>
          <w:color w:val="auto"/>
          <w:sz w:val="28"/>
          <w:szCs w:val="28"/>
          <w:highlight w:val="none"/>
        </w:rPr>
        <w:t>1、技术响应表格式：</w:t>
      </w:r>
    </w:p>
    <w:p>
      <w:pPr>
        <w:jc w:val="center"/>
        <w:rPr>
          <w:rFonts w:ascii="仿宋_GB2312" w:hAnsi="宋体" w:eastAsia="仿宋_GB2312"/>
          <w:b/>
          <w:color w:val="auto"/>
          <w:sz w:val="36"/>
          <w:szCs w:val="36"/>
          <w:highlight w:val="none"/>
        </w:rPr>
      </w:pPr>
    </w:p>
    <w:p>
      <w:pPr>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技术响应表</w:t>
      </w:r>
    </w:p>
    <w:p>
      <w:pPr>
        <w:rPr>
          <w:rFonts w:ascii="仿宋_GB2312" w:hAnsi="宋体" w:eastAsia="仿宋_GB2312"/>
          <w:b/>
          <w:color w:val="auto"/>
          <w:sz w:val="28"/>
          <w:szCs w:val="28"/>
          <w:highlight w:val="none"/>
        </w:rPr>
      </w:pPr>
      <w:r>
        <w:rPr>
          <w:rFonts w:hint="eastAsia" w:ascii="仿宋_GB2312" w:hAnsi="宋体" w:eastAsia="仿宋_GB2312"/>
          <w:color w:val="auto"/>
          <w:sz w:val="28"/>
          <w:szCs w:val="28"/>
          <w:highlight w:val="none"/>
        </w:rPr>
        <w:t>分标：</w:t>
      </w:r>
    </w:p>
    <w:tbl>
      <w:tblPr>
        <w:tblStyle w:val="59"/>
        <w:tblW w:w="96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665"/>
        <w:gridCol w:w="2503"/>
        <w:gridCol w:w="3562"/>
        <w:gridCol w:w="12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42" w:type="dxa"/>
            <w:vMerge w:val="restart"/>
            <w:tcBorders>
              <w:top w:val="single" w:color="auto" w:sz="4" w:space="0"/>
              <w:left w:val="single" w:color="auto" w:sz="4" w:space="0"/>
              <w:right w:val="single" w:color="auto" w:sz="4" w:space="0"/>
            </w:tcBorders>
            <w:vAlign w:val="center"/>
          </w:tcPr>
          <w:p>
            <w:pPr>
              <w:rPr>
                <w:rFonts w:ascii="宋体" w:hAnsi="宋体"/>
                <w:color w:val="auto"/>
                <w:highlight w:val="none"/>
              </w:rPr>
            </w:pPr>
            <w:bookmarkStart w:id="442" w:name="_Toc322094471"/>
            <w:r>
              <w:rPr>
                <w:rFonts w:hint="eastAsia" w:ascii="宋体" w:hAnsi="宋体"/>
                <w:color w:val="auto"/>
                <w:highlight w:val="none"/>
              </w:rPr>
              <w:t>序号</w:t>
            </w:r>
            <w:bookmarkEnd w:id="442"/>
          </w:p>
        </w:tc>
        <w:tc>
          <w:tcPr>
            <w:tcW w:w="41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bookmarkStart w:id="443" w:name="_Toc254970558"/>
            <w:bookmarkStart w:id="444" w:name="_Toc254970699"/>
            <w:bookmarkStart w:id="445" w:name="_Toc322094472"/>
            <w:r>
              <w:rPr>
                <w:rFonts w:hint="eastAsia" w:ascii="宋体" w:hAnsi="宋体"/>
                <w:color w:val="auto"/>
                <w:highlight w:val="none"/>
              </w:rPr>
              <w:t>招标文件要求</w:t>
            </w:r>
            <w:bookmarkEnd w:id="443"/>
            <w:bookmarkEnd w:id="444"/>
            <w:bookmarkEnd w:id="445"/>
          </w:p>
        </w:tc>
        <w:tc>
          <w:tcPr>
            <w:tcW w:w="3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bookmarkStart w:id="446" w:name="_Toc254970559"/>
            <w:bookmarkStart w:id="447" w:name="_Toc322094473"/>
            <w:bookmarkStart w:id="448" w:name="_Toc254970700"/>
            <w:r>
              <w:rPr>
                <w:rFonts w:hint="eastAsia" w:ascii="宋体" w:hAnsi="宋体"/>
                <w:color w:val="auto"/>
                <w:highlight w:val="none"/>
              </w:rPr>
              <w:t>投标文件响应</w:t>
            </w:r>
            <w:bookmarkEnd w:id="446"/>
            <w:bookmarkEnd w:id="447"/>
            <w:bookmarkEnd w:id="448"/>
          </w:p>
        </w:tc>
        <w:tc>
          <w:tcPr>
            <w:tcW w:w="12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bookmarkStart w:id="449" w:name="_Toc322094474"/>
            <w:bookmarkStart w:id="450" w:name="_Toc254970701"/>
            <w:bookmarkStart w:id="451" w:name="_Toc254970560"/>
            <w:r>
              <w:rPr>
                <w:rFonts w:hint="eastAsia" w:ascii="宋体" w:hAnsi="宋体"/>
                <w:color w:val="auto"/>
                <w:highlight w:val="none"/>
              </w:rPr>
              <w:t>偏离情况</w:t>
            </w:r>
            <w:bookmarkEnd w:id="449"/>
            <w:bookmarkEnd w:id="450"/>
            <w:bookmarkEnd w:id="45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642" w:type="dxa"/>
            <w:vMerge w:val="continue"/>
            <w:tcBorders>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6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货物名称</w:t>
            </w:r>
          </w:p>
        </w:tc>
        <w:tc>
          <w:tcPr>
            <w:tcW w:w="25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招标要求</w:t>
            </w:r>
          </w:p>
        </w:tc>
        <w:tc>
          <w:tcPr>
            <w:tcW w:w="3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r>
              <w:rPr>
                <w:rFonts w:hint="eastAsia" w:ascii="宋体" w:hAnsi="宋体"/>
                <w:color w:val="auto"/>
                <w:highlight w:val="none"/>
              </w:rPr>
              <w:t>投标规格承诺</w:t>
            </w:r>
          </w:p>
        </w:tc>
        <w:tc>
          <w:tcPr>
            <w:tcW w:w="12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6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bookmarkStart w:id="452" w:name="_Toc322094478"/>
            <w:r>
              <w:rPr>
                <w:rFonts w:hint="eastAsia" w:ascii="宋体" w:hAnsi="宋体"/>
                <w:color w:val="auto"/>
                <w:highlight w:val="none"/>
              </w:rPr>
              <w:t>1</w:t>
            </w:r>
            <w:bookmarkEnd w:id="452"/>
          </w:p>
        </w:tc>
        <w:tc>
          <w:tcPr>
            <w:tcW w:w="166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250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356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23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6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bookmarkStart w:id="453" w:name="_Toc322094479"/>
            <w:r>
              <w:rPr>
                <w:rFonts w:hint="eastAsia" w:ascii="宋体" w:hAnsi="宋体"/>
                <w:color w:val="auto"/>
                <w:highlight w:val="none"/>
              </w:rPr>
              <w:t>2</w:t>
            </w:r>
            <w:bookmarkEnd w:id="453"/>
          </w:p>
        </w:tc>
        <w:tc>
          <w:tcPr>
            <w:tcW w:w="166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250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356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23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6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bookmarkStart w:id="454" w:name="_Toc322094480"/>
            <w:r>
              <w:rPr>
                <w:rFonts w:hint="eastAsia" w:ascii="宋体" w:hAnsi="宋体"/>
                <w:color w:val="auto"/>
                <w:highlight w:val="none"/>
              </w:rPr>
              <w:t>3</w:t>
            </w:r>
            <w:bookmarkEnd w:id="454"/>
          </w:p>
        </w:tc>
        <w:tc>
          <w:tcPr>
            <w:tcW w:w="166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250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356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23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6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bookmarkStart w:id="455" w:name="_Toc322094481"/>
            <w:bookmarkStart w:id="456" w:name="_Toc254970728"/>
            <w:bookmarkStart w:id="457" w:name="_Toc254970587"/>
            <w:r>
              <w:rPr>
                <w:rFonts w:hint="eastAsia" w:ascii="宋体" w:hAnsi="宋体"/>
                <w:color w:val="auto"/>
                <w:highlight w:val="none"/>
              </w:rPr>
              <w:t>...</w:t>
            </w:r>
            <w:bookmarkEnd w:id="455"/>
            <w:bookmarkEnd w:id="456"/>
            <w:bookmarkEnd w:id="457"/>
          </w:p>
        </w:tc>
        <w:tc>
          <w:tcPr>
            <w:tcW w:w="166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250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356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23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6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highlight w:val="none"/>
              </w:rPr>
            </w:pPr>
            <w:bookmarkStart w:id="458" w:name="_Toc322094482"/>
            <w:r>
              <w:rPr>
                <w:rFonts w:hint="eastAsia" w:ascii="宋体" w:hAnsi="宋体"/>
                <w:color w:val="auto"/>
                <w:highlight w:val="none"/>
              </w:rPr>
              <w:t>N</w:t>
            </w:r>
            <w:bookmarkEnd w:id="458"/>
          </w:p>
        </w:tc>
        <w:tc>
          <w:tcPr>
            <w:tcW w:w="166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250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356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c>
          <w:tcPr>
            <w:tcW w:w="123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highlight w:val="none"/>
              </w:rPr>
            </w:pPr>
          </w:p>
        </w:tc>
      </w:tr>
    </w:tbl>
    <w:p>
      <w:pPr>
        <w:snapToGrid w:val="0"/>
        <w:spacing w:beforeLines="5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注：按第二章 招标项目采购需求“项目要求及技术需求”的内容填写。</w:t>
      </w:r>
    </w:p>
    <w:p>
      <w:pPr>
        <w:snapToGrid w:val="0"/>
        <w:spacing w:beforeLines="5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投标人应根据投标产品的性能指标、对照招标文件要求在“偏离情况”栏注明“正偏离”、“负偏离”或“无偏离”。</w:t>
      </w: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spacing w:line="360" w:lineRule="auto"/>
        <w:rPr>
          <w:rFonts w:ascii="仿宋_GB2312" w:hAnsi="宋体" w:eastAsia="仿宋_GB2312"/>
          <w:color w:val="auto"/>
          <w:sz w:val="28"/>
          <w:szCs w:val="28"/>
          <w:highlight w:val="none"/>
        </w:rPr>
      </w:pPr>
    </w:p>
    <w:p>
      <w:pPr>
        <w:spacing w:line="360" w:lineRule="auto"/>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法定代表人或委托代理人签字：</w:t>
      </w:r>
    </w:p>
    <w:p>
      <w:pPr>
        <w:spacing w:line="360" w:lineRule="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投标人盖章：</w:t>
      </w:r>
    </w:p>
    <w:p>
      <w:pPr>
        <w:spacing w:line="360" w:lineRule="auto"/>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日期：</w:t>
      </w:r>
    </w:p>
    <w:p>
      <w:pPr>
        <w:rPr>
          <w:rFonts w:ascii="仿宋_GB2312" w:hAnsi="宋体" w:eastAsia="仿宋_GB2312"/>
          <w:color w:val="auto"/>
          <w:sz w:val="28"/>
          <w:szCs w:val="28"/>
          <w:highlight w:val="none"/>
        </w:rPr>
      </w:pPr>
      <w:r>
        <w:rPr>
          <w:rFonts w:ascii="仿宋_GB2312" w:hAnsi="宋体" w:eastAsia="仿宋_GB2312"/>
          <w:color w:val="auto"/>
          <w:sz w:val="28"/>
          <w:szCs w:val="28"/>
          <w:highlight w:val="none"/>
        </w:rPr>
        <w:br w:type="page"/>
      </w:r>
      <w:r>
        <w:rPr>
          <w:rFonts w:hint="eastAsia" w:ascii="仿宋_GB2312" w:hAnsi="宋体" w:eastAsia="仿宋_GB2312"/>
          <w:b/>
          <w:color w:val="auto"/>
          <w:sz w:val="28"/>
          <w:szCs w:val="28"/>
          <w:highlight w:val="none"/>
        </w:rPr>
        <w:t>2、培训、技术支持和售后服务方案（根据招标文件“第二章 招标项目采购需求和第四章  评标办法及评分标准”要求自行编写）；</w:t>
      </w:r>
    </w:p>
    <w:p>
      <w:pPr>
        <w:rPr>
          <w:rFonts w:ascii="仿宋_GB2312" w:hAnsi="宋体" w:eastAsia="仿宋_GB2312"/>
          <w:color w:val="auto"/>
          <w:sz w:val="28"/>
          <w:szCs w:val="28"/>
          <w:highlight w:val="none"/>
        </w:rPr>
      </w:pPr>
    </w:p>
    <w:p>
      <w:pPr>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3、项目实施人员一览表</w:t>
      </w:r>
    </w:p>
    <w:p>
      <w:pPr>
        <w:rPr>
          <w:rFonts w:ascii="仿宋_GB2312" w:hAnsi="宋体" w:eastAsia="仿宋_GB2312"/>
          <w:b/>
          <w:color w:val="auto"/>
          <w:sz w:val="28"/>
          <w:szCs w:val="28"/>
          <w:highlight w:val="none"/>
        </w:rPr>
      </w:pPr>
    </w:p>
    <w:p>
      <w:pPr>
        <w:jc w:val="center"/>
        <w:rPr>
          <w:rFonts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项目实施人员（主要从业人员及其技术资格）一览表</w:t>
      </w:r>
    </w:p>
    <w:p>
      <w:pPr>
        <w:jc w:val="center"/>
        <w:rPr>
          <w:rFonts w:ascii="仿宋_GB2312" w:hAnsi="宋体" w:eastAsia="仿宋_GB2312"/>
          <w:b/>
          <w:color w:val="auto"/>
          <w:sz w:val="32"/>
          <w:szCs w:val="32"/>
          <w:highlight w:val="none"/>
        </w:rPr>
      </w:pPr>
    </w:p>
    <w:p>
      <w:pPr>
        <w:rPr>
          <w:rFonts w:ascii="仿宋_GB2312" w:hAnsi="宋体" w:eastAsia="仿宋_GB2312"/>
          <w:b/>
          <w:color w:val="auto"/>
          <w:sz w:val="28"/>
          <w:szCs w:val="28"/>
          <w:highlight w:val="none"/>
        </w:rPr>
      </w:pPr>
      <w:r>
        <w:rPr>
          <w:rFonts w:hint="eastAsia" w:ascii="仿宋_GB2312" w:hAnsi="宋体" w:eastAsia="仿宋_GB2312"/>
          <w:color w:val="auto"/>
          <w:sz w:val="28"/>
          <w:szCs w:val="28"/>
          <w:highlight w:val="none"/>
        </w:rPr>
        <w:t>分标：</w:t>
      </w:r>
    </w:p>
    <w:tbl>
      <w:tblPr>
        <w:tblStyle w:val="59"/>
        <w:tblW w:w="914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1"/>
        <w:gridCol w:w="1260"/>
        <w:gridCol w:w="1440"/>
        <w:gridCol w:w="1516"/>
        <w:gridCol w:w="1620"/>
        <w:gridCol w:w="1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姓名</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职务</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专业技术资格</w:t>
            </w:r>
          </w:p>
        </w:tc>
        <w:tc>
          <w:tcPr>
            <w:tcW w:w="151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证书编号</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参加本单位工作时间</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31"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26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51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98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31"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26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51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98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31"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26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51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98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31"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26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51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98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31"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26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44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highlight w:val="none"/>
              </w:rPr>
            </w:pPr>
          </w:p>
        </w:tc>
        <w:tc>
          <w:tcPr>
            <w:tcW w:w="1516"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62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c>
          <w:tcPr>
            <w:tcW w:w="1980" w:type="dxa"/>
            <w:tcBorders>
              <w:top w:val="single" w:color="auto" w:sz="4" w:space="0"/>
              <w:left w:val="single" w:color="auto" w:sz="4" w:space="0"/>
              <w:bottom w:val="single" w:color="auto" w:sz="4" w:space="0"/>
              <w:right w:val="single" w:color="auto" w:sz="4" w:space="0"/>
            </w:tcBorders>
          </w:tcPr>
          <w:p>
            <w:pPr>
              <w:rPr>
                <w:rFonts w:ascii="仿宋_GB2312" w:hAnsi="宋体" w:eastAsia="仿宋_GB2312"/>
                <w:color w:val="auto"/>
                <w:sz w:val="24"/>
                <w:szCs w:val="20"/>
                <w:highlight w:val="none"/>
              </w:rPr>
            </w:pPr>
          </w:p>
        </w:tc>
      </w:tr>
    </w:tbl>
    <w:p>
      <w:pPr>
        <w:spacing w:line="360" w:lineRule="auto"/>
        <w:ind w:firstLine="562" w:firstLineChars="200"/>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注：1、项目实施人员必须提供投标截止之日前半年内投标人连续三个月为其依法缴纳社会保障资金的证明，无缴费记录的，应提供由投标人所在地社保部门出具的《依法缴纳或依法免缴社保费证明》（格式自拟）；</w:t>
      </w:r>
    </w:p>
    <w:p>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2、在填写时，如本表格不适合投标单位的实际情况，可根据本表格式自行划表填写。</w:t>
      </w:r>
    </w:p>
    <w:p>
      <w:pPr>
        <w:rPr>
          <w:rFonts w:ascii="仿宋_GB2312" w:hAnsi="宋体" w:eastAsia="仿宋_GB2312"/>
          <w:color w:val="auto"/>
          <w:sz w:val="28"/>
          <w:szCs w:val="28"/>
          <w:highlight w:val="none"/>
        </w:rPr>
      </w:pPr>
    </w:p>
    <w:p>
      <w:pPr>
        <w:rPr>
          <w:rFonts w:ascii="仿宋_GB2312" w:hAnsi="宋体" w:eastAsia="仿宋_GB2312"/>
          <w:color w:val="auto"/>
          <w:sz w:val="28"/>
          <w:szCs w:val="28"/>
          <w:highlight w:val="none"/>
        </w:rPr>
      </w:pPr>
    </w:p>
    <w:p>
      <w:pPr>
        <w:rPr>
          <w:rFonts w:ascii="仿宋_GB2312" w:hAnsi="宋体" w:eastAsia="仿宋_GB2312"/>
          <w:color w:val="auto"/>
          <w:sz w:val="28"/>
          <w:szCs w:val="28"/>
          <w:highlight w:val="none"/>
        </w:rPr>
      </w:pPr>
    </w:p>
    <w:p>
      <w:pPr>
        <w:spacing w:line="360" w:lineRule="auto"/>
        <w:rPr>
          <w:rFonts w:ascii="仿宋_GB2312" w:hAnsi="宋体" w:eastAsia="仿宋_GB2312"/>
          <w:color w:val="auto"/>
          <w:sz w:val="30"/>
          <w:szCs w:val="30"/>
          <w:highlight w:val="none"/>
          <w:u w:val="single"/>
        </w:rPr>
      </w:pPr>
      <w:r>
        <w:rPr>
          <w:rFonts w:hint="eastAsia" w:ascii="仿宋_GB2312" w:hAnsi="宋体" w:eastAsia="仿宋_GB2312"/>
          <w:color w:val="auto"/>
          <w:sz w:val="30"/>
          <w:szCs w:val="30"/>
          <w:highlight w:val="none"/>
        </w:rPr>
        <w:t>法定代表人或委托代理人签字：</w:t>
      </w:r>
    </w:p>
    <w:p>
      <w:pPr>
        <w:spacing w:line="360" w:lineRule="auto"/>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投标人盖章：</w:t>
      </w:r>
    </w:p>
    <w:p>
      <w:pPr>
        <w:spacing w:line="360" w:lineRule="auto"/>
        <w:rPr>
          <w:rFonts w:ascii="仿宋_GB2312" w:hAnsi="宋体" w:eastAsia="仿宋_GB2312"/>
          <w:color w:val="auto"/>
          <w:sz w:val="30"/>
          <w:szCs w:val="30"/>
          <w:highlight w:val="none"/>
          <w:u w:val="single"/>
        </w:rPr>
      </w:pPr>
      <w:r>
        <w:rPr>
          <w:rFonts w:hint="eastAsia" w:ascii="仿宋_GB2312" w:hAnsi="宋体" w:eastAsia="仿宋_GB2312"/>
          <w:color w:val="auto"/>
          <w:sz w:val="30"/>
          <w:szCs w:val="30"/>
          <w:highlight w:val="none"/>
        </w:rPr>
        <w:t>日期：</w:t>
      </w:r>
    </w:p>
    <w:p>
      <w:pPr>
        <w:rPr>
          <w:rFonts w:ascii="仿宋_GB2312" w:hAnsi="宋体" w:eastAsia="仿宋_GB2312"/>
          <w:b/>
          <w:color w:val="auto"/>
          <w:sz w:val="28"/>
          <w:szCs w:val="28"/>
          <w:highlight w:val="none"/>
        </w:rPr>
      </w:pPr>
      <w:r>
        <w:rPr>
          <w:rFonts w:ascii="仿宋_GB2312" w:hAnsi="宋体" w:eastAsia="仿宋_GB2312"/>
          <w:color w:val="auto"/>
          <w:sz w:val="28"/>
          <w:szCs w:val="28"/>
          <w:highlight w:val="none"/>
          <w:u w:val="single"/>
        </w:rPr>
        <w:br w:type="page"/>
      </w:r>
      <w:r>
        <w:rPr>
          <w:rFonts w:hint="eastAsia" w:ascii="仿宋_GB2312" w:hAnsi="宋体" w:eastAsia="仿宋_GB2312"/>
          <w:b/>
          <w:color w:val="auto"/>
          <w:sz w:val="28"/>
          <w:szCs w:val="28"/>
          <w:highlight w:val="none"/>
        </w:rPr>
        <w:t>4、产品出厂标准、质量检测报告（其中有精度要求的仪器设备类政府采购项目，应当要求投标人提供由第三方精度检测报告或由采购人在投标前组织的精度实测数据）；</w:t>
      </w:r>
    </w:p>
    <w:p>
      <w:pPr>
        <w:rPr>
          <w:rFonts w:ascii="仿宋_GB2312" w:hAnsi="宋体" w:eastAsia="仿宋_GB2312"/>
          <w:b/>
          <w:color w:val="auto"/>
          <w:sz w:val="28"/>
          <w:szCs w:val="28"/>
          <w:highlight w:val="none"/>
        </w:rPr>
      </w:pPr>
    </w:p>
    <w:p>
      <w:pPr>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5、原厂出厂配置表及原厂中文使用说明书（格式自拟）</w:t>
      </w:r>
    </w:p>
    <w:p>
      <w:pPr>
        <w:rPr>
          <w:rFonts w:ascii="仿宋_GB2312" w:hAnsi="宋体" w:eastAsia="仿宋_GB2312"/>
          <w:b/>
          <w:color w:val="auto"/>
          <w:sz w:val="28"/>
          <w:szCs w:val="28"/>
          <w:highlight w:val="none"/>
        </w:rPr>
      </w:pPr>
    </w:p>
    <w:p>
      <w:pPr>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6、投标人需要说明的其他文件和说明（格式略，▲第二章《招标项目采购需求》中要求必须提供的，必须提供，否则投标无效）</w:t>
      </w:r>
    </w:p>
    <w:p>
      <w:pPr>
        <w:rPr>
          <w:rFonts w:ascii="仿宋_GB2312" w:hAnsi="宋体" w:eastAsia="仿宋_GB2312"/>
          <w:b/>
          <w:color w:val="auto"/>
          <w:sz w:val="28"/>
          <w:szCs w:val="28"/>
          <w:highlight w:val="none"/>
        </w:rPr>
      </w:pPr>
    </w:p>
    <w:p>
      <w:pPr>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7、根据招标文件“第四章  评标办法及评分标准”要求提供的各种文件和材料</w:t>
      </w:r>
    </w:p>
    <w:p>
      <w:pPr>
        <w:rPr>
          <w:rFonts w:ascii="仿宋_GB2312" w:hAnsi="宋体" w:eastAsia="仿宋_GB2312"/>
          <w:b/>
          <w:color w:val="auto"/>
          <w:sz w:val="28"/>
          <w:szCs w:val="28"/>
          <w:highlight w:val="none"/>
        </w:rPr>
      </w:pPr>
    </w:p>
    <w:p>
      <w:pPr>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8、投标人认为有必要提供的材料。</w:t>
      </w:r>
    </w:p>
    <w:p>
      <w:pPr>
        <w:rPr>
          <w:rFonts w:ascii="仿宋_GB2312" w:hAnsi="宋体" w:eastAsia="仿宋_GB2312"/>
          <w:b/>
          <w:color w:val="auto"/>
          <w:sz w:val="30"/>
          <w:szCs w:val="30"/>
          <w:highlight w:val="none"/>
        </w:rPr>
      </w:pPr>
      <w:r>
        <w:rPr>
          <w:rFonts w:ascii="仿宋_GB2312" w:hAnsi="宋体" w:eastAsia="仿宋_GB2312"/>
          <w:b/>
          <w:color w:val="auto"/>
          <w:sz w:val="28"/>
          <w:szCs w:val="28"/>
          <w:highlight w:val="none"/>
        </w:rPr>
        <w:br w:type="page"/>
      </w:r>
      <w:r>
        <w:rPr>
          <w:rFonts w:hint="eastAsia"/>
          <w:color w:val="auto"/>
          <w:sz w:val="36"/>
          <w:szCs w:val="36"/>
          <w:highlight w:val="none"/>
        </w:rPr>
        <w:t xml:space="preserve">报价文件格式： </w:t>
      </w:r>
    </w:p>
    <w:p>
      <w:pP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1、投标函格式：</w:t>
      </w:r>
    </w:p>
    <w:p>
      <w:pPr>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投 标 函</w:t>
      </w:r>
    </w:p>
    <w:p>
      <w:pPr>
        <w:rPr>
          <w:rFonts w:ascii="仿宋_GB2312" w:hAnsi="宋体" w:eastAsia="仿宋_GB2312"/>
          <w:b/>
          <w:color w:val="auto"/>
          <w:sz w:val="24"/>
          <w:highlight w:val="none"/>
        </w:rPr>
      </w:pPr>
    </w:p>
    <w:p>
      <w:pPr>
        <w:spacing w:line="4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致：</w:t>
      </w:r>
      <w:r>
        <w:rPr>
          <w:rFonts w:hint="eastAsia" w:ascii="仿宋_GB2312" w:hAnsi="宋体" w:eastAsia="仿宋_GB2312"/>
          <w:color w:val="auto"/>
          <w:sz w:val="28"/>
          <w:szCs w:val="28"/>
          <w:highlight w:val="none"/>
          <w:u w:val="single"/>
        </w:rPr>
        <w:t xml:space="preserve">  （采购代理机构名称）  </w:t>
      </w:r>
      <w:r>
        <w:rPr>
          <w:rFonts w:hint="eastAsia" w:ascii="仿宋_GB2312" w:hAnsi="宋体" w:eastAsia="仿宋_GB2312"/>
          <w:color w:val="auto"/>
          <w:sz w:val="28"/>
          <w:szCs w:val="28"/>
          <w:highlight w:val="none"/>
        </w:rPr>
        <w:t>：</w:t>
      </w:r>
    </w:p>
    <w:p>
      <w:pPr>
        <w:spacing w:line="4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根据贵方为项目（项目编号：）的招标公告/投标邀请书，签字代表</w:t>
      </w:r>
      <w:r>
        <w:rPr>
          <w:rFonts w:hint="eastAsia" w:ascii="仿宋_GB2312" w:hAnsi="宋体" w:eastAsia="仿宋_GB2312"/>
          <w:color w:val="auto"/>
          <w:sz w:val="28"/>
          <w:szCs w:val="28"/>
          <w:highlight w:val="none"/>
          <w:u w:val="single"/>
        </w:rPr>
        <w:t xml:space="preserve"> （全名）   </w:t>
      </w:r>
      <w:r>
        <w:rPr>
          <w:rFonts w:hint="eastAsia" w:ascii="仿宋_GB2312" w:hAnsi="宋体" w:eastAsia="仿宋_GB2312"/>
          <w:color w:val="auto"/>
          <w:sz w:val="28"/>
          <w:szCs w:val="28"/>
          <w:highlight w:val="none"/>
        </w:rPr>
        <w:t>经正式授权并代表投标人</w:t>
      </w:r>
      <w:r>
        <w:rPr>
          <w:rFonts w:hint="eastAsia" w:ascii="仿宋_GB2312" w:hAnsi="宋体" w:eastAsia="仿宋_GB2312"/>
          <w:color w:val="auto"/>
          <w:sz w:val="28"/>
          <w:szCs w:val="28"/>
          <w:highlight w:val="none"/>
          <w:u w:val="single"/>
        </w:rPr>
        <w:t xml:space="preserve">  （投标人名称）     </w:t>
      </w:r>
      <w:r>
        <w:rPr>
          <w:rFonts w:hint="eastAsia" w:ascii="仿宋_GB2312" w:hAnsi="宋体" w:eastAsia="仿宋_GB2312"/>
          <w:color w:val="auto"/>
          <w:sz w:val="28"/>
          <w:szCs w:val="28"/>
          <w:highlight w:val="none"/>
        </w:rPr>
        <w:t>提交</w:t>
      </w:r>
      <w:r>
        <w:rPr>
          <w:rFonts w:hint="eastAsia" w:ascii="仿宋_GB2312" w:hAnsi="宋体" w:eastAsia="仿宋_GB2312"/>
          <w:b/>
          <w:color w:val="auto"/>
          <w:sz w:val="28"/>
          <w:szCs w:val="28"/>
          <w:highlight w:val="none"/>
        </w:rPr>
        <w:t>开标一览表正本一份，副本二份；资格审查文件正本一份，副本二份；投标文件（商务、技术、报价文件）正本一份，副本六份</w:t>
      </w:r>
      <w:r>
        <w:rPr>
          <w:rFonts w:hint="eastAsia" w:ascii="仿宋_GB2312" w:hAnsi="宋体" w:eastAsia="仿宋_GB2312"/>
          <w:color w:val="auto"/>
          <w:sz w:val="28"/>
          <w:szCs w:val="28"/>
          <w:highlight w:val="none"/>
        </w:rPr>
        <w:t>。</w:t>
      </w:r>
    </w:p>
    <w:p>
      <w:pPr>
        <w:spacing w:line="4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据此函，签字代表宣布同意如下：</w:t>
      </w:r>
    </w:p>
    <w:p>
      <w:pPr>
        <w:spacing w:line="4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1.投标人已详细审查全部“招标文件”，包括修改文件（如有的话）以及全部参考资料和有关附件，已经了解我方对于招标文件、采购过程、采购结果有依法进行询问、质疑、投诉的权利及相关渠道和要求。</w:t>
      </w:r>
    </w:p>
    <w:p>
      <w:pPr>
        <w:spacing w:line="4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2.投标人在投标之前已经与贵方进行了充分的沟通，完全理解并接受招标文件的各项规定和要求，对招标文件的合理性、合法性不再有异议。</w:t>
      </w:r>
    </w:p>
    <w:p>
      <w:pPr>
        <w:spacing w:line="4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3.本投标有效期自开标日起日。</w:t>
      </w:r>
    </w:p>
    <w:p>
      <w:pPr>
        <w:spacing w:line="4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4.如中标，本投标文件至本项目合同履行完毕止均保持有效，本投标人将按“招标文件”及政府采购法律、法规的规定履行合同责任和义务。</w:t>
      </w:r>
    </w:p>
    <w:p>
      <w:pPr>
        <w:spacing w:line="4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5.投标人同意按照贵方要求提供与投标有关的一切数据或资料。</w:t>
      </w:r>
    </w:p>
    <w:p>
      <w:pPr>
        <w:spacing w:line="46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6.与本投标有关的一切正式往来信函请寄：</w:t>
      </w:r>
    </w:p>
    <w:p>
      <w:pPr>
        <w:spacing w:line="460" w:lineRule="exact"/>
        <w:rPr>
          <w:rFonts w:ascii="仿宋_GB2312" w:hAnsi="宋体" w:eastAsia="仿宋_GB2312"/>
          <w:color w:val="auto"/>
          <w:sz w:val="24"/>
          <w:highlight w:val="none"/>
        </w:rPr>
      </w:pPr>
    </w:p>
    <w:p>
      <w:pPr>
        <w:spacing w:line="460" w:lineRule="exact"/>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地址：</w:t>
      </w:r>
    </w:p>
    <w:p>
      <w:pPr>
        <w:spacing w:line="4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邮编：</w:t>
      </w:r>
    </w:p>
    <w:p>
      <w:pPr>
        <w:spacing w:line="4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电话：</w:t>
      </w:r>
    </w:p>
    <w:p>
      <w:pPr>
        <w:spacing w:line="4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传真：</w:t>
      </w:r>
    </w:p>
    <w:p>
      <w:pPr>
        <w:spacing w:line="4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投标人代表姓名：  职务：</w:t>
      </w:r>
    </w:p>
    <w:p>
      <w:pPr>
        <w:spacing w:line="4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投标人名称（公章）：</w:t>
      </w:r>
    </w:p>
    <w:p>
      <w:pPr>
        <w:spacing w:line="4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开户银行：   银行帐号：</w:t>
      </w:r>
    </w:p>
    <w:p>
      <w:pPr>
        <w:spacing w:line="460" w:lineRule="exact"/>
        <w:rPr>
          <w:rFonts w:ascii="仿宋_GB2312" w:hAnsi="宋体" w:eastAsia="仿宋_GB2312"/>
          <w:color w:val="auto"/>
          <w:sz w:val="28"/>
          <w:szCs w:val="28"/>
          <w:highlight w:val="none"/>
          <w:u w:val="single"/>
        </w:rPr>
      </w:pPr>
      <w:r>
        <w:rPr>
          <w:rFonts w:hint="eastAsia" w:ascii="仿宋_GB2312" w:hAnsi="宋体" w:eastAsia="仿宋_GB2312"/>
          <w:color w:val="auto"/>
          <w:sz w:val="28"/>
          <w:szCs w:val="28"/>
          <w:highlight w:val="none"/>
        </w:rPr>
        <w:t>委托代理人签字：</w:t>
      </w:r>
    </w:p>
    <w:p>
      <w:pPr>
        <w:spacing w:line="4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日期：年月日</w:t>
      </w:r>
    </w:p>
    <w:p>
      <w:pPr>
        <w:rPr>
          <w:rFonts w:ascii="仿宋_GB2312" w:hAnsi="宋体" w:eastAsia="仿宋_GB2312"/>
          <w:color w:val="auto"/>
          <w:sz w:val="24"/>
          <w:highlight w:val="none"/>
        </w:rPr>
      </w:pPr>
    </w:p>
    <w:p>
      <w:pPr>
        <w:rPr>
          <w:rFonts w:ascii="仿宋_GB2312" w:hAnsi="宋体" w:eastAsia="仿宋_GB2312"/>
          <w:b/>
          <w:color w:val="auto"/>
          <w:sz w:val="30"/>
          <w:szCs w:val="30"/>
          <w:highlight w:val="none"/>
        </w:rPr>
      </w:pPr>
      <w:r>
        <w:rPr>
          <w:rFonts w:hint="eastAsia" w:ascii="仿宋_GB2312" w:hAnsi="宋体" w:eastAsia="仿宋_GB2312"/>
          <w:color w:val="auto"/>
          <w:sz w:val="24"/>
          <w:highlight w:val="none"/>
        </w:rPr>
        <w:br w:type="page"/>
      </w:r>
      <w:r>
        <w:rPr>
          <w:rFonts w:hint="eastAsia" w:ascii="仿宋_GB2312" w:hAnsi="宋体" w:eastAsia="仿宋_GB2312"/>
          <w:b/>
          <w:color w:val="auto"/>
          <w:sz w:val="30"/>
          <w:szCs w:val="30"/>
          <w:highlight w:val="none"/>
        </w:rPr>
        <w:t>2、投标报价明细表格式：</w:t>
      </w:r>
    </w:p>
    <w:p>
      <w:pPr>
        <w:jc w:val="center"/>
        <w:rPr>
          <w:rFonts w:ascii="仿宋_GB2312" w:hAnsi="宋体" w:eastAsia="仿宋_GB2312"/>
          <w:b/>
          <w:color w:val="auto"/>
          <w:sz w:val="36"/>
          <w:szCs w:val="36"/>
          <w:highlight w:val="none"/>
        </w:rPr>
      </w:pPr>
    </w:p>
    <w:p>
      <w:pPr>
        <w:jc w:val="center"/>
        <w:rPr>
          <w:rFonts w:ascii="仿宋_GB2312" w:hAnsi="宋体" w:eastAsia="仿宋_GB2312"/>
          <w:b/>
          <w:color w:val="auto"/>
          <w:sz w:val="36"/>
          <w:szCs w:val="36"/>
          <w:highlight w:val="none"/>
        </w:rPr>
      </w:pPr>
    </w:p>
    <w:p>
      <w:pPr>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投标报价明细表</w:t>
      </w:r>
    </w:p>
    <w:p>
      <w:pP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分标号：                              金额单位：人民币（元）</w:t>
      </w:r>
    </w:p>
    <w:p>
      <w:pPr>
        <w:rPr>
          <w:rFonts w:ascii="仿宋_GB2312" w:hAnsi="宋体" w:eastAsia="仿宋_GB2312"/>
          <w:color w:val="auto"/>
          <w:sz w:val="24"/>
          <w:highlight w:val="none"/>
        </w:rPr>
      </w:pPr>
    </w:p>
    <w:tbl>
      <w:tblPr>
        <w:tblStyle w:val="59"/>
        <w:tblW w:w="96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1"/>
        <w:gridCol w:w="1418"/>
        <w:gridCol w:w="1559"/>
        <w:gridCol w:w="709"/>
        <w:gridCol w:w="1417"/>
        <w:gridCol w:w="1558"/>
        <w:gridCol w:w="727"/>
        <w:gridCol w:w="13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项号</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货物名称</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数量（单位）</w:t>
            </w:r>
          </w:p>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①</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产地</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品牌、</w:t>
            </w:r>
          </w:p>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规格型号</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生产厂家</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单价</w:t>
            </w:r>
          </w:p>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②</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投标报价</w:t>
            </w:r>
          </w:p>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③=①×②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4"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4"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4"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3</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4"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4"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N</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9618" w:type="dxa"/>
            <w:gridSpan w:val="8"/>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pacing w:val="20"/>
                <w:sz w:val="24"/>
                <w:highlight w:val="none"/>
              </w:rPr>
            </w:pPr>
            <w:r>
              <w:rPr>
                <w:rFonts w:hint="eastAsia" w:ascii="仿宋_GB2312" w:hAnsi="宋体" w:eastAsia="仿宋_GB2312"/>
                <w:color w:val="auto"/>
                <w:sz w:val="24"/>
                <w:highlight w:val="none"/>
              </w:rPr>
              <w:t>合计总金额</w:t>
            </w:r>
            <w:r>
              <w:rPr>
                <w:rFonts w:hint="eastAsia" w:ascii="仿宋_GB2312" w:hAnsi="宋体" w:eastAsia="仿宋_GB2312"/>
                <w:color w:val="auto"/>
                <w:spacing w:val="20"/>
                <w:sz w:val="24"/>
                <w:highlight w:val="none"/>
              </w:rPr>
              <w:t>（</w:t>
            </w:r>
            <w:r>
              <w:rPr>
                <w:rFonts w:hint="eastAsia" w:ascii="仿宋_GB2312" w:hAnsi="宋体" w:eastAsia="仿宋_GB2312"/>
                <w:color w:val="auto"/>
                <w:sz w:val="24"/>
                <w:highlight w:val="none"/>
              </w:rPr>
              <w:t>大写）：</w:t>
            </w:r>
            <w:r>
              <w:rPr>
                <w:rFonts w:hint="eastAsia" w:ascii="仿宋_GB2312" w:hAnsi="宋体" w:eastAsia="仿宋_GB2312"/>
                <w:color w:val="auto"/>
                <w:spacing w:val="20"/>
                <w:sz w:val="24"/>
                <w:highlight w:val="none"/>
                <w:u w:val="single"/>
              </w:rPr>
              <w:t>人民币</w:t>
            </w:r>
            <w:r>
              <w:rPr>
                <w:rFonts w:hint="eastAsia" w:ascii="仿宋_GB2312" w:hAnsi="宋体" w:eastAsia="仿宋_GB2312"/>
                <w:color w:val="auto"/>
                <w:sz w:val="24"/>
                <w:highlight w:val="none"/>
                <w:u w:val="single"/>
              </w:rPr>
              <w:t xml:space="preserve">                     元整</w:t>
            </w:r>
            <w:r>
              <w:rPr>
                <w:rFonts w:hint="eastAsia" w:ascii="仿宋_GB2312" w:hAnsi="宋体" w:eastAsia="仿宋_GB2312"/>
                <w:color w:val="auto"/>
                <w:spacing w:val="20"/>
                <w:sz w:val="24"/>
                <w:highlight w:val="none"/>
                <w:u w:val="single"/>
              </w:rPr>
              <w:t>（</w:t>
            </w:r>
            <w:r>
              <w:rPr>
                <w:rFonts w:hint="eastAsia" w:ascii="宋体" w:hAnsi="宋体" w:eastAsia="仿宋_GB2312"/>
                <w:color w:val="auto"/>
                <w:spacing w:val="20"/>
                <w:sz w:val="24"/>
                <w:highlight w:val="none"/>
                <w:u w:val="single"/>
              </w:rPr>
              <w:t>¥</w:t>
            </w:r>
            <w:r>
              <w:rPr>
                <w:rFonts w:hint="eastAsia" w:ascii="仿宋_GB2312" w:hAnsi="宋体" w:eastAsia="仿宋_GB2312"/>
                <w:color w:val="auto"/>
                <w:spacing w:val="2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9618" w:type="dxa"/>
            <w:gridSpan w:val="8"/>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r>
              <w:rPr>
                <w:rFonts w:hint="eastAsia" w:ascii="仿宋_GB2312" w:hAnsi="宋体" w:eastAsia="仿宋_GB2312"/>
                <w:bCs/>
                <w:color w:val="auto"/>
                <w:kern w:val="0"/>
                <w:sz w:val="24"/>
                <w:highlight w:val="none"/>
              </w:rPr>
              <w:t>交货时间</w:t>
            </w:r>
            <w:r>
              <w:rPr>
                <w:rFonts w:hint="eastAsia" w:ascii="仿宋_GB2312" w:hAnsi="宋体" w:eastAsia="仿宋_GB2312"/>
                <w:color w:val="auto"/>
                <w:sz w:val="24"/>
                <w:highlight w:val="none"/>
              </w:rPr>
              <w:t>：</w:t>
            </w:r>
          </w:p>
        </w:tc>
      </w:tr>
    </w:tbl>
    <w:p>
      <w:pPr>
        <w:rPr>
          <w:rFonts w:ascii="仿宋_GB2312" w:hAnsi="宋体" w:eastAsia="仿宋_GB2312" w:cs="Courier New"/>
          <w:color w:val="auto"/>
          <w:sz w:val="24"/>
          <w:highlight w:val="none"/>
        </w:rPr>
      </w:pPr>
    </w:p>
    <w:p>
      <w:pPr>
        <w:rPr>
          <w:rFonts w:ascii="仿宋_GB2312" w:hAnsi="宋体" w:eastAsia="仿宋_GB2312"/>
          <w:color w:val="auto"/>
          <w:spacing w:val="20"/>
          <w:sz w:val="24"/>
          <w:highlight w:val="none"/>
          <w:u w:val="single"/>
        </w:rPr>
      </w:pPr>
    </w:p>
    <w:p>
      <w:pPr>
        <w:rPr>
          <w:rFonts w:ascii="仿宋_GB2312" w:hAnsi="宋体" w:eastAsia="仿宋_GB2312"/>
          <w:color w:val="auto"/>
          <w:spacing w:val="20"/>
          <w:sz w:val="24"/>
          <w:highlight w:val="none"/>
          <w:u w:val="single"/>
        </w:rPr>
      </w:pPr>
    </w:p>
    <w:p>
      <w:pPr>
        <w:spacing w:line="360" w:lineRule="auto"/>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法定代表人或授权代表（签字或盖章）：</w:t>
      </w:r>
    </w:p>
    <w:p>
      <w:pPr>
        <w:spacing w:line="360" w:lineRule="auto"/>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投标人名称（公章）：</w:t>
      </w:r>
    </w:p>
    <w:p>
      <w:pPr>
        <w:spacing w:line="360" w:lineRule="auto"/>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日期：年月日</w:t>
      </w: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spacing w:line="360" w:lineRule="auto"/>
        <w:rPr>
          <w:rFonts w:ascii="仿宋_GB2312" w:hAnsi="宋体" w:eastAsia="仿宋_GB2312"/>
          <w:b/>
          <w:color w:val="auto"/>
          <w:sz w:val="24"/>
          <w:highlight w:val="none"/>
        </w:rPr>
      </w:pPr>
      <w:r>
        <w:rPr>
          <w:rFonts w:hint="eastAsia" w:ascii="仿宋_GB2312" w:hAnsi="宋体" w:eastAsia="仿宋_GB2312"/>
          <w:b/>
          <w:color w:val="auto"/>
          <w:sz w:val="24"/>
          <w:highlight w:val="none"/>
        </w:rPr>
        <w:t>3、开标一览表信封封面格式（可以手写，密封）：</w:t>
      </w: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项目名称：</w:t>
      </w:r>
    </w:p>
    <w:p>
      <w:pPr>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项目编号：</w:t>
      </w: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分标号：  </w:t>
      </w: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rPr>
          <w:rFonts w:ascii="仿宋_GB2312" w:hAnsi="宋体" w:eastAsia="仿宋_GB2312"/>
          <w:b/>
          <w:color w:val="auto"/>
          <w:sz w:val="24"/>
          <w:highlight w:val="none"/>
        </w:rPr>
      </w:pPr>
    </w:p>
    <w:p>
      <w:pPr>
        <w:rPr>
          <w:rFonts w:ascii="仿宋_GB2312" w:hAnsi="宋体" w:eastAsia="仿宋_GB2312"/>
          <w:b/>
          <w:color w:val="auto"/>
          <w:sz w:val="24"/>
          <w:highlight w:val="none"/>
        </w:rPr>
      </w:pPr>
    </w:p>
    <w:p>
      <w:pPr>
        <w:rPr>
          <w:rFonts w:ascii="仿宋_GB2312" w:hAnsi="宋体" w:eastAsia="仿宋_GB2312"/>
          <w:b/>
          <w:color w:val="auto"/>
          <w:sz w:val="24"/>
          <w:highlight w:val="none"/>
        </w:rPr>
      </w:pPr>
      <w:r>
        <w:rPr>
          <w:rFonts w:hint="eastAsia" w:ascii="仿宋_GB2312" w:hAnsi="宋体" w:eastAsia="仿宋_GB2312"/>
          <w:b/>
          <w:color w:val="auto"/>
          <w:sz w:val="24"/>
          <w:highlight w:val="none"/>
        </w:rPr>
        <w:t>4、开标一览表（货物类格式）：</w:t>
      </w:r>
    </w:p>
    <w:p>
      <w:pPr>
        <w:rPr>
          <w:rFonts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开标一览表</w:t>
      </w:r>
    </w:p>
    <w:p>
      <w:pPr>
        <w:rPr>
          <w:rFonts w:ascii="仿宋_GB2312" w:hAnsi="宋体" w:eastAsia="仿宋_GB2312"/>
          <w:color w:val="auto"/>
          <w:sz w:val="24"/>
          <w:highlight w:val="none"/>
        </w:rPr>
      </w:pPr>
      <w:r>
        <w:rPr>
          <w:rFonts w:hint="eastAsia" w:ascii="仿宋_GB2312" w:hAnsi="宋体" w:eastAsia="仿宋_GB2312"/>
          <w:color w:val="auto"/>
          <w:sz w:val="24"/>
          <w:highlight w:val="none"/>
        </w:rPr>
        <w:t>项目名称：</w:t>
      </w:r>
    </w:p>
    <w:p>
      <w:pPr>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项目编号：</w:t>
      </w:r>
    </w:p>
    <w:p>
      <w:pPr>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 xml:space="preserve">分标号：  </w:t>
      </w:r>
    </w:p>
    <w:p>
      <w:pPr>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单位：人民币（元）</w:t>
      </w:r>
    </w:p>
    <w:tbl>
      <w:tblPr>
        <w:tblStyle w:val="59"/>
        <w:tblW w:w="96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1"/>
        <w:gridCol w:w="1418"/>
        <w:gridCol w:w="1559"/>
        <w:gridCol w:w="709"/>
        <w:gridCol w:w="1417"/>
        <w:gridCol w:w="1558"/>
        <w:gridCol w:w="727"/>
        <w:gridCol w:w="13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项号</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货物名称</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数量（单位）</w:t>
            </w:r>
          </w:p>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①</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产地</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品牌、</w:t>
            </w:r>
          </w:p>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规格型号</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生产厂家</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单价</w:t>
            </w:r>
          </w:p>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②</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投标报价</w:t>
            </w:r>
          </w:p>
          <w:p>
            <w:pPr>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③=①×②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3</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N</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618" w:type="dxa"/>
            <w:gridSpan w:val="8"/>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pacing w:val="20"/>
                <w:sz w:val="24"/>
                <w:highlight w:val="none"/>
              </w:rPr>
            </w:pPr>
            <w:r>
              <w:rPr>
                <w:rFonts w:hint="eastAsia" w:ascii="仿宋_GB2312" w:hAnsi="宋体" w:eastAsia="仿宋_GB2312"/>
                <w:color w:val="auto"/>
                <w:sz w:val="24"/>
                <w:highlight w:val="none"/>
              </w:rPr>
              <w:t>合计总金额</w:t>
            </w:r>
            <w:r>
              <w:rPr>
                <w:rFonts w:hint="eastAsia" w:ascii="仿宋_GB2312" w:hAnsi="宋体" w:eastAsia="仿宋_GB2312"/>
                <w:color w:val="auto"/>
                <w:spacing w:val="20"/>
                <w:sz w:val="24"/>
                <w:highlight w:val="none"/>
              </w:rPr>
              <w:t>（</w:t>
            </w:r>
            <w:r>
              <w:rPr>
                <w:rFonts w:hint="eastAsia" w:ascii="仿宋_GB2312" w:hAnsi="宋体" w:eastAsia="仿宋_GB2312"/>
                <w:color w:val="auto"/>
                <w:sz w:val="24"/>
                <w:highlight w:val="none"/>
              </w:rPr>
              <w:t>大写）：</w:t>
            </w:r>
            <w:r>
              <w:rPr>
                <w:rFonts w:hint="eastAsia" w:ascii="仿宋_GB2312" w:hAnsi="宋体" w:eastAsia="仿宋_GB2312"/>
                <w:color w:val="auto"/>
                <w:spacing w:val="20"/>
                <w:sz w:val="24"/>
                <w:highlight w:val="none"/>
                <w:u w:val="single"/>
              </w:rPr>
              <w:t>人民币</w:t>
            </w:r>
            <w:r>
              <w:rPr>
                <w:rFonts w:hint="eastAsia" w:ascii="仿宋_GB2312" w:hAnsi="宋体" w:eastAsia="仿宋_GB2312"/>
                <w:color w:val="auto"/>
                <w:sz w:val="24"/>
                <w:highlight w:val="none"/>
                <w:u w:val="single"/>
              </w:rPr>
              <w:t xml:space="preserve">                     元整</w:t>
            </w:r>
            <w:r>
              <w:rPr>
                <w:rFonts w:hint="eastAsia" w:ascii="仿宋_GB2312" w:hAnsi="宋体" w:eastAsia="仿宋_GB2312"/>
                <w:color w:val="auto"/>
                <w:spacing w:val="20"/>
                <w:sz w:val="24"/>
                <w:highlight w:val="none"/>
                <w:u w:val="single"/>
              </w:rPr>
              <w:t>（</w:t>
            </w:r>
            <w:r>
              <w:rPr>
                <w:rFonts w:hint="eastAsia" w:ascii="宋体" w:hAnsi="宋体" w:eastAsia="仿宋_GB2312"/>
                <w:color w:val="auto"/>
                <w:spacing w:val="20"/>
                <w:sz w:val="24"/>
                <w:highlight w:val="none"/>
                <w:u w:val="single"/>
              </w:rPr>
              <w:t>¥</w:t>
            </w:r>
            <w:r>
              <w:rPr>
                <w:rFonts w:hint="eastAsia" w:ascii="仿宋_GB2312" w:hAnsi="宋体" w:eastAsia="仿宋_GB2312"/>
                <w:color w:val="auto"/>
                <w:spacing w:val="2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618" w:type="dxa"/>
            <w:gridSpan w:val="8"/>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 w:val="24"/>
                <w:highlight w:val="none"/>
              </w:rPr>
            </w:pPr>
            <w:r>
              <w:rPr>
                <w:rFonts w:hint="eastAsia" w:ascii="仿宋_GB2312" w:hAnsi="宋体" w:eastAsia="仿宋_GB2312"/>
                <w:bCs/>
                <w:color w:val="auto"/>
                <w:kern w:val="0"/>
                <w:sz w:val="24"/>
                <w:highlight w:val="none"/>
              </w:rPr>
              <w:t>交货时间</w:t>
            </w:r>
            <w:r>
              <w:rPr>
                <w:rFonts w:hint="eastAsia" w:ascii="仿宋_GB2312" w:hAnsi="宋体" w:eastAsia="仿宋_GB2312"/>
                <w:color w:val="auto"/>
                <w:sz w:val="24"/>
                <w:highlight w:val="none"/>
              </w:rPr>
              <w:t>：</w:t>
            </w:r>
          </w:p>
        </w:tc>
      </w:tr>
    </w:tbl>
    <w:p>
      <w:pPr>
        <w:rPr>
          <w:rFonts w:ascii="仿宋_GB2312" w:hAnsi="宋体" w:eastAsia="仿宋_GB2312"/>
          <w:color w:val="auto"/>
          <w:sz w:val="24"/>
          <w:highlight w:val="none"/>
        </w:rPr>
      </w:pPr>
      <w:r>
        <w:rPr>
          <w:rFonts w:hint="eastAsia" w:ascii="仿宋_GB2312" w:hAnsi="宋体" w:eastAsia="仿宋_GB2312"/>
          <w:color w:val="auto"/>
          <w:sz w:val="24"/>
          <w:highlight w:val="none"/>
        </w:rPr>
        <w:t>注：</w:t>
      </w:r>
    </w:p>
    <w:p>
      <w:pPr>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1、报价一经涂改，应在涂改处加盖单位公章或者由法定代表人或委托代理人签字或盖章，否则其投标作无效标处理。</w:t>
      </w:r>
    </w:p>
    <w:p>
      <w:pPr>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2、凡需用专用耗材的专用设备类采购项目，应按招标文件规定的耗材量或按耗材的常规试用量提供报价。</w:t>
      </w:r>
    </w:p>
    <w:p>
      <w:pPr>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3、投标费用包括项目实施所需的人工费、服务费、运输费、安装调试费、购买及制作标书费、税费及其他一切费用。</w:t>
      </w:r>
    </w:p>
    <w:p>
      <w:pPr>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4、以上报价应与“投标报价明细表”中的投标报价相一致。</w:t>
      </w:r>
    </w:p>
    <w:p>
      <w:pPr>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5、此表请单独装信封放入投标文件袋，信封封面请注明项目编号、标项、投标人名称及“开标一览表”字样。</w:t>
      </w:r>
    </w:p>
    <w:p>
      <w:pPr>
        <w:ind w:firstLine="480" w:firstLineChars="20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法定代表人或委托代理人签字：</w:t>
      </w:r>
    </w:p>
    <w:p>
      <w:pPr>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投标人盖章：</w:t>
      </w:r>
    </w:p>
    <w:p>
      <w:pPr>
        <w:ind w:firstLine="480" w:firstLineChars="20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日期：</w:t>
      </w:r>
    </w:p>
    <w:p>
      <w:pPr>
        <w:rPr>
          <w:color w:val="auto"/>
          <w:highlight w:val="none"/>
        </w:rPr>
      </w:pPr>
    </w:p>
    <w:p>
      <w:pPr>
        <w:rPr>
          <w:color w:val="auto"/>
          <w:sz w:val="36"/>
          <w:szCs w:val="36"/>
          <w:highlight w:val="none"/>
        </w:rPr>
      </w:pPr>
      <w:r>
        <w:rPr>
          <w:rFonts w:hint="eastAsia"/>
          <w:color w:val="auto"/>
          <w:sz w:val="36"/>
          <w:szCs w:val="36"/>
          <w:highlight w:val="none"/>
        </w:rPr>
        <w:t>三、其他文书、文件格式</w:t>
      </w:r>
    </w:p>
    <w:p>
      <w:pPr>
        <w:rPr>
          <w:rFonts w:ascii="仿宋_GB2312" w:hAnsi="宋体" w:eastAsia="仿宋_GB2312"/>
          <w:b/>
          <w:color w:val="auto"/>
          <w:spacing w:val="20"/>
          <w:sz w:val="24"/>
          <w:highlight w:val="none"/>
        </w:rPr>
      </w:pPr>
    </w:p>
    <w:p>
      <w:pPr>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1、联合投标协议书格式：</w:t>
      </w:r>
    </w:p>
    <w:p>
      <w:pPr>
        <w:rPr>
          <w:rFonts w:ascii="仿宋_GB2312" w:hAnsi="宋体" w:eastAsia="仿宋_GB2312"/>
          <w:b/>
          <w:color w:val="auto"/>
          <w:sz w:val="24"/>
          <w:highlight w:val="none"/>
        </w:rPr>
      </w:pPr>
    </w:p>
    <w:p>
      <w:pPr>
        <w:jc w:val="center"/>
        <w:rPr>
          <w:rFonts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联合投标协议书</w:t>
      </w:r>
    </w:p>
    <w:p>
      <w:pPr>
        <w:spacing w:line="360" w:lineRule="auto"/>
        <w:ind w:firstLine="480" w:firstLineChars="20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甲方：</w:t>
      </w:r>
    </w:p>
    <w:p>
      <w:pPr>
        <w:spacing w:line="360" w:lineRule="auto"/>
        <w:ind w:firstLine="480" w:firstLineChars="20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乙方：</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（如果有的话，可按甲、乙、丙、丁…序列增加）</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各方经协商，就响应 组织实施的项目（项目编号：）的招标活动联合进行投标之事宜，达成如下协议：</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一、各方一致决定，以 为主办人进行投标，并按照招标文件的规定分别提交资格文件。</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二、在本次投标过程中，主办人的</w:t>
      </w:r>
      <w:r>
        <w:rPr>
          <w:rFonts w:hint="eastAsia" w:ascii="仿宋_GB2312" w:hAnsi="宋体" w:eastAsia="仿宋_GB2312"/>
          <w:color w:val="auto"/>
          <w:sz w:val="24"/>
          <w:highlight w:val="none"/>
          <w:u w:val="single"/>
        </w:rPr>
        <w:t>法定代表人或委托代理人</w:t>
      </w:r>
      <w:r>
        <w:rPr>
          <w:rFonts w:hint="eastAsia" w:ascii="仿宋_GB2312" w:hAnsi="宋体" w:eastAsia="仿宋_GB2312"/>
          <w:color w:val="auto"/>
          <w:sz w:val="24"/>
          <w:highlight w:val="none"/>
        </w:rPr>
        <w:t>根据招标文件规定及投标内容而对招标采购单位和采购人所作的任何合法承诺，包括书面澄清及响应等均对联合投标各方产生约束力。如果中标并签订合同，则联合投标各方将共同履行对招标采购单位和采购人所负有的全部义务并就采购合同约定的事项对采购人承担连带责任。</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三、联合投标其余各方保证对主办人为响应本次招标而提供的产品和服务提供全部质量保证及售后服务支持。</w:t>
      </w:r>
    </w:p>
    <w:p>
      <w:pPr>
        <w:spacing w:line="360" w:lineRule="auto"/>
        <w:ind w:firstLine="480" w:firstLineChars="20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四、本次联合投标中，甲方承担的工作和义务为：，乙方承担的工作和义务为：</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五、有关本次联合投标的其他事宜：</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六、本协议提交招标采购单位后，联合投标各方不得以任何形式对上述实质内容进行修改或撤销。</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七、本协议一式份，签约各方各持一份，交政府采购管理部门及采购代理机构各一份。</w:t>
      </w:r>
    </w:p>
    <w:tbl>
      <w:tblPr>
        <w:tblStyle w:val="59"/>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9"/>
        <w:gridCol w:w="4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jc w:val="center"/>
        </w:trPr>
        <w:tc>
          <w:tcPr>
            <w:tcW w:w="4819" w:type="dxa"/>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甲方单位：         （公章）</w:t>
            </w:r>
          </w:p>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法定代表人：（签章）</w:t>
            </w:r>
          </w:p>
          <w:p>
            <w:pPr>
              <w:spacing w:line="360" w:lineRule="auto"/>
              <w:jc w:val="right"/>
              <w:rPr>
                <w:rFonts w:ascii="仿宋_GB2312" w:hAnsi="宋体" w:eastAsia="仿宋_GB2312"/>
                <w:color w:val="auto"/>
                <w:sz w:val="24"/>
                <w:highlight w:val="none"/>
              </w:rPr>
            </w:pPr>
          </w:p>
          <w:p>
            <w:pPr>
              <w:spacing w:line="360" w:lineRule="auto"/>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tc>
        <w:tc>
          <w:tcPr>
            <w:tcW w:w="4444" w:type="dxa"/>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乙方单位：         （公章）</w:t>
            </w:r>
          </w:p>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法定代表人：（签章）</w:t>
            </w:r>
          </w:p>
          <w:p>
            <w:pPr>
              <w:spacing w:line="360" w:lineRule="auto"/>
              <w:jc w:val="right"/>
              <w:rPr>
                <w:rFonts w:ascii="仿宋_GB2312" w:hAnsi="宋体" w:eastAsia="仿宋_GB2312"/>
                <w:color w:val="auto"/>
                <w:sz w:val="24"/>
                <w:highlight w:val="none"/>
              </w:rPr>
            </w:pPr>
          </w:p>
          <w:p>
            <w:pPr>
              <w:spacing w:line="360" w:lineRule="auto"/>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tc>
      </w:tr>
    </w:tbl>
    <w:p>
      <w:pPr>
        <w:rPr>
          <w:rFonts w:ascii="仿宋_GB2312" w:hAnsi="宋体" w:eastAsia="仿宋_GB2312"/>
          <w:b/>
          <w:color w:val="auto"/>
          <w:sz w:val="28"/>
          <w:szCs w:val="28"/>
          <w:highlight w:val="none"/>
        </w:rPr>
      </w:pPr>
      <w:r>
        <w:rPr>
          <w:rFonts w:hint="eastAsia" w:ascii="仿宋_GB2312" w:hAnsi="宋体" w:eastAsia="仿宋_GB2312"/>
          <w:b/>
          <w:color w:val="auto"/>
          <w:sz w:val="24"/>
          <w:highlight w:val="none"/>
        </w:rPr>
        <w:br w:type="page"/>
      </w:r>
      <w:r>
        <w:rPr>
          <w:rFonts w:hint="eastAsia" w:ascii="仿宋_GB2312" w:hAnsi="宋体" w:eastAsia="仿宋_GB2312"/>
          <w:b/>
          <w:color w:val="auto"/>
          <w:sz w:val="28"/>
          <w:szCs w:val="28"/>
          <w:highlight w:val="none"/>
        </w:rPr>
        <w:t>2、联合投标授权委托书格式：</w:t>
      </w: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jc w:val="center"/>
        <w:rPr>
          <w:rFonts w:ascii="仿宋_GB2312" w:hAnsi="宋体" w:eastAsia="仿宋_GB2312"/>
          <w:b/>
          <w:color w:val="auto"/>
          <w:sz w:val="30"/>
          <w:szCs w:val="30"/>
          <w:highlight w:val="none"/>
        </w:rPr>
      </w:pPr>
    </w:p>
    <w:p>
      <w:pPr>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联合投标授权委托书</w:t>
      </w:r>
    </w:p>
    <w:p>
      <w:pPr>
        <w:rPr>
          <w:rFonts w:ascii="仿宋_GB2312" w:hAnsi="宋体" w:eastAsia="仿宋_GB2312"/>
          <w:color w:val="auto"/>
          <w:sz w:val="24"/>
          <w:highlight w:val="none"/>
        </w:rPr>
      </w:pPr>
    </w:p>
    <w:p>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本授权委托书声明：根据 与签订的《联合投标协议书》的内容，主办人的法定代表人现授权  为联合投标代理人，代理人在投标、开标、评标、合同谈判过程中所签署的一切文件和处理与这有关的一切事务， 联合投标各方均予以认可并遵守。</w:t>
      </w:r>
    </w:p>
    <w:p>
      <w:pPr>
        <w:spacing w:line="360" w:lineRule="auto"/>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特此委托。</w:t>
      </w:r>
    </w:p>
    <w:p>
      <w:pPr>
        <w:rPr>
          <w:rFonts w:ascii="仿宋_GB2312" w:hAnsi="宋体" w:eastAsia="仿宋_GB2312"/>
          <w:color w:val="auto"/>
          <w:sz w:val="24"/>
          <w:highlight w:val="none"/>
        </w:rPr>
      </w:pPr>
    </w:p>
    <w:p>
      <w:pPr>
        <w:rPr>
          <w:rFonts w:ascii="仿宋_GB2312" w:hAnsi="宋体" w:eastAsia="仿宋_GB2312"/>
          <w:color w:val="auto"/>
          <w:sz w:val="30"/>
          <w:szCs w:val="30"/>
          <w:highlight w:val="none"/>
        </w:rPr>
      </w:pPr>
    </w:p>
    <w:p>
      <w:pPr>
        <w:spacing w:line="360" w:lineRule="auto"/>
        <w:jc w:val="lef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授权人（签字）：</w:t>
      </w:r>
    </w:p>
    <w:p>
      <w:pPr>
        <w:spacing w:line="360" w:lineRule="auto"/>
        <w:jc w:val="lef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日期：    年  月  日</w:t>
      </w:r>
    </w:p>
    <w:p>
      <w:pPr>
        <w:spacing w:line="360" w:lineRule="auto"/>
        <w:jc w:val="left"/>
        <w:rPr>
          <w:rFonts w:ascii="仿宋_GB2312" w:hAnsi="宋体" w:eastAsia="仿宋_GB2312"/>
          <w:color w:val="auto"/>
          <w:sz w:val="30"/>
          <w:szCs w:val="30"/>
          <w:highlight w:val="none"/>
        </w:rPr>
      </w:pPr>
    </w:p>
    <w:p>
      <w:pPr>
        <w:spacing w:line="360" w:lineRule="auto"/>
        <w:jc w:val="lef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被授权人（签字）：</w:t>
      </w:r>
    </w:p>
    <w:p>
      <w:pPr>
        <w:spacing w:line="360" w:lineRule="auto"/>
        <w:jc w:val="lef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日期：    年  月  日</w:t>
      </w: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rPr>
          <w:rFonts w:ascii="仿宋_GB2312" w:hAnsi="宋体" w:eastAsia="仿宋_GB2312"/>
          <w:color w:val="auto"/>
          <w:sz w:val="24"/>
          <w:highlight w:val="none"/>
        </w:rPr>
      </w:pPr>
    </w:p>
    <w:p>
      <w:pPr>
        <w:snapToGrid w:val="0"/>
        <w:rPr>
          <w:rFonts w:ascii="宋体" w:cs="宋体"/>
          <w:b/>
          <w:color w:val="auto"/>
          <w:kern w:val="0"/>
          <w:sz w:val="36"/>
          <w:szCs w:val="36"/>
          <w:highlight w:val="none"/>
        </w:rPr>
      </w:pPr>
    </w:p>
    <w:sectPr>
      <w:headerReference r:id="rId8" w:type="first"/>
      <w:footerReference r:id="rId11" w:type="first"/>
      <w:headerReference r:id="rId7" w:type="default"/>
      <w:footerReference r:id="rId9" w:type="default"/>
      <w:footerReference r:id="rId10" w:type="even"/>
      <w:pgSz w:w="11900" w:h="16841"/>
      <w:pgMar w:top="1134" w:right="1134" w:bottom="1134" w:left="1134"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Times New Roman”“">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金山简黑体">
    <w:altName w:val="宋体"/>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40001" w:csb1="00000000"/>
  </w:font>
  <w:font w:name="Calibri Light">
    <w:panose1 w:val="020F0302020204030204"/>
    <w:charset w:val="00"/>
    <w:family w:val="swiss"/>
    <w:pitch w:val="default"/>
    <w:sig w:usb0="E0002A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ˎ̥,Verdana">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36"/>
                  <w:rPr>
                    <w:rStyle w:val="63"/>
                  </w:rPr>
                </w:pPr>
                <w:r>
                  <w:fldChar w:fldCharType="begin"/>
                </w:r>
                <w:r>
                  <w:rPr>
                    <w:rStyle w:val="63"/>
                  </w:rPr>
                  <w:instrText xml:space="preserve">PAGE  </w:instrText>
                </w:r>
                <w:r>
                  <w:fldChar w:fldCharType="separate"/>
                </w:r>
                <w:r>
                  <w:rPr>
                    <w:rStyle w:val="63"/>
                  </w:rPr>
                  <w:t>193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3"/>
      </w:rPr>
    </w:pPr>
    <w:r>
      <w:fldChar w:fldCharType="begin"/>
    </w:r>
    <w:r>
      <w:rPr>
        <w:rStyle w:val="63"/>
      </w:rPr>
      <w:instrText xml:space="preserve">PAGE  </w:instrText>
    </w:r>
    <w:r>
      <w:fldChar w:fldCharType="end"/>
    </w:r>
  </w:p>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right="360"/>
      <w:jc w:val="both"/>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pict>
        <v:shape id="_x0000_s4100" o:spid="_x0000_s410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36"/>
                  <w:rPr>
                    <w:rStyle w:val="63"/>
                  </w:rPr>
                </w:pPr>
                <w:r>
                  <w:rPr>
                    <w:rStyle w:val="63"/>
                  </w:rPr>
                  <w:fldChar w:fldCharType="begin"/>
                </w:r>
                <w:r>
                  <w:rPr>
                    <w:rStyle w:val="63"/>
                  </w:rPr>
                  <w:instrText xml:space="preserve">PAGE  </w:instrText>
                </w:r>
                <w:r>
                  <w:rPr>
                    <w:rStyle w:val="63"/>
                  </w:rPr>
                  <w:fldChar w:fldCharType="separate"/>
                </w:r>
                <w:r>
                  <w:rPr>
                    <w:rStyle w:val="63"/>
                  </w:rPr>
                  <w:t>227</w:t>
                </w:r>
                <w:r>
                  <w:rPr>
                    <w:rStyle w:val="63"/>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3"/>
      </w:rPr>
    </w:pPr>
    <w:r>
      <w:rPr>
        <w:rStyle w:val="63"/>
      </w:rPr>
      <w:fldChar w:fldCharType="begin"/>
    </w:r>
    <w:r>
      <w:rPr>
        <w:rStyle w:val="63"/>
      </w:rPr>
      <w:instrText xml:space="preserve">PAGE  </w:instrText>
    </w:r>
    <w:r>
      <w:rPr>
        <w:rStyle w:val="63"/>
      </w:rPr>
      <w:fldChar w:fldCharType="separate"/>
    </w:r>
    <w:r>
      <w:rPr>
        <w:rStyle w:val="63"/>
      </w:rPr>
      <w:t>5</w:t>
    </w:r>
    <w:r>
      <w:rPr>
        <w:rStyle w:val="63"/>
      </w:rPr>
      <w:fldChar w:fldCharType="end"/>
    </w:r>
  </w:p>
  <w:p>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pict>
        <v:shape id="_x0000_s4099" o:spid="_x0000_s409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rPr>
                    <w:rFonts w:hint="eastAsia"/>
                  </w:rPr>
                  <w:t>211</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rPr>
        <w:u w:val="single"/>
      </w:rPr>
    </w:pPr>
    <w:r>
      <w:rPr>
        <w:rFonts w:hint="eastAsia"/>
        <w:u w:val="single"/>
      </w:rPr>
      <w:t>广西建设工程机电设备招标中心有限公司HCA(3)2019293G招标文件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44E167"/>
    <w:multiLevelType w:val="singleLevel"/>
    <w:tmpl w:val="D944E167"/>
    <w:lvl w:ilvl="0" w:tentative="0">
      <w:start w:val="6"/>
      <w:numFmt w:val="chineseCounting"/>
      <w:suff w:val="nothing"/>
      <w:lvlText w:val="第%1章　"/>
      <w:lvlJc w:val="left"/>
      <w:rPr>
        <w:rFonts w:hint="eastAsia"/>
      </w:rPr>
    </w:lvl>
  </w:abstractNum>
  <w:abstractNum w:abstractNumId="1">
    <w:nsid w:val="079102AD"/>
    <w:multiLevelType w:val="multilevel"/>
    <w:tmpl w:val="079102AD"/>
    <w:lvl w:ilvl="0" w:tentative="0">
      <w:start w:val="1"/>
      <w:numFmt w:val="decimal"/>
      <w:pStyle w:val="355"/>
      <w:suff w:val="nothing"/>
      <w:lvlText w:val="注%1："/>
      <w:lvlJc w:val="left"/>
      <w:pPr>
        <w:ind w:left="811" w:hanging="448"/>
      </w:pPr>
      <w:rPr>
        <w:rFonts w:hint="eastAsia" w:ascii="黑体" w:eastAsia="黑体" w:cs="Times New Roman"/>
        <w:b w:val="0"/>
        <w:i w:val="0"/>
        <w:sz w:val="18"/>
      </w:rPr>
    </w:lvl>
    <w:lvl w:ilvl="1" w:tentative="0">
      <w:start w:val="1"/>
      <w:numFmt w:val="lowerLetter"/>
      <w:lvlText w:val="%2)"/>
      <w:lvlJc w:val="left"/>
      <w:pPr>
        <w:tabs>
          <w:tab w:val="left" w:pos="0"/>
        </w:tabs>
        <w:ind w:left="992" w:hanging="629"/>
      </w:pPr>
      <w:rPr>
        <w:rFonts w:hint="eastAsia" w:cs="Times New Roman"/>
      </w:rPr>
    </w:lvl>
    <w:lvl w:ilvl="2" w:tentative="0">
      <w:start w:val="1"/>
      <w:numFmt w:val="lowerRoman"/>
      <w:lvlText w:val="%3."/>
      <w:lvlJc w:val="right"/>
      <w:pPr>
        <w:tabs>
          <w:tab w:val="left" w:pos="0"/>
        </w:tabs>
        <w:ind w:left="992" w:hanging="629"/>
      </w:pPr>
      <w:rPr>
        <w:rFonts w:hint="eastAsia" w:cs="Times New Roman"/>
      </w:rPr>
    </w:lvl>
    <w:lvl w:ilvl="3" w:tentative="0">
      <w:start w:val="1"/>
      <w:numFmt w:val="decimal"/>
      <w:lvlText w:val="%4."/>
      <w:lvlJc w:val="left"/>
      <w:pPr>
        <w:tabs>
          <w:tab w:val="left" w:pos="0"/>
        </w:tabs>
        <w:ind w:left="992" w:hanging="629"/>
      </w:pPr>
      <w:rPr>
        <w:rFonts w:hint="eastAsia" w:cs="Times New Roman"/>
      </w:rPr>
    </w:lvl>
    <w:lvl w:ilvl="4" w:tentative="0">
      <w:start w:val="1"/>
      <w:numFmt w:val="lowerLetter"/>
      <w:lvlText w:val="%5)"/>
      <w:lvlJc w:val="left"/>
      <w:pPr>
        <w:tabs>
          <w:tab w:val="left" w:pos="0"/>
        </w:tabs>
        <w:ind w:left="992" w:hanging="629"/>
      </w:pPr>
      <w:rPr>
        <w:rFonts w:hint="eastAsia" w:cs="Times New Roman"/>
      </w:rPr>
    </w:lvl>
    <w:lvl w:ilvl="5" w:tentative="0">
      <w:start w:val="1"/>
      <w:numFmt w:val="lowerRoman"/>
      <w:lvlText w:val="%6."/>
      <w:lvlJc w:val="right"/>
      <w:pPr>
        <w:tabs>
          <w:tab w:val="left" w:pos="0"/>
        </w:tabs>
        <w:ind w:left="992" w:hanging="629"/>
      </w:pPr>
      <w:rPr>
        <w:rFonts w:hint="eastAsia" w:cs="Times New Roman"/>
      </w:rPr>
    </w:lvl>
    <w:lvl w:ilvl="6" w:tentative="0">
      <w:start w:val="1"/>
      <w:numFmt w:val="decimal"/>
      <w:lvlText w:val="%7."/>
      <w:lvlJc w:val="left"/>
      <w:pPr>
        <w:tabs>
          <w:tab w:val="left" w:pos="0"/>
        </w:tabs>
        <w:ind w:left="992" w:hanging="629"/>
      </w:pPr>
      <w:rPr>
        <w:rFonts w:hint="eastAsia" w:cs="Times New Roman"/>
      </w:rPr>
    </w:lvl>
    <w:lvl w:ilvl="7" w:tentative="0">
      <w:start w:val="1"/>
      <w:numFmt w:val="lowerLetter"/>
      <w:lvlText w:val="%8)"/>
      <w:lvlJc w:val="left"/>
      <w:pPr>
        <w:tabs>
          <w:tab w:val="left" w:pos="0"/>
        </w:tabs>
        <w:ind w:left="992" w:hanging="629"/>
      </w:pPr>
      <w:rPr>
        <w:rFonts w:hint="eastAsia" w:cs="Times New Roman"/>
      </w:rPr>
    </w:lvl>
    <w:lvl w:ilvl="8" w:tentative="0">
      <w:start w:val="1"/>
      <w:numFmt w:val="lowerRoman"/>
      <w:lvlText w:val="%9."/>
      <w:lvlJc w:val="right"/>
      <w:pPr>
        <w:tabs>
          <w:tab w:val="left" w:pos="0"/>
        </w:tabs>
        <w:ind w:left="992" w:hanging="629"/>
      </w:pPr>
      <w:rPr>
        <w:rFonts w:hint="eastAsia" w:cs="Times New Roman"/>
      </w:rPr>
    </w:lvl>
  </w:abstractNum>
  <w:abstractNum w:abstractNumId="2">
    <w:nsid w:val="08FD0A51"/>
    <w:multiLevelType w:val="multilevel"/>
    <w:tmpl w:val="08FD0A51"/>
    <w:lvl w:ilvl="0" w:tentative="0">
      <w:start w:val="1"/>
      <w:numFmt w:val="decimal"/>
      <w:pStyle w:val="197"/>
      <w:lvlText w:val="（%1）"/>
      <w:lvlJc w:val="left"/>
      <w:pPr>
        <w:tabs>
          <w:tab w:val="left" w:pos="1350"/>
        </w:tabs>
        <w:ind w:left="1350" w:hanging="720"/>
      </w:pPr>
      <w:rPr>
        <w:rFonts w:hint="eastAsia" w:cs="Times New Roman"/>
      </w:rPr>
    </w:lvl>
    <w:lvl w:ilvl="1" w:tentative="0">
      <w:start w:val="1"/>
      <w:numFmt w:val="lowerLetter"/>
      <w:lvlText w:val="%2)"/>
      <w:lvlJc w:val="left"/>
      <w:pPr>
        <w:tabs>
          <w:tab w:val="left" w:pos="1470"/>
        </w:tabs>
        <w:ind w:left="1470" w:hanging="420"/>
      </w:pPr>
      <w:rPr>
        <w:rFonts w:cs="Times New Roman"/>
      </w:rPr>
    </w:lvl>
    <w:lvl w:ilvl="2" w:tentative="0">
      <w:start w:val="1"/>
      <w:numFmt w:val="lowerRoman"/>
      <w:pStyle w:val="324"/>
      <w:lvlText w:val="%3."/>
      <w:lvlJc w:val="right"/>
      <w:pPr>
        <w:tabs>
          <w:tab w:val="left" w:pos="1890"/>
        </w:tabs>
        <w:ind w:left="1890" w:hanging="420"/>
      </w:pPr>
      <w:rPr>
        <w:rFonts w:cs="Times New Roman"/>
      </w:rPr>
    </w:lvl>
    <w:lvl w:ilvl="3" w:tentative="0">
      <w:start w:val="1"/>
      <w:numFmt w:val="decimal"/>
      <w:lvlText w:val="%4."/>
      <w:lvlJc w:val="left"/>
      <w:pPr>
        <w:tabs>
          <w:tab w:val="left" w:pos="2310"/>
        </w:tabs>
        <w:ind w:left="2310" w:hanging="420"/>
      </w:pPr>
      <w:rPr>
        <w:rFonts w:cs="Times New Roman"/>
      </w:rPr>
    </w:lvl>
    <w:lvl w:ilvl="4" w:tentative="0">
      <w:start w:val="1"/>
      <w:numFmt w:val="lowerLetter"/>
      <w:pStyle w:val="319"/>
      <w:lvlText w:val="%5)"/>
      <w:lvlJc w:val="left"/>
      <w:pPr>
        <w:tabs>
          <w:tab w:val="left" w:pos="2730"/>
        </w:tabs>
        <w:ind w:left="2730" w:hanging="420"/>
      </w:pPr>
      <w:rPr>
        <w:rFonts w:cs="Times New Roman"/>
      </w:rPr>
    </w:lvl>
    <w:lvl w:ilvl="5" w:tentative="0">
      <w:start w:val="1"/>
      <w:numFmt w:val="lowerRoman"/>
      <w:lvlText w:val="%6."/>
      <w:lvlJc w:val="right"/>
      <w:pPr>
        <w:tabs>
          <w:tab w:val="left" w:pos="3150"/>
        </w:tabs>
        <w:ind w:left="3150" w:hanging="420"/>
      </w:pPr>
      <w:rPr>
        <w:rFonts w:cs="Times New Roman"/>
      </w:rPr>
    </w:lvl>
    <w:lvl w:ilvl="6" w:tentative="0">
      <w:start w:val="1"/>
      <w:numFmt w:val="decimal"/>
      <w:lvlText w:val="%7."/>
      <w:lvlJc w:val="left"/>
      <w:pPr>
        <w:tabs>
          <w:tab w:val="left" w:pos="3570"/>
        </w:tabs>
        <w:ind w:left="3570" w:hanging="420"/>
      </w:pPr>
      <w:rPr>
        <w:rFonts w:cs="Times New Roman"/>
      </w:rPr>
    </w:lvl>
    <w:lvl w:ilvl="7" w:tentative="0">
      <w:start w:val="1"/>
      <w:numFmt w:val="lowerLetter"/>
      <w:lvlText w:val="%8)"/>
      <w:lvlJc w:val="left"/>
      <w:pPr>
        <w:tabs>
          <w:tab w:val="left" w:pos="3990"/>
        </w:tabs>
        <w:ind w:left="3990" w:hanging="420"/>
      </w:pPr>
      <w:rPr>
        <w:rFonts w:cs="Times New Roman"/>
      </w:rPr>
    </w:lvl>
    <w:lvl w:ilvl="8" w:tentative="0">
      <w:start w:val="1"/>
      <w:numFmt w:val="lowerRoman"/>
      <w:lvlText w:val="%9."/>
      <w:lvlJc w:val="right"/>
      <w:pPr>
        <w:tabs>
          <w:tab w:val="left" w:pos="4410"/>
        </w:tabs>
        <w:ind w:left="4410" w:hanging="420"/>
      </w:pPr>
      <w:rPr>
        <w:rFonts w:cs="Times New Roman"/>
      </w:rPr>
    </w:lvl>
  </w:abstractNum>
  <w:abstractNum w:abstractNumId="3">
    <w:nsid w:val="093C6778"/>
    <w:multiLevelType w:val="multilevel"/>
    <w:tmpl w:val="093C6778"/>
    <w:lvl w:ilvl="0" w:tentative="0">
      <w:start w:val="1"/>
      <w:numFmt w:val="decimal"/>
      <w:suff w:val="nothing"/>
      <w:lvlText w:val="示例%1："/>
      <w:lvlJc w:val="left"/>
      <w:pPr>
        <w:ind w:firstLine="397"/>
      </w:pPr>
      <w:rPr>
        <w:rFonts w:hint="eastAsia" w:ascii="黑体" w:eastAsia="黑体" w:cs="Times New Roman"/>
        <w:sz w:val="18"/>
      </w:rPr>
    </w:lvl>
    <w:lvl w:ilvl="1" w:tentative="0">
      <w:start w:val="1"/>
      <w:numFmt w:val="lowerLetter"/>
      <w:pStyle w:val="163"/>
      <w:lvlText w:val="%2)"/>
      <w:lvlJc w:val="left"/>
      <w:pPr>
        <w:ind w:left="840" w:hanging="420"/>
      </w:pPr>
      <w:rPr>
        <w:rFonts w:hint="eastAsia" w:cs="Times New Roman"/>
      </w:rPr>
    </w:lvl>
    <w:lvl w:ilvl="2" w:tentative="0">
      <w:start w:val="1"/>
      <w:numFmt w:val="lowerRoman"/>
      <w:pStyle w:val="195"/>
      <w:lvlText w:val="%3."/>
      <w:lvlJc w:val="right"/>
      <w:pPr>
        <w:ind w:left="1260" w:hanging="420"/>
      </w:pPr>
      <w:rPr>
        <w:rFonts w:hint="eastAsia" w:cs="Times New Roman"/>
      </w:rPr>
    </w:lvl>
    <w:lvl w:ilvl="3" w:tentative="0">
      <w:start w:val="1"/>
      <w:numFmt w:val="decimal"/>
      <w:pStyle w:val="253"/>
      <w:lvlText w:val="%4."/>
      <w:lvlJc w:val="left"/>
      <w:pPr>
        <w:ind w:left="1680" w:hanging="420"/>
      </w:pPr>
      <w:rPr>
        <w:rFonts w:hint="eastAsia" w:cs="Times New Roman"/>
      </w:rPr>
    </w:lvl>
    <w:lvl w:ilvl="4" w:tentative="0">
      <w:start w:val="1"/>
      <w:numFmt w:val="lowerLetter"/>
      <w:lvlText w:val="%5)"/>
      <w:lvlJc w:val="left"/>
      <w:pPr>
        <w:ind w:left="2100" w:hanging="420"/>
      </w:pPr>
      <w:rPr>
        <w:rFonts w:hint="eastAsia" w:cs="Times New Roman"/>
      </w:rPr>
    </w:lvl>
    <w:lvl w:ilvl="5" w:tentative="0">
      <w:start w:val="1"/>
      <w:numFmt w:val="lowerRoman"/>
      <w:pStyle w:val="254"/>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4">
    <w:nsid w:val="0D983844"/>
    <w:multiLevelType w:val="multilevel"/>
    <w:tmpl w:val="0D983844"/>
    <w:lvl w:ilvl="0" w:tentative="0">
      <w:start w:val="1"/>
      <w:numFmt w:val="decimal"/>
      <w:pStyle w:val="301"/>
      <w:suff w:val="nothing"/>
      <w:lvlText w:val="图%1　"/>
      <w:lvlJc w:val="left"/>
      <w:rPr>
        <w:rFonts w:hint="eastAsia" w:ascii="黑体" w:hAnsi="Times New Roman" w:eastAsia="黑体" w:cs="Times New Roman"/>
        <w:b w:val="0"/>
        <w:i w:val="0"/>
        <w:sz w:val="21"/>
      </w:rPr>
    </w:lvl>
    <w:lvl w:ilvl="1" w:tentative="0">
      <w:start w:val="1"/>
      <w:numFmt w:val="decimal"/>
      <w:suff w:val="nothing"/>
      <w:lvlText w:val="%1%2　"/>
      <w:lvlJc w:val="left"/>
      <w:rPr>
        <w:rFonts w:hint="default" w:ascii="Times New Roman" w:hAnsi="Times New Roman" w:eastAsia="黑体" w:cs="Times New Roman"/>
        <w:b w:val="0"/>
        <w:i w:val="0"/>
        <w:sz w:val="21"/>
      </w:rPr>
    </w:lvl>
    <w:lvl w:ilvl="2" w:tentative="0">
      <w:start w:val="1"/>
      <w:numFmt w:val="decimal"/>
      <w:suff w:val="nothing"/>
      <w:lvlText w:val="%1%2.%3　"/>
      <w:lvlJc w:val="left"/>
      <w:rPr>
        <w:rFonts w:hint="default" w:ascii="Times New Roman" w:hAnsi="Times New Roman" w:eastAsia="黑体" w:cs="Times New Roman"/>
        <w:b w:val="0"/>
        <w:i w:val="0"/>
        <w:sz w:val="21"/>
      </w:rPr>
    </w:lvl>
    <w:lvl w:ilvl="3" w:tentative="0">
      <w:start w:val="1"/>
      <w:numFmt w:val="decimal"/>
      <w:suff w:val="nothing"/>
      <w:lvlText w:val="%1%2.%3.%4　"/>
      <w:lvlJc w:val="left"/>
      <w:rPr>
        <w:rFonts w:hint="default" w:ascii="Times New Roman" w:hAnsi="Times New Roman" w:eastAsia="黑体" w:cs="Times New Roman"/>
        <w:b w:val="0"/>
        <w:i w:val="0"/>
        <w:sz w:val="21"/>
      </w:rPr>
    </w:lvl>
    <w:lvl w:ilvl="4" w:tentative="0">
      <w:start w:val="1"/>
      <w:numFmt w:val="decimal"/>
      <w:suff w:val="nothing"/>
      <w:lvlText w:val="%1%2.%3.%4.%5　"/>
      <w:lvlJc w:val="left"/>
      <w:rPr>
        <w:rFonts w:hint="default" w:ascii="Times New Roman" w:hAnsi="Times New Roman" w:eastAsia="黑体" w:cs="Times New Roman"/>
        <w:b w:val="0"/>
        <w:i w:val="0"/>
        <w:sz w:val="21"/>
      </w:rPr>
    </w:lvl>
    <w:lvl w:ilvl="5" w:tentative="0">
      <w:start w:val="1"/>
      <w:numFmt w:val="decimal"/>
      <w:suff w:val="nothing"/>
      <w:lvlText w:val="%1%2.%3.%4.%5.%6　"/>
      <w:lvlJc w:val="left"/>
      <w:rPr>
        <w:rFonts w:hint="default" w:ascii="Times New Roman" w:hAnsi="Times New Roman" w:eastAsia="黑体" w:cs="Times New Roman"/>
        <w:b w:val="0"/>
        <w:i w:val="0"/>
        <w:sz w:val="21"/>
      </w:rPr>
    </w:lvl>
    <w:lvl w:ilvl="6" w:tentative="0">
      <w:start w:val="1"/>
      <w:numFmt w:val="decimal"/>
      <w:suff w:val="nothing"/>
      <w:lvlText w:val="%1%2.%3.%4.%5.%6.%7　"/>
      <w:lvlJc w:val="left"/>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5">
    <w:nsid w:val="0DDE2B46"/>
    <w:multiLevelType w:val="multilevel"/>
    <w:tmpl w:val="0DDE2B46"/>
    <w:lvl w:ilvl="0" w:tentative="0">
      <w:start w:val="1"/>
      <w:numFmt w:val="lowerLetter"/>
      <w:pStyle w:val="346"/>
      <w:suff w:val="nothing"/>
      <w:lvlText w:val="%1   "/>
      <w:lvlJc w:val="left"/>
      <w:pPr>
        <w:ind w:left="544" w:hanging="181"/>
      </w:pPr>
      <w:rPr>
        <w:rFonts w:hint="eastAsia" w:ascii="宋体" w:eastAsia="宋体" w:cs="Times New Roman"/>
        <w:b w:val="0"/>
        <w:i w:val="0"/>
        <w:sz w:val="18"/>
        <w:vertAlign w:val="superscript"/>
      </w:rPr>
    </w:lvl>
    <w:lvl w:ilvl="1" w:tentative="0">
      <w:start w:val="1"/>
      <w:numFmt w:val="lowerLetter"/>
      <w:pStyle w:val="387"/>
      <w:lvlText w:val="%2"/>
      <w:lvlJc w:val="left"/>
      <w:pPr>
        <w:tabs>
          <w:tab w:val="left" w:pos="57"/>
        </w:tabs>
        <w:ind w:left="363" w:hanging="363"/>
      </w:pPr>
      <w:rPr>
        <w:rFonts w:hint="eastAsia" w:cs="Times New Roman"/>
      </w:rPr>
    </w:lvl>
    <w:lvl w:ilvl="2" w:tentative="0">
      <w:start w:val="1"/>
      <w:numFmt w:val="lowerRoman"/>
      <w:lvlText w:val="%3."/>
      <w:lvlJc w:val="right"/>
      <w:pPr>
        <w:tabs>
          <w:tab w:val="left" w:pos="57"/>
        </w:tabs>
        <w:ind w:left="363" w:hanging="363"/>
      </w:pPr>
      <w:rPr>
        <w:rFonts w:hint="eastAsia" w:cs="Times New Roman"/>
      </w:rPr>
    </w:lvl>
    <w:lvl w:ilvl="3" w:tentative="0">
      <w:start w:val="1"/>
      <w:numFmt w:val="decimal"/>
      <w:lvlText w:val="%4."/>
      <w:lvlJc w:val="left"/>
      <w:pPr>
        <w:tabs>
          <w:tab w:val="left" w:pos="57"/>
        </w:tabs>
        <w:ind w:left="363" w:hanging="363"/>
      </w:pPr>
      <w:rPr>
        <w:rFonts w:hint="eastAsia" w:cs="Times New Roman"/>
      </w:rPr>
    </w:lvl>
    <w:lvl w:ilvl="4" w:tentative="0">
      <w:start w:val="1"/>
      <w:numFmt w:val="lowerLetter"/>
      <w:lvlText w:val="%5)"/>
      <w:lvlJc w:val="left"/>
      <w:pPr>
        <w:tabs>
          <w:tab w:val="left" w:pos="57"/>
        </w:tabs>
        <w:ind w:left="363" w:hanging="363"/>
      </w:pPr>
      <w:rPr>
        <w:rFonts w:hint="eastAsia" w:cs="Times New Roman"/>
      </w:rPr>
    </w:lvl>
    <w:lvl w:ilvl="5" w:tentative="0">
      <w:start w:val="1"/>
      <w:numFmt w:val="lowerRoman"/>
      <w:lvlText w:val="%6."/>
      <w:lvlJc w:val="right"/>
      <w:pPr>
        <w:tabs>
          <w:tab w:val="left" w:pos="57"/>
        </w:tabs>
        <w:ind w:left="363" w:hanging="363"/>
      </w:pPr>
      <w:rPr>
        <w:rFonts w:hint="eastAsia" w:cs="Times New Roman"/>
      </w:rPr>
    </w:lvl>
    <w:lvl w:ilvl="6" w:tentative="0">
      <w:start w:val="1"/>
      <w:numFmt w:val="decimal"/>
      <w:lvlText w:val="%7."/>
      <w:lvlJc w:val="left"/>
      <w:pPr>
        <w:tabs>
          <w:tab w:val="left" w:pos="57"/>
        </w:tabs>
        <w:ind w:left="363" w:hanging="363"/>
      </w:pPr>
      <w:rPr>
        <w:rFonts w:hint="eastAsia" w:cs="Times New Roman"/>
      </w:rPr>
    </w:lvl>
    <w:lvl w:ilvl="7" w:tentative="0">
      <w:start w:val="1"/>
      <w:numFmt w:val="lowerLetter"/>
      <w:lvlText w:val="%8)"/>
      <w:lvlJc w:val="left"/>
      <w:pPr>
        <w:tabs>
          <w:tab w:val="left" w:pos="57"/>
        </w:tabs>
        <w:ind w:left="363" w:hanging="363"/>
      </w:pPr>
      <w:rPr>
        <w:rFonts w:hint="eastAsia" w:cs="Times New Roman"/>
      </w:rPr>
    </w:lvl>
    <w:lvl w:ilvl="8" w:tentative="0">
      <w:start w:val="1"/>
      <w:numFmt w:val="lowerRoman"/>
      <w:lvlText w:val="%9."/>
      <w:lvlJc w:val="right"/>
      <w:pPr>
        <w:tabs>
          <w:tab w:val="left" w:pos="57"/>
        </w:tabs>
        <w:ind w:left="363" w:hanging="363"/>
      </w:pPr>
      <w:rPr>
        <w:rFonts w:hint="eastAsia" w:cs="Times New Roman"/>
      </w:rPr>
    </w:lvl>
  </w:abstractNum>
  <w:abstractNum w:abstractNumId="6">
    <w:nsid w:val="1FC91163"/>
    <w:multiLevelType w:val="multilevel"/>
    <w:tmpl w:val="1FC91163"/>
    <w:lvl w:ilvl="0" w:tentative="0">
      <w:start w:val="1"/>
      <w:numFmt w:val="decimal"/>
      <w:suff w:val="nothing"/>
      <w:lvlText w:val="%1　"/>
      <w:lvlJc w:val="left"/>
      <w:rPr>
        <w:rFonts w:hint="eastAsia" w:ascii="黑体" w:hAnsi="Times New Roman" w:eastAsia="黑体" w:cs="Times New Roman"/>
        <w:b w:val="0"/>
        <w:i w:val="0"/>
        <w:sz w:val="21"/>
        <w:szCs w:val="21"/>
      </w:rPr>
    </w:lvl>
    <w:lvl w:ilvl="1" w:tentative="0">
      <w:start w:val="1"/>
      <w:numFmt w:val="decimal"/>
      <w:pStyle w:val="314"/>
      <w:suff w:val="nothing"/>
      <w:lvlText w:val="%1.%2　"/>
      <w:lvlJc w:val="left"/>
      <w:pPr>
        <w:ind w:left="851"/>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rPr>
    </w:lvl>
    <w:lvl w:ilvl="2" w:tentative="0">
      <w:start w:val="1"/>
      <w:numFmt w:val="decimal"/>
      <w:pStyle w:val="332"/>
      <w:suff w:val="nothing"/>
      <w:lvlText w:val="%1.%2.%3　"/>
      <w:lvlJc w:val="left"/>
      <w:pPr>
        <w:ind w:left="2411"/>
      </w:pPr>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7">
    <w:nsid w:val="2C5917C3"/>
    <w:multiLevelType w:val="multilevel"/>
    <w:tmpl w:val="2C5917C3"/>
    <w:lvl w:ilvl="0" w:tentative="0">
      <w:start w:val="1"/>
      <w:numFmt w:val="none"/>
      <w:suff w:val="nothing"/>
      <w:lvlText w:val="%1——"/>
      <w:lvlJc w:val="left"/>
      <w:pPr>
        <w:ind w:left="833" w:hanging="408"/>
      </w:pPr>
      <w:rPr>
        <w:rFonts w:hint="eastAsia" w:cs="Times New Roman"/>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cs="Times New Roman"/>
      </w:rPr>
    </w:lvl>
    <w:lvl w:ilvl="4" w:tentative="0">
      <w:start w:val="1"/>
      <w:numFmt w:val="lowerLetter"/>
      <w:lvlText w:val="%5)"/>
      <w:lvlJc w:val="left"/>
      <w:pPr>
        <w:tabs>
          <w:tab w:val="left" w:pos="2383"/>
        </w:tabs>
        <w:ind w:left="2196" w:hanging="528"/>
      </w:pPr>
      <w:rPr>
        <w:rFonts w:hint="eastAsia" w:cs="Times New Roman"/>
      </w:rPr>
    </w:lvl>
    <w:lvl w:ilvl="5" w:tentative="0">
      <w:start w:val="1"/>
      <w:numFmt w:val="lowerRoman"/>
      <w:lvlText w:val="%6."/>
      <w:lvlJc w:val="right"/>
      <w:pPr>
        <w:tabs>
          <w:tab w:val="left" w:pos="2695"/>
        </w:tabs>
        <w:ind w:left="2508" w:hanging="528"/>
      </w:pPr>
      <w:rPr>
        <w:rFonts w:hint="eastAsia" w:cs="Times New Roman"/>
      </w:rPr>
    </w:lvl>
    <w:lvl w:ilvl="6" w:tentative="0">
      <w:start w:val="1"/>
      <w:numFmt w:val="decimal"/>
      <w:lvlText w:val="%7."/>
      <w:lvlJc w:val="left"/>
      <w:pPr>
        <w:tabs>
          <w:tab w:val="left" w:pos="3007"/>
        </w:tabs>
        <w:ind w:left="2820" w:hanging="528"/>
      </w:pPr>
      <w:rPr>
        <w:rFonts w:hint="eastAsia" w:cs="Times New Roman"/>
      </w:rPr>
    </w:lvl>
    <w:lvl w:ilvl="7" w:tentative="0">
      <w:start w:val="1"/>
      <w:numFmt w:val="lowerLetter"/>
      <w:pStyle w:val="257"/>
      <w:lvlText w:val="%8)"/>
      <w:lvlJc w:val="left"/>
      <w:pPr>
        <w:tabs>
          <w:tab w:val="left" w:pos="3319"/>
        </w:tabs>
        <w:ind w:left="3132" w:hanging="528"/>
      </w:pPr>
      <w:rPr>
        <w:rFonts w:hint="eastAsia" w:cs="Times New Roman"/>
      </w:rPr>
    </w:lvl>
    <w:lvl w:ilvl="8" w:tentative="0">
      <w:start w:val="1"/>
      <w:numFmt w:val="lowerRoman"/>
      <w:pStyle w:val="229"/>
      <w:lvlText w:val="%9."/>
      <w:lvlJc w:val="right"/>
      <w:pPr>
        <w:tabs>
          <w:tab w:val="left" w:pos="3631"/>
        </w:tabs>
        <w:ind w:left="3444" w:hanging="528"/>
      </w:pPr>
      <w:rPr>
        <w:rFonts w:hint="eastAsia" w:cs="Times New Roman"/>
      </w:rPr>
    </w:lvl>
  </w:abstractNum>
  <w:abstractNum w:abstractNumId="8">
    <w:nsid w:val="3CD15048"/>
    <w:multiLevelType w:val="multilevel"/>
    <w:tmpl w:val="3CD15048"/>
    <w:lvl w:ilvl="0" w:tentative="0">
      <w:start w:val="8"/>
      <w:numFmt w:val="bullet"/>
      <w:pStyle w:val="213"/>
      <w:lvlText w:val="▲"/>
      <w:lvlJc w:val="left"/>
      <w:pPr>
        <w:tabs>
          <w:tab w:val="left" w:pos="360"/>
        </w:tabs>
        <w:ind w:left="360" w:hanging="360"/>
      </w:pPr>
      <w:rPr>
        <w:rFonts w:hint="eastAsia" w:ascii="宋体" w:hAnsi="宋体" w:eastAsia="宋体"/>
      </w:rPr>
    </w:lvl>
    <w:lvl w:ilvl="1" w:tentative="0">
      <w:start w:val="1"/>
      <w:numFmt w:val="bullet"/>
      <w:pStyle w:val="171"/>
      <w:lvlText w:val=""/>
      <w:lvlJc w:val="left"/>
      <w:pPr>
        <w:tabs>
          <w:tab w:val="left" w:pos="840"/>
        </w:tabs>
        <w:ind w:left="840" w:hanging="420"/>
      </w:pPr>
      <w:rPr>
        <w:rFonts w:hint="default" w:ascii="Wingdings" w:hAnsi="Wingdings"/>
      </w:rPr>
    </w:lvl>
    <w:lvl w:ilvl="2" w:tentative="0">
      <w:start w:val="1"/>
      <w:numFmt w:val="bullet"/>
      <w:pStyle w:val="166"/>
      <w:lvlText w:val=""/>
      <w:lvlJc w:val="left"/>
      <w:pPr>
        <w:tabs>
          <w:tab w:val="left" w:pos="1260"/>
        </w:tabs>
        <w:ind w:left="1260" w:hanging="420"/>
      </w:pPr>
      <w:rPr>
        <w:rFonts w:hint="default" w:ascii="Wingdings" w:hAnsi="Wingdings"/>
      </w:rPr>
    </w:lvl>
    <w:lvl w:ilvl="3" w:tentative="0">
      <w:start w:val="1"/>
      <w:numFmt w:val="bullet"/>
      <w:pStyle w:val="167"/>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3D733618"/>
    <w:multiLevelType w:val="multilevel"/>
    <w:tmpl w:val="3D733618"/>
    <w:lvl w:ilvl="0" w:tentative="0">
      <w:start w:val="1"/>
      <w:numFmt w:val="decimal"/>
      <w:pStyle w:val="288"/>
      <w:lvlText w:val="%1)"/>
      <w:lvlJc w:val="left"/>
      <w:pPr>
        <w:tabs>
          <w:tab w:val="left" w:pos="0"/>
        </w:tabs>
        <w:ind w:left="720" w:hanging="357"/>
      </w:pPr>
      <w:rPr>
        <w:rFonts w:hint="eastAsia" w:cs="Times New Roman"/>
      </w:rPr>
    </w:lvl>
    <w:lvl w:ilvl="1" w:tentative="0">
      <w:start w:val="1"/>
      <w:numFmt w:val="lowerLetter"/>
      <w:lvlText w:val="%2)"/>
      <w:lvlJc w:val="left"/>
      <w:pPr>
        <w:tabs>
          <w:tab w:val="left" w:pos="504"/>
        </w:tabs>
        <w:ind w:left="544" w:hanging="544"/>
      </w:pPr>
      <w:rPr>
        <w:rFonts w:hint="eastAsia" w:cs="Times New Roman"/>
      </w:rPr>
    </w:lvl>
    <w:lvl w:ilvl="2" w:tentative="0">
      <w:start w:val="1"/>
      <w:numFmt w:val="lowerRoman"/>
      <w:lvlText w:val="%3."/>
      <w:lvlJc w:val="right"/>
      <w:pPr>
        <w:tabs>
          <w:tab w:val="left" w:pos="532"/>
        </w:tabs>
        <w:ind w:left="544" w:hanging="544"/>
      </w:pPr>
      <w:rPr>
        <w:rFonts w:hint="eastAsia" w:cs="Times New Roman"/>
      </w:rPr>
    </w:lvl>
    <w:lvl w:ilvl="3" w:tentative="0">
      <w:start w:val="1"/>
      <w:numFmt w:val="decimal"/>
      <w:lvlText w:val="%4."/>
      <w:lvlJc w:val="left"/>
      <w:pPr>
        <w:tabs>
          <w:tab w:val="left" w:pos="560"/>
        </w:tabs>
        <w:ind w:left="544" w:hanging="544"/>
      </w:pPr>
      <w:rPr>
        <w:rFonts w:hint="eastAsia" w:cs="Times New Roman"/>
      </w:rPr>
    </w:lvl>
    <w:lvl w:ilvl="4" w:tentative="0">
      <w:start w:val="1"/>
      <w:numFmt w:val="lowerLetter"/>
      <w:lvlText w:val="%5)"/>
      <w:lvlJc w:val="left"/>
      <w:pPr>
        <w:tabs>
          <w:tab w:val="left" w:pos="588"/>
        </w:tabs>
        <w:ind w:left="544" w:hanging="544"/>
      </w:pPr>
      <w:rPr>
        <w:rFonts w:hint="eastAsia" w:cs="Times New Roman"/>
      </w:rPr>
    </w:lvl>
    <w:lvl w:ilvl="5" w:tentative="0">
      <w:start w:val="1"/>
      <w:numFmt w:val="lowerRoman"/>
      <w:lvlText w:val="%6."/>
      <w:lvlJc w:val="right"/>
      <w:pPr>
        <w:tabs>
          <w:tab w:val="left" w:pos="616"/>
        </w:tabs>
        <w:ind w:left="544" w:hanging="544"/>
      </w:pPr>
      <w:rPr>
        <w:rFonts w:hint="eastAsia" w:cs="Times New Roman"/>
      </w:rPr>
    </w:lvl>
    <w:lvl w:ilvl="6" w:tentative="0">
      <w:start w:val="1"/>
      <w:numFmt w:val="decimal"/>
      <w:lvlText w:val="%7."/>
      <w:lvlJc w:val="left"/>
      <w:pPr>
        <w:tabs>
          <w:tab w:val="left" w:pos="644"/>
        </w:tabs>
        <w:ind w:left="544" w:hanging="544"/>
      </w:pPr>
      <w:rPr>
        <w:rFonts w:hint="eastAsia" w:cs="Times New Roman"/>
      </w:rPr>
    </w:lvl>
    <w:lvl w:ilvl="7" w:tentative="0">
      <w:start w:val="1"/>
      <w:numFmt w:val="lowerLetter"/>
      <w:lvlText w:val="%8)"/>
      <w:lvlJc w:val="left"/>
      <w:pPr>
        <w:tabs>
          <w:tab w:val="left" w:pos="672"/>
        </w:tabs>
        <w:ind w:left="544" w:hanging="544"/>
      </w:pPr>
      <w:rPr>
        <w:rFonts w:hint="eastAsia" w:cs="Times New Roman"/>
      </w:rPr>
    </w:lvl>
    <w:lvl w:ilvl="8" w:tentative="0">
      <w:start w:val="1"/>
      <w:numFmt w:val="lowerRoman"/>
      <w:lvlText w:val="%9."/>
      <w:lvlJc w:val="right"/>
      <w:pPr>
        <w:tabs>
          <w:tab w:val="left" w:pos="700"/>
        </w:tabs>
        <w:ind w:left="544" w:hanging="544"/>
      </w:pPr>
      <w:rPr>
        <w:rFonts w:hint="eastAsia" w:cs="Times New Roman"/>
      </w:rPr>
    </w:lvl>
  </w:abstractNum>
  <w:abstractNum w:abstractNumId="10">
    <w:nsid w:val="3D7751A5"/>
    <w:multiLevelType w:val="multilevel"/>
    <w:tmpl w:val="3D7751A5"/>
    <w:lvl w:ilvl="0" w:tentative="0">
      <w:start w:val="1"/>
      <w:numFmt w:val="decimal"/>
      <w:pStyle w:val="270"/>
      <w:lvlText w:val="%1)"/>
      <w:lvlJc w:val="left"/>
      <w:pPr>
        <w:ind w:left="420" w:hanging="420"/>
      </w:pPr>
      <w:rPr>
        <w:rFonts w:cs="Times New Roman"/>
      </w:rPr>
    </w:lvl>
    <w:lvl w:ilvl="1" w:tentative="0">
      <w:start w:val="1"/>
      <w:numFmt w:val="lowerLetter"/>
      <w:pStyle w:val="216"/>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428C35A6"/>
    <w:multiLevelType w:val="multilevel"/>
    <w:tmpl w:val="428C35A6"/>
    <w:lvl w:ilvl="0" w:tentative="0">
      <w:start w:val="1"/>
      <w:numFmt w:val="lowerLetter"/>
      <w:pStyle w:val="248"/>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pStyle w:val="159"/>
      <w:lvlText w:val="%2)"/>
      <w:lvlJc w:val="left"/>
      <w:pPr>
        <w:tabs>
          <w:tab w:val="left" w:pos="1260"/>
        </w:tabs>
        <w:ind w:left="1259" w:hanging="419"/>
      </w:pPr>
      <w:rPr>
        <w:rFonts w:hint="eastAsia" w:cs="Times New Roman"/>
      </w:rPr>
    </w:lvl>
    <w:lvl w:ilvl="2" w:tentative="0">
      <w:start w:val="1"/>
      <w:numFmt w:val="decimal"/>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abstractNum w:abstractNumId="12">
    <w:nsid w:val="48D2901B"/>
    <w:multiLevelType w:val="singleLevel"/>
    <w:tmpl w:val="48D2901B"/>
    <w:lvl w:ilvl="0" w:tentative="0">
      <w:start w:val="1"/>
      <w:numFmt w:val="chineseCounting"/>
      <w:suff w:val="nothing"/>
      <w:lvlText w:val="%1、"/>
      <w:lvlJc w:val="left"/>
      <w:rPr>
        <w:rFonts w:hint="eastAsia"/>
      </w:rPr>
    </w:lvl>
  </w:abstractNum>
  <w:abstractNum w:abstractNumId="13">
    <w:nsid w:val="525A3A83"/>
    <w:multiLevelType w:val="singleLevel"/>
    <w:tmpl w:val="525A3A83"/>
    <w:lvl w:ilvl="0" w:tentative="0">
      <w:start w:val="5"/>
      <w:numFmt w:val="chineseCounting"/>
      <w:pStyle w:val="333"/>
      <w:suff w:val="nothing"/>
      <w:lvlText w:val="%1、"/>
      <w:lvlJc w:val="left"/>
      <w:rPr>
        <w:rFonts w:cs="Times New Roman"/>
      </w:rPr>
    </w:lvl>
  </w:abstractNum>
  <w:abstractNum w:abstractNumId="14">
    <w:nsid w:val="59ECB4CE"/>
    <w:multiLevelType w:val="multilevel"/>
    <w:tmpl w:val="59ECB4CE"/>
    <w:lvl w:ilvl="0" w:tentative="0">
      <w:start w:val="1"/>
      <w:numFmt w:val="decimal"/>
      <w:pStyle w:val="362"/>
      <w:suff w:val="nothing"/>
      <w:lvlText w:val="%1."/>
      <w:lvlJc w:val="left"/>
      <w:pPr>
        <w:tabs>
          <w:tab w:val="left" w:pos="0"/>
        </w:tabs>
        <w:ind w:left="425" w:hanging="425"/>
      </w:pPr>
      <w:rPr>
        <w:rFonts w:hint="default" w:ascii="宋体" w:hAnsi="宋体" w:eastAsia="宋体" w:cs="宋体"/>
      </w:rPr>
    </w:lvl>
    <w:lvl w:ilvl="1" w:tentative="0">
      <w:start w:val="1"/>
      <w:numFmt w:val="decimal"/>
      <w:pStyle w:val="204"/>
      <w:suff w:val="space"/>
      <w:lvlText w:val="%1.%2."/>
      <w:lvlJc w:val="left"/>
      <w:pPr>
        <w:tabs>
          <w:tab w:val="left" w:pos="0"/>
        </w:tabs>
        <w:ind w:left="567" w:hanging="567"/>
      </w:pPr>
      <w:rPr>
        <w:rFonts w:hint="default" w:ascii="宋体" w:hAnsi="宋体" w:eastAsia="宋体" w:cs="宋体"/>
      </w:rPr>
    </w:lvl>
    <w:lvl w:ilvl="2" w:tentative="0">
      <w:start w:val="1"/>
      <w:numFmt w:val="decimal"/>
      <w:suff w:val="space"/>
      <w:lvlText w:val="%1.%2.%3."/>
      <w:lvlJc w:val="left"/>
      <w:pPr>
        <w:tabs>
          <w:tab w:val="left" w:pos="0"/>
        </w:tabs>
        <w:ind w:left="709" w:hanging="709"/>
      </w:pPr>
      <w:rPr>
        <w:rFonts w:hint="default" w:ascii="宋体" w:hAnsi="宋体" w:eastAsia="宋体" w:cs="宋体"/>
      </w:rPr>
    </w:lvl>
    <w:lvl w:ilvl="3" w:tentative="0">
      <w:start w:val="1"/>
      <w:numFmt w:val="decimal"/>
      <w:suff w:val="space"/>
      <w:lvlText w:val="%4）"/>
      <w:lvlJc w:val="left"/>
      <w:pPr>
        <w:tabs>
          <w:tab w:val="left" w:pos="0"/>
        </w:tabs>
        <w:ind w:left="851" w:hanging="851"/>
      </w:pPr>
      <w:rPr>
        <w:rFonts w:hint="default" w:ascii="宋体" w:hAnsi="宋体" w:eastAsia="宋体" w:cs="宋体"/>
        <w:b/>
      </w:rPr>
    </w:lvl>
    <w:lvl w:ilvl="4" w:tentative="0">
      <w:start w:val="1"/>
      <w:numFmt w:val="decimal"/>
      <w:lvlText w:val="%1.%2.%3.%4.%5."/>
      <w:lvlJc w:val="left"/>
      <w:pPr>
        <w:ind w:left="992" w:hanging="992"/>
      </w:pPr>
      <w:rPr>
        <w:rFonts w:cs="Times New Roman"/>
      </w:rPr>
    </w:lvl>
    <w:lvl w:ilvl="5" w:tentative="0">
      <w:start w:val="1"/>
      <w:numFmt w:val="decimal"/>
      <w:lvlText w:val="%1.%2.%3.%4.%5.%6."/>
      <w:lvlJc w:val="left"/>
      <w:pPr>
        <w:ind w:left="1134" w:hanging="1134"/>
      </w:pPr>
      <w:rPr>
        <w:rFonts w:cs="Times New Roman"/>
      </w:rPr>
    </w:lvl>
    <w:lvl w:ilvl="6" w:tentative="0">
      <w:start w:val="1"/>
      <w:numFmt w:val="decimal"/>
      <w:lvlText w:val="%1.%2.%3.%4.%5.%6.%7."/>
      <w:lvlJc w:val="left"/>
      <w:pPr>
        <w:ind w:left="1276" w:hanging="1276"/>
      </w:pPr>
      <w:rPr>
        <w:rFonts w:cs="Times New Roman"/>
      </w:rPr>
    </w:lvl>
    <w:lvl w:ilvl="7" w:tentative="0">
      <w:start w:val="1"/>
      <w:numFmt w:val="decimal"/>
      <w:lvlText w:val="%1.%2.%3.%4.%5.%6.%7.%8."/>
      <w:lvlJc w:val="left"/>
      <w:pPr>
        <w:ind w:left="1418" w:hanging="1418"/>
      </w:pPr>
      <w:rPr>
        <w:rFonts w:cs="Times New Roman"/>
      </w:rPr>
    </w:lvl>
    <w:lvl w:ilvl="8" w:tentative="0">
      <w:start w:val="1"/>
      <w:numFmt w:val="decimal"/>
      <w:lvlText w:val="%1.%2.%3.%4.%5.%6.%7.%8.%9."/>
      <w:lvlJc w:val="left"/>
      <w:pPr>
        <w:ind w:left="1559" w:hanging="1559"/>
      </w:pPr>
      <w:rPr>
        <w:rFonts w:cs="Times New Roman"/>
      </w:rPr>
    </w:lvl>
  </w:abstractNum>
  <w:abstractNum w:abstractNumId="15">
    <w:nsid w:val="60B55DC2"/>
    <w:multiLevelType w:val="multilevel"/>
    <w:tmpl w:val="60B55DC2"/>
    <w:lvl w:ilvl="0" w:tentative="0">
      <w:start w:val="1"/>
      <w:numFmt w:val="upperLetter"/>
      <w:pStyle w:val="220"/>
      <w:lvlText w:val="%1"/>
      <w:lvlJc w:val="left"/>
      <w:pPr>
        <w:tabs>
          <w:tab w:val="left" w:pos="0"/>
        </w:tabs>
        <w:ind w:hanging="425"/>
      </w:pPr>
      <w:rPr>
        <w:rFonts w:hint="eastAsia" w:cs="Times New Roman"/>
      </w:rPr>
    </w:lvl>
    <w:lvl w:ilvl="1" w:tentative="0">
      <w:start w:val="1"/>
      <w:numFmt w:val="decimal"/>
      <w:pStyle w:val="351"/>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abstractNum w:abstractNumId="16">
    <w:nsid w:val="646260FA"/>
    <w:multiLevelType w:val="multilevel"/>
    <w:tmpl w:val="646260FA"/>
    <w:lvl w:ilvl="0" w:tentative="0">
      <w:start w:val="1"/>
      <w:numFmt w:val="decimal"/>
      <w:suff w:val="nothing"/>
      <w:lvlText w:val="表%1　"/>
      <w:lvlJc w:val="left"/>
      <w:rPr>
        <w:rFonts w:hint="eastAsia" w:ascii="黑体" w:hAnsi="Times New Roman" w:eastAsia="黑体" w:cs="Times New Roman"/>
        <w:b w:val="0"/>
        <w:i w:val="0"/>
        <w:sz w:val="21"/>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pStyle w:val="181"/>
      <w:lvlText w:val="%1.%2.%3"/>
      <w:lvlJc w:val="left"/>
      <w:pPr>
        <w:tabs>
          <w:tab w:val="left" w:pos="1418"/>
        </w:tabs>
        <w:ind w:left="1418" w:hanging="567"/>
      </w:pPr>
      <w:rPr>
        <w:rFonts w:hint="eastAsia" w:cs="Times New Roman"/>
      </w:rPr>
    </w:lvl>
    <w:lvl w:ilvl="3" w:tentative="0">
      <w:start w:val="1"/>
      <w:numFmt w:val="decimal"/>
      <w:pStyle w:val="179"/>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7">
    <w:nsid w:val="657D3FBC"/>
    <w:multiLevelType w:val="multilevel"/>
    <w:tmpl w:val="657D3FBC"/>
    <w:lvl w:ilvl="0" w:tentative="0">
      <w:start w:val="1"/>
      <w:numFmt w:val="upperLetter"/>
      <w:pStyle w:val="261"/>
      <w:suff w:val="nothing"/>
      <w:lvlText w:val="附　录　%1"/>
      <w:lvlJc w:val="left"/>
      <w:rPr>
        <w:rFonts w:hint="eastAsia" w:ascii="黑体" w:hAnsi="Times New Roman" w:eastAsia="黑体" w:cs="Times New Roman"/>
        <w:b w:val="0"/>
        <w:i w:val="0"/>
        <w:spacing w:val="0"/>
        <w:w w:val="100"/>
        <w:sz w:val="21"/>
      </w:rPr>
    </w:lvl>
    <w:lvl w:ilvl="1" w:tentative="0">
      <w:start w:val="1"/>
      <w:numFmt w:val="decimal"/>
      <w:suff w:val="nothing"/>
      <w:lvlText w:val="%1.%2　"/>
      <w:lvlJc w:val="left"/>
      <w:rPr>
        <w:rFonts w:hint="eastAsia" w:ascii="黑体" w:hAnsi="Times New Roman" w:eastAsia="黑体" w:cs="Times New Roman"/>
        <w:b w:val="0"/>
        <w:i w:val="0"/>
        <w:spacing w:val="0"/>
        <w:w w:val="100"/>
        <w:kern w:val="21"/>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8">
    <w:nsid w:val="6FD871AE"/>
    <w:multiLevelType w:val="multilevel"/>
    <w:tmpl w:val="6FD871AE"/>
    <w:lvl w:ilvl="0" w:tentative="0">
      <w:start w:val="1"/>
      <w:numFmt w:val="decimal"/>
      <w:pStyle w:val="246"/>
      <w:lvlText w:val="表 A.%1"/>
      <w:lvlJc w:val="left"/>
      <w:pPr>
        <w:ind w:left="420" w:hanging="420"/>
      </w:pPr>
      <w:rPr>
        <w:rFonts w:hint="eastAsia" w:eastAsia="黑体" w:cs="Times New Roman"/>
        <w:b w:val="0"/>
        <w:i w:val="0"/>
        <w:sz w:val="21"/>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9">
    <w:nsid w:val="747158B3"/>
    <w:multiLevelType w:val="multilevel"/>
    <w:tmpl w:val="747158B3"/>
    <w:lvl w:ilvl="0" w:tentative="0">
      <w:start w:val="1"/>
      <w:numFmt w:val="decimal"/>
      <w:lvlText w:val="%1."/>
      <w:lvlJc w:val="left"/>
      <w:pPr>
        <w:tabs>
          <w:tab w:val="left" w:pos="786"/>
        </w:tabs>
        <w:ind w:left="786" w:hanging="360"/>
      </w:pPr>
      <w:rPr>
        <w:rFonts w:hint="default" w:cs="Times New Roman"/>
      </w:rPr>
    </w:lvl>
    <w:lvl w:ilvl="1" w:tentative="0">
      <w:start w:val="1"/>
      <w:numFmt w:val="lowerLetter"/>
      <w:pStyle w:val="194"/>
      <w:lvlText w:val="%2)"/>
      <w:lvlJc w:val="left"/>
      <w:pPr>
        <w:tabs>
          <w:tab w:val="left" w:pos="1266"/>
        </w:tabs>
        <w:ind w:left="1266" w:hanging="420"/>
      </w:pPr>
      <w:rPr>
        <w:rFonts w:cs="Times New Roman"/>
      </w:rPr>
    </w:lvl>
    <w:lvl w:ilvl="2" w:tentative="0">
      <w:start w:val="1"/>
      <w:numFmt w:val="lowerRoman"/>
      <w:lvlText w:val="%3."/>
      <w:lvlJc w:val="right"/>
      <w:pPr>
        <w:tabs>
          <w:tab w:val="left" w:pos="1686"/>
        </w:tabs>
        <w:ind w:left="1686" w:hanging="420"/>
      </w:pPr>
      <w:rPr>
        <w:rFonts w:cs="Times New Roman"/>
      </w:rPr>
    </w:lvl>
    <w:lvl w:ilvl="3" w:tentative="0">
      <w:start w:val="1"/>
      <w:numFmt w:val="decimal"/>
      <w:lvlText w:val="%4."/>
      <w:lvlJc w:val="left"/>
      <w:pPr>
        <w:tabs>
          <w:tab w:val="left" w:pos="2106"/>
        </w:tabs>
        <w:ind w:left="2106" w:hanging="420"/>
      </w:pPr>
      <w:rPr>
        <w:rFonts w:cs="Times New Roman"/>
      </w:rPr>
    </w:lvl>
    <w:lvl w:ilvl="4" w:tentative="0">
      <w:start w:val="1"/>
      <w:numFmt w:val="lowerLetter"/>
      <w:lvlText w:val="%5)"/>
      <w:lvlJc w:val="left"/>
      <w:pPr>
        <w:tabs>
          <w:tab w:val="left" w:pos="2526"/>
        </w:tabs>
        <w:ind w:left="2526" w:hanging="420"/>
      </w:pPr>
      <w:rPr>
        <w:rFonts w:cs="Times New Roman"/>
      </w:rPr>
    </w:lvl>
    <w:lvl w:ilvl="5" w:tentative="0">
      <w:start w:val="1"/>
      <w:numFmt w:val="lowerRoman"/>
      <w:lvlText w:val="%6."/>
      <w:lvlJc w:val="right"/>
      <w:pPr>
        <w:tabs>
          <w:tab w:val="left" w:pos="2946"/>
        </w:tabs>
        <w:ind w:left="2946" w:hanging="420"/>
      </w:pPr>
      <w:rPr>
        <w:rFonts w:cs="Times New Roman"/>
      </w:rPr>
    </w:lvl>
    <w:lvl w:ilvl="6" w:tentative="0">
      <w:start w:val="1"/>
      <w:numFmt w:val="decimal"/>
      <w:lvlText w:val="%7."/>
      <w:lvlJc w:val="left"/>
      <w:pPr>
        <w:tabs>
          <w:tab w:val="left" w:pos="3366"/>
        </w:tabs>
        <w:ind w:left="3366" w:hanging="420"/>
      </w:pPr>
      <w:rPr>
        <w:rFonts w:cs="Times New Roman"/>
      </w:rPr>
    </w:lvl>
    <w:lvl w:ilvl="7" w:tentative="0">
      <w:start w:val="1"/>
      <w:numFmt w:val="lowerLetter"/>
      <w:lvlText w:val="%8)"/>
      <w:lvlJc w:val="left"/>
      <w:pPr>
        <w:tabs>
          <w:tab w:val="left" w:pos="3786"/>
        </w:tabs>
        <w:ind w:left="3786" w:hanging="420"/>
      </w:pPr>
      <w:rPr>
        <w:rFonts w:cs="Times New Roman"/>
      </w:rPr>
    </w:lvl>
    <w:lvl w:ilvl="8" w:tentative="0">
      <w:start w:val="1"/>
      <w:numFmt w:val="lowerRoman"/>
      <w:lvlText w:val="%9."/>
      <w:lvlJc w:val="right"/>
      <w:pPr>
        <w:tabs>
          <w:tab w:val="left" w:pos="4206"/>
        </w:tabs>
        <w:ind w:left="4206" w:hanging="420"/>
      </w:pPr>
      <w:rPr>
        <w:rFonts w:cs="Times New Roman"/>
      </w:rPr>
    </w:lvl>
  </w:abstractNum>
  <w:num w:numId="1">
    <w:abstractNumId w:val="11"/>
  </w:num>
  <w:num w:numId="2">
    <w:abstractNumId w:val="3"/>
  </w:num>
  <w:num w:numId="3">
    <w:abstractNumId w:val="8"/>
  </w:num>
  <w:num w:numId="4">
    <w:abstractNumId w:val="16"/>
  </w:num>
  <w:num w:numId="5">
    <w:abstractNumId w:val="19"/>
  </w:num>
  <w:num w:numId="6">
    <w:abstractNumId w:val="2"/>
  </w:num>
  <w:num w:numId="7">
    <w:abstractNumId w:val="14"/>
  </w:num>
  <w:num w:numId="8">
    <w:abstractNumId w:val="10"/>
  </w:num>
  <w:num w:numId="9">
    <w:abstractNumId w:val="15"/>
  </w:num>
  <w:num w:numId="10">
    <w:abstractNumId w:val="7"/>
  </w:num>
  <w:num w:numId="11">
    <w:abstractNumId w:val="18"/>
  </w:num>
  <w:num w:numId="12">
    <w:abstractNumId w:val="17"/>
  </w:num>
  <w:num w:numId="13">
    <w:abstractNumId w:val="9"/>
  </w:num>
  <w:num w:numId="14">
    <w:abstractNumId w:val="4"/>
  </w:num>
  <w:num w:numId="15">
    <w:abstractNumId w:val="6"/>
  </w:num>
  <w:num w:numId="16">
    <w:abstractNumId w:val="13"/>
  </w:num>
  <w:num w:numId="17">
    <w:abstractNumId w:val="5"/>
  </w:num>
  <w:num w:numId="18">
    <w:abstractNumId w:val="1"/>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86634"/>
    <w:rsid w:val="00001EBB"/>
    <w:rsid w:val="00002FA3"/>
    <w:rsid w:val="00004BC4"/>
    <w:rsid w:val="000079AA"/>
    <w:rsid w:val="00010192"/>
    <w:rsid w:val="00010AE9"/>
    <w:rsid w:val="00012775"/>
    <w:rsid w:val="0001357B"/>
    <w:rsid w:val="00013621"/>
    <w:rsid w:val="00013C8E"/>
    <w:rsid w:val="000212C1"/>
    <w:rsid w:val="0002539F"/>
    <w:rsid w:val="00027A92"/>
    <w:rsid w:val="00032202"/>
    <w:rsid w:val="00034E4F"/>
    <w:rsid w:val="0004782D"/>
    <w:rsid w:val="0005190F"/>
    <w:rsid w:val="00063E19"/>
    <w:rsid w:val="000725F3"/>
    <w:rsid w:val="000765E2"/>
    <w:rsid w:val="000842C6"/>
    <w:rsid w:val="00086634"/>
    <w:rsid w:val="00090AF2"/>
    <w:rsid w:val="000915B6"/>
    <w:rsid w:val="00095866"/>
    <w:rsid w:val="000A1B64"/>
    <w:rsid w:val="000A211C"/>
    <w:rsid w:val="000A3E9E"/>
    <w:rsid w:val="000A7268"/>
    <w:rsid w:val="000B0468"/>
    <w:rsid w:val="000B300A"/>
    <w:rsid w:val="000B5E82"/>
    <w:rsid w:val="000C0403"/>
    <w:rsid w:val="000D3796"/>
    <w:rsid w:val="000D463E"/>
    <w:rsid w:val="000D7263"/>
    <w:rsid w:val="000D7EC5"/>
    <w:rsid w:val="000E1531"/>
    <w:rsid w:val="000E24DD"/>
    <w:rsid w:val="000E4D60"/>
    <w:rsid w:val="000E5B63"/>
    <w:rsid w:val="000F247A"/>
    <w:rsid w:val="000F28F7"/>
    <w:rsid w:val="000F3FDD"/>
    <w:rsid w:val="000F5808"/>
    <w:rsid w:val="000F6627"/>
    <w:rsid w:val="000F6B88"/>
    <w:rsid w:val="000F7538"/>
    <w:rsid w:val="00103365"/>
    <w:rsid w:val="0011389D"/>
    <w:rsid w:val="001142A9"/>
    <w:rsid w:val="00116EBB"/>
    <w:rsid w:val="00124F14"/>
    <w:rsid w:val="001271B4"/>
    <w:rsid w:val="00132207"/>
    <w:rsid w:val="00144C4B"/>
    <w:rsid w:val="00152767"/>
    <w:rsid w:val="001535F8"/>
    <w:rsid w:val="00160B50"/>
    <w:rsid w:val="00161421"/>
    <w:rsid w:val="001619E1"/>
    <w:rsid w:val="00162053"/>
    <w:rsid w:val="00172931"/>
    <w:rsid w:val="00172E0A"/>
    <w:rsid w:val="00176571"/>
    <w:rsid w:val="00176EF2"/>
    <w:rsid w:val="001775CF"/>
    <w:rsid w:val="001845AD"/>
    <w:rsid w:val="0018697C"/>
    <w:rsid w:val="0018711D"/>
    <w:rsid w:val="00187BA0"/>
    <w:rsid w:val="001A04E8"/>
    <w:rsid w:val="001A3E42"/>
    <w:rsid w:val="001A418F"/>
    <w:rsid w:val="001C3EF6"/>
    <w:rsid w:val="001C41E3"/>
    <w:rsid w:val="001C5A51"/>
    <w:rsid w:val="001D144C"/>
    <w:rsid w:val="001D6A8F"/>
    <w:rsid w:val="001E2933"/>
    <w:rsid w:val="001E52E4"/>
    <w:rsid w:val="001E612D"/>
    <w:rsid w:val="001E7F4B"/>
    <w:rsid w:val="001F2180"/>
    <w:rsid w:val="001F3667"/>
    <w:rsid w:val="001F388F"/>
    <w:rsid w:val="001F70FF"/>
    <w:rsid w:val="001F7E4D"/>
    <w:rsid w:val="0020037C"/>
    <w:rsid w:val="002008F0"/>
    <w:rsid w:val="00200BCE"/>
    <w:rsid w:val="00206ECE"/>
    <w:rsid w:val="002110C3"/>
    <w:rsid w:val="00211BF0"/>
    <w:rsid w:val="00220C94"/>
    <w:rsid w:val="00221DFA"/>
    <w:rsid w:val="0022697C"/>
    <w:rsid w:val="002312E9"/>
    <w:rsid w:val="002340EC"/>
    <w:rsid w:val="002408F9"/>
    <w:rsid w:val="00245B18"/>
    <w:rsid w:val="002460A2"/>
    <w:rsid w:val="00250C24"/>
    <w:rsid w:val="00252502"/>
    <w:rsid w:val="00252F6F"/>
    <w:rsid w:val="00256E26"/>
    <w:rsid w:val="002573B5"/>
    <w:rsid w:val="00257A7F"/>
    <w:rsid w:val="0026792D"/>
    <w:rsid w:val="00270BDB"/>
    <w:rsid w:val="002725CF"/>
    <w:rsid w:val="0027625E"/>
    <w:rsid w:val="002804D9"/>
    <w:rsid w:val="00283D66"/>
    <w:rsid w:val="00291596"/>
    <w:rsid w:val="00292A8C"/>
    <w:rsid w:val="00292D94"/>
    <w:rsid w:val="002937C7"/>
    <w:rsid w:val="002939EF"/>
    <w:rsid w:val="002A3001"/>
    <w:rsid w:val="002A69E4"/>
    <w:rsid w:val="002C0F31"/>
    <w:rsid w:val="002C25EE"/>
    <w:rsid w:val="002C47C6"/>
    <w:rsid w:val="002C733F"/>
    <w:rsid w:val="002E1829"/>
    <w:rsid w:val="002E323C"/>
    <w:rsid w:val="002E36AA"/>
    <w:rsid w:val="002E46AA"/>
    <w:rsid w:val="002F367A"/>
    <w:rsid w:val="002F43F0"/>
    <w:rsid w:val="002F77F2"/>
    <w:rsid w:val="0030014C"/>
    <w:rsid w:val="00300555"/>
    <w:rsid w:val="003035F9"/>
    <w:rsid w:val="00303D00"/>
    <w:rsid w:val="00305DB5"/>
    <w:rsid w:val="00314B96"/>
    <w:rsid w:val="00316D71"/>
    <w:rsid w:val="00323FB8"/>
    <w:rsid w:val="00326CE7"/>
    <w:rsid w:val="00332751"/>
    <w:rsid w:val="00334CFC"/>
    <w:rsid w:val="003422D4"/>
    <w:rsid w:val="003426DD"/>
    <w:rsid w:val="0034313B"/>
    <w:rsid w:val="00345C36"/>
    <w:rsid w:val="00345E24"/>
    <w:rsid w:val="00351D20"/>
    <w:rsid w:val="00356F4B"/>
    <w:rsid w:val="00361710"/>
    <w:rsid w:val="00363B0C"/>
    <w:rsid w:val="00364E20"/>
    <w:rsid w:val="003662DF"/>
    <w:rsid w:val="0037288E"/>
    <w:rsid w:val="0037639C"/>
    <w:rsid w:val="00390C7B"/>
    <w:rsid w:val="0039240C"/>
    <w:rsid w:val="00392B05"/>
    <w:rsid w:val="00394176"/>
    <w:rsid w:val="003A2829"/>
    <w:rsid w:val="003A3EB5"/>
    <w:rsid w:val="003A4772"/>
    <w:rsid w:val="003A7347"/>
    <w:rsid w:val="003B0A15"/>
    <w:rsid w:val="003B0B03"/>
    <w:rsid w:val="003B0D0B"/>
    <w:rsid w:val="003B7C66"/>
    <w:rsid w:val="003D14D3"/>
    <w:rsid w:val="003D3F9A"/>
    <w:rsid w:val="003E5535"/>
    <w:rsid w:val="003F0821"/>
    <w:rsid w:val="003F66AC"/>
    <w:rsid w:val="003F7036"/>
    <w:rsid w:val="00400124"/>
    <w:rsid w:val="00403B18"/>
    <w:rsid w:val="004064E0"/>
    <w:rsid w:val="00411FF8"/>
    <w:rsid w:val="004136AB"/>
    <w:rsid w:val="004147A5"/>
    <w:rsid w:val="0041752D"/>
    <w:rsid w:val="00417FC6"/>
    <w:rsid w:val="00420A0D"/>
    <w:rsid w:val="004250E5"/>
    <w:rsid w:val="00433764"/>
    <w:rsid w:val="004435C1"/>
    <w:rsid w:val="00443703"/>
    <w:rsid w:val="004449FC"/>
    <w:rsid w:val="00444C4A"/>
    <w:rsid w:val="00450375"/>
    <w:rsid w:val="004507A6"/>
    <w:rsid w:val="00456D89"/>
    <w:rsid w:val="004613DE"/>
    <w:rsid w:val="00461672"/>
    <w:rsid w:val="00462468"/>
    <w:rsid w:val="00464388"/>
    <w:rsid w:val="004729F6"/>
    <w:rsid w:val="00473056"/>
    <w:rsid w:val="004746F1"/>
    <w:rsid w:val="00474ED5"/>
    <w:rsid w:val="00475B61"/>
    <w:rsid w:val="00476D1E"/>
    <w:rsid w:val="00483B5E"/>
    <w:rsid w:val="00484206"/>
    <w:rsid w:val="00485A5E"/>
    <w:rsid w:val="00485E5C"/>
    <w:rsid w:val="00486E90"/>
    <w:rsid w:val="0048787B"/>
    <w:rsid w:val="00490B37"/>
    <w:rsid w:val="00494FC2"/>
    <w:rsid w:val="00495555"/>
    <w:rsid w:val="00496EDA"/>
    <w:rsid w:val="004A3096"/>
    <w:rsid w:val="004A4BBD"/>
    <w:rsid w:val="004A52A2"/>
    <w:rsid w:val="004A5414"/>
    <w:rsid w:val="004B0238"/>
    <w:rsid w:val="004B2668"/>
    <w:rsid w:val="004B388A"/>
    <w:rsid w:val="004C1A2F"/>
    <w:rsid w:val="004C5686"/>
    <w:rsid w:val="004D0900"/>
    <w:rsid w:val="004D0D7D"/>
    <w:rsid w:val="004D2B06"/>
    <w:rsid w:val="004E2BE0"/>
    <w:rsid w:val="004E5C7E"/>
    <w:rsid w:val="004E6A00"/>
    <w:rsid w:val="004F36A2"/>
    <w:rsid w:val="004F53C1"/>
    <w:rsid w:val="004F6568"/>
    <w:rsid w:val="004F7ADD"/>
    <w:rsid w:val="0050396B"/>
    <w:rsid w:val="00505D27"/>
    <w:rsid w:val="00507638"/>
    <w:rsid w:val="00513653"/>
    <w:rsid w:val="005156A6"/>
    <w:rsid w:val="00517039"/>
    <w:rsid w:val="005171E0"/>
    <w:rsid w:val="0052021E"/>
    <w:rsid w:val="00523F72"/>
    <w:rsid w:val="0052692D"/>
    <w:rsid w:val="005374E7"/>
    <w:rsid w:val="00540504"/>
    <w:rsid w:val="005417CA"/>
    <w:rsid w:val="00564092"/>
    <w:rsid w:val="00570296"/>
    <w:rsid w:val="00570585"/>
    <w:rsid w:val="0057095C"/>
    <w:rsid w:val="00571504"/>
    <w:rsid w:val="0057174A"/>
    <w:rsid w:val="00575D6E"/>
    <w:rsid w:val="00582E81"/>
    <w:rsid w:val="00583DAB"/>
    <w:rsid w:val="00584F83"/>
    <w:rsid w:val="0059108B"/>
    <w:rsid w:val="005918F0"/>
    <w:rsid w:val="00595DBF"/>
    <w:rsid w:val="005A078D"/>
    <w:rsid w:val="005A0C2B"/>
    <w:rsid w:val="005A52E5"/>
    <w:rsid w:val="005B2B48"/>
    <w:rsid w:val="005B3DE6"/>
    <w:rsid w:val="005B4300"/>
    <w:rsid w:val="005B4A8C"/>
    <w:rsid w:val="005B4C0B"/>
    <w:rsid w:val="005B7038"/>
    <w:rsid w:val="005B7B27"/>
    <w:rsid w:val="005C196D"/>
    <w:rsid w:val="005C5238"/>
    <w:rsid w:val="005C6D1E"/>
    <w:rsid w:val="005D1D23"/>
    <w:rsid w:val="005D37C8"/>
    <w:rsid w:val="005D3935"/>
    <w:rsid w:val="005E2F35"/>
    <w:rsid w:val="005E2F40"/>
    <w:rsid w:val="005E5634"/>
    <w:rsid w:val="005F0C67"/>
    <w:rsid w:val="005F328B"/>
    <w:rsid w:val="005F35C6"/>
    <w:rsid w:val="00602709"/>
    <w:rsid w:val="0060372F"/>
    <w:rsid w:val="00604E22"/>
    <w:rsid w:val="0061047A"/>
    <w:rsid w:val="00615589"/>
    <w:rsid w:val="00615744"/>
    <w:rsid w:val="00615E96"/>
    <w:rsid w:val="0062021D"/>
    <w:rsid w:val="00622CE7"/>
    <w:rsid w:val="006255A8"/>
    <w:rsid w:val="00626040"/>
    <w:rsid w:val="006272AB"/>
    <w:rsid w:val="00630B5E"/>
    <w:rsid w:val="00630F48"/>
    <w:rsid w:val="00632D61"/>
    <w:rsid w:val="00633E22"/>
    <w:rsid w:val="00633FC9"/>
    <w:rsid w:val="00634177"/>
    <w:rsid w:val="00634C01"/>
    <w:rsid w:val="00634E8A"/>
    <w:rsid w:val="00635347"/>
    <w:rsid w:val="00635FEA"/>
    <w:rsid w:val="006453AB"/>
    <w:rsid w:val="00657311"/>
    <w:rsid w:val="00660642"/>
    <w:rsid w:val="00665C1E"/>
    <w:rsid w:val="00667984"/>
    <w:rsid w:val="0068543E"/>
    <w:rsid w:val="00690851"/>
    <w:rsid w:val="00690BD6"/>
    <w:rsid w:val="006A24FF"/>
    <w:rsid w:val="006A2783"/>
    <w:rsid w:val="006A4309"/>
    <w:rsid w:val="006A46B8"/>
    <w:rsid w:val="006B0B2E"/>
    <w:rsid w:val="006B2A91"/>
    <w:rsid w:val="006B3689"/>
    <w:rsid w:val="006B7A56"/>
    <w:rsid w:val="006C52F1"/>
    <w:rsid w:val="006D1966"/>
    <w:rsid w:val="006E1E8E"/>
    <w:rsid w:val="006E1EF9"/>
    <w:rsid w:val="006E5192"/>
    <w:rsid w:val="006E6999"/>
    <w:rsid w:val="006E732B"/>
    <w:rsid w:val="0070387D"/>
    <w:rsid w:val="00705FA8"/>
    <w:rsid w:val="007169E9"/>
    <w:rsid w:val="00717035"/>
    <w:rsid w:val="007237EE"/>
    <w:rsid w:val="00725252"/>
    <w:rsid w:val="00727961"/>
    <w:rsid w:val="007279E4"/>
    <w:rsid w:val="007336DD"/>
    <w:rsid w:val="00736B12"/>
    <w:rsid w:val="00737C84"/>
    <w:rsid w:val="00744FD2"/>
    <w:rsid w:val="00746B13"/>
    <w:rsid w:val="007475E5"/>
    <w:rsid w:val="00750460"/>
    <w:rsid w:val="007506C6"/>
    <w:rsid w:val="00751106"/>
    <w:rsid w:val="00754E67"/>
    <w:rsid w:val="0075576C"/>
    <w:rsid w:val="007620E3"/>
    <w:rsid w:val="00772B65"/>
    <w:rsid w:val="00775CBE"/>
    <w:rsid w:val="00780BE0"/>
    <w:rsid w:val="00791CB4"/>
    <w:rsid w:val="0079282D"/>
    <w:rsid w:val="00792DA5"/>
    <w:rsid w:val="007A2083"/>
    <w:rsid w:val="007B1C89"/>
    <w:rsid w:val="007B3FFB"/>
    <w:rsid w:val="007C45EA"/>
    <w:rsid w:val="007C7519"/>
    <w:rsid w:val="007C7A3A"/>
    <w:rsid w:val="007D2090"/>
    <w:rsid w:val="007D4EED"/>
    <w:rsid w:val="007D7FFD"/>
    <w:rsid w:val="007E30F4"/>
    <w:rsid w:val="007E3185"/>
    <w:rsid w:val="007E6385"/>
    <w:rsid w:val="007E7C2B"/>
    <w:rsid w:val="007F3945"/>
    <w:rsid w:val="008034B6"/>
    <w:rsid w:val="0080633E"/>
    <w:rsid w:val="008071A3"/>
    <w:rsid w:val="00807EBD"/>
    <w:rsid w:val="00813833"/>
    <w:rsid w:val="00817A9F"/>
    <w:rsid w:val="0082395F"/>
    <w:rsid w:val="0082443B"/>
    <w:rsid w:val="00825629"/>
    <w:rsid w:val="00827D7C"/>
    <w:rsid w:val="0083098F"/>
    <w:rsid w:val="008328EA"/>
    <w:rsid w:val="008474C2"/>
    <w:rsid w:val="00850F57"/>
    <w:rsid w:val="00852250"/>
    <w:rsid w:val="00853174"/>
    <w:rsid w:val="00854E18"/>
    <w:rsid w:val="0085604B"/>
    <w:rsid w:val="0086051D"/>
    <w:rsid w:val="008635D5"/>
    <w:rsid w:val="00863A26"/>
    <w:rsid w:val="00866990"/>
    <w:rsid w:val="00871835"/>
    <w:rsid w:val="0087280D"/>
    <w:rsid w:val="008728D3"/>
    <w:rsid w:val="00873E9C"/>
    <w:rsid w:val="0087463D"/>
    <w:rsid w:val="008747E8"/>
    <w:rsid w:val="00875671"/>
    <w:rsid w:val="00891AFD"/>
    <w:rsid w:val="00895B0B"/>
    <w:rsid w:val="00896E7B"/>
    <w:rsid w:val="00897271"/>
    <w:rsid w:val="008A04D8"/>
    <w:rsid w:val="008A2A5C"/>
    <w:rsid w:val="008A7584"/>
    <w:rsid w:val="008B11EF"/>
    <w:rsid w:val="008B6062"/>
    <w:rsid w:val="008B7A81"/>
    <w:rsid w:val="008C0F14"/>
    <w:rsid w:val="008C1600"/>
    <w:rsid w:val="008C5B62"/>
    <w:rsid w:val="008D2480"/>
    <w:rsid w:val="008E1FBA"/>
    <w:rsid w:val="008E7A87"/>
    <w:rsid w:val="008F6CFE"/>
    <w:rsid w:val="0090167C"/>
    <w:rsid w:val="00905CA9"/>
    <w:rsid w:val="00907267"/>
    <w:rsid w:val="0092098A"/>
    <w:rsid w:val="009273C4"/>
    <w:rsid w:val="00931310"/>
    <w:rsid w:val="00932834"/>
    <w:rsid w:val="00933C3A"/>
    <w:rsid w:val="00941F1F"/>
    <w:rsid w:val="00942032"/>
    <w:rsid w:val="009438D0"/>
    <w:rsid w:val="00944399"/>
    <w:rsid w:val="00946A41"/>
    <w:rsid w:val="00946DB1"/>
    <w:rsid w:val="00950955"/>
    <w:rsid w:val="009532E4"/>
    <w:rsid w:val="00953B10"/>
    <w:rsid w:val="0095450B"/>
    <w:rsid w:val="0097024E"/>
    <w:rsid w:val="00972513"/>
    <w:rsid w:val="00980254"/>
    <w:rsid w:val="00980C7F"/>
    <w:rsid w:val="00992C23"/>
    <w:rsid w:val="009952E9"/>
    <w:rsid w:val="00995779"/>
    <w:rsid w:val="009A3022"/>
    <w:rsid w:val="009B2747"/>
    <w:rsid w:val="009B4AC0"/>
    <w:rsid w:val="009B7559"/>
    <w:rsid w:val="009B77B6"/>
    <w:rsid w:val="009C1F01"/>
    <w:rsid w:val="009C32E9"/>
    <w:rsid w:val="009D1B36"/>
    <w:rsid w:val="009D1B94"/>
    <w:rsid w:val="009D4FC4"/>
    <w:rsid w:val="009E6D09"/>
    <w:rsid w:val="009F4B21"/>
    <w:rsid w:val="009F56FC"/>
    <w:rsid w:val="009F6EF7"/>
    <w:rsid w:val="00A01FD0"/>
    <w:rsid w:val="00A028D3"/>
    <w:rsid w:val="00A052D0"/>
    <w:rsid w:val="00A07313"/>
    <w:rsid w:val="00A10851"/>
    <w:rsid w:val="00A13D06"/>
    <w:rsid w:val="00A21089"/>
    <w:rsid w:val="00A22517"/>
    <w:rsid w:val="00A2291F"/>
    <w:rsid w:val="00A2471A"/>
    <w:rsid w:val="00A31958"/>
    <w:rsid w:val="00A31A01"/>
    <w:rsid w:val="00A322AD"/>
    <w:rsid w:val="00A576CC"/>
    <w:rsid w:val="00A60709"/>
    <w:rsid w:val="00A704AF"/>
    <w:rsid w:val="00A75A72"/>
    <w:rsid w:val="00A8370C"/>
    <w:rsid w:val="00A85A34"/>
    <w:rsid w:val="00A879F9"/>
    <w:rsid w:val="00A904AB"/>
    <w:rsid w:val="00A973F3"/>
    <w:rsid w:val="00AA66A9"/>
    <w:rsid w:val="00AB04F1"/>
    <w:rsid w:val="00AB11D6"/>
    <w:rsid w:val="00AB1CC2"/>
    <w:rsid w:val="00AB3825"/>
    <w:rsid w:val="00AB421C"/>
    <w:rsid w:val="00AB65CD"/>
    <w:rsid w:val="00AC253B"/>
    <w:rsid w:val="00AC3AD7"/>
    <w:rsid w:val="00AD245B"/>
    <w:rsid w:val="00AF2C48"/>
    <w:rsid w:val="00AF736D"/>
    <w:rsid w:val="00B0611D"/>
    <w:rsid w:val="00B20D0F"/>
    <w:rsid w:val="00B223B8"/>
    <w:rsid w:val="00B23F82"/>
    <w:rsid w:val="00B2486B"/>
    <w:rsid w:val="00B25A79"/>
    <w:rsid w:val="00B25F4D"/>
    <w:rsid w:val="00B44B8E"/>
    <w:rsid w:val="00B45C02"/>
    <w:rsid w:val="00B46F39"/>
    <w:rsid w:val="00B50026"/>
    <w:rsid w:val="00B541A2"/>
    <w:rsid w:val="00B659E0"/>
    <w:rsid w:val="00B70A68"/>
    <w:rsid w:val="00B7261C"/>
    <w:rsid w:val="00B7651B"/>
    <w:rsid w:val="00B87F01"/>
    <w:rsid w:val="00B928CD"/>
    <w:rsid w:val="00BA6D5B"/>
    <w:rsid w:val="00BA78F2"/>
    <w:rsid w:val="00BB20D3"/>
    <w:rsid w:val="00BC0CE9"/>
    <w:rsid w:val="00BC3BF7"/>
    <w:rsid w:val="00BC765D"/>
    <w:rsid w:val="00BD010D"/>
    <w:rsid w:val="00BD0547"/>
    <w:rsid w:val="00BD5421"/>
    <w:rsid w:val="00BD596D"/>
    <w:rsid w:val="00BD7FE6"/>
    <w:rsid w:val="00BE27F4"/>
    <w:rsid w:val="00BE40AE"/>
    <w:rsid w:val="00BE431D"/>
    <w:rsid w:val="00BE52A7"/>
    <w:rsid w:val="00BE5641"/>
    <w:rsid w:val="00BF018A"/>
    <w:rsid w:val="00BF125E"/>
    <w:rsid w:val="00BF51F1"/>
    <w:rsid w:val="00BF7442"/>
    <w:rsid w:val="00C01200"/>
    <w:rsid w:val="00C01591"/>
    <w:rsid w:val="00C033B8"/>
    <w:rsid w:val="00C0385E"/>
    <w:rsid w:val="00C12B29"/>
    <w:rsid w:val="00C13911"/>
    <w:rsid w:val="00C34D91"/>
    <w:rsid w:val="00C404DF"/>
    <w:rsid w:val="00C4421D"/>
    <w:rsid w:val="00C45D44"/>
    <w:rsid w:val="00C51C22"/>
    <w:rsid w:val="00C53B14"/>
    <w:rsid w:val="00C54F30"/>
    <w:rsid w:val="00C559C2"/>
    <w:rsid w:val="00C56B9C"/>
    <w:rsid w:val="00C636E3"/>
    <w:rsid w:val="00C6531C"/>
    <w:rsid w:val="00C65A65"/>
    <w:rsid w:val="00C67A34"/>
    <w:rsid w:val="00C70FDF"/>
    <w:rsid w:val="00C841AD"/>
    <w:rsid w:val="00C9011F"/>
    <w:rsid w:val="00C93343"/>
    <w:rsid w:val="00C96E59"/>
    <w:rsid w:val="00C9753D"/>
    <w:rsid w:val="00CB4C1A"/>
    <w:rsid w:val="00CC1A41"/>
    <w:rsid w:val="00CC492D"/>
    <w:rsid w:val="00CC5F19"/>
    <w:rsid w:val="00CC6B08"/>
    <w:rsid w:val="00CD061E"/>
    <w:rsid w:val="00CD5DB0"/>
    <w:rsid w:val="00CD7B52"/>
    <w:rsid w:val="00CE25AB"/>
    <w:rsid w:val="00CF0F96"/>
    <w:rsid w:val="00CF1590"/>
    <w:rsid w:val="00CF2BC6"/>
    <w:rsid w:val="00CF33A0"/>
    <w:rsid w:val="00CF399E"/>
    <w:rsid w:val="00D0799B"/>
    <w:rsid w:val="00D143CC"/>
    <w:rsid w:val="00D22D09"/>
    <w:rsid w:val="00D254EB"/>
    <w:rsid w:val="00D26060"/>
    <w:rsid w:val="00D2703C"/>
    <w:rsid w:val="00D27AEE"/>
    <w:rsid w:val="00D3109B"/>
    <w:rsid w:val="00D32A28"/>
    <w:rsid w:val="00D32B9B"/>
    <w:rsid w:val="00D341FD"/>
    <w:rsid w:val="00D34387"/>
    <w:rsid w:val="00D34EDE"/>
    <w:rsid w:val="00D40B32"/>
    <w:rsid w:val="00D4217D"/>
    <w:rsid w:val="00D52FCD"/>
    <w:rsid w:val="00D54AF4"/>
    <w:rsid w:val="00D640B2"/>
    <w:rsid w:val="00D64FD5"/>
    <w:rsid w:val="00D67502"/>
    <w:rsid w:val="00D77AC8"/>
    <w:rsid w:val="00D811F3"/>
    <w:rsid w:val="00D82A4D"/>
    <w:rsid w:val="00D855A8"/>
    <w:rsid w:val="00D9465F"/>
    <w:rsid w:val="00DA41AD"/>
    <w:rsid w:val="00DB3DC5"/>
    <w:rsid w:val="00DB76BE"/>
    <w:rsid w:val="00DC2FA3"/>
    <w:rsid w:val="00DD2807"/>
    <w:rsid w:val="00DD649C"/>
    <w:rsid w:val="00DD6579"/>
    <w:rsid w:val="00DE3B40"/>
    <w:rsid w:val="00DE5EE9"/>
    <w:rsid w:val="00DE787F"/>
    <w:rsid w:val="00DF0038"/>
    <w:rsid w:val="00DF06E2"/>
    <w:rsid w:val="00DF08A0"/>
    <w:rsid w:val="00DF59B0"/>
    <w:rsid w:val="00E00A6A"/>
    <w:rsid w:val="00E16730"/>
    <w:rsid w:val="00E22F3E"/>
    <w:rsid w:val="00E24811"/>
    <w:rsid w:val="00E2593D"/>
    <w:rsid w:val="00E26C8B"/>
    <w:rsid w:val="00E33DB3"/>
    <w:rsid w:val="00E345BD"/>
    <w:rsid w:val="00E356DC"/>
    <w:rsid w:val="00E4003E"/>
    <w:rsid w:val="00E430C4"/>
    <w:rsid w:val="00E4339C"/>
    <w:rsid w:val="00E52302"/>
    <w:rsid w:val="00E569FD"/>
    <w:rsid w:val="00E5756F"/>
    <w:rsid w:val="00E712B0"/>
    <w:rsid w:val="00E8013F"/>
    <w:rsid w:val="00E82652"/>
    <w:rsid w:val="00E82F1A"/>
    <w:rsid w:val="00E96822"/>
    <w:rsid w:val="00E97AB9"/>
    <w:rsid w:val="00EA0676"/>
    <w:rsid w:val="00EA1E57"/>
    <w:rsid w:val="00EA375C"/>
    <w:rsid w:val="00EA3B5D"/>
    <w:rsid w:val="00EA448F"/>
    <w:rsid w:val="00EA6C42"/>
    <w:rsid w:val="00EA784F"/>
    <w:rsid w:val="00EA7EDD"/>
    <w:rsid w:val="00EB19B9"/>
    <w:rsid w:val="00EC3486"/>
    <w:rsid w:val="00EC39DD"/>
    <w:rsid w:val="00EC3FE2"/>
    <w:rsid w:val="00EC61E5"/>
    <w:rsid w:val="00EE1505"/>
    <w:rsid w:val="00EE3184"/>
    <w:rsid w:val="00EF2ACE"/>
    <w:rsid w:val="00EF38F4"/>
    <w:rsid w:val="00EF4667"/>
    <w:rsid w:val="00F07066"/>
    <w:rsid w:val="00F17D2F"/>
    <w:rsid w:val="00F20660"/>
    <w:rsid w:val="00F218B1"/>
    <w:rsid w:val="00F21F1C"/>
    <w:rsid w:val="00F24639"/>
    <w:rsid w:val="00F24C36"/>
    <w:rsid w:val="00F2730F"/>
    <w:rsid w:val="00F301BC"/>
    <w:rsid w:val="00F306C1"/>
    <w:rsid w:val="00F319B4"/>
    <w:rsid w:val="00F3241E"/>
    <w:rsid w:val="00F34514"/>
    <w:rsid w:val="00F37263"/>
    <w:rsid w:val="00F4014A"/>
    <w:rsid w:val="00F47343"/>
    <w:rsid w:val="00F521EE"/>
    <w:rsid w:val="00F53249"/>
    <w:rsid w:val="00F55948"/>
    <w:rsid w:val="00F55B4A"/>
    <w:rsid w:val="00F61D28"/>
    <w:rsid w:val="00F629EF"/>
    <w:rsid w:val="00F65DFC"/>
    <w:rsid w:val="00F67921"/>
    <w:rsid w:val="00F71AAB"/>
    <w:rsid w:val="00F723B8"/>
    <w:rsid w:val="00F801B2"/>
    <w:rsid w:val="00F82AD5"/>
    <w:rsid w:val="00F918C1"/>
    <w:rsid w:val="00F91D56"/>
    <w:rsid w:val="00FA17B9"/>
    <w:rsid w:val="00FA19FD"/>
    <w:rsid w:val="00FA512D"/>
    <w:rsid w:val="00FA5722"/>
    <w:rsid w:val="00FA6A75"/>
    <w:rsid w:val="00FB02E7"/>
    <w:rsid w:val="00FB0E0F"/>
    <w:rsid w:val="00FB12C6"/>
    <w:rsid w:val="00FC0700"/>
    <w:rsid w:val="00FC7FE6"/>
    <w:rsid w:val="00FD65AC"/>
    <w:rsid w:val="00FE0515"/>
    <w:rsid w:val="00FE0AC1"/>
    <w:rsid w:val="00FE2723"/>
    <w:rsid w:val="00FE38F1"/>
    <w:rsid w:val="00FE62C2"/>
    <w:rsid w:val="00FE6D9B"/>
    <w:rsid w:val="00FF13B4"/>
    <w:rsid w:val="00FF6AA6"/>
    <w:rsid w:val="011C175C"/>
    <w:rsid w:val="01275443"/>
    <w:rsid w:val="019C30BE"/>
    <w:rsid w:val="02413238"/>
    <w:rsid w:val="02626153"/>
    <w:rsid w:val="02F77468"/>
    <w:rsid w:val="030E638D"/>
    <w:rsid w:val="035E7919"/>
    <w:rsid w:val="03EB4ABA"/>
    <w:rsid w:val="040335DF"/>
    <w:rsid w:val="04204654"/>
    <w:rsid w:val="04B16D4C"/>
    <w:rsid w:val="060836CF"/>
    <w:rsid w:val="065359B4"/>
    <w:rsid w:val="067C4587"/>
    <w:rsid w:val="06EF66BA"/>
    <w:rsid w:val="06F2272D"/>
    <w:rsid w:val="071C5D75"/>
    <w:rsid w:val="071E0320"/>
    <w:rsid w:val="079253C5"/>
    <w:rsid w:val="07B64D8B"/>
    <w:rsid w:val="080556A6"/>
    <w:rsid w:val="085B3F32"/>
    <w:rsid w:val="09816614"/>
    <w:rsid w:val="099A6CFB"/>
    <w:rsid w:val="09FF10A9"/>
    <w:rsid w:val="0A2A0FB8"/>
    <w:rsid w:val="0A675E81"/>
    <w:rsid w:val="0A7B376A"/>
    <w:rsid w:val="0AC04A92"/>
    <w:rsid w:val="0AEE49EC"/>
    <w:rsid w:val="0C7B4557"/>
    <w:rsid w:val="0CB342F5"/>
    <w:rsid w:val="0CD32463"/>
    <w:rsid w:val="0CF4152C"/>
    <w:rsid w:val="0D4A48F3"/>
    <w:rsid w:val="0D5126B5"/>
    <w:rsid w:val="0E143DF4"/>
    <w:rsid w:val="0F954E65"/>
    <w:rsid w:val="10174073"/>
    <w:rsid w:val="10192705"/>
    <w:rsid w:val="10260D93"/>
    <w:rsid w:val="10BB172A"/>
    <w:rsid w:val="116454C8"/>
    <w:rsid w:val="11AF341A"/>
    <w:rsid w:val="11F87CAA"/>
    <w:rsid w:val="13254ED9"/>
    <w:rsid w:val="13545424"/>
    <w:rsid w:val="1378480A"/>
    <w:rsid w:val="14836B3C"/>
    <w:rsid w:val="14B57E05"/>
    <w:rsid w:val="153268CE"/>
    <w:rsid w:val="15CF1E76"/>
    <w:rsid w:val="15D37E54"/>
    <w:rsid w:val="162A1067"/>
    <w:rsid w:val="162F0ED3"/>
    <w:rsid w:val="16EF7DB8"/>
    <w:rsid w:val="17CB06DD"/>
    <w:rsid w:val="182F68A9"/>
    <w:rsid w:val="19A3135B"/>
    <w:rsid w:val="19C3746E"/>
    <w:rsid w:val="1A2E08F5"/>
    <w:rsid w:val="1B0516FF"/>
    <w:rsid w:val="1B257D5A"/>
    <w:rsid w:val="1B3C2409"/>
    <w:rsid w:val="1C2567BC"/>
    <w:rsid w:val="1C3D065D"/>
    <w:rsid w:val="1CB77F0F"/>
    <w:rsid w:val="1D165103"/>
    <w:rsid w:val="1D445051"/>
    <w:rsid w:val="1D50369C"/>
    <w:rsid w:val="1D531DD5"/>
    <w:rsid w:val="1DC111D1"/>
    <w:rsid w:val="1E687581"/>
    <w:rsid w:val="1F7413BB"/>
    <w:rsid w:val="1FD837C7"/>
    <w:rsid w:val="206C0F7C"/>
    <w:rsid w:val="20C7697F"/>
    <w:rsid w:val="20F41801"/>
    <w:rsid w:val="21787E14"/>
    <w:rsid w:val="22121CE9"/>
    <w:rsid w:val="221A15BD"/>
    <w:rsid w:val="223A501E"/>
    <w:rsid w:val="22AD6D95"/>
    <w:rsid w:val="22CC3D5E"/>
    <w:rsid w:val="22F6625E"/>
    <w:rsid w:val="234D0857"/>
    <w:rsid w:val="2416604F"/>
    <w:rsid w:val="24957477"/>
    <w:rsid w:val="24DF4FF4"/>
    <w:rsid w:val="256444A6"/>
    <w:rsid w:val="25AD0811"/>
    <w:rsid w:val="25D97E39"/>
    <w:rsid w:val="262F5145"/>
    <w:rsid w:val="26483217"/>
    <w:rsid w:val="268F1D8D"/>
    <w:rsid w:val="26F4253A"/>
    <w:rsid w:val="26F54C56"/>
    <w:rsid w:val="27146691"/>
    <w:rsid w:val="2725613B"/>
    <w:rsid w:val="27E0093B"/>
    <w:rsid w:val="2807352A"/>
    <w:rsid w:val="280751FE"/>
    <w:rsid w:val="28B32682"/>
    <w:rsid w:val="28BD3FC3"/>
    <w:rsid w:val="28CD5B38"/>
    <w:rsid w:val="29015EB4"/>
    <w:rsid w:val="2A17113E"/>
    <w:rsid w:val="2A943EF1"/>
    <w:rsid w:val="2B9F255A"/>
    <w:rsid w:val="2BFA3EAA"/>
    <w:rsid w:val="2C3E2651"/>
    <w:rsid w:val="2D403194"/>
    <w:rsid w:val="2DB719BC"/>
    <w:rsid w:val="2DB75AED"/>
    <w:rsid w:val="2DCD4ACD"/>
    <w:rsid w:val="2E404B5C"/>
    <w:rsid w:val="2E9A773F"/>
    <w:rsid w:val="2EFA1015"/>
    <w:rsid w:val="2F3C2DE6"/>
    <w:rsid w:val="2F6E4EB2"/>
    <w:rsid w:val="2FD610F4"/>
    <w:rsid w:val="30064CD3"/>
    <w:rsid w:val="303744C2"/>
    <w:rsid w:val="30654A38"/>
    <w:rsid w:val="316B1E97"/>
    <w:rsid w:val="319C0F92"/>
    <w:rsid w:val="321C1C22"/>
    <w:rsid w:val="32607F6B"/>
    <w:rsid w:val="330F6F3F"/>
    <w:rsid w:val="33FD5C9C"/>
    <w:rsid w:val="34475FBB"/>
    <w:rsid w:val="346B6E96"/>
    <w:rsid w:val="34C23AF0"/>
    <w:rsid w:val="34CC5207"/>
    <w:rsid w:val="3559543E"/>
    <w:rsid w:val="35791F30"/>
    <w:rsid w:val="36560A70"/>
    <w:rsid w:val="36ED3E0B"/>
    <w:rsid w:val="386D00B1"/>
    <w:rsid w:val="38790F4C"/>
    <w:rsid w:val="387E2944"/>
    <w:rsid w:val="391A1EB6"/>
    <w:rsid w:val="396A3454"/>
    <w:rsid w:val="3A3052A6"/>
    <w:rsid w:val="3B624E2B"/>
    <w:rsid w:val="3B6D259E"/>
    <w:rsid w:val="3C5F0AF5"/>
    <w:rsid w:val="3CA32357"/>
    <w:rsid w:val="3D3F4937"/>
    <w:rsid w:val="3D717FDB"/>
    <w:rsid w:val="3DBB04C1"/>
    <w:rsid w:val="3E2160CB"/>
    <w:rsid w:val="3EE76787"/>
    <w:rsid w:val="3F093296"/>
    <w:rsid w:val="3F0A79D1"/>
    <w:rsid w:val="3F4668D1"/>
    <w:rsid w:val="3F4C35BE"/>
    <w:rsid w:val="3FC8655B"/>
    <w:rsid w:val="40DC096C"/>
    <w:rsid w:val="41212922"/>
    <w:rsid w:val="41BD0C84"/>
    <w:rsid w:val="41F54DCE"/>
    <w:rsid w:val="42243895"/>
    <w:rsid w:val="424C460C"/>
    <w:rsid w:val="428B4BC0"/>
    <w:rsid w:val="45146AF3"/>
    <w:rsid w:val="4528465D"/>
    <w:rsid w:val="46381DCF"/>
    <w:rsid w:val="46423025"/>
    <w:rsid w:val="46E45F02"/>
    <w:rsid w:val="479070CF"/>
    <w:rsid w:val="48184FB5"/>
    <w:rsid w:val="48642E45"/>
    <w:rsid w:val="48A20B77"/>
    <w:rsid w:val="4967180F"/>
    <w:rsid w:val="49D134A9"/>
    <w:rsid w:val="4A4938C0"/>
    <w:rsid w:val="4A504ACB"/>
    <w:rsid w:val="4ADA04CA"/>
    <w:rsid w:val="4AE121BF"/>
    <w:rsid w:val="4B144C27"/>
    <w:rsid w:val="4B16717F"/>
    <w:rsid w:val="4B454BF6"/>
    <w:rsid w:val="4B680C4C"/>
    <w:rsid w:val="4CF82A40"/>
    <w:rsid w:val="4D310EAF"/>
    <w:rsid w:val="4D3B2E89"/>
    <w:rsid w:val="4DA06B6C"/>
    <w:rsid w:val="4E5B6957"/>
    <w:rsid w:val="4E817FA9"/>
    <w:rsid w:val="4FFF6C33"/>
    <w:rsid w:val="504A7DCB"/>
    <w:rsid w:val="50F869EF"/>
    <w:rsid w:val="50FE6F0F"/>
    <w:rsid w:val="51191223"/>
    <w:rsid w:val="516024E2"/>
    <w:rsid w:val="51B80280"/>
    <w:rsid w:val="51D3330C"/>
    <w:rsid w:val="51E13321"/>
    <w:rsid w:val="525C5967"/>
    <w:rsid w:val="52D500FD"/>
    <w:rsid w:val="543170D9"/>
    <w:rsid w:val="54B90237"/>
    <w:rsid w:val="54BC7AD0"/>
    <w:rsid w:val="555E47B0"/>
    <w:rsid w:val="55BC0C1E"/>
    <w:rsid w:val="55FC344A"/>
    <w:rsid w:val="560474ED"/>
    <w:rsid w:val="565B5945"/>
    <w:rsid w:val="565C1705"/>
    <w:rsid w:val="566F2C25"/>
    <w:rsid w:val="56CA37B0"/>
    <w:rsid w:val="5767544D"/>
    <w:rsid w:val="57730CDE"/>
    <w:rsid w:val="578D693E"/>
    <w:rsid w:val="57D8396B"/>
    <w:rsid w:val="57EB168F"/>
    <w:rsid w:val="57F850FF"/>
    <w:rsid w:val="58CC5EEF"/>
    <w:rsid w:val="59363CF3"/>
    <w:rsid w:val="5AB16BD1"/>
    <w:rsid w:val="5BD262DF"/>
    <w:rsid w:val="5C546913"/>
    <w:rsid w:val="5C8D0F61"/>
    <w:rsid w:val="5D165347"/>
    <w:rsid w:val="5D6822F4"/>
    <w:rsid w:val="5DB34A4F"/>
    <w:rsid w:val="5E040829"/>
    <w:rsid w:val="5E3B02B4"/>
    <w:rsid w:val="5F3E5879"/>
    <w:rsid w:val="5FEB4F2F"/>
    <w:rsid w:val="606B2660"/>
    <w:rsid w:val="61E5141D"/>
    <w:rsid w:val="61E7259E"/>
    <w:rsid w:val="629138EF"/>
    <w:rsid w:val="62DB1222"/>
    <w:rsid w:val="62E35914"/>
    <w:rsid w:val="63131BC3"/>
    <w:rsid w:val="6356603E"/>
    <w:rsid w:val="64463E50"/>
    <w:rsid w:val="64C116C2"/>
    <w:rsid w:val="64F52220"/>
    <w:rsid w:val="657B0FC7"/>
    <w:rsid w:val="661F04E9"/>
    <w:rsid w:val="66656576"/>
    <w:rsid w:val="66726CA4"/>
    <w:rsid w:val="66EB08C8"/>
    <w:rsid w:val="671712AD"/>
    <w:rsid w:val="6766561C"/>
    <w:rsid w:val="69161671"/>
    <w:rsid w:val="69230C6A"/>
    <w:rsid w:val="69305688"/>
    <w:rsid w:val="698A0548"/>
    <w:rsid w:val="69AB52AB"/>
    <w:rsid w:val="69B40AB7"/>
    <w:rsid w:val="6ADD00A7"/>
    <w:rsid w:val="6AFB6B00"/>
    <w:rsid w:val="6B5D3930"/>
    <w:rsid w:val="6B643372"/>
    <w:rsid w:val="6C1B32A1"/>
    <w:rsid w:val="6C93161A"/>
    <w:rsid w:val="6DB353B4"/>
    <w:rsid w:val="6DDB5A24"/>
    <w:rsid w:val="6DE14908"/>
    <w:rsid w:val="6FB800F2"/>
    <w:rsid w:val="6FCA46A2"/>
    <w:rsid w:val="6FE418FA"/>
    <w:rsid w:val="70066587"/>
    <w:rsid w:val="70341AFF"/>
    <w:rsid w:val="717C3948"/>
    <w:rsid w:val="72392FC7"/>
    <w:rsid w:val="729F135A"/>
    <w:rsid w:val="72A860C2"/>
    <w:rsid w:val="731C19B1"/>
    <w:rsid w:val="735E6E68"/>
    <w:rsid w:val="73832DE6"/>
    <w:rsid w:val="7409410A"/>
    <w:rsid w:val="740F5AF4"/>
    <w:rsid w:val="74102532"/>
    <w:rsid w:val="75472F5D"/>
    <w:rsid w:val="75724FCB"/>
    <w:rsid w:val="759A12C9"/>
    <w:rsid w:val="75BC69AC"/>
    <w:rsid w:val="75F27744"/>
    <w:rsid w:val="76053D8B"/>
    <w:rsid w:val="77A232B4"/>
    <w:rsid w:val="781D4CC4"/>
    <w:rsid w:val="785D7AE2"/>
    <w:rsid w:val="794B07C0"/>
    <w:rsid w:val="79DD7F5C"/>
    <w:rsid w:val="79EC5452"/>
    <w:rsid w:val="7AD35C38"/>
    <w:rsid w:val="7B154AA9"/>
    <w:rsid w:val="7B1A222C"/>
    <w:rsid w:val="7B941C46"/>
    <w:rsid w:val="7B9E05FE"/>
    <w:rsid w:val="7BFD6E35"/>
    <w:rsid w:val="7C910E69"/>
    <w:rsid w:val="7C9F58DC"/>
    <w:rsid w:val="7CE808B8"/>
    <w:rsid w:val="7D2F3C39"/>
    <w:rsid w:val="7E233562"/>
    <w:rsid w:val="7E4C2AD3"/>
    <w:rsid w:val="7E7779DD"/>
    <w:rsid w:val="7E8B2AF0"/>
    <w:rsid w:val="7EEA4CE9"/>
    <w:rsid w:val="7F0843D1"/>
    <w:rsid w:val="7F8A215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uiPriority="99" w:name="envelope address" w:locked="1"/>
    <w:lsdException w:uiPriority="99"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99" w:semiHidden="0" w:name="page number"/>
    <w:lsdException w:uiPriority="99" w:name="endnote reference" w:locked="1"/>
    <w:lsdException w:qFormat="1" w:unhideWhenUsed="0" w:uiPriority="99" w:semiHidden="0" w:name="endnote text"/>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nhideWhenUsed="0" w:uiPriority="0" w:semiHidden="0" w:name="List 4"/>
    <w:lsdException w:unhideWhenUsed="0" w:uiPriority="0"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0"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7"/>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76"/>
    <w:qFormat/>
    <w:uiPriority w:val="9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78"/>
    <w:qFormat/>
    <w:uiPriority w:val="99"/>
    <w:pPr>
      <w:keepNext/>
      <w:keepLines/>
      <w:spacing w:before="260" w:after="260" w:line="416" w:lineRule="auto"/>
      <w:outlineLvl w:val="2"/>
    </w:pPr>
    <w:rPr>
      <w:b/>
      <w:bCs/>
      <w:sz w:val="32"/>
      <w:szCs w:val="32"/>
    </w:rPr>
  </w:style>
  <w:style w:type="paragraph" w:styleId="6">
    <w:name w:val="heading 4"/>
    <w:basedOn w:val="1"/>
    <w:next w:val="1"/>
    <w:link w:val="79"/>
    <w:qFormat/>
    <w:uiPriority w:val="99"/>
    <w:pPr>
      <w:keepNext/>
      <w:keepLines/>
      <w:adjustRightInd w:val="0"/>
      <w:snapToGrid w:val="0"/>
      <w:spacing w:before="120" w:after="120"/>
      <w:outlineLvl w:val="3"/>
    </w:pPr>
    <w:rPr>
      <w:rFonts w:ascii="Arial" w:hAnsi="Arial"/>
      <w:b/>
      <w:bCs/>
      <w:sz w:val="28"/>
      <w:szCs w:val="28"/>
    </w:rPr>
  </w:style>
  <w:style w:type="paragraph" w:styleId="7">
    <w:name w:val="heading 5"/>
    <w:basedOn w:val="1"/>
    <w:next w:val="8"/>
    <w:link w:val="80"/>
    <w:qFormat/>
    <w:uiPriority w:val="99"/>
    <w:pPr>
      <w:keepNext/>
      <w:keepLines/>
      <w:spacing w:before="280" w:after="290" w:line="376" w:lineRule="auto"/>
      <w:outlineLvl w:val="4"/>
    </w:pPr>
    <w:rPr>
      <w:b/>
      <w:sz w:val="28"/>
    </w:rPr>
  </w:style>
  <w:style w:type="paragraph" w:styleId="9">
    <w:name w:val="heading 6"/>
    <w:basedOn w:val="1"/>
    <w:next w:val="8"/>
    <w:link w:val="81"/>
    <w:qFormat/>
    <w:uiPriority w:val="99"/>
    <w:pPr>
      <w:keepNext/>
      <w:keepLines/>
      <w:spacing w:before="240" w:after="64" w:line="320" w:lineRule="auto"/>
      <w:outlineLvl w:val="5"/>
    </w:pPr>
    <w:rPr>
      <w:rFonts w:ascii="Arial" w:hAnsi="Arial" w:eastAsia="黑体"/>
      <w:b/>
      <w:sz w:val="24"/>
    </w:rPr>
  </w:style>
  <w:style w:type="paragraph" w:styleId="10">
    <w:name w:val="heading 7"/>
    <w:basedOn w:val="1"/>
    <w:next w:val="8"/>
    <w:link w:val="82"/>
    <w:qFormat/>
    <w:uiPriority w:val="99"/>
    <w:pPr>
      <w:keepNext/>
      <w:keepLines/>
      <w:spacing w:before="240" w:after="64" w:line="320" w:lineRule="auto"/>
      <w:outlineLvl w:val="6"/>
    </w:pPr>
    <w:rPr>
      <w:b/>
      <w:sz w:val="24"/>
    </w:rPr>
  </w:style>
  <w:style w:type="paragraph" w:styleId="11">
    <w:name w:val="heading 8"/>
    <w:basedOn w:val="1"/>
    <w:next w:val="8"/>
    <w:link w:val="83"/>
    <w:qFormat/>
    <w:uiPriority w:val="99"/>
    <w:pPr>
      <w:keepNext/>
      <w:keepLines/>
      <w:spacing w:before="240" w:after="64" w:line="320" w:lineRule="auto"/>
      <w:outlineLvl w:val="7"/>
    </w:pPr>
    <w:rPr>
      <w:rFonts w:ascii="Arial" w:hAnsi="Arial" w:eastAsia="黑体"/>
      <w:sz w:val="24"/>
    </w:rPr>
  </w:style>
  <w:style w:type="paragraph" w:styleId="12">
    <w:name w:val="heading 9"/>
    <w:basedOn w:val="1"/>
    <w:next w:val="8"/>
    <w:link w:val="84"/>
    <w:qFormat/>
    <w:uiPriority w:val="99"/>
    <w:pPr>
      <w:keepNext/>
      <w:keepLines/>
      <w:spacing w:before="240" w:after="64" w:line="320" w:lineRule="auto"/>
      <w:outlineLvl w:val="8"/>
    </w:pPr>
    <w:rPr>
      <w:rFonts w:ascii="Arial" w:hAnsi="Arial" w:eastAsia="黑体"/>
    </w:rPr>
  </w:style>
  <w:style w:type="character" w:default="1" w:styleId="61">
    <w:name w:val="Default Paragraph Font"/>
    <w:semiHidden/>
    <w:unhideWhenUsed/>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7"/>
    <w:qFormat/>
    <w:uiPriority w:val="99"/>
    <w:pPr>
      <w:spacing w:line="380" w:lineRule="exact"/>
    </w:pPr>
    <w:rPr>
      <w:sz w:val="24"/>
    </w:rPr>
  </w:style>
  <w:style w:type="paragraph" w:styleId="8">
    <w:name w:val="Normal Indent"/>
    <w:basedOn w:val="1"/>
    <w:link w:val="408"/>
    <w:qFormat/>
    <w:uiPriority w:val="99"/>
    <w:pPr>
      <w:ind w:firstLine="420"/>
    </w:pPr>
    <w:rPr>
      <w:szCs w:val="20"/>
    </w:rPr>
  </w:style>
  <w:style w:type="paragraph" w:styleId="13">
    <w:name w:val="toc 7"/>
    <w:basedOn w:val="1"/>
    <w:next w:val="1"/>
    <w:qFormat/>
    <w:uiPriority w:val="99"/>
    <w:pPr>
      <w:tabs>
        <w:tab w:val="right" w:leader="dot" w:pos="9241"/>
      </w:tabs>
      <w:ind w:firstLine="505" w:firstLineChars="500"/>
      <w:jc w:val="left"/>
    </w:pPr>
    <w:rPr>
      <w:rFonts w:ascii="宋体"/>
      <w:szCs w:val="21"/>
    </w:rPr>
  </w:style>
  <w:style w:type="paragraph" w:styleId="14">
    <w:name w:val="index 8"/>
    <w:basedOn w:val="1"/>
    <w:next w:val="1"/>
    <w:qFormat/>
    <w:uiPriority w:val="99"/>
    <w:pPr>
      <w:ind w:left="1680" w:hanging="210"/>
      <w:jc w:val="left"/>
    </w:pPr>
    <w:rPr>
      <w:rFonts w:ascii="Calibri" w:hAnsi="Calibri"/>
      <w:sz w:val="20"/>
      <w:szCs w:val="20"/>
    </w:rPr>
  </w:style>
  <w:style w:type="paragraph" w:styleId="15">
    <w:name w:val="List Number"/>
    <w:basedOn w:val="1"/>
    <w:qFormat/>
    <w:uiPriority w:val="99"/>
    <w:pPr>
      <w:widowControl/>
      <w:tabs>
        <w:tab w:val="left" w:pos="454"/>
        <w:tab w:val="left" w:pos="720"/>
        <w:tab w:val="left" w:pos="840"/>
        <w:tab w:val="left" w:pos="900"/>
      </w:tabs>
      <w:spacing w:afterLines="50"/>
      <w:ind w:left="454" w:hanging="284"/>
      <w:jc w:val="left"/>
    </w:pPr>
    <w:rPr>
      <w:kern w:val="0"/>
      <w:sz w:val="24"/>
      <w:szCs w:val="20"/>
    </w:rPr>
  </w:style>
  <w:style w:type="paragraph" w:styleId="16">
    <w:name w:val="caption"/>
    <w:basedOn w:val="1"/>
    <w:next w:val="1"/>
    <w:link w:val="422"/>
    <w:qFormat/>
    <w:uiPriority w:val="99"/>
    <w:pPr>
      <w:spacing w:before="152" w:after="160"/>
    </w:pPr>
    <w:rPr>
      <w:rFonts w:ascii="Arial" w:hAnsi="Arial" w:eastAsia="黑体"/>
      <w:sz w:val="20"/>
      <w:szCs w:val="20"/>
    </w:rPr>
  </w:style>
  <w:style w:type="paragraph" w:styleId="17">
    <w:name w:val="index 5"/>
    <w:basedOn w:val="1"/>
    <w:next w:val="1"/>
    <w:qFormat/>
    <w:uiPriority w:val="99"/>
    <w:pPr>
      <w:ind w:left="1050" w:hanging="210"/>
      <w:jc w:val="left"/>
    </w:pPr>
    <w:rPr>
      <w:rFonts w:ascii="Calibri" w:hAnsi="Calibri"/>
      <w:sz w:val="20"/>
      <w:szCs w:val="20"/>
    </w:rPr>
  </w:style>
  <w:style w:type="paragraph" w:styleId="18">
    <w:name w:val="Document Map"/>
    <w:basedOn w:val="1"/>
    <w:link w:val="89"/>
    <w:qFormat/>
    <w:uiPriority w:val="99"/>
    <w:pPr>
      <w:shd w:val="clear" w:color="auto" w:fill="000080"/>
    </w:pPr>
  </w:style>
  <w:style w:type="paragraph" w:styleId="19">
    <w:name w:val="annotation text"/>
    <w:basedOn w:val="1"/>
    <w:link w:val="85"/>
    <w:qFormat/>
    <w:uiPriority w:val="0"/>
    <w:pPr>
      <w:jc w:val="left"/>
    </w:pPr>
  </w:style>
  <w:style w:type="paragraph" w:styleId="20">
    <w:name w:val="index 6"/>
    <w:basedOn w:val="1"/>
    <w:next w:val="1"/>
    <w:qFormat/>
    <w:uiPriority w:val="99"/>
    <w:pPr>
      <w:ind w:left="1260" w:hanging="210"/>
      <w:jc w:val="left"/>
    </w:pPr>
    <w:rPr>
      <w:rFonts w:ascii="Calibri" w:hAnsi="Calibri"/>
      <w:sz w:val="20"/>
      <w:szCs w:val="20"/>
    </w:rPr>
  </w:style>
  <w:style w:type="paragraph" w:styleId="21">
    <w:name w:val="Body Text 3"/>
    <w:basedOn w:val="1"/>
    <w:link w:val="90"/>
    <w:qFormat/>
    <w:uiPriority w:val="99"/>
    <w:pPr>
      <w:spacing w:line="500" w:lineRule="exact"/>
    </w:pPr>
    <w:rPr>
      <w:b/>
      <w:bCs/>
      <w:sz w:val="24"/>
    </w:rPr>
  </w:style>
  <w:style w:type="paragraph" w:styleId="22">
    <w:name w:val="Body Text Indent"/>
    <w:basedOn w:val="1"/>
    <w:link w:val="91"/>
    <w:qFormat/>
    <w:uiPriority w:val="99"/>
    <w:pPr>
      <w:ind w:firstLine="830" w:firstLineChars="352"/>
    </w:pPr>
    <w:rPr>
      <w:rFonts w:ascii="仿宋_GB2312" w:eastAsia="仿宋_GB2312"/>
      <w:sz w:val="32"/>
      <w:szCs w:val="20"/>
    </w:rPr>
  </w:style>
  <w:style w:type="paragraph" w:styleId="23">
    <w:name w:val="List Number 3"/>
    <w:basedOn w:val="1"/>
    <w:qFormat/>
    <w:uiPriority w:val="99"/>
  </w:style>
  <w:style w:type="paragraph" w:styleId="24">
    <w:name w:val="List 2"/>
    <w:basedOn w:val="1"/>
    <w:qFormat/>
    <w:uiPriority w:val="99"/>
    <w:pPr>
      <w:ind w:left="100" w:leftChars="200" w:hanging="200" w:hangingChars="200"/>
    </w:pPr>
    <w:rPr>
      <w:sz w:val="28"/>
    </w:rPr>
  </w:style>
  <w:style w:type="paragraph" w:styleId="25">
    <w:name w:val="HTML Address"/>
    <w:basedOn w:val="1"/>
    <w:link w:val="92"/>
    <w:qFormat/>
    <w:uiPriority w:val="99"/>
    <w:rPr>
      <w:i/>
      <w:iCs/>
      <w:kern w:val="0"/>
      <w:sz w:val="24"/>
    </w:rPr>
  </w:style>
  <w:style w:type="paragraph" w:styleId="26">
    <w:name w:val="index 4"/>
    <w:basedOn w:val="1"/>
    <w:next w:val="1"/>
    <w:qFormat/>
    <w:uiPriority w:val="99"/>
    <w:pPr>
      <w:ind w:left="840" w:hanging="210"/>
      <w:jc w:val="left"/>
    </w:pPr>
    <w:rPr>
      <w:rFonts w:ascii="Calibri" w:hAnsi="Calibri"/>
      <w:sz w:val="20"/>
      <w:szCs w:val="20"/>
    </w:rPr>
  </w:style>
  <w:style w:type="paragraph" w:styleId="27">
    <w:name w:val="toc 5"/>
    <w:basedOn w:val="1"/>
    <w:next w:val="1"/>
    <w:qFormat/>
    <w:uiPriority w:val="99"/>
    <w:pPr>
      <w:tabs>
        <w:tab w:val="right" w:leader="dot" w:pos="9241"/>
      </w:tabs>
      <w:ind w:firstLine="300" w:firstLineChars="300"/>
      <w:jc w:val="left"/>
    </w:pPr>
    <w:rPr>
      <w:rFonts w:ascii="宋体"/>
      <w:szCs w:val="21"/>
    </w:rPr>
  </w:style>
  <w:style w:type="paragraph" w:styleId="28">
    <w:name w:val="toc 3"/>
    <w:basedOn w:val="1"/>
    <w:next w:val="1"/>
    <w:qFormat/>
    <w:uiPriority w:val="39"/>
    <w:pPr>
      <w:ind w:left="840" w:leftChars="400"/>
    </w:pPr>
  </w:style>
  <w:style w:type="paragraph" w:styleId="29">
    <w:name w:val="Plain Text"/>
    <w:basedOn w:val="1"/>
    <w:link w:val="411"/>
    <w:qFormat/>
    <w:uiPriority w:val="99"/>
    <w:rPr>
      <w:rFonts w:ascii="宋体" w:hAnsi="Courier New" w:cs="Courier New"/>
      <w:szCs w:val="21"/>
    </w:rPr>
  </w:style>
  <w:style w:type="paragraph" w:styleId="30">
    <w:name w:val="toc 8"/>
    <w:basedOn w:val="1"/>
    <w:next w:val="1"/>
    <w:qFormat/>
    <w:uiPriority w:val="99"/>
    <w:pPr>
      <w:tabs>
        <w:tab w:val="right" w:leader="dot" w:pos="9241"/>
      </w:tabs>
      <w:ind w:firstLine="607" w:firstLineChars="600"/>
      <w:jc w:val="left"/>
    </w:pPr>
    <w:rPr>
      <w:rFonts w:ascii="宋体"/>
      <w:szCs w:val="21"/>
    </w:rPr>
  </w:style>
  <w:style w:type="paragraph" w:styleId="31">
    <w:name w:val="index 3"/>
    <w:basedOn w:val="1"/>
    <w:next w:val="1"/>
    <w:qFormat/>
    <w:uiPriority w:val="99"/>
    <w:pPr>
      <w:ind w:left="630" w:hanging="210"/>
      <w:jc w:val="left"/>
    </w:pPr>
    <w:rPr>
      <w:rFonts w:ascii="Calibri" w:hAnsi="Calibri"/>
      <w:sz w:val="20"/>
      <w:szCs w:val="20"/>
    </w:rPr>
  </w:style>
  <w:style w:type="paragraph" w:styleId="32">
    <w:name w:val="Date"/>
    <w:basedOn w:val="1"/>
    <w:next w:val="1"/>
    <w:link w:val="94"/>
    <w:qFormat/>
    <w:uiPriority w:val="99"/>
    <w:pPr>
      <w:ind w:left="100" w:leftChars="2500"/>
    </w:pPr>
    <w:rPr>
      <w:rFonts w:ascii="宋体" w:hAnsi="Courier New"/>
      <w:szCs w:val="21"/>
    </w:rPr>
  </w:style>
  <w:style w:type="paragraph" w:styleId="33">
    <w:name w:val="Body Text Indent 2"/>
    <w:basedOn w:val="1"/>
    <w:link w:val="95"/>
    <w:qFormat/>
    <w:uiPriority w:val="99"/>
    <w:pPr>
      <w:ind w:firstLine="630"/>
    </w:pPr>
    <w:rPr>
      <w:sz w:val="32"/>
      <w:szCs w:val="20"/>
    </w:rPr>
  </w:style>
  <w:style w:type="paragraph" w:styleId="34">
    <w:name w:val="endnote text"/>
    <w:basedOn w:val="1"/>
    <w:link w:val="96"/>
    <w:qFormat/>
    <w:uiPriority w:val="99"/>
    <w:pPr>
      <w:snapToGrid w:val="0"/>
      <w:jc w:val="left"/>
    </w:pPr>
    <w:rPr>
      <w:kern w:val="0"/>
      <w:sz w:val="20"/>
    </w:rPr>
  </w:style>
  <w:style w:type="paragraph" w:styleId="35">
    <w:name w:val="Balloon Text"/>
    <w:basedOn w:val="1"/>
    <w:link w:val="97"/>
    <w:qFormat/>
    <w:uiPriority w:val="99"/>
    <w:rPr>
      <w:sz w:val="18"/>
      <w:szCs w:val="18"/>
    </w:rPr>
  </w:style>
  <w:style w:type="paragraph" w:styleId="36">
    <w:name w:val="footer"/>
    <w:basedOn w:val="1"/>
    <w:link w:val="98"/>
    <w:qFormat/>
    <w:uiPriority w:val="99"/>
    <w:pPr>
      <w:tabs>
        <w:tab w:val="center" w:pos="4153"/>
        <w:tab w:val="right" w:pos="8306"/>
      </w:tabs>
      <w:snapToGrid w:val="0"/>
      <w:jc w:val="left"/>
    </w:pPr>
    <w:rPr>
      <w:sz w:val="18"/>
      <w:szCs w:val="18"/>
    </w:rPr>
  </w:style>
  <w:style w:type="paragraph" w:styleId="37">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38">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9">
    <w:name w:val="toc 4"/>
    <w:basedOn w:val="1"/>
    <w:next w:val="1"/>
    <w:qFormat/>
    <w:uiPriority w:val="99"/>
    <w:pPr>
      <w:tabs>
        <w:tab w:val="right" w:leader="dot" w:pos="9241"/>
      </w:tabs>
      <w:ind w:firstLine="198" w:firstLineChars="200"/>
      <w:jc w:val="left"/>
    </w:pPr>
    <w:rPr>
      <w:rFonts w:ascii="宋体"/>
      <w:szCs w:val="21"/>
    </w:rPr>
  </w:style>
  <w:style w:type="paragraph" w:styleId="40">
    <w:name w:val="index heading"/>
    <w:basedOn w:val="1"/>
    <w:next w:val="41"/>
    <w:qFormat/>
    <w:uiPriority w:val="99"/>
    <w:pPr>
      <w:spacing w:before="120" w:after="120"/>
      <w:jc w:val="center"/>
    </w:pPr>
    <w:rPr>
      <w:rFonts w:ascii="Calibri" w:hAnsi="Calibri"/>
      <w:b/>
      <w:bCs/>
      <w:iCs/>
      <w:szCs w:val="20"/>
    </w:rPr>
  </w:style>
  <w:style w:type="paragraph" w:styleId="41">
    <w:name w:val="index 1"/>
    <w:basedOn w:val="1"/>
    <w:next w:val="1"/>
    <w:qFormat/>
    <w:uiPriority w:val="99"/>
    <w:pPr>
      <w:spacing w:line="400" w:lineRule="exact"/>
      <w:ind w:firstLine="420" w:firstLineChars="200"/>
    </w:pPr>
    <w:rPr>
      <w:rFonts w:ascii="宋体" w:hAnsi="Courier New"/>
      <w:b/>
      <w:szCs w:val="20"/>
    </w:rPr>
  </w:style>
  <w:style w:type="paragraph" w:styleId="42">
    <w:name w:val="Subtitle"/>
    <w:basedOn w:val="1"/>
    <w:link w:val="100"/>
    <w:qFormat/>
    <w:uiPriority w:val="99"/>
    <w:pPr>
      <w:widowControl/>
      <w:spacing w:after="60"/>
      <w:jc w:val="center"/>
    </w:pPr>
    <w:rPr>
      <w:rFonts w:ascii="Arial" w:hAnsi="Arial"/>
      <w:bCs/>
      <w:color w:val="000000"/>
      <w:kern w:val="0"/>
      <w:sz w:val="24"/>
      <w:lang w:eastAsia="en-US"/>
    </w:rPr>
  </w:style>
  <w:style w:type="paragraph" w:styleId="43">
    <w:name w:val="List"/>
    <w:basedOn w:val="1"/>
    <w:qFormat/>
    <w:uiPriority w:val="99"/>
    <w:pPr>
      <w:ind w:left="200" w:hanging="200" w:hangingChars="200"/>
    </w:pPr>
    <w:rPr>
      <w:sz w:val="28"/>
    </w:rPr>
  </w:style>
  <w:style w:type="paragraph" w:styleId="44">
    <w:name w:val="footnote text"/>
    <w:basedOn w:val="1"/>
    <w:link w:val="101"/>
    <w:qFormat/>
    <w:uiPriority w:val="99"/>
    <w:pPr>
      <w:tabs>
        <w:tab w:val="left" w:pos="839"/>
      </w:tabs>
      <w:snapToGrid w:val="0"/>
      <w:ind w:left="839" w:hanging="419"/>
      <w:jc w:val="left"/>
    </w:pPr>
    <w:rPr>
      <w:rFonts w:ascii="宋体"/>
      <w:kern w:val="0"/>
      <w:sz w:val="18"/>
      <w:szCs w:val="18"/>
    </w:rPr>
  </w:style>
  <w:style w:type="paragraph" w:styleId="45">
    <w:name w:val="toc 6"/>
    <w:basedOn w:val="1"/>
    <w:next w:val="1"/>
    <w:qFormat/>
    <w:uiPriority w:val="99"/>
    <w:pPr>
      <w:tabs>
        <w:tab w:val="right" w:leader="dot" w:pos="9241"/>
      </w:tabs>
      <w:ind w:firstLine="403" w:firstLineChars="400"/>
      <w:jc w:val="left"/>
    </w:pPr>
    <w:rPr>
      <w:rFonts w:ascii="宋体"/>
      <w:szCs w:val="21"/>
    </w:rPr>
  </w:style>
  <w:style w:type="paragraph" w:styleId="46">
    <w:name w:val="Body Text Indent 3"/>
    <w:basedOn w:val="1"/>
    <w:link w:val="102"/>
    <w:qFormat/>
    <w:uiPriority w:val="99"/>
    <w:pPr>
      <w:spacing w:after="120"/>
      <w:ind w:left="420" w:leftChars="200"/>
    </w:pPr>
    <w:rPr>
      <w:sz w:val="16"/>
      <w:szCs w:val="16"/>
    </w:rPr>
  </w:style>
  <w:style w:type="paragraph" w:styleId="47">
    <w:name w:val="index 7"/>
    <w:basedOn w:val="1"/>
    <w:next w:val="1"/>
    <w:qFormat/>
    <w:uiPriority w:val="99"/>
    <w:pPr>
      <w:ind w:left="1470" w:hanging="210"/>
      <w:jc w:val="left"/>
    </w:pPr>
    <w:rPr>
      <w:rFonts w:ascii="Calibri" w:hAnsi="Calibri"/>
      <w:sz w:val="20"/>
      <w:szCs w:val="20"/>
    </w:rPr>
  </w:style>
  <w:style w:type="paragraph" w:styleId="48">
    <w:name w:val="index 9"/>
    <w:basedOn w:val="1"/>
    <w:next w:val="1"/>
    <w:qFormat/>
    <w:uiPriority w:val="99"/>
    <w:pPr>
      <w:ind w:left="1890" w:hanging="210"/>
      <w:jc w:val="left"/>
    </w:pPr>
    <w:rPr>
      <w:rFonts w:ascii="Calibri" w:hAnsi="Calibri"/>
      <w:sz w:val="20"/>
      <w:szCs w:val="20"/>
    </w:rPr>
  </w:style>
  <w:style w:type="paragraph" w:styleId="49">
    <w:name w:val="table of figures"/>
    <w:basedOn w:val="1"/>
    <w:next w:val="1"/>
    <w:qFormat/>
    <w:uiPriority w:val="99"/>
    <w:pPr>
      <w:ind w:left="200" w:leftChars="200" w:hanging="200" w:hangingChars="200"/>
    </w:pPr>
    <w:rPr>
      <w:sz w:val="24"/>
    </w:rPr>
  </w:style>
  <w:style w:type="paragraph" w:styleId="50">
    <w:name w:val="toc 2"/>
    <w:basedOn w:val="1"/>
    <w:next w:val="1"/>
    <w:qFormat/>
    <w:uiPriority w:val="39"/>
    <w:pPr>
      <w:ind w:left="420" w:leftChars="200"/>
    </w:pPr>
  </w:style>
  <w:style w:type="paragraph" w:styleId="51">
    <w:name w:val="toc 9"/>
    <w:basedOn w:val="1"/>
    <w:next w:val="1"/>
    <w:qFormat/>
    <w:uiPriority w:val="99"/>
    <w:pPr>
      <w:ind w:left="1470"/>
      <w:jc w:val="left"/>
    </w:pPr>
    <w:rPr>
      <w:sz w:val="20"/>
      <w:szCs w:val="20"/>
    </w:rPr>
  </w:style>
  <w:style w:type="paragraph" w:styleId="52">
    <w:name w:val="Body Text 2"/>
    <w:basedOn w:val="1"/>
    <w:link w:val="103"/>
    <w:qFormat/>
    <w:uiPriority w:val="99"/>
    <w:pPr>
      <w:spacing w:after="120" w:line="480" w:lineRule="auto"/>
    </w:pPr>
  </w:style>
  <w:style w:type="paragraph" w:styleId="53">
    <w:name w:val="HTML Preformatted"/>
    <w:basedOn w:val="1"/>
    <w:link w:val="10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54">
    <w:name w:val="Normal (Web)"/>
    <w:basedOn w:val="1"/>
    <w:link w:val="412"/>
    <w:qFormat/>
    <w:uiPriority w:val="0"/>
    <w:pPr>
      <w:widowControl/>
      <w:spacing w:before="100" w:beforeAutospacing="1" w:after="100" w:afterAutospacing="1"/>
      <w:jc w:val="left"/>
    </w:pPr>
    <w:rPr>
      <w:rFonts w:ascii="宋体" w:hAnsi="宋体"/>
      <w:kern w:val="0"/>
      <w:sz w:val="24"/>
    </w:rPr>
  </w:style>
  <w:style w:type="paragraph" w:styleId="55">
    <w:name w:val="index 2"/>
    <w:basedOn w:val="1"/>
    <w:next w:val="1"/>
    <w:qFormat/>
    <w:uiPriority w:val="99"/>
    <w:pPr>
      <w:ind w:left="420" w:hanging="210"/>
      <w:jc w:val="left"/>
    </w:pPr>
    <w:rPr>
      <w:rFonts w:ascii="Calibri" w:hAnsi="Calibri"/>
      <w:sz w:val="20"/>
      <w:szCs w:val="20"/>
    </w:rPr>
  </w:style>
  <w:style w:type="paragraph" w:styleId="56">
    <w:name w:val="Title"/>
    <w:basedOn w:val="1"/>
    <w:next w:val="1"/>
    <w:link w:val="105"/>
    <w:qFormat/>
    <w:uiPriority w:val="99"/>
    <w:pPr>
      <w:spacing w:before="240" w:after="60"/>
      <w:jc w:val="center"/>
      <w:outlineLvl w:val="0"/>
    </w:pPr>
    <w:rPr>
      <w:rFonts w:ascii="Cambria" w:hAnsi="Cambria"/>
      <w:b/>
      <w:bCs/>
      <w:sz w:val="32"/>
      <w:szCs w:val="32"/>
    </w:rPr>
  </w:style>
  <w:style w:type="paragraph" w:styleId="57">
    <w:name w:val="annotation subject"/>
    <w:basedOn w:val="19"/>
    <w:next w:val="19"/>
    <w:link w:val="86"/>
    <w:qFormat/>
    <w:uiPriority w:val="99"/>
    <w:rPr>
      <w:b/>
      <w:bCs/>
    </w:rPr>
  </w:style>
  <w:style w:type="paragraph" w:styleId="58">
    <w:name w:val="Body Text First Indent"/>
    <w:basedOn w:val="2"/>
    <w:link w:val="88"/>
    <w:qFormat/>
    <w:uiPriority w:val="99"/>
    <w:pPr>
      <w:spacing w:after="120" w:line="240" w:lineRule="auto"/>
      <w:ind w:firstLine="420" w:firstLineChars="100"/>
    </w:pPr>
    <w:rPr>
      <w:kern w:val="0"/>
      <w:sz w:val="20"/>
    </w:rPr>
  </w:style>
  <w:style w:type="table" w:styleId="60">
    <w:name w:val="Table Grid"/>
    <w:basedOn w:val="5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qFormat/>
    <w:uiPriority w:val="99"/>
    <w:rPr>
      <w:rFonts w:cs="Times New Roman"/>
      <w:b/>
    </w:rPr>
  </w:style>
  <w:style w:type="character" w:styleId="63">
    <w:name w:val="page number"/>
    <w:basedOn w:val="61"/>
    <w:qFormat/>
    <w:uiPriority w:val="99"/>
    <w:rPr>
      <w:rFonts w:cs="Times New Roman"/>
    </w:rPr>
  </w:style>
  <w:style w:type="character" w:styleId="64">
    <w:name w:val="FollowedHyperlink"/>
    <w:qFormat/>
    <w:uiPriority w:val="99"/>
    <w:rPr>
      <w:rFonts w:cs="Times New Roman"/>
      <w:color w:val="800080"/>
      <w:u w:val="single"/>
    </w:rPr>
  </w:style>
  <w:style w:type="character" w:styleId="65">
    <w:name w:val="Emphasis"/>
    <w:qFormat/>
    <w:uiPriority w:val="99"/>
    <w:rPr>
      <w:rFonts w:cs="Times New Roman"/>
      <w:i/>
    </w:rPr>
  </w:style>
  <w:style w:type="character" w:styleId="66">
    <w:name w:val="HTML Definition"/>
    <w:qFormat/>
    <w:uiPriority w:val="99"/>
    <w:rPr>
      <w:rFonts w:cs="Times New Roman"/>
      <w:i/>
    </w:rPr>
  </w:style>
  <w:style w:type="character" w:styleId="67">
    <w:name w:val="HTML Typewriter"/>
    <w:qFormat/>
    <w:uiPriority w:val="99"/>
    <w:rPr>
      <w:rFonts w:ascii="Courier New" w:hAnsi="Courier New" w:cs="Times New Roman"/>
      <w:sz w:val="20"/>
    </w:rPr>
  </w:style>
  <w:style w:type="character" w:styleId="68">
    <w:name w:val="HTML Acronym"/>
    <w:qFormat/>
    <w:uiPriority w:val="99"/>
    <w:rPr>
      <w:rFonts w:cs="Times New Roman"/>
    </w:rPr>
  </w:style>
  <w:style w:type="character" w:styleId="69">
    <w:name w:val="HTML Variable"/>
    <w:qFormat/>
    <w:uiPriority w:val="99"/>
    <w:rPr>
      <w:rFonts w:cs="Times New Roman"/>
      <w:i/>
    </w:rPr>
  </w:style>
  <w:style w:type="character" w:styleId="70">
    <w:name w:val="Hyperlink"/>
    <w:qFormat/>
    <w:uiPriority w:val="99"/>
    <w:rPr>
      <w:rFonts w:cs="Times New Roman"/>
      <w:color w:val="0000FF"/>
      <w:u w:val="single"/>
    </w:rPr>
  </w:style>
  <w:style w:type="character" w:styleId="71">
    <w:name w:val="HTML Code"/>
    <w:qFormat/>
    <w:uiPriority w:val="99"/>
    <w:rPr>
      <w:rFonts w:ascii="宋体" w:hAnsi="宋体" w:eastAsia="宋体" w:cs="Times New Roman"/>
      <w:sz w:val="24"/>
    </w:rPr>
  </w:style>
  <w:style w:type="character" w:styleId="72">
    <w:name w:val="annotation reference"/>
    <w:qFormat/>
    <w:uiPriority w:val="0"/>
    <w:rPr>
      <w:rFonts w:cs="Times New Roman"/>
      <w:sz w:val="21"/>
    </w:rPr>
  </w:style>
  <w:style w:type="character" w:styleId="73">
    <w:name w:val="HTML Cite"/>
    <w:qFormat/>
    <w:uiPriority w:val="99"/>
    <w:rPr>
      <w:rFonts w:cs="Times New Roman"/>
      <w:i/>
    </w:rPr>
  </w:style>
  <w:style w:type="character" w:styleId="74">
    <w:name w:val="HTML Keyboard"/>
    <w:qFormat/>
    <w:uiPriority w:val="99"/>
    <w:rPr>
      <w:rFonts w:ascii="Courier New" w:hAnsi="Courier New" w:cs="Times New Roman"/>
      <w:sz w:val="20"/>
    </w:rPr>
  </w:style>
  <w:style w:type="character" w:styleId="75">
    <w:name w:val="HTML Sample"/>
    <w:qFormat/>
    <w:uiPriority w:val="99"/>
    <w:rPr>
      <w:rFonts w:ascii="Courier New" w:hAnsi="Courier New" w:cs="Times New Roman"/>
    </w:rPr>
  </w:style>
  <w:style w:type="character" w:customStyle="1" w:styleId="76">
    <w:name w:val="标题 2 Char"/>
    <w:link w:val="4"/>
    <w:qFormat/>
    <w:locked/>
    <w:uiPriority w:val="99"/>
    <w:rPr>
      <w:rFonts w:ascii="Arial" w:hAnsi="Arial" w:eastAsia="黑体"/>
      <w:b/>
      <w:kern w:val="2"/>
      <w:sz w:val="32"/>
    </w:rPr>
  </w:style>
  <w:style w:type="character" w:customStyle="1" w:styleId="77">
    <w:name w:val="标题 1 Char"/>
    <w:link w:val="3"/>
    <w:qFormat/>
    <w:locked/>
    <w:uiPriority w:val="99"/>
    <w:rPr>
      <w:b/>
      <w:kern w:val="44"/>
      <w:sz w:val="44"/>
    </w:rPr>
  </w:style>
  <w:style w:type="character" w:customStyle="1" w:styleId="78">
    <w:name w:val="标题 3 Char"/>
    <w:link w:val="5"/>
    <w:qFormat/>
    <w:locked/>
    <w:uiPriority w:val="99"/>
    <w:rPr>
      <w:b/>
      <w:kern w:val="2"/>
      <w:sz w:val="32"/>
    </w:rPr>
  </w:style>
  <w:style w:type="character" w:customStyle="1" w:styleId="79">
    <w:name w:val="标题 4 Char"/>
    <w:link w:val="6"/>
    <w:qFormat/>
    <w:locked/>
    <w:uiPriority w:val="99"/>
    <w:rPr>
      <w:rFonts w:ascii="Arial" w:hAnsi="Arial"/>
      <w:b/>
      <w:kern w:val="2"/>
      <w:sz w:val="28"/>
    </w:rPr>
  </w:style>
  <w:style w:type="character" w:customStyle="1" w:styleId="80">
    <w:name w:val="标题 5 Char"/>
    <w:link w:val="7"/>
    <w:qFormat/>
    <w:locked/>
    <w:uiPriority w:val="99"/>
    <w:rPr>
      <w:b/>
      <w:kern w:val="2"/>
      <w:sz w:val="24"/>
    </w:rPr>
  </w:style>
  <w:style w:type="character" w:customStyle="1" w:styleId="81">
    <w:name w:val="标题 6 Char"/>
    <w:link w:val="9"/>
    <w:qFormat/>
    <w:locked/>
    <w:uiPriority w:val="99"/>
    <w:rPr>
      <w:rFonts w:ascii="Arial" w:hAnsi="Arial" w:eastAsia="黑体"/>
      <w:b/>
      <w:kern w:val="2"/>
      <w:sz w:val="24"/>
    </w:rPr>
  </w:style>
  <w:style w:type="character" w:customStyle="1" w:styleId="82">
    <w:name w:val="标题 7 Char"/>
    <w:link w:val="10"/>
    <w:qFormat/>
    <w:locked/>
    <w:uiPriority w:val="99"/>
    <w:rPr>
      <w:b/>
      <w:kern w:val="2"/>
      <w:sz w:val="24"/>
    </w:rPr>
  </w:style>
  <w:style w:type="character" w:customStyle="1" w:styleId="83">
    <w:name w:val="标题 8 Char"/>
    <w:link w:val="11"/>
    <w:qFormat/>
    <w:locked/>
    <w:uiPriority w:val="99"/>
    <w:rPr>
      <w:rFonts w:ascii="Arial" w:hAnsi="Arial" w:eastAsia="黑体"/>
      <w:kern w:val="2"/>
      <w:sz w:val="24"/>
    </w:rPr>
  </w:style>
  <w:style w:type="character" w:customStyle="1" w:styleId="84">
    <w:name w:val="标题 9 Char"/>
    <w:link w:val="12"/>
    <w:qFormat/>
    <w:locked/>
    <w:uiPriority w:val="99"/>
    <w:rPr>
      <w:rFonts w:ascii="Arial" w:hAnsi="Arial" w:eastAsia="黑体"/>
      <w:kern w:val="2"/>
      <w:sz w:val="24"/>
    </w:rPr>
  </w:style>
  <w:style w:type="character" w:customStyle="1" w:styleId="85">
    <w:name w:val="批注文字 Char"/>
    <w:link w:val="19"/>
    <w:qFormat/>
    <w:locked/>
    <w:uiPriority w:val="99"/>
    <w:rPr>
      <w:kern w:val="2"/>
      <w:sz w:val="24"/>
    </w:rPr>
  </w:style>
  <w:style w:type="character" w:customStyle="1" w:styleId="86">
    <w:name w:val="批注主题 Char"/>
    <w:link w:val="57"/>
    <w:qFormat/>
    <w:locked/>
    <w:uiPriority w:val="99"/>
    <w:rPr>
      <w:b/>
      <w:kern w:val="2"/>
      <w:sz w:val="24"/>
    </w:rPr>
  </w:style>
  <w:style w:type="character" w:customStyle="1" w:styleId="87">
    <w:name w:val="正文文本 Char2"/>
    <w:link w:val="2"/>
    <w:qFormat/>
    <w:locked/>
    <w:uiPriority w:val="99"/>
    <w:rPr>
      <w:kern w:val="2"/>
      <w:sz w:val="24"/>
    </w:rPr>
  </w:style>
  <w:style w:type="character" w:customStyle="1" w:styleId="88">
    <w:name w:val="正文首行缩进 Char"/>
    <w:link w:val="58"/>
    <w:qFormat/>
    <w:locked/>
    <w:uiPriority w:val="99"/>
    <w:rPr>
      <w:kern w:val="2"/>
      <w:sz w:val="24"/>
    </w:rPr>
  </w:style>
  <w:style w:type="character" w:customStyle="1" w:styleId="89">
    <w:name w:val="文档结构图 Char"/>
    <w:link w:val="18"/>
    <w:qFormat/>
    <w:locked/>
    <w:uiPriority w:val="99"/>
    <w:rPr>
      <w:kern w:val="2"/>
      <w:sz w:val="24"/>
      <w:shd w:val="clear" w:color="auto" w:fill="000080"/>
    </w:rPr>
  </w:style>
  <w:style w:type="character" w:customStyle="1" w:styleId="90">
    <w:name w:val="正文文本 3 Char"/>
    <w:link w:val="21"/>
    <w:qFormat/>
    <w:locked/>
    <w:uiPriority w:val="99"/>
    <w:rPr>
      <w:b/>
      <w:kern w:val="2"/>
      <w:sz w:val="24"/>
    </w:rPr>
  </w:style>
  <w:style w:type="character" w:customStyle="1" w:styleId="91">
    <w:name w:val="正文文本缩进 Char"/>
    <w:link w:val="22"/>
    <w:qFormat/>
    <w:locked/>
    <w:uiPriority w:val="99"/>
    <w:rPr>
      <w:rFonts w:ascii="仿宋_GB2312" w:eastAsia="仿宋_GB2312"/>
      <w:kern w:val="2"/>
      <w:sz w:val="32"/>
    </w:rPr>
  </w:style>
  <w:style w:type="character" w:customStyle="1" w:styleId="92">
    <w:name w:val="HTML 地址 Char"/>
    <w:link w:val="25"/>
    <w:qFormat/>
    <w:locked/>
    <w:uiPriority w:val="99"/>
    <w:rPr>
      <w:i/>
      <w:sz w:val="24"/>
    </w:rPr>
  </w:style>
  <w:style w:type="character" w:customStyle="1" w:styleId="93">
    <w:name w:val="Plain Text Char"/>
    <w:qFormat/>
    <w:locked/>
    <w:uiPriority w:val="99"/>
    <w:rPr>
      <w:rFonts w:ascii="宋体" w:hAnsi="Courier New" w:eastAsia="宋体"/>
      <w:kern w:val="2"/>
      <w:sz w:val="21"/>
      <w:lang w:val="en-US" w:eastAsia="zh-CN"/>
    </w:rPr>
  </w:style>
  <w:style w:type="character" w:customStyle="1" w:styleId="94">
    <w:name w:val="日期 Char"/>
    <w:link w:val="32"/>
    <w:qFormat/>
    <w:locked/>
    <w:uiPriority w:val="99"/>
    <w:rPr>
      <w:rFonts w:ascii="宋体" w:hAnsi="Courier New"/>
      <w:kern w:val="2"/>
      <w:sz w:val="21"/>
    </w:rPr>
  </w:style>
  <w:style w:type="character" w:customStyle="1" w:styleId="95">
    <w:name w:val="正文文本缩进 2 Char"/>
    <w:link w:val="33"/>
    <w:qFormat/>
    <w:locked/>
    <w:uiPriority w:val="99"/>
    <w:rPr>
      <w:kern w:val="2"/>
      <w:sz w:val="32"/>
    </w:rPr>
  </w:style>
  <w:style w:type="character" w:customStyle="1" w:styleId="96">
    <w:name w:val="尾注文本 Char"/>
    <w:link w:val="34"/>
    <w:qFormat/>
    <w:locked/>
    <w:uiPriority w:val="99"/>
    <w:rPr>
      <w:sz w:val="24"/>
    </w:rPr>
  </w:style>
  <w:style w:type="character" w:customStyle="1" w:styleId="97">
    <w:name w:val="批注框文本 Char"/>
    <w:link w:val="35"/>
    <w:qFormat/>
    <w:locked/>
    <w:uiPriority w:val="99"/>
    <w:rPr>
      <w:kern w:val="2"/>
      <w:sz w:val="18"/>
    </w:rPr>
  </w:style>
  <w:style w:type="character" w:customStyle="1" w:styleId="98">
    <w:name w:val="页脚 Char"/>
    <w:link w:val="36"/>
    <w:qFormat/>
    <w:locked/>
    <w:uiPriority w:val="99"/>
    <w:rPr>
      <w:kern w:val="2"/>
      <w:sz w:val="18"/>
    </w:rPr>
  </w:style>
  <w:style w:type="character" w:customStyle="1" w:styleId="99">
    <w:name w:val="页眉 Char"/>
    <w:link w:val="37"/>
    <w:qFormat/>
    <w:locked/>
    <w:uiPriority w:val="99"/>
    <w:rPr>
      <w:kern w:val="2"/>
      <w:sz w:val="18"/>
    </w:rPr>
  </w:style>
  <w:style w:type="character" w:customStyle="1" w:styleId="100">
    <w:name w:val="副标题 Char"/>
    <w:link w:val="42"/>
    <w:qFormat/>
    <w:locked/>
    <w:uiPriority w:val="99"/>
    <w:rPr>
      <w:rFonts w:ascii="Arial" w:hAnsi="Arial"/>
      <w:color w:val="000000"/>
      <w:sz w:val="24"/>
      <w:lang w:eastAsia="en-US"/>
    </w:rPr>
  </w:style>
  <w:style w:type="character" w:customStyle="1" w:styleId="101">
    <w:name w:val="脚注文本 Char"/>
    <w:link w:val="44"/>
    <w:qFormat/>
    <w:locked/>
    <w:uiPriority w:val="99"/>
    <w:rPr>
      <w:rFonts w:ascii="宋体"/>
      <w:sz w:val="18"/>
    </w:rPr>
  </w:style>
  <w:style w:type="character" w:customStyle="1" w:styleId="102">
    <w:name w:val="正文文本缩进 3 Char"/>
    <w:link w:val="46"/>
    <w:qFormat/>
    <w:locked/>
    <w:uiPriority w:val="99"/>
    <w:rPr>
      <w:kern w:val="2"/>
      <w:sz w:val="16"/>
    </w:rPr>
  </w:style>
  <w:style w:type="character" w:customStyle="1" w:styleId="103">
    <w:name w:val="正文文本 2 Char"/>
    <w:link w:val="52"/>
    <w:qFormat/>
    <w:locked/>
    <w:uiPriority w:val="99"/>
    <w:rPr>
      <w:kern w:val="2"/>
      <w:sz w:val="24"/>
    </w:rPr>
  </w:style>
  <w:style w:type="character" w:customStyle="1" w:styleId="104">
    <w:name w:val="HTML 预设格式 Char"/>
    <w:link w:val="53"/>
    <w:qFormat/>
    <w:locked/>
    <w:uiPriority w:val="99"/>
    <w:rPr>
      <w:rFonts w:ascii="宋体" w:eastAsia="宋体"/>
      <w:sz w:val="24"/>
    </w:rPr>
  </w:style>
  <w:style w:type="character" w:customStyle="1" w:styleId="105">
    <w:name w:val="标题 Char"/>
    <w:link w:val="56"/>
    <w:qFormat/>
    <w:locked/>
    <w:uiPriority w:val="99"/>
    <w:rPr>
      <w:rFonts w:ascii="Cambria" w:hAnsi="Cambria"/>
      <w:b/>
      <w:kern w:val="2"/>
      <w:sz w:val="32"/>
    </w:rPr>
  </w:style>
  <w:style w:type="paragraph" w:customStyle="1" w:styleId="106">
    <w:name w:val="无间隔1"/>
    <w:link w:val="415"/>
    <w:qFormat/>
    <w:uiPriority w:val="99"/>
    <w:rPr>
      <w:rFonts w:ascii="Calibri" w:hAnsi="Calibri" w:eastAsia="宋体" w:cs="Times New Roman"/>
      <w:sz w:val="22"/>
      <w:szCs w:val="22"/>
      <w:lang w:val="en-US" w:eastAsia="zh-CN" w:bidi="ar-SA"/>
    </w:rPr>
  </w:style>
  <w:style w:type="paragraph" w:customStyle="1" w:styleId="107">
    <w:name w:val="xl54"/>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08">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09">
    <w:name w:val="xl4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110">
    <w:name w:val="正文段"/>
    <w:basedOn w:val="1"/>
    <w:qFormat/>
    <w:uiPriority w:val="99"/>
    <w:pPr>
      <w:widowControl/>
      <w:snapToGrid w:val="0"/>
      <w:spacing w:afterLines="50"/>
      <w:ind w:firstLine="200" w:firstLineChars="200"/>
    </w:pPr>
    <w:rPr>
      <w:kern w:val="0"/>
      <w:sz w:val="24"/>
      <w:szCs w:val="20"/>
    </w:rPr>
  </w:style>
  <w:style w:type="paragraph" w:customStyle="1" w:styleId="11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12">
    <w:name w:val="xl4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113">
    <w:name w:val="正文首行缩进两字符"/>
    <w:basedOn w:val="1"/>
    <w:qFormat/>
    <w:uiPriority w:val="99"/>
    <w:pPr>
      <w:spacing w:line="360" w:lineRule="auto"/>
      <w:ind w:firstLine="200" w:firstLineChars="200"/>
    </w:pPr>
  </w:style>
  <w:style w:type="paragraph" w:customStyle="1" w:styleId="114">
    <w:name w:val="font6"/>
    <w:basedOn w:val="1"/>
    <w:qFormat/>
    <w:uiPriority w:val="99"/>
    <w:pPr>
      <w:widowControl/>
      <w:spacing w:before="100" w:beforeAutospacing="1" w:after="100" w:afterAutospacing="1"/>
      <w:jc w:val="left"/>
    </w:pPr>
    <w:rPr>
      <w:rFonts w:ascii="宋体" w:hAnsi="宋体" w:cs="宋体"/>
      <w:kern w:val="0"/>
      <w:sz w:val="16"/>
      <w:szCs w:val="16"/>
    </w:rPr>
  </w:style>
  <w:style w:type="paragraph" w:customStyle="1" w:styleId="115">
    <w:name w:val="Char2"/>
    <w:basedOn w:val="18"/>
    <w:semiHidden/>
    <w:qFormat/>
    <w:uiPriority w:val="99"/>
    <w:rPr>
      <w:rFonts w:ascii="Tahoma" w:hAnsi="Tahoma" w:cs="Tahoma"/>
      <w:kern w:val="0"/>
      <w:sz w:val="18"/>
    </w:rPr>
  </w:style>
  <w:style w:type="paragraph" w:customStyle="1" w:styleId="116">
    <w:name w:val="xl5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117">
    <w:name w:val="样式 标题 1第A章标题 1 Char Char CharH1h1Level 1 Topic HeadingH11..."/>
    <w:basedOn w:val="3"/>
    <w:qFormat/>
    <w:uiPriority w:val="99"/>
    <w:pPr>
      <w:spacing w:before="0" w:after="0" w:line="460" w:lineRule="exact"/>
      <w:ind w:left="-4"/>
      <w:jc w:val="left"/>
    </w:pPr>
    <w:rPr>
      <w:rFonts w:ascii="仿宋_GB2312" w:hAnsi="宋体" w:eastAsia="仿宋_GB2312" w:cs="宋体"/>
      <w:sz w:val="32"/>
      <w:szCs w:val="32"/>
    </w:rPr>
  </w:style>
  <w:style w:type="paragraph" w:customStyle="1" w:styleId="118">
    <w:name w:val="表格"/>
    <w:basedOn w:val="1"/>
    <w:qFormat/>
    <w:uiPriority w:val="99"/>
    <w:pPr>
      <w:spacing w:line="400" w:lineRule="exact"/>
    </w:pPr>
    <w:rPr>
      <w:sz w:val="24"/>
    </w:rPr>
  </w:style>
  <w:style w:type="paragraph" w:customStyle="1" w:styleId="119">
    <w:name w:val="xl55"/>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120">
    <w:name w:val="_Style 81"/>
    <w:basedOn w:val="18"/>
    <w:qFormat/>
    <w:uiPriority w:val="99"/>
    <w:pPr>
      <w:widowControl/>
      <w:ind w:firstLine="454"/>
      <w:jc w:val="left"/>
    </w:pPr>
  </w:style>
  <w:style w:type="paragraph" w:customStyle="1" w:styleId="121">
    <w:name w:val="样式 首行缩进:  2 字符"/>
    <w:basedOn w:val="1"/>
    <w:qFormat/>
    <w:uiPriority w:val="99"/>
    <w:pPr>
      <w:spacing w:line="400" w:lineRule="exact"/>
      <w:ind w:firstLine="200" w:firstLineChars="200"/>
    </w:pPr>
    <w:rPr>
      <w:rFonts w:cs="宋体"/>
      <w:sz w:val="24"/>
    </w:rPr>
  </w:style>
  <w:style w:type="paragraph" w:customStyle="1" w:styleId="122">
    <w:name w:val="font8"/>
    <w:basedOn w:val="1"/>
    <w:qFormat/>
    <w:uiPriority w:val="99"/>
    <w:pPr>
      <w:widowControl/>
      <w:spacing w:before="100" w:beforeAutospacing="1" w:after="100" w:afterAutospacing="1"/>
      <w:jc w:val="left"/>
    </w:pPr>
    <w:rPr>
      <w:rFonts w:ascii="宋体" w:hAnsi="宋体" w:cs="宋体"/>
      <w:color w:val="FF0000"/>
      <w:kern w:val="0"/>
      <w:sz w:val="16"/>
      <w:szCs w:val="16"/>
    </w:rPr>
  </w:style>
  <w:style w:type="paragraph" w:customStyle="1" w:styleId="123">
    <w:name w:val="Char1"/>
    <w:basedOn w:val="1"/>
    <w:qFormat/>
    <w:uiPriority w:val="99"/>
    <w:rPr>
      <w:szCs w:val="21"/>
    </w:rPr>
  </w:style>
  <w:style w:type="paragraph" w:customStyle="1" w:styleId="124">
    <w:name w:val="样式 标题 2 + Times New Roman 四号 非加粗 段前: 5 磅 段后: 0 磅 行距: 固定值 20..."/>
    <w:basedOn w:val="4"/>
    <w:qFormat/>
    <w:uiPriority w:val="99"/>
    <w:pPr>
      <w:spacing w:before="100" w:after="0" w:line="400" w:lineRule="exact"/>
    </w:pPr>
    <w:rPr>
      <w:rFonts w:ascii="Times New Roman" w:hAnsi="Times New Roman" w:cs="宋体"/>
      <w:b w:val="0"/>
      <w:bCs w:val="0"/>
      <w:sz w:val="28"/>
      <w:szCs w:val="20"/>
    </w:rPr>
  </w:style>
  <w:style w:type="paragraph" w:customStyle="1" w:styleId="125">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126">
    <w:name w:val="font9"/>
    <w:basedOn w:val="1"/>
    <w:qFormat/>
    <w:uiPriority w:val="99"/>
    <w:pPr>
      <w:widowControl/>
      <w:spacing w:before="100" w:beforeAutospacing="1" w:after="100" w:afterAutospacing="1"/>
      <w:jc w:val="left"/>
    </w:pPr>
    <w:rPr>
      <w:color w:val="FF0000"/>
      <w:kern w:val="0"/>
      <w:sz w:val="16"/>
      <w:szCs w:val="16"/>
    </w:rPr>
  </w:style>
  <w:style w:type="paragraph" w:customStyle="1" w:styleId="127">
    <w:name w:val="xl31"/>
    <w:basedOn w:val="1"/>
    <w:qFormat/>
    <w:uiPriority w:val="99"/>
    <w:pPr>
      <w:widowControl/>
      <w:spacing w:before="100" w:beforeAutospacing="1" w:after="100" w:afterAutospacing="1"/>
      <w:jc w:val="center"/>
    </w:pPr>
    <w:rPr>
      <w:rFonts w:ascii="Arial Unicode MS" w:hAnsi="Arial Unicode MS"/>
      <w:kern w:val="0"/>
      <w:sz w:val="24"/>
    </w:rPr>
  </w:style>
  <w:style w:type="paragraph" w:customStyle="1" w:styleId="128">
    <w:name w:val="xl5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16"/>
      <w:szCs w:val="16"/>
    </w:rPr>
  </w:style>
  <w:style w:type="paragraph" w:customStyle="1" w:styleId="129">
    <w:name w:val="xl4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130">
    <w:name w:val="xl4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16"/>
      <w:szCs w:val="16"/>
    </w:rPr>
  </w:style>
  <w:style w:type="paragraph" w:customStyle="1" w:styleId="131">
    <w:name w:val="xl5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2">
    <w:name w:val="Char Char Char Char Char Char"/>
    <w:basedOn w:val="1"/>
    <w:qFormat/>
    <w:uiPriority w:val="99"/>
  </w:style>
  <w:style w:type="paragraph" w:customStyle="1" w:styleId="133">
    <w:name w:val="xl5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134">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35">
    <w:name w:val="修订1"/>
    <w:qFormat/>
    <w:uiPriority w:val="99"/>
    <w:rPr>
      <w:rFonts w:ascii="Times New Roman" w:hAnsi="Times New Roman" w:eastAsia="宋体" w:cs="Times New Roman"/>
      <w:kern w:val="2"/>
      <w:sz w:val="21"/>
      <w:szCs w:val="24"/>
      <w:lang w:val="en-US" w:eastAsia="zh-CN" w:bidi="ar-SA"/>
    </w:rPr>
  </w:style>
  <w:style w:type="paragraph" w:customStyle="1" w:styleId="136">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137">
    <w:name w:val="xl4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6"/>
      <w:szCs w:val="16"/>
    </w:rPr>
  </w:style>
  <w:style w:type="paragraph" w:customStyle="1" w:styleId="138">
    <w:name w:val="font7"/>
    <w:basedOn w:val="1"/>
    <w:qFormat/>
    <w:uiPriority w:val="99"/>
    <w:pPr>
      <w:widowControl/>
      <w:spacing w:before="100" w:beforeAutospacing="1" w:after="100" w:afterAutospacing="1"/>
      <w:jc w:val="left"/>
    </w:pPr>
    <w:rPr>
      <w:kern w:val="0"/>
      <w:sz w:val="16"/>
      <w:szCs w:val="16"/>
    </w:rPr>
  </w:style>
  <w:style w:type="paragraph" w:customStyle="1" w:styleId="139">
    <w:name w:val="Char"/>
    <w:basedOn w:val="1"/>
    <w:qFormat/>
    <w:uiPriority w:val="99"/>
  </w:style>
  <w:style w:type="paragraph" w:customStyle="1" w:styleId="140">
    <w:name w:val="默认段落字体 Para Char"/>
    <w:basedOn w:val="1"/>
    <w:qFormat/>
    <w:uiPriority w:val="99"/>
    <w:pPr>
      <w:adjustRightInd w:val="0"/>
      <w:spacing w:line="360" w:lineRule="auto"/>
    </w:pPr>
    <w:rPr>
      <w:kern w:val="0"/>
      <w:sz w:val="24"/>
      <w:szCs w:val="20"/>
    </w:rPr>
  </w:style>
  <w:style w:type="paragraph" w:customStyle="1" w:styleId="141">
    <w:name w:val="样式 标题 3 + (中文) 黑体 小四 非加粗 段前: 7.8 磅 段后: 0 磅 行距: 固定值 20 磅"/>
    <w:basedOn w:val="5"/>
    <w:qFormat/>
    <w:uiPriority w:val="99"/>
    <w:pPr>
      <w:spacing w:before="0" w:after="0" w:line="400" w:lineRule="exact"/>
    </w:pPr>
    <w:rPr>
      <w:rFonts w:eastAsia="黑体" w:cs="宋体"/>
      <w:b w:val="0"/>
      <w:bCs w:val="0"/>
      <w:sz w:val="24"/>
      <w:szCs w:val="20"/>
    </w:rPr>
  </w:style>
  <w:style w:type="paragraph" w:customStyle="1" w:styleId="142">
    <w:name w:val="Char3"/>
    <w:basedOn w:val="18"/>
    <w:qFormat/>
    <w:uiPriority w:val="99"/>
    <w:pPr>
      <w:widowControl/>
      <w:ind w:firstLine="454"/>
      <w:jc w:val="left"/>
    </w:pPr>
    <w:rPr>
      <w:rFonts w:ascii="Tahoma" w:hAnsi="Tahoma" w:cs="宋体"/>
      <w:kern w:val="0"/>
      <w:sz w:val="24"/>
      <w:szCs w:val="20"/>
    </w:rPr>
  </w:style>
  <w:style w:type="paragraph" w:customStyle="1" w:styleId="143">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4">
    <w:name w:val="列出段落2"/>
    <w:basedOn w:val="1"/>
    <w:qFormat/>
    <w:uiPriority w:val="34"/>
    <w:pPr>
      <w:widowControl/>
      <w:ind w:firstLine="420" w:firstLineChars="200"/>
      <w:jc w:val="left"/>
    </w:pPr>
    <w:rPr>
      <w:rFonts w:ascii="宋体" w:hAnsi="宋体" w:cs="宋体"/>
      <w:kern w:val="0"/>
      <w:sz w:val="24"/>
    </w:rPr>
  </w:style>
  <w:style w:type="paragraph" w:customStyle="1" w:styleId="145">
    <w:name w:val="默认段落字体 Para Char Char Char Char Char Char Char Char Char1 Char Char Char Char"/>
    <w:basedOn w:val="1"/>
    <w:qFormat/>
    <w:uiPriority w:val="99"/>
    <w:rPr>
      <w:rFonts w:ascii="Tahoma" w:hAnsi="Tahoma"/>
      <w:sz w:val="24"/>
      <w:szCs w:val="20"/>
    </w:rPr>
  </w:style>
  <w:style w:type="paragraph" w:customStyle="1" w:styleId="146">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18"/>
      <w:szCs w:val="18"/>
    </w:rPr>
  </w:style>
  <w:style w:type="paragraph" w:customStyle="1" w:styleId="147">
    <w:name w:val="表内文字"/>
    <w:basedOn w:val="1"/>
    <w:qFormat/>
    <w:uiPriority w:val="99"/>
    <w:pPr>
      <w:snapToGrid w:val="0"/>
      <w:jc w:val="center"/>
    </w:pPr>
    <w:rPr>
      <w:rFonts w:ascii="宋体" w:hAnsi="宋体"/>
      <w:color w:val="FF0000"/>
      <w:sz w:val="24"/>
    </w:rPr>
  </w:style>
  <w:style w:type="paragraph" w:customStyle="1" w:styleId="148">
    <w:name w:val="xl4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宋体" w:eastAsia="黑体" w:cs="宋体"/>
      <w:b/>
      <w:bCs/>
      <w:kern w:val="0"/>
      <w:sz w:val="18"/>
      <w:szCs w:val="18"/>
    </w:rPr>
  </w:style>
  <w:style w:type="paragraph" w:customStyle="1" w:styleId="149">
    <w:name w:val="xl4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150">
    <w:name w:val="xl4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18"/>
      <w:szCs w:val="18"/>
    </w:rPr>
  </w:style>
  <w:style w:type="paragraph" w:customStyle="1" w:styleId="151">
    <w:name w:val="xl56"/>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52">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53">
    <w:name w:val="char"/>
    <w:basedOn w:val="1"/>
    <w:qFormat/>
    <w:uiPriority w:val="99"/>
    <w:pPr>
      <w:widowControl/>
      <w:adjustRightInd w:val="0"/>
      <w:snapToGrid w:val="0"/>
      <w:spacing w:beforeLines="50" w:after="160" w:line="360" w:lineRule="exact"/>
      <w:ind w:firstLine="496" w:firstLineChars="200"/>
      <w:jc w:val="left"/>
    </w:pPr>
    <w:rPr>
      <w:rFonts w:ascii="宋体" w:hAnsi="宋体" w:cs="”“Times New Roman”“"/>
      <w:color w:val="000000"/>
      <w:spacing w:val="4"/>
      <w:kern w:val="0"/>
      <w:sz w:val="24"/>
      <w:lang w:eastAsia="en-US"/>
    </w:rPr>
  </w:style>
  <w:style w:type="paragraph" w:customStyle="1" w:styleId="154">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155">
    <w:name w:val="p18"/>
    <w:basedOn w:val="1"/>
    <w:qFormat/>
    <w:uiPriority w:val="99"/>
    <w:pPr>
      <w:widowControl/>
    </w:pPr>
    <w:rPr>
      <w:rFonts w:ascii="宋体" w:hAnsi="宋体" w:cs="宋体"/>
      <w:kern w:val="0"/>
      <w:szCs w:val="21"/>
    </w:rPr>
  </w:style>
  <w:style w:type="paragraph" w:customStyle="1" w:styleId="156">
    <w:name w:val="列出段落3"/>
    <w:basedOn w:val="1"/>
    <w:qFormat/>
    <w:uiPriority w:val="99"/>
    <w:pPr>
      <w:ind w:firstLine="420" w:firstLineChars="200"/>
    </w:pPr>
  </w:style>
  <w:style w:type="paragraph" w:customStyle="1" w:styleId="157">
    <w:name w:val="列出段落4"/>
    <w:basedOn w:val="1"/>
    <w:qFormat/>
    <w:uiPriority w:val="99"/>
    <w:pPr>
      <w:ind w:firstLine="420" w:firstLineChars="200"/>
    </w:pPr>
    <w:rPr>
      <w:szCs w:val="20"/>
    </w:rPr>
  </w:style>
  <w:style w:type="paragraph" w:customStyle="1" w:styleId="158">
    <w:name w:val="正文 + 宋体"/>
    <w:basedOn w:val="33"/>
    <w:link w:val="423"/>
    <w:qFormat/>
    <w:uiPriority w:val="99"/>
    <w:pPr>
      <w:spacing w:after="120" w:line="480" w:lineRule="exact"/>
      <w:ind w:firstLine="0"/>
    </w:pPr>
    <w:rPr>
      <w:rFonts w:ascii="宋体" w:hAnsi="宋体"/>
      <w:b/>
      <w:kern w:val="0"/>
      <w:sz w:val="24"/>
    </w:rPr>
  </w:style>
  <w:style w:type="paragraph" w:customStyle="1" w:styleId="159">
    <w:name w:val="2级标题"/>
    <w:basedOn w:val="134"/>
    <w:link w:val="424"/>
    <w:qFormat/>
    <w:uiPriority w:val="99"/>
    <w:pPr>
      <w:keepLines/>
      <w:widowControl w:val="0"/>
      <w:numPr>
        <w:ilvl w:val="1"/>
        <w:numId w:val="1"/>
      </w:numPr>
      <w:tabs>
        <w:tab w:val="left" w:pos="840"/>
        <w:tab w:val="left" w:pos="1140"/>
      </w:tabs>
      <w:spacing w:before="240" w:after="120" w:line="360" w:lineRule="auto"/>
      <w:outlineLvl w:val="1"/>
    </w:pPr>
    <w:rPr>
      <w:rFonts w:ascii="黑体" w:hAnsi="黑体" w:eastAsia="黑体"/>
      <w:sz w:val="20"/>
      <w:szCs w:val="36"/>
      <w:lang w:eastAsia="en-US"/>
    </w:rPr>
  </w:style>
  <w:style w:type="paragraph" w:customStyle="1" w:styleId="160">
    <w:name w:val="正文四号"/>
    <w:basedOn w:val="1"/>
    <w:link w:val="427"/>
    <w:qFormat/>
    <w:uiPriority w:val="99"/>
    <w:pPr>
      <w:spacing w:line="360" w:lineRule="auto"/>
      <w:ind w:firstLine="200" w:firstLineChars="200"/>
    </w:pPr>
    <w:rPr>
      <w:rFonts w:eastAsia="仿宋"/>
      <w:kern w:val="0"/>
      <w:sz w:val="28"/>
      <w:szCs w:val="20"/>
    </w:rPr>
  </w:style>
  <w:style w:type="paragraph" w:customStyle="1" w:styleId="161">
    <w:name w:val="段"/>
    <w:link w:val="430"/>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62">
    <w:name w:val="标题2新"/>
    <w:basedOn w:val="163"/>
    <w:link w:val="434"/>
    <w:qFormat/>
    <w:uiPriority w:val="99"/>
    <w:pPr>
      <w:numPr>
        <w:numId w:val="0"/>
      </w:numPr>
    </w:pPr>
    <w:rPr>
      <w:rFonts w:hAnsi="黑体"/>
      <w:sz w:val="20"/>
      <w:szCs w:val="20"/>
    </w:rPr>
  </w:style>
  <w:style w:type="paragraph" w:customStyle="1" w:styleId="163">
    <w:name w:val="一级条标题"/>
    <w:next w:val="161"/>
    <w:link w:val="435"/>
    <w:qFormat/>
    <w:uiPriority w:val="99"/>
    <w:pPr>
      <w:numPr>
        <w:ilvl w:val="1"/>
        <w:numId w:val="2"/>
      </w:numPr>
      <w:spacing w:beforeLines="50" w:afterLines="50"/>
      <w:ind w:left="0"/>
      <w:outlineLvl w:val="2"/>
    </w:pPr>
    <w:rPr>
      <w:rFonts w:ascii="黑体" w:hAnsi="Times New Roman" w:eastAsia="黑体" w:cs="Times New Roman"/>
      <w:sz w:val="21"/>
      <w:szCs w:val="21"/>
      <w:lang w:val="en-US" w:eastAsia="zh-CN" w:bidi="ar-SA"/>
    </w:rPr>
  </w:style>
  <w:style w:type="paragraph" w:customStyle="1" w:styleId="164">
    <w:name w:val="z-窗体底端1"/>
    <w:basedOn w:val="1"/>
    <w:next w:val="1"/>
    <w:link w:val="438"/>
    <w:qFormat/>
    <w:uiPriority w:val="99"/>
    <w:pPr>
      <w:widowControl/>
      <w:pBdr>
        <w:top w:val="single" w:color="auto" w:sz="6" w:space="1"/>
      </w:pBdr>
      <w:jc w:val="center"/>
    </w:pPr>
    <w:rPr>
      <w:rFonts w:ascii="Arial" w:hAnsi="Arial"/>
      <w:vanish/>
      <w:kern w:val="0"/>
      <w:sz w:val="16"/>
      <w:szCs w:val="16"/>
    </w:rPr>
  </w:style>
  <w:style w:type="paragraph" w:customStyle="1" w:styleId="165">
    <w:name w:val="样式1"/>
    <w:basedOn w:val="1"/>
    <w:link w:val="449"/>
    <w:qFormat/>
    <w:uiPriority w:val="99"/>
    <w:pPr>
      <w:ind w:left="3360" w:firstLine="420"/>
    </w:pPr>
    <w:rPr>
      <w:kern w:val="0"/>
      <w:sz w:val="20"/>
    </w:rPr>
  </w:style>
  <w:style w:type="paragraph" w:customStyle="1" w:styleId="166">
    <w:name w:val="自创3级"/>
    <w:basedOn w:val="5"/>
    <w:link w:val="451"/>
    <w:qFormat/>
    <w:uiPriority w:val="99"/>
    <w:pPr>
      <w:numPr>
        <w:ilvl w:val="2"/>
        <w:numId w:val="3"/>
      </w:numPr>
      <w:tabs>
        <w:tab w:val="left" w:pos="0"/>
        <w:tab w:val="left" w:pos="360"/>
      </w:tabs>
      <w:spacing w:before="0" w:after="0" w:line="360" w:lineRule="auto"/>
      <w:ind w:left="0" w:firstLine="0"/>
    </w:pPr>
    <w:rPr>
      <w:rFonts w:ascii="黑体" w:hAnsi="黑体" w:eastAsia="黑体"/>
      <w:bCs w:val="0"/>
      <w:kern w:val="0"/>
      <w:sz w:val="28"/>
      <w:szCs w:val="28"/>
    </w:rPr>
  </w:style>
  <w:style w:type="paragraph" w:customStyle="1" w:styleId="167">
    <w:name w:val="自创4级"/>
    <w:basedOn w:val="6"/>
    <w:link w:val="452"/>
    <w:qFormat/>
    <w:uiPriority w:val="99"/>
    <w:pPr>
      <w:widowControl/>
      <w:numPr>
        <w:ilvl w:val="3"/>
        <w:numId w:val="3"/>
      </w:numPr>
      <w:tabs>
        <w:tab w:val="left" w:pos="0"/>
        <w:tab w:val="left" w:pos="360"/>
      </w:tabs>
      <w:spacing w:before="0" w:after="0"/>
      <w:ind w:left="928" w:hanging="360"/>
      <w:textAlignment w:val="baseline"/>
    </w:pPr>
    <w:rPr>
      <w:rFonts w:ascii="黑体" w:hAnsi="黑体" w:eastAsia="黑体"/>
      <w:b w:val="0"/>
      <w:kern w:val="0"/>
      <w:sz w:val="24"/>
      <w:szCs w:val="24"/>
    </w:rPr>
  </w:style>
  <w:style w:type="paragraph" w:customStyle="1" w:styleId="168">
    <w:name w:val="并列项-点"/>
    <w:basedOn w:val="1"/>
    <w:link w:val="453"/>
    <w:qFormat/>
    <w:uiPriority w:val="99"/>
    <w:pPr>
      <w:widowControl/>
      <w:tabs>
        <w:tab w:val="left" w:pos="851"/>
        <w:tab w:val="left" w:pos="927"/>
      </w:tabs>
      <w:adjustRightInd w:val="0"/>
      <w:snapToGrid w:val="0"/>
      <w:spacing w:line="360" w:lineRule="atLeast"/>
      <w:ind w:left="851" w:hanging="284"/>
      <w:textAlignment w:val="baseline"/>
    </w:pPr>
    <w:rPr>
      <w:kern w:val="0"/>
      <w:sz w:val="24"/>
    </w:rPr>
  </w:style>
  <w:style w:type="paragraph" w:customStyle="1" w:styleId="169">
    <w:name w:val="二级条标题"/>
    <w:basedOn w:val="163"/>
    <w:next w:val="161"/>
    <w:link w:val="454"/>
    <w:qFormat/>
    <w:uiPriority w:val="99"/>
    <w:pPr>
      <w:numPr>
        <w:numId w:val="0"/>
      </w:numPr>
      <w:ind w:left="2411"/>
      <w:outlineLvl w:val="3"/>
    </w:pPr>
  </w:style>
  <w:style w:type="paragraph" w:customStyle="1" w:styleId="170">
    <w:name w:val="标题 31"/>
    <w:basedOn w:val="1"/>
    <w:next w:val="1"/>
    <w:link w:val="456"/>
    <w:qFormat/>
    <w:uiPriority w:val="99"/>
    <w:pPr>
      <w:keepNext/>
      <w:keepLines/>
      <w:spacing w:before="260" w:after="260" w:line="415" w:lineRule="auto"/>
      <w:outlineLvl w:val="2"/>
    </w:pPr>
    <w:rPr>
      <w:rFonts w:ascii="Calibri" w:hAnsi="Calibri"/>
      <w:b/>
      <w:bCs/>
      <w:kern w:val="0"/>
      <w:sz w:val="32"/>
      <w:szCs w:val="32"/>
    </w:rPr>
  </w:style>
  <w:style w:type="paragraph" w:customStyle="1" w:styleId="171">
    <w:name w:val="自创2级"/>
    <w:basedOn w:val="4"/>
    <w:link w:val="457"/>
    <w:qFormat/>
    <w:uiPriority w:val="99"/>
    <w:pPr>
      <w:numPr>
        <w:ilvl w:val="1"/>
        <w:numId w:val="3"/>
      </w:numPr>
      <w:tabs>
        <w:tab w:val="left" w:pos="0"/>
        <w:tab w:val="left" w:pos="360"/>
      </w:tabs>
      <w:spacing w:before="0" w:after="0" w:line="360" w:lineRule="auto"/>
      <w:ind w:left="0" w:firstLine="0"/>
    </w:pPr>
    <w:rPr>
      <w:rFonts w:ascii="黑体" w:hAnsi="黑体"/>
      <w:kern w:val="0"/>
      <w:sz w:val="30"/>
      <w:szCs w:val="30"/>
    </w:rPr>
  </w:style>
  <w:style w:type="paragraph" w:customStyle="1" w:styleId="172">
    <w:name w:val="z-窗体顶端1"/>
    <w:basedOn w:val="1"/>
    <w:next w:val="1"/>
    <w:link w:val="462"/>
    <w:qFormat/>
    <w:uiPriority w:val="99"/>
    <w:pPr>
      <w:widowControl/>
      <w:pBdr>
        <w:bottom w:val="single" w:color="auto" w:sz="6" w:space="1"/>
      </w:pBdr>
      <w:jc w:val="center"/>
    </w:pPr>
    <w:rPr>
      <w:rFonts w:ascii="Arial" w:hAnsi="Arial"/>
      <w:vanish/>
      <w:kern w:val="0"/>
      <w:sz w:val="16"/>
      <w:szCs w:val="16"/>
    </w:rPr>
  </w:style>
  <w:style w:type="paragraph" w:customStyle="1" w:styleId="173">
    <w:name w:val="自创表"/>
    <w:basedOn w:val="2"/>
    <w:link w:val="464"/>
    <w:qFormat/>
    <w:uiPriority w:val="99"/>
    <w:pPr>
      <w:spacing w:line="240" w:lineRule="auto"/>
      <w:jc w:val="center"/>
    </w:pPr>
    <w:rPr>
      <w:kern w:val="0"/>
    </w:rPr>
  </w:style>
  <w:style w:type="paragraph" w:customStyle="1" w:styleId="174">
    <w:name w:val="仿宋三号正文"/>
    <w:basedOn w:val="1"/>
    <w:link w:val="467"/>
    <w:qFormat/>
    <w:uiPriority w:val="99"/>
    <w:pPr>
      <w:ind w:firstLine="739" w:firstLineChars="231"/>
    </w:pPr>
    <w:rPr>
      <w:rFonts w:ascii="仿宋_GB2312" w:hAnsi="仿宋_GB2312" w:eastAsia="仿宋_GB2312"/>
      <w:bCs/>
      <w:kern w:val="0"/>
      <w:sz w:val="32"/>
      <w:szCs w:val="32"/>
    </w:rPr>
  </w:style>
  <w:style w:type="paragraph" w:customStyle="1" w:styleId="175">
    <w:name w:val="自创英"/>
    <w:basedOn w:val="1"/>
    <w:link w:val="470"/>
    <w:qFormat/>
    <w:uiPriority w:val="99"/>
    <w:pPr>
      <w:widowControl/>
      <w:pBdr>
        <w:top w:val="dotted" w:color="778855" w:sz="6" w:space="8"/>
        <w:left w:val="dotted" w:color="778855" w:sz="6" w:space="8"/>
        <w:bottom w:val="dotted" w:color="778855" w:sz="6" w:space="8"/>
        <w:right w:val="dotted" w:color="778855" w:sz="6" w:space="8"/>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kern w:val="0"/>
      <w:sz w:val="24"/>
      <w:shd w:val="clear" w:color="auto" w:fill="F5F5F5"/>
    </w:rPr>
  </w:style>
  <w:style w:type="paragraph" w:customStyle="1" w:styleId="176">
    <w:name w:val="七章格式正文"/>
    <w:basedOn w:val="1"/>
    <w:link w:val="471"/>
    <w:qFormat/>
    <w:uiPriority w:val="99"/>
    <w:pPr>
      <w:ind w:firstLine="566" w:firstLineChars="202"/>
    </w:pPr>
    <w:rPr>
      <w:kern w:val="0"/>
      <w:sz w:val="28"/>
    </w:rPr>
  </w:style>
  <w:style w:type="paragraph" w:customStyle="1" w:styleId="177">
    <w:name w:val="首示例"/>
    <w:next w:val="161"/>
    <w:link w:val="473"/>
    <w:qFormat/>
    <w:uiPriority w:val="99"/>
    <w:pPr>
      <w:tabs>
        <w:tab w:val="left" w:pos="360"/>
      </w:tabs>
    </w:pPr>
    <w:rPr>
      <w:rFonts w:ascii="宋体" w:hAnsi="宋体" w:eastAsia="宋体" w:cs="Times New Roman"/>
      <w:sz w:val="18"/>
      <w:szCs w:val="18"/>
      <w:lang w:val="en-US" w:eastAsia="zh-CN" w:bidi="ar-SA"/>
    </w:rPr>
  </w:style>
  <w:style w:type="paragraph" w:customStyle="1" w:styleId="178">
    <w:name w:val="样式1正文"/>
    <w:basedOn w:val="1"/>
    <w:link w:val="476"/>
    <w:qFormat/>
    <w:uiPriority w:val="99"/>
    <w:pPr>
      <w:spacing w:line="300" w:lineRule="auto"/>
      <w:ind w:left="210" w:right="210" w:firstLine="420"/>
    </w:pPr>
    <w:rPr>
      <w:rFonts w:ascii="仿宋_GB2312" w:eastAsia="仿宋_GB2312"/>
      <w:kern w:val="0"/>
      <w:sz w:val="24"/>
    </w:rPr>
  </w:style>
  <w:style w:type="paragraph" w:customStyle="1" w:styleId="179">
    <w:name w:val="4级标题"/>
    <w:basedOn w:val="1"/>
    <w:link w:val="481"/>
    <w:qFormat/>
    <w:uiPriority w:val="99"/>
    <w:pPr>
      <w:keepLines/>
      <w:numPr>
        <w:ilvl w:val="3"/>
        <w:numId w:val="4"/>
      </w:numPr>
      <w:tabs>
        <w:tab w:val="left" w:pos="0"/>
      </w:tabs>
      <w:spacing w:line="360" w:lineRule="auto"/>
      <w:contextualSpacing/>
      <w:jc w:val="left"/>
      <w:outlineLvl w:val="3"/>
    </w:pPr>
    <w:rPr>
      <w:rFonts w:ascii="黑体" w:hAnsi="黑体" w:eastAsia="黑体"/>
      <w:kern w:val="0"/>
      <w:sz w:val="20"/>
      <w:lang w:eastAsia="en-US"/>
    </w:rPr>
  </w:style>
  <w:style w:type="paragraph" w:customStyle="1" w:styleId="180">
    <w:name w:val="列出段落11"/>
    <w:basedOn w:val="1"/>
    <w:link w:val="483"/>
    <w:qFormat/>
    <w:uiPriority w:val="99"/>
    <w:pPr>
      <w:ind w:firstLine="420" w:firstLineChars="200"/>
    </w:pPr>
    <w:rPr>
      <w:rFonts w:ascii="Calibri" w:hAnsi="Calibri"/>
      <w:kern w:val="0"/>
      <w:sz w:val="20"/>
      <w:szCs w:val="20"/>
    </w:rPr>
  </w:style>
  <w:style w:type="paragraph" w:customStyle="1" w:styleId="181">
    <w:name w:val="3级标题"/>
    <w:basedOn w:val="1"/>
    <w:link w:val="486"/>
    <w:qFormat/>
    <w:uiPriority w:val="99"/>
    <w:pPr>
      <w:keepLines/>
      <w:numPr>
        <w:ilvl w:val="2"/>
        <w:numId w:val="4"/>
      </w:numPr>
      <w:tabs>
        <w:tab w:val="left" w:pos="0"/>
      </w:tabs>
      <w:spacing w:before="120" w:after="120" w:line="360" w:lineRule="auto"/>
      <w:contextualSpacing/>
      <w:jc w:val="left"/>
      <w:outlineLvl w:val="2"/>
    </w:pPr>
    <w:rPr>
      <w:rFonts w:ascii="黑体" w:hAnsi="黑体" w:eastAsia="黑体"/>
      <w:kern w:val="0"/>
      <w:sz w:val="20"/>
      <w:szCs w:val="36"/>
      <w:lang w:eastAsia="en-US"/>
    </w:rPr>
  </w:style>
  <w:style w:type="paragraph" w:customStyle="1" w:styleId="182">
    <w:name w:val="正文缩进体"/>
    <w:basedOn w:val="1"/>
    <w:link w:val="487"/>
    <w:qFormat/>
    <w:uiPriority w:val="99"/>
    <w:pPr>
      <w:tabs>
        <w:tab w:val="left" w:pos="840"/>
      </w:tabs>
      <w:adjustRightInd w:val="0"/>
      <w:ind w:right="-107" w:rightChars="-51" w:firstLine="420" w:firstLineChars="200"/>
      <w:jc w:val="left"/>
      <w:textAlignment w:val="baseline"/>
    </w:pPr>
    <w:rPr>
      <w:kern w:val="0"/>
      <w:sz w:val="20"/>
      <w:szCs w:val="21"/>
    </w:rPr>
  </w:style>
  <w:style w:type="paragraph" w:customStyle="1" w:styleId="183">
    <w:name w:val="标题3新"/>
    <w:basedOn w:val="169"/>
    <w:link w:val="488"/>
    <w:qFormat/>
    <w:uiPriority w:val="99"/>
    <w:pPr>
      <w:ind w:left="0" w:firstLine="284"/>
    </w:pPr>
    <w:rPr>
      <w:rFonts w:hAnsi="黑体"/>
      <w:sz w:val="20"/>
      <w:szCs w:val="20"/>
    </w:rPr>
  </w:style>
  <w:style w:type="paragraph" w:customStyle="1" w:styleId="184">
    <w:name w:val="重庆_正文样式"/>
    <w:basedOn w:val="1"/>
    <w:link w:val="489"/>
    <w:qFormat/>
    <w:uiPriority w:val="99"/>
    <w:pPr>
      <w:widowControl/>
      <w:tabs>
        <w:tab w:val="left" w:pos="840"/>
      </w:tabs>
      <w:autoSpaceDE w:val="0"/>
      <w:autoSpaceDN w:val="0"/>
      <w:adjustRightInd w:val="0"/>
      <w:spacing w:line="360" w:lineRule="auto"/>
      <w:ind w:firstLine="538" w:firstLineChars="192"/>
      <w:jc w:val="left"/>
    </w:pPr>
    <w:rPr>
      <w:kern w:val="0"/>
      <w:sz w:val="28"/>
      <w:szCs w:val="28"/>
    </w:rPr>
  </w:style>
  <w:style w:type="paragraph" w:customStyle="1" w:styleId="185">
    <w:name w:val="附录公式"/>
    <w:basedOn w:val="161"/>
    <w:next w:val="161"/>
    <w:link w:val="493"/>
    <w:qFormat/>
    <w:uiPriority w:val="99"/>
    <w:rPr>
      <w:sz w:val="20"/>
    </w:rPr>
  </w:style>
  <w:style w:type="paragraph" w:customStyle="1" w:styleId="186">
    <w:name w:val="自创英文"/>
    <w:basedOn w:val="187"/>
    <w:link w:val="494"/>
    <w:qFormat/>
    <w:uiPriority w:val="99"/>
    <w:pPr>
      <w:tabs>
        <w:tab w:val="left" w:pos="360"/>
        <w:tab w:val="left" w:pos="1680"/>
      </w:tabs>
    </w:pPr>
    <w:rPr>
      <w:rFonts w:ascii="Times New Roman" w:hAnsi="Times New Roman"/>
    </w:rPr>
  </w:style>
  <w:style w:type="paragraph" w:customStyle="1" w:styleId="187">
    <w:name w:val="自创5级"/>
    <w:basedOn w:val="167"/>
    <w:link w:val="495"/>
    <w:qFormat/>
    <w:uiPriority w:val="99"/>
    <w:pPr>
      <w:tabs>
        <w:tab w:val="clear" w:pos="0"/>
      </w:tabs>
      <w:ind w:left="0" w:firstLine="480" w:firstLineChars="200"/>
    </w:pPr>
  </w:style>
  <w:style w:type="paragraph" w:customStyle="1" w:styleId="188">
    <w:name w:val="标准正文"/>
    <w:basedOn w:val="1"/>
    <w:link w:val="503"/>
    <w:qFormat/>
    <w:uiPriority w:val="99"/>
    <w:pPr>
      <w:spacing w:before="156" w:after="156" w:line="360" w:lineRule="auto"/>
      <w:ind w:firstLine="480" w:firstLineChars="200"/>
    </w:pPr>
    <w:rPr>
      <w:kern w:val="0"/>
      <w:sz w:val="24"/>
      <w:szCs w:val="20"/>
    </w:rPr>
  </w:style>
  <w:style w:type="paragraph" w:customStyle="1" w:styleId="189">
    <w:name w:val="自创正文"/>
    <w:basedOn w:val="1"/>
    <w:link w:val="509"/>
    <w:qFormat/>
    <w:uiPriority w:val="99"/>
    <w:pPr>
      <w:spacing w:line="360" w:lineRule="auto"/>
      <w:ind w:firstLine="480" w:firstLineChars="200"/>
    </w:pPr>
    <w:rPr>
      <w:rFonts w:ascii="宋体" w:hAnsi="宋体"/>
      <w:kern w:val="0"/>
      <w:sz w:val="24"/>
    </w:rPr>
  </w:style>
  <w:style w:type="paragraph" w:customStyle="1" w:styleId="190">
    <w:name w:val="*正文"/>
    <w:basedOn w:val="1"/>
    <w:link w:val="510"/>
    <w:qFormat/>
    <w:uiPriority w:val="99"/>
    <w:pPr>
      <w:spacing w:line="300" w:lineRule="auto"/>
      <w:ind w:firstLine="420" w:firstLineChars="200"/>
    </w:pPr>
    <w:rPr>
      <w:rFonts w:ascii="宋体" w:hAnsi="宋体"/>
      <w:kern w:val="0"/>
      <w:sz w:val="20"/>
      <w:szCs w:val="21"/>
    </w:rPr>
  </w:style>
  <w:style w:type="paragraph" w:customStyle="1" w:styleId="191">
    <w:name w:val="样式 标题 5 + 左  0 字符"/>
    <w:basedOn w:val="7"/>
    <w:qFormat/>
    <w:uiPriority w:val="99"/>
    <w:pPr>
      <w:ind w:right="210" w:rightChars="100"/>
    </w:pPr>
    <w:rPr>
      <w:rFonts w:ascii="黑体" w:hAnsi="宋体" w:eastAsia="黑体" w:cs="宋体"/>
      <w:bCs/>
      <w:sz w:val="24"/>
      <w:szCs w:val="20"/>
    </w:rPr>
  </w:style>
  <w:style w:type="paragraph" w:customStyle="1" w:styleId="192">
    <w:name w:val="图编号"/>
    <w:basedOn w:val="1"/>
    <w:qFormat/>
    <w:uiPriority w:val="99"/>
    <w:pPr>
      <w:keepLines/>
      <w:widowControl/>
      <w:tabs>
        <w:tab w:val="left" w:pos="851"/>
      </w:tabs>
      <w:adjustRightInd w:val="0"/>
      <w:snapToGrid w:val="0"/>
      <w:spacing w:beforeLines="50" w:afterLines="50"/>
      <w:jc w:val="center"/>
      <w:textAlignment w:val="baseline"/>
    </w:pPr>
    <w:rPr>
      <w:rFonts w:ascii="宋体" w:hAnsi="宋体"/>
      <w:bCs/>
      <w:kern w:val="0"/>
      <w:szCs w:val="21"/>
    </w:rPr>
  </w:style>
  <w:style w:type="paragraph" w:customStyle="1" w:styleId="193">
    <w:name w:val="msonormalcxspmiddle"/>
    <w:basedOn w:val="1"/>
    <w:qFormat/>
    <w:uiPriority w:val="99"/>
    <w:pPr>
      <w:widowControl/>
      <w:spacing w:before="100" w:beforeAutospacing="1" w:after="100" w:afterAutospacing="1"/>
      <w:jc w:val="left"/>
    </w:pPr>
    <w:rPr>
      <w:rFonts w:ascii="宋体" w:hAnsi="宋体" w:cs="宋体"/>
      <w:kern w:val="0"/>
      <w:sz w:val="24"/>
    </w:rPr>
  </w:style>
  <w:style w:type="paragraph" w:customStyle="1" w:styleId="194">
    <w:name w:val="样式 章标题 + 段前: 0.5 行 段后: 0.5 行"/>
    <w:basedOn w:val="195"/>
    <w:qFormat/>
    <w:uiPriority w:val="99"/>
    <w:pPr>
      <w:numPr>
        <w:ilvl w:val="1"/>
        <w:numId w:val="5"/>
      </w:numPr>
      <w:tabs>
        <w:tab w:val="left" w:pos="786"/>
        <w:tab w:val="left" w:pos="840"/>
        <w:tab w:val="left" w:pos="1200"/>
      </w:tabs>
      <w:spacing w:beforeLines="50" w:afterLines="50"/>
    </w:pPr>
    <w:rPr>
      <w:rFonts w:cs="宋体"/>
    </w:rPr>
  </w:style>
  <w:style w:type="paragraph" w:customStyle="1" w:styleId="195">
    <w:name w:val="章标题"/>
    <w:next w:val="161"/>
    <w:qFormat/>
    <w:uiPriority w:val="99"/>
    <w:pPr>
      <w:numPr>
        <w:ilvl w:val="2"/>
        <w:numId w:val="2"/>
      </w:numPr>
      <w:spacing w:beforeLines="100" w:afterLines="100"/>
      <w:ind w:left="0"/>
      <w:jc w:val="both"/>
      <w:outlineLvl w:val="1"/>
    </w:pPr>
    <w:rPr>
      <w:rFonts w:ascii="黑体" w:hAnsi="Times New Roman" w:eastAsia="黑体" w:cs="Times New Roman"/>
      <w:sz w:val="21"/>
      <w:lang w:val="en-US" w:eastAsia="zh-CN" w:bidi="ar-SA"/>
    </w:rPr>
  </w:style>
  <w:style w:type="paragraph" w:customStyle="1" w:styleId="196">
    <w:name w:val="图的脚注"/>
    <w:next w:val="161"/>
    <w:qFormat/>
    <w:uiPriority w:val="99"/>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97">
    <w:name w:val="一级无"/>
    <w:basedOn w:val="163"/>
    <w:qFormat/>
    <w:uiPriority w:val="99"/>
    <w:pPr>
      <w:numPr>
        <w:ilvl w:val="0"/>
        <w:numId w:val="6"/>
      </w:numPr>
      <w:tabs>
        <w:tab w:val="left" w:pos="57"/>
        <w:tab w:val="left" w:pos="1259"/>
      </w:tabs>
      <w:spacing w:beforeLines="0" w:afterLines="0"/>
      <w:ind w:left="363" w:hanging="363"/>
    </w:pPr>
    <w:rPr>
      <w:rFonts w:ascii="宋体" w:eastAsia="宋体"/>
    </w:rPr>
  </w:style>
  <w:style w:type="paragraph" w:customStyle="1" w:styleId="198">
    <w:name w:val="封面标准英文名称2"/>
    <w:basedOn w:val="199"/>
    <w:qFormat/>
    <w:uiPriority w:val="99"/>
  </w:style>
  <w:style w:type="paragraph" w:customStyle="1" w:styleId="199">
    <w:name w:val="封面标准英文名称"/>
    <w:basedOn w:val="200"/>
    <w:qFormat/>
    <w:uiPriority w:val="99"/>
    <w:pPr>
      <w:spacing w:before="370" w:line="400" w:lineRule="exact"/>
    </w:pPr>
    <w:rPr>
      <w:rFonts w:ascii="Times New Roman"/>
      <w:sz w:val="28"/>
      <w:szCs w:val="28"/>
    </w:rPr>
  </w:style>
  <w:style w:type="paragraph" w:customStyle="1" w:styleId="200">
    <w:name w:val="封面标准名称"/>
    <w:qFormat/>
    <w:uiPriority w:val="99"/>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01">
    <w:name w:val="表格内文"/>
    <w:basedOn w:val="1"/>
    <w:qFormat/>
    <w:uiPriority w:val="99"/>
    <w:pPr>
      <w:spacing w:line="400" w:lineRule="exact"/>
    </w:pPr>
    <w:rPr>
      <w:rFonts w:ascii="Arial" w:hAnsi="Arial" w:cs="宋体"/>
      <w:szCs w:val="20"/>
    </w:rPr>
  </w:style>
  <w:style w:type="paragraph" w:customStyle="1" w:styleId="202">
    <w:name w:val="附录一级无"/>
    <w:basedOn w:val="203"/>
    <w:qFormat/>
    <w:uiPriority w:val="99"/>
    <w:pPr>
      <w:tabs>
        <w:tab w:val="left" w:pos="0"/>
        <w:tab w:val="left" w:pos="360"/>
      </w:tabs>
      <w:spacing w:beforeLines="0" w:afterLines="0"/>
    </w:pPr>
    <w:rPr>
      <w:rFonts w:ascii="宋体" w:eastAsia="宋体"/>
      <w:szCs w:val="21"/>
    </w:rPr>
  </w:style>
  <w:style w:type="paragraph" w:customStyle="1" w:styleId="203">
    <w:name w:val="附录一级条标题"/>
    <w:basedOn w:val="204"/>
    <w:next w:val="161"/>
    <w:qFormat/>
    <w:uiPriority w:val="99"/>
    <w:pPr>
      <w:numPr>
        <w:numId w:val="0"/>
      </w:numPr>
      <w:tabs>
        <w:tab w:val="left" w:pos="0"/>
        <w:tab w:val="left" w:pos="360"/>
      </w:tabs>
      <w:autoSpaceDN w:val="0"/>
      <w:spacing w:beforeLines="50" w:afterLines="50"/>
      <w:outlineLvl w:val="2"/>
    </w:pPr>
  </w:style>
  <w:style w:type="paragraph" w:customStyle="1" w:styleId="204">
    <w:name w:val="附录章标题"/>
    <w:next w:val="161"/>
    <w:qFormat/>
    <w:uiPriority w:val="99"/>
    <w:pPr>
      <w:numPr>
        <w:ilvl w:val="1"/>
        <w:numId w:val="7"/>
      </w:numPr>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205">
    <w:name w:val="msonormalcxsplast"/>
    <w:basedOn w:val="1"/>
    <w:qFormat/>
    <w:uiPriority w:val="99"/>
    <w:pPr>
      <w:widowControl/>
      <w:spacing w:before="100" w:beforeAutospacing="1" w:after="100" w:afterAutospacing="1"/>
      <w:jc w:val="left"/>
    </w:pPr>
    <w:rPr>
      <w:rFonts w:ascii="宋体" w:hAnsi="宋体" w:cs="宋体"/>
      <w:kern w:val="0"/>
      <w:sz w:val="24"/>
    </w:rPr>
  </w:style>
  <w:style w:type="paragraph" w:customStyle="1" w:styleId="206">
    <w:name w:val="Char Char1 Char Char Char Char Char Char Char Char Char Char Char Char Char Char Char Char Char1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07">
    <w:name w:val="附录二级条标题"/>
    <w:basedOn w:val="1"/>
    <w:next w:val="161"/>
    <w:qFormat/>
    <w:uiPriority w:val="99"/>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208">
    <w:name w:val="附录公式编号制表符"/>
    <w:basedOn w:val="1"/>
    <w:next w:val="161"/>
    <w:qFormat/>
    <w:uiPriority w:val="99"/>
    <w:pPr>
      <w:widowControl/>
      <w:tabs>
        <w:tab w:val="center" w:pos="4201"/>
        <w:tab w:val="right" w:leader="dot" w:pos="9298"/>
      </w:tabs>
      <w:autoSpaceDE w:val="0"/>
      <w:autoSpaceDN w:val="0"/>
    </w:pPr>
    <w:rPr>
      <w:rFonts w:ascii="宋体"/>
      <w:kern w:val="0"/>
      <w:szCs w:val="20"/>
    </w:rPr>
  </w:style>
  <w:style w:type="paragraph" w:customStyle="1" w:styleId="209">
    <w:name w:val="附录五级无"/>
    <w:basedOn w:val="210"/>
    <w:qFormat/>
    <w:uiPriority w:val="99"/>
    <w:pPr>
      <w:tabs>
        <w:tab w:val="left" w:pos="360"/>
      </w:tabs>
      <w:spacing w:beforeLines="0" w:afterLines="0"/>
    </w:pPr>
    <w:rPr>
      <w:rFonts w:ascii="宋体" w:eastAsia="宋体"/>
      <w:szCs w:val="21"/>
    </w:rPr>
  </w:style>
  <w:style w:type="paragraph" w:customStyle="1" w:styleId="210">
    <w:name w:val="附录五级条标题"/>
    <w:basedOn w:val="211"/>
    <w:next w:val="161"/>
    <w:qFormat/>
    <w:uiPriority w:val="99"/>
    <w:pPr>
      <w:tabs>
        <w:tab w:val="left" w:pos="360"/>
      </w:tabs>
      <w:ind w:left="2940" w:hanging="420"/>
      <w:outlineLvl w:val="6"/>
    </w:pPr>
  </w:style>
  <w:style w:type="paragraph" w:customStyle="1" w:styleId="211">
    <w:name w:val="附录四级条标题"/>
    <w:basedOn w:val="212"/>
    <w:next w:val="161"/>
    <w:qFormat/>
    <w:uiPriority w:val="99"/>
    <w:pPr>
      <w:tabs>
        <w:tab w:val="left" w:pos="360"/>
      </w:tabs>
      <w:outlineLvl w:val="5"/>
    </w:pPr>
  </w:style>
  <w:style w:type="paragraph" w:customStyle="1" w:styleId="212">
    <w:name w:val="附录三级条标题"/>
    <w:basedOn w:val="207"/>
    <w:next w:val="161"/>
    <w:qFormat/>
    <w:uiPriority w:val="99"/>
    <w:pPr>
      <w:outlineLvl w:val="4"/>
    </w:pPr>
  </w:style>
  <w:style w:type="paragraph" w:customStyle="1" w:styleId="213">
    <w:name w:val="TOC 标题1"/>
    <w:basedOn w:val="3"/>
    <w:next w:val="1"/>
    <w:qFormat/>
    <w:uiPriority w:val="99"/>
    <w:pPr>
      <w:widowControl/>
      <w:numPr>
        <w:ilvl w:val="0"/>
        <w:numId w:val="3"/>
      </w:numPr>
      <w:spacing w:before="480" w:after="0" w:line="276" w:lineRule="auto"/>
      <w:ind w:left="0" w:firstLine="0"/>
      <w:jc w:val="left"/>
      <w:outlineLvl w:val="9"/>
    </w:pPr>
    <w:rPr>
      <w:rFonts w:ascii="Cambria" w:hAnsi="Cambria"/>
      <w:bCs w:val="0"/>
      <w:color w:val="365F91"/>
      <w:kern w:val="0"/>
      <w:sz w:val="28"/>
      <w:szCs w:val="28"/>
    </w:rPr>
  </w:style>
  <w:style w:type="paragraph" w:customStyle="1" w:styleId="214">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15">
    <w:name w:val="四级无标题条"/>
    <w:basedOn w:val="1"/>
    <w:qFormat/>
    <w:uiPriority w:val="99"/>
    <w:rPr>
      <w:sz w:val="24"/>
      <w:szCs w:val="20"/>
    </w:rPr>
  </w:style>
  <w:style w:type="paragraph" w:customStyle="1" w:styleId="216">
    <w:name w:val="附录图标题"/>
    <w:basedOn w:val="1"/>
    <w:next w:val="161"/>
    <w:qFormat/>
    <w:uiPriority w:val="99"/>
    <w:pPr>
      <w:numPr>
        <w:ilvl w:val="1"/>
        <w:numId w:val="8"/>
      </w:numPr>
      <w:tabs>
        <w:tab w:val="left" w:pos="363"/>
      </w:tabs>
      <w:spacing w:beforeLines="50" w:afterLines="50"/>
      <w:ind w:left="0" w:firstLine="0"/>
      <w:jc w:val="center"/>
    </w:pPr>
    <w:rPr>
      <w:rFonts w:ascii="黑体" w:eastAsia="黑体"/>
      <w:szCs w:val="21"/>
    </w:rPr>
  </w:style>
  <w:style w:type="paragraph" w:customStyle="1" w:styleId="217">
    <w:name w:val="z-窗体顶端2"/>
    <w:basedOn w:val="1"/>
    <w:next w:val="1"/>
    <w:qFormat/>
    <w:uiPriority w:val="99"/>
    <w:pPr>
      <w:widowControl/>
      <w:pBdr>
        <w:bottom w:val="single" w:color="auto" w:sz="6" w:space="1"/>
      </w:pBdr>
      <w:jc w:val="center"/>
    </w:pPr>
    <w:rPr>
      <w:rFonts w:ascii="Arial" w:hAnsi="Arial"/>
      <w:vanish/>
      <w:kern w:val="0"/>
      <w:sz w:val="16"/>
      <w:szCs w:val="16"/>
    </w:rPr>
  </w:style>
  <w:style w:type="paragraph" w:customStyle="1" w:styleId="218">
    <w:name w:val="Char11"/>
    <w:basedOn w:val="1"/>
    <w:qFormat/>
    <w:uiPriority w:val="99"/>
    <w:rPr>
      <w:rFonts w:ascii="Tahoma" w:hAnsi="Tahoma"/>
      <w:sz w:val="24"/>
      <w:szCs w:val="20"/>
    </w:rPr>
  </w:style>
  <w:style w:type="paragraph" w:customStyle="1" w:styleId="219">
    <w:name w:val="表格标题2"/>
    <w:basedOn w:val="201"/>
    <w:qFormat/>
    <w:uiPriority w:val="99"/>
    <w:rPr>
      <w:b/>
    </w:rPr>
  </w:style>
  <w:style w:type="paragraph" w:customStyle="1" w:styleId="220">
    <w:name w:val="附录字母编号列项（一级）"/>
    <w:qFormat/>
    <w:uiPriority w:val="99"/>
    <w:pPr>
      <w:numPr>
        <w:ilvl w:val="0"/>
        <w:numId w:val="9"/>
      </w:numPr>
      <w:tabs>
        <w:tab w:val="left" w:pos="839"/>
      </w:tabs>
    </w:pPr>
    <w:rPr>
      <w:rFonts w:ascii="宋体" w:hAnsi="Times New Roman" w:eastAsia="宋体" w:cs="Times New Roman"/>
      <w:sz w:val="21"/>
      <w:lang w:val="en-US" w:eastAsia="zh-CN" w:bidi="ar-SA"/>
    </w:rPr>
  </w:style>
  <w:style w:type="paragraph" w:customStyle="1" w:styleId="221">
    <w:name w:val="封面一致性程度标识"/>
    <w:basedOn w:val="199"/>
    <w:qFormat/>
    <w:uiPriority w:val="99"/>
    <w:pPr>
      <w:spacing w:before="440"/>
    </w:pPr>
    <w:rPr>
      <w:rFonts w:ascii="宋体" w:eastAsia="宋体"/>
    </w:rPr>
  </w:style>
  <w:style w:type="paragraph" w:customStyle="1" w:styleId="222">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3">
    <w:name w:val="条文脚注"/>
    <w:basedOn w:val="44"/>
    <w:qFormat/>
    <w:uiPriority w:val="99"/>
    <w:pPr>
      <w:tabs>
        <w:tab w:val="clear" w:pos="839"/>
      </w:tabs>
      <w:ind w:left="0" w:firstLine="0"/>
      <w:jc w:val="both"/>
    </w:pPr>
  </w:style>
  <w:style w:type="paragraph" w:customStyle="1" w:styleId="224">
    <w:name w:val="列出段落111"/>
    <w:basedOn w:val="1"/>
    <w:qFormat/>
    <w:uiPriority w:val="99"/>
    <w:pPr>
      <w:spacing w:before="100" w:beforeAutospacing="1" w:after="100" w:afterAutospacing="1" w:line="400" w:lineRule="exact"/>
      <w:ind w:firstLine="420" w:firstLineChars="200"/>
    </w:pPr>
    <w:rPr>
      <w:rFonts w:ascii="Arial" w:hAnsi="Arial"/>
    </w:rPr>
  </w:style>
  <w:style w:type="paragraph" w:customStyle="1" w:styleId="225">
    <w:name w:val="font11"/>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226">
    <w:name w:val="_Style 2"/>
    <w:basedOn w:val="1"/>
    <w:qFormat/>
    <w:uiPriority w:val="99"/>
    <w:pPr>
      <w:ind w:firstLine="420" w:firstLineChars="200"/>
    </w:pPr>
    <w:rPr>
      <w:rFonts w:ascii="Calibri" w:hAnsi="Calibri"/>
      <w:szCs w:val="22"/>
    </w:rPr>
  </w:style>
  <w:style w:type="paragraph" w:customStyle="1" w:styleId="227">
    <w:name w:val="Char2 Char Char Char Char Char Char"/>
    <w:basedOn w:val="1"/>
    <w:qFormat/>
    <w:uiPriority w:val="99"/>
    <w:pPr>
      <w:widowControl/>
      <w:spacing w:after="160" w:line="240" w:lineRule="exact"/>
      <w:jc w:val="left"/>
    </w:pPr>
    <w:rPr>
      <w:rFonts w:ascii="Verdana" w:hAnsi="Verdana"/>
      <w:kern w:val="0"/>
      <w:sz w:val="20"/>
      <w:lang w:eastAsia="en-US"/>
    </w:rPr>
  </w:style>
  <w:style w:type="paragraph" w:customStyle="1" w:styleId="228">
    <w:name w:val="Char1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229">
    <w:name w:val="文档标题"/>
    <w:basedOn w:val="1"/>
    <w:qFormat/>
    <w:uiPriority w:val="99"/>
    <w:pPr>
      <w:numPr>
        <w:ilvl w:val="8"/>
        <w:numId w:val="10"/>
      </w:numPr>
      <w:tabs>
        <w:tab w:val="left" w:pos="0"/>
        <w:tab w:val="left" w:pos="4200"/>
      </w:tabs>
      <w:autoSpaceDE w:val="0"/>
      <w:autoSpaceDN w:val="0"/>
      <w:adjustRightInd w:val="0"/>
      <w:spacing w:before="300" w:after="300"/>
      <w:jc w:val="center"/>
    </w:pPr>
    <w:rPr>
      <w:rFonts w:ascii="Arial" w:hAnsi="Arial" w:eastAsia="黑体"/>
      <w:kern w:val="0"/>
      <w:sz w:val="32"/>
      <w:szCs w:val="32"/>
    </w:rPr>
  </w:style>
  <w:style w:type="paragraph" w:customStyle="1" w:styleId="230">
    <w:name w:val="实施日期"/>
    <w:basedOn w:val="231"/>
    <w:qFormat/>
    <w:uiPriority w:val="99"/>
    <w:pPr>
      <w:jc w:val="right"/>
    </w:pPr>
  </w:style>
  <w:style w:type="paragraph" w:customStyle="1" w:styleId="231">
    <w:name w:val="发布日期"/>
    <w:qFormat/>
    <w:uiPriority w:val="99"/>
    <w:rPr>
      <w:rFonts w:ascii="Times New Roman" w:hAnsi="Times New Roman" w:eastAsia="黑体" w:cs="Times New Roman"/>
      <w:sz w:val="28"/>
      <w:lang w:val="en-US" w:eastAsia="zh-CN" w:bidi="ar-SA"/>
    </w:rPr>
  </w:style>
  <w:style w:type="paragraph" w:customStyle="1" w:styleId="232">
    <w:name w:val="Char Char Char Char Char Char Char Char Char Char"/>
    <w:basedOn w:val="1"/>
    <w:qFormat/>
    <w:uiPriority w:val="99"/>
    <w:pPr>
      <w:widowControl/>
      <w:spacing w:line="400" w:lineRule="exact"/>
      <w:jc w:val="center"/>
    </w:pPr>
    <w:rPr>
      <w:rFonts w:ascii="Verdana" w:hAnsi="Verdana"/>
      <w:kern w:val="0"/>
      <w:szCs w:val="20"/>
      <w:lang w:eastAsia="en-US"/>
    </w:rPr>
  </w:style>
  <w:style w:type="paragraph" w:customStyle="1" w:styleId="233">
    <w:name w:val="封面一致性程度标识2"/>
    <w:basedOn w:val="221"/>
    <w:qFormat/>
    <w:uiPriority w:val="99"/>
  </w:style>
  <w:style w:type="paragraph" w:customStyle="1" w:styleId="234">
    <w:name w:val="封面标准号2"/>
    <w:qFormat/>
    <w:uiPriority w:val="99"/>
    <w:pPr>
      <w:spacing w:before="357" w:line="280" w:lineRule="exact"/>
      <w:jc w:val="right"/>
    </w:pPr>
    <w:rPr>
      <w:rFonts w:ascii="黑体" w:hAnsi="Times New Roman" w:eastAsia="黑体" w:cs="Times New Roman"/>
      <w:sz w:val="28"/>
      <w:szCs w:val="28"/>
      <w:lang w:val="en-US" w:eastAsia="zh-CN" w:bidi="ar-SA"/>
    </w:rPr>
  </w:style>
  <w:style w:type="paragraph" w:customStyle="1" w:styleId="235">
    <w:name w:val="No Spacing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6">
    <w:name w:val="封面标准文稿编辑信息"/>
    <w:basedOn w:val="237"/>
    <w:qFormat/>
    <w:uiPriority w:val="99"/>
    <w:pPr>
      <w:spacing w:before="180" w:line="180" w:lineRule="exact"/>
    </w:pPr>
    <w:rPr>
      <w:sz w:val="21"/>
    </w:rPr>
  </w:style>
  <w:style w:type="paragraph" w:customStyle="1" w:styleId="237">
    <w:name w:val="封面标准文稿类别"/>
    <w:basedOn w:val="221"/>
    <w:qFormat/>
    <w:uiPriority w:val="99"/>
    <w:pPr>
      <w:spacing w:after="160" w:line="240" w:lineRule="auto"/>
    </w:pPr>
    <w:rPr>
      <w:sz w:val="24"/>
    </w:rPr>
  </w:style>
  <w:style w:type="paragraph" w:customStyle="1" w:styleId="238">
    <w:name w:val="三级无标题条"/>
    <w:basedOn w:val="1"/>
    <w:qFormat/>
    <w:uiPriority w:val="99"/>
    <w:rPr>
      <w:sz w:val="24"/>
      <w:szCs w:val="20"/>
    </w:rPr>
  </w:style>
  <w:style w:type="paragraph" w:customStyle="1" w:styleId="239">
    <w:name w:val="标准标志"/>
    <w:next w:val="1"/>
    <w:qFormat/>
    <w:uiPriority w:val="99"/>
    <w:pPr>
      <w:shd w:val="solid" w:color="FFFFFF" w:fill="FFFFFF"/>
      <w:spacing w:line="240" w:lineRule="atLeast"/>
      <w:jc w:val="right"/>
    </w:pPr>
    <w:rPr>
      <w:rFonts w:ascii="Times New Roman" w:hAnsi="Times New Roman" w:eastAsia="宋体" w:cs="Times New Roman"/>
      <w:b/>
      <w:w w:val="170"/>
      <w:sz w:val="96"/>
      <w:szCs w:val="96"/>
      <w:lang w:val="en-US" w:eastAsia="zh-CN" w:bidi="ar-SA"/>
    </w:rPr>
  </w:style>
  <w:style w:type="paragraph" w:customStyle="1" w:styleId="240">
    <w:name w:val="其他发布日期"/>
    <w:basedOn w:val="231"/>
    <w:qFormat/>
    <w:uiPriority w:val="99"/>
  </w:style>
  <w:style w:type="paragraph" w:customStyle="1" w:styleId="241">
    <w:name w:val="标准书脚_偶数页"/>
    <w:qFormat/>
    <w:uiPriority w:val="99"/>
    <w:pPr>
      <w:spacing w:before="120"/>
      <w:ind w:left="221"/>
    </w:pPr>
    <w:rPr>
      <w:rFonts w:ascii="宋体" w:hAnsi="Times New Roman" w:eastAsia="宋体" w:cs="Times New Roman"/>
      <w:sz w:val="18"/>
      <w:szCs w:val="18"/>
      <w:lang w:val="en-US" w:eastAsia="zh-CN" w:bidi="ar-SA"/>
    </w:rPr>
  </w:style>
  <w:style w:type="paragraph" w:customStyle="1" w:styleId="242">
    <w:name w:val="xl74"/>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243">
    <w:name w:val="目次、标准名称标题"/>
    <w:basedOn w:val="1"/>
    <w:next w:val="161"/>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44">
    <w:name w:val="其他标准称谓"/>
    <w:next w:val="1"/>
    <w:qFormat/>
    <w:uiPriority w:val="99"/>
    <w:pPr>
      <w:spacing w:line="240" w:lineRule="atLeast"/>
      <w:jc w:val="distribute"/>
    </w:pPr>
    <w:rPr>
      <w:rFonts w:ascii="黑体" w:hAnsi="宋体" w:eastAsia="黑体" w:cs="Times New Roman"/>
      <w:spacing w:val="-40"/>
      <w:sz w:val="48"/>
      <w:szCs w:val="52"/>
      <w:lang w:val="en-US" w:eastAsia="zh-CN" w:bidi="ar-SA"/>
    </w:rPr>
  </w:style>
  <w:style w:type="paragraph" w:customStyle="1" w:styleId="245">
    <w:name w:val="封面标准文稿类别2"/>
    <w:basedOn w:val="237"/>
    <w:qFormat/>
    <w:uiPriority w:val="99"/>
  </w:style>
  <w:style w:type="paragraph" w:customStyle="1" w:styleId="246">
    <w:name w:val="正文表标题"/>
    <w:next w:val="161"/>
    <w:qFormat/>
    <w:uiPriority w:val="99"/>
    <w:pPr>
      <w:numPr>
        <w:ilvl w:val="0"/>
        <w:numId w:val="11"/>
      </w:numPr>
      <w:spacing w:beforeLines="50" w:afterLines="50"/>
      <w:jc w:val="center"/>
    </w:pPr>
    <w:rPr>
      <w:rFonts w:ascii="黑体" w:hAnsi="Times New Roman" w:eastAsia="黑体" w:cs="Times New Roman"/>
      <w:sz w:val="21"/>
      <w:lang w:val="en-US" w:eastAsia="zh-CN" w:bidi="ar-SA"/>
    </w:rPr>
  </w:style>
  <w:style w:type="paragraph" w:customStyle="1" w:styleId="247">
    <w:name w:val="Body"/>
    <w:basedOn w:val="1"/>
    <w:qFormat/>
    <w:uiPriority w:val="99"/>
    <w:pPr>
      <w:widowControl/>
      <w:tabs>
        <w:tab w:val="left" w:pos="1980"/>
      </w:tabs>
      <w:spacing w:before="80" w:after="80" w:line="288" w:lineRule="auto"/>
      <w:ind w:left="1259" w:firstLine="225"/>
      <w:jc w:val="left"/>
    </w:pPr>
    <w:rPr>
      <w:color w:val="000000"/>
      <w:kern w:val="0"/>
      <w:szCs w:val="21"/>
    </w:rPr>
  </w:style>
  <w:style w:type="paragraph" w:customStyle="1" w:styleId="248">
    <w:name w:val="注："/>
    <w:next w:val="161"/>
    <w:qFormat/>
    <w:uiPriority w:val="99"/>
    <w:pPr>
      <w:widowControl w:val="0"/>
      <w:numPr>
        <w:ilvl w:val="0"/>
        <w:numId w:val="1"/>
      </w:numPr>
      <w:autoSpaceDE w:val="0"/>
      <w:autoSpaceDN w:val="0"/>
      <w:jc w:val="both"/>
    </w:pPr>
    <w:rPr>
      <w:rFonts w:ascii="宋体" w:hAnsi="Times New Roman" w:eastAsia="宋体" w:cs="Times New Roman"/>
      <w:sz w:val="18"/>
      <w:szCs w:val="18"/>
      <w:lang w:val="en-US" w:eastAsia="zh-CN" w:bidi="ar-SA"/>
    </w:rPr>
  </w:style>
  <w:style w:type="paragraph" w:customStyle="1" w:styleId="249">
    <w:name w:val="附录标题"/>
    <w:basedOn w:val="161"/>
    <w:next w:val="161"/>
    <w:qFormat/>
    <w:uiPriority w:val="99"/>
    <w:pPr>
      <w:ind w:firstLine="0" w:firstLineChars="0"/>
      <w:jc w:val="center"/>
    </w:pPr>
    <w:rPr>
      <w:rFonts w:ascii="黑体" w:eastAsia="黑体"/>
    </w:rPr>
  </w:style>
  <w:style w:type="paragraph" w:customStyle="1" w:styleId="250">
    <w:name w:val="示例后文字"/>
    <w:basedOn w:val="161"/>
    <w:next w:val="161"/>
    <w:qFormat/>
    <w:uiPriority w:val="99"/>
    <w:pPr>
      <w:ind w:firstLine="360"/>
    </w:pPr>
    <w:rPr>
      <w:sz w:val="18"/>
    </w:rPr>
  </w:style>
  <w:style w:type="paragraph" w:customStyle="1" w:styleId="251">
    <w:name w:val="标题1"/>
    <w:basedOn w:val="3"/>
    <w:qFormat/>
    <w:uiPriority w:val="99"/>
    <w:pPr>
      <w:widowControl/>
      <w:pBdr>
        <w:bottom w:val="single" w:color="auto" w:sz="8" w:space="6"/>
      </w:pBdr>
      <w:tabs>
        <w:tab w:val="left" w:pos="360"/>
        <w:tab w:val="left" w:pos="1247"/>
      </w:tabs>
      <w:spacing w:before="480" w:after="240" w:line="240" w:lineRule="auto"/>
      <w:ind w:left="1247" w:hanging="1247"/>
      <w:jc w:val="left"/>
    </w:pPr>
    <w:rPr>
      <w:rFonts w:ascii="Arial" w:hAnsi="Arial" w:eastAsia="黑体"/>
      <w:smallCaps/>
      <w:spacing w:val="10"/>
      <w:kern w:val="20"/>
      <w:sz w:val="32"/>
      <w:szCs w:val="32"/>
    </w:rPr>
  </w:style>
  <w:style w:type="paragraph" w:customStyle="1" w:styleId="252">
    <w:name w:val="Char Char2 Char"/>
    <w:basedOn w:val="1"/>
    <w:qFormat/>
    <w:uiPriority w:val="99"/>
    <w:pPr>
      <w:keepNext/>
      <w:keepLines/>
      <w:pageBreakBefore/>
      <w:tabs>
        <w:tab w:val="left" w:pos="845"/>
      </w:tabs>
      <w:ind w:left="845" w:hanging="420"/>
    </w:pPr>
    <w:rPr>
      <w:rFonts w:ascii="Tahoma" w:hAnsi="Tahoma"/>
      <w:sz w:val="24"/>
      <w:szCs w:val="20"/>
    </w:rPr>
  </w:style>
  <w:style w:type="paragraph" w:customStyle="1" w:styleId="253">
    <w:name w:val="三级条标题"/>
    <w:basedOn w:val="169"/>
    <w:next w:val="161"/>
    <w:qFormat/>
    <w:uiPriority w:val="99"/>
    <w:pPr>
      <w:numPr>
        <w:ilvl w:val="3"/>
        <w:numId w:val="2"/>
      </w:numPr>
      <w:tabs>
        <w:tab w:val="left" w:pos="1200"/>
      </w:tabs>
      <w:ind w:left="1200"/>
      <w:outlineLvl w:val="4"/>
    </w:pPr>
  </w:style>
  <w:style w:type="paragraph" w:customStyle="1" w:styleId="254">
    <w:name w:val="四级条标题"/>
    <w:basedOn w:val="253"/>
    <w:next w:val="161"/>
    <w:qFormat/>
    <w:uiPriority w:val="99"/>
    <w:pPr>
      <w:numPr>
        <w:ilvl w:val="5"/>
      </w:numPr>
      <w:ind w:hanging="360"/>
      <w:outlineLvl w:val="5"/>
    </w:pPr>
  </w:style>
  <w:style w:type="paragraph" w:customStyle="1" w:styleId="255">
    <w:name w:val="表格文本居中 +加重"/>
    <w:basedOn w:val="1"/>
    <w:qFormat/>
    <w:uiPriority w:val="99"/>
    <w:pPr>
      <w:jc w:val="center"/>
    </w:pPr>
    <w:rPr>
      <w:rFonts w:ascii="Calibri" w:hAnsi="Calibri"/>
      <w:b/>
      <w:szCs w:val="22"/>
    </w:rPr>
  </w:style>
  <w:style w:type="paragraph" w:customStyle="1" w:styleId="256">
    <w:name w:val="_Style 20"/>
    <w:basedOn w:val="1"/>
    <w:qFormat/>
    <w:uiPriority w:val="99"/>
  </w:style>
  <w:style w:type="paragraph" w:customStyle="1" w:styleId="257">
    <w:name w:val="图号"/>
    <w:basedOn w:val="1"/>
    <w:qFormat/>
    <w:uiPriority w:val="99"/>
    <w:pPr>
      <w:numPr>
        <w:ilvl w:val="7"/>
        <w:numId w:val="10"/>
      </w:numPr>
      <w:tabs>
        <w:tab w:val="left" w:pos="3780"/>
      </w:tabs>
      <w:autoSpaceDE w:val="0"/>
      <w:autoSpaceDN w:val="0"/>
      <w:adjustRightInd w:val="0"/>
      <w:spacing w:before="105" w:line="360" w:lineRule="auto"/>
      <w:jc w:val="center"/>
    </w:pPr>
    <w:rPr>
      <w:rFonts w:ascii="Arial" w:hAnsi="Arial"/>
      <w:kern w:val="0"/>
      <w:sz w:val="18"/>
      <w:szCs w:val="18"/>
    </w:rPr>
  </w:style>
  <w:style w:type="paragraph" w:customStyle="1" w:styleId="258">
    <w:name w:val="font12"/>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259">
    <w:name w:val="列项◆（三级）"/>
    <w:basedOn w:val="1"/>
    <w:qFormat/>
    <w:uiPriority w:val="99"/>
    <w:pPr>
      <w:tabs>
        <w:tab w:val="left" w:pos="0"/>
        <w:tab w:val="left" w:pos="1678"/>
      </w:tabs>
      <w:ind w:left="1678" w:hanging="419"/>
    </w:pPr>
    <w:rPr>
      <w:rFonts w:ascii="宋体"/>
      <w:szCs w:val="21"/>
    </w:rPr>
  </w:style>
  <w:style w:type="paragraph" w:customStyle="1" w:styleId="260">
    <w:name w:val="项目符号"/>
    <w:basedOn w:val="1"/>
    <w:qFormat/>
    <w:uiPriority w:val="99"/>
    <w:pPr>
      <w:widowControl/>
      <w:tabs>
        <w:tab w:val="left" w:pos="550"/>
      </w:tabs>
      <w:snapToGrid w:val="0"/>
      <w:spacing w:before="120" w:after="120" w:line="276" w:lineRule="auto"/>
      <w:ind w:left="550" w:hanging="550"/>
    </w:pPr>
    <w:rPr>
      <w:rFonts w:ascii="Courier New" w:hAnsi="宋体"/>
      <w:sz w:val="20"/>
      <w:szCs w:val="20"/>
    </w:rPr>
  </w:style>
  <w:style w:type="paragraph" w:customStyle="1" w:styleId="261">
    <w:name w:val="五级条标题"/>
    <w:basedOn w:val="254"/>
    <w:next w:val="161"/>
    <w:qFormat/>
    <w:uiPriority w:val="99"/>
    <w:pPr>
      <w:numPr>
        <w:ilvl w:val="0"/>
        <w:numId w:val="12"/>
      </w:numPr>
      <w:ind w:left="0" w:firstLine="0"/>
      <w:outlineLvl w:val="6"/>
    </w:pPr>
  </w:style>
  <w:style w:type="paragraph" w:customStyle="1" w:styleId="262">
    <w:name w:val="TOC 标题2"/>
    <w:basedOn w:val="3"/>
    <w:next w:val="1"/>
    <w:qFormat/>
    <w:uiPriority w:val="99"/>
    <w:pPr>
      <w:widowControl/>
      <w:tabs>
        <w:tab w:val="left" w:pos="360"/>
      </w:tabs>
      <w:spacing w:before="480" w:after="0" w:line="276" w:lineRule="auto"/>
      <w:jc w:val="left"/>
      <w:outlineLvl w:val="9"/>
    </w:pPr>
    <w:rPr>
      <w:rFonts w:ascii="Cambria" w:hAnsi="Cambria"/>
      <w:bCs w:val="0"/>
      <w:color w:val="365F91"/>
      <w:kern w:val="0"/>
      <w:sz w:val="28"/>
      <w:szCs w:val="28"/>
    </w:rPr>
  </w:style>
  <w:style w:type="paragraph" w:customStyle="1" w:styleId="263">
    <w:name w:val="表头文本"/>
    <w:qFormat/>
    <w:uiPriority w:val="99"/>
    <w:pPr>
      <w:jc w:val="center"/>
    </w:pPr>
    <w:rPr>
      <w:rFonts w:ascii="Arial" w:hAnsi="Arial" w:eastAsia="宋体" w:cs="Times New Roman"/>
      <w:b/>
      <w:sz w:val="21"/>
      <w:szCs w:val="21"/>
      <w:lang w:val="en-US" w:eastAsia="zh-CN" w:bidi="ar-SA"/>
    </w:rPr>
  </w:style>
  <w:style w:type="paragraph" w:customStyle="1" w:styleId="264">
    <w:name w:val="无间隔11"/>
    <w:qFormat/>
    <w:uiPriority w:val="99"/>
    <w:pPr>
      <w:widowControl w:val="0"/>
      <w:jc w:val="both"/>
    </w:pPr>
    <w:rPr>
      <w:rFonts w:ascii="Times New Roman" w:hAnsi="Times New Roman" w:eastAsia="宋体" w:cs="Times New Roman"/>
      <w:lang w:val="en-US" w:eastAsia="zh-CN" w:bidi="ar-SA"/>
    </w:rPr>
  </w:style>
  <w:style w:type="paragraph" w:customStyle="1" w:styleId="265">
    <w:name w:val="标准书眉一"/>
    <w:qFormat/>
    <w:uiPriority w:val="99"/>
    <w:pPr>
      <w:jc w:val="both"/>
    </w:pPr>
    <w:rPr>
      <w:rFonts w:ascii="Times New Roman" w:hAnsi="Times New Roman" w:eastAsia="宋体" w:cs="Times New Roman"/>
      <w:lang w:val="en-US" w:eastAsia="zh-CN" w:bidi="ar-SA"/>
    </w:rPr>
  </w:style>
  <w:style w:type="paragraph" w:customStyle="1" w:styleId="266">
    <w:name w:val="样式 标题 2 + 非加粗 首行缩进:  2 字符"/>
    <w:basedOn w:val="4"/>
    <w:qFormat/>
    <w:uiPriority w:val="99"/>
    <w:pPr>
      <w:tabs>
        <w:tab w:val="left" w:pos="0"/>
        <w:tab w:val="left" w:pos="840"/>
      </w:tabs>
      <w:spacing w:before="0" w:after="0" w:line="600" w:lineRule="exact"/>
      <w:ind w:firstLine="640" w:firstLineChars="200"/>
      <w:jc w:val="left"/>
    </w:pPr>
    <w:rPr>
      <w:rFonts w:eastAsia="宋体" w:cs="宋体"/>
      <w:b w:val="0"/>
      <w:bCs w:val="0"/>
      <w:kern w:val="0"/>
      <w:sz w:val="21"/>
      <w:szCs w:val="20"/>
    </w:rPr>
  </w:style>
  <w:style w:type="paragraph" w:customStyle="1" w:styleId="267">
    <w:name w:val="Char Char Char Char"/>
    <w:basedOn w:val="18"/>
    <w:qFormat/>
    <w:uiPriority w:val="99"/>
    <w:rPr>
      <w:rFonts w:ascii="Tahoma" w:hAnsi="Tahoma"/>
      <w:sz w:val="24"/>
    </w:rPr>
  </w:style>
  <w:style w:type="paragraph" w:customStyle="1" w:styleId="26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69">
    <w:name w:val="样式3"/>
    <w:basedOn w:val="247"/>
    <w:qFormat/>
    <w:uiPriority w:val="99"/>
    <w:pPr>
      <w:tabs>
        <w:tab w:val="left" w:pos="1781"/>
        <w:tab w:val="clear" w:pos="1980"/>
      </w:tabs>
      <w:spacing w:before="60" w:after="60"/>
      <w:ind w:left="1781" w:hanging="420"/>
    </w:pPr>
  </w:style>
  <w:style w:type="paragraph" w:customStyle="1" w:styleId="270">
    <w:name w:val="附录图标号"/>
    <w:basedOn w:val="1"/>
    <w:qFormat/>
    <w:uiPriority w:val="99"/>
    <w:pPr>
      <w:keepNext/>
      <w:pageBreakBefore/>
      <w:widowControl/>
      <w:numPr>
        <w:ilvl w:val="0"/>
        <w:numId w:val="8"/>
      </w:numPr>
      <w:tabs>
        <w:tab w:val="left" w:pos="840"/>
      </w:tabs>
      <w:spacing w:line="14" w:lineRule="exact"/>
      <w:ind w:left="0" w:firstLine="363"/>
      <w:jc w:val="center"/>
      <w:outlineLvl w:val="0"/>
    </w:pPr>
    <w:rPr>
      <w:color w:val="FFFFFF"/>
    </w:rPr>
  </w:style>
  <w:style w:type="paragraph" w:customStyle="1" w:styleId="271">
    <w:name w:val="附录四级无"/>
    <w:basedOn w:val="211"/>
    <w:qFormat/>
    <w:uiPriority w:val="99"/>
    <w:pPr>
      <w:spacing w:beforeLines="0" w:afterLines="0"/>
    </w:pPr>
    <w:rPr>
      <w:rFonts w:ascii="宋体" w:eastAsia="宋体"/>
      <w:szCs w:val="21"/>
    </w:rPr>
  </w:style>
  <w:style w:type="paragraph" w:customStyle="1" w:styleId="272">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3">
    <w:name w:val="五级无"/>
    <w:basedOn w:val="261"/>
    <w:qFormat/>
    <w:uiPriority w:val="99"/>
    <w:pPr>
      <w:numPr>
        <w:numId w:val="0"/>
      </w:numPr>
      <w:spacing w:beforeLines="0" w:afterLines="0"/>
    </w:pPr>
    <w:rPr>
      <w:rFonts w:ascii="宋体" w:eastAsia="宋体"/>
    </w:rPr>
  </w:style>
  <w:style w:type="paragraph" w:customStyle="1" w:styleId="274">
    <w:name w:val="封面公司名"/>
    <w:qFormat/>
    <w:uiPriority w:val="99"/>
    <w:pPr>
      <w:jc w:val="center"/>
    </w:pPr>
    <w:rPr>
      <w:rFonts w:ascii="Arial" w:hAnsi="Arial" w:eastAsia="楷体_GB2312" w:cs="宋体"/>
      <w:bCs/>
      <w:kern w:val="2"/>
      <w:sz w:val="28"/>
      <w:lang w:val="en-US" w:eastAsia="zh-CN" w:bidi="ar-SA"/>
    </w:rPr>
  </w:style>
  <w:style w:type="paragraph" w:customStyle="1" w:styleId="275">
    <w:name w:val="列项说明"/>
    <w:basedOn w:val="1"/>
    <w:qFormat/>
    <w:uiPriority w:val="99"/>
    <w:pPr>
      <w:adjustRightInd w:val="0"/>
      <w:spacing w:line="320" w:lineRule="exact"/>
      <w:ind w:left="400" w:leftChars="200" w:hanging="200" w:hangingChars="200"/>
      <w:jc w:val="left"/>
      <w:textAlignment w:val="baseline"/>
    </w:pPr>
    <w:rPr>
      <w:rFonts w:ascii="宋体"/>
      <w:kern w:val="0"/>
      <w:szCs w:val="20"/>
    </w:rPr>
  </w:style>
  <w:style w:type="paragraph" w:customStyle="1" w:styleId="276">
    <w:name w:val="附录二级无"/>
    <w:basedOn w:val="207"/>
    <w:qFormat/>
    <w:uiPriority w:val="99"/>
    <w:pPr>
      <w:tabs>
        <w:tab w:val="clear" w:pos="360"/>
      </w:tabs>
      <w:spacing w:beforeLines="0" w:afterLines="0"/>
    </w:pPr>
    <w:rPr>
      <w:rFonts w:ascii="宋体" w:eastAsia="宋体"/>
      <w:szCs w:val="21"/>
    </w:rPr>
  </w:style>
  <w:style w:type="paragraph" w:customStyle="1" w:styleId="277">
    <w:name w:val="有符号正文"/>
    <w:basedOn w:val="1"/>
    <w:qFormat/>
    <w:uiPriority w:val="99"/>
    <w:pPr>
      <w:spacing w:line="400" w:lineRule="exact"/>
      <w:ind w:firstLine="200" w:firstLineChars="200"/>
    </w:pPr>
    <w:rPr>
      <w:rFonts w:ascii="Arial" w:hAnsi="Arial"/>
    </w:rPr>
  </w:style>
  <w:style w:type="paragraph" w:customStyle="1" w:styleId="278">
    <w:name w:val="列出段落5"/>
    <w:basedOn w:val="1"/>
    <w:qFormat/>
    <w:uiPriority w:val="99"/>
    <w:pPr>
      <w:ind w:firstLine="420" w:firstLineChars="200"/>
    </w:pPr>
  </w:style>
  <w:style w:type="paragraph" w:customStyle="1" w:styleId="279">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0">
    <w:name w:val="Char1 Char Char2"/>
    <w:basedOn w:val="1"/>
    <w:qFormat/>
    <w:uiPriority w:val="99"/>
    <w:pPr>
      <w:widowControl/>
      <w:spacing w:after="160" w:line="240" w:lineRule="exact"/>
      <w:jc w:val="left"/>
    </w:pPr>
    <w:rPr>
      <w:kern w:val="0"/>
      <w:sz w:val="24"/>
    </w:rPr>
  </w:style>
  <w:style w:type="paragraph" w:customStyle="1" w:styleId="281">
    <w:name w:val="插图题注"/>
    <w:qFormat/>
    <w:uiPriority w:val="99"/>
    <w:pPr>
      <w:spacing w:after="240"/>
      <w:jc w:val="center"/>
    </w:pPr>
    <w:rPr>
      <w:rFonts w:ascii="Courier New" w:hAnsi="Courier New" w:eastAsia="黑体" w:cs="Times New Roman"/>
      <w:sz w:val="17"/>
      <w:lang w:val="en-US" w:eastAsia="zh-CN" w:bidi="ar-SA"/>
    </w:rPr>
  </w:style>
  <w:style w:type="paragraph" w:customStyle="1" w:styleId="282">
    <w:name w:val="标题3"/>
    <w:basedOn w:val="5"/>
    <w:qFormat/>
    <w:uiPriority w:val="99"/>
    <w:pPr>
      <w:widowControl/>
      <w:tabs>
        <w:tab w:val="left" w:pos="1247"/>
      </w:tabs>
      <w:spacing w:before="240" w:after="120" w:line="240" w:lineRule="auto"/>
      <w:ind w:left="1247" w:hanging="1247"/>
      <w:jc w:val="left"/>
    </w:pPr>
    <w:rPr>
      <w:rFonts w:ascii="Arial" w:hAnsi="Arial" w:eastAsia="黑体"/>
      <w:b w:val="0"/>
      <w:kern w:val="0"/>
      <w:sz w:val="24"/>
      <w:szCs w:val="24"/>
    </w:rPr>
  </w:style>
  <w:style w:type="paragraph" w:customStyle="1" w:styleId="283">
    <w:name w:val="acxspmiddle"/>
    <w:basedOn w:val="1"/>
    <w:qFormat/>
    <w:uiPriority w:val="99"/>
    <w:pPr>
      <w:widowControl/>
      <w:spacing w:before="100" w:beforeAutospacing="1" w:after="100" w:afterAutospacing="1"/>
      <w:jc w:val="left"/>
    </w:pPr>
    <w:rPr>
      <w:rFonts w:ascii="宋体" w:hAnsi="宋体" w:cs="宋体"/>
      <w:kern w:val="0"/>
      <w:sz w:val="24"/>
    </w:rPr>
  </w:style>
  <w:style w:type="paragraph" w:customStyle="1" w:styleId="284">
    <w:name w:val="编号列项（三级）"/>
    <w:qFormat/>
    <w:uiPriority w:val="99"/>
    <w:pPr>
      <w:tabs>
        <w:tab w:val="left" w:pos="0"/>
      </w:tabs>
      <w:ind w:left="1678" w:hanging="419"/>
    </w:pPr>
    <w:rPr>
      <w:rFonts w:ascii="宋体" w:hAnsi="Times New Roman" w:eastAsia="宋体" w:cs="Times New Roman"/>
      <w:sz w:val="21"/>
      <w:lang w:val="en-US" w:eastAsia="zh-CN" w:bidi="ar-SA"/>
    </w:rPr>
  </w:style>
  <w:style w:type="paragraph" w:customStyle="1" w:styleId="285">
    <w:name w:val="Char Char Char1 Char"/>
    <w:basedOn w:val="18"/>
    <w:qFormat/>
    <w:uiPriority w:val="99"/>
    <w:rPr>
      <w:rFonts w:ascii="Tahoma" w:hAnsi="Tahoma"/>
      <w:sz w:val="24"/>
    </w:rPr>
  </w:style>
  <w:style w:type="paragraph" w:customStyle="1" w:styleId="286">
    <w:name w:val="列出段落21"/>
    <w:basedOn w:val="1"/>
    <w:qFormat/>
    <w:uiPriority w:val="99"/>
    <w:pPr>
      <w:ind w:firstLine="420" w:firstLineChars="200"/>
    </w:pPr>
    <w:rPr>
      <w:rFonts w:ascii="Calibri" w:hAnsi="Calibri"/>
      <w:szCs w:val="22"/>
    </w:rPr>
  </w:style>
  <w:style w:type="paragraph" w:customStyle="1" w:styleId="287">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88">
    <w:name w:val="正文图标题"/>
    <w:next w:val="161"/>
    <w:qFormat/>
    <w:uiPriority w:val="99"/>
    <w:pPr>
      <w:numPr>
        <w:ilvl w:val="0"/>
        <w:numId w:val="13"/>
      </w:numPr>
      <w:spacing w:beforeLines="50" w:afterLines="50"/>
      <w:jc w:val="center"/>
    </w:pPr>
    <w:rPr>
      <w:rFonts w:ascii="黑体" w:hAnsi="Times New Roman" w:eastAsia="黑体" w:cs="Times New Roman"/>
      <w:sz w:val="21"/>
      <w:lang w:val="en-US" w:eastAsia="zh-CN" w:bidi="ar-SA"/>
    </w:rPr>
  </w:style>
  <w:style w:type="paragraph" w:customStyle="1" w:styleId="289">
    <w:name w:val="附录三级无"/>
    <w:basedOn w:val="212"/>
    <w:qFormat/>
    <w:uiPriority w:val="99"/>
    <w:pPr>
      <w:tabs>
        <w:tab w:val="clear" w:pos="360"/>
      </w:tabs>
      <w:spacing w:beforeLines="0" w:afterLines="0"/>
    </w:pPr>
    <w:rPr>
      <w:rFonts w:ascii="宋体" w:eastAsia="宋体"/>
      <w:szCs w:val="21"/>
    </w:rPr>
  </w:style>
  <w:style w:type="paragraph" w:customStyle="1" w:styleId="290">
    <w:name w:val="表格文本"/>
    <w:qFormat/>
    <w:uiPriority w:val="99"/>
    <w:pPr>
      <w:tabs>
        <w:tab w:val="decimal" w:pos="0"/>
      </w:tabs>
    </w:pPr>
    <w:rPr>
      <w:rFonts w:ascii="Arial" w:hAnsi="Arial" w:eastAsia="宋体" w:cs="Times New Roman"/>
      <w:sz w:val="21"/>
      <w:szCs w:val="21"/>
      <w:lang w:val="en-US" w:eastAsia="zh-CN" w:bidi="ar-SA"/>
    </w:rPr>
  </w:style>
  <w:style w:type="paragraph" w:customStyle="1" w:styleId="291">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292">
    <w:name w:val="图标脚注说明"/>
    <w:basedOn w:val="161"/>
    <w:qFormat/>
    <w:uiPriority w:val="99"/>
    <w:pPr>
      <w:ind w:left="840" w:hanging="420" w:firstLineChars="0"/>
    </w:pPr>
    <w:rPr>
      <w:sz w:val="18"/>
      <w:szCs w:val="18"/>
    </w:rPr>
  </w:style>
  <w:style w:type="paragraph" w:customStyle="1" w:styleId="293">
    <w:name w:val="批注框文本 Char Char"/>
    <w:basedOn w:val="1"/>
    <w:qFormat/>
    <w:uiPriority w:val="99"/>
    <w:rPr>
      <w:sz w:val="18"/>
      <w:szCs w:val="20"/>
    </w:rPr>
  </w:style>
  <w:style w:type="paragraph" w:customStyle="1" w:styleId="294">
    <w:name w:val="Char Char"/>
    <w:basedOn w:val="1"/>
    <w:qFormat/>
    <w:uiPriority w:val="99"/>
    <w:pPr>
      <w:widowControl/>
      <w:tabs>
        <w:tab w:val="left" w:pos="509"/>
      </w:tabs>
      <w:spacing w:after="160" w:line="240" w:lineRule="exact"/>
      <w:ind w:left="252"/>
      <w:jc w:val="left"/>
    </w:pPr>
    <w:rPr>
      <w:rFonts w:ascii="Verdana" w:hAnsi="Verdana" w:eastAsia="仿宋_GB2312"/>
      <w:kern w:val="0"/>
      <w:sz w:val="24"/>
      <w:szCs w:val="20"/>
      <w:lang w:eastAsia="en-US"/>
    </w:rPr>
  </w:style>
  <w:style w:type="paragraph" w:customStyle="1" w:styleId="295">
    <w:name w:val="Char Char Char Char Char"/>
    <w:basedOn w:val="1"/>
    <w:qFormat/>
    <w:uiPriority w:val="99"/>
    <w:pPr>
      <w:widowControl/>
      <w:spacing w:after="160" w:line="240" w:lineRule="exact"/>
      <w:jc w:val="left"/>
    </w:pPr>
  </w:style>
  <w:style w:type="paragraph" w:customStyle="1" w:styleId="296">
    <w:name w:val="修订2"/>
    <w:qFormat/>
    <w:uiPriority w:val="99"/>
    <w:rPr>
      <w:rFonts w:ascii="Times New Roman" w:hAnsi="Times New Roman" w:eastAsia="宋体" w:cs="Times New Roman"/>
      <w:kern w:val="2"/>
      <w:sz w:val="21"/>
      <w:szCs w:val="24"/>
      <w:lang w:val="en-US" w:eastAsia="zh-CN" w:bidi="ar-SA"/>
    </w:rPr>
  </w:style>
  <w:style w:type="paragraph" w:customStyle="1" w:styleId="297">
    <w:name w:val="其他标准标志"/>
    <w:basedOn w:val="239"/>
    <w:qFormat/>
    <w:uiPriority w:val="99"/>
    <w:rPr>
      <w:w w:val="130"/>
    </w:rPr>
  </w:style>
  <w:style w:type="paragraph" w:customStyle="1" w:styleId="298">
    <w:name w:val="封面标准文稿编辑信息2"/>
    <w:basedOn w:val="236"/>
    <w:qFormat/>
    <w:uiPriority w:val="99"/>
  </w:style>
  <w:style w:type="paragraph" w:customStyle="1" w:styleId="299">
    <w:name w:val="封面标准名称2"/>
    <w:basedOn w:val="200"/>
    <w:qFormat/>
    <w:uiPriority w:val="99"/>
    <w:pPr>
      <w:spacing w:beforeLines="630"/>
    </w:pPr>
  </w:style>
  <w:style w:type="paragraph" w:customStyle="1" w:styleId="300">
    <w:name w:val="font10"/>
    <w:basedOn w:val="1"/>
    <w:qFormat/>
    <w:uiPriority w:val="99"/>
    <w:pPr>
      <w:widowControl/>
      <w:spacing w:before="100" w:beforeAutospacing="1" w:after="100" w:afterAutospacing="1"/>
      <w:jc w:val="left"/>
    </w:pPr>
    <w:rPr>
      <w:color w:val="000000"/>
      <w:kern w:val="0"/>
      <w:sz w:val="20"/>
      <w:szCs w:val="20"/>
    </w:rPr>
  </w:style>
  <w:style w:type="paragraph" w:customStyle="1" w:styleId="301">
    <w:name w:val="图表脚注说明"/>
    <w:basedOn w:val="1"/>
    <w:qFormat/>
    <w:uiPriority w:val="99"/>
    <w:pPr>
      <w:numPr>
        <w:ilvl w:val="0"/>
        <w:numId w:val="14"/>
      </w:numPr>
    </w:pPr>
    <w:rPr>
      <w:rFonts w:ascii="宋体"/>
      <w:sz w:val="18"/>
      <w:szCs w:val="18"/>
    </w:rPr>
  </w:style>
  <w:style w:type="paragraph" w:customStyle="1" w:styleId="302">
    <w:name w:val="封面正文"/>
    <w:qFormat/>
    <w:uiPriority w:val="99"/>
    <w:pPr>
      <w:jc w:val="both"/>
    </w:pPr>
    <w:rPr>
      <w:rFonts w:ascii="Times New Roman" w:hAnsi="Times New Roman" w:eastAsia="宋体" w:cs="Times New Roman"/>
      <w:lang w:val="en-US" w:eastAsia="zh-CN" w:bidi="ar-SA"/>
    </w:rPr>
  </w:style>
  <w:style w:type="paragraph" w:customStyle="1" w:styleId="303">
    <w:name w:val="WW-正文（首行缩进两字）"/>
    <w:basedOn w:val="1"/>
    <w:qFormat/>
    <w:uiPriority w:val="99"/>
    <w:pPr>
      <w:suppressAutoHyphens/>
      <w:ind w:firstLine="420"/>
    </w:pPr>
    <w:rPr>
      <w:kern w:val="1"/>
      <w:szCs w:val="20"/>
    </w:rPr>
  </w:style>
  <w:style w:type="paragraph" w:customStyle="1" w:styleId="304">
    <w:name w:val="正文（缩进）"/>
    <w:basedOn w:val="1"/>
    <w:qFormat/>
    <w:uiPriority w:val="99"/>
    <w:pPr>
      <w:spacing w:beforeLines="50" w:afterLines="50" w:line="360" w:lineRule="auto"/>
      <w:ind w:firstLine="480" w:firstLineChars="200"/>
    </w:pPr>
    <w:rPr>
      <w:sz w:val="24"/>
    </w:rPr>
  </w:style>
  <w:style w:type="paragraph" w:customStyle="1" w:styleId="305">
    <w:name w:val="Char2 Char Char Char Char Char Char1"/>
    <w:basedOn w:val="1"/>
    <w:qFormat/>
    <w:uiPriority w:val="99"/>
    <w:pPr>
      <w:widowControl/>
      <w:spacing w:after="160" w:line="240" w:lineRule="exact"/>
      <w:jc w:val="left"/>
    </w:pPr>
    <w:rPr>
      <w:rFonts w:ascii="Verdana" w:hAnsi="Verdana"/>
      <w:kern w:val="0"/>
      <w:sz w:val="20"/>
      <w:lang w:eastAsia="en-US"/>
    </w:rPr>
  </w:style>
  <w:style w:type="paragraph" w:customStyle="1" w:styleId="306">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7">
    <w:name w:val="默认段落字体 Para Char Char Char Char Char Char Char Char Char1 Char Char Char Char Char Char Char"/>
    <w:basedOn w:val="1"/>
    <w:qFormat/>
    <w:uiPriority w:val="99"/>
    <w:rPr>
      <w:rFonts w:ascii="宋体" w:hAnsi="宋体"/>
      <w:szCs w:val="20"/>
    </w:rPr>
  </w:style>
  <w:style w:type="paragraph" w:customStyle="1" w:styleId="308">
    <w:name w:val="示例×："/>
    <w:basedOn w:val="195"/>
    <w:qFormat/>
    <w:uiPriority w:val="99"/>
    <w:pPr>
      <w:numPr>
        <w:numId w:val="0"/>
      </w:numPr>
      <w:spacing w:beforeLines="0" w:afterLines="0"/>
      <w:outlineLvl w:val="9"/>
    </w:pPr>
    <w:rPr>
      <w:rFonts w:ascii="宋体" w:eastAsia="宋体"/>
      <w:sz w:val="18"/>
      <w:szCs w:val="18"/>
    </w:rPr>
  </w:style>
  <w:style w:type="paragraph" w:customStyle="1" w:styleId="309">
    <w:name w:val="acxsplast"/>
    <w:basedOn w:val="1"/>
    <w:qFormat/>
    <w:uiPriority w:val="99"/>
    <w:pPr>
      <w:widowControl/>
      <w:spacing w:before="100" w:beforeAutospacing="1" w:after="100" w:afterAutospacing="1"/>
      <w:jc w:val="left"/>
    </w:pPr>
    <w:rPr>
      <w:rFonts w:ascii="宋体" w:hAnsi="宋体" w:cs="宋体"/>
      <w:kern w:val="0"/>
      <w:sz w:val="24"/>
    </w:rPr>
  </w:style>
  <w:style w:type="paragraph" w:customStyle="1" w:styleId="310">
    <w:name w:val="TOC 标题11"/>
    <w:basedOn w:val="3"/>
    <w:next w:val="1"/>
    <w:qFormat/>
    <w:uiPriority w:val="99"/>
    <w:pPr>
      <w:widowControl/>
      <w:tabs>
        <w:tab w:val="left" w:pos="360"/>
      </w:tabs>
      <w:spacing w:before="480" w:after="0" w:line="276" w:lineRule="auto"/>
      <w:jc w:val="left"/>
      <w:outlineLvl w:val="9"/>
    </w:pPr>
    <w:rPr>
      <w:rFonts w:ascii="Cambria" w:hAnsi="Cambria"/>
      <w:bCs w:val="0"/>
      <w:color w:val="365F91"/>
      <w:kern w:val="0"/>
      <w:sz w:val="28"/>
      <w:szCs w:val="28"/>
    </w:rPr>
  </w:style>
  <w:style w:type="paragraph" w:customStyle="1" w:styleId="311">
    <w:name w:val="列项·"/>
    <w:qFormat/>
    <w:uiPriority w:val="99"/>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312">
    <w:name w:val="缺省文本"/>
    <w:basedOn w:val="1"/>
    <w:qFormat/>
    <w:uiPriority w:val="99"/>
    <w:pPr>
      <w:autoSpaceDE w:val="0"/>
      <w:autoSpaceDN w:val="0"/>
      <w:adjustRightInd w:val="0"/>
      <w:jc w:val="left"/>
    </w:pPr>
    <w:rPr>
      <w:rFonts w:ascii="仿宋_GB2312" w:eastAsia="仿宋_GB2312"/>
      <w:kern w:val="0"/>
      <w:sz w:val="24"/>
      <w:szCs w:val="20"/>
    </w:rPr>
  </w:style>
  <w:style w:type="paragraph" w:customStyle="1" w:styleId="313">
    <w:name w:val="修订11"/>
    <w:qFormat/>
    <w:uiPriority w:val="99"/>
    <w:rPr>
      <w:rFonts w:ascii="Times New Roman" w:hAnsi="Times New Roman" w:eastAsia="宋体" w:cs="Times New Roman"/>
      <w:kern w:val="2"/>
      <w:sz w:val="21"/>
      <w:szCs w:val="24"/>
      <w:lang w:val="en-US" w:eastAsia="zh-CN" w:bidi="ar-SA"/>
    </w:rPr>
  </w:style>
  <w:style w:type="paragraph" w:customStyle="1" w:styleId="314">
    <w:name w:val="数字编号列项（二级）"/>
    <w:qFormat/>
    <w:uiPriority w:val="99"/>
    <w:pPr>
      <w:numPr>
        <w:ilvl w:val="1"/>
        <w:numId w:val="15"/>
      </w:numPr>
      <w:tabs>
        <w:tab w:val="left" w:pos="1259"/>
      </w:tabs>
      <w:jc w:val="both"/>
    </w:pPr>
    <w:rPr>
      <w:rFonts w:ascii="宋体" w:hAnsi="Times New Roman" w:eastAsia="宋体" w:cs="Times New Roman"/>
      <w:sz w:val="21"/>
      <w:lang w:val="en-US" w:eastAsia="zh-CN" w:bidi="ar-SA"/>
    </w:rPr>
  </w:style>
  <w:style w:type="paragraph" w:customStyle="1" w:styleId="315">
    <w:name w:val="Char Char Char Char Char Char Char"/>
    <w:basedOn w:val="1"/>
    <w:qFormat/>
    <w:uiPriority w:val="99"/>
  </w:style>
  <w:style w:type="paragraph" w:customStyle="1" w:styleId="316">
    <w:name w:val="无标题条"/>
    <w:next w:val="161"/>
    <w:qFormat/>
    <w:uiPriority w:val="99"/>
    <w:pPr>
      <w:jc w:val="both"/>
    </w:pPr>
    <w:rPr>
      <w:rFonts w:ascii="Times New Roman" w:hAnsi="Times New Roman" w:eastAsia="宋体" w:cs="Times New Roman"/>
      <w:sz w:val="21"/>
      <w:lang w:val="en-US" w:eastAsia="zh-CN" w:bidi="ar-SA"/>
    </w:rPr>
  </w:style>
  <w:style w:type="paragraph" w:customStyle="1" w:styleId="317">
    <w:name w:val="编号1-2"/>
    <w:basedOn w:val="1"/>
    <w:next w:val="1"/>
    <w:qFormat/>
    <w:uiPriority w:val="99"/>
    <w:pPr>
      <w:tabs>
        <w:tab w:val="left" w:pos="720"/>
      </w:tabs>
      <w:spacing w:line="360" w:lineRule="auto"/>
      <w:ind w:left="726" w:hanging="363"/>
    </w:pPr>
    <w:rPr>
      <w:rFonts w:eastAsia="仿宋_GB2312" w:cs="宋体"/>
      <w:sz w:val="28"/>
      <w:szCs w:val="20"/>
    </w:rPr>
  </w:style>
  <w:style w:type="paragraph" w:customStyle="1" w:styleId="318">
    <w:name w:val="表格题注"/>
    <w:next w:val="1"/>
    <w:qFormat/>
    <w:uiPriority w:val="99"/>
    <w:pPr>
      <w:keepLines/>
      <w:spacing w:beforeLines="100"/>
      <w:ind w:left="1089" w:hanging="369"/>
      <w:jc w:val="center"/>
    </w:pPr>
    <w:rPr>
      <w:rFonts w:ascii="Arial" w:hAnsi="Arial" w:eastAsia="宋体" w:cs="Times New Roman"/>
      <w:sz w:val="18"/>
      <w:szCs w:val="18"/>
      <w:lang w:val="en-US" w:eastAsia="zh-CN" w:bidi="ar-SA"/>
    </w:rPr>
  </w:style>
  <w:style w:type="paragraph" w:customStyle="1" w:styleId="319">
    <w:name w:val="四级无"/>
    <w:basedOn w:val="254"/>
    <w:qFormat/>
    <w:uiPriority w:val="99"/>
    <w:pPr>
      <w:numPr>
        <w:ilvl w:val="4"/>
        <w:numId w:val="6"/>
      </w:numPr>
      <w:tabs>
        <w:tab w:val="left" w:pos="57"/>
        <w:tab w:val="left" w:pos="1350"/>
        <w:tab w:val="left" w:pos="2517"/>
        <w:tab w:val="left" w:pos="2551"/>
      </w:tabs>
      <w:spacing w:beforeLines="0" w:afterLines="0"/>
      <w:ind w:left="363" w:hanging="363"/>
    </w:pPr>
    <w:rPr>
      <w:rFonts w:ascii="宋体" w:eastAsia="宋体"/>
    </w:rPr>
  </w:style>
  <w:style w:type="paragraph" w:customStyle="1" w:styleId="320">
    <w:name w:val="列项说明数字编号"/>
    <w:qFormat/>
    <w:uiPriority w:val="99"/>
    <w:pPr>
      <w:ind w:left="600" w:leftChars="400" w:hanging="200" w:hangingChars="200"/>
    </w:pPr>
    <w:rPr>
      <w:rFonts w:ascii="宋体" w:hAnsi="Times New Roman" w:eastAsia="宋体" w:cs="Times New Roman"/>
      <w:sz w:val="21"/>
      <w:lang w:val="en-US" w:eastAsia="zh-CN" w:bidi="ar-SA"/>
    </w:rPr>
  </w:style>
  <w:style w:type="paragraph" w:customStyle="1" w:styleId="321">
    <w:name w:val="标题2"/>
    <w:basedOn w:val="4"/>
    <w:qFormat/>
    <w:uiPriority w:val="99"/>
    <w:pPr>
      <w:widowControl/>
      <w:tabs>
        <w:tab w:val="left" w:pos="0"/>
        <w:tab w:val="left" w:pos="840"/>
      </w:tabs>
      <w:spacing w:before="240" w:after="160" w:line="240" w:lineRule="auto"/>
      <w:jc w:val="left"/>
    </w:pPr>
    <w:rPr>
      <w:rFonts w:ascii="黑体" w:eastAsia="宋体" w:cs="Arial"/>
      <w:b w:val="0"/>
      <w:spacing w:val="10"/>
      <w:kern w:val="28"/>
      <w:sz w:val="28"/>
      <w:szCs w:val="28"/>
      <w:lang w:eastAsia="en-US"/>
    </w:rPr>
  </w:style>
  <w:style w:type="paragraph" w:customStyle="1" w:styleId="322">
    <w:name w:val="xl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3">
    <w:name w:val="Char12"/>
    <w:basedOn w:val="1"/>
    <w:qFormat/>
    <w:uiPriority w:val="99"/>
    <w:pPr>
      <w:widowControl/>
      <w:spacing w:after="160" w:line="240" w:lineRule="exact"/>
      <w:jc w:val="left"/>
    </w:pPr>
    <w:rPr>
      <w:kern w:val="0"/>
      <w:sz w:val="24"/>
    </w:rPr>
  </w:style>
  <w:style w:type="paragraph" w:customStyle="1" w:styleId="324">
    <w:name w:val="二级无"/>
    <w:basedOn w:val="169"/>
    <w:qFormat/>
    <w:uiPriority w:val="99"/>
    <w:pPr>
      <w:numPr>
        <w:ilvl w:val="2"/>
        <w:numId w:val="6"/>
      </w:numPr>
      <w:tabs>
        <w:tab w:val="left" w:pos="0"/>
        <w:tab w:val="left" w:pos="57"/>
        <w:tab w:val="left" w:pos="1350"/>
        <w:tab w:val="left" w:pos="1418"/>
      </w:tabs>
      <w:spacing w:beforeLines="0" w:afterLines="0"/>
      <w:ind w:left="363" w:hanging="363"/>
    </w:pPr>
    <w:rPr>
      <w:rFonts w:ascii="宋体" w:eastAsia="宋体"/>
    </w:rPr>
  </w:style>
  <w:style w:type="paragraph" w:customStyle="1" w:styleId="325">
    <w:name w:val="正文公式编号制表符"/>
    <w:basedOn w:val="161"/>
    <w:next w:val="161"/>
    <w:qFormat/>
    <w:uiPriority w:val="99"/>
    <w:pPr>
      <w:ind w:firstLine="0" w:firstLineChars="0"/>
    </w:pPr>
  </w:style>
  <w:style w:type="paragraph" w:customStyle="1" w:styleId="326">
    <w:name w:val="注：（正文）"/>
    <w:basedOn w:val="248"/>
    <w:next w:val="161"/>
    <w:qFormat/>
    <w:uiPriority w:val="99"/>
    <w:pPr>
      <w:numPr>
        <w:numId w:val="0"/>
      </w:numPr>
    </w:pPr>
  </w:style>
  <w:style w:type="paragraph" w:customStyle="1" w:styleId="327">
    <w:name w:val="编号，四号"/>
    <w:basedOn w:val="1"/>
    <w:qFormat/>
    <w:uiPriority w:val="99"/>
    <w:pPr>
      <w:spacing w:line="360" w:lineRule="auto"/>
    </w:pPr>
    <w:rPr>
      <w:rFonts w:eastAsia="仿宋" w:cs="宋体"/>
      <w:kern w:val="0"/>
      <w:sz w:val="28"/>
      <w:szCs w:val="20"/>
    </w:rPr>
  </w:style>
  <w:style w:type="paragraph" w:customStyle="1" w:styleId="328">
    <w:name w:val="标准书眉_偶数页"/>
    <w:basedOn w:val="329"/>
    <w:next w:val="1"/>
    <w:qFormat/>
    <w:uiPriority w:val="99"/>
    <w:pPr>
      <w:tabs>
        <w:tab w:val="center" w:pos="4154"/>
        <w:tab w:val="right" w:pos="8306"/>
      </w:tabs>
      <w:jc w:val="left"/>
    </w:pPr>
  </w:style>
  <w:style w:type="paragraph" w:customStyle="1" w:styleId="329">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30">
    <w:name w:val="List Paragraph1"/>
    <w:basedOn w:val="1"/>
    <w:qFormat/>
    <w:uiPriority w:val="99"/>
    <w:pPr>
      <w:ind w:firstLine="420" w:firstLineChars="200"/>
    </w:pPr>
    <w:rPr>
      <w:rFonts w:ascii="Calibri" w:hAnsi="Calibri"/>
      <w:szCs w:val="22"/>
    </w:rPr>
  </w:style>
  <w:style w:type="paragraph" w:customStyle="1" w:styleId="331">
    <w:name w:val="前言、引言标题"/>
    <w:next w:val="161"/>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32">
    <w:name w:val="字母编号列项（一级）"/>
    <w:qFormat/>
    <w:uiPriority w:val="99"/>
    <w:pPr>
      <w:numPr>
        <w:ilvl w:val="2"/>
        <w:numId w:val="15"/>
      </w:numPr>
      <w:tabs>
        <w:tab w:val="left" w:pos="839"/>
      </w:tabs>
      <w:ind w:left="839"/>
      <w:jc w:val="both"/>
    </w:pPr>
    <w:rPr>
      <w:rFonts w:ascii="宋体" w:hAnsi="Times New Roman" w:eastAsia="宋体" w:cs="Times New Roman"/>
      <w:sz w:val="21"/>
      <w:lang w:val="en-US" w:eastAsia="zh-CN" w:bidi="ar-SA"/>
    </w:rPr>
  </w:style>
  <w:style w:type="paragraph" w:customStyle="1" w:styleId="333">
    <w:name w:val="注×：（正文）"/>
    <w:qFormat/>
    <w:uiPriority w:val="99"/>
    <w:pPr>
      <w:numPr>
        <w:ilvl w:val="0"/>
        <w:numId w:val="16"/>
      </w:numPr>
      <w:tabs>
        <w:tab w:val="left" w:pos="839"/>
      </w:tabs>
      <w:jc w:val="both"/>
    </w:pPr>
    <w:rPr>
      <w:rFonts w:ascii="宋体" w:hAnsi="Times New Roman" w:eastAsia="宋体" w:cs="Times New Roman"/>
      <w:sz w:val="18"/>
      <w:szCs w:val="18"/>
      <w:lang w:val="en-US" w:eastAsia="zh-CN" w:bidi="ar-SA"/>
    </w:rPr>
  </w:style>
  <w:style w:type="paragraph" w:customStyle="1" w:styleId="334">
    <w:name w:val="二级无标题条"/>
    <w:basedOn w:val="1"/>
    <w:qFormat/>
    <w:uiPriority w:val="99"/>
    <w:rPr>
      <w:sz w:val="24"/>
      <w:szCs w:val="20"/>
    </w:rPr>
  </w:style>
  <w:style w:type="paragraph" w:customStyle="1" w:styleId="335">
    <w:name w:val="列项——"/>
    <w:qFormat/>
    <w:uiPriority w:val="99"/>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336">
    <w:name w:val="终结线"/>
    <w:basedOn w:val="1"/>
    <w:qFormat/>
    <w:uiPriority w:val="99"/>
  </w:style>
  <w:style w:type="paragraph" w:customStyle="1" w:styleId="337">
    <w:name w:val="列项●（二级）"/>
    <w:qFormat/>
    <w:uiPriority w:val="99"/>
    <w:pPr>
      <w:tabs>
        <w:tab w:val="left" w:pos="760"/>
        <w:tab w:val="left" w:pos="840"/>
        <w:tab w:val="left" w:pos="1259"/>
      </w:tabs>
      <w:ind w:left="1259" w:hanging="420"/>
      <w:jc w:val="both"/>
    </w:pPr>
    <w:rPr>
      <w:rFonts w:ascii="宋体" w:hAnsi="Times New Roman" w:eastAsia="宋体" w:cs="Times New Roman"/>
      <w:sz w:val="21"/>
      <w:lang w:val="en-US" w:eastAsia="zh-CN" w:bidi="ar-SA"/>
    </w:rPr>
  </w:style>
  <w:style w:type="paragraph" w:customStyle="1" w:styleId="338">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39">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40">
    <w:name w:val="CM11"/>
    <w:basedOn w:val="1"/>
    <w:next w:val="1"/>
    <w:qFormat/>
    <w:uiPriority w:val="99"/>
    <w:pPr>
      <w:autoSpaceDE w:val="0"/>
      <w:autoSpaceDN w:val="0"/>
      <w:adjustRightInd w:val="0"/>
      <w:spacing w:line="313" w:lineRule="atLeast"/>
      <w:jc w:val="left"/>
    </w:pPr>
    <w:rPr>
      <w:kern w:val="0"/>
      <w:sz w:val="24"/>
    </w:rPr>
  </w:style>
  <w:style w:type="paragraph" w:customStyle="1" w:styleId="341">
    <w:name w:val="表格文字"/>
    <w:basedOn w:val="1"/>
    <w:qFormat/>
    <w:uiPriority w:val="99"/>
    <w:rPr>
      <w:rFonts w:ascii="宋体" w:hAnsi="宋体"/>
      <w:bCs/>
      <w:kern w:val="0"/>
      <w:szCs w:val="18"/>
    </w:rPr>
  </w:style>
  <w:style w:type="paragraph" w:customStyle="1" w:styleId="342">
    <w:name w:val="图表脚注"/>
    <w:next w:val="161"/>
    <w:qFormat/>
    <w:uiPriority w:val="99"/>
    <w:pPr>
      <w:ind w:left="200" w:leftChars="200" w:hanging="100" w:hangingChars="100"/>
      <w:jc w:val="both"/>
    </w:pPr>
    <w:rPr>
      <w:rFonts w:ascii="宋体" w:hAnsi="Times New Roman" w:eastAsia="宋体" w:cs="Times New Roman"/>
      <w:sz w:val="18"/>
      <w:lang w:val="en-US" w:eastAsia="zh-CN" w:bidi="ar-SA"/>
    </w:rPr>
  </w:style>
  <w:style w:type="paragraph" w:customStyle="1" w:styleId="343">
    <w:name w:val="目次、索引正文"/>
    <w:qFormat/>
    <w:uiPriority w:val="99"/>
    <w:pPr>
      <w:spacing w:line="320" w:lineRule="exact"/>
      <w:jc w:val="both"/>
    </w:pPr>
    <w:rPr>
      <w:rFonts w:ascii="宋体" w:hAnsi="Times New Roman" w:eastAsia="宋体" w:cs="Times New Roman"/>
      <w:sz w:val="21"/>
      <w:lang w:val="en-US" w:eastAsia="zh-CN" w:bidi="ar-SA"/>
    </w:rPr>
  </w:style>
  <w:style w:type="paragraph" w:customStyle="1" w:styleId="344">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5">
    <w:name w:val="五级无标题条"/>
    <w:basedOn w:val="1"/>
    <w:qFormat/>
    <w:uiPriority w:val="99"/>
    <w:rPr>
      <w:sz w:val="24"/>
      <w:szCs w:val="20"/>
    </w:rPr>
  </w:style>
  <w:style w:type="paragraph" w:customStyle="1" w:styleId="346">
    <w:name w:val="附录表标号"/>
    <w:basedOn w:val="1"/>
    <w:next w:val="161"/>
    <w:qFormat/>
    <w:uiPriority w:val="99"/>
    <w:pPr>
      <w:numPr>
        <w:ilvl w:val="0"/>
        <w:numId w:val="17"/>
      </w:numPr>
      <w:spacing w:line="14" w:lineRule="exact"/>
      <w:ind w:left="811" w:hanging="448"/>
      <w:jc w:val="center"/>
      <w:outlineLvl w:val="0"/>
    </w:pPr>
    <w:rPr>
      <w:color w:val="FFFFFF"/>
    </w:rPr>
  </w:style>
  <w:style w:type="paragraph" w:customStyle="1" w:styleId="347">
    <w:name w:val="其它"/>
    <w:basedOn w:val="1"/>
    <w:qFormat/>
    <w:uiPriority w:val="99"/>
    <w:pPr>
      <w:widowControl/>
      <w:spacing w:before="160" w:after="140" w:line="440" w:lineRule="atLeast"/>
      <w:ind w:firstLine="480"/>
    </w:pPr>
    <w:rPr>
      <w:kern w:val="0"/>
      <w:sz w:val="24"/>
      <w:szCs w:val="20"/>
    </w:rPr>
  </w:style>
  <w:style w:type="paragraph" w:customStyle="1" w:styleId="348">
    <w:name w:val="Char Char1 Char Char"/>
    <w:basedOn w:val="1"/>
    <w:qFormat/>
    <w:uiPriority w:val="99"/>
    <w:rPr>
      <w:rFonts w:ascii="宋体" w:hAnsi="宋体"/>
      <w:kern w:val="0"/>
      <w:sz w:val="24"/>
      <w:szCs w:val="20"/>
    </w:rPr>
  </w:style>
  <w:style w:type="paragraph" w:customStyle="1" w:styleId="349">
    <w:name w:val="参考文献、索引标题"/>
    <w:basedOn w:val="1"/>
    <w:next w:val="161"/>
    <w:qFormat/>
    <w:uiPriority w:val="99"/>
    <w:pPr>
      <w:keepNext/>
      <w:pageBreakBefore/>
      <w:widowControl/>
      <w:shd w:val="clear" w:color="FFFFFF" w:fill="FFFFFF"/>
      <w:spacing w:before="640" w:after="200"/>
      <w:jc w:val="center"/>
      <w:outlineLvl w:val="0"/>
    </w:pPr>
    <w:rPr>
      <w:rFonts w:ascii="黑体" w:eastAsia="黑体"/>
      <w:kern w:val="0"/>
      <w:szCs w:val="20"/>
    </w:rPr>
  </w:style>
  <w:style w:type="paragraph" w:customStyle="1" w:styleId="350">
    <w:name w:val="5 Char Char Char Char Char Char Char Char Char Char"/>
    <w:basedOn w:val="1"/>
    <w:qFormat/>
    <w:uiPriority w:val="99"/>
    <w:rPr>
      <w:rFonts w:ascii="宋体" w:hAnsi="宋体"/>
      <w:szCs w:val="20"/>
    </w:rPr>
  </w:style>
  <w:style w:type="paragraph" w:customStyle="1" w:styleId="351">
    <w:name w:val="附录数字编号列项（二级）"/>
    <w:qFormat/>
    <w:uiPriority w:val="99"/>
    <w:pPr>
      <w:numPr>
        <w:ilvl w:val="1"/>
        <w:numId w:val="9"/>
      </w:numPr>
      <w:tabs>
        <w:tab w:val="left" w:pos="0"/>
        <w:tab w:val="left" w:pos="840"/>
      </w:tabs>
    </w:pPr>
    <w:rPr>
      <w:rFonts w:ascii="宋体" w:hAnsi="Times New Roman" w:eastAsia="宋体" w:cs="Times New Roman"/>
      <w:sz w:val="21"/>
      <w:lang w:val="en-US" w:eastAsia="zh-CN" w:bidi="ar-SA"/>
    </w:rPr>
  </w:style>
  <w:style w:type="paragraph" w:customStyle="1" w:styleId="352">
    <w:name w:val="Char Char Char Char Char Char Char Char Char Char Char Char"/>
    <w:basedOn w:val="1"/>
    <w:qFormat/>
    <w:uiPriority w:val="99"/>
    <w:pPr>
      <w:widowControl/>
      <w:spacing w:after="160" w:line="240" w:lineRule="exact"/>
      <w:jc w:val="left"/>
    </w:pPr>
  </w:style>
  <w:style w:type="paragraph" w:customStyle="1" w:styleId="353">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4">
    <w:name w:val="示例内容"/>
    <w:qFormat/>
    <w:uiPriority w:val="99"/>
    <w:pPr>
      <w:ind w:firstLine="200" w:firstLineChars="200"/>
    </w:pPr>
    <w:rPr>
      <w:rFonts w:ascii="宋体" w:hAnsi="Times New Roman" w:eastAsia="宋体" w:cs="Times New Roman"/>
      <w:sz w:val="18"/>
      <w:szCs w:val="18"/>
      <w:lang w:val="en-US" w:eastAsia="zh-CN" w:bidi="ar-SA"/>
    </w:rPr>
  </w:style>
  <w:style w:type="paragraph" w:customStyle="1" w:styleId="355">
    <w:name w:val="示例"/>
    <w:next w:val="354"/>
    <w:qFormat/>
    <w:uiPriority w:val="99"/>
    <w:pPr>
      <w:widowControl w:val="0"/>
      <w:numPr>
        <w:ilvl w:val="0"/>
        <w:numId w:val="18"/>
      </w:numPr>
      <w:tabs>
        <w:tab w:val="left" w:pos="420"/>
      </w:tabs>
      <w:jc w:val="both"/>
    </w:pPr>
    <w:rPr>
      <w:rFonts w:ascii="宋体" w:hAnsi="Times New Roman" w:eastAsia="宋体" w:cs="Times New Roman"/>
      <w:sz w:val="18"/>
      <w:szCs w:val="18"/>
      <w:lang w:val="en-US" w:eastAsia="zh-CN" w:bidi="ar-SA"/>
    </w:rPr>
  </w:style>
  <w:style w:type="paragraph" w:customStyle="1" w:styleId="356">
    <w:name w:val="文章标题"/>
    <w:next w:val="274"/>
    <w:qFormat/>
    <w:uiPriority w:val="99"/>
    <w:pPr>
      <w:spacing w:beforeLines="800" w:afterLines="100"/>
      <w:jc w:val="center"/>
    </w:pPr>
    <w:rPr>
      <w:rFonts w:ascii="Arial" w:hAnsi="Arial" w:eastAsia="黑体" w:cs="宋体"/>
      <w:bCs/>
      <w:kern w:val="2"/>
      <w:sz w:val="52"/>
      <w:lang w:val="en-US" w:eastAsia="zh-CN" w:bidi="ar-SA"/>
    </w:rPr>
  </w:style>
  <w:style w:type="paragraph" w:customStyle="1" w:styleId="357">
    <w:name w:val="1"/>
    <w:basedOn w:val="1"/>
    <w:next w:val="29"/>
    <w:qFormat/>
    <w:uiPriority w:val="99"/>
    <w:rPr>
      <w:rFonts w:ascii="宋体" w:hAnsi="宋体"/>
      <w:szCs w:val="20"/>
    </w:rPr>
  </w:style>
  <w:style w:type="paragraph" w:customStyle="1" w:styleId="358">
    <w:name w:val="表格(五号)"/>
    <w:basedOn w:val="1"/>
    <w:qFormat/>
    <w:uiPriority w:val="99"/>
    <w:pPr>
      <w:snapToGrid w:val="0"/>
      <w:spacing w:before="60" w:after="60"/>
      <w:ind w:left="11"/>
      <w:jc w:val="center"/>
    </w:pPr>
  </w:style>
  <w:style w:type="paragraph" w:customStyle="1" w:styleId="359">
    <w:name w:val="图1"/>
    <w:basedOn w:val="1"/>
    <w:next w:val="1"/>
    <w:qFormat/>
    <w:uiPriority w:val="99"/>
    <w:pPr>
      <w:tabs>
        <w:tab w:val="left" w:pos="690"/>
      </w:tabs>
      <w:spacing w:beforeLines="50" w:afterLines="100" w:line="360" w:lineRule="auto"/>
      <w:ind w:left="1105" w:hanging="748"/>
      <w:jc w:val="center"/>
    </w:pPr>
    <w:rPr>
      <w:kern w:val="0"/>
      <w:sz w:val="24"/>
    </w:rPr>
  </w:style>
  <w:style w:type="paragraph" w:customStyle="1" w:styleId="360">
    <w:name w:val="表格标题1"/>
    <w:basedOn w:val="1"/>
    <w:qFormat/>
    <w:uiPriority w:val="99"/>
    <w:pPr>
      <w:jc w:val="center"/>
    </w:pPr>
    <w:rPr>
      <w:rFonts w:ascii="Calibri" w:hAnsi="Calibri" w:cs="宋体"/>
      <w:b/>
      <w:bCs/>
      <w:szCs w:val="21"/>
    </w:rPr>
  </w:style>
  <w:style w:type="paragraph" w:customStyle="1" w:styleId="361">
    <w:name w:val="xl9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362">
    <w:name w:val="注×："/>
    <w:qFormat/>
    <w:uiPriority w:val="99"/>
    <w:pPr>
      <w:widowControl w:val="0"/>
      <w:numPr>
        <w:ilvl w:val="0"/>
        <w:numId w:val="7"/>
      </w:numPr>
      <w:autoSpaceDE w:val="0"/>
      <w:autoSpaceDN w:val="0"/>
      <w:jc w:val="both"/>
    </w:pPr>
    <w:rPr>
      <w:rFonts w:ascii="宋体" w:hAnsi="Times New Roman" w:eastAsia="宋体" w:cs="Times New Roman"/>
      <w:sz w:val="18"/>
      <w:szCs w:val="18"/>
      <w:lang w:val="en-US" w:eastAsia="zh-CN" w:bidi="ar-SA"/>
    </w:rPr>
  </w:style>
  <w:style w:type="paragraph" w:customStyle="1" w:styleId="363">
    <w:name w:val="xl82"/>
    <w:basedOn w:val="1"/>
    <w:qFormat/>
    <w:uiPriority w:val="99"/>
    <w:pPr>
      <w:widowControl/>
      <w:spacing w:before="100" w:beforeAutospacing="1" w:after="100" w:afterAutospacing="1"/>
      <w:jc w:val="center"/>
    </w:pPr>
    <w:rPr>
      <w:rFonts w:ascii="宋体" w:hAnsi="宋体" w:cs="宋体"/>
      <w:kern w:val="0"/>
      <w:sz w:val="20"/>
      <w:szCs w:val="20"/>
    </w:rPr>
  </w:style>
  <w:style w:type="paragraph" w:customStyle="1" w:styleId="364">
    <w:name w:val="我的正文"/>
    <w:basedOn w:val="1"/>
    <w:qFormat/>
    <w:uiPriority w:val="99"/>
    <w:pPr>
      <w:spacing w:line="520" w:lineRule="exact"/>
      <w:ind w:firstLine="192" w:firstLineChars="192"/>
    </w:pPr>
    <w:rPr>
      <w:sz w:val="28"/>
      <w:szCs w:val="28"/>
    </w:rPr>
  </w:style>
  <w:style w:type="paragraph" w:customStyle="1" w:styleId="365">
    <w:name w:val="标准书脚_奇数页"/>
    <w:qFormat/>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366">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367">
    <w:name w:val="文档正文1"/>
    <w:basedOn w:val="190"/>
    <w:qFormat/>
    <w:uiPriority w:val="99"/>
    <w:pPr>
      <w:spacing w:line="360" w:lineRule="auto"/>
      <w:ind w:firstLine="200"/>
    </w:pPr>
  </w:style>
  <w:style w:type="paragraph" w:customStyle="1" w:styleId="368">
    <w:name w:val="标准称谓"/>
    <w:next w:val="1"/>
    <w:qFormat/>
    <w:uiPriority w:val="99"/>
    <w:pPr>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48"/>
      <w:lang w:val="en-US" w:eastAsia="zh-CN" w:bidi="ar-SA"/>
    </w:rPr>
  </w:style>
  <w:style w:type="paragraph" w:customStyle="1" w:styleId="369">
    <w:name w:val="Char Char Char1 Char Char Char Char Char Char Char"/>
    <w:basedOn w:val="1"/>
    <w:qFormat/>
    <w:uiPriority w:val="99"/>
  </w:style>
  <w:style w:type="paragraph" w:customStyle="1" w:styleId="370">
    <w:name w:val="一级无标题条"/>
    <w:basedOn w:val="1"/>
    <w:qFormat/>
    <w:uiPriority w:val="99"/>
    <w:rPr>
      <w:sz w:val="24"/>
      <w:szCs w:val="20"/>
    </w:rPr>
  </w:style>
  <w:style w:type="paragraph" w:customStyle="1" w:styleId="371">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72">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73">
    <w:name w:val="参考文献"/>
    <w:basedOn w:val="1"/>
    <w:next w:val="161"/>
    <w:qFormat/>
    <w:uiPriority w:val="99"/>
    <w:pPr>
      <w:keepNext/>
      <w:pageBreakBefore/>
      <w:widowControl/>
      <w:shd w:val="clear" w:color="FFFFFF" w:fill="FFFFFF"/>
      <w:spacing w:before="640" w:after="200"/>
      <w:jc w:val="center"/>
      <w:outlineLvl w:val="0"/>
    </w:pPr>
    <w:rPr>
      <w:rFonts w:ascii="黑体" w:eastAsia="黑体"/>
      <w:kern w:val="0"/>
      <w:szCs w:val="20"/>
    </w:rPr>
  </w:style>
  <w:style w:type="paragraph" w:customStyle="1" w:styleId="374">
    <w:name w:val="样式 标题 1 + 居中 段前: 0 磅 段后: 0 磅 行距: 固定值 30 磅"/>
    <w:basedOn w:val="3"/>
    <w:qFormat/>
    <w:uiPriority w:val="99"/>
    <w:pPr>
      <w:tabs>
        <w:tab w:val="left" w:pos="360"/>
      </w:tabs>
      <w:spacing w:before="0" w:after="0" w:line="600" w:lineRule="exact"/>
      <w:jc w:val="center"/>
    </w:pPr>
    <w:rPr>
      <w:rFonts w:cs="宋体"/>
      <w:szCs w:val="20"/>
    </w:rPr>
  </w:style>
  <w:style w:type="paragraph" w:customStyle="1" w:styleId="375">
    <w:name w:val="xl3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376">
    <w:name w:val="CM39"/>
    <w:basedOn w:val="1"/>
    <w:next w:val="1"/>
    <w:qFormat/>
    <w:uiPriority w:val="99"/>
    <w:pPr>
      <w:autoSpaceDE w:val="0"/>
      <w:autoSpaceDN w:val="0"/>
      <w:adjustRightInd w:val="0"/>
      <w:spacing w:after="160"/>
      <w:jc w:val="left"/>
    </w:pPr>
    <w:rPr>
      <w:kern w:val="0"/>
      <w:sz w:val="24"/>
    </w:rPr>
  </w:style>
  <w:style w:type="paragraph" w:customStyle="1" w:styleId="377">
    <w:name w:val="样式2"/>
    <w:basedOn w:val="378"/>
    <w:qFormat/>
    <w:uiPriority w:val="99"/>
    <w:pPr>
      <w:tabs>
        <w:tab w:val="left" w:pos="360"/>
        <w:tab w:val="left" w:pos="6405"/>
      </w:tabs>
      <w:spacing w:after="200"/>
      <w:ind w:left="4140"/>
    </w:pPr>
  </w:style>
  <w:style w:type="paragraph" w:customStyle="1" w:styleId="378">
    <w:name w:val="附录标识"/>
    <w:basedOn w:val="1"/>
    <w:next w:val="161"/>
    <w:qFormat/>
    <w:uiPriority w:val="99"/>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379">
    <w:name w:val="xl91"/>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cs="宋体"/>
      <w:kern w:val="0"/>
      <w:sz w:val="20"/>
      <w:szCs w:val="20"/>
    </w:rPr>
  </w:style>
  <w:style w:type="paragraph" w:customStyle="1" w:styleId="380">
    <w:name w:val="编号，小四"/>
    <w:basedOn w:val="1"/>
    <w:qFormat/>
    <w:uiPriority w:val="99"/>
    <w:pPr>
      <w:spacing w:line="360" w:lineRule="auto"/>
    </w:pPr>
    <w:rPr>
      <w:rFonts w:eastAsia="仿宋" w:cs="宋体"/>
      <w:sz w:val="24"/>
      <w:szCs w:val="20"/>
    </w:rPr>
  </w:style>
  <w:style w:type="paragraph" w:customStyle="1" w:styleId="381">
    <w:name w:val="CM8"/>
    <w:basedOn w:val="1"/>
    <w:next w:val="1"/>
    <w:qFormat/>
    <w:uiPriority w:val="99"/>
    <w:pPr>
      <w:autoSpaceDE w:val="0"/>
      <w:autoSpaceDN w:val="0"/>
      <w:adjustRightInd w:val="0"/>
      <w:spacing w:line="313" w:lineRule="atLeast"/>
      <w:jc w:val="left"/>
    </w:pPr>
    <w:rPr>
      <w:kern w:val="0"/>
      <w:sz w:val="24"/>
    </w:rPr>
  </w:style>
  <w:style w:type="paragraph" w:customStyle="1" w:styleId="382">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83">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84">
    <w:name w:val="Char Char Char Char1"/>
    <w:basedOn w:val="1"/>
    <w:qFormat/>
    <w:uiPriority w:val="99"/>
    <w:pPr>
      <w:widowControl/>
      <w:spacing w:after="160" w:line="240" w:lineRule="exact"/>
      <w:jc w:val="left"/>
    </w:pPr>
  </w:style>
  <w:style w:type="paragraph" w:customStyle="1" w:styleId="385">
    <w:name w:val="Char1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386">
    <w:name w:val="CM3"/>
    <w:basedOn w:val="1"/>
    <w:next w:val="1"/>
    <w:qFormat/>
    <w:uiPriority w:val="99"/>
    <w:pPr>
      <w:autoSpaceDE w:val="0"/>
      <w:autoSpaceDN w:val="0"/>
      <w:adjustRightInd w:val="0"/>
      <w:spacing w:line="313" w:lineRule="atLeast"/>
      <w:jc w:val="left"/>
    </w:pPr>
    <w:rPr>
      <w:kern w:val="0"/>
      <w:sz w:val="24"/>
    </w:rPr>
  </w:style>
  <w:style w:type="paragraph" w:customStyle="1" w:styleId="387">
    <w:name w:val="附录表标题"/>
    <w:basedOn w:val="1"/>
    <w:next w:val="161"/>
    <w:qFormat/>
    <w:uiPriority w:val="99"/>
    <w:pPr>
      <w:numPr>
        <w:ilvl w:val="1"/>
        <w:numId w:val="17"/>
      </w:numPr>
      <w:tabs>
        <w:tab w:val="left" w:pos="180"/>
      </w:tabs>
      <w:spacing w:beforeLines="50" w:afterLines="50"/>
      <w:ind w:left="0" w:firstLine="0"/>
      <w:jc w:val="center"/>
    </w:pPr>
    <w:rPr>
      <w:rFonts w:ascii="黑体" w:eastAsia="黑体"/>
      <w:szCs w:val="21"/>
    </w:rPr>
  </w:style>
  <w:style w:type="paragraph" w:customStyle="1" w:styleId="388">
    <w:name w:val="1级标题"/>
    <w:basedOn w:val="134"/>
    <w:qFormat/>
    <w:uiPriority w:val="99"/>
    <w:pPr>
      <w:keepLines/>
      <w:pageBreakBefore/>
      <w:widowControl w:val="0"/>
      <w:tabs>
        <w:tab w:val="left" w:pos="360"/>
      </w:tabs>
      <w:spacing w:before="240" w:after="240" w:line="360" w:lineRule="auto"/>
      <w:ind w:left="726"/>
      <w:jc w:val="center"/>
      <w:outlineLvl w:val="0"/>
    </w:pPr>
    <w:rPr>
      <w:rFonts w:ascii="黑体" w:hAnsi="黑体" w:eastAsia="黑体"/>
      <w:sz w:val="36"/>
      <w:szCs w:val="36"/>
      <w:lang w:eastAsia="en-US"/>
    </w:rPr>
  </w:style>
  <w:style w:type="paragraph" w:customStyle="1" w:styleId="389">
    <w:name w:val="xl81"/>
    <w:basedOn w:val="1"/>
    <w:qFormat/>
    <w:uiPriority w:val="99"/>
    <w:pPr>
      <w:widowControl/>
      <w:spacing w:before="100" w:beforeAutospacing="1" w:after="100" w:afterAutospacing="1"/>
      <w:jc w:val="center"/>
    </w:pPr>
    <w:rPr>
      <w:rFonts w:ascii="宋体" w:hAnsi="宋体" w:cs="宋体"/>
      <w:color w:val="000000"/>
      <w:kern w:val="0"/>
      <w:sz w:val="20"/>
      <w:szCs w:val="20"/>
    </w:rPr>
  </w:style>
  <w:style w:type="paragraph" w:customStyle="1" w:styleId="390">
    <w:name w:val="发布部门"/>
    <w:next w:val="161"/>
    <w:qFormat/>
    <w:uiPriority w:val="99"/>
    <w:pPr>
      <w:jc w:val="center"/>
    </w:pPr>
    <w:rPr>
      <w:rFonts w:ascii="宋体" w:hAnsi="Times New Roman" w:eastAsia="宋体" w:cs="Times New Roman"/>
      <w:b/>
      <w:spacing w:val="20"/>
      <w:w w:val="135"/>
      <w:sz w:val="28"/>
      <w:lang w:val="en-US" w:eastAsia="zh-CN" w:bidi="ar-SA"/>
    </w:rPr>
  </w:style>
  <w:style w:type="paragraph" w:customStyle="1" w:styleId="391">
    <w:name w:val="样式 宋体 行距: 1.5 倍行距2"/>
    <w:basedOn w:val="1"/>
    <w:qFormat/>
    <w:uiPriority w:val="99"/>
    <w:pPr>
      <w:spacing w:line="360" w:lineRule="auto"/>
      <w:ind w:firstLine="420" w:firstLineChars="200"/>
    </w:pPr>
    <w:rPr>
      <w:rFonts w:cs="宋体"/>
      <w:szCs w:val="21"/>
    </w:rPr>
  </w:style>
  <w:style w:type="paragraph" w:customStyle="1" w:styleId="392">
    <w:name w:val="列项——（一级）"/>
    <w:qFormat/>
    <w:uiPriority w:val="99"/>
    <w:pPr>
      <w:widowControl w:val="0"/>
      <w:tabs>
        <w:tab w:val="left" w:pos="839"/>
      </w:tabs>
      <w:ind w:left="839" w:hanging="419"/>
      <w:jc w:val="both"/>
    </w:pPr>
    <w:rPr>
      <w:rFonts w:ascii="宋体" w:hAnsi="Times New Roman" w:eastAsia="宋体" w:cs="Times New Roman"/>
      <w:sz w:val="21"/>
      <w:lang w:val="en-US" w:eastAsia="zh-CN" w:bidi="ar-SA"/>
    </w:rPr>
  </w:style>
  <w:style w:type="paragraph" w:customStyle="1" w:styleId="393">
    <w:name w:val="文献分类号"/>
    <w:qFormat/>
    <w:uiPriority w:val="99"/>
    <w:pPr>
      <w:widowControl w:val="0"/>
      <w:textAlignment w:val="center"/>
    </w:pPr>
    <w:rPr>
      <w:rFonts w:ascii="黑体" w:hAnsi="Times New Roman" w:eastAsia="黑体" w:cs="Times New Roman"/>
      <w:sz w:val="21"/>
      <w:szCs w:val="21"/>
      <w:lang w:val="en-US" w:eastAsia="zh-CN" w:bidi="ar-SA"/>
    </w:rPr>
  </w:style>
  <w:style w:type="paragraph" w:customStyle="1" w:styleId="394">
    <w:name w:val="p0"/>
    <w:basedOn w:val="1"/>
    <w:qFormat/>
    <w:uiPriority w:val="99"/>
    <w:pPr>
      <w:widowControl/>
    </w:pPr>
    <w:rPr>
      <w:kern w:val="0"/>
      <w:szCs w:val="21"/>
    </w:rPr>
  </w:style>
  <w:style w:type="paragraph" w:customStyle="1" w:styleId="395">
    <w:name w:val="其他实施日期"/>
    <w:basedOn w:val="230"/>
    <w:qFormat/>
    <w:uiPriority w:val="99"/>
  </w:style>
  <w:style w:type="paragraph" w:customStyle="1" w:styleId="396">
    <w:name w:val="无间隔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97">
    <w:name w:val="Char Char1 Char Char Char Char Char Char Char Char"/>
    <w:basedOn w:val="1"/>
    <w:qFormat/>
    <w:uiPriority w:val="99"/>
  </w:style>
  <w:style w:type="paragraph" w:customStyle="1" w:styleId="398">
    <w:name w:val="z-窗体底端2"/>
    <w:basedOn w:val="1"/>
    <w:next w:val="1"/>
    <w:qFormat/>
    <w:uiPriority w:val="99"/>
    <w:pPr>
      <w:widowControl/>
      <w:pBdr>
        <w:top w:val="single" w:color="auto" w:sz="6" w:space="1"/>
      </w:pBdr>
      <w:jc w:val="center"/>
    </w:pPr>
    <w:rPr>
      <w:rFonts w:ascii="Arial" w:hAnsi="Arial"/>
      <w:vanish/>
      <w:kern w:val="0"/>
      <w:sz w:val="16"/>
      <w:szCs w:val="16"/>
    </w:rPr>
  </w:style>
  <w:style w:type="paragraph" w:customStyle="1" w:styleId="399">
    <w:name w:val="p16"/>
    <w:basedOn w:val="1"/>
    <w:qFormat/>
    <w:uiPriority w:val="99"/>
    <w:pPr>
      <w:widowControl/>
    </w:pPr>
    <w:rPr>
      <w:rFonts w:ascii="宋体" w:hAnsi="宋体" w:cs="宋体"/>
      <w:kern w:val="0"/>
      <w:szCs w:val="21"/>
    </w:rPr>
  </w:style>
  <w:style w:type="paragraph" w:customStyle="1" w:styleId="400">
    <w:name w:val="三级无"/>
    <w:basedOn w:val="253"/>
    <w:qFormat/>
    <w:uiPriority w:val="99"/>
    <w:pPr>
      <w:numPr>
        <w:numId w:val="0"/>
      </w:numPr>
      <w:spacing w:beforeLines="0" w:afterLines="0"/>
    </w:pPr>
    <w:rPr>
      <w:rFonts w:ascii="宋体" w:eastAsia="宋体"/>
    </w:rPr>
  </w:style>
  <w:style w:type="paragraph" w:customStyle="1" w:styleId="401">
    <w:name w:val="目录"/>
    <w:next w:val="1"/>
    <w:qFormat/>
    <w:uiPriority w:val="99"/>
    <w:pPr>
      <w:spacing w:beforeLines="200"/>
      <w:jc w:val="center"/>
    </w:pPr>
    <w:rPr>
      <w:rFonts w:ascii="Arial" w:hAnsi="Arial" w:eastAsia="黑体" w:cs="宋体"/>
      <w:bCs/>
      <w:kern w:val="2"/>
      <w:sz w:val="48"/>
      <w:lang w:val="en-US" w:eastAsia="zh-CN" w:bidi="ar-SA"/>
    </w:rPr>
  </w:style>
  <w:style w:type="paragraph" w:customStyle="1" w:styleId="402">
    <w:name w:val="封面标准代替信息"/>
    <w:qFormat/>
    <w:uiPriority w:val="99"/>
    <w:pPr>
      <w:spacing w:before="57" w:line="280" w:lineRule="exact"/>
      <w:jc w:val="right"/>
    </w:pPr>
    <w:rPr>
      <w:rFonts w:ascii="宋体" w:hAnsi="Times New Roman" w:eastAsia="宋体" w:cs="Times New Roman"/>
      <w:sz w:val="21"/>
      <w:szCs w:val="21"/>
      <w:lang w:val="en-US" w:eastAsia="zh-CN" w:bidi="ar-SA"/>
    </w:rPr>
  </w:style>
  <w:style w:type="paragraph" w:customStyle="1" w:styleId="403">
    <w:name w:val="其他发布部门"/>
    <w:basedOn w:val="390"/>
    <w:qFormat/>
    <w:uiPriority w:val="99"/>
    <w:pPr>
      <w:spacing w:line="240" w:lineRule="atLeast"/>
    </w:pPr>
    <w:rPr>
      <w:rFonts w:ascii="黑体" w:eastAsia="黑体"/>
      <w:b w:val="0"/>
    </w:rPr>
  </w:style>
  <w:style w:type="paragraph" w:customStyle="1" w:styleId="404">
    <w:name w:val="p21"/>
    <w:basedOn w:val="1"/>
    <w:qFormat/>
    <w:uiPriority w:val="99"/>
    <w:pPr>
      <w:widowControl/>
      <w:pBdr>
        <w:bottom w:val="single" w:color="000000" w:sz="6" w:space="1"/>
      </w:pBdr>
      <w:jc w:val="center"/>
    </w:pPr>
    <w:rPr>
      <w:kern w:val="0"/>
      <w:sz w:val="18"/>
      <w:szCs w:val="18"/>
    </w:rPr>
  </w:style>
  <w:style w:type="paragraph" w:customStyle="1" w:styleId="405">
    <w:name w:val="p22"/>
    <w:basedOn w:val="1"/>
    <w:qFormat/>
    <w:uiPriority w:val="99"/>
    <w:pPr>
      <w:widowControl/>
    </w:pPr>
    <w:rPr>
      <w:kern w:val="0"/>
      <w:szCs w:val="21"/>
    </w:rPr>
  </w:style>
  <w:style w:type="paragraph" w:customStyle="1" w:styleId="406">
    <w:name w:val="p23"/>
    <w:basedOn w:val="1"/>
    <w:qFormat/>
    <w:uiPriority w:val="99"/>
    <w:pPr>
      <w:widowControl/>
      <w:spacing w:before="100" w:after="100"/>
      <w:jc w:val="left"/>
    </w:pPr>
    <w:rPr>
      <w:rFonts w:ascii="宋体" w:hAnsi="宋体" w:cs="宋体"/>
      <w:kern w:val="0"/>
      <w:sz w:val="24"/>
    </w:rPr>
  </w:style>
  <w:style w:type="paragraph" w:customStyle="1" w:styleId="407">
    <w:name w:val="p24"/>
    <w:basedOn w:val="1"/>
    <w:qFormat/>
    <w:uiPriority w:val="99"/>
    <w:pPr>
      <w:widowControl/>
      <w:jc w:val="left"/>
    </w:pPr>
    <w:rPr>
      <w:kern w:val="0"/>
      <w:sz w:val="18"/>
      <w:szCs w:val="18"/>
    </w:rPr>
  </w:style>
  <w:style w:type="character" w:customStyle="1" w:styleId="408">
    <w:name w:val="正文缩进 Char"/>
    <w:link w:val="8"/>
    <w:qFormat/>
    <w:locked/>
    <w:uiPriority w:val="99"/>
    <w:rPr>
      <w:kern w:val="2"/>
      <w:sz w:val="21"/>
    </w:rPr>
  </w:style>
  <w:style w:type="character" w:customStyle="1" w:styleId="409">
    <w:name w:val="普通文字 Char Char2"/>
    <w:qFormat/>
    <w:uiPriority w:val="99"/>
    <w:rPr>
      <w:rFonts w:ascii="宋体" w:hAnsi="Courier New" w:eastAsia="宋体"/>
      <w:b/>
      <w:i/>
      <w:color w:val="000000"/>
      <w:kern w:val="2"/>
      <w:sz w:val="21"/>
      <w:lang w:val="en-US" w:eastAsia="zh-CN"/>
    </w:rPr>
  </w:style>
  <w:style w:type="character" w:customStyle="1" w:styleId="410">
    <w:name w:val="Char Char4"/>
    <w:qFormat/>
    <w:uiPriority w:val="99"/>
    <w:rPr>
      <w:rFonts w:ascii="宋体" w:hAnsi="Courier New" w:eastAsia="宋体"/>
      <w:kern w:val="2"/>
      <w:sz w:val="21"/>
      <w:lang w:val="en-US" w:eastAsia="zh-CN"/>
    </w:rPr>
  </w:style>
  <w:style w:type="character" w:customStyle="1" w:styleId="411">
    <w:name w:val="纯文本 Char"/>
    <w:link w:val="29"/>
    <w:qFormat/>
    <w:locked/>
    <w:uiPriority w:val="99"/>
    <w:rPr>
      <w:rFonts w:ascii="宋体" w:hAnsi="Courier New" w:eastAsia="宋体"/>
      <w:kern w:val="2"/>
      <w:sz w:val="21"/>
      <w:lang w:val="en-US" w:eastAsia="zh-CN"/>
    </w:rPr>
  </w:style>
  <w:style w:type="character" w:customStyle="1" w:styleId="412">
    <w:name w:val="普通(网站) Char"/>
    <w:link w:val="54"/>
    <w:qFormat/>
    <w:locked/>
    <w:uiPriority w:val="99"/>
    <w:rPr>
      <w:rFonts w:ascii="宋体" w:eastAsia="宋体"/>
      <w:sz w:val="24"/>
    </w:rPr>
  </w:style>
  <w:style w:type="character" w:customStyle="1" w:styleId="413">
    <w:name w:val="apple-converted-space"/>
    <w:qFormat/>
    <w:uiPriority w:val="99"/>
    <w:rPr>
      <w:rFonts w:cs="Times New Roman"/>
    </w:rPr>
  </w:style>
  <w:style w:type="character" w:customStyle="1" w:styleId="414">
    <w:name w:val="Char Char2"/>
    <w:qFormat/>
    <w:uiPriority w:val="99"/>
    <w:rPr>
      <w:rFonts w:ascii="宋体" w:hAnsi="宋体" w:eastAsia="宋体"/>
      <w:kern w:val="2"/>
      <w:sz w:val="24"/>
      <w:lang w:val="en-US" w:eastAsia="zh-CN"/>
    </w:rPr>
  </w:style>
  <w:style w:type="character" w:customStyle="1" w:styleId="415">
    <w:name w:val="无间隔 Char"/>
    <w:link w:val="106"/>
    <w:qFormat/>
    <w:locked/>
    <w:uiPriority w:val="99"/>
    <w:rPr>
      <w:rFonts w:ascii="Calibri" w:hAnsi="Calibri"/>
      <w:sz w:val="22"/>
      <w:lang w:val="en-US" w:eastAsia="zh-CN"/>
    </w:rPr>
  </w:style>
  <w:style w:type="character" w:customStyle="1" w:styleId="416">
    <w:name w:val="case31"/>
    <w:qFormat/>
    <w:uiPriority w:val="99"/>
    <w:rPr>
      <w:sz w:val="21"/>
    </w:rPr>
  </w:style>
  <w:style w:type="character" w:customStyle="1" w:styleId="417">
    <w:name w:val="样式 body + 仿宋_GB2312 三号"/>
    <w:qFormat/>
    <w:uiPriority w:val="99"/>
    <w:rPr>
      <w:rFonts w:ascii="宋体" w:eastAsia="宋体"/>
      <w:kern w:val="0"/>
      <w:sz w:val="24"/>
      <w:lang w:val="en-US" w:eastAsia="zh-CN"/>
    </w:rPr>
  </w:style>
  <w:style w:type="character" w:customStyle="1" w:styleId="418">
    <w:name w:val="14"/>
    <w:qFormat/>
    <w:uiPriority w:val="99"/>
    <w:rPr>
      <w:rFonts w:cs="Times New Roman"/>
    </w:rPr>
  </w:style>
  <w:style w:type="character" w:customStyle="1" w:styleId="419">
    <w:name w:val="lb1"/>
    <w:qFormat/>
    <w:uiPriority w:val="99"/>
    <w:rPr>
      <w:b/>
      <w:color w:val="0851A5"/>
      <w:sz w:val="27"/>
    </w:rPr>
  </w:style>
  <w:style w:type="character" w:customStyle="1" w:styleId="420">
    <w:name w:val="textcontents"/>
    <w:qFormat/>
    <w:uiPriority w:val="99"/>
    <w:rPr>
      <w:rFonts w:cs="Times New Roman"/>
    </w:rPr>
  </w:style>
  <w:style w:type="character" w:customStyle="1" w:styleId="421">
    <w:name w:val="Char Char Char"/>
    <w:qFormat/>
    <w:uiPriority w:val="99"/>
    <w:rPr>
      <w:rFonts w:ascii="宋体" w:hAnsi="Courier New" w:eastAsia="宋体"/>
      <w:kern w:val="2"/>
      <w:sz w:val="21"/>
      <w:lang w:val="en-US" w:eastAsia="zh-CN"/>
    </w:rPr>
  </w:style>
  <w:style w:type="character" w:customStyle="1" w:styleId="422">
    <w:name w:val="题注 Char"/>
    <w:link w:val="16"/>
    <w:qFormat/>
    <w:locked/>
    <w:uiPriority w:val="99"/>
    <w:rPr>
      <w:rFonts w:ascii="Arial" w:hAnsi="Arial" w:eastAsia="黑体"/>
      <w:kern w:val="2"/>
    </w:rPr>
  </w:style>
  <w:style w:type="character" w:customStyle="1" w:styleId="423">
    <w:name w:val="正文 + 宋体 Char"/>
    <w:link w:val="158"/>
    <w:qFormat/>
    <w:locked/>
    <w:uiPriority w:val="99"/>
    <w:rPr>
      <w:rFonts w:ascii="宋体" w:eastAsia="宋体"/>
      <w:b/>
      <w:sz w:val="24"/>
    </w:rPr>
  </w:style>
  <w:style w:type="character" w:customStyle="1" w:styleId="424">
    <w:name w:val="2级标题 Char"/>
    <w:link w:val="159"/>
    <w:qFormat/>
    <w:locked/>
    <w:uiPriority w:val="99"/>
    <w:rPr>
      <w:rFonts w:ascii="黑体" w:hAnsi="黑体" w:eastAsia="黑体"/>
      <w:kern w:val="0"/>
      <w:sz w:val="20"/>
      <w:szCs w:val="36"/>
      <w:lang w:eastAsia="en-US"/>
    </w:rPr>
  </w:style>
  <w:style w:type="character" w:customStyle="1" w:styleId="425">
    <w:name w:val="font51"/>
    <w:qFormat/>
    <w:uiPriority w:val="99"/>
    <w:rPr>
      <w:rFonts w:ascii="宋体" w:hAnsi="宋体" w:eastAsia="宋体"/>
      <w:color w:val="000000"/>
      <w:sz w:val="18"/>
      <w:vertAlign w:val="superscript"/>
    </w:rPr>
  </w:style>
  <w:style w:type="character" w:customStyle="1" w:styleId="426">
    <w:name w:val="页眉 Char1"/>
    <w:semiHidden/>
    <w:qFormat/>
    <w:uiPriority w:val="99"/>
    <w:rPr>
      <w:kern w:val="2"/>
      <w:sz w:val="18"/>
    </w:rPr>
  </w:style>
  <w:style w:type="character" w:customStyle="1" w:styleId="427">
    <w:name w:val="正文四号 Char"/>
    <w:link w:val="160"/>
    <w:qFormat/>
    <w:locked/>
    <w:uiPriority w:val="99"/>
    <w:rPr>
      <w:rFonts w:eastAsia="仿宋"/>
      <w:sz w:val="28"/>
    </w:rPr>
  </w:style>
  <w:style w:type="character" w:customStyle="1" w:styleId="428">
    <w:name w:val="font01"/>
    <w:qFormat/>
    <w:uiPriority w:val="99"/>
    <w:rPr>
      <w:rFonts w:ascii="Helvetica" w:hAnsi="Helvetica" w:eastAsia="Times New Roman"/>
      <w:color w:val="000000"/>
      <w:sz w:val="20"/>
    </w:rPr>
  </w:style>
  <w:style w:type="character" w:customStyle="1" w:styleId="429">
    <w:name w:val="hps"/>
    <w:qFormat/>
    <w:uiPriority w:val="99"/>
  </w:style>
  <w:style w:type="character" w:customStyle="1" w:styleId="430">
    <w:name w:val="段 Char"/>
    <w:link w:val="161"/>
    <w:qFormat/>
    <w:locked/>
    <w:uiPriority w:val="99"/>
    <w:rPr>
      <w:rFonts w:ascii="宋体"/>
      <w:sz w:val="21"/>
    </w:rPr>
  </w:style>
  <w:style w:type="character" w:customStyle="1" w:styleId="431">
    <w:name w:val="3zw"/>
    <w:qFormat/>
    <w:uiPriority w:val="99"/>
    <w:rPr>
      <w:rFonts w:cs="Times New Roman"/>
    </w:rPr>
  </w:style>
  <w:style w:type="character" w:customStyle="1" w:styleId="432">
    <w:name w:val="op_dict_text2"/>
    <w:qFormat/>
    <w:uiPriority w:val="99"/>
  </w:style>
  <w:style w:type="character" w:customStyle="1" w:styleId="433">
    <w:name w:val="font41"/>
    <w:qFormat/>
    <w:uiPriority w:val="99"/>
    <w:rPr>
      <w:rFonts w:ascii="宋体" w:hAnsi="宋体" w:eastAsia="宋体"/>
      <w:color w:val="000000"/>
      <w:sz w:val="18"/>
      <w:vertAlign w:val="superscript"/>
    </w:rPr>
  </w:style>
  <w:style w:type="character" w:customStyle="1" w:styleId="434">
    <w:name w:val="标题2新 Char"/>
    <w:link w:val="162"/>
    <w:qFormat/>
    <w:locked/>
    <w:uiPriority w:val="99"/>
    <w:rPr>
      <w:rFonts w:ascii="黑体" w:hAnsi="黑体" w:eastAsia="黑体"/>
    </w:rPr>
  </w:style>
  <w:style w:type="character" w:customStyle="1" w:styleId="435">
    <w:name w:val="一级条标题 Char"/>
    <w:link w:val="163"/>
    <w:qFormat/>
    <w:locked/>
    <w:uiPriority w:val="99"/>
    <w:rPr>
      <w:rFonts w:ascii="黑体" w:eastAsia="黑体"/>
      <w:kern w:val="0"/>
      <w:szCs w:val="21"/>
    </w:rPr>
  </w:style>
  <w:style w:type="character" w:customStyle="1" w:styleId="436">
    <w:name w:val="content3"/>
    <w:qFormat/>
    <w:uiPriority w:val="99"/>
  </w:style>
  <w:style w:type="character" w:customStyle="1" w:styleId="437">
    <w:name w:val="ast"/>
    <w:qFormat/>
    <w:uiPriority w:val="99"/>
  </w:style>
  <w:style w:type="character" w:customStyle="1" w:styleId="438">
    <w:name w:val="z-窗体底端 Char"/>
    <w:link w:val="164"/>
    <w:qFormat/>
    <w:locked/>
    <w:uiPriority w:val="99"/>
    <w:rPr>
      <w:rFonts w:ascii="Arial" w:hAnsi="Arial" w:eastAsia="Times New Roman"/>
      <w:vanish/>
      <w:sz w:val="16"/>
    </w:rPr>
  </w:style>
  <w:style w:type="character" w:customStyle="1" w:styleId="439">
    <w:name w:val="HTML 预设格式 Char1"/>
    <w:qFormat/>
    <w:uiPriority w:val="99"/>
    <w:rPr>
      <w:rFonts w:ascii="Courier New" w:hAnsi="Courier New"/>
      <w:kern w:val="2"/>
    </w:rPr>
  </w:style>
  <w:style w:type="character" w:customStyle="1" w:styleId="440">
    <w:name w:val="content1"/>
    <w:qFormat/>
    <w:uiPriority w:val="99"/>
    <w:rPr>
      <w:sz w:val="18"/>
    </w:rPr>
  </w:style>
  <w:style w:type="character" w:customStyle="1" w:styleId="441">
    <w:name w:val="f111"/>
    <w:qFormat/>
    <w:uiPriority w:val="99"/>
    <w:rPr>
      <w:sz w:val="22"/>
    </w:rPr>
  </w:style>
  <w:style w:type="character" w:customStyle="1" w:styleId="442">
    <w:name w:val="正文文本 Char1"/>
    <w:qFormat/>
    <w:uiPriority w:val="99"/>
    <w:rPr>
      <w:rFonts w:ascii="金山简黑体" w:hAnsi="Courier New" w:eastAsia="金山简黑体"/>
      <w:b/>
      <w:spacing w:val="-8"/>
      <w:kern w:val="2"/>
      <w:sz w:val="44"/>
    </w:rPr>
  </w:style>
  <w:style w:type="character" w:customStyle="1" w:styleId="443">
    <w:name w:val="个人答复风格"/>
    <w:qFormat/>
    <w:uiPriority w:val="99"/>
    <w:rPr>
      <w:rFonts w:ascii="Arial" w:hAnsi="Arial" w:eastAsia="宋体"/>
      <w:color w:val="auto"/>
      <w:sz w:val="20"/>
    </w:rPr>
  </w:style>
  <w:style w:type="character" w:customStyle="1" w:styleId="444">
    <w:name w:val="number"/>
    <w:qFormat/>
    <w:uiPriority w:val="99"/>
  </w:style>
  <w:style w:type="character" w:customStyle="1" w:styleId="445">
    <w:name w:val="font21"/>
    <w:qFormat/>
    <w:uiPriority w:val="99"/>
    <w:rPr>
      <w:rFonts w:ascii="宋体" w:hAnsi="宋体" w:eastAsia="宋体"/>
      <w:color w:val="000000"/>
      <w:sz w:val="18"/>
      <w:vertAlign w:val="superscript"/>
    </w:rPr>
  </w:style>
  <w:style w:type="character" w:customStyle="1" w:styleId="446">
    <w:name w:val="脚注文本 Char1"/>
    <w:qFormat/>
    <w:uiPriority w:val="99"/>
    <w:rPr>
      <w:rFonts w:ascii="宋体" w:hAnsi="Courier New"/>
      <w:kern w:val="2"/>
      <w:sz w:val="18"/>
    </w:rPr>
  </w:style>
  <w:style w:type="character" w:customStyle="1" w:styleId="447">
    <w:name w:val="h11"/>
    <w:qFormat/>
    <w:uiPriority w:val="99"/>
    <w:rPr>
      <w:rFonts w:ascii="Courier New" w:hAnsi="Courier New" w:eastAsia="宋体"/>
      <w:b/>
      <w:sz w:val="24"/>
      <w:lang w:val="en-US" w:eastAsia="zh-CN"/>
    </w:rPr>
  </w:style>
  <w:style w:type="character" w:customStyle="1" w:styleId="448">
    <w:name w:val="个人撰写风格"/>
    <w:qFormat/>
    <w:uiPriority w:val="99"/>
    <w:rPr>
      <w:rFonts w:ascii="Arial" w:hAnsi="Arial" w:eastAsia="宋体"/>
      <w:color w:val="auto"/>
      <w:sz w:val="20"/>
    </w:rPr>
  </w:style>
  <w:style w:type="character" w:customStyle="1" w:styleId="449">
    <w:name w:val="样式1 Char"/>
    <w:link w:val="165"/>
    <w:qFormat/>
    <w:locked/>
    <w:uiPriority w:val="99"/>
    <w:rPr>
      <w:sz w:val="24"/>
    </w:rPr>
  </w:style>
  <w:style w:type="character" w:customStyle="1" w:styleId="450">
    <w:name w:val="main5"/>
    <w:qFormat/>
    <w:uiPriority w:val="99"/>
    <w:rPr>
      <w:color w:val="000000"/>
      <w:sz w:val="20"/>
    </w:rPr>
  </w:style>
  <w:style w:type="character" w:customStyle="1" w:styleId="451">
    <w:name w:val="自创3级 Char"/>
    <w:link w:val="166"/>
    <w:qFormat/>
    <w:locked/>
    <w:uiPriority w:val="99"/>
    <w:rPr>
      <w:rFonts w:ascii="黑体" w:hAnsi="黑体" w:eastAsia="黑体"/>
      <w:b/>
      <w:kern w:val="0"/>
      <w:sz w:val="28"/>
      <w:szCs w:val="28"/>
    </w:rPr>
  </w:style>
  <w:style w:type="character" w:customStyle="1" w:styleId="452">
    <w:name w:val="自创4级 Char"/>
    <w:link w:val="167"/>
    <w:qFormat/>
    <w:locked/>
    <w:uiPriority w:val="99"/>
    <w:rPr>
      <w:rFonts w:ascii="黑体" w:hAnsi="黑体" w:eastAsia="黑体"/>
      <w:bCs/>
      <w:kern w:val="0"/>
      <w:sz w:val="24"/>
      <w:szCs w:val="24"/>
    </w:rPr>
  </w:style>
  <w:style w:type="character" w:customStyle="1" w:styleId="453">
    <w:name w:val="并列项-点 Char"/>
    <w:link w:val="168"/>
    <w:qFormat/>
    <w:locked/>
    <w:uiPriority w:val="99"/>
    <w:rPr>
      <w:sz w:val="24"/>
    </w:rPr>
  </w:style>
  <w:style w:type="character" w:customStyle="1" w:styleId="454">
    <w:name w:val="二级条标题 Char"/>
    <w:link w:val="169"/>
    <w:qFormat/>
    <w:locked/>
    <w:uiPriority w:val="99"/>
    <w:rPr>
      <w:rFonts w:ascii="黑体" w:eastAsia="黑体"/>
      <w:sz w:val="21"/>
    </w:rPr>
  </w:style>
  <w:style w:type="character" w:customStyle="1" w:styleId="455">
    <w:name w:val="text11"/>
    <w:qFormat/>
    <w:uiPriority w:val="99"/>
    <w:rPr>
      <w:rFonts w:ascii="Verdana" w:hAnsi="Verdana"/>
      <w:color w:val="4E4E4E"/>
      <w:sz w:val="18"/>
    </w:rPr>
  </w:style>
  <w:style w:type="character" w:customStyle="1" w:styleId="456">
    <w:name w:val="标题 3 Char1"/>
    <w:link w:val="170"/>
    <w:qFormat/>
    <w:locked/>
    <w:uiPriority w:val="99"/>
    <w:rPr>
      <w:rFonts w:ascii="Calibri" w:hAnsi="Calibri"/>
      <w:b/>
      <w:sz w:val="32"/>
    </w:rPr>
  </w:style>
  <w:style w:type="character" w:customStyle="1" w:styleId="457">
    <w:name w:val="自创2级 Char"/>
    <w:link w:val="171"/>
    <w:qFormat/>
    <w:locked/>
    <w:uiPriority w:val="99"/>
    <w:rPr>
      <w:rFonts w:ascii="黑体" w:hAnsi="黑体" w:eastAsia="黑体"/>
      <w:b/>
      <w:bCs/>
      <w:kern w:val="0"/>
      <w:sz w:val="30"/>
      <w:szCs w:val="30"/>
    </w:rPr>
  </w:style>
  <w:style w:type="character" w:customStyle="1" w:styleId="458">
    <w:name w:val="def"/>
    <w:qFormat/>
    <w:uiPriority w:val="99"/>
  </w:style>
  <w:style w:type="character" w:customStyle="1" w:styleId="459">
    <w:name w:val="apple-style-span"/>
    <w:qFormat/>
    <w:uiPriority w:val="99"/>
    <w:rPr>
      <w:rFonts w:cs="Times New Roman"/>
    </w:rPr>
  </w:style>
  <w:style w:type="character" w:customStyle="1" w:styleId="460">
    <w:name w:val="Char Char5"/>
    <w:qFormat/>
    <w:locked/>
    <w:uiPriority w:val="99"/>
    <w:rPr>
      <w:rFonts w:ascii="宋体" w:hAnsi="Courier New" w:eastAsia="宋体"/>
      <w:spacing w:val="-4"/>
      <w:kern w:val="2"/>
      <w:sz w:val="18"/>
    </w:rPr>
  </w:style>
  <w:style w:type="character" w:customStyle="1" w:styleId="461">
    <w:name w:val="段 Char Char"/>
    <w:qFormat/>
    <w:uiPriority w:val="99"/>
    <w:rPr>
      <w:rFonts w:ascii="宋体"/>
      <w:sz w:val="21"/>
      <w:lang w:val="en-US" w:eastAsia="zh-CN"/>
    </w:rPr>
  </w:style>
  <w:style w:type="character" w:customStyle="1" w:styleId="462">
    <w:name w:val="z-窗体顶端 Char"/>
    <w:link w:val="172"/>
    <w:qFormat/>
    <w:locked/>
    <w:uiPriority w:val="99"/>
    <w:rPr>
      <w:rFonts w:ascii="Arial" w:hAnsi="Arial" w:eastAsia="Times New Roman"/>
      <w:vanish/>
      <w:sz w:val="16"/>
    </w:rPr>
  </w:style>
  <w:style w:type="character" w:customStyle="1" w:styleId="463">
    <w:name w:val="txt"/>
    <w:qFormat/>
    <w:uiPriority w:val="99"/>
    <w:rPr>
      <w:rFonts w:eastAsia="宋体"/>
      <w:sz w:val="24"/>
      <w:lang w:val="en-US" w:eastAsia="zh-CN"/>
    </w:rPr>
  </w:style>
  <w:style w:type="character" w:customStyle="1" w:styleId="464">
    <w:name w:val="自创表 Char"/>
    <w:link w:val="173"/>
    <w:qFormat/>
    <w:locked/>
    <w:uiPriority w:val="99"/>
    <w:rPr>
      <w:sz w:val="24"/>
    </w:rPr>
  </w:style>
  <w:style w:type="character" w:customStyle="1" w:styleId="465">
    <w:name w:val="orange_size1"/>
    <w:qFormat/>
    <w:uiPriority w:val="99"/>
    <w:rPr>
      <w:rFonts w:ascii="??" w:hAnsi="??"/>
      <w:color w:val="FF6600"/>
      <w:sz w:val="17"/>
    </w:rPr>
  </w:style>
  <w:style w:type="character" w:customStyle="1" w:styleId="466">
    <w:name w:val="纯文本 Char2"/>
    <w:qFormat/>
    <w:uiPriority w:val="99"/>
    <w:rPr>
      <w:rFonts w:ascii="宋体" w:hAnsi="Courier New" w:eastAsia="宋体"/>
      <w:kern w:val="2"/>
      <w:sz w:val="21"/>
      <w:lang w:val="en-US" w:eastAsia="zh-CN"/>
    </w:rPr>
  </w:style>
  <w:style w:type="character" w:customStyle="1" w:styleId="467">
    <w:name w:val="仿宋三号正文 Char"/>
    <w:link w:val="174"/>
    <w:qFormat/>
    <w:locked/>
    <w:uiPriority w:val="99"/>
    <w:rPr>
      <w:rFonts w:ascii="仿宋_GB2312" w:hAnsi="仿宋_GB2312" w:eastAsia="仿宋_GB2312"/>
      <w:sz w:val="32"/>
    </w:rPr>
  </w:style>
  <w:style w:type="character" w:customStyle="1" w:styleId="468">
    <w:name w:val="正文文本 Char"/>
    <w:qFormat/>
    <w:uiPriority w:val="99"/>
    <w:rPr>
      <w:rFonts w:ascii="金山简黑体" w:hAnsi="Courier New" w:eastAsia="金山简黑体"/>
      <w:b/>
      <w:spacing w:val="-8"/>
      <w:kern w:val="2"/>
      <w:sz w:val="44"/>
    </w:rPr>
  </w:style>
  <w:style w:type="character" w:customStyle="1" w:styleId="469">
    <w:name w:val="Char Char1"/>
    <w:qFormat/>
    <w:uiPriority w:val="99"/>
    <w:rPr>
      <w:rFonts w:ascii="宋体" w:hAnsi="Courier New" w:eastAsia="宋体"/>
      <w:kern w:val="2"/>
      <w:sz w:val="21"/>
      <w:lang w:val="en-US" w:eastAsia="zh-CN"/>
    </w:rPr>
  </w:style>
  <w:style w:type="character" w:customStyle="1" w:styleId="470">
    <w:name w:val="自创英 Char"/>
    <w:link w:val="175"/>
    <w:qFormat/>
    <w:locked/>
    <w:uiPriority w:val="99"/>
    <w:rPr>
      <w:sz w:val="24"/>
      <w:shd w:val="clear" w:color="auto" w:fill="F5F5F5"/>
    </w:rPr>
  </w:style>
  <w:style w:type="character" w:customStyle="1" w:styleId="471">
    <w:name w:val="七章格式正文 Char"/>
    <w:link w:val="176"/>
    <w:qFormat/>
    <w:locked/>
    <w:uiPriority w:val="99"/>
    <w:rPr>
      <w:sz w:val="24"/>
    </w:rPr>
  </w:style>
  <w:style w:type="character" w:customStyle="1" w:styleId="472">
    <w:name w:val="标题 Char1"/>
    <w:qFormat/>
    <w:uiPriority w:val="99"/>
    <w:rPr>
      <w:rFonts w:ascii="Calibri Light" w:hAnsi="Calibri Light"/>
      <w:b/>
      <w:kern w:val="2"/>
      <w:sz w:val="32"/>
    </w:rPr>
  </w:style>
  <w:style w:type="character" w:customStyle="1" w:styleId="473">
    <w:name w:val="首示例 Char"/>
    <w:link w:val="177"/>
    <w:qFormat/>
    <w:locked/>
    <w:uiPriority w:val="99"/>
    <w:rPr>
      <w:rFonts w:ascii="宋体" w:eastAsia="宋体"/>
      <w:sz w:val="18"/>
    </w:rPr>
  </w:style>
  <w:style w:type="character" w:customStyle="1" w:styleId="474">
    <w:name w:val="font61"/>
    <w:qFormat/>
    <w:uiPriority w:val="99"/>
    <w:rPr>
      <w:rFonts w:ascii="宋体" w:hAnsi="宋体" w:eastAsia="宋体"/>
      <w:color w:val="000000"/>
      <w:sz w:val="18"/>
    </w:rPr>
  </w:style>
  <w:style w:type="character" w:customStyle="1" w:styleId="475">
    <w:name w:val="标准正文 Char"/>
    <w:qFormat/>
    <w:uiPriority w:val="99"/>
    <w:rPr>
      <w:sz w:val="24"/>
    </w:rPr>
  </w:style>
  <w:style w:type="character" w:customStyle="1" w:styleId="476">
    <w:name w:val="样式1正文 Char"/>
    <w:link w:val="178"/>
    <w:qFormat/>
    <w:locked/>
    <w:uiPriority w:val="99"/>
    <w:rPr>
      <w:rFonts w:ascii="仿宋_GB2312" w:eastAsia="仿宋_GB2312"/>
      <w:sz w:val="24"/>
    </w:rPr>
  </w:style>
  <w:style w:type="character" w:customStyle="1" w:styleId="477">
    <w:name w:val="访问过的超链接1"/>
    <w:qFormat/>
    <w:uiPriority w:val="99"/>
    <w:rPr>
      <w:color w:val="800080"/>
      <w:u w:val="single"/>
    </w:rPr>
  </w:style>
  <w:style w:type="character" w:customStyle="1" w:styleId="478">
    <w:name w:val="publishtime"/>
    <w:qFormat/>
    <w:uiPriority w:val="99"/>
  </w:style>
  <w:style w:type="character" w:customStyle="1" w:styleId="479">
    <w:name w:val="发布"/>
    <w:qFormat/>
    <w:uiPriority w:val="99"/>
    <w:rPr>
      <w:rFonts w:ascii="黑体" w:eastAsia="黑体"/>
      <w:spacing w:val="85"/>
      <w:w w:val="100"/>
      <w:position w:val="3"/>
      <w:sz w:val="28"/>
    </w:rPr>
  </w:style>
  <w:style w:type="character" w:customStyle="1" w:styleId="480">
    <w:name w:val="px14"/>
    <w:qFormat/>
    <w:uiPriority w:val="99"/>
  </w:style>
  <w:style w:type="character" w:customStyle="1" w:styleId="481">
    <w:name w:val="4级标题 Char"/>
    <w:link w:val="179"/>
    <w:qFormat/>
    <w:locked/>
    <w:uiPriority w:val="99"/>
    <w:rPr>
      <w:rFonts w:ascii="黑体" w:hAnsi="黑体" w:eastAsia="黑体"/>
      <w:kern w:val="0"/>
      <w:sz w:val="20"/>
      <w:szCs w:val="24"/>
      <w:lang w:eastAsia="en-US"/>
    </w:rPr>
  </w:style>
  <w:style w:type="character" w:customStyle="1" w:styleId="482">
    <w:name w:val="style81"/>
    <w:qFormat/>
    <w:uiPriority w:val="99"/>
    <w:rPr>
      <w:rFonts w:ascii="Arial" w:hAnsi="Arial"/>
      <w:color w:val="333333"/>
      <w:sz w:val="31"/>
    </w:rPr>
  </w:style>
  <w:style w:type="character" w:customStyle="1" w:styleId="483">
    <w:name w:val="列出段落 Char"/>
    <w:link w:val="180"/>
    <w:qFormat/>
    <w:locked/>
    <w:uiPriority w:val="99"/>
    <w:rPr>
      <w:rFonts w:ascii="Calibri" w:hAnsi="Calibri"/>
    </w:rPr>
  </w:style>
  <w:style w:type="character" w:customStyle="1" w:styleId="484">
    <w:name w:val="标题 Char2"/>
    <w:qFormat/>
    <w:uiPriority w:val="99"/>
    <w:rPr>
      <w:rFonts w:ascii="Calibri Light" w:hAnsi="Calibri Light" w:eastAsia="宋体"/>
      <w:b/>
      <w:sz w:val="32"/>
    </w:rPr>
  </w:style>
  <w:style w:type="character" w:customStyle="1" w:styleId="485">
    <w:name w:val="HTML 地址 Char1"/>
    <w:qFormat/>
    <w:uiPriority w:val="99"/>
    <w:rPr>
      <w:rFonts w:ascii="宋体" w:hAnsi="Courier New"/>
      <w:i/>
      <w:kern w:val="2"/>
      <w:sz w:val="21"/>
    </w:rPr>
  </w:style>
  <w:style w:type="character" w:customStyle="1" w:styleId="486">
    <w:name w:val="3级标题 Char"/>
    <w:link w:val="181"/>
    <w:qFormat/>
    <w:locked/>
    <w:uiPriority w:val="99"/>
    <w:rPr>
      <w:rFonts w:ascii="黑体" w:hAnsi="黑体" w:eastAsia="黑体"/>
      <w:kern w:val="0"/>
      <w:sz w:val="20"/>
      <w:szCs w:val="36"/>
      <w:lang w:eastAsia="en-US"/>
    </w:rPr>
  </w:style>
  <w:style w:type="character" w:customStyle="1" w:styleId="487">
    <w:name w:val="正文缩进体 Char"/>
    <w:link w:val="182"/>
    <w:qFormat/>
    <w:locked/>
    <w:uiPriority w:val="99"/>
    <w:rPr>
      <w:sz w:val="21"/>
    </w:rPr>
  </w:style>
  <w:style w:type="character" w:customStyle="1" w:styleId="488">
    <w:name w:val="标题3新 Char"/>
    <w:link w:val="183"/>
    <w:qFormat/>
    <w:locked/>
    <w:uiPriority w:val="99"/>
    <w:rPr>
      <w:rFonts w:ascii="黑体" w:hAnsi="黑体" w:eastAsia="黑体"/>
    </w:rPr>
  </w:style>
  <w:style w:type="character" w:customStyle="1" w:styleId="489">
    <w:name w:val="重庆_正文样式 Char"/>
    <w:link w:val="184"/>
    <w:qFormat/>
    <w:locked/>
    <w:uiPriority w:val="99"/>
    <w:rPr>
      <w:sz w:val="28"/>
    </w:rPr>
  </w:style>
  <w:style w:type="character" w:customStyle="1" w:styleId="490">
    <w:name w:val="projectnumber"/>
    <w:qFormat/>
    <w:uiPriority w:val="99"/>
  </w:style>
  <w:style w:type="character" w:customStyle="1" w:styleId="491">
    <w:name w:val="已访问的超链接11"/>
    <w:qFormat/>
    <w:uiPriority w:val="99"/>
    <w:rPr>
      <w:color w:val="800080"/>
      <w:u w:val="single"/>
    </w:rPr>
  </w:style>
  <w:style w:type="character" w:customStyle="1" w:styleId="492">
    <w:name w:val="style6"/>
    <w:qFormat/>
    <w:uiPriority w:val="99"/>
    <w:rPr>
      <w:rFonts w:cs="Times New Roman"/>
    </w:rPr>
  </w:style>
  <w:style w:type="character" w:customStyle="1" w:styleId="493">
    <w:name w:val="附录公式 Char"/>
    <w:link w:val="185"/>
    <w:qFormat/>
    <w:locked/>
    <w:uiPriority w:val="99"/>
    <w:rPr>
      <w:rFonts w:ascii="宋体"/>
    </w:rPr>
  </w:style>
  <w:style w:type="character" w:customStyle="1" w:styleId="494">
    <w:name w:val="自创英文 Char"/>
    <w:link w:val="186"/>
    <w:qFormat/>
    <w:locked/>
    <w:uiPriority w:val="99"/>
    <w:rPr>
      <w:rFonts w:eastAsia="黑体"/>
      <w:sz w:val="24"/>
    </w:rPr>
  </w:style>
  <w:style w:type="character" w:customStyle="1" w:styleId="495">
    <w:name w:val="自创5级 Char"/>
    <w:link w:val="187"/>
    <w:qFormat/>
    <w:locked/>
    <w:uiPriority w:val="99"/>
    <w:rPr>
      <w:rFonts w:ascii="黑体" w:hAnsi="黑体" w:eastAsia="黑体"/>
      <w:sz w:val="24"/>
    </w:rPr>
  </w:style>
  <w:style w:type="character" w:customStyle="1" w:styleId="496">
    <w:name w:val="正文首行缩进 Char1"/>
    <w:qFormat/>
    <w:uiPriority w:val="99"/>
    <w:rPr>
      <w:rFonts w:ascii="宋体" w:hAnsi="Courier New" w:eastAsia="金山简黑体"/>
      <w:spacing w:val="-8"/>
      <w:kern w:val="2"/>
      <w:sz w:val="21"/>
    </w:rPr>
  </w:style>
  <w:style w:type="character" w:customStyle="1" w:styleId="497">
    <w:name w:val="style351"/>
    <w:qFormat/>
    <w:uiPriority w:val="99"/>
    <w:rPr>
      <w:sz w:val="15"/>
    </w:rPr>
  </w:style>
  <w:style w:type="character" w:customStyle="1" w:styleId="498">
    <w:name w:val="三级条标题 Char"/>
    <w:qFormat/>
    <w:uiPriority w:val="99"/>
    <w:rPr>
      <w:rFonts w:ascii="黑体" w:eastAsia="黑体"/>
      <w:sz w:val="21"/>
      <w:lang w:val="en-US" w:eastAsia="zh-CN"/>
    </w:rPr>
  </w:style>
  <w:style w:type="character" w:customStyle="1" w:styleId="499">
    <w:name w:val="尾注文本 Char1"/>
    <w:qFormat/>
    <w:uiPriority w:val="99"/>
    <w:rPr>
      <w:rFonts w:ascii="宋体" w:hAnsi="Courier New"/>
      <w:kern w:val="2"/>
      <w:sz w:val="21"/>
    </w:rPr>
  </w:style>
  <w:style w:type="character" w:customStyle="1" w:styleId="500">
    <w:name w:val="副标题 Char1"/>
    <w:qFormat/>
    <w:uiPriority w:val="99"/>
    <w:rPr>
      <w:rFonts w:ascii="Cambria" w:hAnsi="Cambria"/>
      <w:b/>
      <w:kern w:val="28"/>
      <w:sz w:val="32"/>
    </w:rPr>
  </w:style>
  <w:style w:type="character" w:customStyle="1" w:styleId="501">
    <w:name w:val="long_text1"/>
    <w:qFormat/>
    <w:uiPriority w:val="99"/>
    <w:rPr>
      <w:sz w:val="20"/>
    </w:rPr>
  </w:style>
  <w:style w:type="character" w:customStyle="1" w:styleId="502">
    <w:name w:val="atitle"/>
    <w:qFormat/>
    <w:uiPriority w:val="99"/>
  </w:style>
  <w:style w:type="character" w:customStyle="1" w:styleId="503">
    <w:name w:val="标准正文 Char Char"/>
    <w:link w:val="188"/>
    <w:qFormat/>
    <w:locked/>
    <w:uiPriority w:val="99"/>
    <w:rPr>
      <w:sz w:val="24"/>
    </w:rPr>
  </w:style>
  <w:style w:type="character" w:customStyle="1" w:styleId="504">
    <w:name w:val="书籍标题1"/>
    <w:qFormat/>
    <w:uiPriority w:val="99"/>
    <w:rPr>
      <w:b/>
      <w:smallCaps/>
      <w:spacing w:val="5"/>
    </w:rPr>
  </w:style>
  <w:style w:type="character" w:customStyle="1" w:styleId="505">
    <w:name w:val="一级条标题 Char Char"/>
    <w:qFormat/>
    <w:uiPriority w:val="99"/>
    <w:rPr>
      <w:rFonts w:ascii="黑体" w:eastAsia="黑体"/>
      <w:sz w:val="21"/>
    </w:rPr>
  </w:style>
  <w:style w:type="character" w:customStyle="1" w:styleId="506">
    <w:name w:val="填写内容说明"/>
    <w:qFormat/>
    <w:uiPriority w:val="99"/>
    <w:rPr>
      <w:i/>
      <w:color w:val="0000FF"/>
    </w:rPr>
  </w:style>
  <w:style w:type="character" w:customStyle="1" w:styleId="507">
    <w:name w:val="已访问的超链接1"/>
    <w:qFormat/>
    <w:uiPriority w:val="99"/>
    <w:rPr>
      <w:color w:val="800080"/>
      <w:u w:val="single"/>
    </w:rPr>
  </w:style>
  <w:style w:type="character" w:customStyle="1" w:styleId="508">
    <w:name w:val="样式6 Char"/>
    <w:qFormat/>
    <w:uiPriority w:val="99"/>
    <w:rPr>
      <w:rFonts w:ascii="宋体" w:eastAsia="宋体"/>
      <w:sz w:val="24"/>
    </w:rPr>
  </w:style>
  <w:style w:type="character" w:customStyle="1" w:styleId="509">
    <w:name w:val="自创正文 Char"/>
    <w:link w:val="189"/>
    <w:qFormat/>
    <w:locked/>
    <w:uiPriority w:val="99"/>
    <w:rPr>
      <w:rFonts w:ascii="宋体" w:eastAsia="宋体"/>
      <w:sz w:val="24"/>
    </w:rPr>
  </w:style>
  <w:style w:type="character" w:customStyle="1" w:styleId="510">
    <w:name w:val="*正文 Char"/>
    <w:link w:val="190"/>
    <w:qFormat/>
    <w:locked/>
    <w:uiPriority w:val="99"/>
    <w:rPr>
      <w:rFonts w:ascii="宋体" w:eastAsia="宋体"/>
      <w:sz w:val="21"/>
    </w:rPr>
  </w:style>
  <w:style w:type="character" w:customStyle="1" w:styleId="511">
    <w:name w:val="脚注文本 Char2"/>
    <w:semiHidden/>
    <w:qFormat/>
    <w:uiPriority w:val="99"/>
    <w:rPr>
      <w:kern w:val="2"/>
      <w:sz w:val="18"/>
    </w:rPr>
  </w:style>
  <w:style w:type="character" w:customStyle="1" w:styleId="512">
    <w:name w:val="正文首行缩进 Char2"/>
    <w:qFormat/>
    <w:uiPriority w:val="99"/>
    <w:rPr>
      <w:kern w:val="2"/>
      <w:sz w:val="24"/>
    </w:rPr>
  </w:style>
  <w:style w:type="character" w:customStyle="1" w:styleId="513">
    <w:name w:val="HTML 预设格式 Char2"/>
    <w:semiHidden/>
    <w:qFormat/>
    <w:uiPriority w:val="99"/>
    <w:rPr>
      <w:rFonts w:ascii="Courier New" w:hAnsi="Courier New"/>
      <w:kern w:val="2"/>
    </w:rPr>
  </w:style>
  <w:style w:type="character" w:customStyle="1" w:styleId="514">
    <w:name w:val="HTML 地址 Char2"/>
    <w:semiHidden/>
    <w:qFormat/>
    <w:uiPriority w:val="99"/>
    <w:rPr>
      <w:i/>
      <w:kern w:val="2"/>
      <w:sz w:val="24"/>
    </w:rPr>
  </w:style>
  <w:style w:type="character" w:customStyle="1" w:styleId="515">
    <w:name w:val="副标题 Char2"/>
    <w:qFormat/>
    <w:uiPriority w:val="99"/>
    <w:rPr>
      <w:rFonts w:ascii="Cambria" w:hAnsi="Cambria"/>
      <w:b/>
      <w:kern w:val="28"/>
      <w:sz w:val="32"/>
    </w:rPr>
  </w:style>
  <w:style w:type="character" w:customStyle="1" w:styleId="516">
    <w:name w:val="尾注文本 Char2"/>
    <w:semiHidden/>
    <w:qFormat/>
    <w:uiPriority w:val="99"/>
    <w:rPr>
      <w:kern w:val="2"/>
      <w:sz w:val="24"/>
    </w:rPr>
  </w:style>
  <w:style w:type="character" w:customStyle="1" w:styleId="517">
    <w:name w:val="标题 Char3"/>
    <w:qFormat/>
    <w:uiPriority w:val="99"/>
    <w:rPr>
      <w:rFonts w:ascii="Cambria" w:hAnsi="Cambria"/>
      <w:b/>
      <w:kern w:val="2"/>
      <w:sz w:val="32"/>
    </w:rPr>
  </w:style>
  <w:style w:type="character" w:customStyle="1" w:styleId="518">
    <w:name w:val="10"/>
    <w:qFormat/>
    <w:uiPriority w:val="99"/>
    <w:rPr>
      <w:rFonts w:ascii="Times New Roman" w:hAnsi="Times New Roman"/>
    </w:rPr>
  </w:style>
  <w:style w:type="character" w:customStyle="1" w:styleId="519">
    <w:name w:val="15"/>
    <w:qFormat/>
    <w:uiPriority w:val="99"/>
    <w:rPr>
      <w:rFonts w:ascii="宋体" w:hAnsi="宋体" w:eastAsia="宋体"/>
      <w:color w:val="000000"/>
      <w:sz w:val="18"/>
    </w:rPr>
  </w:style>
  <w:style w:type="character" w:customStyle="1" w:styleId="520">
    <w:name w:val="16"/>
    <w:qFormat/>
    <w:uiPriority w:val="99"/>
    <w:rPr>
      <w:rFonts w:ascii="宋体" w:hAnsi="宋体" w:eastAsia="宋体"/>
      <w:color w:val="000000"/>
      <w:sz w:val="18"/>
      <w:vertAlign w:val="superscript"/>
    </w:rPr>
  </w:style>
  <w:style w:type="character" w:customStyle="1" w:styleId="521">
    <w:name w:val="17"/>
    <w:qFormat/>
    <w:uiPriority w:val="99"/>
    <w:rPr>
      <w:rFonts w:ascii="Arial" w:hAnsi="Arial"/>
      <w:b/>
      <w:sz w:val="28"/>
    </w:rPr>
  </w:style>
  <w:style w:type="character" w:customStyle="1" w:styleId="522">
    <w:name w:val="18"/>
    <w:qFormat/>
    <w:uiPriority w:val="99"/>
    <w:rPr>
      <w:rFonts w:ascii="Helvetica" w:hAnsi="Helvetica"/>
      <w:color w:val="000000"/>
      <w:sz w:val="20"/>
    </w:rPr>
  </w:style>
  <w:style w:type="character" w:customStyle="1" w:styleId="523">
    <w:name w:val="19"/>
    <w:qFormat/>
    <w:uiPriority w:val="99"/>
    <w:rPr>
      <w:rFonts w:ascii="宋体" w:hAnsi="宋体" w:eastAsia="宋体"/>
      <w:color w:val="000000"/>
      <w:sz w:val="18"/>
      <w:vertAlign w:val="superscript"/>
    </w:rPr>
  </w:style>
  <w:style w:type="character" w:customStyle="1" w:styleId="524">
    <w:name w:val="20"/>
    <w:qFormat/>
    <w:uiPriority w:val="99"/>
    <w:rPr>
      <w:rFonts w:ascii="Times New Roman" w:hAnsi="Times New Roman"/>
    </w:rPr>
  </w:style>
  <w:style w:type="character" w:customStyle="1" w:styleId="525">
    <w:name w:val="纯文本 Char1"/>
    <w:qFormat/>
    <w:uiPriority w:val="99"/>
    <w:rPr>
      <w:rFonts w:ascii="宋体" w:hAnsi="Courier New" w:eastAsia="宋体"/>
      <w:sz w:val="20"/>
    </w:rPr>
  </w:style>
  <w:style w:type="paragraph" w:customStyle="1" w:styleId="52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527">
    <w:name w:val="正文2"/>
    <w:basedOn w:val="1"/>
    <w:qFormat/>
    <w:uiPriority w:val="0"/>
    <w:pPr>
      <w:spacing w:line="520" w:lineRule="exact"/>
      <w:ind w:firstLine="567"/>
    </w:pPr>
    <w:rPr>
      <w:rFonts w:eastAsia="仿宋_GB2312"/>
      <w:sz w:val="24"/>
    </w:rPr>
  </w:style>
  <w:style w:type="paragraph" w:styleId="528">
    <w:name w:val="List Paragraph"/>
    <w:basedOn w:val="1"/>
    <w:qFormat/>
    <w:uiPriority w:val="99"/>
    <w:pPr>
      <w:ind w:firstLine="420" w:firstLineChars="200"/>
    </w:pPr>
  </w:style>
  <w:style w:type="paragraph" w:customStyle="1" w:styleId="529">
    <w:name w:val="纯文本1"/>
    <w:basedOn w:val="1"/>
    <w:qFormat/>
    <w:uiPriority w:val="99"/>
    <w:rPr>
      <w:rFonts w:ascii="宋体" w:hAnsi="Courier New"/>
      <w:szCs w:val="22"/>
    </w:rPr>
  </w:style>
  <w:style w:type="character" w:customStyle="1" w:styleId="530">
    <w:name w:val="wuidatespan"/>
    <w:basedOn w:val="61"/>
    <w:qFormat/>
    <w:uiPriority w:val="0"/>
  </w:style>
  <w:style w:type="character" w:customStyle="1" w:styleId="531">
    <w:name w:val="edui-unclickable"/>
    <w:basedOn w:val="61"/>
    <w:qFormat/>
    <w:uiPriority w:val="0"/>
    <w:rPr>
      <w:color w:val="808080"/>
    </w:rPr>
  </w:style>
  <w:style w:type="character" w:customStyle="1" w:styleId="532">
    <w:name w:val="edui-clickable"/>
    <w:basedOn w:val="61"/>
    <w:qFormat/>
    <w:uiPriority w:val="0"/>
    <w:rPr>
      <w:color w:val="0000FF"/>
      <w:u w:val="single"/>
    </w:rPr>
  </w:style>
  <w:style w:type="character" w:customStyle="1" w:styleId="533">
    <w:name w:val="first-child"/>
    <w:basedOn w:val="61"/>
    <w:qFormat/>
    <w:uiPriority w:val="0"/>
    <w:rPr>
      <w:vanish/>
    </w:rPr>
  </w:style>
  <w:style w:type="character" w:customStyle="1" w:styleId="534">
    <w:name w:val="href"/>
    <w:basedOn w:val="61"/>
    <w:qFormat/>
    <w:uiPriority w:val="0"/>
    <w:rPr>
      <w:color w:val="0000FF"/>
      <w:u w:val="single"/>
    </w:rPr>
  </w:style>
  <w:style w:type="character" w:customStyle="1" w:styleId="535">
    <w:name w:val="edui-clickable2"/>
    <w:basedOn w:val="61"/>
    <w:qFormat/>
    <w:uiPriority w:val="0"/>
    <w:rPr>
      <w:color w:val="0000FF"/>
      <w:u w:val="single"/>
    </w:rPr>
  </w:style>
  <w:style w:type="character" w:customStyle="1" w:styleId="536">
    <w:name w:val="c-icon14"/>
    <w:basedOn w:val="61"/>
    <w:qFormat/>
    <w:uiPriority w:val="0"/>
  </w:style>
</w:styles>
</file>

<file path=word/_rels/document.xml.rels><?xml version="1.0" encoding="UTF-8" standalone="yes"?>
<Relationships xmlns="http://schemas.openxmlformats.org/package/2006/relationships"><Relationship Id="rId99" Type="http://schemas.openxmlformats.org/officeDocument/2006/relationships/customXml" Target="../customXml/item2.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80.png"/><Relationship Id="rId95" Type="http://schemas.openxmlformats.org/officeDocument/2006/relationships/image" Target="media/image79.emf"/><Relationship Id="rId94" Type="http://schemas.openxmlformats.org/officeDocument/2006/relationships/image" Target="media/image78.jpe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jpeg"/><Relationship Id="rId90" Type="http://schemas.openxmlformats.org/officeDocument/2006/relationships/image" Target="media/image74.png"/><Relationship Id="rId9" Type="http://schemas.openxmlformats.org/officeDocument/2006/relationships/footer" Target="footer4.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jpeg"/><Relationship Id="rId81" Type="http://schemas.openxmlformats.org/officeDocument/2006/relationships/image" Target="media/image65.jpeg"/><Relationship Id="rId80" Type="http://schemas.openxmlformats.org/officeDocument/2006/relationships/image" Target="media/image64.png"/><Relationship Id="rId8" Type="http://schemas.openxmlformats.org/officeDocument/2006/relationships/header" Target="header3.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oleObject" Target="embeddings/oleObject4.bin"/><Relationship Id="rId71" Type="http://schemas.openxmlformats.org/officeDocument/2006/relationships/image" Target="media/image56.png"/><Relationship Id="rId70" Type="http://schemas.openxmlformats.org/officeDocument/2006/relationships/oleObject" Target="embeddings/oleObject3.bin"/><Relationship Id="rId7" Type="http://schemas.openxmlformats.org/officeDocument/2006/relationships/header" Target="header2.xml"/><Relationship Id="rId69" Type="http://schemas.openxmlformats.org/officeDocument/2006/relationships/image" Target="media/image55.jpeg"/><Relationship Id="rId68" Type="http://schemas.openxmlformats.org/officeDocument/2006/relationships/image" Target="media/image54.png"/><Relationship Id="rId67" Type="http://schemas.openxmlformats.org/officeDocument/2006/relationships/oleObject" Target="embeddings/oleObject2.bin"/><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oleObject" Target="embeddings/oleObject1.bin"/><Relationship Id="rId6" Type="http://schemas.openxmlformats.org/officeDocument/2006/relationships/footer" Target="footer3.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emf"/><Relationship Id="rId31" Type="http://schemas.openxmlformats.org/officeDocument/2006/relationships/image" Target="media/image19.emf"/><Relationship Id="rId30" Type="http://schemas.openxmlformats.org/officeDocument/2006/relationships/image" Target="media/image18.emf"/><Relationship Id="rId3" Type="http://schemas.openxmlformats.org/officeDocument/2006/relationships/header" Target="header1.xml"/><Relationship Id="rId29" Type="http://schemas.openxmlformats.org/officeDocument/2006/relationships/image" Target="media/image17.emf"/><Relationship Id="rId28" Type="http://schemas.openxmlformats.org/officeDocument/2006/relationships/image" Target="media/image16.emf"/><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6.xml"/><Relationship Id="rId100" Type="http://schemas.openxmlformats.org/officeDocument/2006/relationships/fontTable" Target="fontTable.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Info spid="_x0000_s4100"/>
    <customShpInfo spid="_x0000_s40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960C7A-2578-4E00-8568-29D2CE97A33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18392</Words>
  <Characters>104838</Characters>
  <Lines>873</Lines>
  <Paragraphs>245</Paragraphs>
  <TotalTime>5</TotalTime>
  <ScaleCrop>false</ScaleCrop>
  <LinksUpToDate>false</LinksUpToDate>
  <CharactersWithSpaces>122985</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2019-07-05T06:41:00Z</dcterms:created>
  <dc:creator>User</dc:creator>
  <cp:lastModifiedBy>北纬33 ℃</cp:lastModifiedBy>
  <cp:lastPrinted>2019-10-15T02:35:00Z</cp:lastPrinted>
  <dcterms:modified xsi:type="dcterms:W3CDTF">2020-02-05T12:53:32Z</dcterms:modified>
  <dc:title>广西壮族自治区建设工程机电设备招标中心</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