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auto"/>
          <w:sz w:val="24"/>
          <w:szCs w:val="24"/>
          <w:highlight w:val="none"/>
          <w:vertAlign w:val="subscript"/>
        </w:rPr>
      </w:pPr>
    </w:p>
    <w:p>
      <w:pPr>
        <w:jc w:val="center"/>
        <w:rPr>
          <w:rFonts w:ascii="宋体"/>
          <w:b/>
          <w:bCs/>
          <w:color w:val="auto"/>
          <w:sz w:val="76"/>
          <w:szCs w:val="76"/>
          <w:highlight w:val="none"/>
        </w:rPr>
      </w:pPr>
      <w:r>
        <w:rPr>
          <w:rFonts w:hint="eastAsia" w:ascii="宋体" w:hAnsi="宋体" w:cs="宋体"/>
          <w:b/>
          <w:bCs/>
          <w:color w:val="auto"/>
          <w:sz w:val="56"/>
          <w:szCs w:val="56"/>
          <w:highlight w:val="none"/>
        </w:rPr>
        <w:t>南宁政府采购服务</w:t>
      </w:r>
    </w:p>
    <w:p>
      <w:pPr>
        <w:jc w:val="center"/>
        <w:rPr>
          <w:rFonts w:ascii="宋体"/>
          <w:b/>
          <w:bCs/>
          <w:color w:val="auto"/>
          <w:sz w:val="58"/>
          <w:szCs w:val="58"/>
          <w:highlight w:val="none"/>
        </w:rPr>
      </w:pPr>
    </w:p>
    <w:p>
      <w:pPr>
        <w:jc w:val="center"/>
        <w:rPr>
          <w:rFonts w:ascii="宋体"/>
          <w:b/>
          <w:bCs/>
          <w:color w:val="auto"/>
          <w:sz w:val="84"/>
          <w:szCs w:val="84"/>
          <w:highlight w:val="none"/>
        </w:rPr>
      </w:pPr>
      <w:r>
        <w:rPr>
          <w:rFonts w:hint="eastAsia" w:ascii="宋体" w:hAnsi="宋体" w:cs="宋体"/>
          <w:b/>
          <w:bCs/>
          <w:color w:val="auto"/>
          <w:sz w:val="84"/>
          <w:szCs w:val="84"/>
          <w:highlight w:val="none"/>
        </w:rPr>
        <w:t>公开招标文件</w:t>
      </w:r>
    </w:p>
    <w:p>
      <w:pPr>
        <w:jc w:val="center"/>
        <w:rPr>
          <w:rFonts w:ascii="宋体"/>
          <w:b/>
          <w:bCs/>
          <w:color w:val="auto"/>
          <w:sz w:val="56"/>
          <w:szCs w:val="56"/>
          <w:highlight w:val="none"/>
        </w:rPr>
      </w:pPr>
    </w:p>
    <w:p>
      <w:pPr>
        <w:pStyle w:val="24"/>
        <w:snapToGrid w:val="0"/>
        <w:ind w:firstLine="708" w:firstLineChars="196"/>
        <w:jc w:val="center"/>
        <w:rPr>
          <w:rFonts w:hAnsi="宋体" w:cs="Times New Roman"/>
          <w:b/>
          <w:bCs/>
          <w:color w:val="auto"/>
          <w:sz w:val="36"/>
          <w:szCs w:val="36"/>
          <w:highlight w:val="none"/>
        </w:rPr>
      </w:pPr>
    </w:p>
    <w:p>
      <w:pPr>
        <w:pStyle w:val="24"/>
        <w:snapToGrid w:val="0"/>
        <w:ind w:firstLine="708" w:firstLineChars="196"/>
        <w:jc w:val="center"/>
        <w:rPr>
          <w:rFonts w:hAnsi="宋体" w:cs="Times New Roman"/>
          <w:b/>
          <w:bCs/>
          <w:color w:val="auto"/>
          <w:sz w:val="36"/>
          <w:szCs w:val="36"/>
          <w:highlight w:val="none"/>
        </w:rPr>
      </w:pPr>
    </w:p>
    <w:p>
      <w:pPr>
        <w:pStyle w:val="24"/>
        <w:snapToGrid w:val="0"/>
        <w:ind w:firstLine="708" w:firstLineChars="196"/>
        <w:jc w:val="center"/>
        <w:rPr>
          <w:rFonts w:hAnsi="宋体" w:cs="Times New Roman"/>
          <w:b/>
          <w:bCs/>
          <w:color w:val="auto"/>
          <w:sz w:val="36"/>
          <w:szCs w:val="36"/>
          <w:highlight w:val="none"/>
        </w:rPr>
      </w:pPr>
    </w:p>
    <w:p>
      <w:pPr>
        <w:pStyle w:val="24"/>
        <w:snapToGrid w:val="0"/>
        <w:ind w:firstLine="708" w:firstLineChars="196"/>
        <w:jc w:val="center"/>
        <w:rPr>
          <w:rFonts w:hAnsi="宋体" w:cs="Times New Roman"/>
          <w:b/>
          <w:bCs/>
          <w:color w:val="auto"/>
          <w:sz w:val="36"/>
          <w:szCs w:val="36"/>
          <w:highlight w:val="none"/>
        </w:rPr>
      </w:pPr>
    </w:p>
    <w:p>
      <w:pPr>
        <w:pStyle w:val="24"/>
        <w:snapToGrid w:val="0"/>
        <w:ind w:firstLine="708" w:firstLineChars="196"/>
        <w:jc w:val="center"/>
        <w:rPr>
          <w:rFonts w:hAnsi="宋体" w:cs="Times New Roman"/>
          <w:b/>
          <w:bCs/>
          <w:color w:val="auto"/>
          <w:sz w:val="36"/>
          <w:szCs w:val="36"/>
          <w:highlight w:val="none"/>
        </w:rPr>
      </w:pPr>
    </w:p>
    <w:p>
      <w:pPr>
        <w:pStyle w:val="24"/>
        <w:snapToGrid w:val="0"/>
        <w:ind w:firstLine="708" w:firstLineChars="196"/>
        <w:jc w:val="center"/>
        <w:rPr>
          <w:rFonts w:hAnsi="宋体" w:cs="Times New Roman"/>
          <w:b/>
          <w:bCs/>
          <w:color w:val="auto"/>
          <w:sz w:val="36"/>
          <w:szCs w:val="36"/>
          <w:highlight w:val="none"/>
        </w:rPr>
      </w:pPr>
    </w:p>
    <w:p>
      <w:pPr>
        <w:pStyle w:val="24"/>
        <w:snapToGrid w:val="0"/>
        <w:ind w:firstLine="708" w:firstLineChars="196"/>
        <w:jc w:val="center"/>
        <w:rPr>
          <w:rFonts w:hAnsi="宋体" w:cs="Times New Roman"/>
          <w:b/>
          <w:bCs/>
          <w:color w:val="auto"/>
          <w:sz w:val="36"/>
          <w:szCs w:val="36"/>
          <w:highlight w:val="none"/>
        </w:rPr>
      </w:pPr>
    </w:p>
    <w:p>
      <w:pPr>
        <w:pStyle w:val="24"/>
        <w:snapToGrid w:val="0"/>
        <w:ind w:firstLine="708" w:firstLineChars="196"/>
        <w:jc w:val="center"/>
        <w:rPr>
          <w:rFonts w:hAnsi="宋体" w:cs="Times New Roman"/>
          <w:b/>
          <w:bCs/>
          <w:color w:val="auto"/>
          <w:sz w:val="36"/>
          <w:szCs w:val="36"/>
          <w:highlight w:val="none"/>
        </w:rPr>
      </w:pPr>
    </w:p>
    <w:p>
      <w:pPr>
        <w:pStyle w:val="24"/>
        <w:snapToGrid w:val="0"/>
        <w:spacing w:line="360" w:lineRule="auto"/>
        <w:ind w:firstLine="1124" w:firstLineChars="400"/>
        <w:jc w:val="left"/>
        <w:rPr>
          <w:rFonts w:hint="eastAsia" w:hAnsi="宋体"/>
          <w:b/>
          <w:bCs/>
          <w:color w:val="auto"/>
          <w:sz w:val="28"/>
          <w:szCs w:val="28"/>
          <w:highlight w:val="none"/>
          <w:u w:val="single"/>
          <w:lang w:val="en-US" w:eastAsia="zh-CN"/>
        </w:rPr>
      </w:pPr>
      <w:r>
        <w:rPr>
          <w:rFonts w:hint="eastAsia" w:hAnsi="宋体"/>
          <w:b/>
          <w:bCs/>
          <w:color w:val="auto"/>
          <w:sz w:val="28"/>
          <w:szCs w:val="28"/>
          <w:highlight w:val="none"/>
          <w:u w:val="single"/>
          <w:lang w:val="en-US" w:eastAsia="zh-CN"/>
        </w:rPr>
        <w:t>项目名称：南宁市青秀区两个耕地提质改造（旱改水）项目整改及管护工作</w:t>
      </w:r>
    </w:p>
    <w:p>
      <w:pPr>
        <w:pStyle w:val="24"/>
        <w:snapToGrid w:val="0"/>
        <w:spacing w:line="360" w:lineRule="auto"/>
        <w:ind w:firstLine="1124" w:firstLineChars="400"/>
        <w:jc w:val="left"/>
        <w:rPr>
          <w:rFonts w:hint="default" w:hAnsi="宋体"/>
          <w:b/>
          <w:bCs/>
          <w:color w:val="auto"/>
          <w:sz w:val="28"/>
          <w:szCs w:val="28"/>
          <w:highlight w:val="none"/>
          <w:u w:val="single"/>
          <w:lang w:val="en-US" w:eastAsia="zh-CN"/>
        </w:rPr>
      </w:pPr>
      <w:r>
        <w:rPr>
          <w:rFonts w:hint="eastAsia" w:hAnsi="宋体"/>
          <w:b/>
          <w:bCs/>
          <w:color w:val="auto"/>
          <w:sz w:val="28"/>
          <w:szCs w:val="28"/>
          <w:highlight w:val="none"/>
          <w:u w:val="single"/>
          <w:lang w:val="en-US" w:eastAsia="zh-CN"/>
        </w:rPr>
        <w:t>项目编号：QXZC2020-G3-00873-001</w:t>
      </w:r>
    </w:p>
    <w:p>
      <w:pPr>
        <w:pStyle w:val="24"/>
        <w:snapToGrid w:val="0"/>
        <w:ind w:firstLine="670" w:firstLineChars="196"/>
        <w:jc w:val="center"/>
        <w:rPr>
          <w:rFonts w:hAnsi="宋体" w:cs="Times New Roman"/>
          <w:color w:val="auto"/>
          <w:w w:val="95"/>
          <w:sz w:val="36"/>
          <w:szCs w:val="36"/>
          <w:highlight w:val="none"/>
        </w:rPr>
      </w:pPr>
    </w:p>
    <w:p>
      <w:pPr>
        <w:pStyle w:val="24"/>
        <w:snapToGrid w:val="0"/>
        <w:ind w:firstLine="673" w:firstLineChars="196"/>
        <w:jc w:val="center"/>
        <w:rPr>
          <w:rFonts w:hAnsi="宋体" w:cs="Times New Roman"/>
          <w:b/>
          <w:bCs/>
          <w:color w:val="auto"/>
          <w:w w:val="95"/>
          <w:sz w:val="36"/>
          <w:szCs w:val="36"/>
          <w:highlight w:val="none"/>
        </w:rPr>
      </w:pPr>
    </w:p>
    <w:p>
      <w:pPr>
        <w:pStyle w:val="24"/>
        <w:snapToGrid w:val="0"/>
        <w:ind w:firstLine="673" w:firstLineChars="196"/>
        <w:jc w:val="center"/>
        <w:rPr>
          <w:rFonts w:hAnsi="宋体" w:cs="Times New Roman"/>
          <w:b/>
          <w:bCs/>
          <w:color w:val="auto"/>
          <w:w w:val="95"/>
          <w:sz w:val="36"/>
          <w:szCs w:val="36"/>
          <w:highlight w:val="none"/>
        </w:rPr>
      </w:pPr>
    </w:p>
    <w:p>
      <w:pPr>
        <w:pStyle w:val="24"/>
        <w:snapToGrid w:val="0"/>
        <w:spacing w:line="360" w:lineRule="auto"/>
        <w:ind w:firstLine="1068" w:firstLineChars="400"/>
        <w:jc w:val="left"/>
        <w:rPr>
          <w:rFonts w:hint="default" w:hAnsi="宋体"/>
          <w:b/>
          <w:bCs/>
          <w:color w:val="auto"/>
          <w:sz w:val="28"/>
          <w:szCs w:val="28"/>
          <w:highlight w:val="none"/>
          <w:u w:val="single"/>
          <w:lang w:val="en-US" w:eastAsia="zh-CN"/>
        </w:rPr>
      </w:pPr>
      <w:r>
        <w:rPr>
          <w:rFonts w:hint="eastAsia" w:hAnsi="宋体"/>
          <w:b/>
          <w:bCs/>
          <w:color w:val="auto"/>
          <w:w w:val="95"/>
          <w:sz w:val="28"/>
          <w:szCs w:val="28"/>
          <w:highlight w:val="none"/>
        </w:rPr>
        <w:t>采购单位：</w:t>
      </w:r>
      <w:r>
        <w:rPr>
          <w:rFonts w:hint="eastAsia" w:hAnsi="宋体"/>
          <w:b/>
          <w:bCs/>
          <w:color w:val="auto"/>
          <w:sz w:val="28"/>
          <w:szCs w:val="28"/>
          <w:highlight w:val="none"/>
          <w:u w:val="single"/>
        </w:rPr>
        <w:t>南宁市</w:t>
      </w:r>
      <w:r>
        <w:rPr>
          <w:rFonts w:hint="eastAsia" w:hAnsi="宋体"/>
          <w:b/>
          <w:bCs/>
          <w:color w:val="auto"/>
          <w:sz w:val="28"/>
          <w:szCs w:val="28"/>
          <w:highlight w:val="none"/>
          <w:u w:val="single"/>
          <w:lang w:val="en-US" w:eastAsia="zh-CN"/>
        </w:rPr>
        <w:t>青秀区土地储备分中心</w:t>
      </w:r>
    </w:p>
    <w:p>
      <w:pPr>
        <w:pStyle w:val="24"/>
        <w:snapToGrid w:val="0"/>
        <w:spacing w:line="360" w:lineRule="auto"/>
        <w:ind w:firstLine="1068" w:firstLineChars="400"/>
        <w:jc w:val="left"/>
        <w:rPr>
          <w:rFonts w:hAnsi="宋体" w:cs="Times New Roman"/>
          <w:b/>
          <w:bCs/>
          <w:color w:val="auto"/>
          <w:sz w:val="28"/>
          <w:szCs w:val="28"/>
          <w:highlight w:val="none"/>
          <w:u w:val="single"/>
        </w:rPr>
      </w:pPr>
      <w:r>
        <w:rPr>
          <w:rFonts w:hint="eastAsia" w:hAnsi="宋体"/>
          <w:b/>
          <w:bCs/>
          <w:color w:val="auto"/>
          <w:w w:val="95"/>
          <w:sz w:val="28"/>
          <w:szCs w:val="28"/>
          <w:highlight w:val="none"/>
        </w:rPr>
        <w:t>代理机构：</w:t>
      </w:r>
      <w:r>
        <w:rPr>
          <w:rFonts w:hint="eastAsia" w:hAnsi="宋体"/>
          <w:b/>
          <w:bCs/>
          <w:color w:val="auto"/>
          <w:sz w:val="28"/>
          <w:szCs w:val="28"/>
          <w:highlight w:val="none"/>
          <w:u w:val="single"/>
        </w:rPr>
        <w:t>广西建设工程机电设备招标中心有限公司</w:t>
      </w:r>
    </w:p>
    <w:p>
      <w:pPr>
        <w:pStyle w:val="24"/>
        <w:snapToGrid w:val="0"/>
        <w:spacing w:line="360" w:lineRule="auto"/>
        <w:ind w:firstLine="3576" w:firstLineChars="1272"/>
        <w:rPr>
          <w:rFonts w:hAnsi="宋体" w:cs="Times New Roman"/>
          <w:b/>
          <w:bCs/>
          <w:color w:val="auto"/>
          <w:w w:val="95"/>
          <w:sz w:val="28"/>
          <w:szCs w:val="28"/>
          <w:highlight w:val="none"/>
        </w:rPr>
      </w:pPr>
      <w:r>
        <w:rPr>
          <w:rFonts w:hAnsi="宋体"/>
          <w:b/>
          <w:bCs/>
          <w:color w:val="auto"/>
          <w:sz w:val="28"/>
          <w:szCs w:val="28"/>
          <w:highlight w:val="none"/>
          <w:u w:val="single"/>
        </w:rPr>
        <w:t>2020</w:t>
      </w:r>
      <w:r>
        <w:rPr>
          <w:rFonts w:hint="eastAsia" w:hAnsi="宋体"/>
          <w:b/>
          <w:bCs/>
          <w:color w:val="auto"/>
          <w:w w:val="95"/>
          <w:sz w:val="28"/>
          <w:szCs w:val="28"/>
          <w:highlight w:val="none"/>
        </w:rPr>
        <w:t>年</w:t>
      </w:r>
      <w:r>
        <w:rPr>
          <w:rFonts w:hint="eastAsia" w:hAnsi="宋体"/>
          <w:b/>
          <w:bCs/>
          <w:color w:val="auto"/>
          <w:w w:val="95"/>
          <w:sz w:val="28"/>
          <w:szCs w:val="28"/>
          <w:highlight w:val="none"/>
          <w:u w:val="single"/>
          <w:lang w:val="en-US" w:eastAsia="zh-CN"/>
        </w:rPr>
        <w:t>11</w:t>
      </w:r>
      <w:r>
        <w:rPr>
          <w:rFonts w:hint="eastAsia" w:hAnsi="宋体"/>
          <w:b/>
          <w:bCs/>
          <w:color w:val="auto"/>
          <w:w w:val="95"/>
          <w:sz w:val="28"/>
          <w:szCs w:val="28"/>
          <w:highlight w:val="none"/>
        </w:rPr>
        <w:t>月</w:t>
      </w:r>
    </w:p>
    <w:p>
      <w:pPr>
        <w:pStyle w:val="24"/>
        <w:snapToGrid w:val="0"/>
        <w:rPr>
          <w:rFonts w:hAnsi="宋体" w:cs="Times New Roman"/>
          <w:b/>
          <w:bCs/>
          <w:color w:val="auto"/>
          <w:sz w:val="28"/>
          <w:szCs w:val="28"/>
          <w:highlight w:val="none"/>
        </w:rPr>
      </w:pPr>
    </w:p>
    <w:p>
      <w:pPr>
        <w:rPr>
          <w:color w:val="auto"/>
          <w:highlight w:val="none"/>
        </w:rPr>
      </w:pPr>
    </w:p>
    <w:p>
      <w:pPr>
        <w:rPr>
          <w:color w:val="auto"/>
          <w:highlight w:val="none"/>
        </w:rPr>
      </w:pPr>
    </w:p>
    <w:p>
      <w:pPr>
        <w:rPr>
          <w:color w:val="auto"/>
          <w:highlight w:val="none"/>
        </w:rPr>
      </w:pPr>
    </w:p>
    <w:p>
      <w:pPr>
        <w:pStyle w:val="27"/>
        <w:framePr w:wrap="around" w:vAnchor="text" w:hAnchor="page" w:x="9837" w:y="1"/>
        <w:rPr>
          <w:rStyle w:val="41"/>
          <w:rFonts w:ascii="仿宋" w:hAnsi="仿宋" w:eastAsia="仿宋"/>
          <w:color w:val="auto"/>
          <w:sz w:val="28"/>
          <w:szCs w:val="28"/>
          <w:highlight w:val="none"/>
        </w:rPr>
      </w:pPr>
    </w:p>
    <w:p>
      <w:pPr>
        <w:pStyle w:val="24"/>
        <w:snapToGrid w:val="0"/>
        <w:jc w:val="right"/>
        <w:rPr>
          <w:rFonts w:cs="Times New Roman"/>
          <w:color w:val="auto"/>
          <w:highlight w:val="none"/>
        </w:rPr>
      </w:pPr>
    </w:p>
    <w:p>
      <w:pPr>
        <w:pStyle w:val="24"/>
        <w:snapToGrid w:val="0"/>
        <w:rPr>
          <w:rFonts w:hAnsi="宋体"/>
          <w:b/>
          <w:bCs/>
          <w:color w:val="auto"/>
          <w:sz w:val="28"/>
          <w:szCs w:val="28"/>
          <w:highlight w:val="none"/>
        </w:rPr>
      </w:pPr>
    </w:p>
    <w:p>
      <w:pPr>
        <w:pStyle w:val="24"/>
        <w:snapToGrid w:val="0"/>
        <w:rPr>
          <w:rFonts w:hAnsi="宋体"/>
          <w:b/>
          <w:bCs/>
          <w:color w:val="auto"/>
          <w:sz w:val="28"/>
          <w:szCs w:val="28"/>
          <w:highlight w:val="none"/>
        </w:rPr>
      </w:pPr>
    </w:p>
    <w:p>
      <w:pPr>
        <w:rPr>
          <w:rFonts w:ascii="宋体"/>
          <w:b/>
          <w:bCs/>
          <w:color w:val="auto"/>
          <w:sz w:val="44"/>
          <w:szCs w:val="44"/>
          <w:highlight w:val="none"/>
        </w:rPr>
      </w:pPr>
    </w:p>
    <w:p>
      <w:pPr>
        <w:pStyle w:val="24"/>
        <w:snapToGrid w:val="0"/>
        <w:ind w:right="140"/>
        <w:jc w:val="center"/>
        <w:rPr>
          <w:rFonts w:hAnsi="宋体" w:cs="Times New Roman"/>
          <w:b/>
          <w:bCs/>
          <w:color w:val="auto"/>
          <w:sz w:val="44"/>
          <w:szCs w:val="44"/>
          <w:highlight w:val="none"/>
        </w:rPr>
      </w:pPr>
      <w:r>
        <w:rPr>
          <w:rFonts w:hint="eastAsia" w:hAnsi="宋体"/>
          <w:b/>
          <w:bCs/>
          <w:color w:val="auto"/>
          <w:sz w:val="44"/>
          <w:szCs w:val="44"/>
          <w:highlight w:val="none"/>
        </w:rPr>
        <w:t>目录</w:t>
      </w:r>
    </w:p>
    <w:p>
      <w:pPr>
        <w:pStyle w:val="29"/>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"_Toc31691" </w:instrText>
      </w:r>
      <w:r>
        <w:rPr>
          <w:color w:val="auto"/>
          <w:highlight w:val="none"/>
        </w:rPr>
        <w:fldChar w:fldCharType="separate"/>
      </w:r>
      <w:r>
        <w:rPr>
          <w:rFonts w:hint="eastAsia"/>
          <w:color w:val="auto"/>
          <w:szCs w:val="44"/>
          <w:highlight w:val="none"/>
        </w:rPr>
        <w:t>第一章公开招标公告</w:t>
      </w:r>
      <w:r>
        <w:rPr>
          <w:color w:val="auto"/>
          <w:highlight w:val="none"/>
        </w:rPr>
        <w:tab/>
      </w:r>
      <w:r>
        <w:rPr>
          <w:color w:val="auto"/>
          <w:highlight w:val="none"/>
        </w:rPr>
        <w:fldChar w:fldCharType="begin"/>
      </w:r>
      <w:r>
        <w:rPr>
          <w:color w:val="auto"/>
          <w:highlight w:val="none"/>
        </w:rPr>
        <w:instrText xml:space="preserve"> PAGEREF _Toc31691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9"/>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"_Toc6659" </w:instrText>
      </w:r>
      <w:r>
        <w:rPr>
          <w:color w:val="auto"/>
          <w:highlight w:val="none"/>
        </w:rPr>
        <w:fldChar w:fldCharType="separate"/>
      </w:r>
      <w:r>
        <w:rPr>
          <w:rFonts w:hint="eastAsia"/>
          <w:color w:val="auto"/>
          <w:szCs w:val="44"/>
          <w:highlight w:val="none"/>
        </w:rPr>
        <w:t>第二章招标项目采购需求</w:t>
      </w:r>
      <w:r>
        <w:rPr>
          <w:color w:val="auto"/>
          <w:highlight w:val="none"/>
        </w:rPr>
        <w:tab/>
      </w:r>
      <w:r>
        <w:rPr>
          <w:color w:val="auto"/>
          <w:highlight w:val="none"/>
        </w:rPr>
        <w:fldChar w:fldCharType="begin"/>
      </w:r>
      <w:r>
        <w:rPr>
          <w:color w:val="auto"/>
          <w:highlight w:val="none"/>
        </w:rPr>
        <w:instrText xml:space="preserve"> PAGEREF _Toc6659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9"/>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"_Toc20956" </w:instrText>
      </w:r>
      <w:r>
        <w:rPr>
          <w:color w:val="auto"/>
          <w:highlight w:val="none"/>
        </w:rPr>
        <w:fldChar w:fldCharType="separate"/>
      </w:r>
      <w:r>
        <w:rPr>
          <w:rFonts w:hint="eastAsia"/>
          <w:color w:val="auto"/>
          <w:szCs w:val="44"/>
          <w:highlight w:val="none"/>
        </w:rPr>
        <w:t>第三章投标人须知</w:t>
      </w:r>
      <w:r>
        <w:rPr>
          <w:color w:val="auto"/>
          <w:highlight w:val="none"/>
        </w:rPr>
        <w:tab/>
      </w:r>
      <w:r>
        <w:rPr>
          <w:color w:val="auto"/>
          <w:highlight w:val="none"/>
        </w:rPr>
        <w:fldChar w:fldCharType="begin"/>
      </w:r>
      <w:r>
        <w:rPr>
          <w:color w:val="auto"/>
          <w:highlight w:val="none"/>
        </w:rPr>
        <w:instrText xml:space="preserve"> PAGEREF _Toc20956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9"/>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"_Toc26858" </w:instrText>
      </w:r>
      <w:r>
        <w:rPr>
          <w:color w:val="auto"/>
          <w:highlight w:val="none"/>
        </w:rPr>
        <w:fldChar w:fldCharType="separate"/>
      </w:r>
      <w:r>
        <w:rPr>
          <w:rFonts w:hint="eastAsia"/>
          <w:color w:val="auto"/>
          <w:szCs w:val="44"/>
          <w:highlight w:val="none"/>
        </w:rPr>
        <w:t>第四章评标办法及评分标准</w:t>
      </w:r>
      <w:r>
        <w:rPr>
          <w:color w:val="auto"/>
          <w:highlight w:val="none"/>
        </w:rPr>
        <w:tab/>
      </w:r>
      <w:r>
        <w:rPr>
          <w:color w:val="auto"/>
          <w:highlight w:val="none"/>
        </w:rPr>
        <w:fldChar w:fldCharType="begin"/>
      </w:r>
      <w:r>
        <w:rPr>
          <w:color w:val="auto"/>
          <w:highlight w:val="none"/>
        </w:rPr>
        <w:instrText xml:space="preserve"> PAGEREF _Toc26858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9"/>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"_Toc31377" </w:instrText>
      </w:r>
      <w:r>
        <w:rPr>
          <w:color w:val="auto"/>
          <w:highlight w:val="none"/>
        </w:rPr>
        <w:fldChar w:fldCharType="separate"/>
      </w:r>
      <w:r>
        <w:rPr>
          <w:rFonts w:hint="eastAsia"/>
          <w:color w:val="auto"/>
          <w:szCs w:val="44"/>
          <w:highlight w:val="none"/>
        </w:rPr>
        <w:t>第五章合同主要条款格式</w:t>
      </w:r>
      <w:r>
        <w:rPr>
          <w:color w:val="auto"/>
          <w:highlight w:val="none"/>
        </w:rPr>
        <w:tab/>
      </w:r>
      <w:r>
        <w:rPr>
          <w:color w:val="auto"/>
          <w:highlight w:val="none"/>
        </w:rPr>
        <w:fldChar w:fldCharType="begin"/>
      </w:r>
      <w:r>
        <w:rPr>
          <w:color w:val="auto"/>
          <w:highlight w:val="none"/>
        </w:rPr>
        <w:instrText xml:space="preserve"> PAGEREF _Toc31377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9"/>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"_Toc26296" </w:instrText>
      </w:r>
      <w:r>
        <w:rPr>
          <w:color w:val="auto"/>
          <w:highlight w:val="none"/>
        </w:rPr>
        <w:fldChar w:fldCharType="separate"/>
      </w:r>
      <w:r>
        <w:rPr>
          <w:rFonts w:hint="eastAsia"/>
          <w:color w:val="auto"/>
          <w:szCs w:val="44"/>
          <w:highlight w:val="none"/>
        </w:rPr>
        <w:t>第六章投标文件格式</w:t>
      </w:r>
      <w:r>
        <w:rPr>
          <w:color w:val="auto"/>
          <w:highlight w:val="none"/>
        </w:rPr>
        <w:tab/>
      </w:r>
      <w:r>
        <w:rPr>
          <w:color w:val="auto"/>
          <w:highlight w:val="none"/>
        </w:rPr>
        <w:fldChar w:fldCharType="begin"/>
      </w:r>
      <w:r>
        <w:rPr>
          <w:color w:val="auto"/>
          <w:highlight w:val="none"/>
        </w:rPr>
        <w:instrText xml:space="preserve"> PAGEREF _Toc26296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9"/>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"_Toc27844" </w:instrText>
      </w:r>
      <w:r>
        <w:rPr>
          <w:color w:val="auto"/>
          <w:highlight w:val="none"/>
        </w:rPr>
        <w:fldChar w:fldCharType="separate"/>
      </w:r>
      <w:r>
        <w:rPr>
          <w:rFonts w:hint="eastAsia"/>
          <w:color w:val="auto"/>
          <w:highlight w:val="none"/>
        </w:rPr>
        <w:t>中标通知书</w:t>
      </w:r>
      <w:r>
        <w:rPr>
          <w:color w:val="auto"/>
          <w:highlight w:val="none"/>
        </w:rPr>
        <w:tab/>
      </w:r>
      <w:r>
        <w:rPr>
          <w:color w:val="auto"/>
          <w:highlight w:val="none"/>
        </w:rPr>
        <w:fldChar w:fldCharType="begin"/>
      </w:r>
      <w:r>
        <w:rPr>
          <w:color w:val="auto"/>
          <w:highlight w:val="none"/>
        </w:rPr>
        <w:instrText xml:space="preserve"> PAGEREF _Toc27844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29"/>
        <w:spacing w:line="480" w:lineRule="auto"/>
        <w:ind w:firstLine="241"/>
        <w:rPr>
          <w:color w:val="auto"/>
          <w:highlight w:val="none"/>
        </w:rPr>
      </w:pPr>
      <w:r>
        <w:rPr>
          <w:color w:val="auto"/>
          <w:highlight w:val="none"/>
        </w:rPr>
        <w:fldChar w:fldCharType="end"/>
      </w: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pStyle w:val="24"/>
        <w:snapToGrid w:val="0"/>
        <w:jc w:val="center"/>
        <w:outlineLvl w:val="0"/>
        <w:rPr>
          <w:rFonts w:hAnsi="宋体" w:cs="Times New Roman"/>
          <w:color w:val="auto"/>
          <w:highlight w:val="none"/>
        </w:rPr>
      </w:pPr>
      <w:bookmarkStart w:id="0" w:name="_Toc254970489"/>
      <w:bookmarkStart w:id="1" w:name="_Toc254970630"/>
      <w:r>
        <w:rPr>
          <w:rFonts w:hAnsi="宋体" w:cs="Times New Roman"/>
          <w:color w:val="auto"/>
          <w:highlight w:val="none"/>
        </w:rPr>
        <w:br w:type="page"/>
      </w: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color w:val="auto"/>
          <w:highlight w:val="none"/>
        </w:rPr>
      </w:pPr>
    </w:p>
    <w:p>
      <w:pPr>
        <w:pStyle w:val="24"/>
        <w:snapToGrid w:val="0"/>
        <w:jc w:val="center"/>
        <w:outlineLvl w:val="0"/>
        <w:rPr>
          <w:rFonts w:hAnsi="宋体" w:cs="Times New Roman"/>
          <w:b/>
          <w:bCs/>
          <w:color w:val="auto"/>
          <w:sz w:val="44"/>
          <w:szCs w:val="44"/>
          <w:highlight w:val="none"/>
        </w:rPr>
      </w:pPr>
      <w:bookmarkStart w:id="2" w:name="_Toc31691"/>
      <w:bookmarkStart w:id="3" w:name="_Toc30585"/>
      <w:r>
        <w:rPr>
          <w:rFonts w:hint="eastAsia" w:hAnsi="宋体"/>
          <w:b/>
          <w:bCs/>
          <w:color w:val="auto"/>
          <w:sz w:val="44"/>
          <w:szCs w:val="44"/>
          <w:highlight w:val="none"/>
        </w:rPr>
        <w:t>第一章公开招标公告</w:t>
      </w:r>
      <w:bookmarkEnd w:id="0"/>
      <w:bookmarkEnd w:id="1"/>
      <w:bookmarkEnd w:id="2"/>
      <w:bookmarkEnd w:id="3"/>
    </w:p>
    <w:p>
      <w:pPr>
        <w:overflowPunct w:val="0"/>
        <w:autoSpaceDE w:val="0"/>
        <w:autoSpaceDN w:val="0"/>
        <w:adjustRightInd w:val="0"/>
        <w:spacing w:line="400" w:lineRule="exact"/>
        <w:ind w:firstLine="420" w:firstLineChars="200"/>
        <w:jc w:val="center"/>
        <w:rPr>
          <w:rFonts w:ascii="宋体"/>
          <w:b/>
          <w:bCs/>
          <w:color w:val="auto"/>
          <w:spacing w:val="-6"/>
          <w:sz w:val="30"/>
          <w:szCs w:val="30"/>
          <w:highlight w:val="none"/>
        </w:rPr>
      </w:pPr>
      <w:r>
        <w:rPr>
          <w:rFonts w:ascii="宋体"/>
          <w:color w:val="auto"/>
          <w:highlight w:val="none"/>
        </w:rPr>
        <w:br w:type="page"/>
      </w:r>
      <w:r>
        <w:rPr>
          <w:rFonts w:hint="eastAsia" w:ascii="宋体" w:hAnsi="宋体" w:cs="宋体"/>
          <w:b/>
          <w:bCs/>
          <w:color w:val="auto"/>
          <w:spacing w:val="-6"/>
          <w:sz w:val="30"/>
          <w:szCs w:val="30"/>
          <w:highlight w:val="none"/>
        </w:rPr>
        <w:t>广西建设工程机电设备招标中心有限公司</w:t>
      </w:r>
    </w:p>
    <w:p>
      <w:pPr>
        <w:overflowPunct w:val="0"/>
        <w:autoSpaceDE w:val="0"/>
        <w:autoSpaceDN w:val="0"/>
        <w:adjustRightInd w:val="0"/>
        <w:spacing w:line="400" w:lineRule="exact"/>
        <w:jc w:val="center"/>
        <w:rPr>
          <w:rFonts w:hint="eastAsia" w:ascii="宋体" w:hAnsi="宋体" w:eastAsia="宋体" w:cs="宋体"/>
          <w:b/>
          <w:bCs/>
          <w:color w:val="auto"/>
          <w:spacing w:val="-6"/>
          <w:sz w:val="30"/>
          <w:szCs w:val="30"/>
          <w:highlight w:val="none"/>
          <w:lang w:eastAsia="zh-CN"/>
        </w:rPr>
      </w:pPr>
      <w:r>
        <w:rPr>
          <w:rFonts w:hint="eastAsia" w:ascii="宋体" w:hAnsi="宋体" w:cs="宋体"/>
          <w:b/>
          <w:bCs/>
          <w:color w:val="auto"/>
          <w:spacing w:val="-6"/>
          <w:sz w:val="30"/>
          <w:szCs w:val="30"/>
          <w:highlight w:val="none"/>
          <w:lang w:eastAsia="zh-CN"/>
        </w:rPr>
        <w:t>南宁市青秀区两个耕地提质改造（旱改水）项目整改及管护工作</w:t>
      </w:r>
    </w:p>
    <w:p>
      <w:pPr>
        <w:overflowPunct w:val="0"/>
        <w:autoSpaceDE w:val="0"/>
        <w:autoSpaceDN w:val="0"/>
        <w:adjustRightInd w:val="0"/>
        <w:spacing w:line="400" w:lineRule="exact"/>
        <w:jc w:val="center"/>
        <w:rPr>
          <w:rFonts w:ascii="宋体"/>
          <w:b/>
          <w:bCs/>
          <w:color w:val="auto"/>
          <w:spacing w:val="-6"/>
          <w:sz w:val="30"/>
          <w:szCs w:val="30"/>
          <w:highlight w:val="none"/>
        </w:rPr>
      </w:pPr>
      <w:r>
        <w:rPr>
          <w:rFonts w:hint="eastAsia" w:ascii="宋体" w:hAnsi="宋体" w:cs="宋体"/>
          <w:b/>
          <w:bCs/>
          <w:color w:val="auto"/>
          <w:spacing w:val="-6"/>
          <w:sz w:val="30"/>
          <w:szCs w:val="30"/>
          <w:highlight w:val="none"/>
        </w:rPr>
        <w:t>（编号：</w:t>
      </w:r>
      <w:r>
        <w:rPr>
          <w:rFonts w:hint="eastAsia" w:ascii="宋体" w:hAnsi="宋体" w:cs="宋体"/>
          <w:b/>
          <w:bCs/>
          <w:color w:val="auto"/>
          <w:spacing w:val="-6"/>
          <w:sz w:val="30"/>
          <w:szCs w:val="30"/>
          <w:highlight w:val="none"/>
          <w:lang w:eastAsia="zh-CN"/>
        </w:rPr>
        <w:t>QXZC2020-G3-00873-001</w:t>
      </w:r>
      <w:r>
        <w:rPr>
          <w:rFonts w:hint="eastAsia" w:ascii="宋体" w:hAnsi="宋体" w:cs="宋体"/>
          <w:b/>
          <w:bCs/>
          <w:color w:val="auto"/>
          <w:spacing w:val="-6"/>
          <w:sz w:val="30"/>
          <w:szCs w:val="30"/>
          <w:highlight w:val="none"/>
        </w:rPr>
        <w:t>）</w:t>
      </w:r>
    </w:p>
    <w:p>
      <w:pPr>
        <w:overflowPunct w:val="0"/>
        <w:autoSpaceDE w:val="0"/>
        <w:autoSpaceDN w:val="0"/>
        <w:adjustRightInd w:val="0"/>
        <w:spacing w:line="400" w:lineRule="exact"/>
        <w:jc w:val="center"/>
        <w:rPr>
          <w:rFonts w:ascii="宋体"/>
          <w:b/>
          <w:bCs/>
          <w:color w:val="auto"/>
          <w:spacing w:val="-6"/>
          <w:sz w:val="30"/>
          <w:szCs w:val="30"/>
          <w:highlight w:val="none"/>
        </w:rPr>
      </w:pPr>
      <w:r>
        <w:rPr>
          <w:rFonts w:hint="eastAsia" w:ascii="宋体" w:hAnsi="宋体" w:cs="宋体"/>
          <w:b/>
          <w:bCs/>
          <w:color w:val="auto"/>
          <w:spacing w:val="-6"/>
          <w:sz w:val="30"/>
          <w:szCs w:val="30"/>
          <w:highlight w:val="none"/>
        </w:rPr>
        <w:t>公开招标公告</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eastAsia="zh-CN"/>
        </w:rPr>
        <w:t>南宁市青秀区两个耕地提质改造（旱改水）项目整改及管护工作</w:t>
      </w:r>
      <w:r>
        <w:rPr>
          <w:rFonts w:hint="eastAsia" w:ascii="宋体" w:hAnsi="宋体" w:cs="宋体"/>
          <w:color w:val="auto"/>
          <w:sz w:val="24"/>
          <w:highlight w:val="none"/>
        </w:rPr>
        <w:t>采购项目的潜在投标人应</w:t>
      </w:r>
      <w:r>
        <w:rPr>
          <w:rFonts w:hint="eastAsia" w:ascii="宋体" w:hAnsi="宋体" w:cs="宋体"/>
          <w:color w:val="auto"/>
          <w:sz w:val="24"/>
          <w:highlight w:val="none"/>
          <w:u w:val="single"/>
        </w:rPr>
        <w:t>登陆南宁市公共资源交易中心网站（网址：</w:t>
      </w:r>
      <w:r>
        <w:rPr>
          <w:rFonts w:hint="eastAsia" w:ascii="宋体" w:hAnsi="宋体" w:cs="宋体"/>
          <w:color w:val="auto"/>
          <w:sz w:val="24"/>
          <w:highlight w:val="none"/>
          <w:u w:val="single"/>
        </w:rPr>
        <w:fldChar w:fldCharType="begin"/>
      </w:r>
      <w:r>
        <w:rPr>
          <w:rFonts w:hint="eastAsia" w:ascii="宋体" w:hAnsi="宋体" w:cs="宋体"/>
          <w:color w:val="auto"/>
          <w:sz w:val="24"/>
          <w:highlight w:val="none"/>
          <w:u w:val="single"/>
        </w:rPr>
        <w:instrText xml:space="preserve"> HYPERLINK "http://www.nnggzy.org.cn），在南宁市公共资源交易中心的采购公告栏内查找相关项目的采购公告，并点击该</w:instrText>
      </w:r>
      <w:r>
        <w:rPr>
          <w:rFonts w:hint="eastAsia" w:ascii="宋体" w:hAnsi="宋体" w:cs="宋体"/>
          <w:color w:val="auto"/>
          <w:sz w:val="24"/>
          <w:highlight w:val="none"/>
        </w:rPr>
        <w:instrText xml:space="preserve">公告的附件，即可免费浏览或下载项目的采购文件，并于2020年9月" </w:instrText>
      </w:r>
      <w:r>
        <w:rPr>
          <w:rFonts w:hint="eastAsia" w:ascii="宋体" w:hAnsi="宋体" w:cs="宋体"/>
          <w:color w:val="auto"/>
          <w:sz w:val="24"/>
          <w:highlight w:val="none"/>
        </w:rPr>
        <w:fldChar w:fldCharType="separate"/>
      </w:r>
      <w:r>
        <w:rPr>
          <w:rStyle w:val="43"/>
          <w:rFonts w:hint="eastAsia" w:ascii="宋体" w:hAnsi="宋体" w:cs="宋体"/>
          <w:color w:val="auto"/>
          <w:sz w:val="24"/>
          <w:highlight w:val="none"/>
          <w:u w:val="single"/>
        </w:rPr>
        <w:t>www.nnggzy.org.cn</w:t>
      </w:r>
      <w:r>
        <w:rPr>
          <w:rStyle w:val="43"/>
          <w:rFonts w:hint="eastAsia" w:ascii="宋体" w:hAnsi="宋体" w:cs="宋体"/>
          <w:color w:val="auto"/>
          <w:sz w:val="24"/>
          <w:highlight w:val="none"/>
        </w:rPr>
        <w:t>），在南宁市公共资源交易中心的采购公告栏内查找相关项目的采购公告，并点击该公告的附件，即可免费浏览或下载项目的采购文件，并于</w:t>
      </w:r>
      <w:r>
        <w:rPr>
          <w:rStyle w:val="43"/>
          <w:rFonts w:hint="eastAsia" w:ascii="宋体" w:hAnsi="宋体" w:cs="宋体"/>
          <w:bCs/>
          <w:color w:val="auto"/>
          <w:sz w:val="24"/>
          <w:highlight w:val="none"/>
          <w:u w:val="single"/>
        </w:rPr>
        <w:t>2020年</w:t>
      </w:r>
      <w:r>
        <w:rPr>
          <w:rStyle w:val="43"/>
          <w:rFonts w:hint="eastAsia" w:ascii="宋体" w:hAnsi="宋体" w:cs="宋体"/>
          <w:bCs/>
          <w:color w:val="auto"/>
          <w:sz w:val="24"/>
          <w:highlight w:val="none"/>
          <w:u w:val="single"/>
          <w:lang w:val="en-US" w:eastAsia="zh-CN"/>
        </w:rPr>
        <w:t>12</w:t>
      </w:r>
      <w:r>
        <w:rPr>
          <w:rStyle w:val="43"/>
          <w:rFonts w:hint="eastAsia" w:ascii="宋体" w:hAnsi="宋体" w:cs="宋体"/>
          <w:bCs/>
          <w:color w:val="auto"/>
          <w:sz w:val="24"/>
          <w:highlight w:val="none"/>
          <w:u w:val="single"/>
        </w:rPr>
        <w:t>月</w:t>
      </w:r>
      <w:r>
        <w:rPr>
          <w:rFonts w:hint="eastAsia" w:ascii="宋体" w:hAnsi="宋体" w:cs="宋体"/>
          <w:color w:val="auto"/>
          <w:sz w:val="24"/>
          <w:highlight w:val="none"/>
          <w:u w:val="single"/>
        </w:rPr>
        <w:fldChar w:fldCharType="end"/>
      </w:r>
      <w:r>
        <w:rPr>
          <w:rFonts w:hint="eastAsia" w:ascii="宋体" w:hAnsi="宋体" w:cs="宋体"/>
          <w:bCs/>
          <w:color w:val="auto"/>
          <w:sz w:val="24"/>
          <w:highlight w:val="none"/>
          <w:u w:val="single"/>
          <w:lang w:val="en-US" w:eastAsia="zh-CN"/>
        </w:rPr>
        <w:t>4</w:t>
      </w:r>
      <w:r>
        <w:rPr>
          <w:rFonts w:hint="eastAsia" w:ascii="宋体" w:hAnsi="宋体" w:cs="宋体"/>
          <w:bCs/>
          <w:color w:val="auto"/>
          <w:sz w:val="24"/>
          <w:highlight w:val="none"/>
          <w:u w:val="single"/>
        </w:rPr>
        <w:t>日9点30分</w:t>
      </w:r>
      <w:r>
        <w:rPr>
          <w:rFonts w:hint="eastAsia" w:ascii="宋体" w:hAnsi="宋体" w:cs="宋体"/>
          <w:bCs/>
          <w:color w:val="auto"/>
          <w:sz w:val="24"/>
          <w:highlight w:val="none"/>
        </w:rPr>
        <w:t>（北京时间）前递交投标文件</w:t>
      </w:r>
      <w:r>
        <w:rPr>
          <w:rFonts w:hint="eastAsia" w:ascii="宋体" w:hAnsi="宋体" w:cs="宋体"/>
          <w:color w:val="auto"/>
          <w:sz w:val="24"/>
          <w:highlight w:val="none"/>
        </w:rPr>
        <w:t>。</w:t>
      </w:r>
    </w:p>
    <w:p>
      <w:pPr>
        <w:pStyle w:val="4"/>
        <w:spacing w:line="360" w:lineRule="exact"/>
        <w:rPr>
          <w:rFonts w:ascii="宋体" w:hAnsi="宋体" w:cs="宋体"/>
          <w:bCs w:val="0"/>
          <w:color w:val="auto"/>
          <w:sz w:val="24"/>
          <w:szCs w:val="24"/>
          <w:highlight w:val="none"/>
        </w:rPr>
      </w:pPr>
      <w:bookmarkStart w:id="4" w:name="_Toc28359012"/>
      <w:bookmarkStart w:id="5" w:name="_Toc35393629"/>
      <w:bookmarkStart w:id="6" w:name="_Toc28359089"/>
      <w:bookmarkStart w:id="7" w:name="_Toc35393798"/>
      <w:r>
        <w:rPr>
          <w:rFonts w:hint="eastAsia" w:ascii="宋体" w:hAnsi="宋体" w:cs="宋体"/>
          <w:bCs w:val="0"/>
          <w:color w:val="auto"/>
          <w:sz w:val="24"/>
          <w:szCs w:val="24"/>
          <w:highlight w:val="none"/>
        </w:rPr>
        <w:t>一、项目基本情况</w:t>
      </w:r>
      <w:bookmarkEnd w:id="4"/>
      <w:bookmarkEnd w:id="5"/>
      <w:bookmarkEnd w:id="6"/>
      <w:bookmarkEnd w:id="7"/>
    </w:p>
    <w:p>
      <w:pPr>
        <w:spacing w:line="36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项目编号：QXZC2020-G3-00873-001</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政府采购计划文号：QXZC2020-G3-00873-001</w:t>
      </w:r>
    </w:p>
    <w:p>
      <w:pPr>
        <w:spacing w:line="360" w:lineRule="exact"/>
        <w:ind w:firstLine="480" w:firstLineChars="200"/>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南宁市青秀区两个耕地提质改造（旱改水）项目整改及管护工作</w:t>
      </w:r>
    </w:p>
    <w:p>
      <w:pPr>
        <w:spacing w:line="36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预算金额：</w:t>
      </w:r>
      <w:r>
        <w:rPr>
          <w:rFonts w:hint="eastAsia" w:ascii="宋体" w:hAnsi="宋体" w:cs="宋体"/>
          <w:b w:val="0"/>
          <w:bCs w:val="0"/>
          <w:color w:val="auto"/>
          <w:sz w:val="24"/>
          <w:szCs w:val="24"/>
          <w:highlight w:val="none"/>
          <w:lang w:val="en-US" w:eastAsia="zh-CN"/>
        </w:rPr>
        <w:t>2735070.52</w:t>
      </w:r>
      <w:r>
        <w:rPr>
          <w:rFonts w:hint="eastAsia" w:ascii="宋体" w:hAnsi="宋体" w:cs="宋体"/>
          <w:b w:val="0"/>
          <w:bCs w:val="0"/>
          <w:color w:val="auto"/>
          <w:sz w:val="24"/>
          <w:highlight w:val="none"/>
        </w:rPr>
        <w:t>元整</w:t>
      </w:r>
    </w:p>
    <w:p>
      <w:pPr>
        <w:spacing w:line="360" w:lineRule="exact"/>
        <w:ind w:firstLine="480" w:firstLineChars="200"/>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最高限价：</w:t>
      </w:r>
      <w:r>
        <w:rPr>
          <w:rFonts w:hint="eastAsia" w:ascii="宋体" w:hAnsi="宋体" w:cs="宋体"/>
          <w:b w:val="0"/>
          <w:bCs w:val="0"/>
          <w:color w:val="auto"/>
          <w:sz w:val="24"/>
          <w:szCs w:val="24"/>
          <w:highlight w:val="none"/>
          <w:lang w:val="en-US" w:eastAsia="zh-CN"/>
        </w:rPr>
        <w:t>2735070.52</w:t>
      </w:r>
      <w:r>
        <w:rPr>
          <w:rFonts w:hint="eastAsia" w:ascii="宋体" w:hAnsi="宋体" w:cs="宋体"/>
          <w:b w:val="0"/>
          <w:bCs w:val="0"/>
          <w:color w:val="auto"/>
          <w:sz w:val="24"/>
          <w:highlight w:val="none"/>
        </w:rPr>
        <w:t>元整</w:t>
      </w:r>
    </w:p>
    <w:p>
      <w:pPr>
        <w:pStyle w:val="2"/>
        <w:ind w:left="0" w:leftChars="0" w:firstLine="0" w:firstLineChars="0"/>
        <w:rPr>
          <w:rFonts w:hint="default" w:eastAsia="宋体"/>
          <w:color w:val="auto"/>
          <w:lang w:val="en-US" w:eastAsia="zh-CN"/>
        </w:rPr>
      </w:pPr>
      <w:r>
        <w:rPr>
          <w:rFonts w:hint="eastAsia" w:ascii="宋体" w:hAnsi="宋体" w:cs="宋体"/>
          <w:b w:val="0"/>
          <w:bCs w:val="0"/>
          <w:color w:val="auto"/>
          <w:sz w:val="24"/>
          <w:highlight w:val="none"/>
          <w:lang w:val="en-US" w:eastAsia="zh-CN"/>
        </w:rPr>
        <w:t xml:space="preserve">    资金来源：财政资金</w:t>
      </w:r>
    </w:p>
    <w:p>
      <w:pPr>
        <w:spacing w:line="36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项目概况：</w:t>
      </w:r>
      <w:r>
        <w:rPr>
          <w:rFonts w:hint="eastAsia" w:ascii="宋体" w:hAnsi="宋体" w:cs="宋体"/>
          <w:color w:val="auto"/>
          <w:sz w:val="24"/>
          <w:highlight w:val="none"/>
          <w:lang w:eastAsia="zh-CN"/>
        </w:rPr>
        <w:t>南宁市青秀区南阳镇等3个乡镇新光村等5个村耕地提质改造（旱改水）项目</w:t>
      </w:r>
      <w:r>
        <w:rPr>
          <w:rFonts w:hint="eastAsia" w:ascii="宋体" w:hAnsi="宋体" w:cs="宋体"/>
          <w:color w:val="auto"/>
          <w:sz w:val="24"/>
          <w:highlight w:val="none"/>
          <w:lang w:val="en-US" w:eastAsia="zh-CN"/>
        </w:rPr>
        <w:t>于2016年8月9日（立项实施面积：17.7590公顷），项目已按设计完成工程施工、工程复核、质量耕地评定等工作，目前项目指标入库所需材料已上报南宁市自然资源局，根据南国土资复[2018]0055号，项目新增水田面积：14.9262公顷，</w:t>
      </w:r>
    </w:p>
    <w:p>
      <w:pPr>
        <w:spacing w:line="36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南宁市自然资源局关于南宁市青秀区伶俐镇石塘村等3个村耕地提质改造（旱改水）项目于2017年2月4日立项（立项实施面积：25.9796公顷），项目已按设计完成工程施工、工程复核、质量耕地评定等工作，目前项目指标入库所需材料已上报南宁市自然资源局，根据南国土资发〔2019〕162号，项目新增水田面积20.5249公顷。</w:t>
      </w:r>
    </w:p>
    <w:p>
      <w:pPr>
        <w:spacing w:before="120" w:after="120"/>
        <w:ind w:firstLine="480" w:firstLineChars="200"/>
        <w:jc w:val="left"/>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以上两个项目（立项实施面积共计：43.7386公顷，新增水田面积共计：35.4511公顷）于2019年申报自然资源系统报备入库时南宁市自然资源局依据项目新的管理办法开展新增耕地核定工作，项目涉及的部分地块由于种植甘蔗、玉米等旱生作物，项目“水田指标”未能入库。本次整改和管护工作主要内容：对项目区种植甘蔗、玉米等旱生作物的地块采取有效措施，使项目区达到种植水田的标准，项目通过验收后，负责管护三年，主要内容为原则上保证连续三年每一年至少种植一造水稻、茭白、菱角、莲藕、荸荠（马蹄）、茨菇等水生农作物，确保项目工程和设施完好并正常使用。（整改项目地块情况详见南宁市青秀区南阳镇等3个乡镇新光村等5个村耕地提质改造（旱改水）项目规划设计报告及图件和南宁市青秀区伶俐镇石塘村等3个村耕地提质改造（旱改水）项目规划设计报告及图件）</w:t>
      </w:r>
    </w:p>
    <w:p>
      <w:pPr>
        <w:spacing w:line="360" w:lineRule="exact"/>
        <w:ind w:firstLine="480" w:firstLineChars="200"/>
        <w:rPr>
          <w:rFonts w:ascii="宋体" w:hAnsi="宋体"/>
          <w:color w:val="auto"/>
          <w:sz w:val="24"/>
          <w:highlight w:val="none"/>
        </w:rPr>
      </w:pPr>
      <w:r>
        <w:rPr>
          <w:rFonts w:hint="eastAsia" w:ascii="宋体" w:hAnsi="宋体" w:cs="宋体"/>
          <w:color w:val="auto"/>
          <w:sz w:val="24"/>
          <w:highlight w:val="none"/>
        </w:rPr>
        <w:t>采购需求：</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完成南宁市青秀区南阳镇等3个乡镇新光村等5个村耕地提质改造（旱改水）项目和伶俐镇石塘村等3个村耕地提质改造（旱改水）项目整改，获得自然资源厅(局）主管部门批复的水田指标并完成指标报备入库及报备入库后3年内的项目管护工作。如需进一步了解详细内容，详见</w:t>
      </w:r>
      <w:r>
        <w:rPr>
          <w:rFonts w:hint="eastAsia" w:ascii="宋体" w:hAnsi="宋体"/>
          <w:color w:val="auto"/>
          <w:sz w:val="24"/>
          <w:highlight w:val="none"/>
          <w:lang w:val="en-US" w:eastAsia="zh-CN"/>
        </w:rPr>
        <w:t>公开招标</w:t>
      </w:r>
      <w:r>
        <w:rPr>
          <w:rFonts w:hint="eastAsia" w:ascii="宋体" w:hAnsi="宋体"/>
          <w:color w:val="auto"/>
          <w:sz w:val="24"/>
          <w:highlight w:val="none"/>
        </w:rPr>
        <w:t>文件。</w:t>
      </w:r>
    </w:p>
    <w:p>
      <w:pPr>
        <w:spacing w:line="3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合同履行期限：</w:t>
      </w:r>
      <w:r>
        <w:rPr>
          <w:rFonts w:hint="eastAsia" w:ascii="宋体" w:hAnsi="宋体" w:cs="宋体"/>
          <w:color w:val="auto"/>
          <w:sz w:val="24"/>
          <w:highlight w:val="none"/>
          <w:lang w:val="en-US" w:eastAsia="zh-CN"/>
        </w:rPr>
        <w:t>整改期一年（以完成新增水田指标确认入库为准），管护期</w:t>
      </w:r>
      <w:r>
        <w:rPr>
          <w:rFonts w:hint="eastAsia" w:ascii="宋体" w:hAnsi="宋体" w:cs="宋体"/>
          <w:color w:val="auto"/>
          <w:sz w:val="24"/>
          <w:highlight w:val="none"/>
          <w:shd w:val="clear" w:color="auto" w:fill="FFFFFF"/>
          <w:lang w:val="en-US" w:eastAsia="zh-CN"/>
        </w:rPr>
        <w:t>三</w:t>
      </w:r>
      <w:r>
        <w:rPr>
          <w:rFonts w:hint="eastAsia" w:ascii="宋体" w:hAnsi="宋体" w:cs="宋体"/>
          <w:color w:val="auto"/>
          <w:sz w:val="24"/>
          <w:highlight w:val="none"/>
          <w:shd w:val="clear" w:color="auto" w:fill="FFFFFF"/>
        </w:rPr>
        <w:t>年</w:t>
      </w:r>
      <w:r>
        <w:rPr>
          <w:rFonts w:hint="eastAsia" w:ascii="宋体" w:hAnsi="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管护期以项目“水田指标”报备入库时间作为起始时间）</w:t>
      </w:r>
      <w:r>
        <w:rPr>
          <w:rFonts w:hint="eastAsia" w:ascii="宋体" w:hAnsi="宋体" w:cs="宋体"/>
          <w:color w:val="auto"/>
          <w:sz w:val="24"/>
          <w:highlight w:val="none"/>
        </w:rPr>
        <w:t>。</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本项目不接受联合体投标。</w:t>
      </w:r>
    </w:p>
    <w:p>
      <w:pPr>
        <w:pStyle w:val="4"/>
        <w:spacing w:line="360" w:lineRule="exact"/>
        <w:rPr>
          <w:rFonts w:ascii="宋体" w:hAnsi="宋体" w:cs="宋体"/>
          <w:bCs w:val="0"/>
          <w:color w:val="auto"/>
          <w:sz w:val="24"/>
          <w:szCs w:val="24"/>
          <w:highlight w:val="none"/>
        </w:rPr>
      </w:pPr>
      <w:bookmarkStart w:id="8" w:name="_Toc35393630"/>
      <w:bookmarkStart w:id="9" w:name="_Toc28359090"/>
      <w:bookmarkStart w:id="10" w:name="_Toc35393799"/>
      <w:bookmarkStart w:id="11" w:name="_Toc28359013"/>
      <w:r>
        <w:rPr>
          <w:rFonts w:hint="eastAsia" w:ascii="宋体" w:hAnsi="宋体" w:cs="宋体"/>
          <w:bCs w:val="0"/>
          <w:color w:val="auto"/>
          <w:sz w:val="24"/>
          <w:szCs w:val="24"/>
          <w:highlight w:val="none"/>
        </w:rPr>
        <w:t>二、申请人的资格要求：</w:t>
      </w:r>
      <w:bookmarkEnd w:id="8"/>
      <w:bookmarkEnd w:id="9"/>
      <w:bookmarkEnd w:id="10"/>
      <w:bookmarkEnd w:id="11"/>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pacing w:line="360" w:lineRule="exact"/>
        <w:ind w:firstLine="480" w:firstLineChars="200"/>
        <w:rPr>
          <w:rFonts w:ascii="宋体" w:hAnsi="宋体" w:cs="宋体"/>
          <w:color w:val="auto"/>
          <w:sz w:val="24"/>
          <w:highlight w:val="none"/>
        </w:rPr>
      </w:pPr>
      <w:bookmarkStart w:id="12" w:name="_Toc28359091"/>
      <w:bookmarkStart w:id="13" w:name="_Toc28359014"/>
      <w:r>
        <w:rPr>
          <w:rFonts w:hint="eastAsia" w:ascii="宋体" w:hAnsi="宋体" w:cs="宋体"/>
          <w:color w:val="auto"/>
          <w:sz w:val="24"/>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%的扣除。监狱企业视同小型和微型企业，其产品在评审时给予相同的价格扣除。残疾人福利性单位属于小型、微型企业的，不重复享受政策。</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3.本项目的特定资格要求：无</w:t>
      </w:r>
    </w:p>
    <w:p>
      <w:pPr>
        <w:pStyle w:val="4"/>
        <w:spacing w:line="360" w:lineRule="exact"/>
        <w:rPr>
          <w:rFonts w:ascii="宋体" w:hAnsi="宋体" w:cs="宋体"/>
          <w:bCs w:val="0"/>
          <w:color w:val="auto"/>
          <w:sz w:val="24"/>
          <w:szCs w:val="24"/>
          <w:highlight w:val="none"/>
        </w:rPr>
      </w:pPr>
      <w:bookmarkStart w:id="14" w:name="_Toc35393631"/>
      <w:bookmarkStart w:id="15" w:name="_Toc35393800"/>
      <w:r>
        <w:rPr>
          <w:rFonts w:hint="eastAsia" w:ascii="宋体" w:hAnsi="宋体" w:cs="宋体"/>
          <w:bCs w:val="0"/>
          <w:color w:val="auto"/>
          <w:sz w:val="24"/>
          <w:szCs w:val="24"/>
          <w:highlight w:val="none"/>
        </w:rPr>
        <w:t>三、获取采购文件</w:t>
      </w:r>
      <w:bookmarkEnd w:id="12"/>
      <w:bookmarkEnd w:id="13"/>
      <w:bookmarkEnd w:id="14"/>
      <w:bookmarkEnd w:id="15"/>
    </w:p>
    <w:p>
      <w:pPr>
        <w:spacing w:line="360" w:lineRule="exact"/>
        <w:ind w:firstLine="540"/>
        <w:rPr>
          <w:rFonts w:ascii="宋体" w:hAnsi="宋体" w:cs="宋体"/>
          <w:color w:val="auto"/>
          <w:sz w:val="24"/>
          <w:highlight w:val="none"/>
        </w:rPr>
      </w:pPr>
      <w:r>
        <w:rPr>
          <w:rFonts w:hint="eastAsia" w:ascii="宋体" w:hAnsi="宋体" w:cs="宋体"/>
          <w:color w:val="auto"/>
          <w:sz w:val="24"/>
          <w:highlight w:val="none"/>
        </w:rPr>
        <w:t>时间：2020年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13</w:t>
      </w:r>
      <w:r>
        <w:rPr>
          <w:rFonts w:hint="eastAsia" w:ascii="宋体" w:hAnsi="宋体" w:cs="宋体"/>
          <w:color w:val="auto"/>
          <w:sz w:val="24"/>
          <w:highlight w:val="none"/>
        </w:rPr>
        <w:t>日至2020年</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日</w:t>
      </w:r>
    </w:p>
    <w:p>
      <w:pPr>
        <w:spacing w:line="360" w:lineRule="exact"/>
        <w:ind w:firstLine="540"/>
        <w:rPr>
          <w:rFonts w:ascii="宋体" w:hAnsi="宋体" w:cs="宋体"/>
          <w:color w:val="auto"/>
          <w:sz w:val="24"/>
          <w:highlight w:val="none"/>
          <w:u w:val="single"/>
        </w:rPr>
      </w:pPr>
      <w:r>
        <w:rPr>
          <w:rFonts w:hint="eastAsia" w:ascii="宋体" w:hAnsi="宋体" w:cs="宋体"/>
          <w:color w:val="auto"/>
          <w:sz w:val="24"/>
          <w:highlight w:val="none"/>
        </w:rPr>
        <w:t>地点：南宁市公共资源交易中心网站（网址：www.nnggzy.org.cn）</w:t>
      </w:r>
    </w:p>
    <w:p>
      <w:pPr>
        <w:spacing w:line="360" w:lineRule="exact"/>
        <w:ind w:firstLine="540"/>
        <w:rPr>
          <w:rFonts w:ascii="宋体" w:hAnsi="宋体" w:cs="宋体"/>
          <w:color w:val="auto"/>
          <w:sz w:val="24"/>
          <w:highlight w:val="none"/>
          <w:u w:val="single"/>
        </w:rPr>
      </w:pPr>
      <w:r>
        <w:rPr>
          <w:rFonts w:hint="eastAsia" w:ascii="宋体" w:hAnsi="宋体" w:cs="宋体"/>
          <w:color w:val="auto"/>
          <w:sz w:val="24"/>
          <w:highlight w:val="none"/>
        </w:rPr>
        <w:t xml:space="preserve">方式：网上下载。本项目不发放纸质文件，供应商可登陆南宁市公共资源交易中心网站（网址：www.nnggzy.org.cn），在南宁市公共资源交易中心的采购公告栏内查找相关项目的采购公告，并点击该公告的附件，即可免费浏览或下载项目的招标文件。 </w:t>
      </w:r>
    </w:p>
    <w:p>
      <w:pPr>
        <w:spacing w:line="360" w:lineRule="exact"/>
        <w:ind w:firstLine="540"/>
        <w:rPr>
          <w:rFonts w:ascii="宋体" w:hAnsi="宋体" w:cs="宋体"/>
          <w:color w:val="auto"/>
          <w:sz w:val="24"/>
          <w:highlight w:val="none"/>
        </w:rPr>
      </w:pPr>
      <w:r>
        <w:rPr>
          <w:rFonts w:hint="eastAsia" w:ascii="宋体" w:hAnsi="宋体" w:cs="宋体"/>
          <w:color w:val="auto"/>
          <w:sz w:val="24"/>
          <w:highlight w:val="none"/>
        </w:rPr>
        <w:t>售价：0元。</w:t>
      </w:r>
    </w:p>
    <w:p>
      <w:pPr>
        <w:pStyle w:val="4"/>
        <w:spacing w:line="360" w:lineRule="exact"/>
        <w:rPr>
          <w:rFonts w:ascii="宋体" w:hAnsi="宋体" w:cs="宋体"/>
          <w:bCs w:val="0"/>
          <w:color w:val="auto"/>
          <w:sz w:val="24"/>
          <w:szCs w:val="24"/>
          <w:highlight w:val="none"/>
        </w:rPr>
      </w:pPr>
      <w:bookmarkStart w:id="16" w:name="_Toc28359092"/>
      <w:bookmarkStart w:id="17" w:name="_Toc35393801"/>
      <w:bookmarkStart w:id="18" w:name="_Toc28359015"/>
      <w:bookmarkStart w:id="19" w:name="_Toc35393632"/>
      <w:r>
        <w:rPr>
          <w:rFonts w:hint="eastAsia" w:ascii="宋体" w:hAnsi="宋体" w:cs="宋体"/>
          <w:bCs w:val="0"/>
          <w:color w:val="auto"/>
          <w:sz w:val="24"/>
          <w:szCs w:val="24"/>
          <w:highlight w:val="none"/>
        </w:rPr>
        <w:t>四、</w:t>
      </w:r>
      <w:bookmarkEnd w:id="16"/>
      <w:bookmarkEnd w:id="17"/>
      <w:bookmarkEnd w:id="18"/>
      <w:bookmarkEnd w:id="19"/>
      <w:r>
        <w:rPr>
          <w:rFonts w:hint="eastAsia" w:ascii="宋体" w:hAnsi="宋体" w:cs="宋体"/>
          <w:bCs w:val="0"/>
          <w:color w:val="auto"/>
          <w:sz w:val="24"/>
          <w:szCs w:val="24"/>
          <w:highlight w:val="none"/>
        </w:rPr>
        <w:t>提交投标文件截止时间、开标时间和地点</w:t>
      </w:r>
    </w:p>
    <w:p>
      <w:pPr>
        <w:spacing w:line="360" w:lineRule="exact"/>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截止时间：2020</w:t>
      </w:r>
      <w:r>
        <w:rPr>
          <w:rFonts w:hint="eastAsia" w:ascii="宋体" w:hAnsi="宋体" w:cs="宋体"/>
          <w:bCs/>
          <w:color w:val="auto"/>
          <w:sz w:val="24"/>
          <w:highlight w:val="none"/>
        </w:rPr>
        <w:t>年</w:t>
      </w:r>
      <w:r>
        <w:rPr>
          <w:rFonts w:hint="eastAsia" w:ascii="宋体" w:hAnsi="宋体" w:cs="宋体"/>
          <w:bCs/>
          <w:color w:val="auto"/>
          <w:sz w:val="24"/>
          <w:highlight w:val="none"/>
          <w:lang w:val="en-US" w:eastAsia="zh-CN"/>
        </w:rPr>
        <w:t>12</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日9点30分（北京时间）</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地点：南宁市良庆区玉洞大道33号（市青少年活动中心旁）南宁市市民中心9楼南宁市公共资源交易中心（具体详见9楼电子显示屏场地安排）。</w:t>
      </w:r>
    </w:p>
    <w:p>
      <w:pPr>
        <w:spacing w:line="36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根据《南宁市机关事务管理局关于疫情防控期间恢复全市公共资源现场交易活动的通知》文件精神，疫情防控期间，按照“不见面、少接触”的原则，投标人不参加现场开标会。</w:t>
      </w:r>
    </w:p>
    <w:p>
      <w:pPr>
        <w:pStyle w:val="18"/>
        <w:spacing w:line="360" w:lineRule="exact"/>
        <w:ind w:firstLine="480" w:firstLineChars="200"/>
        <w:rPr>
          <w:rFonts w:ascii="宋体" w:hAnsi="宋体" w:cs="宋体"/>
          <w:color w:val="auto"/>
          <w:highlight w:val="none"/>
        </w:rPr>
      </w:pPr>
      <w:r>
        <w:rPr>
          <w:rFonts w:hint="eastAsia" w:ascii="宋体" w:hAnsi="宋体" w:cs="宋体"/>
          <w:color w:val="auto"/>
          <w:highlight w:val="none"/>
        </w:rPr>
        <w:t>1、本项目的投标文件通过邮寄快递的方式送达(不接受现场递交)。</w:t>
      </w:r>
    </w:p>
    <w:p>
      <w:pPr>
        <w:pStyle w:val="18"/>
        <w:spacing w:line="360" w:lineRule="exact"/>
        <w:ind w:firstLine="480" w:firstLineChars="20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eastAsia="zh-CN"/>
        </w:rPr>
        <w:t>投标文件</w:t>
      </w:r>
      <w:r>
        <w:rPr>
          <w:rFonts w:hint="eastAsia" w:ascii="宋体" w:hAnsi="宋体" w:cs="宋体"/>
          <w:color w:val="auto"/>
          <w:highlight w:val="none"/>
        </w:rPr>
        <w:t>邮寄地址：南宁市青秀区纬武路165号招标中心</w:t>
      </w:r>
      <w:r>
        <w:rPr>
          <w:rFonts w:hint="eastAsia" w:ascii="宋体" w:hAnsi="宋体" w:cs="宋体"/>
          <w:color w:val="auto"/>
          <w:highlight w:val="none"/>
          <w:lang w:val="en-US" w:eastAsia="zh-CN"/>
        </w:rPr>
        <w:t>2</w:t>
      </w:r>
      <w:r>
        <w:rPr>
          <w:rFonts w:hint="eastAsia" w:ascii="宋体" w:hAnsi="宋体" w:cs="宋体"/>
          <w:color w:val="auto"/>
          <w:highlight w:val="none"/>
        </w:rPr>
        <w:t>楼</w:t>
      </w:r>
      <w:r>
        <w:rPr>
          <w:rFonts w:hint="eastAsia" w:ascii="宋体" w:hAnsi="宋体" w:cs="宋体"/>
          <w:color w:val="auto"/>
          <w:highlight w:val="none"/>
          <w:lang w:val="en-US" w:eastAsia="zh-CN"/>
        </w:rPr>
        <w:t>206</w:t>
      </w:r>
      <w:r>
        <w:rPr>
          <w:rFonts w:hint="eastAsia" w:ascii="宋体" w:hAnsi="宋体" w:cs="宋体"/>
          <w:color w:val="auto"/>
          <w:highlight w:val="none"/>
        </w:rPr>
        <w:t>室；收件人：</w:t>
      </w:r>
      <w:r>
        <w:rPr>
          <w:rFonts w:hint="eastAsia" w:ascii="宋体" w:hAnsi="宋体" w:cs="宋体"/>
          <w:color w:val="auto"/>
          <w:highlight w:val="none"/>
          <w:lang w:eastAsia="zh-CN"/>
        </w:rPr>
        <w:t>谌金群</w:t>
      </w:r>
      <w:r>
        <w:rPr>
          <w:rFonts w:hint="eastAsia" w:ascii="宋体" w:hAnsi="宋体" w:cs="宋体"/>
          <w:color w:val="auto"/>
          <w:highlight w:val="none"/>
        </w:rPr>
        <w:t>；联系电话：</w:t>
      </w:r>
      <w:r>
        <w:rPr>
          <w:rFonts w:hint="eastAsia" w:ascii="宋体" w:hAnsi="宋体" w:cs="宋体"/>
          <w:color w:val="auto"/>
          <w:highlight w:val="none"/>
          <w:lang w:eastAsia="zh-CN"/>
        </w:rPr>
        <w:t>0771-2807659</w:t>
      </w:r>
      <w:r>
        <w:rPr>
          <w:rFonts w:hint="eastAsia" w:ascii="宋体" w:hAnsi="宋体" w:cs="宋体"/>
          <w:color w:val="auto"/>
          <w:highlight w:val="none"/>
        </w:rPr>
        <w:t>。</w:t>
      </w:r>
    </w:p>
    <w:p>
      <w:pPr>
        <w:pStyle w:val="18"/>
        <w:spacing w:line="360" w:lineRule="exact"/>
        <w:ind w:firstLine="480" w:firstLineChars="200"/>
        <w:rPr>
          <w:rFonts w:ascii="宋体" w:hAnsi="宋体" w:cs="宋体"/>
          <w:color w:val="auto"/>
          <w:highlight w:val="none"/>
        </w:rPr>
      </w:pPr>
      <w:r>
        <w:rPr>
          <w:rFonts w:hint="eastAsia" w:ascii="宋体" w:hAnsi="宋体" w:cs="宋体"/>
          <w:color w:val="auto"/>
          <w:highlight w:val="none"/>
        </w:rPr>
        <w:t>3、接收邮寄包裹的时间为工作日8：00～18：00。投标文件必须在投标截止时间前送达。招标采购人或招标采购代理机构工作人员签收邮寄包裹的时间即为投标人投标的送达时间，逾期送达的投标无效，后果由投标人自行承担。</w:t>
      </w:r>
    </w:p>
    <w:p>
      <w:pPr>
        <w:pStyle w:val="18"/>
        <w:spacing w:line="360" w:lineRule="exact"/>
        <w:ind w:firstLine="480" w:firstLineChars="200"/>
        <w:rPr>
          <w:rFonts w:ascii="宋体" w:hAnsi="宋体" w:cs="宋体"/>
          <w:color w:val="auto"/>
          <w:highlight w:val="none"/>
        </w:rPr>
      </w:pPr>
      <w:r>
        <w:rPr>
          <w:rFonts w:hint="eastAsia" w:ascii="宋体" w:hAnsi="宋体" w:cs="宋体"/>
          <w:color w:val="auto"/>
          <w:highlight w:val="none"/>
        </w:rPr>
        <w:t>4、采购代理机构将在投标截止时间前一小时统一将收到的投标运送至南宁市公共资源交易中心，以确保本项目能在截止（开标）时间准时截标。投标人应充分预留</w:t>
      </w:r>
      <w:r>
        <w:rPr>
          <w:rFonts w:hint="eastAsia" w:ascii="宋体" w:hAnsi="宋体" w:cs="宋体"/>
          <w:color w:val="auto"/>
          <w:highlight w:val="none"/>
          <w:lang w:eastAsia="zh-CN"/>
        </w:rPr>
        <w:t>投标文件</w:t>
      </w:r>
      <w:r>
        <w:rPr>
          <w:rFonts w:hint="eastAsia" w:ascii="宋体" w:hAnsi="宋体" w:cs="宋体"/>
          <w:color w:val="auto"/>
          <w:highlight w:val="none"/>
        </w:rPr>
        <w:t>邮寄、送达所需要的时间。为确保疫情防控期间邮寄包裹能及时送达，应选择邮寄运送时间有保障的快递公司寄送投标，并确保在投标截止日期1个工作日前内送达。</w:t>
      </w:r>
    </w:p>
    <w:p>
      <w:pPr>
        <w:pStyle w:val="18"/>
        <w:spacing w:line="360" w:lineRule="exact"/>
        <w:ind w:firstLine="480" w:firstLineChars="200"/>
        <w:rPr>
          <w:rFonts w:ascii="宋体" w:hAnsi="宋体" w:cs="宋体"/>
          <w:color w:val="auto"/>
          <w:highlight w:val="none"/>
        </w:rPr>
      </w:pPr>
      <w:r>
        <w:rPr>
          <w:rFonts w:hint="eastAsia" w:ascii="宋体" w:hAnsi="宋体" w:cs="宋体"/>
          <w:color w:val="auto"/>
          <w:highlight w:val="none"/>
        </w:rPr>
        <w:t>5、投标人在按照招标文件的要求装订、密封好</w:t>
      </w:r>
      <w:r>
        <w:rPr>
          <w:rFonts w:hint="eastAsia" w:ascii="宋体" w:hAnsi="宋体" w:cs="宋体"/>
          <w:color w:val="auto"/>
          <w:highlight w:val="none"/>
          <w:lang w:eastAsia="zh-CN"/>
        </w:rPr>
        <w:t>投标文件</w:t>
      </w:r>
      <w:r>
        <w:rPr>
          <w:rFonts w:hint="eastAsia" w:ascii="宋体" w:hAnsi="宋体" w:cs="宋体"/>
          <w:color w:val="auto"/>
          <w:highlight w:val="none"/>
        </w:rPr>
        <w:t>后，应使用不透明、防水的邮寄袋或箱子再次包裹已密封好的投标，并在邮寄袋或箱子上粘牢注明项目名称、项目编号、项目开标日期、有效的电子邮箱等内容的纸质表格（表格格式详见附件）。</w:t>
      </w:r>
    </w:p>
    <w:tbl>
      <w:tblPr>
        <w:tblStyle w:val="37"/>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20" w:type="dxa"/>
          </w:tcPr>
          <w:p>
            <w:pPr>
              <w:widowControl/>
              <w:spacing w:before="100" w:after="100" w:line="360" w:lineRule="exact"/>
              <w:jc w:val="left"/>
              <w:rPr>
                <w:color w:val="auto"/>
                <w:sz w:val="24"/>
                <w:highlight w:val="none"/>
              </w:rPr>
            </w:pPr>
            <w:r>
              <w:rPr>
                <w:rFonts w:hint="eastAsia" w:ascii="宋体" w:hAnsi="宋体" w:cs="宋体"/>
                <w:color w:val="auto"/>
                <w:kern w:val="0"/>
                <w:sz w:val="24"/>
                <w:highlight w:val="none"/>
              </w:rPr>
              <w:t>附件：</w:t>
            </w:r>
          </w:p>
          <w:p>
            <w:pPr>
              <w:widowControl/>
              <w:spacing w:before="100" w:after="100" w:line="360" w:lineRule="exact"/>
              <w:ind w:firstLine="960" w:firstLineChars="400"/>
              <w:jc w:val="left"/>
              <w:rPr>
                <w:color w:val="auto"/>
                <w:sz w:val="24"/>
                <w:highlight w:val="none"/>
              </w:rPr>
            </w:pPr>
            <w:r>
              <w:rPr>
                <w:rFonts w:hint="eastAsia" w:ascii="宋体" w:hAnsi="宋体" w:cs="宋体"/>
                <w:color w:val="auto"/>
                <w:kern w:val="0"/>
                <w:sz w:val="24"/>
                <w:highlight w:val="none"/>
              </w:rPr>
              <w:t>邮件外包粘贴表格（格式）</w:t>
            </w:r>
          </w:p>
          <w:p>
            <w:pPr>
              <w:widowControl/>
              <w:spacing w:before="100" w:after="100" w:line="360" w:lineRule="exact"/>
              <w:ind w:firstLine="960" w:firstLineChars="400"/>
              <w:jc w:val="left"/>
              <w:rPr>
                <w:color w:val="auto"/>
                <w:sz w:val="24"/>
                <w:highlight w:val="none"/>
              </w:rPr>
            </w:pPr>
            <w:r>
              <w:rPr>
                <w:rFonts w:hint="eastAsia" w:ascii="宋体" w:hAnsi="宋体" w:cs="宋体"/>
                <w:color w:val="auto"/>
                <w:kern w:val="0"/>
                <w:sz w:val="24"/>
                <w:highlight w:val="none"/>
              </w:rPr>
              <w:t>项目名称：</w:t>
            </w:r>
          </w:p>
          <w:p>
            <w:pPr>
              <w:widowControl/>
              <w:spacing w:before="100" w:after="100" w:line="360" w:lineRule="exact"/>
              <w:ind w:firstLine="960" w:firstLineChars="400"/>
              <w:jc w:val="left"/>
              <w:rPr>
                <w:color w:val="auto"/>
                <w:sz w:val="24"/>
                <w:highlight w:val="none"/>
              </w:rPr>
            </w:pPr>
            <w:r>
              <w:rPr>
                <w:rFonts w:hint="eastAsia" w:ascii="宋体" w:hAnsi="宋体" w:cs="宋体"/>
                <w:color w:val="auto"/>
                <w:kern w:val="0"/>
                <w:sz w:val="24"/>
                <w:highlight w:val="none"/>
              </w:rPr>
              <w:t>项目编号：</w:t>
            </w:r>
          </w:p>
          <w:p>
            <w:pPr>
              <w:widowControl/>
              <w:spacing w:before="100" w:after="100" w:line="360" w:lineRule="exact"/>
              <w:ind w:firstLine="960" w:firstLineChars="400"/>
              <w:jc w:val="left"/>
              <w:rPr>
                <w:color w:val="auto"/>
                <w:sz w:val="24"/>
                <w:highlight w:val="none"/>
              </w:rPr>
            </w:pPr>
            <w:r>
              <w:rPr>
                <w:rFonts w:hint="eastAsia" w:ascii="宋体" w:hAnsi="宋体" w:cs="宋体"/>
                <w:color w:val="auto"/>
                <w:kern w:val="0"/>
                <w:sz w:val="24"/>
                <w:highlight w:val="none"/>
              </w:rPr>
              <w:t>项目开标日期：</w:t>
            </w:r>
          </w:p>
          <w:p>
            <w:pPr>
              <w:widowControl/>
              <w:spacing w:before="100" w:after="100" w:line="360" w:lineRule="exact"/>
              <w:ind w:firstLine="960" w:firstLineChars="400"/>
              <w:jc w:val="left"/>
              <w:rPr>
                <w:color w:val="auto"/>
                <w:sz w:val="24"/>
                <w:highlight w:val="none"/>
              </w:rPr>
            </w:pPr>
            <w:r>
              <w:rPr>
                <w:rFonts w:hint="eastAsia" w:ascii="宋体" w:hAnsi="宋体" w:cs="宋体"/>
                <w:color w:val="auto"/>
                <w:kern w:val="0"/>
                <w:sz w:val="24"/>
                <w:highlight w:val="none"/>
              </w:rPr>
              <w:t>联系电话：</w:t>
            </w:r>
          </w:p>
          <w:p>
            <w:pPr>
              <w:pStyle w:val="18"/>
              <w:spacing w:line="360" w:lineRule="exact"/>
              <w:ind w:firstLine="960" w:firstLineChars="400"/>
              <w:rPr>
                <w:rFonts w:ascii="宋体" w:hAnsi="宋体" w:cs="宋体"/>
                <w:color w:val="auto"/>
                <w:highlight w:val="none"/>
              </w:rPr>
            </w:pPr>
            <w:r>
              <w:rPr>
                <w:rFonts w:hint="eastAsia" w:ascii="宋体" w:hAnsi="宋体" w:cs="宋体"/>
                <w:color w:val="auto"/>
                <w:kern w:val="0"/>
                <w:highlight w:val="none"/>
              </w:rPr>
              <w:t>联系电子邮箱：</w:t>
            </w:r>
          </w:p>
        </w:tc>
      </w:tr>
    </w:tbl>
    <w:p>
      <w:pPr>
        <w:pStyle w:val="18"/>
        <w:spacing w:line="360" w:lineRule="exact"/>
        <w:ind w:firstLine="480" w:firstLineChars="200"/>
        <w:rPr>
          <w:rFonts w:ascii="宋体" w:hAnsi="宋体" w:cs="宋体"/>
          <w:color w:val="auto"/>
          <w:highlight w:val="none"/>
        </w:rPr>
      </w:pPr>
      <w:r>
        <w:rPr>
          <w:rFonts w:hint="eastAsia" w:ascii="宋体" w:hAnsi="宋体" w:cs="宋体"/>
          <w:color w:val="auto"/>
          <w:highlight w:val="none"/>
        </w:rPr>
        <w:t>6、招标采购人或招标采购代理机构工作人员在收到</w:t>
      </w:r>
      <w:r>
        <w:rPr>
          <w:rFonts w:hint="eastAsia" w:ascii="宋体" w:hAnsi="宋体" w:cs="宋体"/>
          <w:color w:val="auto"/>
          <w:highlight w:val="none"/>
          <w:lang w:eastAsia="zh-CN"/>
        </w:rPr>
        <w:t>投标文件</w:t>
      </w:r>
      <w:r>
        <w:rPr>
          <w:rFonts w:hint="eastAsia" w:ascii="宋体" w:hAnsi="宋体" w:cs="宋体"/>
          <w:color w:val="auto"/>
          <w:highlight w:val="none"/>
        </w:rPr>
        <w:t>的邮寄包裹后，第一时间按照供应商在邮寄包裹上所预留的电子邮箱告知投标收件情况，请投标人务必确保所预留电子邮箱的有效性，并注意查收邮件。</w:t>
      </w:r>
    </w:p>
    <w:p>
      <w:pPr>
        <w:pStyle w:val="4"/>
        <w:spacing w:line="360" w:lineRule="exact"/>
        <w:rPr>
          <w:rFonts w:ascii="宋体" w:hAnsi="宋体" w:cs="宋体"/>
          <w:bCs w:val="0"/>
          <w:color w:val="auto"/>
          <w:sz w:val="24"/>
          <w:szCs w:val="24"/>
          <w:highlight w:val="none"/>
        </w:rPr>
      </w:pPr>
      <w:bookmarkStart w:id="20" w:name="_Toc28359016"/>
      <w:bookmarkStart w:id="21" w:name="_Toc35393633"/>
      <w:bookmarkStart w:id="22" w:name="_Toc35393802"/>
      <w:bookmarkStart w:id="23" w:name="_Toc28359093"/>
      <w:r>
        <w:rPr>
          <w:rFonts w:hint="eastAsia" w:ascii="宋体" w:hAnsi="宋体" w:cs="宋体"/>
          <w:bCs w:val="0"/>
          <w:color w:val="auto"/>
          <w:sz w:val="24"/>
          <w:szCs w:val="24"/>
          <w:highlight w:val="none"/>
        </w:rPr>
        <w:t>五、开启</w:t>
      </w:r>
      <w:bookmarkEnd w:id="20"/>
      <w:bookmarkEnd w:id="21"/>
      <w:bookmarkEnd w:id="22"/>
      <w:bookmarkEnd w:id="23"/>
    </w:p>
    <w:p>
      <w:pPr>
        <w:spacing w:line="360" w:lineRule="exact"/>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12</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4</w:t>
      </w:r>
      <w:r>
        <w:rPr>
          <w:rFonts w:hint="eastAsia" w:ascii="宋体" w:hAnsi="宋体" w:cs="宋体"/>
          <w:bCs/>
          <w:color w:val="auto"/>
          <w:sz w:val="24"/>
          <w:highlight w:val="none"/>
          <w:u w:val="single"/>
        </w:rPr>
        <w:t>日9点30分</w:t>
      </w:r>
      <w:r>
        <w:rPr>
          <w:rFonts w:hint="eastAsia" w:ascii="宋体" w:hAnsi="宋体" w:cs="宋体"/>
          <w:bCs/>
          <w:color w:val="auto"/>
          <w:sz w:val="24"/>
          <w:highlight w:val="none"/>
        </w:rPr>
        <w:t>（北京时间）</w:t>
      </w:r>
      <w:r>
        <w:rPr>
          <w:rFonts w:hint="eastAsia" w:ascii="宋体" w:hAnsi="宋体" w:cs="宋体"/>
          <w:bCs/>
          <w:color w:val="auto"/>
          <w:sz w:val="24"/>
          <w:highlight w:val="none"/>
          <w:lang w:eastAsia="zh-CN"/>
        </w:rPr>
        <w:t>投标文件</w:t>
      </w:r>
      <w:r>
        <w:rPr>
          <w:rFonts w:hint="eastAsia" w:ascii="宋体" w:hAnsi="宋体" w:cs="宋体"/>
          <w:bCs/>
          <w:color w:val="auto"/>
          <w:sz w:val="24"/>
          <w:highlight w:val="none"/>
        </w:rPr>
        <w:t>提交</w:t>
      </w:r>
      <w:r>
        <w:rPr>
          <w:rFonts w:hint="eastAsia" w:ascii="宋体" w:hAnsi="宋体" w:cs="宋体"/>
          <w:color w:val="auto"/>
          <w:sz w:val="24"/>
          <w:highlight w:val="none"/>
        </w:rPr>
        <w:t>截止时间后</w:t>
      </w:r>
    </w:p>
    <w:p>
      <w:pPr>
        <w:spacing w:line="360" w:lineRule="exact"/>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地点：南宁市良庆区玉洞大道33号（市青少年活动中心旁）南宁市市民中心10楼南宁市公共资源交易中心评标室。</w:t>
      </w:r>
    </w:p>
    <w:p>
      <w:pPr>
        <w:pStyle w:val="4"/>
        <w:spacing w:line="360" w:lineRule="exact"/>
        <w:rPr>
          <w:rFonts w:ascii="宋体" w:hAnsi="宋体" w:cs="宋体"/>
          <w:bCs w:val="0"/>
          <w:color w:val="auto"/>
          <w:sz w:val="24"/>
          <w:szCs w:val="24"/>
          <w:highlight w:val="none"/>
        </w:rPr>
      </w:pPr>
      <w:bookmarkStart w:id="24" w:name="_Toc28359017"/>
      <w:bookmarkStart w:id="25" w:name="_Toc35393803"/>
      <w:bookmarkStart w:id="26" w:name="_Toc28359094"/>
      <w:bookmarkStart w:id="27" w:name="_Toc35393634"/>
      <w:r>
        <w:rPr>
          <w:rFonts w:hint="eastAsia" w:ascii="宋体" w:hAnsi="宋体" w:cs="宋体"/>
          <w:bCs w:val="0"/>
          <w:color w:val="auto"/>
          <w:sz w:val="24"/>
          <w:szCs w:val="24"/>
          <w:highlight w:val="none"/>
        </w:rPr>
        <w:t>六、公告期限</w:t>
      </w:r>
      <w:bookmarkEnd w:id="24"/>
      <w:bookmarkEnd w:id="25"/>
      <w:bookmarkEnd w:id="26"/>
      <w:bookmarkEnd w:id="27"/>
    </w:p>
    <w:p>
      <w:pPr>
        <w:spacing w:line="3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pStyle w:val="4"/>
        <w:spacing w:line="360" w:lineRule="exact"/>
        <w:rPr>
          <w:rFonts w:ascii="宋体" w:hAnsi="宋体" w:cs="宋体"/>
          <w:bCs w:val="0"/>
          <w:color w:val="auto"/>
          <w:sz w:val="24"/>
          <w:szCs w:val="24"/>
          <w:highlight w:val="none"/>
        </w:rPr>
      </w:pPr>
      <w:bookmarkStart w:id="28" w:name="_Toc35393804"/>
      <w:bookmarkStart w:id="29" w:name="_Toc35393635"/>
      <w:r>
        <w:rPr>
          <w:rFonts w:hint="eastAsia" w:ascii="宋体" w:hAnsi="宋体" w:cs="宋体"/>
          <w:bCs w:val="0"/>
          <w:color w:val="auto"/>
          <w:sz w:val="24"/>
          <w:szCs w:val="24"/>
          <w:highlight w:val="none"/>
        </w:rPr>
        <w:t>七、其他补充事宜</w:t>
      </w:r>
      <w:bookmarkEnd w:id="28"/>
      <w:bookmarkEnd w:id="29"/>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szCs w:val="24"/>
          <w:highlight w:val="none"/>
        </w:rPr>
        <w:t>发布媒体：中国政府采购网、广西壮族自治区政府采购网、南宁政府采购网、</w:t>
      </w:r>
      <w:r>
        <w:rPr>
          <w:rFonts w:hint="eastAsia" w:ascii="宋体" w:hAnsi="宋体" w:cs="宋体"/>
          <w:color w:val="auto"/>
          <w:kern w:val="0"/>
          <w:sz w:val="24"/>
          <w:szCs w:val="24"/>
          <w:highlight w:val="none"/>
        </w:rPr>
        <w:t>南宁市公共资源交易中心网</w:t>
      </w:r>
      <w:r>
        <w:rPr>
          <w:rFonts w:hint="eastAsia" w:ascii="宋体" w:hAnsi="宋体" w:cs="宋体"/>
          <w:color w:val="auto"/>
          <w:sz w:val="24"/>
          <w:szCs w:val="24"/>
          <w:highlight w:val="none"/>
        </w:rPr>
        <w:t>、广西招标网</w:t>
      </w:r>
      <w:r>
        <w:rPr>
          <w:rFonts w:hint="eastAsia" w:ascii="宋体" w:hAnsi="宋体" w:cs="宋体"/>
          <w:color w:val="auto"/>
          <w:kern w:val="0"/>
          <w:sz w:val="24"/>
          <w:highlight w:val="none"/>
        </w:rPr>
        <w:t>。</w:t>
      </w:r>
    </w:p>
    <w:p>
      <w:pPr>
        <w:pStyle w:val="4"/>
        <w:spacing w:line="360" w:lineRule="exact"/>
        <w:rPr>
          <w:rFonts w:ascii="宋体" w:hAnsi="宋体" w:cs="宋体"/>
          <w:bCs w:val="0"/>
          <w:color w:val="auto"/>
          <w:sz w:val="24"/>
          <w:szCs w:val="24"/>
          <w:highlight w:val="none"/>
        </w:rPr>
      </w:pPr>
      <w:bookmarkStart w:id="30" w:name="_Toc35393636"/>
      <w:bookmarkStart w:id="31" w:name="_Toc28359018"/>
      <w:bookmarkStart w:id="32" w:name="_Toc28359095"/>
      <w:bookmarkStart w:id="33" w:name="_Toc35393805"/>
      <w:r>
        <w:rPr>
          <w:rFonts w:hint="eastAsia" w:ascii="宋体" w:hAnsi="宋体" w:cs="宋体"/>
          <w:bCs w:val="0"/>
          <w:color w:val="auto"/>
          <w:sz w:val="24"/>
          <w:szCs w:val="24"/>
          <w:highlight w:val="none"/>
        </w:rPr>
        <w:t>八、对本次招标提出询问，请按</w:t>
      </w:r>
      <w:r>
        <w:rPr>
          <w:rFonts w:ascii="宋体" w:hAnsi="宋体" w:cs="宋体"/>
          <w:bCs w:val="0"/>
          <w:color w:val="auto"/>
          <w:sz w:val="24"/>
          <w:szCs w:val="24"/>
          <w:highlight w:val="none"/>
        </w:rPr>
        <w:t>以下方式</w:t>
      </w:r>
      <w:r>
        <w:rPr>
          <w:rFonts w:hint="eastAsia" w:ascii="宋体" w:hAnsi="宋体" w:cs="宋体"/>
          <w:bCs w:val="0"/>
          <w:color w:val="auto"/>
          <w:sz w:val="24"/>
          <w:szCs w:val="24"/>
          <w:highlight w:val="none"/>
        </w:rPr>
        <w:t>联系。</w:t>
      </w:r>
      <w:bookmarkEnd w:id="30"/>
      <w:bookmarkEnd w:id="31"/>
      <w:bookmarkEnd w:id="32"/>
      <w:bookmarkEnd w:id="33"/>
    </w:p>
    <w:p>
      <w:pPr>
        <w:pStyle w:val="4"/>
        <w:spacing w:line="360" w:lineRule="exact"/>
        <w:ind w:firstLine="720" w:firstLineChars="300"/>
        <w:rPr>
          <w:rFonts w:ascii="宋体" w:hAnsi="宋体" w:cs="宋体"/>
          <w:b w:val="0"/>
          <w:color w:val="auto"/>
          <w:sz w:val="24"/>
          <w:szCs w:val="24"/>
          <w:highlight w:val="none"/>
        </w:rPr>
      </w:pPr>
      <w:bookmarkStart w:id="34" w:name="_Toc28359019"/>
      <w:bookmarkStart w:id="35" w:name="_Toc28359096"/>
      <w:bookmarkStart w:id="36" w:name="_Toc35393806"/>
      <w:bookmarkStart w:id="37" w:name="_Toc35393637"/>
      <w:r>
        <w:rPr>
          <w:rFonts w:hint="eastAsia" w:ascii="宋体" w:hAnsi="宋体" w:cs="宋体"/>
          <w:b w:val="0"/>
          <w:color w:val="auto"/>
          <w:sz w:val="24"/>
          <w:szCs w:val="24"/>
          <w:highlight w:val="none"/>
        </w:rPr>
        <w:t>1.采购人信息</w:t>
      </w:r>
      <w:bookmarkEnd w:id="34"/>
      <w:bookmarkEnd w:id="35"/>
      <w:bookmarkEnd w:id="36"/>
      <w:bookmarkEnd w:id="37"/>
    </w:p>
    <w:p>
      <w:pPr>
        <w:spacing w:line="360" w:lineRule="exact"/>
        <w:ind w:left="1079" w:leftChars="371" w:hanging="300" w:hangingChars="125"/>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lang w:eastAsia="zh-CN"/>
        </w:rPr>
        <w:t>南宁市青秀区土地储备分中心</w:t>
      </w:r>
    </w:p>
    <w:p>
      <w:pPr>
        <w:spacing w:line="360" w:lineRule="exact"/>
        <w:ind w:left="1079" w:leftChars="371" w:hanging="300" w:hangingChars="125"/>
        <w:jc w:val="left"/>
        <w:rPr>
          <w:rFonts w:ascii="宋体" w:hAnsi="宋体" w:cs="宋体"/>
          <w:color w:val="auto"/>
          <w:sz w:val="24"/>
          <w:szCs w:val="24"/>
          <w:highlight w:val="none"/>
        </w:rPr>
      </w:pPr>
      <w:r>
        <w:rPr>
          <w:rFonts w:hint="eastAsia" w:ascii="宋体" w:hAnsi="宋体" w:cs="宋体"/>
          <w:color w:val="auto"/>
          <w:sz w:val="24"/>
          <w:szCs w:val="24"/>
          <w:highlight w:val="none"/>
        </w:rPr>
        <w:t>地    址：</w:t>
      </w:r>
      <w:r>
        <w:rPr>
          <w:rFonts w:hint="eastAsia" w:ascii="宋体" w:hAnsi="宋体"/>
          <w:color w:val="auto"/>
          <w:sz w:val="24"/>
          <w:szCs w:val="24"/>
          <w:highlight w:val="none"/>
        </w:rPr>
        <w:t>南宁市青秀区悦宾路1号</w:t>
      </w:r>
    </w:p>
    <w:p>
      <w:pPr>
        <w:spacing w:line="360" w:lineRule="exact"/>
        <w:ind w:left="1079" w:leftChars="371" w:hanging="300" w:hangingChars="125"/>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lang w:val="en-US" w:eastAsia="zh-CN"/>
        </w:rPr>
        <w:t>苏桂海</w:t>
      </w:r>
      <w:r>
        <w:rPr>
          <w:rFonts w:hint="eastAsia" w:ascii="宋体" w:hAnsi="宋体" w:cs="宋体"/>
          <w:color w:val="auto"/>
          <w:sz w:val="24"/>
          <w:szCs w:val="24"/>
          <w:highlight w:val="none"/>
        </w:rPr>
        <w:t xml:space="preserve"> 电话：</w:t>
      </w:r>
      <w:r>
        <w:rPr>
          <w:rFonts w:hint="eastAsia" w:ascii="宋体" w:hAnsi="宋体" w:cs="宋体"/>
          <w:color w:val="auto"/>
          <w:sz w:val="24"/>
          <w:szCs w:val="24"/>
          <w:highlight w:val="none"/>
          <w:lang w:val="en-US" w:eastAsia="zh-CN"/>
        </w:rPr>
        <w:t>0771-5826335</w:t>
      </w:r>
    </w:p>
    <w:p>
      <w:pPr>
        <w:pStyle w:val="4"/>
        <w:spacing w:line="360" w:lineRule="exact"/>
        <w:ind w:firstLine="720" w:firstLineChars="300"/>
        <w:rPr>
          <w:rFonts w:ascii="宋体" w:hAnsi="宋体" w:cs="宋体"/>
          <w:b w:val="0"/>
          <w:color w:val="auto"/>
          <w:sz w:val="24"/>
          <w:szCs w:val="24"/>
          <w:highlight w:val="none"/>
        </w:rPr>
      </w:pPr>
      <w:bookmarkStart w:id="38" w:name="_Toc35393807"/>
      <w:bookmarkStart w:id="39" w:name="_Toc28359097"/>
      <w:bookmarkStart w:id="40" w:name="_Toc28359020"/>
      <w:bookmarkStart w:id="41" w:name="_Toc35393638"/>
      <w:r>
        <w:rPr>
          <w:rFonts w:hint="eastAsia" w:ascii="宋体" w:hAnsi="宋体" w:cs="宋体"/>
          <w:b w:val="0"/>
          <w:color w:val="auto"/>
          <w:sz w:val="24"/>
          <w:szCs w:val="24"/>
          <w:highlight w:val="none"/>
        </w:rPr>
        <w:t>2.采购代理机构信息</w:t>
      </w:r>
      <w:bookmarkEnd w:id="38"/>
      <w:bookmarkEnd w:id="39"/>
      <w:bookmarkEnd w:id="40"/>
      <w:bookmarkEnd w:id="41"/>
    </w:p>
    <w:p>
      <w:pPr>
        <w:spacing w:line="36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名    称：广西建设工程机电设备招标中心有限公司</w:t>
      </w:r>
    </w:p>
    <w:p>
      <w:pPr>
        <w:spacing w:line="36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地　　址：南宁市青秀区纬武路165号</w:t>
      </w:r>
    </w:p>
    <w:p>
      <w:pPr>
        <w:spacing w:line="360" w:lineRule="exact"/>
        <w:ind w:firstLine="720" w:firstLineChars="300"/>
        <w:rPr>
          <w:rFonts w:ascii="宋体" w:hAnsi="宋体" w:cs="宋体"/>
          <w:color w:val="auto"/>
          <w:sz w:val="24"/>
          <w:szCs w:val="24"/>
          <w:highlight w:val="none"/>
          <w:u w:val="single"/>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lang w:val="en-US" w:eastAsia="zh-CN"/>
        </w:rPr>
        <w:t>吴兴红</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 xml:space="preserve">周剑 </w:t>
      </w:r>
      <w:r>
        <w:rPr>
          <w:rFonts w:hint="eastAsia" w:ascii="宋体" w:hAnsi="宋体" w:cs="宋体"/>
          <w:color w:val="auto"/>
          <w:sz w:val="24"/>
          <w:szCs w:val="24"/>
          <w:highlight w:val="none"/>
        </w:rPr>
        <w:t>电话：0771-280</w:t>
      </w:r>
      <w:r>
        <w:rPr>
          <w:rFonts w:hint="eastAsia" w:ascii="宋体" w:hAnsi="宋体" w:cs="宋体"/>
          <w:color w:val="auto"/>
          <w:sz w:val="24"/>
          <w:szCs w:val="24"/>
          <w:highlight w:val="none"/>
          <w:lang w:val="en-US" w:eastAsia="zh-CN"/>
        </w:rPr>
        <w:t>7659</w:t>
      </w:r>
      <w:r>
        <w:rPr>
          <w:rFonts w:hint="eastAsia" w:ascii="宋体" w:hAnsi="宋体" w:cs="宋体"/>
          <w:color w:val="auto"/>
          <w:sz w:val="24"/>
          <w:szCs w:val="24"/>
          <w:highlight w:val="none"/>
        </w:rPr>
        <w:t xml:space="preserve">  传真：0771-280</w:t>
      </w:r>
      <w:r>
        <w:rPr>
          <w:rFonts w:hint="eastAsia" w:ascii="宋体" w:hAnsi="宋体" w:cs="宋体"/>
          <w:color w:val="auto"/>
          <w:sz w:val="24"/>
          <w:szCs w:val="24"/>
          <w:highlight w:val="none"/>
          <w:lang w:val="en-US" w:eastAsia="zh-CN"/>
        </w:rPr>
        <w:t>7659</w:t>
      </w:r>
      <w:r>
        <w:rPr>
          <w:rFonts w:hint="eastAsia" w:ascii="宋体" w:hAnsi="宋体" w:cs="宋体"/>
          <w:color w:val="auto"/>
          <w:sz w:val="24"/>
          <w:szCs w:val="24"/>
          <w:highlight w:val="none"/>
        </w:rPr>
        <w:t xml:space="preserve">  </w:t>
      </w:r>
    </w:p>
    <w:p>
      <w:pPr>
        <w:pStyle w:val="4"/>
        <w:spacing w:line="360" w:lineRule="exact"/>
        <w:ind w:firstLine="720" w:firstLineChars="300"/>
        <w:rPr>
          <w:rFonts w:ascii="宋体" w:hAnsi="宋体" w:cs="宋体"/>
          <w:b w:val="0"/>
          <w:color w:val="auto"/>
          <w:sz w:val="24"/>
          <w:szCs w:val="24"/>
          <w:highlight w:val="none"/>
        </w:rPr>
      </w:pPr>
      <w:bookmarkStart w:id="42" w:name="_Toc35393639"/>
      <w:bookmarkStart w:id="43" w:name="_Toc28359098"/>
      <w:bookmarkStart w:id="44" w:name="_Toc35393808"/>
      <w:bookmarkStart w:id="45" w:name="_Toc28359021"/>
      <w:r>
        <w:rPr>
          <w:rFonts w:hint="eastAsia" w:ascii="宋体" w:hAnsi="宋体" w:cs="宋体"/>
          <w:b w:val="0"/>
          <w:color w:val="auto"/>
          <w:sz w:val="24"/>
          <w:szCs w:val="24"/>
          <w:highlight w:val="none"/>
        </w:rPr>
        <w:t>3.项目联系方式</w:t>
      </w:r>
      <w:bookmarkEnd w:id="42"/>
      <w:bookmarkEnd w:id="43"/>
      <w:bookmarkEnd w:id="44"/>
      <w:bookmarkEnd w:id="45"/>
    </w:p>
    <w:p>
      <w:pPr>
        <w:spacing w:line="360" w:lineRule="exact"/>
        <w:ind w:left="1079" w:leftChars="371" w:hanging="300" w:hangingChars="125"/>
        <w:jc w:val="left"/>
        <w:rPr>
          <w:rFonts w:ascii="宋体" w:hAnsi="宋体" w:cs="宋体"/>
          <w:color w:val="auto"/>
          <w:sz w:val="24"/>
          <w:szCs w:val="24"/>
          <w:highlight w:val="none"/>
        </w:rPr>
      </w:pPr>
      <w:r>
        <w:rPr>
          <w:rFonts w:hint="eastAsia" w:ascii="宋体" w:hAnsi="宋体" w:cs="宋体"/>
          <w:color w:val="auto"/>
          <w:sz w:val="24"/>
          <w:szCs w:val="24"/>
          <w:highlight w:val="none"/>
        </w:rPr>
        <w:t>项目联系人：</w:t>
      </w:r>
      <w:r>
        <w:rPr>
          <w:rFonts w:hint="eastAsia" w:ascii="宋体" w:hAnsi="宋体" w:cs="宋体"/>
          <w:color w:val="auto"/>
          <w:sz w:val="24"/>
          <w:szCs w:val="24"/>
          <w:highlight w:val="none"/>
          <w:lang w:val="en-US" w:eastAsia="zh-CN"/>
        </w:rPr>
        <w:t>吴兴红</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周剑</w:t>
      </w:r>
    </w:p>
    <w:p>
      <w:pPr>
        <w:ind w:firstLine="840" w:firstLineChars="350"/>
        <w:rPr>
          <w:rFonts w:ascii="宋体"/>
          <w:color w:val="auto"/>
          <w:sz w:val="24"/>
          <w:szCs w:val="24"/>
          <w:highlight w:val="none"/>
        </w:rPr>
      </w:pPr>
      <w:r>
        <w:rPr>
          <w:rFonts w:hint="eastAsia" w:ascii="宋体" w:hAnsi="宋体" w:cs="宋体"/>
          <w:color w:val="auto"/>
          <w:sz w:val="24"/>
          <w:szCs w:val="24"/>
          <w:highlight w:val="none"/>
        </w:rPr>
        <w:t>电　　 话：0771-280</w:t>
      </w:r>
      <w:r>
        <w:rPr>
          <w:rFonts w:hint="eastAsia" w:ascii="宋体" w:hAnsi="宋体" w:cs="宋体"/>
          <w:color w:val="auto"/>
          <w:sz w:val="24"/>
          <w:szCs w:val="24"/>
          <w:highlight w:val="none"/>
          <w:lang w:val="en-US" w:eastAsia="zh-CN"/>
        </w:rPr>
        <w:t>7659</w:t>
      </w:r>
    </w:p>
    <w:p>
      <w:pPr>
        <w:wordWrap w:val="0"/>
        <w:snapToGrid w:val="0"/>
        <w:jc w:val="right"/>
        <w:rPr>
          <w:rFonts w:ascii="宋体"/>
          <w:color w:val="auto"/>
          <w:sz w:val="24"/>
          <w:szCs w:val="24"/>
          <w:highlight w:val="none"/>
        </w:rPr>
      </w:pPr>
    </w:p>
    <w:p>
      <w:pPr>
        <w:snapToGrid w:val="0"/>
        <w:jc w:val="right"/>
        <w:rPr>
          <w:rFonts w:ascii="宋体" w:hAnsi="宋体" w:cs="宋体"/>
          <w:color w:val="auto"/>
          <w:sz w:val="24"/>
          <w:szCs w:val="24"/>
          <w:highlight w:val="none"/>
        </w:rPr>
      </w:pPr>
      <w:r>
        <w:rPr>
          <w:rFonts w:hint="eastAsia" w:ascii="宋体" w:hAnsi="宋体" w:cs="宋体"/>
          <w:color w:val="auto"/>
          <w:sz w:val="24"/>
          <w:szCs w:val="24"/>
          <w:highlight w:val="none"/>
        </w:rPr>
        <w:t>采购代理机构：广西建设工程机电设备招标中心有限公司</w:t>
      </w:r>
    </w:p>
    <w:p>
      <w:pPr>
        <w:snapToGrid w:val="0"/>
        <w:jc w:val="right"/>
        <w:rPr>
          <w:rFonts w:ascii="宋体" w:cs="宋体"/>
          <w:color w:val="auto"/>
          <w:sz w:val="24"/>
          <w:szCs w:val="24"/>
          <w:highlight w:val="none"/>
        </w:rPr>
      </w:pPr>
      <w:r>
        <w:rPr>
          <w:rFonts w:ascii="宋体" w:hAnsi="宋体" w:cs="宋体"/>
          <w:color w:val="auto"/>
          <w:sz w:val="24"/>
          <w:szCs w:val="24"/>
          <w:highlight w:val="none"/>
          <w:u w:val="single"/>
        </w:rPr>
        <w:t xml:space="preserve"> 2020</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11</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lang w:val="en-US" w:eastAsia="zh-CN"/>
        </w:rPr>
        <w:t>13</w:t>
      </w:r>
      <w:r>
        <w:rPr>
          <w:rFonts w:hint="eastAsia" w:ascii="宋体" w:hAnsi="宋体" w:cs="宋体"/>
          <w:color w:val="auto"/>
          <w:sz w:val="24"/>
          <w:szCs w:val="24"/>
          <w:highlight w:val="none"/>
        </w:rPr>
        <w:t>日</w:t>
      </w:r>
    </w:p>
    <w:p>
      <w:pPr>
        <w:spacing w:line="560" w:lineRule="exact"/>
        <w:rPr>
          <w:rFonts w:ascii="仿宋_GB2312" w:eastAsia="仿宋_GB2312"/>
          <w:color w:val="auto"/>
          <w:sz w:val="28"/>
          <w:szCs w:val="28"/>
          <w:highlight w:val="none"/>
        </w:rPr>
      </w:pPr>
    </w:p>
    <w:p>
      <w:pPr>
        <w:snapToGrid w:val="0"/>
        <w:jc w:val="center"/>
        <w:rPr>
          <w:rFonts w:ascii="宋体"/>
          <w:color w:val="auto"/>
          <w:highlight w:val="none"/>
        </w:rPr>
      </w:pPr>
    </w:p>
    <w:p>
      <w:pPr>
        <w:snapToGrid w:val="0"/>
        <w:jc w:val="center"/>
        <w:rPr>
          <w:rFonts w:ascii="宋体"/>
          <w:color w:val="auto"/>
          <w:highlight w:val="none"/>
        </w:rPr>
      </w:pPr>
    </w:p>
    <w:p>
      <w:pPr>
        <w:snapToGrid w:val="0"/>
        <w:jc w:val="center"/>
        <w:rPr>
          <w:rFonts w:ascii="宋体"/>
          <w:color w:val="auto"/>
          <w:highlight w:val="none"/>
        </w:rPr>
      </w:pPr>
    </w:p>
    <w:p>
      <w:pPr>
        <w:snapToGrid w:val="0"/>
        <w:jc w:val="center"/>
        <w:rPr>
          <w:rFonts w:ascii="宋体"/>
          <w:color w:val="auto"/>
          <w:highlight w:val="none"/>
        </w:rPr>
      </w:pPr>
    </w:p>
    <w:p>
      <w:pPr>
        <w:snapToGrid w:val="0"/>
        <w:jc w:val="center"/>
        <w:rPr>
          <w:rFonts w:ascii="宋体"/>
          <w:color w:val="auto"/>
          <w:highlight w:val="none"/>
        </w:rPr>
      </w:pPr>
    </w:p>
    <w:p>
      <w:pPr>
        <w:snapToGrid w:val="0"/>
        <w:rPr>
          <w:rFonts w:ascii="宋体"/>
          <w:color w:val="auto"/>
          <w:highlight w:val="none"/>
        </w:rPr>
      </w:pPr>
    </w:p>
    <w:p>
      <w:pPr>
        <w:pStyle w:val="2"/>
        <w:rPr>
          <w:rFonts w:ascii="宋体"/>
          <w:color w:val="auto"/>
          <w:highlight w:val="none"/>
        </w:rPr>
      </w:pPr>
    </w:p>
    <w:p>
      <w:pPr>
        <w:rPr>
          <w:rFonts w:ascii="宋体"/>
          <w:color w:val="auto"/>
          <w:highlight w:val="none"/>
        </w:rPr>
      </w:pPr>
    </w:p>
    <w:p>
      <w:pPr>
        <w:pStyle w:val="2"/>
        <w:rPr>
          <w:rFonts w:ascii="宋体"/>
          <w:color w:val="auto"/>
          <w:highlight w:val="none"/>
        </w:rPr>
      </w:pPr>
    </w:p>
    <w:p>
      <w:pPr>
        <w:rPr>
          <w:rFonts w:ascii="宋体"/>
          <w:color w:val="auto"/>
          <w:highlight w:val="none"/>
        </w:rPr>
      </w:pPr>
    </w:p>
    <w:p>
      <w:pPr>
        <w:pStyle w:val="2"/>
        <w:rPr>
          <w:rFonts w:ascii="宋体"/>
          <w:color w:val="auto"/>
          <w:highlight w:val="none"/>
        </w:rPr>
      </w:pPr>
    </w:p>
    <w:p>
      <w:pPr>
        <w:rPr>
          <w:rFonts w:ascii="宋体"/>
          <w:color w:val="auto"/>
          <w:highlight w:val="none"/>
        </w:rPr>
      </w:pPr>
    </w:p>
    <w:p>
      <w:pPr>
        <w:pStyle w:val="2"/>
        <w:rPr>
          <w:rFonts w:ascii="宋体"/>
          <w:color w:val="auto"/>
          <w:highlight w:val="none"/>
        </w:rPr>
      </w:pPr>
    </w:p>
    <w:p>
      <w:pPr>
        <w:rPr>
          <w:rFonts w:ascii="宋体"/>
          <w:color w:val="auto"/>
          <w:highlight w:val="none"/>
        </w:rPr>
      </w:pPr>
    </w:p>
    <w:p>
      <w:pPr>
        <w:pStyle w:val="2"/>
        <w:rPr>
          <w:rFonts w:ascii="宋体"/>
          <w:color w:val="auto"/>
          <w:highlight w:val="none"/>
        </w:rPr>
      </w:pPr>
    </w:p>
    <w:p>
      <w:pPr>
        <w:rPr>
          <w:rFonts w:ascii="宋体"/>
          <w:color w:val="auto"/>
          <w:highlight w:val="none"/>
        </w:rPr>
      </w:pPr>
    </w:p>
    <w:p>
      <w:pPr>
        <w:pStyle w:val="2"/>
        <w:rPr>
          <w:rFonts w:ascii="宋体"/>
          <w:color w:val="auto"/>
          <w:highlight w:val="none"/>
        </w:rPr>
      </w:pPr>
    </w:p>
    <w:p>
      <w:pPr>
        <w:rPr>
          <w:rFonts w:ascii="宋体"/>
          <w:color w:val="auto"/>
          <w:highlight w:val="none"/>
        </w:rPr>
      </w:pPr>
    </w:p>
    <w:p>
      <w:pPr>
        <w:pStyle w:val="2"/>
        <w:rPr>
          <w:color w:val="auto"/>
          <w:highlight w:val="none"/>
        </w:rPr>
      </w:pPr>
    </w:p>
    <w:p>
      <w:pPr>
        <w:snapToGrid w:val="0"/>
        <w:jc w:val="center"/>
        <w:outlineLvl w:val="0"/>
        <w:rPr>
          <w:rFonts w:ascii="宋体"/>
          <w:b/>
          <w:bCs/>
          <w:color w:val="auto"/>
          <w:sz w:val="44"/>
          <w:szCs w:val="44"/>
          <w:highlight w:val="none"/>
        </w:rPr>
      </w:pPr>
      <w:bookmarkStart w:id="46" w:name="_Toc6659"/>
      <w:bookmarkStart w:id="47" w:name="_Toc25743"/>
      <w:r>
        <w:rPr>
          <w:rFonts w:hint="eastAsia" w:ascii="宋体" w:hAnsi="宋体" w:cs="宋体"/>
          <w:b/>
          <w:bCs/>
          <w:color w:val="auto"/>
          <w:sz w:val="44"/>
          <w:szCs w:val="44"/>
          <w:highlight w:val="none"/>
        </w:rPr>
        <w:t>第二章招标项目采购需求</w:t>
      </w:r>
      <w:bookmarkEnd w:id="46"/>
      <w:bookmarkEnd w:id="47"/>
    </w:p>
    <w:p>
      <w:pPr>
        <w:spacing w:line="320" w:lineRule="exact"/>
        <w:ind w:firstLine="482" w:firstLineChars="200"/>
        <w:jc w:val="center"/>
        <w:rPr>
          <w:rFonts w:hAnsi="宋体"/>
          <w:b/>
          <w:bCs/>
          <w:color w:val="auto"/>
          <w:sz w:val="24"/>
          <w:szCs w:val="24"/>
          <w:highlight w:val="none"/>
        </w:rPr>
      </w:pPr>
    </w:p>
    <w:p>
      <w:pPr>
        <w:spacing w:line="320" w:lineRule="exact"/>
        <w:ind w:firstLine="482" w:firstLineChars="200"/>
        <w:jc w:val="center"/>
        <w:rPr>
          <w:rFonts w:hAnsi="宋体"/>
          <w:b/>
          <w:bCs/>
          <w:color w:val="auto"/>
          <w:sz w:val="24"/>
          <w:szCs w:val="24"/>
          <w:highlight w:val="none"/>
        </w:rPr>
      </w:pPr>
      <w:r>
        <w:rPr>
          <w:rFonts w:hint="eastAsia" w:hAnsi="宋体" w:cs="宋体"/>
          <w:b/>
          <w:bCs/>
          <w:color w:val="auto"/>
          <w:sz w:val="24"/>
          <w:szCs w:val="24"/>
          <w:highlight w:val="none"/>
        </w:rPr>
        <w:t>服务需求一览表</w:t>
      </w:r>
    </w:p>
    <w:p>
      <w:pPr>
        <w:adjustRightInd w:val="0"/>
        <w:spacing w:line="340" w:lineRule="exact"/>
        <w:rPr>
          <w:rFonts w:ascii="宋体" w:hAnsi="宋体" w:cs="宋体"/>
          <w:b/>
          <w:bCs/>
          <w:color w:val="auto"/>
          <w:sz w:val="24"/>
          <w:szCs w:val="24"/>
          <w:highlight w:val="none"/>
        </w:rPr>
      </w:pPr>
      <w:r>
        <w:rPr>
          <w:rFonts w:hint="eastAsia" w:ascii="宋体" w:hAnsi="宋体" w:cs="宋体"/>
          <w:b/>
          <w:bCs/>
          <w:color w:val="auto"/>
          <w:sz w:val="24"/>
          <w:szCs w:val="24"/>
          <w:highlight w:val="none"/>
        </w:rPr>
        <w:t>说明：</w:t>
      </w:r>
    </w:p>
    <w:p>
      <w:pPr>
        <w:adjustRightInd w:val="0"/>
        <w:spacing w:line="340" w:lineRule="exact"/>
        <w:ind w:left="6" w:firstLine="431"/>
        <w:rPr>
          <w:rFonts w:ascii="宋体" w:hAnsi="宋体" w:cs="宋体"/>
          <w:b/>
          <w:bCs/>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本服务需求一览表中标注★号的部分为实质性要求和条件。</w:t>
      </w:r>
    </w:p>
    <w:p>
      <w:pPr>
        <w:spacing w:line="32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、本服务需求一览表中内容如与第五章“合同条款及格式”相关条款不一致的，以本表为准。</w:t>
      </w:r>
    </w:p>
    <w:p>
      <w:pPr>
        <w:spacing w:line="320" w:lineRule="exact"/>
        <w:ind w:firstLine="482" w:firstLineChars="200"/>
        <w:jc w:val="center"/>
        <w:rPr>
          <w:rFonts w:ascii="宋体" w:hAnsi="宋体"/>
          <w:b/>
          <w:bCs/>
          <w:color w:val="auto"/>
          <w:sz w:val="24"/>
          <w:szCs w:val="24"/>
          <w:highlight w:val="none"/>
        </w:rPr>
      </w:pPr>
    </w:p>
    <w:tbl>
      <w:tblPr>
        <w:tblStyle w:val="37"/>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768"/>
        <w:gridCol w:w="722"/>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tcMar>
              <w:top w:w="0" w:type="dxa"/>
              <w:left w:w="0" w:type="dxa"/>
              <w:bottom w:w="0" w:type="dxa"/>
              <w:right w:w="0" w:type="dxa"/>
            </w:tcMar>
            <w:vAlign w:val="center"/>
          </w:tcPr>
          <w:p>
            <w:pPr>
              <w:spacing w:line="36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项号</w:t>
            </w:r>
          </w:p>
        </w:tc>
        <w:tc>
          <w:tcPr>
            <w:tcW w:w="1768" w:type="dxa"/>
            <w:vAlign w:val="center"/>
          </w:tcPr>
          <w:p>
            <w:pPr>
              <w:spacing w:line="36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服务名称</w:t>
            </w:r>
          </w:p>
        </w:tc>
        <w:tc>
          <w:tcPr>
            <w:tcW w:w="722" w:type="dxa"/>
            <w:vAlign w:val="center"/>
          </w:tcPr>
          <w:p>
            <w:pPr>
              <w:spacing w:line="36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数量</w:t>
            </w:r>
          </w:p>
        </w:tc>
        <w:tc>
          <w:tcPr>
            <w:tcW w:w="6098" w:type="dxa"/>
            <w:vAlign w:val="center"/>
          </w:tcPr>
          <w:p>
            <w:pPr>
              <w:spacing w:line="36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vAlign w:val="center"/>
          </w:tcPr>
          <w:p>
            <w:pPr>
              <w:spacing w:line="360" w:lineRule="exact"/>
              <w:rPr>
                <w:rFonts w:ascii="宋体" w:hAnsi="宋体" w:cs="宋体"/>
                <w:color w:val="auto"/>
                <w:sz w:val="24"/>
                <w:szCs w:val="24"/>
                <w:highlight w:val="none"/>
              </w:rPr>
            </w:pPr>
            <w:r>
              <w:rPr>
                <w:rFonts w:ascii="宋体" w:hAnsi="宋体" w:cs="宋体"/>
                <w:color w:val="auto"/>
                <w:sz w:val="24"/>
                <w:szCs w:val="24"/>
                <w:highlight w:val="none"/>
              </w:rPr>
              <w:t>1</w:t>
            </w:r>
          </w:p>
        </w:tc>
        <w:tc>
          <w:tcPr>
            <w:tcW w:w="1768" w:type="dxa"/>
            <w:vAlign w:val="center"/>
          </w:tcPr>
          <w:p>
            <w:pPr>
              <w:spacing w:line="36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南宁市青秀区两个耕地提质改造（旱改水）项目整改及管护工作</w:t>
            </w:r>
          </w:p>
        </w:tc>
        <w:tc>
          <w:tcPr>
            <w:tcW w:w="722" w:type="dxa"/>
            <w:vAlign w:val="center"/>
          </w:tcPr>
          <w:p>
            <w:pPr>
              <w:spacing w:line="360" w:lineRule="exact"/>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项</w:t>
            </w:r>
          </w:p>
        </w:tc>
        <w:tc>
          <w:tcPr>
            <w:tcW w:w="6098" w:type="dxa"/>
            <w:vAlign w:val="center"/>
          </w:tcPr>
          <w:p>
            <w:pPr>
              <w:numPr>
                <w:ilvl w:val="0"/>
                <w:numId w:val="1"/>
              </w:numPr>
              <w:spacing w:line="480" w:lineRule="auto"/>
              <w:rPr>
                <w:rFonts w:ascii="宋体" w:hAnsi="宋体" w:cs="宋体"/>
                <w:b/>
                <w:bCs/>
                <w:color w:val="auto"/>
                <w:spacing w:val="2"/>
                <w:sz w:val="24"/>
                <w:szCs w:val="24"/>
                <w:highlight w:val="none"/>
              </w:rPr>
            </w:pPr>
            <w:r>
              <w:rPr>
                <w:rFonts w:hint="eastAsia" w:ascii="宋体" w:hAnsi="宋体" w:cs="宋体"/>
                <w:b/>
                <w:bCs/>
                <w:color w:val="auto"/>
                <w:spacing w:val="2"/>
                <w:sz w:val="24"/>
                <w:szCs w:val="24"/>
                <w:highlight w:val="none"/>
              </w:rPr>
              <w:t>工程概述</w:t>
            </w:r>
          </w:p>
          <w:p>
            <w:pPr>
              <w:pStyle w:val="18"/>
              <w:snapToGrid w:val="0"/>
              <w:spacing w:line="240" w:lineRule="auto"/>
              <w:ind w:firstLine="488" w:firstLineChars="200"/>
              <w:rPr>
                <w:rFonts w:hint="eastAsia" w:ascii="宋体" w:hAnsi="宋体" w:cs="宋体"/>
                <w:color w:val="auto"/>
                <w:highlight w:val="none"/>
              </w:rPr>
            </w:pPr>
            <w:r>
              <w:rPr>
                <w:rFonts w:hint="eastAsia" w:ascii="宋体" w:hAnsi="宋体" w:cs="宋体"/>
                <w:bCs/>
                <w:color w:val="auto"/>
                <w:spacing w:val="2"/>
                <w:highlight w:val="none"/>
              </w:rPr>
              <w:t>项目地点：南宁市青秀</w:t>
            </w:r>
            <w:r>
              <w:rPr>
                <w:rFonts w:hint="eastAsia" w:ascii="宋体" w:hAnsi="宋体" w:cs="宋体"/>
                <w:color w:val="auto"/>
                <w:highlight w:val="none"/>
              </w:rPr>
              <w:t>区。</w:t>
            </w:r>
          </w:p>
          <w:p>
            <w:pPr>
              <w:pStyle w:val="18"/>
              <w:snapToGrid w:val="0"/>
              <w:spacing w:line="240" w:lineRule="auto"/>
              <w:ind w:firstLine="480" w:firstLineChars="20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项目情况：</w:t>
            </w:r>
          </w:p>
          <w:p>
            <w:pPr>
              <w:spacing w:line="36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南宁市青秀区南阳镇等3个乡镇新光村等5个村耕地提质改造（旱改水）项目</w:t>
            </w:r>
            <w:r>
              <w:rPr>
                <w:rFonts w:hint="eastAsia" w:ascii="宋体" w:hAnsi="宋体" w:cs="宋体"/>
                <w:color w:val="auto"/>
                <w:sz w:val="24"/>
                <w:highlight w:val="none"/>
                <w:lang w:val="en-US" w:eastAsia="zh-CN"/>
              </w:rPr>
              <w:t>于2016年8月9日，项目已按设计完成工程施工、工程复核、质量耕地评定等工作，目前项目指标入库所需材料已上报南宁市自然资源局，根据南国土资复[2018]0055号，项目新增水田面积：14.9262公顷，</w:t>
            </w:r>
          </w:p>
          <w:p>
            <w:pPr>
              <w:spacing w:line="36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南宁市自然资源局关于南宁市青秀区伶俐镇石塘村等3个村耕地提质改造（旱改水）项目于2017年2月4日立项，项目已按设计完成工程施工、工程复核、质量耕地评定等工作，目前项目指标入库所需材料已上报南宁市自然资源局，根据南国土资发〔2019〕162号，项目新增水田面积20.5249公顷。</w:t>
            </w:r>
          </w:p>
          <w:p>
            <w:pPr>
              <w:spacing w:before="120" w:after="120"/>
              <w:ind w:firstLine="480" w:firstLineChars="200"/>
              <w:jc w:val="left"/>
              <w:rPr>
                <w:rFonts w:hint="eastAsia" w:ascii="宋体" w:hAnsi="宋体" w:cs="宋体"/>
                <w:color w:val="auto"/>
                <w:highlight w:val="none"/>
              </w:rPr>
            </w:pPr>
            <w:r>
              <w:rPr>
                <w:rFonts w:hint="eastAsia" w:ascii="宋体" w:hAnsi="宋体" w:cs="宋体"/>
                <w:color w:val="auto"/>
                <w:sz w:val="24"/>
                <w:highlight w:val="none"/>
                <w:lang w:val="en-US" w:eastAsia="zh-CN"/>
              </w:rPr>
              <w:t>以上两个项目（立项实施面积共计：43.7386公顷，新增水田面积共计：35.4511公顷）于2019年申报自然资源系统报备入库时南宁市自然资源局依据项目新的管理办法开展新增耕地核定工作，项目涉及的部分地块由于种植甘蔗、玉米等旱生作物，项目“水田指标”未能入库。本次整改和管护工作主要内容：对项目区种植甘蔗、玉米等旱生作物的地块采取有效措施，使项目区达到种植水田的标准，项目通过验收后，负责管护三年，主要内容为原则上保证连续三年每一年至少种植一造水稻、茭白、菱角、莲藕、荸荠（马蹄）、茨菇等水生农作物，确保项目工程和设施完好并正常使用。（整改项目地块情况详见南宁市青秀区南阳镇等3个乡镇新光村等5个村耕地提质改造（旱改水）项目规划设计报告及图件和南宁市青秀区伶俐镇石塘村等3个村耕地提质改造（旱改水）项目规划设计报告及图件）</w:t>
            </w:r>
          </w:p>
          <w:p>
            <w:pPr>
              <w:pStyle w:val="18"/>
              <w:snapToGrid w:val="0"/>
              <w:spacing w:line="240" w:lineRule="auto"/>
              <w:ind w:firstLine="480" w:firstLineChars="200"/>
              <w:rPr>
                <w:rFonts w:hint="eastAsia" w:ascii="宋体" w:hAnsi="宋体" w:cs="宋体"/>
                <w:color w:val="auto"/>
                <w:highlight w:val="none"/>
              </w:rPr>
            </w:pPr>
          </w:p>
          <w:p>
            <w:pPr>
              <w:snapToGrid w:val="0"/>
              <w:rPr>
                <w:rFonts w:ascii="宋体" w:hAnsi="宋体"/>
                <w:b/>
                <w:bCs/>
                <w:color w:val="auto"/>
                <w:spacing w:val="2"/>
                <w:sz w:val="24"/>
                <w:szCs w:val="24"/>
                <w:highlight w:val="none"/>
              </w:rPr>
            </w:pPr>
            <w:r>
              <w:rPr>
                <w:rFonts w:hint="eastAsia" w:ascii="宋体" w:hAnsi="宋体" w:cs="宋体"/>
                <w:b/>
                <w:bCs/>
                <w:color w:val="auto"/>
                <w:spacing w:val="2"/>
                <w:sz w:val="24"/>
                <w:szCs w:val="24"/>
                <w:highlight w:val="none"/>
              </w:rPr>
              <w:t>二</w:t>
            </w:r>
            <w:r>
              <w:rPr>
                <w:rFonts w:ascii="宋体" w:hAnsi="宋体" w:cs="宋体"/>
                <w:b/>
                <w:bCs/>
                <w:color w:val="auto"/>
                <w:spacing w:val="2"/>
                <w:sz w:val="24"/>
                <w:szCs w:val="24"/>
                <w:highlight w:val="none"/>
              </w:rPr>
              <w:t>.</w:t>
            </w:r>
            <w:r>
              <w:rPr>
                <w:rFonts w:hint="eastAsia" w:ascii="宋体" w:hAnsi="宋体" w:cs="宋体"/>
                <w:b/>
                <w:bCs/>
                <w:color w:val="auto"/>
                <w:spacing w:val="2"/>
                <w:sz w:val="24"/>
                <w:szCs w:val="24"/>
                <w:highlight w:val="none"/>
              </w:rPr>
              <w:t>服务内容：</w:t>
            </w:r>
          </w:p>
          <w:p>
            <w:pPr>
              <w:snapToGrid w:val="0"/>
              <w:ind w:firstLine="478" w:firstLineChars="196"/>
              <w:rPr>
                <w:rFonts w:hint="eastAsia" w:ascii="宋体" w:hAnsi="宋体" w:eastAsia="宋体"/>
                <w:color w:val="auto"/>
                <w:spacing w:val="2"/>
                <w:sz w:val="24"/>
                <w:szCs w:val="24"/>
                <w:highlight w:val="none"/>
                <w:lang w:eastAsia="zh-CN"/>
              </w:rPr>
            </w:pPr>
            <w:r>
              <w:rPr>
                <w:rFonts w:hint="eastAsia" w:ascii="宋体" w:hAnsi="宋体"/>
                <w:color w:val="auto"/>
                <w:spacing w:val="2"/>
                <w:sz w:val="24"/>
                <w:szCs w:val="24"/>
                <w:highlight w:val="none"/>
              </w:rPr>
              <w:t>完成南宁市青秀区南阳镇等3个乡镇新光村等5 个村耕地提质 改造(旱改水)项目和伶俐镇石塘村等3个村耕地提质改造(旱改水)项目 整改，获得自然资源厅(局)主管部门批复的水田指标并完成指标报备入 库及报备入库后3年内的项目管护工作</w:t>
            </w:r>
            <w:r>
              <w:rPr>
                <w:rFonts w:hint="eastAsia" w:ascii="宋体" w:hAnsi="宋体"/>
                <w:color w:val="auto"/>
                <w:spacing w:val="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vAlign w:val="center"/>
          </w:tcPr>
          <w:p>
            <w:pPr>
              <w:spacing w:line="36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商务条款</w:t>
            </w:r>
          </w:p>
        </w:tc>
        <w:tc>
          <w:tcPr>
            <w:tcW w:w="8588" w:type="dxa"/>
            <w:gridSpan w:val="3"/>
          </w:tcPr>
          <w:p>
            <w:pPr>
              <w:widowControl/>
              <w:spacing w:line="400" w:lineRule="exact"/>
              <w:rPr>
                <w:rFonts w:ascii="宋体" w:hAnsi="宋体"/>
                <w:color w:val="auto"/>
                <w:sz w:val="24"/>
                <w:szCs w:val="24"/>
                <w:highlight w:val="none"/>
              </w:rPr>
            </w:pPr>
            <w:r>
              <w:rPr>
                <w:rFonts w:hint="eastAsia" w:ascii="宋体" w:hAnsi="宋体" w:cs="宋体"/>
                <w:color w:val="auto"/>
                <w:sz w:val="24"/>
                <w:szCs w:val="24"/>
                <w:highlight w:val="none"/>
              </w:rPr>
              <w:t>一、合同签订期：自中标通知书发出之日起</w:t>
            </w:r>
            <w:r>
              <w:rPr>
                <w:rFonts w:hint="eastAsia" w:ascii="宋体" w:hAnsi="宋体" w:cs="宋体"/>
                <w:color w:val="auto"/>
                <w:sz w:val="24"/>
                <w:szCs w:val="24"/>
                <w:highlight w:val="none"/>
                <w:u w:val="single"/>
                <w:lang w:val="en-US" w:eastAsia="zh-CN"/>
              </w:rPr>
              <w:t>25</w:t>
            </w:r>
            <w:r>
              <w:rPr>
                <w:rFonts w:hint="eastAsia" w:ascii="宋体" w:hAnsi="宋体" w:cs="宋体"/>
                <w:color w:val="auto"/>
                <w:sz w:val="24"/>
                <w:szCs w:val="24"/>
                <w:highlight w:val="none"/>
              </w:rPr>
              <w:t>日内</w:t>
            </w:r>
          </w:p>
          <w:p>
            <w:pPr>
              <w:spacing w:line="360" w:lineRule="exact"/>
              <w:rPr>
                <w:rFonts w:ascii="宋体" w:hAnsi="宋体"/>
                <w:color w:val="auto"/>
                <w:sz w:val="24"/>
                <w:szCs w:val="24"/>
                <w:highlight w:val="none"/>
              </w:rPr>
            </w:pPr>
            <w:bookmarkStart w:id="128" w:name="_GoBack"/>
            <w:bookmarkEnd w:id="128"/>
            <w:r>
              <w:rPr>
                <w:rFonts w:hint="eastAsia" w:ascii="宋体" w:hAnsi="宋体" w:cs="宋体"/>
                <w:b/>
                <w:bCs/>
                <w:color w:val="auto"/>
                <w:sz w:val="24"/>
                <w:szCs w:val="24"/>
                <w:highlight w:val="none"/>
              </w:rPr>
              <w:t>★</w:t>
            </w:r>
            <w:r>
              <w:rPr>
                <w:rFonts w:hint="eastAsia" w:ascii="宋体" w:hAnsi="宋体" w:cs="宋体"/>
                <w:color w:val="auto"/>
                <w:sz w:val="24"/>
                <w:szCs w:val="24"/>
                <w:highlight w:val="none"/>
              </w:rPr>
              <w:t>二、服务时间：</w:t>
            </w:r>
            <w:r>
              <w:rPr>
                <w:rFonts w:hint="eastAsia" w:ascii="宋体" w:hAnsi="宋体" w:cs="宋体"/>
                <w:color w:val="auto"/>
                <w:sz w:val="24"/>
                <w:highlight w:val="none"/>
                <w:lang w:val="en-US" w:eastAsia="zh-CN"/>
              </w:rPr>
              <w:t>整改期一年（以完成新增水田指标确认入库为准），管护期</w:t>
            </w:r>
            <w:r>
              <w:rPr>
                <w:rFonts w:hint="eastAsia" w:ascii="宋体" w:hAnsi="宋体" w:cs="宋体"/>
                <w:color w:val="auto"/>
                <w:sz w:val="24"/>
                <w:highlight w:val="none"/>
                <w:shd w:val="clear" w:color="auto" w:fill="FFFFFF"/>
                <w:lang w:val="en-US" w:eastAsia="zh-CN"/>
              </w:rPr>
              <w:t>三</w:t>
            </w:r>
            <w:r>
              <w:rPr>
                <w:rFonts w:hint="eastAsia" w:ascii="宋体" w:hAnsi="宋体" w:cs="宋体"/>
                <w:color w:val="auto"/>
                <w:sz w:val="24"/>
                <w:highlight w:val="none"/>
                <w:shd w:val="clear" w:color="auto" w:fill="FFFFFF"/>
              </w:rPr>
              <w:t>年</w:t>
            </w:r>
            <w:r>
              <w:rPr>
                <w:rFonts w:hint="eastAsia" w:ascii="宋体" w:hAnsi="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管护期以项目“水田指标”报备入库时间作为起始时间）</w:t>
            </w:r>
            <w:r>
              <w:rPr>
                <w:rFonts w:hint="eastAsia" w:ascii="宋体" w:hAnsi="宋体" w:cs="宋体"/>
                <w:color w:val="auto"/>
                <w:sz w:val="24"/>
                <w:highlight w:val="none"/>
              </w:rPr>
              <w:t>。</w:t>
            </w:r>
          </w:p>
          <w:p>
            <w:pPr>
              <w:widowControl/>
              <w:spacing w:line="400" w:lineRule="exact"/>
              <w:rPr>
                <w:rFonts w:ascii="宋体" w:hAnsi="宋体"/>
                <w:color w:val="auto"/>
                <w:sz w:val="24"/>
                <w:szCs w:val="24"/>
                <w:highlight w:val="none"/>
                <w:u w:val="single"/>
              </w:rPr>
            </w:pPr>
            <w:r>
              <w:rPr>
                <w:rFonts w:hint="eastAsia" w:ascii="宋体" w:hAnsi="宋体" w:cs="宋体"/>
                <w:color w:val="auto"/>
                <w:sz w:val="24"/>
                <w:szCs w:val="24"/>
                <w:highlight w:val="none"/>
              </w:rPr>
              <w:t>三、提交服务成果地点：</w:t>
            </w:r>
            <w:r>
              <w:rPr>
                <w:rFonts w:hint="eastAsia" w:ascii="宋体" w:hAnsi="宋体" w:cs="宋体"/>
                <w:color w:val="auto"/>
                <w:sz w:val="24"/>
                <w:szCs w:val="24"/>
                <w:highlight w:val="none"/>
                <w:u w:val="single"/>
              </w:rPr>
              <w:t>采购人指定地点</w:t>
            </w:r>
          </w:p>
          <w:p>
            <w:pPr>
              <w:widowControl/>
              <w:spacing w:line="400" w:lineRule="exact"/>
              <w:rPr>
                <w:rFonts w:ascii="宋体" w:hAnsi="宋体"/>
                <w:color w:val="auto"/>
                <w:sz w:val="24"/>
                <w:szCs w:val="24"/>
                <w:highlight w:val="none"/>
              </w:rPr>
            </w:pPr>
            <w:r>
              <w:rPr>
                <w:rFonts w:hint="eastAsia" w:ascii="宋体" w:hAnsi="宋体" w:cs="宋体"/>
                <w:b/>
                <w:bCs/>
                <w:color w:val="auto"/>
                <w:sz w:val="24"/>
                <w:szCs w:val="24"/>
                <w:highlight w:val="none"/>
              </w:rPr>
              <w:t>★</w:t>
            </w:r>
            <w:r>
              <w:rPr>
                <w:rFonts w:hint="eastAsia" w:ascii="宋体" w:hAnsi="宋体" w:cs="宋体"/>
                <w:color w:val="auto"/>
                <w:sz w:val="24"/>
                <w:szCs w:val="24"/>
                <w:highlight w:val="none"/>
              </w:rPr>
              <w:t>四、售后服务要求：</w:t>
            </w:r>
          </w:p>
          <w:p>
            <w:pPr>
              <w:widowControl/>
              <w:spacing w:line="400" w:lineRule="exact"/>
              <w:rPr>
                <w:rFonts w:ascii="宋体" w:hAnsi="宋体"/>
                <w:color w:val="auto"/>
                <w:sz w:val="24"/>
                <w:szCs w:val="24"/>
                <w:highlight w:val="none"/>
                <w:u w:val="thick"/>
              </w:rPr>
            </w:pPr>
            <w:r>
              <w:rPr>
                <w:rFonts w:hint="eastAsia" w:ascii="宋体" w:hAnsi="宋体" w:cs="宋体"/>
                <w:color w:val="auto"/>
                <w:sz w:val="24"/>
                <w:szCs w:val="24"/>
                <w:highlight w:val="none"/>
              </w:rPr>
              <w:t>处理问题响应时间：接到采购人处理问题通知后</w:t>
            </w:r>
            <w:r>
              <w:rPr>
                <w:rFonts w:ascii="宋体" w:hAnsi="宋体" w:cs="宋体"/>
                <w:color w:val="auto"/>
                <w:sz w:val="24"/>
                <w:szCs w:val="24"/>
                <w:highlight w:val="none"/>
                <w:u w:val="single"/>
              </w:rPr>
              <w:t>12</w:t>
            </w:r>
            <w:r>
              <w:rPr>
                <w:rFonts w:hint="eastAsia" w:ascii="宋体" w:hAnsi="宋体" w:cs="宋体"/>
                <w:color w:val="auto"/>
                <w:sz w:val="24"/>
                <w:szCs w:val="24"/>
                <w:highlight w:val="none"/>
              </w:rPr>
              <w:t>小时内到达采购人指定现场。</w:t>
            </w:r>
          </w:p>
          <w:p>
            <w:pPr>
              <w:spacing w:line="400" w:lineRule="exact"/>
              <w:rPr>
                <w:rFonts w:ascii="宋体" w:hAnsi="宋体"/>
                <w:color w:val="auto"/>
                <w:sz w:val="24"/>
                <w:szCs w:val="24"/>
                <w:highlight w:val="none"/>
              </w:rPr>
            </w:pPr>
            <w:r>
              <w:rPr>
                <w:rFonts w:hint="eastAsia" w:ascii="宋体" w:hAnsi="宋体" w:cs="宋体"/>
                <w:color w:val="auto"/>
                <w:sz w:val="24"/>
                <w:szCs w:val="24"/>
                <w:highlight w:val="none"/>
              </w:rPr>
              <w:t>五、其他要求：</w:t>
            </w:r>
          </w:p>
          <w:p>
            <w:pPr>
              <w:spacing w:line="400" w:lineRule="exact"/>
              <w:rPr>
                <w:rFonts w:ascii="宋体" w:hAnsi="宋体"/>
                <w:color w:val="auto"/>
                <w:sz w:val="24"/>
                <w:szCs w:val="24"/>
                <w:highlight w:val="none"/>
              </w:rPr>
            </w:pPr>
            <w:r>
              <w:rPr>
                <w:rFonts w:hint="eastAsia" w:ascii="宋体" w:hAnsi="宋体" w:cs="宋体"/>
                <w:b/>
                <w:bCs/>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、报价必须含以下部分，包括：</w:t>
            </w:r>
          </w:p>
          <w:p>
            <w:pPr>
              <w:spacing w:line="400" w:lineRule="exact"/>
              <w:jc w:val="left"/>
              <w:rPr>
                <w:rFonts w:ascii="宋体" w:hAnsi="宋体"/>
                <w:color w:val="auto"/>
                <w:sz w:val="24"/>
                <w:szCs w:val="24"/>
                <w:highlight w:val="none"/>
              </w:rPr>
            </w:pPr>
            <w:r>
              <w:rPr>
                <w:rFonts w:hint="eastAsia" w:ascii="宋体" w:hAnsi="宋体" w:cs="宋体"/>
                <w:color w:val="auto"/>
                <w:sz w:val="24"/>
                <w:szCs w:val="24"/>
                <w:highlight w:val="none"/>
              </w:rPr>
              <w:t>⑴服务的价格；</w:t>
            </w:r>
          </w:p>
          <w:p>
            <w:pPr>
              <w:spacing w:line="400" w:lineRule="exact"/>
              <w:jc w:val="left"/>
              <w:rPr>
                <w:rFonts w:ascii="宋体" w:hAnsi="宋体"/>
                <w:color w:val="auto"/>
                <w:sz w:val="24"/>
                <w:szCs w:val="24"/>
                <w:highlight w:val="none"/>
              </w:rPr>
            </w:pPr>
            <w:r>
              <w:rPr>
                <w:rFonts w:hint="eastAsia" w:ascii="宋体" w:hAnsi="宋体" w:cs="宋体"/>
                <w:color w:val="auto"/>
                <w:sz w:val="24"/>
                <w:szCs w:val="24"/>
                <w:highlight w:val="none"/>
              </w:rPr>
              <w:t>⑵必要的保险费用和各项税金；</w:t>
            </w:r>
          </w:p>
          <w:p>
            <w:pPr>
              <w:widowControl/>
              <w:spacing w:line="400" w:lineRule="exact"/>
              <w:jc w:val="left"/>
              <w:rPr>
                <w:rFonts w:ascii="宋体" w:hAnsi="宋体"/>
                <w:color w:val="auto"/>
                <w:sz w:val="24"/>
                <w:szCs w:val="24"/>
                <w:highlight w:val="none"/>
              </w:rPr>
            </w:pPr>
            <w:r>
              <w:rPr>
                <w:rFonts w:hint="eastAsia" w:ascii="宋体" w:hAnsi="宋体" w:cs="宋体"/>
                <w:color w:val="auto"/>
                <w:sz w:val="24"/>
                <w:szCs w:val="24"/>
                <w:highlight w:val="none"/>
              </w:rPr>
              <w:t>⑶运营日常用品用具的消耗和折旧费、行政办公用品及资料印刷、服务清单涵盖的所有项目等费用。</w:t>
            </w:r>
          </w:p>
          <w:p>
            <w:pPr>
              <w:widowControl/>
              <w:spacing w:line="400" w:lineRule="exact"/>
              <w:jc w:val="left"/>
              <w:rPr>
                <w:rFonts w:ascii="宋体" w:hAnsi="宋体" w:cs="宋体"/>
                <w:color w:val="auto"/>
                <w:kern w:val="0"/>
                <w:sz w:val="24"/>
                <w:szCs w:val="24"/>
                <w:highlight w:val="none"/>
              </w:rPr>
            </w:pPr>
            <w:r>
              <w:rPr>
                <w:rFonts w:hint="eastAsia" w:ascii="宋体" w:hAnsi="宋体" w:cs="宋体"/>
                <w:b/>
                <w:bCs/>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付款方式：本项目无预付款，无进度款。为确保中标单位高效、优质的完成以上两个项目的整改和管护工作。在招标合同中明确项目新增水田报备入库面积达到35.4511公顷90%（含本数）以上才予以结账，项目结算价按以下方式计算:(1）新增水田报备入库面积达到35.4511公顷的95%以上（含95%），结算价计算公式:投标人中标单价×新增水田报备入库面积。(2）新增水田报备入库面积达到35.4511公顷的90</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-95%（不含95%），结算价计算公式:投标人中标单价×新增水田报备入库面积×Z(Z=新增水田报备入库面积÷35.4511公顷）。指标报备入库后一次性支付项目结算价的90%，预留项目结算价的10%作为后期管护保证金，分三年支付给中标单位，中标单位按约定履行第一年度后期管护义务次年青秀区政府退还4%（不计利息）、按约定履行第二年度后期管护义务次年青秀区政府退还3%（不计利息）、按约定履行第三年度后期管护义务次年青秀区政府退还3%（不计利息）。</w:t>
            </w:r>
          </w:p>
        </w:tc>
      </w:tr>
    </w:tbl>
    <w:p>
      <w:pPr>
        <w:pStyle w:val="18"/>
        <w:rPr>
          <w:rFonts w:hAnsi="宋体"/>
          <w:b/>
          <w:bCs/>
          <w:color w:val="auto"/>
          <w:highlight w:val="none"/>
        </w:rPr>
      </w:pPr>
    </w:p>
    <w:p>
      <w:pPr>
        <w:snapToGrid w:val="0"/>
        <w:jc w:val="center"/>
        <w:outlineLvl w:val="0"/>
        <w:rPr>
          <w:rFonts w:ascii="宋体"/>
          <w:b/>
          <w:bCs/>
          <w:color w:val="auto"/>
          <w:sz w:val="44"/>
          <w:szCs w:val="44"/>
          <w:highlight w:val="none"/>
        </w:rPr>
      </w:pPr>
    </w:p>
    <w:p>
      <w:pPr>
        <w:pStyle w:val="18"/>
        <w:rPr>
          <w:rFonts w:ascii="宋体"/>
          <w:b/>
          <w:bCs/>
          <w:color w:val="auto"/>
          <w:sz w:val="44"/>
          <w:szCs w:val="44"/>
          <w:highlight w:val="none"/>
        </w:rPr>
      </w:pPr>
    </w:p>
    <w:p>
      <w:pPr>
        <w:pStyle w:val="18"/>
        <w:rPr>
          <w:rFonts w:ascii="宋体"/>
          <w:b/>
          <w:bCs/>
          <w:color w:val="auto"/>
          <w:sz w:val="44"/>
          <w:szCs w:val="44"/>
          <w:highlight w:val="none"/>
        </w:rPr>
      </w:pPr>
    </w:p>
    <w:p>
      <w:pPr>
        <w:pStyle w:val="18"/>
        <w:rPr>
          <w:rFonts w:ascii="宋体"/>
          <w:b/>
          <w:bCs/>
          <w:color w:val="auto"/>
          <w:sz w:val="44"/>
          <w:szCs w:val="44"/>
          <w:highlight w:val="none"/>
        </w:rPr>
      </w:pPr>
    </w:p>
    <w:p>
      <w:pPr>
        <w:pStyle w:val="18"/>
        <w:rPr>
          <w:rFonts w:ascii="宋体"/>
          <w:b/>
          <w:bCs/>
          <w:color w:val="auto"/>
          <w:sz w:val="44"/>
          <w:szCs w:val="44"/>
          <w:highlight w:val="none"/>
        </w:rPr>
      </w:pPr>
    </w:p>
    <w:p>
      <w:pPr>
        <w:pStyle w:val="18"/>
        <w:rPr>
          <w:rFonts w:ascii="宋体"/>
          <w:b/>
          <w:bCs/>
          <w:color w:val="auto"/>
          <w:sz w:val="44"/>
          <w:szCs w:val="44"/>
          <w:highlight w:val="none"/>
        </w:rPr>
      </w:pPr>
    </w:p>
    <w:p>
      <w:pPr>
        <w:pStyle w:val="18"/>
        <w:rPr>
          <w:rFonts w:ascii="宋体"/>
          <w:b/>
          <w:bCs/>
          <w:color w:val="auto"/>
          <w:sz w:val="44"/>
          <w:szCs w:val="44"/>
          <w:highlight w:val="none"/>
        </w:rPr>
      </w:pPr>
    </w:p>
    <w:p>
      <w:pPr>
        <w:snapToGrid w:val="0"/>
        <w:jc w:val="center"/>
        <w:outlineLvl w:val="0"/>
        <w:rPr>
          <w:rFonts w:ascii="宋体"/>
          <w:b/>
          <w:bCs/>
          <w:color w:val="auto"/>
          <w:sz w:val="44"/>
          <w:szCs w:val="44"/>
          <w:highlight w:val="none"/>
        </w:rPr>
      </w:pPr>
      <w:bookmarkStart w:id="48" w:name="_Toc22043"/>
      <w:bookmarkStart w:id="49" w:name="_Toc20956"/>
      <w:r>
        <w:rPr>
          <w:rFonts w:hint="eastAsia" w:ascii="宋体" w:hAnsi="宋体" w:cs="宋体"/>
          <w:b/>
          <w:bCs/>
          <w:color w:val="auto"/>
          <w:sz w:val="44"/>
          <w:szCs w:val="44"/>
          <w:highlight w:val="none"/>
        </w:rPr>
        <w:t>第三章投标人须知</w:t>
      </w:r>
      <w:bookmarkEnd w:id="48"/>
      <w:bookmarkEnd w:id="49"/>
    </w:p>
    <w:p>
      <w:pPr>
        <w:snapToGrid w:val="0"/>
        <w:jc w:val="center"/>
        <w:rPr>
          <w:rFonts w:ascii="宋体"/>
          <w:b/>
          <w:bCs/>
          <w:color w:val="auto"/>
          <w:sz w:val="32"/>
          <w:szCs w:val="32"/>
          <w:highlight w:val="none"/>
        </w:rPr>
      </w:pPr>
      <w:bookmarkStart w:id="50" w:name="_Toc254970526"/>
      <w:bookmarkStart w:id="51" w:name="_Toc254970667"/>
      <w:r>
        <w:rPr>
          <w:rFonts w:hint="eastAsia" w:ascii="宋体" w:hAnsi="宋体" w:cs="宋体"/>
          <w:b/>
          <w:bCs/>
          <w:color w:val="auto"/>
          <w:sz w:val="32"/>
          <w:szCs w:val="32"/>
          <w:highlight w:val="none"/>
        </w:rPr>
        <w:t>前附表</w:t>
      </w:r>
      <w:bookmarkEnd w:id="50"/>
      <w:bookmarkEnd w:id="51"/>
    </w:p>
    <w:tbl>
      <w:tblPr>
        <w:tblStyle w:val="37"/>
        <w:tblW w:w="946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0"/>
        <w:gridCol w:w="8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cs="宋体"/>
                <w:color w:val="auto"/>
                <w:sz w:val="24"/>
                <w:szCs w:val="24"/>
                <w:highlight w:val="none"/>
              </w:rPr>
            </w:pPr>
            <w:r>
              <w:rPr>
                <w:rFonts w:hint="eastAsia" w:ascii="宋体" w:hAnsi="宋体" w:cs="宋体"/>
                <w:color w:val="auto"/>
                <w:sz w:val="24"/>
                <w:szCs w:val="24"/>
                <w:highlight w:val="none"/>
              </w:rPr>
              <w:t>序号</w:t>
            </w:r>
          </w:p>
        </w:tc>
        <w:tc>
          <w:tcPr>
            <w:tcW w:w="8800" w:type="dxa"/>
            <w:tcBorders>
              <w:top w:val="single" w:color="auto" w:sz="4" w:space="0"/>
              <w:left w:val="single" w:color="auto" w:sz="4" w:space="0"/>
              <w:bottom w:val="single" w:color="auto" w:sz="4" w:space="0"/>
            </w:tcBorders>
            <w:vAlign w:val="center"/>
          </w:tcPr>
          <w:p>
            <w:pPr>
              <w:snapToGrid w:val="0"/>
              <w:jc w:val="center"/>
              <w:rPr>
                <w:rFonts w:ascii="宋体" w:cs="宋体"/>
                <w:color w:val="auto"/>
                <w:sz w:val="24"/>
                <w:szCs w:val="24"/>
                <w:highlight w:val="none"/>
              </w:rPr>
            </w:pPr>
            <w:r>
              <w:rPr>
                <w:rFonts w:hint="eastAsia" w:ascii="宋体" w:hAnsi="宋体" w:cs="宋体"/>
                <w:color w:val="auto"/>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w:t>
            </w:r>
          </w:p>
        </w:tc>
        <w:tc>
          <w:tcPr>
            <w:tcW w:w="8800" w:type="dxa"/>
            <w:tcBorders>
              <w:top w:val="single" w:color="auto" w:sz="4" w:space="0"/>
              <w:left w:val="single" w:color="auto" w:sz="4" w:space="0"/>
              <w:bottom w:val="single" w:color="auto" w:sz="4" w:space="0"/>
            </w:tcBorders>
            <w:vAlign w:val="center"/>
          </w:tcPr>
          <w:p>
            <w:pPr>
              <w:snapToGrid w:val="0"/>
              <w:rPr>
                <w:rFonts w:hint="eastAsia" w:ascii="宋体" w:eastAsia="宋体" w:cs="宋体"/>
                <w:b/>
                <w:bCs/>
                <w:color w:val="auto"/>
                <w:sz w:val="24"/>
                <w:szCs w:val="24"/>
                <w:highlight w:val="none"/>
                <w:lang w:eastAsia="zh-CN"/>
              </w:rPr>
            </w:pPr>
            <w:r>
              <w:rPr>
                <w:rFonts w:hint="eastAsia" w:ascii="宋体" w:hAnsi="宋体" w:cs="宋体"/>
                <w:b/>
                <w:bCs/>
                <w:color w:val="auto"/>
                <w:sz w:val="24"/>
                <w:szCs w:val="24"/>
                <w:highlight w:val="none"/>
              </w:rPr>
              <w:t>项目名称：</w:t>
            </w:r>
            <w:r>
              <w:rPr>
                <w:rFonts w:hint="eastAsia" w:ascii="宋体" w:hAnsi="宋体" w:cs="宋体"/>
                <w:b/>
                <w:bCs/>
                <w:color w:val="auto"/>
                <w:sz w:val="24"/>
                <w:szCs w:val="24"/>
                <w:highlight w:val="none"/>
                <w:lang w:eastAsia="zh-CN"/>
              </w:rPr>
              <w:t>南宁市青秀区两个耕地提质改造（旱改水）项目整改及管护工作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2</w:t>
            </w:r>
          </w:p>
        </w:tc>
        <w:tc>
          <w:tcPr>
            <w:tcW w:w="8800" w:type="dxa"/>
            <w:tcBorders>
              <w:top w:val="single" w:color="auto" w:sz="4" w:space="0"/>
              <w:left w:val="single" w:color="auto" w:sz="4" w:space="0"/>
              <w:bottom w:val="single" w:color="auto" w:sz="4" w:space="0"/>
            </w:tcBorders>
            <w:vAlign w:val="center"/>
          </w:tcPr>
          <w:p>
            <w:pPr>
              <w:snapToGrid w:val="0"/>
              <w:rPr>
                <w:rFonts w:ascii="宋体" w:cs="宋体"/>
                <w:b/>
                <w:bCs/>
                <w:color w:val="auto"/>
                <w:sz w:val="24"/>
                <w:szCs w:val="24"/>
                <w:highlight w:val="none"/>
              </w:rPr>
            </w:pPr>
            <w:r>
              <w:rPr>
                <w:rFonts w:hint="eastAsia" w:ascii="宋体" w:hAnsi="宋体" w:cs="宋体"/>
                <w:b/>
                <w:bCs/>
                <w:color w:val="auto"/>
                <w:sz w:val="24"/>
                <w:szCs w:val="24"/>
                <w:highlight w:val="none"/>
              </w:rPr>
              <w:t>总采购预算：</w:t>
            </w:r>
            <w:r>
              <w:rPr>
                <w:rFonts w:hint="eastAsia" w:ascii="宋体" w:hAnsi="宋体" w:cs="宋体"/>
                <w:b/>
                <w:bCs/>
                <w:color w:val="auto"/>
                <w:sz w:val="24"/>
                <w:szCs w:val="24"/>
                <w:highlight w:val="none"/>
                <w:lang w:val="en-US" w:eastAsia="zh-CN"/>
              </w:rPr>
              <w:t>2735070.52</w:t>
            </w:r>
            <w:r>
              <w:rPr>
                <w:rFonts w:hint="eastAsia" w:ascii="宋体" w:hAnsi="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1"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3</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highlight w:val="none"/>
              </w:rPr>
            </w:pPr>
            <w:r>
              <w:rPr>
                <w:rFonts w:hint="eastAsia" w:ascii="宋体" w:hAnsi="宋体" w:cs="宋体"/>
                <w:b/>
                <w:bCs/>
                <w:color w:val="auto"/>
                <w:sz w:val="24"/>
                <w:szCs w:val="24"/>
                <w:highlight w:val="none"/>
              </w:rPr>
              <w:t>投标报价及费用：</w:t>
            </w:r>
            <w:r>
              <w:rPr>
                <w:rFonts w:ascii="宋体" w:hAnsi="宋体" w:cs="宋体"/>
                <w:color w:val="auto"/>
                <w:sz w:val="24"/>
                <w:szCs w:val="24"/>
                <w:highlight w:val="none"/>
              </w:rPr>
              <w:t>1</w:t>
            </w:r>
            <w:r>
              <w:rPr>
                <w:rFonts w:hint="eastAsia" w:ascii="宋体" w:hAnsi="宋体" w:cs="宋体"/>
                <w:color w:val="auto"/>
                <w:sz w:val="24"/>
                <w:szCs w:val="24"/>
                <w:highlight w:val="none"/>
              </w:rPr>
              <w:t>、本项目投标应以人民币报价；</w:t>
            </w:r>
            <w:r>
              <w:rPr>
                <w:rFonts w:ascii="宋体" w:hAnsi="宋体" w:cs="宋体"/>
                <w:color w:val="auto"/>
                <w:sz w:val="24"/>
                <w:szCs w:val="24"/>
                <w:highlight w:val="none"/>
              </w:rPr>
              <w:t>2</w:t>
            </w:r>
            <w:r>
              <w:rPr>
                <w:rFonts w:hint="eastAsia" w:ascii="宋体" w:hAnsi="宋体" w:cs="宋体"/>
                <w:color w:val="auto"/>
                <w:sz w:val="24"/>
                <w:szCs w:val="24"/>
                <w:highlight w:val="none"/>
              </w:rPr>
              <w:t>、不论投标结果如何，投标人均应自行承担所有与投标有关的全部费用；</w:t>
            </w:r>
            <w:r>
              <w:rPr>
                <w:rFonts w:ascii="宋体" w:hAnsi="宋体" w:cs="宋体"/>
                <w:color w:val="auto"/>
                <w:sz w:val="24"/>
                <w:szCs w:val="24"/>
                <w:highlight w:val="none"/>
              </w:rPr>
              <w:t>3</w:t>
            </w:r>
            <w:r>
              <w:rPr>
                <w:rFonts w:hint="eastAsia" w:ascii="宋体" w:hAnsi="宋体" w:cs="宋体"/>
                <w:color w:val="auto"/>
                <w:sz w:val="24"/>
                <w:szCs w:val="24"/>
                <w:highlight w:val="none"/>
              </w:rPr>
              <w:t>、本项目代理服务费按国家计委《招标代理服务收费管理暂行办法》（计价格</w:t>
            </w:r>
            <w:r>
              <w:rPr>
                <w:rFonts w:ascii="宋体" w:hAnsi="宋体" w:cs="宋体"/>
                <w:color w:val="auto"/>
                <w:sz w:val="24"/>
                <w:szCs w:val="24"/>
                <w:highlight w:val="none"/>
              </w:rPr>
              <w:t>[2002]1980</w:t>
            </w:r>
            <w:r>
              <w:rPr>
                <w:rFonts w:hint="eastAsia" w:ascii="宋体" w:hAnsi="宋体" w:cs="宋体"/>
                <w:color w:val="auto"/>
                <w:sz w:val="24"/>
                <w:szCs w:val="24"/>
                <w:highlight w:val="none"/>
              </w:rPr>
              <w:t>号）规定标准下浮</w:t>
            </w:r>
            <w:r>
              <w:rPr>
                <w:rFonts w:ascii="宋体" w:hAnsi="宋体" w:cs="宋体"/>
                <w:color w:val="auto"/>
                <w:sz w:val="24"/>
                <w:szCs w:val="24"/>
                <w:highlight w:val="none"/>
              </w:rPr>
              <w:t>20%</w:t>
            </w:r>
            <w:r>
              <w:rPr>
                <w:rFonts w:hint="eastAsia" w:ascii="宋体" w:hAnsi="宋体" w:cs="宋体"/>
                <w:color w:val="auto"/>
                <w:sz w:val="24"/>
                <w:szCs w:val="24"/>
                <w:highlight w:val="none"/>
              </w:rPr>
              <w:t>向成交人收取。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4</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highlight w:val="none"/>
              </w:rPr>
            </w:pPr>
            <w:r>
              <w:rPr>
                <w:rFonts w:hint="eastAsia" w:ascii="宋体" w:hAnsi="宋体" w:cs="宋体"/>
                <w:b/>
                <w:bCs/>
                <w:color w:val="auto"/>
                <w:sz w:val="24"/>
                <w:szCs w:val="24"/>
                <w:highlight w:val="none"/>
              </w:rPr>
              <w:t>投标有效期：</w:t>
            </w:r>
            <w:r>
              <w:rPr>
                <w:rFonts w:hint="eastAsia" w:ascii="宋体" w:hAnsi="宋体" w:cs="宋体"/>
                <w:color w:val="auto"/>
                <w:sz w:val="24"/>
                <w:szCs w:val="24"/>
                <w:highlight w:val="none"/>
              </w:rPr>
              <w:t>□</w:t>
            </w:r>
            <w:r>
              <w:rPr>
                <w:rFonts w:ascii="宋体" w:hAnsi="宋体" w:cs="宋体"/>
                <w:color w:val="auto"/>
                <w:sz w:val="24"/>
                <w:szCs w:val="24"/>
                <w:highlight w:val="none"/>
              </w:rPr>
              <w:t>45</w:t>
            </w:r>
            <w:r>
              <w:rPr>
                <w:rFonts w:hint="eastAsia" w:ascii="宋体" w:hAnsi="宋体" w:cs="宋体"/>
                <w:color w:val="auto"/>
                <w:sz w:val="24"/>
                <w:szCs w:val="24"/>
                <w:highlight w:val="none"/>
              </w:rPr>
              <w:t>天</w:t>
            </w:r>
            <w:r>
              <w:rPr>
                <w:rFonts w:hint="eastAsia" w:ascii="宋体" w:hAnsi="Wingdings 2"/>
                <w:color w:val="auto"/>
                <w:sz w:val="24"/>
                <w:szCs w:val="24"/>
                <w:highlight w:val="none"/>
              </w:rPr>
              <w:sym w:font="Wingdings 2" w:char="F052"/>
            </w:r>
            <w:r>
              <w:rPr>
                <w:rFonts w:ascii="宋体" w:hAnsi="宋体" w:cs="宋体"/>
                <w:color w:val="auto"/>
                <w:sz w:val="24"/>
                <w:szCs w:val="24"/>
                <w:highlight w:val="none"/>
              </w:rPr>
              <w:t>60</w:t>
            </w:r>
            <w:r>
              <w:rPr>
                <w:rFonts w:hint="eastAsia" w:ascii="宋体" w:hAnsi="宋体" w:cs="宋体"/>
                <w:color w:val="auto"/>
                <w:sz w:val="24"/>
                <w:szCs w:val="24"/>
                <w:highlight w:val="none"/>
              </w:rPr>
              <w:t>天□</w:t>
            </w:r>
            <w:r>
              <w:rPr>
                <w:rFonts w:ascii="宋体" w:hAnsi="宋体" w:cs="宋体"/>
                <w:color w:val="auto"/>
                <w:sz w:val="24"/>
                <w:szCs w:val="24"/>
                <w:highlight w:val="none"/>
              </w:rPr>
              <w:t>90</w:t>
            </w:r>
            <w:r>
              <w:rPr>
                <w:rFonts w:hint="eastAsia" w:ascii="宋体" w:hAnsi="宋体" w:cs="宋体"/>
                <w:color w:val="auto"/>
                <w:sz w:val="24"/>
                <w:szCs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5</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highlight w:val="none"/>
              </w:rPr>
            </w:pPr>
            <w:r>
              <w:rPr>
                <w:rFonts w:hint="eastAsia" w:ascii="宋体" w:hAnsi="宋体" w:cs="宋体"/>
                <w:b/>
                <w:bCs/>
                <w:color w:val="auto"/>
                <w:sz w:val="24"/>
                <w:szCs w:val="24"/>
                <w:highlight w:val="none"/>
              </w:rPr>
              <w:t>现场踏勘</w:t>
            </w:r>
            <w:r>
              <w:rPr>
                <w:rFonts w:hint="eastAsia" w:ascii="宋体" w:hAnsi="宋体" w:cs="宋体"/>
                <w:color w:val="auto"/>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6</w:t>
            </w:r>
          </w:p>
        </w:tc>
        <w:tc>
          <w:tcPr>
            <w:tcW w:w="8800" w:type="dxa"/>
            <w:tcBorders>
              <w:top w:val="single" w:color="auto" w:sz="4" w:space="0"/>
              <w:left w:val="single" w:color="auto" w:sz="4" w:space="0"/>
              <w:bottom w:val="single" w:color="auto" w:sz="4" w:space="0"/>
            </w:tcBorders>
            <w:vAlign w:val="center"/>
          </w:tcPr>
          <w:p>
            <w:pPr>
              <w:spacing w:line="360" w:lineRule="auto"/>
              <w:rPr>
                <w:rFonts w:hAnsi="宋体"/>
                <w:color w:val="auto"/>
                <w:sz w:val="24"/>
                <w:szCs w:val="24"/>
                <w:highlight w:val="none"/>
              </w:rPr>
            </w:pPr>
            <w:r>
              <w:rPr>
                <w:rFonts w:hint="eastAsia" w:ascii="宋体" w:hAnsi="宋体" w:cs="宋体"/>
                <w:b/>
                <w:bCs/>
                <w:color w:val="auto"/>
                <w:sz w:val="24"/>
                <w:szCs w:val="24"/>
                <w:highlight w:val="none"/>
              </w:rPr>
              <w:t>答疑、澄清</w:t>
            </w:r>
            <w:r>
              <w:rPr>
                <w:rFonts w:hint="eastAsia" w:ascii="宋体" w:hAnsi="宋体" w:cs="宋体"/>
                <w:color w:val="auto"/>
                <w:sz w:val="24"/>
                <w:szCs w:val="24"/>
                <w:highlight w:val="none"/>
              </w:rPr>
              <w:t>：</w:t>
            </w:r>
            <w:r>
              <w:rPr>
                <w:rFonts w:hint="eastAsia" w:hAnsi="宋体" w:cs="宋体"/>
                <w:color w:val="auto"/>
                <w:sz w:val="24"/>
                <w:szCs w:val="24"/>
                <w:highlight w:val="none"/>
              </w:rPr>
              <w:t>投标人应认真阅读本招标文件，发现其中有误或有不合理要求的，投标人应当于公告届满之日起</w:t>
            </w:r>
            <w:r>
              <w:rPr>
                <w:rFonts w:hAnsi="宋体"/>
                <w:color w:val="auto"/>
                <w:sz w:val="24"/>
                <w:szCs w:val="24"/>
                <w:highlight w:val="none"/>
              </w:rPr>
              <w:t>7</w:t>
            </w:r>
            <w:r>
              <w:rPr>
                <w:rFonts w:hint="eastAsia" w:hAnsi="宋体" w:cs="宋体"/>
                <w:color w:val="auto"/>
                <w:sz w:val="24"/>
                <w:szCs w:val="24"/>
                <w:highlight w:val="none"/>
              </w:rPr>
              <w:t>个工作日前，以书面形式要求招标采购单位澄清。如果澄清、答复、修改或补充的</w:t>
            </w:r>
            <w:r>
              <w:rPr>
                <w:rFonts w:hint="eastAsia" w:cs="宋体"/>
                <w:color w:val="auto"/>
                <w:sz w:val="24"/>
                <w:szCs w:val="24"/>
                <w:highlight w:val="none"/>
              </w:rPr>
              <w:t>内容可能影响投标文件编制的，采购人或者采购代理机构应当在投标截止时间至少</w:t>
            </w:r>
            <w:r>
              <w:rPr>
                <w:color w:val="auto"/>
                <w:sz w:val="24"/>
                <w:szCs w:val="24"/>
                <w:highlight w:val="none"/>
              </w:rPr>
              <w:t>15</w:t>
            </w:r>
            <w:r>
              <w:rPr>
                <w:rFonts w:hint="eastAsia" w:cs="宋体"/>
                <w:color w:val="auto"/>
                <w:sz w:val="24"/>
                <w:szCs w:val="24"/>
                <w:highlight w:val="none"/>
              </w:rPr>
              <w:t>日前发出；不足</w:t>
            </w:r>
            <w:r>
              <w:rPr>
                <w:color w:val="auto"/>
                <w:sz w:val="24"/>
                <w:szCs w:val="24"/>
                <w:highlight w:val="none"/>
              </w:rPr>
              <w:t>15</w:t>
            </w:r>
            <w:r>
              <w:rPr>
                <w:rFonts w:hint="eastAsia" w:cs="宋体"/>
                <w:color w:val="auto"/>
                <w:sz w:val="24"/>
                <w:szCs w:val="24"/>
                <w:highlight w:val="none"/>
              </w:rPr>
              <w:t>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7</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color w:val="auto"/>
                <w:sz w:val="24"/>
                <w:szCs w:val="24"/>
                <w:highlight w:val="none"/>
              </w:rPr>
            </w:pPr>
            <w:r>
              <w:rPr>
                <w:rFonts w:hint="eastAsia" w:ascii="宋体" w:hAnsi="宋体" w:cs="宋体"/>
                <w:b/>
                <w:bCs/>
                <w:color w:val="auto"/>
                <w:sz w:val="24"/>
                <w:szCs w:val="24"/>
                <w:highlight w:val="none"/>
              </w:rPr>
              <w:t>投标文件份数</w:t>
            </w:r>
            <w:r>
              <w:rPr>
                <w:rFonts w:hint="eastAsia" w:ascii="宋体" w:hAnsi="宋体" w:cs="宋体"/>
                <w:color w:val="auto"/>
                <w:sz w:val="24"/>
                <w:szCs w:val="24"/>
                <w:highlight w:val="none"/>
              </w:rPr>
              <w:t>：资格审查文件</w:t>
            </w:r>
            <w:r>
              <w:rPr>
                <w:rFonts w:ascii="宋体" w:hAnsi="宋体" w:cs="宋体"/>
                <w:color w:val="auto"/>
                <w:sz w:val="24"/>
                <w:szCs w:val="24"/>
                <w:highlight w:val="none"/>
                <w:u w:val="single"/>
              </w:rPr>
              <w:t xml:space="preserve"> 3 </w:t>
            </w:r>
            <w:r>
              <w:rPr>
                <w:rFonts w:hint="eastAsia" w:ascii="宋体" w:hAnsi="宋体" w:cs="宋体"/>
                <w:color w:val="auto"/>
                <w:sz w:val="24"/>
                <w:szCs w:val="24"/>
                <w:highlight w:val="none"/>
              </w:rPr>
              <w:t>份；投标文件（包括商务文件、技术文件和报价文件）正本</w:t>
            </w:r>
            <w:r>
              <w:rPr>
                <w:rFonts w:ascii="宋体" w:hAnsi="宋体" w:cs="宋体"/>
                <w:color w:val="auto"/>
                <w:sz w:val="24"/>
                <w:szCs w:val="24"/>
                <w:highlight w:val="none"/>
                <w:u w:val="single"/>
              </w:rPr>
              <w:t xml:space="preserve">  1  </w:t>
            </w:r>
            <w:r>
              <w:rPr>
                <w:rFonts w:hint="eastAsia" w:ascii="宋体" w:hAnsi="宋体" w:cs="宋体"/>
                <w:color w:val="auto"/>
                <w:sz w:val="24"/>
                <w:szCs w:val="24"/>
                <w:highlight w:val="none"/>
              </w:rPr>
              <w:t>份；副本</w:t>
            </w:r>
            <w:r>
              <w:rPr>
                <w:rFonts w:ascii="宋体" w:hAnsi="宋体" w:cs="宋体"/>
                <w:color w:val="auto"/>
                <w:sz w:val="24"/>
                <w:szCs w:val="24"/>
                <w:highlight w:val="none"/>
                <w:u w:val="single"/>
              </w:rPr>
              <w:t xml:space="preserve">  4 </w:t>
            </w:r>
            <w:r>
              <w:rPr>
                <w:rFonts w:hint="eastAsia" w:ascii="宋体" w:hAnsi="宋体" w:cs="宋体"/>
                <w:color w:val="auto"/>
                <w:sz w:val="24"/>
                <w:szCs w:val="24"/>
                <w:highlight w:val="none"/>
              </w:rPr>
              <w:t>份；开标一览表</w:t>
            </w:r>
            <w:r>
              <w:rPr>
                <w:rFonts w:ascii="宋体" w:hAnsi="宋体" w:cs="宋体"/>
                <w:color w:val="auto"/>
                <w:sz w:val="24"/>
                <w:szCs w:val="24"/>
                <w:highlight w:val="none"/>
                <w:u w:val="single"/>
              </w:rPr>
              <w:t xml:space="preserve">  3 </w:t>
            </w:r>
            <w:r>
              <w:rPr>
                <w:rFonts w:hint="eastAsia" w:ascii="宋体" w:hAnsi="宋体" w:cs="宋体"/>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8</w:t>
            </w:r>
          </w:p>
        </w:tc>
        <w:tc>
          <w:tcPr>
            <w:tcW w:w="8800" w:type="dxa"/>
            <w:tcBorders>
              <w:top w:val="single" w:color="auto" w:sz="4" w:space="0"/>
              <w:left w:val="single" w:color="auto" w:sz="4" w:space="0"/>
              <w:bottom w:val="single" w:color="auto" w:sz="4" w:space="0"/>
            </w:tcBorders>
            <w:vAlign w:val="center"/>
          </w:tcPr>
          <w:p>
            <w:pPr>
              <w:snapToGrid w:val="0"/>
              <w:spacing w:line="320" w:lineRule="exact"/>
              <w:ind w:left="60" w:hanging="60" w:hangingChars="25"/>
              <w:rPr>
                <w:rFonts w:ascii="宋体" w:cs="宋体"/>
                <w:color w:val="auto"/>
                <w:sz w:val="24"/>
                <w:szCs w:val="24"/>
                <w:highlight w:val="none"/>
              </w:rPr>
            </w:pPr>
            <w:r>
              <w:rPr>
                <w:rFonts w:hint="eastAsia" w:ascii="宋体" w:hAnsi="宋体" w:cs="宋体"/>
                <w:b/>
                <w:bCs/>
                <w:color w:val="auto"/>
                <w:sz w:val="24"/>
                <w:szCs w:val="24"/>
                <w:highlight w:val="none"/>
              </w:rPr>
              <w:t>投标文件签署：</w:t>
            </w:r>
            <w:r>
              <w:rPr>
                <w:rFonts w:hint="eastAsia" w:ascii="宋体" w:hAnsi="宋体" w:cs="宋体"/>
                <w:color w:val="auto"/>
                <w:sz w:val="24"/>
                <w:szCs w:val="24"/>
                <w:highlight w:val="none"/>
              </w:rPr>
              <w:t>投标文件正本与副本均应由投标人在招标文件规定的相关位置加盖投标人法人单位公章，且经法定代表人签字（或盖章）或其委托代理人本人签字，否则作否决投标处理。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9</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cs="宋体"/>
                <w:color w:val="auto"/>
                <w:sz w:val="24"/>
                <w:szCs w:val="24"/>
                <w:highlight w:val="none"/>
                <w:u w:val="single"/>
              </w:rPr>
            </w:pPr>
            <w:r>
              <w:rPr>
                <w:rFonts w:hint="eastAsia" w:ascii="宋体" w:hAnsi="宋体" w:cs="宋体"/>
                <w:b/>
                <w:bCs/>
                <w:color w:val="auto"/>
                <w:sz w:val="24"/>
                <w:szCs w:val="24"/>
                <w:highlight w:val="none"/>
              </w:rPr>
              <w:t>装订要求：</w:t>
            </w:r>
            <w:r>
              <w:rPr>
                <w:rFonts w:hint="eastAsia" w:ascii="宋体" w:hAnsi="宋体" w:cs="宋体"/>
                <w:color w:val="auto"/>
                <w:sz w:val="24"/>
                <w:szCs w:val="24"/>
                <w:highlight w:val="none"/>
              </w:rPr>
              <w:t>按照投标人须知第三部分第（一）项规定的投标文件组成内容，投标文件应按以下要求装订：分册装订，共分</w:t>
            </w:r>
            <w:r>
              <w:rPr>
                <w:rFonts w:hint="eastAsia" w:ascii="宋体" w:hAnsi="宋体" w:cs="宋体"/>
                <w:color w:val="auto"/>
                <w:sz w:val="24"/>
                <w:szCs w:val="24"/>
                <w:highlight w:val="none"/>
                <w:u w:val="single"/>
              </w:rPr>
              <w:t>三</w:t>
            </w:r>
            <w:r>
              <w:rPr>
                <w:rFonts w:hint="eastAsia" w:ascii="宋体" w:hAnsi="宋体" w:cs="宋体"/>
                <w:color w:val="auto"/>
                <w:sz w:val="24"/>
                <w:szCs w:val="24"/>
                <w:highlight w:val="none"/>
              </w:rPr>
              <w:t>册，分别为：</w:t>
            </w:r>
            <w:r>
              <w:rPr>
                <w:rFonts w:hint="eastAsia" w:ascii="宋体" w:hAnsi="宋体" w:cs="宋体"/>
                <w:color w:val="auto"/>
                <w:sz w:val="24"/>
                <w:szCs w:val="24"/>
                <w:highlight w:val="none"/>
                <w:u w:val="single"/>
              </w:rPr>
              <w:t>资格审查文件为一册；商务文件、技术文件、报价文件（开标一览表除外）为一册</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开标一览表为一册。</w:t>
            </w:r>
          </w:p>
          <w:p>
            <w:pPr>
              <w:snapToGrid w:val="0"/>
              <w:spacing w:line="320" w:lineRule="exact"/>
              <w:ind w:left="60" w:hanging="60" w:hangingChars="25"/>
              <w:rPr>
                <w:rFonts w:ascii="宋体" w:cs="宋体"/>
                <w:color w:val="auto"/>
                <w:sz w:val="24"/>
                <w:szCs w:val="24"/>
                <w:highlight w:val="none"/>
              </w:rPr>
            </w:pPr>
            <w:r>
              <w:rPr>
                <w:rFonts w:hint="eastAsia" w:ascii="宋体" w:hAnsi="宋体" w:cs="宋体"/>
                <w:color w:val="auto"/>
                <w:sz w:val="24"/>
                <w:szCs w:val="24"/>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8"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10</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cs="宋体"/>
                <w:color w:val="auto"/>
                <w:sz w:val="24"/>
                <w:szCs w:val="24"/>
                <w:highlight w:val="none"/>
              </w:rPr>
            </w:pPr>
            <w:r>
              <w:rPr>
                <w:rFonts w:hint="eastAsia" w:ascii="宋体" w:hAnsi="宋体" w:cs="宋体"/>
                <w:b/>
                <w:bCs/>
                <w:color w:val="auto"/>
                <w:sz w:val="24"/>
                <w:szCs w:val="24"/>
                <w:highlight w:val="none"/>
              </w:rPr>
              <w:t>包装、密封：</w:t>
            </w:r>
            <w:r>
              <w:rPr>
                <w:rFonts w:hint="eastAsia" w:ascii="宋体" w:hAnsi="宋体" w:cs="宋体"/>
                <w:color w:val="auto"/>
                <w:sz w:val="24"/>
                <w:szCs w:val="24"/>
                <w:highlight w:val="none"/>
              </w:rPr>
              <w:t>投标人应将所有投标文件的</w:t>
            </w:r>
            <w:r>
              <w:rPr>
                <w:rFonts w:hint="eastAsia" w:ascii="宋体" w:hAnsi="宋体" w:cs="宋体"/>
                <w:color w:val="auto"/>
                <w:sz w:val="24"/>
                <w:szCs w:val="24"/>
                <w:highlight w:val="none"/>
                <w:u w:val="single"/>
              </w:rPr>
              <w:t>资格审查文件</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商务及技术文件、报价文件</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开标一览表</w:t>
            </w:r>
            <w:r>
              <w:rPr>
                <w:rFonts w:hint="eastAsia" w:ascii="宋体" w:hAnsi="宋体" w:cs="宋体"/>
                <w:color w:val="auto"/>
                <w:sz w:val="24"/>
                <w:szCs w:val="24"/>
                <w:highlight w:val="none"/>
              </w:rPr>
              <w:t>分别密封在</w:t>
            </w:r>
            <w:r>
              <w:rPr>
                <w:rFonts w:hint="eastAsia" w:ascii="宋体" w:hAnsi="宋体" w:cs="宋体"/>
                <w:color w:val="auto"/>
                <w:sz w:val="24"/>
                <w:szCs w:val="24"/>
                <w:highlight w:val="none"/>
                <w:u w:val="single"/>
              </w:rPr>
              <w:t>三</w:t>
            </w:r>
            <w:r>
              <w:rPr>
                <w:rFonts w:hint="eastAsia" w:ascii="宋体" w:hAnsi="宋体" w:cs="宋体"/>
                <w:color w:val="auto"/>
                <w:sz w:val="24"/>
                <w:szCs w:val="24"/>
                <w:highlight w:val="none"/>
              </w:rPr>
              <w:t>个密封袋内，密封袋上清楚地标明“资格审查文件”或“商务及技术文件、报价文件”或“开标一览表”。</w:t>
            </w:r>
          </w:p>
          <w:p>
            <w:pPr>
              <w:spacing w:line="360" w:lineRule="auto"/>
              <w:rPr>
                <w:rFonts w:ascii="宋体" w:cs="宋体"/>
                <w:color w:val="auto"/>
                <w:sz w:val="24"/>
                <w:szCs w:val="24"/>
                <w:highlight w:val="none"/>
              </w:rPr>
            </w:pPr>
            <w:r>
              <w:rPr>
                <w:rFonts w:hint="eastAsia" w:ascii="宋体" w:hAnsi="宋体" w:cs="宋体"/>
                <w:color w:val="auto"/>
                <w:sz w:val="24"/>
                <w:szCs w:val="24"/>
                <w:highlight w:val="none"/>
              </w:rPr>
              <w:t>提交投标文件时应为</w:t>
            </w:r>
            <w:r>
              <w:rPr>
                <w:rFonts w:hint="eastAsia" w:ascii="宋体" w:hAnsi="宋体" w:cs="宋体"/>
                <w:color w:val="auto"/>
                <w:sz w:val="24"/>
                <w:szCs w:val="24"/>
                <w:highlight w:val="none"/>
                <w:u w:val="single"/>
              </w:rPr>
              <w:t>一</w:t>
            </w:r>
            <w:r>
              <w:rPr>
                <w:rFonts w:hint="eastAsia" w:ascii="宋体" w:hAnsi="宋体" w:cs="宋体"/>
                <w:color w:val="auto"/>
                <w:sz w:val="24"/>
                <w:szCs w:val="24"/>
                <w:highlight w:val="none"/>
              </w:rPr>
              <w:t>个密封袋。</w:t>
            </w:r>
          </w:p>
          <w:p>
            <w:pPr>
              <w:spacing w:line="360" w:lineRule="auto"/>
              <w:rPr>
                <w:rFonts w:ascii="宋体" w:cs="宋体"/>
                <w:color w:val="auto"/>
                <w:sz w:val="24"/>
                <w:szCs w:val="24"/>
                <w:highlight w:val="none"/>
              </w:rPr>
            </w:pPr>
            <w:r>
              <w:rPr>
                <w:rFonts w:hint="eastAsia" w:ascii="宋体" w:hAnsi="宋体" w:cs="宋体"/>
                <w:color w:val="auto"/>
                <w:sz w:val="24"/>
                <w:szCs w:val="24"/>
                <w:highlight w:val="none"/>
              </w:rPr>
              <w:t>投标文件密封袋的封口处应加贴封条并签章（公章、密封章、法定代表人或其委托代理人签名均可）以示密封。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2"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11</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b/>
                <w:bCs/>
                <w:color w:val="auto"/>
                <w:sz w:val="24"/>
                <w:szCs w:val="24"/>
                <w:highlight w:val="none"/>
              </w:rPr>
            </w:pPr>
            <w:r>
              <w:rPr>
                <w:rFonts w:hint="eastAsia" w:ascii="宋体" w:hAnsi="宋体" w:cs="宋体"/>
                <w:b/>
                <w:bCs/>
                <w:color w:val="auto"/>
                <w:sz w:val="24"/>
                <w:szCs w:val="24"/>
                <w:highlight w:val="none"/>
              </w:rPr>
              <w:t>封套上写明：</w:t>
            </w:r>
          </w:p>
          <w:p>
            <w:pPr>
              <w:autoSpaceDE w:val="0"/>
              <w:autoSpaceDN w:val="0"/>
              <w:snapToGrid w:val="0"/>
              <w:textAlignment w:val="bottom"/>
              <w:rPr>
                <w:rFonts w:ascii="宋体" w:cs="宋体"/>
                <w:color w:val="auto"/>
                <w:sz w:val="24"/>
                <w:szCs w:val="24"/>
                <w:highlight w:val="none"/>
              </w:rPr>
            </w:pPr>
            <w:r>
              <w:rPr>
                <w:rFonts w:hint="eastAsia" w:ascii="宋体" w:hAnsi="宋体" w:cs="宋体"/>
                <w:color w:val="auto"/>
                <w:sz w:val="24"/>
                <w:szCs w:val="24"/>
                <w:highlight w:val="none"/>
              </w:rPr>
              <w:t>投标文件</w:t>
            </w:r>
          </w:p>
          <w:p>
            <w:pPr>
              <w:autoSpaceDE w:val="0"/>
              <w:autoSpaceDN w:val="0"/>
              <w:snapToGrid w:val="0"/>
              <w:textAlignment w:val="bottom"/>
              <w:rPr>
                <w:rFonts w:ascii="宋体" w:cs="宋体"/>
                <w:color w:val="auto"/>
                <w:sz w:val="24"/>
                <w:szCs w:val="24"/>
                <w:highlight w:val="none"/>
              </w:rPr>
            </w:pPr>
            <w:r>
              <w:rPr>
                <w:rFonts w:hint="eastAsia" w:ascii="宋体" w:hAnsi="宋体" w:cs="宋体"/>
                <w:color w:val="auto"/>
                <w:sz w:val="24"/>
                <w:szCs w:val="24"/>
                <w:highlight w:val="none"/>
              </w:rPr>
              <w:t>项目名称：</w:t>
            </w:r>
          </w:p>
          <w:p>
            <w:pPr>
              <w:autoSpaceDE w:val="0"/>
              <w:autoSpaceDN w:val="0"/>
              <w:snapToGrid w:val="0"/>
              <w:textAlignment w:val="bottom"/>
              <w:rPr>
                <w:rFonts w:ascii="宋体" w:cs="宋体"/>
                <w:color w:val="auto"/>
                <w:sz w:val="24"/>
                <w:szCs w:val="24"/>
                <w:highlight w:val="none"/>
              </w:rPr>
            </w:pPr>
            <w:r>
              <w:rPr>
                <w:rFonts w:hint="eastAsia" w:ascii="宋体" w:hAnsi="宋体" w:cs="宋体"/>
                <w:color w:val="auto"/>
                <w:sz w:val="24"/>
                <w:szCs w:val="24"/>
                <w:highlight w:val="none"/>
              </w:rPr>
              <w:t>项目编号：</w:t>
            </w:r>
          </w:p>
          <w:p>
            <w:pPr>
              <w:autoSpaceDE w:val="0"/>
              <w:autoSpaceDN w:val="0"/>
              <w:snapToGrid w:val="0"/>
              <w:textAlignment w:val="bottom"/>
              <w:rPr>
                <w:rFonts w:ascii="宋体" w:cs="宋体"/>
                <w:color w:val="auto"/>
                <w:sz w:val="24"/>
                <w:szCs w:val="24"/>
                <w:highlight w:val="none"/>
              </w:rPr>
            </w:pPr>
            <w:r>
              <w:rPr>
                <w:rFonts w:hint="eastAsia" w:ascii="宋体" w:hAnsi="宋体" w:cs="宋体"/>
                <w:color w:val="auto"/>
                <w:sz w:val="24"/>
                <w:szCs w:val="24"/>
                <w:highlight w:val="none"/>
              </w:rPr>
              <w:t>标项（如有）：</w:t>
            </w:r>
          </w:p>
          <w:p>
            <w:pPr>
              <w:autoSpaceDE w:val="0"/>
              <w:autoSpaceDN w:val="0"/>
              <w:snapToGrid w:val="0"/>
              <w:textAlignment w:val="bottom"/>
              <w:rPr>
                <w:rFonts w:ascii="宋体" w:cs="宋体"/>
                <w:color w:val="auto"/>
                <w:sz w:val="24"/>
                <w:szCs w:val="24"/>
                <w:highlight w:val="none"/>
              </w:rPr>
            </w:pPr>
            <w:r>
              <w:rPr>
                <w:rFonts w:hint="eastAsia" w:ascii="宋体" w:hAnsi="宋体" w:cs="宋体"/>
                <w:color w:val="auto"/>
                <w:sz w:val="24"/>
                <w:szCs w:val="24"/>
                <w:highlight w:val="none"/>
              </w:rPr>
              <w:t>投标人名称：</w:t>
            </w:r>
          </w:p>
          <w:p>
            <w:pPr>
              <w:autoSpaceDE w:val="0"/>
              <w:autoSpaceDN w:val="0"/>
              <w:snapToGrid w:val="0"/>
              <w:textAlignment w:val="bottom"/>
              <w:rPr>
                <w:rFonts w:ascii="宋体" w:cs="宋体"/>
                <w:color w:val="auto"/>
                <w:sz w:val="24"/>
                <w:szCs w:val="24"/>
                <w:highlight w:val="none"/>
              </w:rPr>
            </w:pPr>
            <w:r>
              <w:rPr>
                <w:rFonts w:hint="eastAsia" w:ascii="宋体" w:hAnsi="宋体" w:cs="宋体"/>
                <w:color w:val="auto"/>
                <w:sz w:val="24"/>
                <w:szCs w:val="24"/>
                <w:highlight w:val="none"/>
              </w:rPr>
              <w:t>投标人地址：</w:t>
            </w:r>
          </w:p>
          <w:p>
            <w:pPr>
              <w:autoSpaceDE w:val="0"/>
              <w:autoSpaceDN w:val="0"/>
              <w:snapToGrid w:val="0"/>
              <w:jc w:val="right"/>
              <w:textAlignment w:val="bottom"/>
              <w:rPr>
                <w:rFonts w:ascii="宋体" w:cs="宋体"/>
                <w:color w:val="auto"/>
                <w:sz w:val="24"/>
                <w:szCs w:val="24"/>
                <w:highlight w:val="none"/>
              </w:rPr>
            </w:pPr>
            <w:r>
              <w:rPr>
                <w:rFonts w:hint="eastAsia" w:ascii="宋体" w:hAnsi="宋体" w:cs="宋体"/>
                <w:color w:val="auto"/>
                <w:sz w:val="24"/>
                <w:szCs w:val="24"/>
                <w:highlight w:val="none"/>
              </w:rPr>
              <w:t>在年月日时分前不得开启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12</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highlight w:val="none"/>
              </w:rPr>
            </w:pPr>
            <w:r>
              <w:rPr>
                <w:rFonts w:hint="eastAsia" w:ascii="宋体" w:hAnsi="宋体" w:cs="宋体"/>
                <w:bCs/>
                <w:color w:val="auto"/>
                <w:sz w:val="24"/>
                <w:szCs w:val="24"/>
                <w:highlight w:val="none"/>
              </w:rPr>
              <w:t>1、投标文件递交截止时间</w:t>
            </w:r>
            <w:r>
              <w:rPr>
                <w:rFonts w:hint="eastAsia" w:ascii="宋体" w:hAnsi="宋体" w:cs="宋体"/>
                <w:color w:val="auto"/>
                <w:sz w:val="24"/>
                <w:szCs w:val="24"/>
                <w:highlight w:val="none"/>
              </w:rPr>
              <w:t>：</w:t>
            </w:r>
            <w:r>
              <w:rPr>
                <w:rFonts w:ascii="宋体" w:hAnsi="宋体" w:cs="宋体"/>
                <w:color w:val="auto"/>
                <w:sz w:val="24"/>
                <w:szCs w:val="24"/>
                <w:highlight w:val="none"/>
              </w:rPr>
              <w:t>2020</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日</w:t>
            </w:r>
            <w:r>
              <w:rPr>
                <w:rFonts w:ascii="宋体" w:hAnsi="宋体" w:cs="宋体"/>
                <w:color w:val="auto"/>
                <w:sz w:val="24"/>
                <w:szCs w:val="24"/>
                <w:highlight w:val="none"/>
              </w:rPr>
              <w:t>9</w:t>
            </w:r>
            <w:r>
              <w:rPr>
                <w:rFonts w:hint="eastAsia" w:ascii="宋体" w:hAnsi="宋体" w:cs="宋体"/>
                <w:color w:val="auto"/>
                <w:sz w:val="24"/>
                <w:szCs w:val="24"/>
                <w:highlight w:val="none"/>
              </w:rPr>
              <w:t>时</w:t>
            </w:r>
            <w:r>
              <w:rPr>
                <w:rFonts w:ascii="宋体" w:hAnsi="宋体" w:cs="宋体"/>
                <w:color w:val="auto"/>
                <w:sz w:val="24"/>
                <w:szCs w:val="24"/>
                <w:highlight w:val="none"/>
              </w:rPr>
              <w:t>30</w:t>
            </w:r>
            <w:r>
              <w:rPr>
                <w:rFonts w:hint="eastAsia" w:ascii="宋体" w:hAnsi="宋体" w:cs="宋体"/>
                <w:color w:val="auto"/>
                <w:sz w:val="24"/>
                <w:szCs w:val="24"/>
                <w:highlight w:val="none"/>
              </w:rPr>
              <w:t>分</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2、本项目的投标文件通过邮寄快递的方式送达</w:t>
            </w:r>
            <w:r>
              <w:rPr>
                <w:rFonts w:hint="eastAsia" w:ascii="宋体" w:hAnsi="宋体" w:cs="宋体"/>
                <w:color w:val="auto"/>
                <w:highlight w:val="none"/>
              </w:rPr>
              <w:t>(不接受现场递交)</w:t>
            </w:r>
            <w:r>
              <w:rPr>
                <w:rFonts w:hint="eastAsia" w:ascii="宋体" w:hAnsi="宋体" w:cs="宋体"/>
                <w:bCs/>
                <w:color w:val="auto"/>
                <w:sz w:val="24"/>
                <w:szCs w:val="24"/>
                <w:highlight w:val="none"/>
              </w:rPr>
              <w:t>。</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3、投标文件邮寄地址：南宁市青秀区纬武路165号招标中心</w:t>
            </w: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rPr>
              <w:t>楼</w:t>
            </w:r>
            <w:r>
              <w:rPr>
                <w:rFonts w:hint="eastAsia" w:ascii="宋体" w:hAnsi="宋体" w:cs="宋体"/>
                <w:bCs/>
                <w:color w:val="auto"/>
                <w:sz w:val="24"/>
                <w:szCs w:val="24"/>
                <w:highlight w:val="none"/>
                <w:lang w:val="en-US" w:eastAsia="zh-CN"/>
              </w:rPr>
              <w:t>206</w:t>
            </w:r>
            <w:r>
              <w:rPr>
                <w:rFonts w:hint="eastAsia" w:ascii="宋体" w:hAnsi="宋体" w:cs="宋体"/>
                <w:bCs/>
                <w:color w:val="auto"/>
                <w:sz w:val="24"/>
                <w:szCs w:val="24"/>
                <w:highlight w:val="none"/>
              </w:rPr>
              <w:t>室；收件人：</w:t>
            </w:r>
            <w:r>
              <w:rPr>
                <w:rFonts w:hint="eastAsia" w:ascii="宋体" w:hAnsi="宋体" w:cs="宋体"/>
                <w:bCs/>
                <w:color w:val="auto"/>
                <w:sz w:val="24"/>
                <w:szCs w:val="24"/>
                <w:highlight w:val="none"/>
                <w:lang w:eastAsia="zh-CN"/>
              </w:rPr>
              <w:t>谌金群</w:t>
            </w:r>
            <w:r>
              <w:rPr>
                <w:rFonts w:hint="eastAsia" w:ascii="宋体" w:hAnsi="宋体" w:cs="宋体"/>
                <w:bCs/>
                <w:color w:val="auto"/>
                <w:sz w:val="24"/>
                <w:szCs w:val="24"/>
                <w:highlight w:val="none"/>
              </w:rPr>
              <w:t>；联系电话：</w:t>
            </w:r>
            <w:r>
              <w:rPr>
                <w:rFonts w:hint="eastAsia" w:ascii="宋体" w:hAnsi="宋体" w:cs="宋体"/>
                <w:bCs/>
                <w:color w:val="auto"/>
                <w:sz w:val="24"/>
                <w:szCs w:val="24"/>
                <w:highlight w:val="none"/>
                <w:lang w:eastAsia="zh-CN"/>
              </w:rPr>
              <w:t>0771-2807659</w:t>
            </w:r>
            <w:r>
              <w:rPr>
                <w:rFonts w:hint="eastAsia" w:ascii="宋体" w:hAnsi="宋体" w:cs="宋体"/>
                <w:bCs/>
                <w:color w:val="auto"/>
                <w:sz w:val="24"/>
                <w:szCs w:val="24"/>
                <w:highlight w:val="none"/>
              </w:rPr>
              <w:t>。</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4、接收邮寄包裹的时间为工作日8：00～18：00。投标文件必须在投标截止时间前送达。招标采购人或招标采购代理机构工作人员签收邮寄包裹的时间即为投标人投标文件的送达时间，逾期送达的投标文件无效，后果由供应商自行承担。</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5、采购代理机构将在投标标截止时间前一小时统一将收到的投标文件运送至南宁市公共资源交易中心，以确保本项目能在竞标截止（开标）时间准时截标。投标人应充分预留投标文件邮寄、送达所需要的时间。为确保疫情防控期间邮寄包裹能及时送达，应选择邮寄运送时间有保障的快递公司寄送投标文件，并确保在投标截止日期1个工作日前内送达。</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6、投标人在按照招标文件的要求装订、密封好</w:t>
            </w:r>
            <w:r>
              <w:rPr>
                <w:rFonts w:hint="eastAsia" w:ascii="宋体" w:hAnsi="宋体" w:cs="宋体"/>
                <w:bCs/>
                <w:color w:val="auto"/>
                <w:sz w:val="24"/>
                <w:szCs w:val="24"/>
                <w:highlight w:val="none"/>
                <w:lang w:eastAsia="zh-CN"/>
              </w:rPr>
              <w:t>投标文件</w:t>
            </w:r>
            <w:r>
              <w:rPr>
                <w:rFonts w:hint="eastAsia" w:ascii="宋体" w:hAnsi="宋体" w:cs="宋体"/>
                <w:bCs/>
                <w:color w:val="auto"/>
                <w:sz w:val="24"/>
                <w:szCs w:val="24"/>
                <w:highlight w:val="none"/>
              </w:rPr>
              <w:t>后，应使用不透明、防水的邮寄袋或箱子再次包裹已密封好的投标文件，并在邮寄袋或箱子上粘牢注明项目名称、项目编号、项目开标日期、有效的电子邮箱等内容的纸质表格（表格格式详见附件）。</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7、招标采购人或招标采购代理机构工作人员在收到投标文件的邮寄包裹后，第一时间按照投标人在邮寄包裹上所预留的电子邮箱告知投标文件收件情况，请供投标人必确保所预留的电子邮箱的有效性，并注意查收邮件。</w:t>
            </w:r>
          </w:p>
          <w:p>
            <w:pPr>
              <w:snapToGrid w:val="0"/>
              <w:rPr>
                <w:rFonts w:ascii="宋体" w:hAnsi="宋体" w:cs="宋体"/>
                <w:bCs/>
                <w:color w:val="auto"/>
                <w:sz w:val="24"/>
                <w:szCs w:val="24"/>
                <w:highlight w:val="none"/>
              </w:rPr>
            </w:pPr>
          </w:p>
          <w:p>
            <w:pPr>
              <w:snapToGrid w:val="0"/>
              <w:rPr>
                <w:rFonts w:ascii="宋体" w:hAnsi="宋体" w:cs="宋体"/>
                <w:bCs/>
                <w:color w:val="auto"/>
                <w:sz w:val="24"/>
                <w:szCs w:val="24"/>
                <w:highlight w:val="none"/>
              </w:rPr>
            </w:pPr>
          </w:p>
          <w:p>
            <w:pPr>
              <w:snapToGrid w:val="0"/>
              <w:rPr>
                <w:rFonts w:ascii="宋体" w:hAnsi="宋体" w:cs="宋体"/>
                <w:bCs/>
                <w:color w:val="auto"/>
                <w:sz w:val="24"/>
                <w:szCs w:val="24"/>
                <w:highlight w:val="none"/>
              </w:rPr>
            </w:pP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附件：</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邮件外包粘贴表格（格式）</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项目名称：</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项目编号：</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项目开标日期：</w:t>
            </w:r>
          </w:p>
          <w:p>
            <w:pPr>
              <w:snapToGrid w:val="0"/>
              <w:rPr>
                <w:rFonts w:ascii="宋体" w:hAnsi="宋体" w:cs="宋体"/>
                <w:bCs/>
                <w:color w:val="auto"/>
                <w:sz w:val="24"/>
                <w:szCs w:val="24"/>
                <w:highlight w:val="none"/>
              </w:rPr>
            </w:pPr>
            <w:r>
              <w:rPr>
                <w:rFonts w:hint="eastAsia" w:ascii="宋体" w:hAnsi="宋体" w:cs="宋体"/>
                <w:bCs/>
                <w:color w:val="auto"/>
                <w:sz w:val="24"/>
                <w:szCs w:val="24"/>
                <w:highlight w:val="none"/>
              </w:rPr>
              <w:t>联系电话：</w:t>
            </w:r>
          </w:p>
          <w:p>
            <w:pPr>
              <w:snapToGrid w:val="0"/>
              <w:rPr>
                <w:rFonts w:ascii="宋体" w:cs="宋体"/>
                <w:color w:val="auto"/>
                <w:sz w:val="24"/>
                <w:szCs w:val="24"/>
                <w:highlight w:val="none"/>
              </w:rPr>
            </w:pPr>
            <w:r>
              <w:rPr>
                <w:rFonts w:hint="eastAsia" w:ascii="宋体" w:hAnsi="宋体" w:cs="宋体"/>
                <w:bCs/>
                <w:color w:val="auto"/>
                <w:sz w:val="24"/>
                <w:szCs w:val="24"/>
                <w:highlight w:val="none"/>
              </w:rPr>
              <w:t>联系电子邮箱：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13</w:t>
            </w:r>
          </w:p>
        </w:tc>
        <w:tc>
          <w:tcPr>
            <w:tcW w:w="8800" w:type="dxa"/>
            <w:tcBorders>
              <w:top w:val="single" w:color="auto" w:sz="4" w:space="0"/>
              <w:left w:val="single" w:color="auto" w:sz="4" w:space="0"/>
              <w:bottom w:val="single" w:color="auto" w:sz="4" w:space="0"/>
            </w:tcBorders>
            <w:vAlign w:val="center"/>
          </w:tcPr>
          <w:p>
            <w:pPr>
              <w:snapToGrid w:val="0"/>
              <w:rPr>
                <w:rFonts w:ascii="宋体" w:hAnsi="宋体" w:cs="宋体"/>
                <w:color w:val="auto"/>
                <w:sz w:val="24"/>
                <w:szCs w:val="24"/>
                <w:highlight w:val="none"/>
              </w:rPr>
            </w:pPr>
            <w:r>
              <w:rPr>
                <w:rFonts w:hint="eastAsia" w:ascii="宋体" w:hAnsi="宋体" w:cs="宋体"/>
                <w:b/>
                <w:bCs/>
                <w:color w:val="auto"/>
                <w:sz w:val="24"/>
                <w:szCs w:val="24"/>
                <w:highlight w:val="none"/>
              </w:rPr>
              <w:t>开标时间：</w:t>
            </w:r>
            <w:r>
              <w:rPr>
                <w:rFonts w:ascii="宋体" w:hAnsi="宋体" w:cs="宋体"/>
                <w:color w:val="auto"/>
                <w:sz w:val="24"/>
                <w:szCs w:val="24"/>
                <w:highlight w:val="none"/>
              </w:rPr>
              <w:t>2020</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日</w:t>
            </w:r>
            <w:r>
              <w:rPr>
                <w:rFonts w:ascii="宋体" w:hAnsi="宋体" w:cs="宋体"/>
                <w:color w:val="auto"/>
                <w:sz w:val="24"/>
                <w:szCs w:val="24"/>
                <w:highlight w:val="none"/>
              </w:rPr>
              <w:t>9</w:t>
            </w:r>
            <w:r>
              <w:rPr>
                <w:rFonts w:hint="eastAsia" w:ascii="宋体" w:hAnsi="宋体" w:cs="宋体"/>
                <w:color w:val="auto"/>
                <w:sz w:val="24"/>
                <w:szCs w:val="24"/>
                <w:highlight w:val="none"/>
              </w:rPr>
              <w:t>时</w:t>
            </w:r>
            <w:r>
              <w:rPr>
                <w:rFonts w:ascii="宋体" w:hAnsi="宋体" w:cs="宋体"/>
                <w:color w:val="auto"/>
                <w:sz w:val="24"/>
                <w:szCs w:val="24"/>
                <w:highlight w:val="none"/>
              </w:rPr>
              <w:t>30</w:t>
            </w:r>
            <w:r>
              <w:rPr>
                <w:rFonts w:hint="eastAsia" w:ascii="宋体" w:hAnsi="宋体" w:cs="宋体"/>
                <w:color w:val="auto"/>
                <w:sz w:val="24"/>
                <w:szCs w:val="24"/>
                <w:highlight w:val="none"/>
              </w:rPr>
              <w:t>分</w:t>
            </w:r>
          </w:p>
          <w:p>
            <w:pPr>
              <w:snapToGrid w:val="0"/>
              <w:rPr>
                <w:rFonts w:ascii="宋体" w:cs="宋体"/>
                <w:b/>
                <w:bCs/>
                <w:color w:val="auto"/>
                <w:sz w:val="24"/>
                <w:szCs w:val="24"/>
                <w:highlight w:val="none"/>
              </w:rPr>
            </w:pPr>
            <w:r>
              <w:rPr>
                <w:rFonts w:hint="eastAsia" w:ascii="宋体" w:hAnsi="宋体" w:cs="宋体"/>
                <w:b/>
                <w:bCs/>
                <w:color w:val="auto"/>
                <w:sz w:val="24"/>
                <w:szCs w:val="24"/>
                <w:highlight w:val="none"/>
              </w:rPr>
              <w:t>地点：</w:t>
            </w:r>
            <w:r>
              <w:rPr>
                <w:rFonts w:hint="eastAsia" w:ascii="宋体" w:hAnsi="宋体" w:cs="宋体"/>
                <w:color w:val="auto"/>
                <w:sz w:val="24"/>
                <w:szCs w:val="24"/>
                <w:highlight w:val="none"/>
              </w:rPr>
              <w:t>南宁市良庆区玉洞大道</w:t>
            </w:r>
            <w:r>
              <w:rPr>
                <w:rFonts w:ascii="宋体" w:hAnsi="宋体" w:cs="宋体"/>
                <w:color w:val="auto"/>
                <w:sz w:val="24"/>
                <w:szCs w:val="24"/>
                <w:highlight w:val="none"/>
              </w:rPr>
              <w:t>33</w:t>
            </w:r>
            <w:r>
              <w:rPr>
                <w:rFonts w:hint="eastAsia" w:ascii="宋体" w:hAnsi="宋体" w:cs="宋体"/>
                <w:color w:val="auto"/>
                <w:sz w:val="24"/>
                <w:szCs w:val="24"/>
                <w:highlight w:val="none"/>
              </w:rPr>
              <w:t>号南宁市民中心</w:t>
            </w:r>
            <w:r>
              <w:rPr>
                <w:rFonts w:ascii="宋体" w:hAnsi="宋体" w:cs="宋体"/>
                <w:color w:val="auto"/>
                <w:sz w:val="24"/>
                <w:szCs w:val="24"/>
                <w:highlight w:val="none"/>
              </w:rPr>
              <w:t>9</w:t>
            </w:r>
            <w:r>
              <w:rPr>
                <w:rFonts w:hint="eastAsia" w:ascii="宋体" w:hAnsi="宋体" w:cs="宋体"/>
                <w:color w:val="auto"/>
                <w:sz w:val="24"/>
                <w:szCs w:val="24"/>
                <w:highlight w:val="none"/>
              </w:rPr>
              <w:t>楼（具体安排详见</w:t>
            </w:r>
            <w:r>
              <w:rPr>
                <w:rFonts w:ascii="宋体" w:hAnsi="宋体" w:cs="宋体"/>
                <w:color w:val="auto"/>
                <w:sz w:val="24"/>
                <w:szCs w:val="24"/>
                <w:highlight w:val="none"/>
              </w:rPr>
              <w:t>9</w:t>
            </w:r>
            <w:r>
              <w:rPr>
                <w:rFonts w:hint="eastAsia" w:ascii="宋体" w:hAnsi="宋体" w:cs="宋体"/>
                <w:color w:val="auto"/>
                <w:sz w:val="24"/>
                <w:szCs w:val="24"/>
                <w:highlight w:val="none"/>
              </w:rPr>
              <w:t>楼电子大屏幕场地安排表）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14</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b/>
                <w:bCs/>
                <w:color w:val="auto"/>
                <w:sz w:val="24"/>
                <w:szCs w:val="24"/>
                <w:highlight w:val="none"/>
              </w:rPr>
            </w:pPr>
            <w:r>
              <w:rPr>
                <w:rFonts w:hint="eastAsia" w:ascii="宋体" w:hAnsi="宋体" w:cs="宋体"/>
                <w:b/>
                <w:bCs/>
                <w:color w:val="auto"/>
                <w:sz w:val="24"/>
                <w:szCs w:val="24"/>
                <w:highlight w:val="none"/>
              </w:rPr>
              <w:t>评标办法及评分标准：</w:t>
            </w:r>
            <w:r>
              <w:rPr>
                <w:rFonts w:hint="eastAsia" w:ascii="宋体" w:hAnsi="宋体" w:cs="宋体"/>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15</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spacing w:line="440" w:lineRule="exact"/>
              <w:textAlignment w:val="bottom"/>
              <w:rPr>
                <w:rFonts w:ascii="宋体"/>
                <w:color w:val="auto"/>
                <w:sz w:val="24"/>
                <w:szCs w:val="24"/>
                <w:highlight w:val="none"/>
              </w:rPr>
            </w:pPr>
            <w:r>
              <w:rPr>
                <w:rFonts w:hint="eastAsia" w:hAnsi="宋体" w:cs="宋体"/>
                <w:b/>
                <w:bCs/>
                <w:color w:val="auto"/>
                <w:sz w:val="24"/>
                <w:szCs w:val="24"/>
                <w:highlight w:val="none"/>
              </w:rPr>
              <w:t>信用查询：</w:t>
            </w:r>
            <w:r>
              <w:rPr>
                <w:rFonts w:hint="eastAsia" w:ascii="宋体" w:hAnsi="宋体" w:cs="宋体"/>
                <w:color w:val="auto"/>
                <w:sz w:val="24"/>
                <w:szCs w:val="24"/>
                <w:highlight w:val="none"/>
              </w:rPr>
              <w:t>根据《关于做好政府采购有关信用主体标识码登记及在政府采购活动中查询使用信用记录有关问题的通知》桂财采〔</w:t>
            </w:r>
            <w:r>
              <w:rPr>
                <w:rFonts w:ascii="宋体" w:hAnsi="宋体" w:cs="宋体"/>
                <w:color w:val="auto"/>
                <w:sz w:val="24"/>
                <w:szCs w:val="24"/>
                <w:highlight w:val="none"/>
              </w:rPr>
              <w:t>2016</w:t>
            </w:r>
            <w:r>
              <w:rPr>
                <w:rFonts w:hint="eastAsia" w:ascii="宋体" w:hAnsi="宋体" w:cs="宋体"/>
                <w:color w:val="auto"/>
                <w:sz w:val="24"/>
                <w:szCs w:val="24"/>
                <w:highlight w:val="none"/>
              </w:rPr>
              <w:t>〕</w:t>
            </w:r>
            <w:r>
              <w:rPr>
                <w:rFonts w:ascii="宋体" w:hAnsi="宋体" w:cs="宋体"/>
                <w:color w:val="auto"/>
                <w:sz w:val="24"/>
                <w:szCs w:val="24"/>
                <w:highlight w:val="none"/>
              </w:rPr>
              <w:t>37</w:t>
            </w:r>
            <w:r>
              <w:rPr>
                <w:rFonts w:hint="eastAsia" w:ascii="宋体" w:hAnsi="宋体" w:cs="宋体"/>
                <w:color w:val="auto"/>
                <w:sz w:val="24"/>
                <w:szCs w:val="24"/>
                <w:highlight w:val="none"/>
              </w:rPr>
              <w:t>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color w:val="auto"/>
                <w:sz w:val="24"/>
                <w:szCs w:val="24"/>
                <w:highlight w:val="none"/>
              </w:rPr>
            </w:pPr>
            <w:r>
              <w:rPr>
                <w:rFonts w:hint="eastAsia" w:ascii="宋体" w:hAnsi="宋体" w:cs="宋体"/>
                <w:color w:val="auto"/>
                <w:sz w:val="24"/>
                <w:szCs w:val="24"/>
                <w:highlight w:val="none"/>
              </w:rPr>
              <w:t>⑴查询渠道：“信用中国”网站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等；</w:t>
            </w:r>
          </w:p>
          <w:p>
            <w:pPr>
              <w:autoSpaceDE w:val="0"/>
              <w:autoSpaceDN w:val="0"/>
              <w:snapToGrid w:val="0"/>
              <w:spacing w:line="440" w:lineRule="exact"/>
              <w:ind w:firstLine="480" w:firstLineChars="200"/>
              <w:textAlignment w:val="bottom"/>
              <w:rPr>
                <w:rFonts w:ascii="宋体"/>
                <w:color w:val="auto"/>
                <w:sz w:val="24"/>
                <w:szCs w:val="24"/>
                <w:highlight w:val="none"/>
              </w:rPr>
            </w:pPr>
            <w:r>
              <w:rPr>
                <w:rFonts w:hint="eastAsia" w:ascii="宋体" w:hAnsi="宋体" w:cs="宋体"/>
                <w:color w:val="auto"/>
                <w:sz w:val="24"/>
                <w:szCs w:val="24"/>
                <w:highlight w:val="none"/>
              </w:rPr>
              <w:t>⑵查询截止时点：中标通知书发出前；</w:t>
            </w:r>
          </w:p>
          <w:p>
            <w:pPr>
              <w:autoSpaceDE w:val="0"/>
              <w:autoSpaceDN w:val="0"/>
              <w:snapToGrid w:val="0"/>
              <w:spacing w:line="440" w:lineRule="exact"/>
              <w:ind w:firstLine="480" w:firstLineChars="200"/>
              <w:textAlignment w:val="bottom"/>
              <w:rPr>
                <w:rFonts w:ascii="宋体"/>
                <w:color w:val="auto"/>
                <w:sz w:val="24"/>
                <w:szCs w:val="24"/>
                <w:highlight w:val="none"/>
              </w:rPr>
            </w:pPr>
            <w:r>
              <w:rPr>
                <w:rFonts w:hint="eastAsia" w:ascii="宋体" w:hAnsi="宋体" w:cs="宋体"/>
                <w:color w:val="auto"/>
                <w:sz w:val="24"/>
                <w:szCs w:val="24"/>
                <w:highlight w:val="none"/>
              </w:rPr>
              <w:t>⑶信用信息查询记录和证据留存方式：在查询网站中直接打印查询记录，打印材料作为采购活动资料保存。</w:t>
            </w:r>
          </w:p>
          <w:p>
            <w:pPr>
              <w:pStyle w:val="130"/>
              <w:spacing w:line="44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⑷信用信息使用规则：对在“信用中国”网站</w:t>
            </w:r>
            <w:r>
              <w:rPr>
                <w:rFonts w:hAnsi="宋体"/>
                <w:color w:val="auto"/>
                <w:sz w:val="24"/>
                <w:szCs w:val="24"/>
                <w:highlight w:val="none"/>
              </w:rPr>
              <w:t>(www.creditchina.gov.cn)</w:t>
            </w:r>
            <w:r>
              <w:rPr>
                <w:rFonts w:hint="eastAsia" w:hAnsi="宋体"/>
                <w:color w:val="auto"/>
                <w:sz w:val="24"/>
                <w:szCs w:val="24"/>
                <w:highlight w:val="none"/>
              </w:rPr>
              <w:t>、中国政府采购网</w:t>
            </w:r>
            <w:r>
              <w:rPr>
                <w:rFonts w:hAnsi="宋体"/>
                <w:color w:val="auto"/>
                <w:sz w:val="24"/>
                <w:szCs w:val="24"/>
                <w:highlight w:val="none"/>
              </w:rPr>
              <w:t>(www.ccgp.gov.cn)</w:t>
            </w:r>
            <w:r>
              <w:rPr>
                <w:rFonts w:hint="eastAsia" w:hAnsi="宋体"/>
                <w:color w:val="auto"/>
                <w:sz w:val="24"/>
                <w:szCs w:val="24"/>
                <w:highlight w:val="none"/>
              </w:rPr>
              <w:t>等渠道列入失信被执行人、重大税收违法案件当事人名单、政府采购严重违法失信行为记录名单及其他不符合《中华人民共和国政府采购法》第二十二条规定条件的供应商，取消其中标候选人资格。</w:t>
            </w:r>
          </w:p>
          <w:p>
            <w:pPr>
              <w:pStyle w:val="24"/>
              <w:spacing w:line="380" w:lineRule="exact"/>
              <w:ind w:firstLine="472" w:firstLineChars="196"/>
              <w:rPr>
                <w:rFonts w:hAnsi="宋体" w:cs="Times New Roman"/>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16</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jc w:val="left"/>
              <w:textAlignment w:val="bottom"/>
              <w:rPr>
                <w:rFonts w:ascii="宋体" w:cs="宋体"/>
                <w:color w:val="auto"/>
                <w:sz w:val="24"/>
                <w:szCs w:val="24"/>
                <w:highlight w:val="none"/>
              </w:rPr>
            </w:pPr>
            <w:r>
              <w:rPr>
                <w:rFonts w:hint="eastAsia" w:ascii="宋体" w:hAnsi="宋体" w:cs="宋体"/>
                <w:b/>
                <w:bCs/>
                <w:color w:val="auto"/>
                <w:sz w:val="24"/>
                <w:szCs w:val="24"/>
                <w:highlight w:val="none"/>
              </w:rPr>
              <w:t>中标公告及中标通知书：</w:t>
            </w:r>
            <w:r>
              <w:rPr>
                <w:rFonts w:hint="eastAsia" w:ascii="宋体" w:hAnsi="宋体" w:cs="宋体"/>
                <w:color w:val="auto"/>
                <w:sz w:val="24"/>
                <w:szCs w:val="24"/>
                <w:highlight w:val="none"/>
              </w:rPr>
              <w:t>本中心在采购人依法确认中标人后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17</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color w:val="auto"/>
                <w:sz w:val="24"/>
                <w:szCs w:val="24"/>
                <w:highlight w:val="none"/>
              </w:rPr>
            </w:pPr>
            <w:r>
              <w:rPr>
                <w:rFonts w:hint="eastAsia" w:ascii="宋体" w:hAnsi="宋体" w:cs="宋体"/>
                <w:b/>
                <w:bCs/>
                <w:color w:val="auto"/>
                <w:sz w:val="24"/>
                <w:szCs w:val="24"/>
                <w:highlight w:val="none"/>
              </w:rPr>
              <w:t>签订合同时间：</w:t>
            </w:r>
            <w:r>
              <w:rPr>
                <w:rFonts w:hint="eastAsia" w:ascii="宋体" w:hAnsi="宋体" w:cs="宋体"/>
                <w:color w:val="auto"/>
                <w:sz w:val="24"/>
                <w:szCs w:val="24"/>
                <w:highlight w:val="none"/>
              </w:rPr>
              <w:t>中标通知书发出后</w:t>
            </w:r>
            <w:r>
              <w:rPr>
                <w:rFonts w:ascii="宋体" w:hAnsi="宋体" w:cs="宋体"/>
                <w:color w:val="auto"/>
                <w:sz w:val="24"/>
                <w:szCs w:val="24"/>
                <w:highlight w:val="none"/>
              </w:rPr>
              <w:t xml:space="preserve"> 30 </w:t>
            </w:r>
            <w:r>
              <w:rPr>
                <w:rFonts w:hint="eastAsia" w:ascii="宋体" w:hAnsi="宋体" w:cs="宋体"/>
                <w:color w:val="auto"/>
                <w:sz w:val="24"/>
                <w:szCs w:val="24"/>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18</w:t>
            </w:r>
          </w:p>
        </w:tc>
        <w:tc>
          <w:tcPr>
            <w:tcW w:w="8800" w:type="dxa"/>
            <w:tcBorders>
              <w:top w:val="single" w:color="auto" w:sz="4" w:space="0"/>
              <w:left w:val="single" w:color="auto" w:sz="4" w:space="0"/>
              <w:bottom w:val="single" w:color="auto" w:sz="4" w:space="0"/>
            </w:tcBorders>
          </w:tcPr>
          <w:p>
            <w:pPr>
              <w:spacing w:line="450" w:lineRule="exact"/>
              <w:rPr>
                <w:rFonts w:ascii="宋体" w:cs="宋体"/>
                <w:color w:val="auto"/>
                <w:sz w:val="24"/>
                <w:szCs w:val="24"/>
                <w:highlight w:val="none"/>
              </w:rPr>
            </w:pPr>
            <w:r>
              <w:rPr>
                <w:rFonts w:hint="eastAsia" w:ascii="宋体" w:hAnsi="宋体" w:cs="宋体"/>
                <w:color w:val="auto"/>
                <w:sz w:val="24"/>
                <w:szCs w:val="24"/>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19</w:t>
            </w:r>
          </w:p>
        </w:tc>
        <w:tc>
          <w:tcPr>
            <w:tcW w:w="8800" w:type="dxa"/>
            <w:tcBorders>
              <w:top w:val="single" w:color="auto" w:sz="4" w:space="0"/>
              <w:left w:val="single" w:color="auto" w:sz="4" w:space="0"/>
              <w:bottom w:val="single" w:color="auto" w:sz="4" w:space="0"/>
            </w:tcBorders>
          </w:tcPr>
          <w:p>
            <w:pPr>
              <w:spacing w:line="450" w:lineRule="exact"/>
              <w:rPr>
                <w:rFonts w:ascii="宋体" w:cs="宋体"/>
                <w:color w:val="auto"/>
                <w:sz w:val="24"/>
                <w:szCs w:val="24"/>
                <w:highlight w:val="none"/>
              </w:rPr>
            </w:pPr>
            <w:r>
              <w:rPr>
                <w:rFonts w:hint="eastAsia" w:ascii="宋体" w:hAnsi="宋体" w:cs="宋体"/>
                <w:color w:val="auto"/>
                <w:sz w:val="24"/>
                <w:szCs w:val="24"/>
                <w:highlight w:val="none"/>
              </w:rPr>
              <w:t>付款方式：由采购单位代付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20</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highlight w:val="none"/>
              </w:rPr>
            </w:pPr>
            <w:r>
              <w:rPr>
                <w:rFonts w:hint="eastAsia" w:ascii="宋体" w:hAnsi="宋体" w:cs="宋体"/>
                <w:color w:val="auto"/>
                <w:sz w:val="24"/>
                <w:szCs w:val="24"/>
                <w:highlight w:val="none"/>
              </w:rPr>
              <w:t>解释：本招标文件的解释权属于招标采购代理机构。</w:t>
            </w:r>
          </w:p>
        </w:tc>
      </w:tr>
    </w:tbl>
    <w:p>
      <w:pPr>
        <w:pStyle w:val="24"/>
        <w:tabs>
          <w:tab w:val="left" w:pos="426"/>
        </w:tabs>
        <w:snapToGrid w:val="0"/>
        <w:jc w:val="center"/>
        <w:rPr>
          <w:rFonts w:hAnsi="宋体" w:cs="Times New Roman"/>
          <w:b/>
          <w:bCs/>
          <w:color w:val="auto"/>
          <w:sz w:val="32"/>
          <w:szCs w:val="32"/>
          <w:highlight w:val="none"/>
        </w:rPr>
      </w:pPr>
      <w:r>
        <w:rPr>
          <w:rFonts w:hAnsi="宋体" w:cs="Times New Roman"/>
          <w:b/>
          <w:bCs/>
          <w:color w:val="auto"/>
          <w:highlight w:val="none"/>
        </w:rPr>
        <w:br w:type="page"/>
      </w:r>
      <w:r>
        <w:rPr>
          <w:rFonts w:hint="eastAsia" w:hAnsi="宋体"/>
          <w:b/>
          <w:bCs/>
          <w:color w:val="auto"/>
          <w:sz w:val="32"/>
          <w:szCs w:val="32"/>
          <w:highlight w:val="none"/>
        </w:rPr>
        <w:t>一、总则</w:t>
      </w:r>
    </w:p>
    <w:p>
      <w:pPr>
        <w:snapToGrid w:val="0"/>
        <w:spacing w:line="360" w:lineRule="exact"/>
        <w:jc w:val="left"/>
        <w:rPr>
          <w:rFonts w:ascii="宋体" w:cs="宋体"/>
          <w:b/>
          <w:bCs/>
          <w:color w:val="auto"/>
          <w:sz w:val="24"/>
          <w:szCs w:val="24"/>
          <w:highlight w:val="none"/>
        </w:rPr>
      </w:pPr>
      <w:bookmarkStart w:id="52" w:name="_Toc254970668"/>
      <w:bookmarkStart w:id="53" w:name="_Toc254970527"/>
      <w:r>
        <w:rPr>
          <w:rFonts w:hint="eastAsia" w:ascii="宋体" w:hAnsi="宋体" w:cs="宋体"/>
          <w:b/>
          <w:bCs/>
          <w:color w:val="auto"/>
          <w:sz w:val="24"/>
          <w:szCs w:val="24"/>
          <w:highlight w:val="none"/>
        </w:rPr>
        <w:t>（一）适用范围</w:t>
      </w:r>
      <w:bookmarkEnd w:id="52"/>
      <w:bookmarkEnd w:id="53"/>
    </w:p>
    <w:p>
      <w:pPr>
        <w:snapToGrid w:val="0"/>
        <w:spacing w:line="360" w:lineRule="exact"/>
        <w:ind w:firstLine="360" w:firstLineChars="150"/>
        <w:jc w:val="left"/>
        <w:rPr>
          <w:rFonts w:ascii="宋体" w:cs="宋体"/>
          <w:color w:val="auto"/>
          <w:sz w:val="24"/>
          <w:szCs w:val="24"/>
          <w:highlight w:val="none"/>
        </w:rPr>
      </w:pPr>
      <w:r>
        <w:rPr>
          <w:rFonts w:hint="eastAsia" w:ascii="宋体" w:hAnsi="宋体" w:cs="宋体"/>
          <w:color w:val="auto"/>
          <w:sz w:val="24"/>
          <w:szCs w:val="24"/>
          <w:highlight w:val="none"/>
        </w:rPr>
        <w:t>本招标文件适用于</w:t>
      </w:r>
      <w:r>
        <w:rPr>
          <w:rFonts w:hint="eastAsia" w:ascii="宋体" w:hAnsi="宋体" w:cs="宋体"/>
          <w:color w:val="auto"/>
          <w:sz w:val="24"/>
          <w:szCs w:val="24"/>
          <w:highlight w:val="none"/>
          <w:lang w:eastAsia="zh-CN"/>
        </w:rPr>
        <w:t>南宁市青秀区土地储备分中心</w:t>
      </w:r>
      <w:r>
        <w:rPr>
          <w:rFonts w:hint="eastAsia" w:ascii="宋体" w:hAnsi="宋体" w:cs="宋体"/>
          <w:color w:val="auto"/>
          <w:sz w:val="24"/>
          <w:szCs w:val="24"/>
          <w:highlight w:val="none"/>
        </w:rPr>
        <w:t>单位的</w:t>
      </w:r>
      <w:r>
        <w:rPr>
          <w:rFonts w:hint="eastAsia" w:ascii="宋体" w:hAnsi="宋体" w:cs="宋体"/>
          <w:color w:val="auto"/>
          <w:sz w:val="24"/>
          <w:szCs w:val="24"/>
          <w:highlight w:val="none"/>
          <w:lang w:eastAsia="zh-CN"/>
        </w:rPr>
        <w:t>南宁市青秀区两个耕地提质改造（旱改水）项目整改及管护工作</w:t>
      </w:r>
      <w:r>
        <w:rPr>
          <w:rFonts w:hint="eastAsia" w:ascii="宋体" w:hAnsi="宋体" w:cs="宋体"/>
          <w:color w:val="auto"/>
          <w:sz w:val="24"/>
          <w:szCs w:val="24"/>
          <w:highlight w:val="none"/>
        </w:rPr>
        <w:t>的招标、投标、评标、定标、验收、合同履约、付款等行为（法律、法规另有规定的，从其规定）。</w:t>
      </w:r>
    </w:p>
    <w:p>
      <w:pPr>
        <w:snapToGrid w:val="0"/>
        <w:spacing w:line="360" w:lineRule="exact"/>
        <w:jc w:val="left"/>
        <w:rPr>
          <w:rFonts w:ascii="宋体" w:cs="宋体"/>
          <w:b/>
          <w:bCs/>
          <w:color w:val="auto"/>
          <w:sz w:val="24"/>
          <w:szCs w:val="24"/>
          <w:highlight w:val="none"/>
        </w:rPr>
      </w:pPr>
      <w:bookmarkStart w:id="54" w:name="_Toc254970669"/>
      <w:bookmarkStart w:id="55" w:name="_Toc254970528"/>
      <w:r>
        <w:rPr>
          <w:rFonts w:hint="eastAsia" w:ascii="宋体" w:hAnsi="宋体" w:cs="宋体"/>
          <w:b/>
          <w:bCs/>
          <w:color w:val="auto"/>
          <w:sz w:val="24"/>
          <w:szCs w:val="24"/>
          <w:highlight w:val="none"/>
        </w:rPr>
        <w:t>（二）定义</w:t>
      </w:r>
      <w:bookmarkEnd w:id="54"/>
      <w:bookmarkEnd w:id="55"/>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1.</w:t>
      </w:r>
      <w:r>
        <w:rPr>
          <w:rFonts w:hint="eastAsia" w:ascii="宋体" w:hAnsi="宋体" w:cs="宋体"/>
          <w:color w:val="auto"/>
          <w:kern w:val="0"/>
          <w:sz w:val="24"/>
          <w:szCs w:val="24"/>
          <w:highlight w:val="none"/>
          <w:lang w:val="zh-CN"/>
        </w:rPr>
        <w:t>招标采购单位系指组织本次招标的采购人和代理机构。</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2.</w:t>
      </w:r>
      <w:r>
        <w:rPr>
          <w:rFonts w:hint="eastAsia" w:ascii="宋体" w:hAnsi="宋体" w:cs="宋体"/>
          <w:color w:val="auto"/>
          <w:kern w:val="0"/>
          <w:sz w:val="24"/>
          <w:szCs w:val="24"/>
          <w:highlight w:val="none"/>
          <w:lang w:val="zh-CN"/>
        </w:rPr>
        <w:t>“投标人”系指向招标方提交投标文件的单位或自然人。</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3.</w:t>
      </w:r>
      <w:r>
        <w:rPr>
          <w:rFonts w:hint="eastAsia" w:ascii="宋体" w:hAnsi="宋体" w:cs="宋体"/>
          <w:color w:val="auto"/>
          <w:kern w:val="0"/>
          <w:sz w:val="24"/>
          <w:szCs w:val="24"/>
          <w:highlight w:val="none"/>
          <w:lang w:val="zh-CN"/>
        </w:rPr>
        <w:t>“产品”系指供方按招标文件规定，须向采购人提供的一切设备、保险、税金、备品备件、工具、手册及其它有关技术资料和材料。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4.</w:t>
      </w:r>
      <w:r>
        <w:rPr>
          <w:rFonts w:hint="eastAsia" w:ascii="宋体" w:hAnsi="宋体" w:cs="宋体"/>
          <w:color w:val="auto"/>
          <w:kern w:val="0"/>
          <w:sz w:val="24"/>
          <w:szCs w:val="24"/>
          <w:highlight w:val="none"/>
          <w:lang w:val="zh-CN"/>
        </w:rPr>
        <w:t>“服务”系指招标文件规定投标人须承担的安装、调试、技术协助、校准、培训、技术指导以及其他类似的义务。</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5.</w:t>
      </w:r>
      <w:r>
        <w:rPr>
          <w:rFonts w:hint="eastAsia" w:ascii="宋体" w:hAnsi="宋体" w:cs="宋体"/>
          <w:color w:val="auto"/>
          <w:kern w:val="0"/>
          <w:sz w:val="24"/>
          <w:szCs w:val="24"/>
          <w:highlight w:val="none"/>
          <w:lang w:val="zh-CN"/>
        </w:rPr>
        <w:t>“项目”系指投标人按招标文件规定向采购人提供的产品和服务。</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6.</w:t>
      </w:r>
      <w:r>
        <w:rPr>
          <w:rFonts w:hint="eastAsia" w:ascii="宋体" w:hAnsi="宋体" w:cs="宋体"/>
          <w:color w:val="auto"/>
          <w:kern w:val="0"/>
          <w:sz w:val="24"/>
          <w:szCs w:val="24"/>
          <w:highlight w:val="none"/>
          <w:lang w:val="zh-CN"/>
        </w:rPr>
        <w:t>“书面形式”包括信函、传真、电子邮件等。</w:t>
      </w:r>
    </w:p>
    <w:p>
      <w:pPr>
        <w:snapToGrid w:val="0"/>
        <w:spacing w:line="360" w:lineRule="exact"/>
        <w:jc w:val="left"/>
        <w:rPr>
          <w:rFonts w:ascii="宋体" w:cs="宋体"/>
          <w:b/>
          <w:bCs/>
          <w:color w:val="auto"/>
          <w:sz w:val="24"/>
          <w:szCs w:val="24"/>
          <w:highlight w:val="none"/>
        </w:rPr>
      </w:pPr>
      <w:bookmarkStart w:id="56" w:name="_Toc254970529"/>
      <w:bookmarkStart w:id="57" w:name="_Toc254970670"/>
      <w:r>
        <w:rPr>
          <w:rFonts w:hint="eastAsia" w:ascii="宋体" w:hAnsi="宋体" w:cs="宋体"/>
          <w:b/>
          <w:bCs/>
          <w:color w:val="auto"/>
          <w:sz w:val="24"/>
          <w:szCs w:val="24"/>
          <w:highlight w:val="none"/>
        </w:rPr>
        <w:t>（三）招标方式</w:t>
      </w:r>
      <w:bookmarkEnd w:id="56"/>
      <w:bookmarkEnd w:id="57"/>
    </w:p>
    <w:p>
      <w:pPr>
        <w:snapToGrid w:val="0"/>
        <w:spacing w:line="360" w:lineRule="exact"/>
        <w:ind w:firstLine="360" w:firstLineChars="150"/>
        <w:jc w:val="left"/>
        <w:rPr>
          <w:rFonts w:ascii="宋体" w:cs="宋体"/>
          <w:color w:val="auto"/>
          <w:sz w:val="24"/>
          <w:szCs w:val="24"/>
          <w:highlight w:val="none"/>
        </w:rPr>
      </w:pPr>
      <w:r>
        <w:rPr>
          <w:rFonts w:hint="eastAsia" w:ascii="宋体" w:hAnsi="宋体" w:cs="宋体"/>
          <w:color w:val="auto"/>
          <w:sz w:val="24"/>
          <w:szCs w:val="24"/>
          <w:highlight w:val="none"/>
        </w:rPr>
        <w:t>公开招标方式。</w:t>
      </w:r>
    </w:p>
    <w:p>
      <w:pPr>
        <w:tabs>
          <w:tab w:val="left" w:pos="426"/>
        </w:tabs>
        <w:snapToGrid w:val="0"/>
        <w:spacing w:line="360" w:lineRule="exact"/>
        <w:jc w:val="left"/>
        <w:rPr>
          <w:rFonts w:ascii="宋体" w:cs="宋体"/>
          <w:b/>
          <w:bCs/>
          <w:color w:val="auto"/>
          <w:sz w:val="24"/>
          <w:szCs w:val="24"/>
          <w:highlight w:val="none"/>
        </w:rPr>
      </w:pPr>
      <w:bookmarkStart w:id="58" w:name="_Toc254970671"/>
      <w:bookmarkStart w:id="59" w:name="_Toc254970530"/>
      <w:r>
        <w:rPr>
          <w:rFonts w:hint="eastAsia" w:ascii="宋体" w:hAnsi="宋体" w:cs="宋体"/>
          <w:b/>
          <w:bCs/>
          <w:color w:val="auto"/>
          <w:sz w:val="24"/>
          <w:szCs w:val="24"/>
          <w:highlight w:val="none"/>
        </w:rPr>
        <w:t>（四）投标委托</w:t>
      </w:r>
      <w:bookmarkEnd w:id="58"/>
      <w:bookmarkEnd w:id="59"/>
    </w:p>
    <w:p>
      <w:pPr>
        <w:pStyle w:val="19"/>
        <w:snapToGrid w:val="0"/>
        <w:spacing w:line="360" w:lineRule="exact"/>
        <w:ind w:firstLine="360" w:firstLineChars="150"/>
        <w:jc w:val="left"/>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exact"/>
        <w:jc w:val="left"/>
        <w:rPr>
          <w:rFonts w:ascii="宋体" w:cs="宋体"/>
          <w:b/>
          <w:bCs/>
          <w:color w:val="auto"/>
          <w:sz w:val="24"/>
          <w:szCs w:val="24"/>
          <w:highlight w:val="none"/>
        </w:rPr>
      </w:pPr>
      <w:bookmarkStart w:id="60" w:name="_Toc254970531"/>
      <w:bookmarkStart w:id="61" w:name="_Toc254970672"/>
      <w:r>
        <w:rPr>
          <w:rFonts w:hint="eastAsia" w:ascii="宋体" w:hAnsi="宋体" w:cs="宋体"/>
          <w:b/>
          <w:bCs/>
          <w:color w:val="auto"/>
          <w:sz w:val="24"/>
          <w:szCs w:val="24"/>
          <w:highlight w:val="none"/>
        </w:rPr>
        <w:t>（五）投标费用</w:t>
      </w:r>
      <w:bookmarkEnd w:id="60"/>
      <w:bookmarkEnd w:id="61"/>
    </w:p>
    <w:p>
      <w:pPr>
        <w:snapToGrid w:val="0"/>
        <w:spacing w:line="360" w:lineRule="exact"/>
        <w:ind w:firstLine="360" w:firstLineChars="150"/>
        <w:jc w:val="left"/>
        <w:rPr>
          <w:rFonts w:ascii="宋体" w:cs="宋体"/>
          <w:color w:val="auto"/>
          <w:sz w:val="24"/>
          <w:szCs w:val="24"/>
          <w:highlight w:val="none"/>
        </w:rPr>
      </w:pPr>
      <w:r>
        <w:rPr>
          <w:rFonts w:hint="eastAsia" w:ascii="宋体" w:hAnsi="宋体" w:cs="宋体"/>
          <w:color w:val="auto"/>
          <w:sz w:val="24"/>
          <w:szCs w:val="24"/>
          <w:highlight w:val="none"/>
        </w:rPr>
        <w:t>不论投标结果如何，投标人均应自行承担所有与投标有关的全部费用（招标文件有相关的规定除外）。</w:t>
      </w:r>
    </w:p>
    <w:p>
      <w:pPr>
        <w:snapToGrid w:val="0"/>
        <w:spacing w:line="360" w:lineRule="exact"/>
        <w:rPr>
          <w:rFonts w:ascii="宋体" w:cs="宋体"/>
          <w:b/>
          <w:bCs/>
          <w:color w:val="auto"/>
          <w:kern w:val="0"/>
          <w:sz w:val="24"/>
          <w:szCs w:val="24"/>
          <w:highlight w:val="none"/>
        </w:rPr>
      </w:pPr>
      <w:r>
        <w:rPr>
          <w:rFonts w:hint="eastAsia" w:ascii="宋体" w:hAnsi="宋体" w:cs="宋体"/>
          <w:b/>
          <w:bCs/>
          <w:color w:val="auto"/>
          <w:sz w:val="24"/>
          <w:szCs w:val="24"/>
          <w:highlight w:val="none"/>
        </w:rPr>
        <w:t>（六）</w:t>
      </w:r>
      <w:r>
        <w:rPr>
          <w:rFonts w:hint="eastAsia" w:ascii="宋体" w:hAnsi="宋体" w:cs="宋体"/>
          <w:b/>
          <w:bCs/>
          <w:color w:val="auto"/>
          <w:kern w:val="0"/>
          <w:sz w:val="24"/>
          <w:szCs w:val="24"/>
          <w:highlight w:val="none"/>
        </w:rPr>
        <w:t>专业分包：</w:t>
      </w:r>
    </w:p>
    <w:p>
      <w:pPr>
        <w:snapToGrid w:val="0"/>
        <w:spacing w:line="360" w:lineRule="exact"/>
        <w:ind w:firstLine="600" w:firstLineChars="250"/>
        <w:rPr>
          <w:rFonts w:ascii="宋体" w:hAnsi="宋体" w:cs="宋体"/>
          <w:b/>
          <w:bCs/>
          <w:color w:val="auto"/>
          <w:kern w:val="0"/>
          <w:sz w:val="24"/>
          <w:szCs w:val="24"/>
          <w:highlight w:val="none"/>
        </w:rPr>
      </w:pPr>
      <w:r>
        <w:rPr>
          <w:rFonts w:hint="eastAsia" w:ascii="宋体" w:hAnsi="宋体" w:cs="宋体"/>
          <w:bCs/>
          <w:color w:val="auto"/>
          <w:kern w:val="0"/>
          <w:sz w:val="24"/>
          <w:szCs w:val="24"/>
          <w:highlight w:val="none"/>
        </w:rPr>
        <w:t>本项目</w:t>
      </w:r>
      <w:r>
        <w:rPr>
          <w:rFonts w:hint="eastAsia" w:ascii="宋体" w:hAnsi="宋体" w:cs="宋体"/>
          <w:bCs/>
          <w:color w:val="auto"/>
          <w:kern w:val="0"/>
          <w:sz w:val="24"/>
          <w:szCs w:val="24"/>
          <w:highlight w:val="none"/>
          <w:u w:val="single"/>
        </w:rPr>
        <w:t>不可以</w:t>
      </w:r>
      <w:r>
        <w:rPr>
          <w:rFonts w:hint="eastAsia" w:ascii="宋体" w:hAnsi="宋体" w:cs="宋体"/>
          <w:bCs/>
          <w:color w:val="auto"/>
          <w:kern w:val="0"/>
          <w:sz w:val="24"/>
          <w:szCs w:val="24"/>
          <w:highlight w:val="none"/>
        </w:rPr>
        <w:t>将</w:t>
      </w:r>
      <w:r>
        <w:rPr>
          <w:rFonts w:hint="eastAsia" w:ascii="宋体" w:hAnsi="宋体" w:cs="宋体"/>
          <w:color w:val="auto"/>
          <w:kern w:val="0"/>
          <w:sz w:val="24"/>
          <w:szCs w:val="24"/>
          <w:highlight w:val="none"/>
        </w:rPr>
        <w:t>非主体、非关键性工作分包。</w:t>
      </w:r>
    </w:p>
    <w:p>
      <w:pPr>
        <w:tabs>
          <w:tab w:val="left" w:pos="426"/>
        </w:tabs>
        <w:snapToGrid w:val="0"/>
        <w:spacing w:line="360" w:lineRule="exact"/>
        <w:jc w:val="left"/>
        <w:rPr>
          <w:rFonts w:ascii="宋体" w:cs="宋体"/>
          <w:b/>
          <w:bCs/>
          <w:color w:val="auto"/>
          <w:sz w:val="24"/>
          <w:szCs w:val="24"/>
          <w:highlight w:val="none"/>
        </w:rPr>
      </w:pPr>
      <w:bookmarkStart w:id="62" w:name="_Toc254970673"/>
      <w:bookmarkStart w:id="63" w:name="_Toc254970532"/>
      <w:r>
        <w:rPr>
          <w:rFonts w:hint="eastAsia" w:ascii="宋体" w:hAnsi="宋体" w:cs="宋体"/>
          <w:b/>
          <w:bCs/>
          <w:color w:val="auto"/>
          <w:sz w:val="24"/>
          <w:szCs w:val="24"/>
          <w:highlight w:val="none"/>
        </w:rPr>
        <w:t>（七）特别说明：</w:t>
      </w:r>
      <w:bookmarkEnd w:id="62"/>
      <w:bookmarkEnd w:id="63"/>
    </w:p>
    <w:p>
      <w:pPr>
        <w:widowControl/>
        <w:shd w:val="clear" w:color="auto" w:fill="FFFFFF"/>
        <w:spacing w:line="360" w:lineRule="exact"/>
        <w:ind w:firstLine="360" w:firstLineChars="150"/>
        <w:jc w:val="left"/>
        <w:rPr>
          <w:rFonts w:ascii="宋体" w:hAnsi="宋体" w:cs="宋体"/>
          <w:color w:val="auto"/>
          <w:sz w:val="24"/>
          <w:szCs w:val="24"/>
          <w:highlight w:val="none"/>
        </w:rPr>
      </w:pPr>
      <w:bookmarkStart w:id="64" w:name="_Toc254970533"/>
      <w:bookmarkStart w:id="65" w:name="_Toc254970674"/>
      <w:r>
        <w:rPr>
          <w:rFonts w:ascii="宋体" w:hAnsi="宋体" w:cs="宋体"/>
          <w:color w:val="auto"/>
          <w:sz w:val="24"/>
          <w:szCs w:val="24"/>
          <w:highlight w:val="none"/>
        </w:rPr>
        <w:t>1</w:t>
      </w:r>
      <w:r>
        <w:rPr>
          <w:rFonts w:hint="eastAsia" w:ascii="宋体" w:hAnsi="宋体" w:cs="宋体"/>
          <w:color w:val="auto"/>
          <w:sz w:val="24"/>
          <w:szCs w:val="24"/>
          <w:highlight w:val="none"/>
        </w:rPr>
        <w:t>、投标人投标所使用的资格、信誉、荣誉、业绩与企业认证必须为本法人或提供服务的服务商所拥有。投标人投标所使用的采购项目实施人员必须为本法人员工（或必须为本法人或控股公司正式员工）。</w:t>
      </w:r>
    </w:p>
    <w:p>
      <w:pPr>
        <w:widowControl/>
        <w:shd w:val="clear" w:color="auto" w:fill="FFFFFF"/>
        <w:spacing w:line="360" w:lineRule="exact"/>
        <w:ind w:firstLine="360" w:firstLineChars="150"/>
        <w:jc w:val="left"/>
        <w:rPr>
          <w:rFonts w:ascii="宋体" w:cs="宋体"/>
          <w:color w:val="auto"/>
          <w:sz w:val="24"/>
          <w:szCs w:val="24"/>
          <w:highlight w:val="none"/>
        </w:rPr>
      </w:pPr>
      <w:r>
        <w:rPr>
          <w:rFonts w:ascii="宋体" w:hAnsi="宋体" w:cs="宋体"/>
          <w:color w:val="auto"/>
          <w:kern w:val="0"/>
          <w:sz w:val="24"/>
          <w:szCs w:val="24"/>
          <w:highlight w:val="none"/>
        </w:rPr>
        <w:t xml:space="preserve">2. </w:t>
      </w:r>
      <w:r>
        <w:rPr>
          <w:rFonts w:hint="eastAsia" w:ascii="宋体" w:hAnsi="宋体" w:cs="宋体"/>
          <w:color w:val="auto"/>
          <w:sz w:val="24"/>
          <w:szCs w:val="24"/>
          <w:highlight w:val="none"/>
        </w:rPr>
        <w:t>投标人应仔细阅读招标文件的所有内容，按照招标文件的要求提交投标文件，并对所提供的全部资料的真实性承担法律责任。</w:t>
      </w:r>
    </w:p>
    <w:p>
      <w:pPr>
        <w:pStyle w:val="24"/>
        <w:snapToGrid w:val="0"/>
        <w:spacing w:line="360" w:lineRule="exact"/>
        <w:ind w:firstLine="360" w:firstLineChars="150"/>
        <w:rPr>
          <w:rFonts w:hAnsi="宋体" w:cs="Times New Roman"/>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投标人在投标活动中提供任何虚假材料</w:t>
      </w:r>
      <w:r>
        <w:rPr>
          <w:rFonts w:hAnsi="宋体"/>
          <w:color w:val="auto"/>
          <w:sz w:val="24"/>
          <w:szCs w:val="24"/>
          <w:highlight w:val="none"/>
        </w:rPr>
        <w:t>,</w:t>
      </w:r>
      <w:r>
        <w:rPr>
          <w:rFonts w:hint="eastAsia" w:hAnsi="宋体"/>
          <w:color w:val="auto"/>
          <w:sz w:val="24"/>
          <w:szCs w:val="24"/>
          <w:highlight w:val="none"/>
        </w:rPr>
        <w:t>其投标无效，并报监管部门查处；中标后发现的</w:t>
      </w:r>
      <w:r>
        <w:rPr>
          <w:rFonts w:hAnsi="宋体"/>
          <w:color w:val="auto"/>
          <w:sz w:val="24"/>
          <w:szCs w:val="24"/>
          <w:highlight w:val="none"/>
        </w:rPr>
        <w:t>,</w:t>
      </w:r>
      <w:r>
        <w:rPr>
          <w:rFonts w:hint="eastAsia" w:hAnsi="宋体"/>
          <w:color w:val="auto"/>
          <w:sz w:val="24"/>
          <w:szCs w:val="24"/>
          <w:highlight w:val="none"/>
        </w:rPr>
        <w:t>中标人须依照《中华人民共和国消费者权益保护法》第</w:t>
      </w:r>
      <w:r>
        <w:rPr>
          <w:rFonts w:hAnsi="宋体"/>
          <w:color w:val="auto"/>
          <w:sz w:val="24"/>
          <w:szCs w:val="24"/>
          <w:highlight w:val="none"/>
        </w:rPr>
        <w:t>49</w:t>
      </w:r>
      <w:r>
        <w:rPr>
          <w:rFonts w:hint="eastAsia" w:hAnsi="宋体"/>
          <w:color w:val="auto"/>
          <w:sz w:val="24"/>
          <w:szCs w:val="24"/>
          <w:highlight w:val="none"/>
        </w:rPr>
        <w:t>条之规定双倍赔偿采购人，且民事赔偿并不免除违法投标人的行政与刑事责任。</w:t>
      </w:r>
    </w:p>
    <w:p>
      <w:pPr>
        <w:pStyle w:val="24"/>
        <w:spacing w:line="360" w:lineRule="exact"/>
        <w:ind w:firstLine="360" w:firstLineChars="150"/>
        <w:rPr>
          <w:rFonts w:hAnsi="宋体" w:cs="Times New Roman"/>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投标截止时间结束后参加投标的供应商不足三家的</w:t>
      </w:r>
      <w:r>
        <w:rPr>
          <w:rFonts w:hAnsi="宋体"/>
          <w:color w:val="auto"/>
          <w:sz w:val="24"/>
          <w:szCs w:val="24"/>
          <w:highlight w:val="none"/>
        </w:rPr>
        <w:t>,</w:t>
      </w:r>
      <w:r>
        <w:rPr>
          <w:rFonts w:hint="eastAsia" w:hAnsi="宋体"/>
          <w:color w:val="auto"/>
          <w:sz w:val="24"/>
          <w:szCs w:val="24"/>
          <w:highlight w:val="none"/>
        </w:rPr>
        <w:t>不予开标，此时将按《政府采购货物和服务招标投标管理办法》（中华人民共和国财政部第</w:t>
      </w:r>
      <w:r>
        <w:rPr>
          <w:rFonts w:hAnsi="宋体"/>
          <w:color w:val="auto"/>
          <w:sz w:val="24"/>
          <w:szCs w:val="24"/>
          <w:highlight w:val="none"/>
        </w:rPr>
        <w:t>87</w:t>
      </w:r>
      <w:r>
        <w:rPr>
          <w:rFonts w:hint="eastAsia" w:hAnsi="宋体"/>
          <w:color w:val="auto"/>
          <w:sz w:val="24"/>
          <w:szCs w:val="24"/>
          <w:highlight w:val="none"/>
        </w:rPr>
        <w:t>号令）第</w:t>
      </w:r>
      <w:r>
        <w:rPr>
          <w:rFonts w:hAnsi="宋体"/>
          <w:color w:val="auto"/>
          <w:sz w:val="24"/>
          <w:szCs w:val="24"/>
          <w:highlight w:val="none"/>
        </w:rPr>
        <w:t>43</w:t>
      </w:r>
      <w:r>
        <w:rPr>
          <w:rFonts w:hint="eastAsia" w:hAnsi="宋体"/>
          <w:color w:val="auto"/>
          <w:sz w:val="24"/>
          <w:szCs w:val="24"/>
          <w:highlight w:val="none"/>
        </w:rPr>
        <w:t>条的有关规定进行办理。</w:t>
      </w:r>
    </w:p>
    <w:p>
      <w:pPr>
        <w:pStyle w:val="24"/>
        <w:spacing w:line="360" w:lineRule="exact"/>
        <w:ind w:firstLine="480" w:firstLineChars="200"/>
        <w:rPr>
          <w:rFonts w:hAnsi="宋体" w:cs="Times New Roman"/>
          <w:color w:val="auto"/>
          <w:sz w:val="24"/>
          <w:szCs w:val="24"/>
          <w:highlight w:val="none"/>
        </w:rPr>
      </w:pPr>
      <w:r>
        <w:rPr>
          <w:rFonts w:hint="eastAsia" w:hAnsi="宋体"/>
          <w:color w:val="auto"/>
          <w:kern w:val="0"/>
          <w:sz w:val="24"/>
          <w:szCs w:val="24"/>
          <w:highlight w:val="none"/>
        </w:rPr>
        <w:t>通过资格审查或符合性审查的投标人不足</w:t>
      </w:r>
      <w:r>
        <w:rPr>
          <w:rFonts w:hAnsi="宋体"/>
          <w:color w:val="auto"/>
          <w:kern w:val="0"/>
          <w:sz w:val="24"/>
          <w:szCs w:val="24"/>
          <w:highlight w:val="none"/>
        </w:rPr>
        <w:t>3</w:t>
      </w:r>
      <w:r>
        <w:rPr>
          <w:rFonts w:hint="eastAsia" w:hAnsi="宋体"/>
          <w:color w:val="auto"/>
          <w:kern w:val="0"/>
          <w:sz w:val="24"/>
          <w:szCs w:val="24"/>
          <w:highlight w:val="none"/>
        </w:rPr>
        <w:t>家的</w:t>
      </w:r>
      <w:r>
        <w:rPr>
          <w:rFonts w:hint="eastAsia" w:hAnsi="宋体"/>
          <w:color w:val="auto"/>
          <w:sz w:val="24"/>
          <w:szCs w:val="24"/>
          <w:highlight w:val="none"/>
        </w:rPr>
        <w:t>将按《政府采购货物和服务招标投标管理办法》（中华人民共和国财政部第</w:t>
      </w:r>
      <w:r>
        <w:rPr>
          <w:rFonts w:hAnsi="宋体"/>
          <w:color w:val="auto"/>
          <w:sz w:val="24"/>
          <w:szCs w:val="24"/>
          <w:highlight w:val="none"/>
        </w:rPr>
        <w:t>87</w:t>
      </w:r>
      <w:r>
        <w:rPr>
          <w:rFonts w:hint="eastAsia" w:hAnsi="宋体"/>
          <w:color w:val="auto"/>
          <w:sz w:val="24"/>
          <w:szCs w:val="24"/>
          <w:highlight w:val="none"/>
        </w:rPr>
        <w:t>号令）第</w:t>
      </w:r>
      <w:r>
        <w:rPr>
          <w:rFonts w:hAnsi="宋体"/>
          <w:color w:val="auto"/>
          <w:sz w:val="24"/>
          <w:szCs w:val="24"/>
          <w:highlight w:val="none"/>
        </w:rPr>
        <w:t>43</w:t>
      </w:r>
      <w:r>
        <w:rPr>
          <w:rFonts w:hint="eastAsia" w:hAnsi="宋体"/>
          <w:color w:val="auto"/>
          <w:sz w:val="24"/>
          <w:szCs w:val="24"/>
          <w:highlight w:val="none"/>
        </w:rPr>
        <w:t>条的有关规定执行。</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5.</w:t>
      </w:r>
      <w:r>
        <w:rPr>
          <w:rFonts w:hint="eastAsia" w:ascii="宋体" w:hAnsi="宋体" w:cs="宋体"/>
          <w:color w:val="auto"/>
          <w:kern w:val="0"/>
          <w:sz w:val="24"/>
          <w:szCs w:val="24"/>
          <w:highlight w:val="none"/>
          <w:lang w:val="zh-CN"/>
        </w:rPr>
        <w:t>有下列情形之一的视为投标人相互串通，投标文件将视为无效：</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）不同投标人的投标文件由同一单位或者个人编制；</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）不同投标人委托同一单位或者个人办理投标事宜</w:t>
      </w:r>
      <w:r>
        <w:rPr>
          <w:rFonts w:ascii="宋体" w:hAnsi="宋体" w:cs="宋体"/>
          <w:color w:val="auto"/>
          <w:kern w:val="0"/>
          <w:sz w:val="24"/>
          <w:szCs w:val="24"/>
          <w:highlight w:val="none"/>
        </w:rPr>
        <w:t>;</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）不同的投标人的投标文件载明的项目管理员为同一个人</w:t>
      </w:r>
      <w:r>
        <w:rPr>
          <w:rFonts w:ascii="宋体" w:hAnsi="宋体" w:cs="宋体"/>
          <w:color w:val="auto"/>
          <w:kern w:val="0"/>
          <w:sz w:val="24"/>
          <w:szCs w:val="24"/>
          <w:highlight w:val="none"/>
        </w:rPr>
        <w:t>;</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）不同投标人的投标文件异常一致或投标报价呈规律性差异</w:t>
      </w:r>
      <w:r>
        <w:rPr>
          <w:rFonts w:ascii="宋体" w:hAnsi="宋体" w:cs="宋体"/>
          <w:color w:val="auto"/>
          <w:kern w:val="0"/>
          <w:sz w:val="24"/>
          <w:szCs w:val="24"/>
          <w:highlight w:val="none"/>
        </w:rPr>
        <w:t>;</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）不同投标人的投标文件相互混装</w:t>
      </w:r>
      <w:r>
        <w:rPr>
          <w:rFonts w:ascii="宋体" w:hAnsi="宋体" w:cs="宋体"/>
          <w:color w:val="auto"/>
          <w:kern w:val="0"/>
          <w:sz w:val="24"/>
          <w:szCs w:val="24"/>
          <w:highlight w:val="none"/>
        </w:rPr>
        <w:t>;</w:t>
      </w:r>
    </w:p>
    <w:p>
      <w:pPr>
        <w:pStyle w:val="24"/>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（八）质疑和投诉</w:t>
      </w:r>
      <w:bookmarkEnd w:id="64"/>
      <w:bookmarkEnd w:id="65"/>
    </w:p>
    <w:p>
      <w:pPr>
        <w:pStyle w:val="24"/>
        <w:snapToGrid w:val="0"/>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4"/>
        <w:snapToGrid w:val="0"/>
        <w:spacing w:line="360" w:lineRule="exact"/>
        <w:ind w:firstLine="352" w:firstLineChars="147"/>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1</w:t>
      </w:r>
      <w:r>
        <w:rPr>
          <w:rFonts w:hint="eastAsia" w:hAnsi="宋体"/>
          <w:color w:val="auto"/>
          <w:sz w:val="24"/>
          <w:szCs w:val="24"/>
          <w:highlight w:val="none"/>
        </w:rPr>
        <w:t>）对可以质疑的招标采购文件提出质疑的，为公告届满之日；</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）对招标采购过程提出质疑的，为各采购程序环节结束之日；</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）对中标结果提出质疑的，为中标结果公告期限届满之日。</w:t>
      </w:r>
    </w:p>
    <w:p>
      <w:pPr>
        <w:adjustRightInd w:val="0"/>
        <w:spacing w:line="360" w:lineRule="exact"/>
        <w:ind w:firstLine="480" w:firstLineChars="200"/>
        <w:rPr>
          <w:rFonts w:ascii="宋体" w:cs="宋体"/>
          <w:color w:val="auto"/>
          <w:kern w:val="0"/>
          <w:sz w:val="24"/>
          <w:szCs w:val="24"/>
          <w:highlight w:val="none"/>
        </w:rPr>
      </w:pPr>
      <w:r>
        <w:rPr>
          <w:rFonts w:ascii="宋体" w:hAnsi="宋体" w:cs="宋体"/>
          <w:color w:val="auto"/>
          <w:sz w:val="24"/>
          <w:szCs w:val="24"/>
          <w:highlight w:val="none"/>
        </w:rPr>
        <w:t>2.</w:t>
      </w:r>
      <w:r>
        <w:rPr>
          <w:rFonts w:hint="eastAsia" w:ascii="宋体" w:hAnsi="宋体" w:cs="宋体"/>
          <w:color w:val="auto"/>
          <w:kern w:val="0"/>
          <w:sz w:val="24"/>
          <w:szCs w:val="24"/>
          <w:highlight w:val="none"/>
          <w:lang w:val="zh-CN"/>
        </w:rPr>
        <w:t>供应商</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时，应当提交</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函和必要的证明材料，</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函应当包括下列主要内容：</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1</w:t>
      </w:r>
      <w:r>
        <w:rPr>
          <w:rFonts w:hint="eastAsia" w:hAnsi="宋体"/>
          <w:color w:val="auto"/>
          <w:sz w:val="24"/>
          <w:szCs w:val="24"/>
          <w:highlight w:val="none"/>
        </w:rPr>
        <w:t>）供应商的姓名或者名称、地址、邮编、联系人及联系电话；</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）质疑项目的名称、编号；</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）具体、明确的质疑事项和与质疑事项相关的请求；</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4</w:t>
      </w:r>
      <w:r>
        <w:rPr>
          <w:rFonts w:hint="eastAsia" w:hAnsi="宋体"/>
          <w:color w:val="auto"/>
          <w:sz w:val="24"/>
          <w:szCs w:val="24"/>
          <w:highlight w:val="none"/>
        </w:rPr>
        <w:t>）事实依据；</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5</w:t>
      </w:r>
      <w:r>
        <w:rPr>
          <w:rFonts w:hint="eastAsia" w:hAnsi="宋体"/>
          <w:color w:val="auto"/>
          <w:sz w:val="24"/>
          <w:szCs w:val="24"/>
          <w:highlight w:val="none"/>
        </w:rPr>
        <w:t>）必要的法律依据；</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6</w:t>
      </w:r>
      <w:r>
        <w:rPr>
          <w:rFonts w:hint="eastAsia" w:hAnsi="宋体"/>
          <w:color w:val="auto"/>
          <w:sz w:val="24"/>
          <w:szCs w:val="24"/>
          <w:highlight w:val="none"/>
        </w:rPr>
        <w:t>）提出质疑的日期。</w:t>
      </w:r>
    </w:p>
    <w:p>
      <w:pPr>
        <w:spacing w:line="360" w:lineRule="exact"/>
        <w:ind w:firstLine="480" w:firstLineChars="200"/>
        <w:rPr>
          <w:rFonts w:ascii="宋体" w:cs="宋体"/>
          <w:color w:val="auto"/>
          <w:kern w:val="0"/>
          <w:sz w:val="24"/>
          <w:szCs w:val="24"/>
          <w:highlight w:val="none"/>
        </w:rPr>
      </w:pP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函应当署名。</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供应商为自然人的，应当由本人签字；</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供应商为法人或者其他组织的，应当由法定代表人、主要负责人或者其授权代表签字或者盖章，并加盖公章。</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供应商可以委托代理人办理</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事务。代理人办理</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事务时，除提交</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函外，还应当提交</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供应商的授权委托书原件，</w:t>
      </w:r>
      <w:r>
        <w:rPr>
          <w:rFonts w:hint="eastAsia" w:ascii="宋体" w:hAnsi="宋体" w:cs="宋体"/>
          <w:color w:val="auto"/>
          <w:kern w:val="0"/>
          <w:sz w:val="24"/>
          <w:szCs w:val="24"/>
          <w:highlight w:val="none"/>
        </w:rPr>
        <w:t>授权委托书应载明代理人的姓名或者名称、代理事项、具体权限、期限和相关事项。</w:t>
      </w:r>
    </w:p>
    <w:p>
      <w:pPr>
        <w:spacing w:line="360" w:lineRule="exact"/>
        <w:ind w:firstLine="480" w:firstLineChars="200"/>
        <w:rPr>
          <w:rFonts w:ascii="宋体" w:cs="宋体"/>
          <w:color w:val="auto"/>
          <w:kern w:val="0"/>
          <w:sz w:val="24"/>
          <w:szCs w:val="24"/>
          <w:highlight w:val="none"/>
          <w:lang w:val="zh-CN"/>
        </w:rPr>
      </w:pPr>
      <w:r>
        <w:rPr>
          <w:rFonts w:ascii="宋体" w:hAnsi="宋体" w:cs="宋体"/>
          <w:color w:val="auto"/>
          <w:kern w:val="0"/>
          <w:sz w:val="24"/>
          <w:szCs w:val="24"/>
          <w:highlight w:val="none"/>
        </w:rPr>
        <w:t>3.</w:t>
      </w:r>
      <w:r>
        <w:rPr>
          <w:rFonts w:hint="eastAsia" w:ascii="宋体" w:hAnsi="宋体" w:cs="宋体"/>
          <w:color w:val="auto"/>
          <w:sz w:val="24"/>
          <w:szCs w:val="24"/>
          <w:highlight w:val="none"/>
        </w:rPr>
        <w:t>投标人对招标采购单位的质疑答复不满意或者招标采购单位未在规定时间内做出答复的，可以在答复期满后十五个工作日内向同级采购监管部门投诉。</w:t>
      </w:r>
    </w:p>
    <w:p>
      <w:pPr>
        <w:pStyle w:val="24"/>
        <w:snapToGrid w:val="0"/>
        <w:spacing w:line="360" w:lineRule="exact"/>
        <w:ind w:firstLine="472" w:firstLineChars="196"/>
        <w:jc w:val="center"/>
        <w:rPr>
          <w:rFonts w:hAnsi="宋体" w:cs="Times New Roman"/>
          <w:b/>
          <w:bCs/>
          <w:color w:val="auto"/>
          <w:sz w:val="24"/>
          <w:szCs w:val="24"/>
          <w:highlight w:val="none"/>
        </w:rPr>
      </w:pPr>
      <w:bookmarkStart w:id="66" w:name="_Toc254970534"/>
      <w:bookmarkStart w:id="67" w:name="_Toc254970675"/>
    </w:p>
    <w:p>
      <w:pPr>
        <w:pStyle w:val="24"/>
        <w:snapToGrid w:val="0"/>
        <w:spacing w:line="360" w:lineRule="exact"/>
        <w:ind w:firstLine="630" w:firstLineChars="196"/>
        <w:jc w:val="center"/>
        <w:rPr>
          <w:rFonts w:hAnsi="宋体" w:cs="Times New Roman"/>
          <w:b/>
          <w:bCs/>
          <w:color w:val="auto"/>
          <w:sz w:val="32"/>
          <w:szCs w:val="32"/>
          <w:highlight w:val="none"/>
        </w:rPr>
      </w:pPr>
      <w:r>
        <w:rPr>
          <w:rFonts w:hint="eastAsia" w:hAnsi="宋体"/>
          <w:b/>
          <w:bCs/>
          <w:color w:val="auto"/>
          <w:sz w:val="32"/>
          <w:szCs w:val="32"/>
          <w:highlight w:val="none"/>
        </w:rPr>
        <w:t>二、招标文件</w:t>
      </w:r>
      <w:bookmarkEnd w:id="66"/>
      <w:bookmarkEnd w:id="67"/>
    </w:p>
    <w:p>
      <w:pPr>
        <w:snapToGrid w:val="0"/>
        <w:spacing w:line="360" w:lineRule="exact"/>
        <w:jc w:val="left"/>
        <w:rPr>
          <w:rFonts w:ascii="宋体" w:cs="宋体"/>
          <w:b/>
          <w:bCs/>
          <w:color w:val="auto"/>
          <w:sz w:val="24"/>
          <w:szCs w:val="24"/>
          <w:highlight w:val="none"/>
        </w:rPr>
      </w:pPr>
      <w:r>
        <w:rPr>
          <w:rFonts w:hint="eastAsia" w:ascii="宋体" w:hAnsi="宋体" w:cs="宋体"/>
          <w:b/>
          <w:bCs/>
          <w:color w:val="auto"/>
          <w:sz w:val="24"/>
          <w:szCs w:val="24"/>
          <w:highlight w:val="none"/>
        </w:rPr>
        <w:t>（一）招标文件的组成：</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1</w:t>
      </w:r>
      <w:r>
        <w:rPr>
          <w:rFonts w:hint="eastAsia" w:ascii="宋体" w:hAnsi="宋体" w:cs="宋体"/>
          <w:color w:val="auto"/>
          <w:kern w:val="0"/>
          <w:sz w:val="24"/>
          <w:szCs w:val="24"/>
          <w:highlight w:val="none"/>
          <w:lang w:val="zh-CN"/>
        </w:rPr>
        <w:t>、公开招标公告</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2</w:t>
      </w:r>
      <w:r>
        <w:rPr>
          <w:rFonts w:hint="eastAsia" w:ascii="宋体" w:hAnsi="宋体" w:cs="宋体"/>
          <w:color w:val="auto"/>
          <w:kern w:val="0"/>
          <w:sz w:val="24"/>
          <w:szCs w:val="24"/>
          <w:highlight w:val="none"/>
          <w:lang w:val="zh-CN"/>
        </w:rPr>
        <w:t>、招标项目采购需求</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3</w:t>
      </w:r>
      <w:r>
        <w:rPr>
          <w:rFonts w:hint="eastAsia" w:ascii="宋体" w:hAnsi="宋体" w:cs="宋体"/>
          <w:color w:val="auto"/>
          <w:kern w:val="0"/>
          <w:sz w:val="24"/>
          <w:szCs w:val="24"/>
          <w:highlight w:val="none"/>
          <w:lang w:val="zh-CN"/>
        </w:rPr>
        <w:t>、投标人须知</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4</w:t>
      </w:r>
      <w:r>
        <w:rPr>
          <w:rFonts w:hint="eastAsia" w:ascii="宋体" w:hAnsi="宋体" w:cs="宋体"/>
          <w:color w:val="auto"/>
          <w:kern w:val="0"/>
          <w:sz w:val="24"/>
          <w:szCs w:val="24"/>
          <w:highlight w:val="none"/>
          <w:lang w:val="zh-CN"/>
        </w:rPr>
        <w:t>、评标办法及评分标准</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5</w:t>
      </w:r>
      <w:r>
        <w:rPr>
          <w:rFonts w:hint="eastAsia" w:ascii="宋体" w:hAnsi="宋体" w:cs="宋体"/>
          <w:color w:val="auto"/>
          <w:kern w:val="0"/>
          <w:sz w:val="24"/>
          <w:szCs w:val="24"/>
          <w:highlight w:val="none"/>
          <w:lang w:val="zh-CN"/>
        </w:rPr>
        <w:t>、合同主要条款格式</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6</w:t>
      </w:r>
      <w:r>
        <w:rPr>
          <w:rFonts w:hint="eastAsia" w:ascii="宋体" w:hAnsi="宋体" w:cs="宋体"/>
          <w:color w:val="auto"/>
          <w:kern w:val="0"/>
          <w:sz w:val="24"/>
          <w:szCs w:val="24"/>
          <w:highlight w:val="none"/>
          <w:lang w:val="zh-CN"/>
        </w:rPr>
        <w:t>、投标文件格式</w:t>
      </w:r>
    </w:p>
    <w:p>
      <w:pPr>
        <w:snapToGrid w:val="0"/>
        <w:spacing w:line="360" w:lineRule="exact"/>
        <w:jc w:val="left"/>
        <w:rPr>
          <w:rFonts w:ascii="宋体" w:cs="宋体"/>
          <w:b/>
          <w:bCs/>
          <w:color w:val="auto"/>
          <w:sz w:val="24"/>
          <w:szCs w:val="24"/>
          <w:highlight w:val="none"/>
        </w:rPr>
      </w:pPr>
      <w:r>
        <w:rPr>
          <w:rFonts w:hint="eastAsia" w:ascii="宋体" w:hAnsi="宋体" w:cs="宋体"/>
          <w:b/>
          <w:bCs/>
          <w:color w:val="auto"/>
          <w:sz w:val="24"/>
          <w:szCs w:val="24"/>
          <w:highlight w:val="none"/>
        </w:rPr>
        <w:t>（二）投标人的风险</w:t>
      </w:r>
    </w:p>
    <w:p>
      <w:pPr>
        <w:pStyle w:val="31"/>
        <w:spacing w:after="0" w:line="360" w:lineRule="exact"/>
        <w:ind w:left="0" w:leftChars="0" w:firstLine="480" w:firstLineChars="200"/>
        <w:rPr>
          <w:rFonts w:ascii="宋体" w:cs="宋体"/>
          <w:color w:val="auto"/>
          <w:sz w:val="24"/>
          <w:szCs w:val="24"/>
          <w:highlight w:val="none"/>
        </w:rPr>
      </w:pPr>
      <w:r>
        <w:rPr>
          <w:rFonts w:hint="eastAsia" w:ascii="宋体" w:hAnsi="宋体" w:cs="宋体"/>
          <w:color w:val="auto"/>
          <w:sz w:val="24"/>
          <w:szCs w:val="24"/>
          <w:highlight w:val="none"/>
        </w:rPr>
        <w:t>投标人没有按照招标文件要求提供全部资料，或者投标人没有对招标文件在各方面做出实质性响应是投标人的风险，并可能导致其投标被拒绝。</w:t>
      </w:r>
    </w:p>
    <w:p>
      <w:pPr>
        <w:pStyle w:val="13"/>
        <w:widowControl w:val="0"/>
        <w:tabs>
          <w:tab w:val="clear" w:pos="840"/>
          <w:tab w:val="clear" w:pos="900"/>
        </w:tabs>
        <w:snapToGrid w:val="0"/>
        <w:spacing w:afterLines="0" w:line="360" w:lineRule="exact"/>
        <w:ind w:left="0" w:firstLine="0"/>
        <w:rPr>
          <w:rFonts w:ascii="宋体" w:hAnsi="宋体" w:cs="宋体"/>
          <w:b/>
          <w:bCs/>
          <w:color w:val="auto"/>
          <w:highlight w:val="none"/>
        </w:rPr>
      </w:pPr>
      <w:r>
        <w:rPr>
          <w:rFonts w:hint="eastAsia" w:ascii="宋体" w:hAnsi="宋体" w:cs="宋体"/>
          <w:b/>
          <w:bCs/>
          <w:color w:val="auto"/>
          <w:highlight w:val="none"/>
        </w:rPr>
        <w:t>（三）招标文件的澄清与修改</w:t>
      </w:r>
    </w:p>
    <w:p>
      <w:pPr>
        <w:spacing w:line="360" w:lineRule="exact"/>
        <w:ind w:firstLine="480" w:firstLineChars="200"/>
        <w:rPr>
          <w:rFonts w:ascii="宋体" w:cs="宋体"/>
          <w:color w:val="auto"/>
          <w:sz w:val="24"/>
          <w:szCs w:val="24"/>
          <w:highlight w:val="none"/>
        </w:rPr>
      </w:pPr>
      <w:bookmarkStart w:id="68" w:name="_Toc254970535"/>
      <w:bookmarkStart w:id="69" w:name="_Toc254970676"/>
      <w:r>
        <w:rPr>
          <w:rFonts w:ascii="宋体" w:hAnsi="宋体" w:cs="宋体"/>
          <w:color w:val="auto"/>
          <w:sz w:val="24"/>
          <w:szCs w:val="24"/>
          <w:highlight w:val="none"/>
        </w:rPr>
        <w:t xml:space="preserve">1. </w:t>
      </w:r>
      <w:r>
        <w:rPr>
          <w:rFonts w:hint="eastAsia" w:ascii="宋体" w:hAnsi="宋体" w:cs="宋体"/>
          <w:color w:val="auto"/>
          <w:sz w:val="24"/>
          <w:szCs w:val="24"/>
          <w:highlight w:val="none"/>
        </w:rPr>
        <w:t>投标人应认真阅读本招标文件，发现其中有误或有不合理要求的，投标人应当于</w:t>
      </w:r>
      <w:r>
        <w:rPr>
          <w:rFonts w:hint="eastAsia" w:hAnsi="宋体" w:cs="宋体"/>
          <w:color w:val="auto"/>
          <w:sz w:val="24"/>
          <w:szCs w:val="24"/>
          <w:highlight w:val="none"/>
        </w:rPr>
        <w:t>公告届满之日起</w:t>
      </w:r>
      <w:r>
        <w:rPr>
          <w:rFonts w:hAnsi="宋体"/>
          <w:color w:val="auto"/>
          <w:sz w:val="24"/>
          <w:szCs w:val="24"/>
          <w:highlight w:val="none"/>
        </w:rPr>
        <w:t>7</w:t>
      </w:r>
      <w:r>
        <w:rPr>
          <w:rFonts w:hint="eastAsia" w:hAnsi="宋体" w:cs="宋体"/>
          <w:color w:val="auto"/>
          <w:sz w:val="24"/>
          <w:szCs w:val="24"/>
          <w:highlight w:val="none"/>
        </w:rPr>
        <w:t>个工作日前</w:t>
      </w:r>
      <w:r>
        <w:rPr>
          <w:rFonts w:hint="eastAsia" w:ascii="宋体" w:hAnsi="宋体" w:cs="宋体"/>
          <w:color w:val="auto"/>
          <w:sz w:val="24"/>
          <w:szCs w:val="24"/>
          <w:highlight w:val="none"/>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内容可能影响投标文件编制的，采购人或者采购代理机构应当在投标截止时间至少</w:t>
      </w:r>
      <w:r>
        <w:rPr>
          <w:rFonts w:ascii="宋体" w:hAnsi="宋体" w:cs="宋体"/>
          <w:color w:val="auto"/>
          <w:sz w:val="24"/>
          <w:szCs w:val="24"/>
          <w:highlight w:val="none"/>
        </w:rPr>
        <w:t>15</w:t>
      </w:r>
      <w:r>
        <w:rPr>
          <w:rFonts w:hint="eastAsia" w:ascii="宋体" w:hAnsi="宋体" w:cs="宋体"/>
          <w:color w:val="auto"/>
          <w:sz w:val="24"/>
          <w:szCs w:val="24"/>
          <w:highlight w:val="none"/>
        </w:rPr>
        <w:t>日前发出；不足</w:t>
      </w:r>
      <w:r>
        <w:rPr>
          <w:rFonts w:ascii="宋体" w:hAnsi="宋体" w:cs="宋体"/>
          <w:color w:val="auto"/>
          <w:sz w:val="24"/>
          <w:szCs w:val="24"/>
          <w:highlight w:val="none"/>
        </w:rPr>
        <w:t>15</w:t>
      </w:r>
      <w:r>
        <w:rPr>
          <w:rFonts w:hint="eastAsia" w:ascii="宋体" w:hAnsi="宋体" w:cs="宋体"/>
          <w:color w:val="auto"/>
          <w:sz w:val="24"/>
          <w:szCs w:val="24"/>
          <w:highlight w:val="none"/>
        </w:rPr>
        <w:t>日的，采购人或者采购代理机构应当顺延提交投标文件的截止时间。</w:t>
      </w:r>
    </w:p>
    <w:p>
      <w:pPr>
        <w:pStyle w:val="24"/>
        <w:snapToGrid w:val="0"/>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招标文件澄清、答复、修改、补充的内容为招标文件的组成部分。当招标文件与招标文件的答复、澄清、修改、补充通知就同一内容的表述不一致时，以最后发出的文件为准。</w:t>
      </w:r>
    </w:p>
    <w:p>
      <w:pPr>
        <w:pStyle w:val="24"/>
        <w:snapToGrid w:val="0"/>
        <w:spacing w:line="360" w:lineRule="exact"/>
        <w:ind w:firstLine="480" w:firstLineChars="200"/>
        <w:rPr>
          <w:rFonts w:hAnsi="宋体" w:cs="Times New Roman"/>
          <w:color w:val="auto"/>
          <w:sz w:val="24"/>
          <w:szCs w:val="24"/>
          <w:highlight w:val="none"/>
        </w:rPr>
      </w:pPr>
    </w:p>
    <w:p>
      <w:pPr>
        <w:pStyle w:val="24"/>
        <w:snapToGrid w:val="0"/>
        <w:spacing w:line="360" w:lineRule="exact"/>
        <w:ind w:firstLine="630" w:firstLineChars="196"/>
        <w:jc w:val="center"/>
        <w:rPr>
          <w:rFonts w:hAnsi="宋体" w:cs="Times New Roman"/>
          <w:b/>
          <w:bCs/>
          <w:color w:val="auto"/>
          <w:sz w:val="32"/>
          <w:szCs w:val="32"/>
          <w:highlight w:val="none"/>
        </w:rPr>
      </w:pPr>
      <w:r>
        <w:rPr>
          <w:rFonts w:hint="eastAsia" w:hAnsi="宋体"/>
          <w:b/>
          <w:bCs/>
          <w:color w:val="auto"/>
          <w:sz w:val="32"/>
          <w:szCs w:val="32"/>
          <w:highlight w:val="none"/>
        </w:rPr>
        <w:t>三、投标文件</w:t>
      </w:r>
      <w:bookmarkEnd w:id="68"/>
      <w:bookmarkEnd w:id="69"/>
    </w:p>
    <w:p>
      <w:pPr>
        <w:snapToGrid w:val="0"/>
        <w:spacing w:line="360" w:lineRule="exact"/>
        <w:jc w:val="left"/>
        <w:rPr>
          <w:rFonts w:ascii="宋体" w:cs="宋体"/>
          <w:b/>
          <w:bCs/>
          <w:color w:val="auto"/>
          <w:sz w:val="24"/>
          <w:szCs w:val="24"/>
          <w:highlight w:val="none"/>
        </w:rPr>
      </w:pPr>
      <w:bookmarkStart w:id="70" w:name="_Toc254970677"/>
      <w:bookmarkStart w:id="71" w:name="_Toc254970536"/>
      <w:r>
        <w:rPr>
          <w:rFonts w:hint="eastAsia" w:ascii="宋体" w:hAnsi="宋体" w:cs="宋体"/>
          <w:b/>
          <w:bCs/>
          <w:color w:val="auto"/>
          <w:sz w:val="24"/>
          <w:szCs w:val="24"/>
          <w:highlight w:val="none"/>
        </w:rPr>
        <w:t>（一）投标文件的组成</w:t>
      </w:r>
      <w:bookmarkEnd w:id="70"/>
      <w:bookmarkEnd w:id="71"/>
    </w:p>
    <w:p>
      <w:pPr>
        <w:tabs>
          <w:tab w:val="left" w:pos="3870"/>
          <w:tab w:val="left" w:pos="4085"/>
        </w:tabs>
        <w:snapToGrid w:val="0"/>
        <w:spacing w:line="360" w:lineRule="exact"/>
        <w:ind w:firstLine="480" w:firstLineChars="200"/>
        <w:jc w:val="left"/>
        <w:rPr>
          <w:rFonts w:ascii="宋体" w:cs="宋体"/>
          <w:b/>
          <w:bCs/>
          <w:color w:val="auto"/>
          <w:sz w:val="24"/>
          <w:szCs w:val="24"/>
          <w:highlight w:val="none"/>
        </w:rPr>
      </w:pPr>
      <w:r>
        <w:rPr>
          <w:rFonts w:hint="eastAsia" w:ascii="宋体" w:hAnsi="宋体" w:cs="宋体"/>
          <w:color w:val="auto"/>
          <w:sz w:val="24"/>
          <w:szCs w:val="24"/>
          <w:highlight w:val="none"/>
        </w:rPr>
        <w:t>投标文件由资格审查文件、商务文件、技术文件、投标报价文件组成。</w:t>
      </w:r>
    </w:p>
    <w:p>
      <w:pPr>
        <w:spacing w:line="360" w:lineRule="exact"/>
        <w:ind w:left="141" w:leftChars="67"/>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资格审查文件（必须提供）</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1</w:t>
      </w:r>
      <w:r>
        <w:rPr>
          <w:rFonts w:hint="eastAsia" w:hAnsi="宋体"/>
          <w:color w:val="auto"/>
          <w:sz w:val="24"/>
          <w:szCs w:val="24"/>
          <w:highlight w:val="none"/>
        </w:rPr>
        <w:t>）法人或者其他组织的营业执照复印件等证明文件复印件，（投标人属自然人的提供自然人的身份证明）。</w:t>
      </w:r>
    </w:p>
    <w:p>
      <w:pPr>
        <w:pStyle w:val="24"/>
        <w:snapToGrid w:val="0"/>
        <w:spacing w:line="360" w:lineRule="exact"/>
        <w:ind w:firstLine="354" w:firstLineChars="147"/>
        <w:rPr>
          <w:rFonts w:hAnsi="宋体" w:cs="Times New Roman"/>
          <w:b/>
          <w:bCs/>
          <w:color w:val="auto"/>
          <w:sz w:val="24"/>
          <w:szCs w:val="24"/>
          <w:highlight w:val="none"/>
        </w:rPr>
      </w:pPr>
      <w:r>
        <w:rPr>
          <w:rFonts w:hint="eastAsia" w:hAnsi="宋体"/>
          <w:b/>
          <w:bCs/>
          <w:color w:val="auto"/>
          <w:sz w:val="24"/>
          <w:szCs w:val="24"/>
          <w:highlight w:val="none"/>
        </w:rPr>
        <w:t>注：</w:t>
      </w:r>
      <w:r>
        <w:rPr>
          <w:rFonts w:hAnsi="宋体"/>
          <w:b/>
          <w:bCs/>
          <w:color w:val="auto"/>
          <w:sz w:val="24"/>
          <w:szCs w:val="24"/>
          <w:highlight w:val="none"/>
        </w:rPr>
        <w:fldChar w:fldCharType="begin"/>
      </w:r>
      <w:r>
        <w:rPr>
          <w:rFonts w:hAnsi="宋体"/>
          <w:b/>
          <w:bCs/>
          <w:color w:val="auto"/>
          <w:sz w:val="24"/>
          <w:szCs w:val="24"/>
          <w:highlight w:val="none"/>
        </w:rPr>
        <w:instrText xml:space="preserve"> eq \o\ac(</w:instrText>
      </w:r>
      <w:r>
        <w:rPr>
          <w:rFonts w:hint="eastAsia" w:hAnsi="宋体"/>
          <w:b/>
          <w:bCs/>
          <w:color w:val="auto"/>
          <w:sz w:val="24"/>
          <w:szCs w:val="24"/>
          <w:highlight w:val="none"/>
        </w:rPr>
        <w:instrText xml:space="preserve">○</w:instrText>
      </w:r>
      <w:r>
        <w:rPr>
          <w:rFonts w:hAnsi="宋体"/>
          <w:b/>
          <w:bCs/>
          <w:color w:val="auto"/>
          <w:sz w:val="24"/>
          <w:szCs w:val="24"/>
          <w:highlight w:val="none"/>
        </w:rPr>
        <w:instrText xml:space="preserve">,</w:instrText>
      </w:r>
      <w:r>
        <w:rPr>
          <w:rFonts w:hAnsi="宋体"/>
          <w:b/>
          <w:bCs/>
          <w:color w:val="auto"/>
          <w:position w:val="3"/>
          <w:sz w:val="24"/>
          <w:szCs w:val="24"/>
          <w:highlight w:val="none"/>
        </w:rPr>
        <w:instrText xml:space="preserve">1</w:instrText>
      </w:r>
      <w:r>
        <w:rPr>
          <w:rFonts w:hAnsi="宋体"/>
          <w:b/>
          <w:bCs/>
          <w:color w:val="auto"/>
          <w:sz w:val="24"/>
          <w:szCs w:val="24"/>
          <w:highlight w:val="none"/>
        </w:rPr>
        <w:instrText xml:space="preserve">)</w:instrText>
      </w:r>
      <w:r>
        <w:rPr>
          <w:rFonts w:hAnsi="宋体"/>
          <w:b/>
          <w:bCs/>
          <w:color w:val="auto"/>
          <w:sz w:val="24"/>
          <w:szCs w:val="24"/>
          <w:highlight w:val="none"/>
        </w:rPr>
        <w:fldChar w:fldCharType="end"/>
      </w:r>
      <w:r>
        <w:rPr>
          <w:rFonts w:hint="eastAsia" w:hAnsi="宋体"/>
          <w:b/>
          <w:bCs/>
          <w:color w:val="auto"/>
          <w:sz w:val="24"/>
          <w:szCs w:val="24"/>
          <w:highlight w:val="none"/>
        </w:rPr>
        <w:t>法人包括企业法人、机关法人和社会团体法人；其他组织主要包括合伙企业、非企业专业服务机构、个体工商户、农村承包经营户。</w:t>
      </w:r>
      <w:r>
        <w:rPr>
          <w:rFonts w:hAnsi="宋体"/>
          <w:b/>
          <w:bCs/>
          <w:color w:val="auto"/>
          <w:sz w:val="24"/>
          <w:szCs w:val="24"/>
          <w:highlight w:val="none"/>
        </w:rPr>
        <w:fldChar w:fldCharType="begin"/>
      </w:r>
      <w:r>
        <w:rPr>
          <w:rFonts w:hAnsi="宋体"/>
          <w:b/>
          <w:bCs/>
          <w:color w:val="auto"/>
          <w:sz w:val="24"/>
          <w:szCs w:val="24"/>
          <w:highlight w:val="none"/>
        </w:rPr>
        <w:instrText xml:space="preserve"> eq \o\ac(</w:instrText>
      </w:r>
      <w:r>
        <w:rPr>
          <w:rFonts w:hint="eastAsia" w:hAnsi="宋体"/>
          <w:b/>
          <w:bCs/>
          <w:color w:val="auto"/>
          <w:sz w:val="24"/>
          <w:szCs w:val="24"/>
          <w:highlight w:val="none"/>
        </w:rPr>
        <w:instrText xml:space="preserve">○</w:instrText>
      </w:r>
      <w:r>
        <w:rPr>
          <w:rFonts w:hAnsi="宋体"/>
          <w:b/>
          <w:bCs/>
          <w:color w:val="auto"/>
          <w:sz w:val="24"/>
          <w:szCs w:val="24"/>
          <w:highlight w:val="none"/>
        </w:rPr>
        <w:instrText xml:space="preserve">,</w:instrText>
      </w:r>
      <w:r>
        <w:rPr>
          <w:rFonts w:hAnsi="宋体"/>
          <w:b/>
          <w:bCs/>
          <w:color w:val="auto"/>
          <w:position w:val="3"/>
          <w:sz w:val="24"/>
          <w:szCs w:val="24"/>
          <w:highlight w:val="none"/>
        </w:rPr>
        <w:instrText xml:space="preserve">2</w:instrText>
      </w:r>
      <w:r>
        <w:rPr>
          <w:rFonts w:hAnsi="宋体"/>
          <w:b/>
          <w:bCs/>
          <w:color w:val="auto"/>
          <w:sz w:val="24"/>
          <w:szCs w:val="24"/>
          <w:highlight w:val="none"/>
        </w:rPr>
        <w:instrText xml:space="preserve">)</w:instrText>
      </w:r>
      <w:r>
        <w:rPr>
          <w:rFonts w:hAnsi="宋体"/>
          <w:b/>
          <w:bCs/>
          <w:color w:val="auto"/>
          <w:sz w:val="24"/>
          <w:szCs w:val="24"/>
          <w:highlight w:val="none"/>
        </w:rPr>
        <w:fldChar w:fldCharType="end"/>
      </w:r>
      <w:r>
        <w:rPr>
          <w:rFonts w:hint="eastAsia" w:hAnsi="宋体"/>
          <w:b/>
          <w:bCs/>
          <w:color w:val="auto"/>
          <w:sz w:val="24"/>
          <w:szCs w:val="24"/>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投标人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投标人半年内连续三个月的依法缴纳社保费的缴费凭证（复印件，原件备查，格式自拟）（必须提供）；无缴费记录的，应提供由投标人所在地社保部门出具的《依法缴纳或依法免缴社保费证明》（格式自拟，复印件，原件备查）。</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4</w:t>
      </w:r>
      <w:r>
        <w:rPr>
          <w:rFonts w:hint="eastAsia" w:hAnsi="宋体"/>
          <w:color w:val="auto"/>
          <w:sz w:val="24"/>
          <w:szCs w:val="24"/>
          <w:highlight w:val="none"/>
        </w:rPr>
        <w:t>）</w:t>
      </w:r>
      <w:r>
        <w:rPr>
          <w:rFonts w:hAnsi="宋体"/>
          <w:color w:val="auto"/>
          <w:sz w:val="24"/>
          <w:szCs w:val="24"/>
          <w:highlight w:val="none"/>
        </w:rPr>
        <w:t>2018</w:t>
      </w:r>
      <w:r>
        <w:rPr>
          <w:rFonts w:hint="eastAsia" w:hAnsi="宋体"/>
          <w:color w:val="auto"/>
          <w:sz w:val="24"/>
          <w:szCs w:val="24"/>
          <w:highlight w:val="none"/>
        </w:rPr>
        <w:t>或</w:t>
      </w:r>
      <w:r>
        <w:rPr>
          <w:rFonts w:hAnsi="宋体"/>
          <w:color w:val="auto"/>
          <w:sz w:val="24"/>
          <w:szCs w:val="24"/>
          <w:highlight w:val="none"/>
        </w:rPr>
        <w:t>2019</w:t>
      </w:r>
      <w:r>
        <w:rPr>
          <w:rFonts w:hint="eastAsia" w:hAnsi="宋体"/>
          <w:color w:val="auto"/>
          <w:sz w:val="24"/>
          <w:szCs w:val="24"/>
          <w:highlight w:val="none"/>
        </w:rPr>
        <w:t>年财务状况报告（</w:t>
      </w:r>
      <w:r>
        <w:rPr>
          <w:rFonts w:hint="eastAsia" w:hAnsi="宋体"/>
          <w:color w:val="auto"/>
          <w:sz w:val="24"/>
          <w:szCs w:val="24"/>
          <w:highlight w:val="none"/>
          <w:u w:val="single"/>
        </w:rPr>
        <w:t>可以是投标人编制的财务报表或第三方审计报告等证明材料，若为新成立的企业，可根据实际情况提供月度财务报表，或投标人开户行</w:t>
      </w:r>
      <w:r>
        <w:rPr>
          <w:rFonts w:hAnsi="宋体"/>
          <w:color w:val="auto"/>
          <w:sz w:val="24"/>
          <w:szCs w:val="24"/>
          <w:highlight w:val="none"/>
          <w:u w:val="single"/>
        </w:rPr>
        <w:t>2019</w:t>
      </w:r>
      <w:r>
        <w:rPr>
          <w:rFonts w:hint="eastAsia" w:hAnsi="宋体"/>
          <w:color w:val="auto"/>
          <w:sz w:val="24"/>
          <w:szCs w:val="24"/>
          <w:highlight w:val="none"/>
          <w:u w:val="single"/>
        </w:rPr>
        <w:t>年以来出具的银行资信证明文件复印件，格式自拟</w:t>
      </w:r>
      <w:r>
        <w:rPr>
          <w:rFonts w:hint="eastAsia" w:hAnsi="宋体"/>
          <w:color w:val="auto"/>
          <w:sz w:val="24"/>
          <w:szCs w:val="24"/>
          <w:highlight w:val="none"/>
        </w:rPr>
        <w:t>）。</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5</w:t>
      </w:r>
      <w:r>
        <w:rPr>
          <w:rFonts w:hint="eastAsia" w:hAnsi="宋体"/>
          <w:color w:val="auto"/>
          <w:sz w:val="24"/>
          <w:szCs w:val="24"/>
          <w:highlight w:val="none"/>
        </w:rPr>
        <w:t>）具备履行合同所必需的设备和专业技术能力的证明材料（提供投标人基本情况表，格式自拟，须反映投标人履行合同所必需的设备和专业技术能力情况）</w:t>
      </w:r>
      <w:r>
        <w:rPr>
          <w:rFonts w:hint="eastAsia" w:hAnsi="宋体"/>
          <w:color w:val="auto"/>
          <w:sz w:val="24"/>
          <w:szCs w:val="24"/>
          <w:highlight w:val="none"/>
          <w:u w:val="single"/>
        </w:rPr>
        <w:t>或承诺函（投标人须明确承诺具有履行合同所必需的设备和专业技术能力情况，格式自拟）。</w:t>
      </w:r>
    </w:p>
    <w:p>
      <w:pPr>
        <w:pStyle w:val="24"/>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6</w:t>
      </w:r>
      <w:r>
        <w:rPr>
          <w:rFonts w:hint="eastAsia" w:hAnsi="宋体"/>
          <w:color w:val="auto"/>
          <w:sz w:val="24"/>
          <w:szCs w:val="24"/>
          <w:highlight w:val="none"/>
        </w:rPr>
        <w:t>）投标人参加政府采购活动前</w:t>
      </w:r>
      <w:r>
        <w:rPr>
          <w:rFonts w:hAnsi="宋体"/>
          <w:color w:val="auto"/>
          <w:sz w:val="24"/>
          <w:szCs w:val="24"/>
          <w:highlight w:val="none"/>
        </w:rPr>
        <w:t>3</w:t>
      </w:r>
      <w:r>
        <w:rPr>
          <w:rFonts w:hint="eastAsia" w:hAnsi="宋体"/>
          <w:color w:val="auto"/>
          <w:sz w:val="24"/>
          <w:szCs w:val="24"/>
          <w:highlight w:val="none"/>
        </w:rPr>
        <w:t>年内在经营活动中没有重大违法记录的书面声明。</w:t>
      </w:r>
    </w:p>
    <w:p>
      <w:pPr>
        <w:spacing w:line="360" w:lineRule="exact"/>
        <w:ind w:left="141" w:leftChars="67"/>
        <w:rPr>
          <w:rFonts w:ascii="宋体" w:cs="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商务文件</w:t>
      </w:r>
    </w:p>
    <w:p>
      <w:pPr>
        <w:tabs>
          <w:tab w:val="left" w:pos="1305"/>
        </w:tabs>
        <w:spacing w:line="330" w:lineRule="exact"/>
        <w:ind w:firstLine="240" w:firstLineChars="1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）投标声明书</w:t>
      </w:r>
    </w:p>
    <w:p>
      <w:pPr>
        <w:tabs>
          <w:tab w:val="left" w:pos="1305"/>
        </w:tabs>
        <w:spacing w:line="330" w:lineRule="exact"/>
        <w:ind w:firstLine="240" w:firstLineChars="1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）法定代表人身份证明书、相应的法定代表人身份证正反两面复印件</w:t>
      </w:r>
      <w:r>
        <w:rPr>
          <w:rFonts w:hint="eastAsia" w:ascii="宋体" w:hAnsi="宋体" w:cs="宋体"/>
          <w:b/>
          <w:bCs/>
          <w:color w:val="auto"/>
          <w:sz w:val="24"/>
          <w:szCs w:val="24"/>
          <w:highlight w:val="none"/>
        </w:rPr>
        <w:t>（必须提供；</w:t>
      </w:r>
      <w:r>
        <w:rPr>
          <w:rFonts w:hint="eastAsia" w:ascii="宋体" w:hAnsi="宋体" w:cs="宋体"/>
          <w:color w:val="auto"/>
          <w:sz w:val="24"/>
          <w:szCs w:val="24"/>
          <w:highlight w:val="none"/>
        </w:rPr>
        <w:t>投标人若为自然人的提供自然人身份证正反两面复印件，投标人若为其他组织形式无法定代表人的提供负责人身份证正反两面复印件）；</w:t>
      </w:r>
    </w:p>
    <w:p>
      <w:pPr>
        <w:spacing w:line="360" w:lineRule="exact"/>
        <w:ind w:firstLine="240" w:firstLineChars="1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）授权委托书原件、委托代理人身份证正反面复印件</w:t>
      </w:r>
      <w:r>
        <w:rPr>
          <w:rFonts w:hint="eastAsia" w:ascii="宋体" w:hAnsi="宋体" w:cs="宋体"/>
          <w:b/>
          <w:bCs/>
          <w:color w:val="auto"/>
          <w:sz w:val="24"/>
          <w:szCs w:val="24"/>
          <w:highlight w:val="none"/>
        </w:rPr>
        <w:t>（委托代理时必须提供）；</w:t>
      </w:r>
    </w:p>
    <w:p>
      <w:pPr>
        <w:spacing w:line="360" w:lineRule="exact"/>
        <w:ind w:left="141" w:leftChars="67" w:firstLine="120" w:firstLineChars="5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）商务条款偏离表</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p>
    <w:p>
      <w:pPr>
        <w:spacing w:line="360" w:lineRule="exact"/>
        <w:ind w:firstLine="240" w:firstLineChars="1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）拟投入人员配备情况表；（格式自拟，必须提供）；</w:t>
      </w:r>
    </w:p>
    <w:p>
      <w:pPr>
        <w:spacing w:line="360" w:lineRule="exact"/>
        <w:ind w:left="141" w:leftChars="67"/>
        <w:rPr>
          <w:rFonts w:ascii="宋体" w:hAnsi="宋体" w:cs="宋体"/>
          <w:b/>
          <w:bCs/>
          <w:color w:val="auto"/>
          <w:sz w:val="24"/>
          <w:szCs w:val="24"/>
          <w:highlight w:val="none"/>
        </w:rPr>
      </w:pPr>
      <w:r>
        <w:rPr>
          <w:rFonts w:hint="eastAsia" w:ascii="宋体" w:hAnsi="宋体" w:cs="宋体"/>
          <w:b/>
          <w:bCs/>
          <w:color w:val="auto"/>
          <w:sz w:val="24"/>
          <w:szCs w:val="24"/>
          <w:highlight w:val="none"/>
        </w:rPr>
        <w:t>可作为投标人资信评分的资质证明材料</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可选</w:t>
      </w:r>
      <w:r>
        <w:rPr>
          <w:rFonts w:ascii="宋体" w:hAnsi="宋体" w:cs="宋体"/>
          <w:b/>
          <w:bCs/>
          <w:color w:val="auto"/>
          <w:sz w:val="24"/>
          <w:szCs w:val="24"/>
          <w:highlight w:val="none"/>
        </w:rPr>
        <w:t>):</w:t>
      </w:r>
    </w:p>
    <w:p>
      <w:pPr>
        <w:spacing w:line="36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）承接过类似业绩</w:t>
      </w:r>
      <w:r>
        <w:rPr>
          <w:rFonts w:ascii="宋体" w:hAnsi="宋体" w:cs="宋体"/>
          <w:color w:val="auto"/>
          <w:sz w:val="24"/>
          <w:szCs w:val="24"/>
          <w:highlight w:val="none"/>
        </w:rPr>
        <w:t>(</w:t>
      </w:r>
      <w:r>
        <w:rPr>
          <w:rFonts w:hint="eastAsia" w:ascii="宋体" w:hAnsi="宋体" w:cs="宋体"/>
          <w:color w:val="auto"/>
          <w:sz w:val="24"/>
          <w:szCs w:val="24"/>
          <w:highlight w:val="none"/>
        </w:rPr>
        <w:t>提供合同复印件</w:t>
      </w:r>
      <w:r>
        <w:rPr>
          <w:rFonts w:ascii="宋体" w:hAnsi="宋体" w:cs="宋体"/>
          <w:color w:val="auto"/>
          <w:sz w:val="24"/>
          <w:szCs w:val="24"/>
          <w:highlight w:val="none"/>
        </w:rPr>
        <w:t>);</w:t>
      </w:r>
    </w:p>
    <w:p>
      <w:pPr>
        <w:spacing w:line="36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）其他特殊资质证书</w:t>
      </w:r>
      <w:r>
        <w:rPr>
          <w:rFonts w:ascii="宋体" w:hAnsi="宋体" w:cs="宋体"/>
          <w:color w:val="auto"/>
          <w:sz w:val="24"/>
          <w:szCs w:val="24"/>
          <w:highlight w:val="none"/>
        </w:rPr>
        <w:t>(</w:t>
      </w:r>
      <w:r>
        <w:rPr>
          <w:rFonts w:hint="eastAsia" w:ascii="宋体" w:hAnsi="宋体" w:cs="宋体"/>
          <w:color w:val="auto"/>
          <w:sz w:val="24"/>
          <w:szCs w:val="24"/>
          <w:highlight w:val="none"/>
        </w:rPr>
        <w:t>如本地化服务能力等</w:t>
      </w:r>
      <w:r>
        <w:rPr>
          <w:rFonts w:ascii="宋体" w:hAnsi="宋体" w:cs="宋体"/>
          <w:color w:val="auto"/>
          <w:sz w:val="24"/>
          <w:szCs w:val="24"/>
          <w:highlight w:val="none"/>
        </w:rPr>
        <w:t>);</w:t>
      </w:r>
    </w:p>
    <w:p>
      <w:pPr>
        <w:spacing w:line="360" w:lineRule="exact"/>
        <w:ind w:firstLine="240" w:firstLineChars="1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）质量管理和质量保证体系等方面的认证证书</w:t>
      </w:r>
    </w:p>
    <w:p>
      <w:pPr>
        <w:spacing w:line="36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9</w:t>
      </w:r>
      <w:r>
        <w:rPr>
          <w:rFonts w:hint="eastAsia" w:ascii="宋体" w:hAnsi="宋体" w:cs="宋体"/>
          <w:color w:val="auto"/>
          <w:sz w:val="24"/>
          <w:szCs w:val="24"/>
          <w:highlight w:val="none"/>
        </w:rPr>
        <w:t>）投标人认为可以证明其能力或业绩的其他材料</w:t>
      </w:r>
      <w:r>
        <w:rPr>
          <w:rFonts w:ascii="宋体" w:hAnsi="宋体" w:cs="宋体"/>
          <w:color w:val="auto"/>
          <w:sz w:val="24"/>
          <w:szCs w:val="24"/>
          <w:highlight w:val="none"/>
        </w:rPr>
        <w:t>;</w:t>
      </w:r>
    </w:p>
    <w:p>
      <w:pPr>
        <w:spacing w:line="360" w:lineRule="exact"/>
        <w:ind w:left="141" w:leftChars="67"/>
        <w:rPr>
          <w:rFonts w:ascii="宋体" w:cs="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技术文件</w:t>
      </w:r>
    </w:p>
    <w:p>
      <w:pPr>
        <w:spacing w:line="360" w:lineRule="exact"/>
        <w:ind w:left="141" w:leftChars="67"/>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）技术资料表（必须提供）；</w:t>
      </w:r>
    </w:p>
    <w:p>
      <w:pPr>
        <w:spacing w:line="360" w:lineRule="exact"/>
        <w:ind w:left="141" w:leftChars="67"/>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）技术方案（格式自拟，必须提供）；</w:t>
      </w:r>
    </w:p>
    <w:p>
      <w:pPr>
        <w:spacing w:line="360" w:lineRule="exact"/>
        <w:ind w:left="141" w:leftChars="67"/>
        <w:rPr>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）项目进度安排与服务承诺书（应据项目实际要求描述</w:t>
      </w:r>
      <w:r>
        <w:rPr>
          <w:rFonts w:ascii="宋体" w:hAnsi="宋体" w:cs="宋体"/>
          <w:color w:val="auto"/>
          <w:sz w:val="24"/>
          <w:szCs w:val="24"/>
          <w:highlight w:val="none"/>
        </w:rPr>
        <w:t>,</w:t>
      </w:r>
      <w:r>
        <w:rPr>
          <w:rFonts w:hint="eastAsia" w:ascii="宋体" w:hAnsi="宋体" w:cs="宋体"/>
          <w:color w:val="auto"/>
          <w:sz w:val="24"/>
          <w:szCs w:val="24"/>
          <w:highlight w:val="none"/>
        </w:rPr>
        <w:t>格式自拟）</w:t>
      </w:r>
    </w:p>
    <w:p>
      <w:pPr>
        <w:spacing w:line="360" w:lineRule="exact"/>
        <w:ind w:left="141" w:leftChars="6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）项目实施人员一览表；</w:t>
      </w:r>
    </w:p>
    <w:p>
      <w:pPr>
        <w:spacing w:line="360" w:lineRule="exact"/>
        <w:ind w:left="141" w:leftChars="67"/>
        <w:rPr>
          <w:rFonts w:ascii="宋体" w:cs="宋体"/>
          <w:b/>
          <w:bCs/>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）投标人需要说明的其他文件和说明（格式略）；</w:t>
      </w:r>
    </w:p>
    <w:p>
      <w:pPr>
        <w:spacing w:line="360" w:lineRule="exact"/>
        <w:ind w:left="141" w:leftChars="67"/>
        <w:rPr>
          <w:rFonts w:ascii="宋体" w:cs="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报价文件</w:t>
      </w:r>
    </w:p>
    <w:p>
      <w:pPr>
        <w:spacing w:line="360" w:lineRule="exact"/>
        <w:ind w:left="141" w:leftChars="67"/>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投标函</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r>
        <w:rPr>
          <w:rFonts w:ascii="宋体" w:hAnsi="宋体" w:cs="宋体"/>
          <w:color w:val="auto"/>
          <w:sz w:val="24"/>
          <w:szCs w:val="24"/>
          <w:highlight w:val="none"/>
        </w:rPr>
        <w:t>);</w:t>
      </w:r>
    </w:p>
    <w:p>
      <w:pPr>
        <w:spacing w:line="360" w:lineRule="exact"/>
        <w:ind w:left="141" w:leftChars="67"/>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投标报价明细表</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r>
        <w:rPr>
          <w:rFonts w:ascii="宋体" w:hAnsi="宋体" w:cs="宋体"/>
          <w:color w:val="auto"/>
          <w:sz w:val="24"/>
          <w:szCs w:val="24"/>
          <w:highlight w:val="none"/>
        </w:rPr>
        <w:t>);</w:t>
      </w:r>
    </w:p>
    <w:p>
      <w:pPr>
        <w:spacing w:line="360" w:lineRule="exact"/>
        <w:ind w:left="141" w:leftChars="67"/>
        <w:rPr>
          <w:rFonts w:ascii="宋体" w:hAns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投标人针对报价需要说明的其他文件和说明</w:t>
      </w:r>
      <w:r>
        <w:rPr>
          <w:rFonts w:ascii="宋体" w:hAnsi="宋体" w:cs="宋体"/>
          <w:color w:val="auto"/>
          <w:sz w:val="24"/>
          <w:szCs w:val="24"/>
          <w:highlight w:val="none"/>
        </w:rPr>
        <w:t>(</w:t>
      </w:r>
      <w:r>
        <w:rPr>
          <w:rFonts w:hint="eastAsia" w:ascii="宋体" w:hAnsi="宋体" w:cs="宋体"/>
          <w:color w:val="auto"/>
          <w:sz w:val="24"/>
          <w:szCs w:val="24"/>
          <w:highlight w:val="none"/>
        </w:rPr>
        <w:t>格式自拟</w:t>
      </w:r>
      <w:r>
        <w:rPr>
          <w:rFonts w:ascii="宋体" w:hAnsi="宋体" w:cs="宋体"/>
          <w:color w:val="auto"/>
          <w:sz w:val="24"/>
          <w:szCs w:val="24"/>
          <w:highlight w:val="none"/>
        </w:rPr>
        <w:t>);</w:t>
      </w:r>
    </w:p>
    <w:p>
      <w:pPr>
        <w:spacing w:line="360" w:lineRule="exact"/>
        <w:ind w:left="141" w:leftChars="67"/>
        <w:rPr>
          <w:rFonts w:asci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开标一览表</w:t>
      </w:r>
      <w:r>
        <w:rPr>
          <w:rFonts w:ascii="宋体" w:hAnsi="宋体" w:cs="宋体"/>
          <w:color w:val="auto"/>
          <w:sz w:val="24"/>
          <w:szCs w:val="24"/>
          <w:highlight w:val="none"/>
        </w:rPr>
        <w:t>(</w:t>
      </w:r>
      <w:r>
        <w:rPr>
          <w:rFonts w:hint="eastAsia" w:ascii="宋体" w:hAnsi="宋体" w:cs="宋体"/>
          <w:color w:val="auto"/>
          <w:sz w:val="24"/>
          <w:szCs w:val="24"/>
          <w:highlight w:val="none"/>
        </w:rPr>
        <w:t>单独分册</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r>
        <w:rPr>
          <w:rFonts w:ascii="宋体" w:hAnsi="宋体" w:cs="宋体"/>
          <w:color w:val="auto"/>
          <w:sz w:val="24"/>
          <w:szCs w:val="24"/>
          <w:highlight w:val="none"/>
        </w:rPr>
        <w:t>)</w:t>
      </w:r>
      <w:r>
        <w:rPr>
          <w:rFonts w:hint="eastAsia" w:ascii="宋体" w:hAnsi="宋体" w:cs="宋体"/>
          <w:color w:val="auto"/>
          <w:sz w:val="24"/>
          <w:szCs w:val="24"/>
          <w:highlight w:val="none"/>
        </w:rPr>
        <w:t>。</w:t>
      </w:r>
    </w:p>
    <w:p>
      <w:pPr>
        <w:spacing w:line="360" w:lineRule="exact"/>
        <w:ind w:left="141" w:leftChars="67"/>
        <w:rPr>
          <w:rFonts w:ascii="宋体" w:cs="宋体"/>
          <w:b/>
          <w:bCs/>
          <w:color w:val="auto"/>
          <w:sz w:val="24"/>
          <w:szCs w:val="24"/>
          <w:highlight w:val="none"/>
        </w:rPr>
      </w:pPr>
      <w:r>
        <w:rPr>
          <w:rFonts w:hint="eastAsia" w:ascii="宋体" w:hAnsi="宋体" w:cs="宋体"/>
          <w:b/>
          <w:bCs/>
          <w:color w:val="auto"/>
          <w:sz w:val="24"/>
          <w:szCs w:val="24"/>
          <w:highlight w:val="none"/>
        </w:rPr>
        <w:t>▲注</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法定代表人授权委托书必须由法定代表人签名（或盖章）并加盖单位公章；投标声明书、投标函、开标一览表必须由法定代表人或授权代表签名（或盖章）并加盖单位公章。</w:t>
      </w:r>
    </w:p>
    <w:p>
      <w:pPr>
        <w:snapToGrid w:val="0"/>
        <w:spacing w:line="360" w:lineRule="exact"/>
        <w:jc w:val="left"/>
        <w:rPr>
          <w:rFonts w:ascii="宋体" w:cs="宋体"/>
          <w:b/>
          <w:bCs/>
          <w:color w:val="auto"/>
          <w:sz w:val="24"/>
          <w:szCs w:val="24"/>
          <w:highlight w:val="none"/>
        </w:rPr>
      </w:pPr>
      <w:bookmarkStart w:id="72" w:name="_Toc254970678"/>
      <w:bookmarkStart w:id="73" w:name="_Toc254970537"/>
      <w:r>
        <w:rPr>
          <w:rFonts w:hint="eastAsia" w:ascii="宋体" w:hAnsi="宋体" w:cs="宋体"/>
          <w:b/>
          <w:bCs/>
          <w:color w:val="auto"/>
          <w:sz w:val="24"/>
          <w:szCs w:val="24"/>
          <w:highlight w:val="none"/>
        </w:rPr>
        <w:t>（二）投标文件的语言及计量</w:t>
      </w:r>
      <w:bookmarkEnd w:id="72"/>
      <w:bookmarkEnd w:id="73"/>
    </w:p>
    <w:p>
      <w:pPr>
        <w:snapToGrid w:val="0"/>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宋体" w:cs="宋体"/>
          <w:b/>
          <w:bCs/>
          <w:color w:val="auto"/>
          <w:sz w:val="24"/>
          <w:szCs w:val="24"/>
          <w:highlight w:val="none"/>
        </w:rPr>
      </w:pPr>
      <w:bookmarkStart w:id="74" w:name="_Toc254970679"/>
      <w:bookmarkStart w:id="75" w:name="_Toc254970538"/>
      <w:r>
        <w:rPr>
          <w:rFonts w:hint="eastAsia" w:ascii="宋体" w:hAnsi="宋体" w:cs="宋体"/>
          <w:b/>
          <w:bCs/>
          <w:color w:val="auto"/>
          <w:sz w:val="24"/>
          <w:szCs w:val="24"/>
          <w:highlight w:val="none"/>
        </w:rPr>
        <w:t>（三）投标报价</w:t>
      </w:r>
      <w:bookmarkEnd w:id="74"/>
      <w:bookmarkEnd w:id="75"/>
    </w:p>
    <w:p>
      <w:pPr>
        <w:pStyle w:val="24"/>
        <w:snapToGrid w:val="0"/>
        <w:spacing w:line="360" w:lineRule="exact"/>
        <w:ind w:firstLine="480" w:firstLineChars="200"/>
        <w:jc w:val="left"/>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投标报价应按招标文件中相关附表格式填写。</w:t>
      </w:r>
    </w:p>
    <w:p>
      <w:pPr>
        <w:pStyle w:val="24"/>
        <w:snapToGrid w:val="0"/>
        <w:spacing w:line="360" w:lineRule="exact"/>
        <w:ind w:firstLine="480" w:firstLineChars="200"/>
        <w:jc w:val="left"/>
        <w:rPr>
          <w:rFonts w:hAnsi="宋体" w:cs="Times New Roman"/>
          <w:color w:val="auto"/>
          <w:sz w:val="24"/>
          <w:szCs w:val="24"/>
          <w:highlight w:val="none"/>
        </w:rPr>
      </w:pPr>
      <w:r>
        <w:rPr>
          <w:rFonts w:hAnsi="宋体"/>
          <w:color w:val="auto"/>
          <w:sz w:val="24"/>
          <w:szCs w:val="24"/>
          <w:highlight w:val="none"/>
        </w:rPr>
        <w:t xml:space="preserve">2. </w:t>
      </w:r>
      <w:r>
        <w:rPr>
          <w:rFonts w:hint="eastAsia" w:hAnsi="宋体"/>
          <w:color w:val="auto"/>
          <w:sz w:val="24"/>
          <w:szCs w:val="24"/>
          <w:highlight w:val="none"/>
        </w:rPr>
        <w:t>投标报价是履行合同的最终价格，应包括服务、以及培训等一切税金和费用。</w:t>
      </w:r>
    </w:p>
    <w:p>
      <w:pPr>
        <w:pStyle w:val="24"/>
        <w:snapToGrid w:val="0"/>
        <w:spacing w:line="360" w:lineRule="exact"/>
        <w:ind w:firstLine="480" w:firstLineChars="200"/>
        <w:jc w:val="left"/>
        <w:rPr>
          <w:rFonts w:hAnsi="宋体" w:cs="Times New Roman"/>
          <w:color w:val="auto"/>
          <w:sz w:val="24"/>
          <w:szCs w:val="24"/>
          <w:highlight w:val="none"/>
        </w:rPr>
      </w:pPr>
      <w:r>
        <w:rPr>
          <w:rFonts w:hAnsi="宋体"/>
          <w:color w:val="auto"/>
          <w:sz w:val="24"/>
          <w:szCs w:val="24"/>
          <w:highlight w:val="none"/>
        </w:rPr>
        <w:t xml:space="preserve">3. </w:t>
      </w:r>
      <w:r>
        <w:rPr>
          <w:rFonts w:hint="eastAsia" w:hAnsi="宋体"/>
          <w:color w:val="auto"/>
          <w:sz w:val="24"/>
          <w:szCs w:val="24"/>
          <w:highlight w:val="none"/>
        </w:rPr>
        <w:t>投标文件只允许有一个报价，有选择的或有条件的报价将不予接受。</w:t>
      </w:r>
    </w:p>
    <w:p>
      <w:pPr>
        <w:pStyle w:val="13"/>
        <w:widowControl w:val="0"/>
        <w:tabs>
          <w:tab w:val="clear" w:pos="840"/>
          <w:tab w:val="clear" w:pos="900"/>
        </w:tabs>
        <w:snapToGrid w:val="0"/>
        <w:spacing w:afterLines="0" w:line="360" w:lineRule="exact"/>
        <w:ind w:left="0" w:firstLine="0"/>
        <w:rPr>
          <w:rFonts w:ascii="宋体" w:cs="宋体"/>
          <w:b/>
          <w:bCs/>
          <w:color w:val="auto"/>
          <w:highlight w:val="none"/>
        </w:rPr>
      </w:pPr>
      <w:r>
        <w:rPr>
          <w:rFonts w:hint="eastAsia" w:ascii="宋体" w:hAnsi="宋体" w:cs="宋体"/>
          <w:b/>
          <w:bCs/>
          <w:color w:val="auto"/>
          <w:highlight w:val="none"/>
        </w:rPr>
        <w:t>（四）投标文件的有效期</w:t>
      </w:r>
    </w:p>
    <w:p>
      <w:pPr>
        <w:pStyle w:val="13"/>
        <w:widowControl w:val="0"/>
        <w:tabs>
          <w:tab w:val="clear" w:pos="454"/>
        </w:tabs>
        <w:snapToGrid w:val="0"/>
        <w:spacing w:afterLines="0" w:line="360" w:lineRule="exact"/>
        <w:ind w:left="0" w:firstLine="480" w:firstLineChars="200"/>
        <w:rPr>
          <w:rFonts w:ascii="宋体" w:cs="宋体"/>
          <w:color w:val="auto"/>
          <w:highlight w:val="none"/>
        </w:rPr>
      </w:pPr>
      <w:r>
        <w:rPr>
          <w:rFonts w:ascii="宋体" w:hAnsi="宋体" w:cs="宋体"/>
          <w:color w:val="auto"/>
          <w:highlight w:val="none"/>
        </w:rPr>
        <w:t>1.</w:t>
      </w:r>
      <w:r>
        <w:rPr>
          <w:rFonts w:hint="eastAsia" w:ascii="宋体" w:hAnsi="宋体" w:cs="宋体"/>
          <w:color w:val="auto"/>
          <w:highlight w:val="none"/>
        </w:rPr>
        <w:t>投标文件有效期按投标人须知前附表规定的时间。有效期不足的投标文件将被拒绝。</w:t>
      </w:r>
    </w:p>
    <w:p>
      <w:pPr>
        <w:pStyle w:val="13"/>
        <w:widowControl w:val="0"/>
        <w:tabs>
          <w:tab w:val="clear" w:pos="454"/>
        </w:tabs>
        <w:snapToGrid w:val="0"/>
        <w:spacing w:afterLines="0" w:line="360" w:lineRule="exact"/>
        <w:ind w:left="0" w:firstLine="480" w:firstLineChars="200"/>
        <w:rPr>
          <w:rFonts w:ascii="宋体" w:cs="宋体"/>
          <w:color w:val="auto"/>
          <w:highlight w:val="none"/>
        </w:rPr>
      </w:pPr>
      <w:r>
        <w:rPr>
          <w:rFonts w:ascii="宋体" w:hAnsi="宋体" w:cs="宋体"/>
          <w:color w:val="auto"/>
          <w:highlight w:val="none"/>
        </w:rPr>
        <w:t>2.</w:t>
      </w:r>
      <w:r>
        <w:rPr>
          <w:rFonts w:hint="eastAsia" w:ascii="宋体" w:hAnsi="宋体" w:cs="宋体"/>
          <w:color w:val="auto"/>
          <w:highlight w:val="none"/>
        </w:rPr>
        <w:t>在特殊情况下，招标人可与投标人协商延长投标书的有效期，这种要求和答复均以书面形式进行。</w:t>
      </w:r>
    </w:p>
    <w:p>
      <w:pPr>
        <w:snapToGrid w:val="0"/>
        <w:spacing w:line="360" w:lineRule="exact"/>
        <w:ind w:firstLine="480" w:firstLineChars="200"/>
        <w:jc w:val="left"/>
        <w:rPr>
          <w:rFonts w:ascii="宋体" w:hAnsi="宋体" w:cs="宋体"/>
          <w:b/>
          <w:bCs/>
          <w:color w:val="auto"/>
          <w:sz w:val="24"/>
          <w:szCs w:val="24"/>
          <w:highlight w:val="none"/>
        </w:rPr>
      </w:pPr>
      <w:bookmarkStart w:id="76" w:name="_Toc254970539"/>
      <w:bookmarkStart w:id="77" w:name="_Toc254970680"/>
      <w:r>
        <w:rPr>
          <w:rFonts w:ascii="宋体" w:hAnsi="宋体" w:cs="宋体"/>
          <w:color w:val="auto"/>
          <w:sz w:val="24"/>
          <w:szCs w:val="24"/>
          <w:highlight w:val="none"/>
        </w:rPr>
        <w:t>3.</w:t>
      </w:r>
      <w:r>
        <w:rPr>
          <w:rFonts w:hint="eastAsia" w:ascii="宋体" w:hAnsi="宋体" w:cs="宋体"/>
          <w:color w:val="auto"/>
          <w:sz w:val="24"/>
          <w:szCs w:val="24"/>
          <w:highlight w:val="none"/>
        </w:rPr>
        <w:t>投标人可拒绝接受延期要求，但不能修改投标文件。</w:t>
      </w:r>
      <w:bookmarkEnd w:id="76"/>
      <w:bookmarkEnd w:id="77"/>
    </w:p>
    <w:p>
      <w:pPr>
        <w:snapToGrid w:val="0"/>
        <w:spacing w:line="360" w:lineRule="exact"/>
        <w:ind w:firstLine="480" w:firstLineChars="200"/>
        <w:jc w:val="left"/>
        <w:rPr>
          <w:rFonts w:ascii="宋体" w:cs="宋体"/>
          <w:b/>
          <w:bCs/>
          <w:color w:val="auto"/>
          <w:sz w:val="24"/>
          <w:szCs w:val="24"/>
          <w:highlight w:val="none"/>
        </w:rPr>
      </w:pPr>
      <w:bookmarkStart w:id="78" w:name="_Toc254970681"/>
      <w:bookmarkStart w:id="79" w:name="_Toc254970540"/>
      <w:r>
        <w:rPr>
          <w:rFonts w:ascii="宋体" w:hAnsi="宋体" w:cs="宋体"/>
          <w:color w:val="auto"/>
          <w:sz w:val="24"/>
          <w:szCs w:val="24"/>
          <w:highlight w:val="none"/>
        </w:rPr>
        <w:t>4.</w:t>
      </w:r>
      <w:r>
        <w:rPr>
          <w:rFonts w:hint="eastAsia" w:ascii="宋体" w:hAnsi="宋体" w:cs="宋体"/>
          <w:color w:val="auto"/>
          <w:sz w:val="24"/>
          <w:szCs w:val="24"/>
          <w:highlight w:val="none"/>
        </w:rPr>
        <w:t>中标人的投标文件自开标之日起至合同履行完毕止均应保持有效。</w:t>
      </w:r>
      <w:bookmarkEnd w:id="78"/>
      <w:bookmarkEnd w:id="79"/>
    </w:p>
    <w:p>
      <w:pPr>
        <w:snapToGrid w:val="0"/>
        <w:spacing w:line="360" w:lineRule="exact"/>
        <w:jc w:val="left"/>
        <w:rPr>
          <w:rFonts w:ascii="宋体" w:cs="宋体"/>
          <w:b/>
          <w:bCs/>
          <w:color w:val="auto"/>
          <w:sz w:val="24"/>
          <w:szCs w:val="24"/>
          <w:highlight w:val="none"/>
        </w:rPr>
      </w:pPr>
      <w:r>
        <w:rPr>
          <w:rFonts w:hint="eastAsia" w:ascii="宋体" w:hAnsi="宋体" w:cs="宋体"/>
          <w:b/>
          <w:bCs/>
          <w:color w:val="auto"/>
          <w:sz w:val="24"/>
          <w:szCs w:val="24"/>
          <w:highlight w:val="none"/>
        </w:rPr>
        <w:t>（六）投标文件的编制</w:t>
      </w:r>
    </w:p>
    <w:p>
      <w:pPr>
        <w:snapToGrid w:val="0"/>
        <w:spacing w:line="360" w:lineRule="exact"/>
        <w:ind w:firstLine="480" w:firstLineChars="200"/>
        <w:jc w:val="left"/>
        <w:rPr>
          <w:rFonts w:ascii="宋体" w:cs="宋体"/>
          <w:color w:val="auto"/>
          <w:sz w:val="24"/>
          <w:szCs w:val="24"/>
          <w:highlight w:val="none"/>
        </w:rPr>
      </w:pPr>
      <w:bookmarkStart w:id="80" w:name="_Toc254970543"/>
      <w:bookmarkStart w:id="81" w:name="_Toc254970684"/>
      <w:r>
        <w:rPr>
          <w:rFonts w:ascii="宋体" w:hAnsi="宋体" w:cs="宋体"/>
          <w:color w:val="auto"/>
          <w:sz w:val="24"/>
          <w:szCs w:val="24"/>
          <w:highlight w:val="none"/>
        </w:rPr>
        <w:t xml:space="preserve">1. </w:t>
      </w:r>
      <w:r>
        <w:rPr>
          <w:rFonts w:hint="eastAsia" w:ascii="宋体" w:hAnsi="宋体" w:cs="宋体"/>
          <w:color w:val="auto"/>
          <w:sz w:val="24"/>
          <w:szCs w:val="24"/>
          <w:highlight w:val="none"/>
        </w:rPr>
        <w:t>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 xml:space="preserve">2. </w:t>
      </w:r>
      <w:r>
        <w:rPr>
          <w:rFonts w:hint="eastAsia" w:hAnsi="宋体"/>
          <w:color w:val="auto"/>
          <w:sz w:val="24"/>
          <w:szCs w:val="24"/>
          <w:highlight w:val="none"/>
        </w:rPr>
        <w:t>投标文件正本一份，副本份数见“投标人须知前附表”。正本和副本的封面上应清楚地标记“正本”或“副本”的字样。书面投标文件副本与书面投标文件正本不符，以投标文件正本为准。</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投标文件的正本需打印或用不褪色的墨水填写，投标文件正本除本投标人须知中规定的可提供复印件外均须提供原件。副本可为正本的复印件。</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 xml:space="preserve">4. </w:t>
      </w:r>
      <w:r>
        <w:rPr>
          <w:rFonts w:hint="eastAsia" w:hAnsi="宋体"/>
          <w:color w:val="auto"/>
          <w:sz w:val="24"/>
          <w:szCs w:val="24"/>
          <w:highlight w:val="none"/>
        </w:rPr>
        <w:t>投标文件正本与副本均应由投标人在招标文件规定的相关位置加盖投标人法人单位公章，且经法定代表人签字（或盖章）或其委托代理人本人签字，否则作否决投标处理。</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投标文件不得涂改，若有修改错漏处，须加盖单位公章或者法定代表人或授权委托人签字或盖章。投标文件因字迹潦草或表达不清或提供的资料模糊不清所引起的后果由投标人负责。</w:t>
      </w:r>
    </w:p>
    <w:p>
      <w:pPr>
        <w:pStyle w:val="24"/>
        <w:snapToGrid w:val="0"/>
        <w:spacing w:line="360" w:lineRule="exact"/>
        <w:ind w:firstLine="630" w:firstLineChars="196"/>
        <w:jc w:val="center"/>
        <w:rPr>
          <w:rFonts w:hAnsi="宋体" w:cs="Times New Roman"/>
          <w:b/>
          <w:bCs/>
          <w:color w:val="auto"/>
          <w:sz w:val="32"/>
          <w:szCs w:val="32"/>
          <w:highlight w:val="none"/>
        </w:rPr>
      </w:pPr>
      <w:r>
        <w:rPr>
          <w:rFonts w:hint="eastAsia" w:hAnsi="宋体"/>
          <w:b/>
          <w:bCs/>
          <w:color w:val="auto"/>
          <w:sz w:val="32"/>
          <w:szCs w:val="32"/>
          <w:highlight w:val="none"/>
        </w:rPr>
        <w:t>四、投标</w:t>
      </w:r>
    </w:p>
    <w:p>
      <w:pPr>
        <w:snapToGrid w:val="0"/>
        <w:spacing w:line="360" w:lineRule="exact"/>
        <w:ind w:firstLine="354" w:firstLineChars="147"/>
        <w:jc w:val="left"/>
        <w:rPr>
          <w:rFonts w:ascii="宋体" w:cs="宋体"/>
          <w:b/>
          <w:bCs/>
          <w:color w:val="auto"/>
          <w:sz w:val="24"/>
          <w:szCs w:val="24"/>
          <w:highlight w:val="none"/>
        </w:rPr>
      </w:pPr>
      <w:r>
        <w:rPr>
          <w:rFonts w:hint="eastAsia" w:ascii="宋体" w:hAnsi="宋体" w:cs="宋体"/>
          <w:b/>
          <w:bCs/>
          <w:color w:val="auto"/>
          <w:sz w:val="24"/>
          <w:szCs w:val="24"/>
          <w:highlight w:val="none"/>
        </w:rPr>
        <w:t>（一）投标文件的密封</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．投标文件应按“投标人须知前附表”的要求进行包装。</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．投标文件封套上应写明的其他内容见“投标人须知前附表”。</w:t>
      </w:r>
    </w:p>
    <w:p>
      <w:pPr>
        <w:snapToGrid w:val="0"/>
        <w:spacing w:line="360" w:lineRule="exact"/>
        <w:ind w:firstLine="354" w:firstLineChars="147"/>
        <w:jc w:val="left"/>
        <w:rPr>
          <w:rFonts w:ascii="宋体" w:cs="宋体"/>
          <w:b/>
          <w:bCs/>
          <w:color w:val="auto"/>
          <w:sz w:val="24"/>
          <w:szCs w:val="24"/>
          <w:highlight w:val="none"/>
        </w:rPr>
      </w:pPr>
      <w:r>
        <w:rPr>
          <w:rFonts w:hint="eastAsia" w:ascii="宋体" w:hAnsi="宋体" w:cs="宋体"/>
          <w:b/>
          <w:bCs/>
          <w:color w:val="auto"/>
          <w:sz w:val="24"/>
          <w:szCs w:val="24"/>
          <w:highlight w:val="none"/>
        </w:rPr>
        <w:t>（二）投标文件的递交</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投标人应在“投标人须知前附表”规定的投标文件递交截止时间前递交投标文件。</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投标人递交投标文件的地点：见“投标人须知前附表”。</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除“投标人须知前附表”另有规定外，投标人所递交的投标文件不予退还。</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招标人收到投标文件后，向投标人出具签收凭证。</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逾期送达的或者未送达指定地点的投标文件，招标人不予受理。</w:t>
      </w:r>
    </w:p>
    <w:p>
      <w:pPr>
        <w:snapToGrid w:val="0"/>
        <w:spacing w:line="360" w:lineRule="exact"/>
        <w:ind w:firstLine="354" w:firstLineChars="147"/>
        <w:jc w:val="left"/>
        <w:rPr>
          <w:rFonts w:ascii="宋体" w:cs="宋体"/>
          <w:b/>
          <w:bCs/>
          <w:color w:val="auto"/>
          <w:sz w:val="24"/>
          <w:szCs w:val="24"/>
          <w:highlight w:val="none"/>
        </w:rPr>
      </w:pPr>
      <w:r>
        <w:rPr>
          <w:rFonts w:hint="eastAsia" w:ascii="宋体" w:hAnsi="宋体" w:cs="宋体"/>
          <w:b/>
          <w:bCs/>
          <w:color w:val="auto"/>
          <w:sz w:val="24"/>
          <w:szCs w:val="24"/>
          <w:highlight w:val="none"/>
        </w:rPr>
        <w:t>（三）投标文件的修改与撤回</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在“投标人须知前附表”规定的投标文件递交截止时间前，投标人可以补充、修改或撤回已递交的投标文件，但应以书面形式通知招标人或者招标代理机构。</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投标人补充、修改或撤回已递交投标文件的书面通知，应按照本章第三、投标文件第（六）、投标文件第</w:t>
      </w:r>
      <w:r>
        <w:rPr>
          <w:rFonts w:hAnsi="宋体"/>
          <w:color w:val="auto"/>
          <w:sz w:val="24"/>
          <w:szCs w:val="24"/>
          <w:highlight w:val="none"/>
        </w:rPr>
        <w:t>4</w:t>
      </w:r>
      <w:r>
        <w:rPr>
          <w:rFonts w:hint="eastAsia" w:hAnsi="宋体"/>
          <w:color w:val="auto"/>
          <w:sz w:val="24"/>
          <w:szCs w:val="24"/>
          <w:highlight w:val="none"/>
        </w:rPr>
        <w:t>款的要求签字和盖章。招标人或招标代理机构收到书面通知后，向投标人出具签收凭证。</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修改的内容为投标文件的组成部分。修改的投标文件应按照本章第三、投标文件和第四、投标第（一）投标文件密封规定进行编制、密封、标记和递交，并标明“修改”字样。</w:t>
      </w:r>
    </w:p>
    <w:p>
      <w:pPr>
        <w:pStyle w:val="24"/>
        <w:spacing w:line="360" w:lineRule="exact"/>
        <w:ind w:firstLine="480" w:firstLineChars="200"/>
        <w:rPr>
          <w:rFonts w:hAnsi="宋体" w:cs="Times New Roman"/>
          <w:color w:val="auto"/>
          <w:sz w:val="24"/>
          <w:szCs w:val="24"/>
          <w:highlight w:val="none"/>
        </w:rPr>
      </w:pPr>
    </w:p>
    <w:bookmarkEnd w:id="80"/>
    <w:bookmarkEnd w:id="81"/>
    <w:p>
      <w:pPr>
        <w:pStyle w:val="19"/>
        <w:snapToGrid w:val="0"/>
        <w:spacing w:line="360" w:lineRule="exact"/>
        <w:ind w:firstLine="630" w:firstLineChars="196"/>
        <w:jc w:val="center"/>
        <w:rPr>
          <w:rFonts w:ascii="宋体" w:hAnsi="宋体" w:eastAsia="宋体" w:cs="Times New Roman"/>
          <w:b/>
          <w:bCs/>
          <w:snapToGrid w:val="0"/>
          <w:color w:val="auto"/>
          <w:highlight w:val="none"/>
        </w:rPr>
      </w:pPr>
      <w:bookmarkStart w:id="82" w:name="_Toc254970544"/>
      <w:bookmarkStart w:id="83" w:name="_Toc254970685"/>
      <w:r>
        <w:rPr>
          <w:rFonts w:hint="eastAsia" w:ascii="宋体" w:hAnsi="宋体" w:eastAsia="宋体" w:cs="宋体"/>
          <w:b/>
          <w:bCs/>
          <w:color w:val="auto"/>
          <w:highlight w:val="none"/>
        </w:rPr>
        <w:t>五、开标</w:t>
      </w:r>
      <w:bookmarkEnd w:id="82"/>
      <w:bookmarkEnd w:id="83"/>
    </w:p>
    <w:p>
      <w:pPr>
        <w:pStyle w:val="24"/>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（一）开标准备</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招标代理机构将在规定的时间和地点进行开标。采购代理机构在开标会现场登陆开标系统并输入投标供应商全称、社会统一信用代码、联系电话等信息，完成投标签到。疫情期间，投标人不参与开标会。</w:t>
      </w:r>
    </w:p>
    <w:p>
      <w:pPr>
        <w:pStyle w:val="24"/>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（二）开标程序：</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开标会由招标人人或其委托的招标代理机构主持，主持人宣布开标会议开始；</w:t>
      </w:r>
    </w:p>
    <w:p>
      <w:pPr>
        <w:pStyle w:val="24"/>
        <w:spacing w:line="360" w:lineRule="exact"/>
        <w:ind w:firstLine="480" w:firstLineChars="200"/>
        <w:rPr>
          <w:rFonts w:hAnsi="宋体"/>
          <w:color w:val="auto"/>
          <w:sz w:val="24"/>
          <w:szCs w:val="24"/>
          <w:highlight w:val="none"/>
        </w:rPr>
      </w:pPr>
      <w:r>
        <w:rPr>
          <w:rFonts w:hAnsi="宋体"/>
          <w:color w:val="auto"/>
          <w:sz w:val="24"/>
          <w:szCs w:val="24"/>
          <w:highlight w:val="none"/>
        </w:rPr>
        <w:t xml:space="preserve">2. </w:t>
      </w:r>
      <w:r>
        <w:rPr>
          <w:rFonts w:hint="eastAsia" w:hAnsi="宋体"/>
          <w:color w:val="auto"/>
          <w:sz w:val="24"/>
          <w:szCs w:val="24"/>
          <w:highlight w:val="none"/>
        </w:rPr>
        <w:t>宣布在提交投标文件截止时间前收到的投标文件数量；</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 xml:space="preserve">3. </w:t>
      </w:r>
      <w:r>
        <w:rPr>
          <w:rFonts w:hint="eastAsia" w:hAnsi="宋体"/>
          <w:color w:val="auto"/>
          <w:sz w:val="24"/>
          <w:szCs w:val="24"/>
          <w:highlight w:val="none"/>
        </w:rPr>
        <w:t>宣布开标纪律，开标人、唱标人、记录人、监督人等有关人员名单；；</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 xml:space="preserve"> 招标人代表检查投标文件的密封情况并签字确认；</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由招标人或招标代理机构工作人员当众拆封投标文件，宣布投标人名称、投标价格和其他需要宣布的其他内容；</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6.</w:t>
      </w:r>
      <w:r>
        <w:rPr>
          <w:rFonts w:hint="eastAsia" w:hAnsi="宋体"/>
          <w:color w:val="auto"/>
          <w:sz w:val="24"/>
          <w:szCs w:val="24"/>
          <w:highlight w:val="none"/>
        </w:rPr>
        <w:t>招标人或招标代理机构做开标记录</w:t>
      </w:r>
      <w:r>
        <w:rPr>
          <w:rFonts w:hAnsi="宋体"/>
          <w:color w:val="auto"/>
          <w:sz w:val="24"/>
          <w:szCs w:val="24"/>
          <w:highlight w:val="none"/>
        </w:rPr>
        <w:t xml:space="preserve">, </w:t>
      </w:r>
      <w:r>
        <w:rPr>
          <w:rFonts w:hint="eastAsia" w:hAnsi="宋体"/>
          <w:color w:val="auto"/>
          <w:sz w:val="24"/>
          <w:szCs w:val="24"/>
          <w:highlight w:val="none"/>
        </w:rPr>
        <w:t>由参加开标的各招标人代表和相关工作人员签字确认后随采购文件一并存档。</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7.</w:t>
      </w:r>
      <w:r>
        <w:rPr>
          <w:rFonts w:hint="eastAsia" w:hAnsi="宋体"/>
          <w:color w:val="auto"/>
          <w:sz w:val="24"/>
          <w:szCs w:val="24"/>
          <w:highlight w:val="none"/>
        </w:rPr>
        <w:t>开标会议结束。</w:t>
      </w:r>
    </w:p>
    <w:p>
      <w:pPr>
        <w:pStyle w:val="24"/>
        <w:snapToGrid w:val="0"/>
        <w:spacing w:line="360" w:lineRule="exact"/>
        <w:ind w:left="241" w:hanging="241" w:hangingChars="100"/>
        <w:rPr>
          <w:rFonts w:hAnsi="宋体" w:cs="Times New Roman"/>
          <w:b/>
          <w:bCs/>
          <w:color w:val="auto"/>
          <w:sz w:val="24"/>
          <w:szCs w:val="24"/>
          <w:highlight w:val="none"/>
        </w:rPr>
      </w:pPr>
      <w:bookmarkStart w:id="84" w:name="_Toc254970545"/>
      <w:bookmarkStart w:id="85" w:name="_Toc254970686"/>
    </w:p>
    <w:p>
      <w:pPr>
        <w:pStyle w:val="24"/>
        <w:snapToGrid w:val="0"/>
        <w:spacing w:line="360" w:lineRule="exact"/>
        <w:ind w:left="321" w:hanging="321" w:hangingChars="100"/>
        <w:jc w:val="center"/>
        <w:rPr>
          <w:rFonts w:hAnsi="宋体" w:cs="Times New Roman"/>
          <w:b/>
          <w:bCs/>
          <w:color w:val="auto"/>
          <w:sz w:val="32"/>
          <w:szCs w:val="32"/>
          <w:highlight w:val="none"/>
        </w:rPr>
      </w:pPr>
      <w:r>
        <w:rPr>
          <w:rFonts w:hint="eastAsia" w:hAnsi="宋体"/>
          <w:b/>
          <w:bCs/>
          <w:color w:val="auto"/>
          <w:sz w:val="32"/>
          <w:szCs w:val="32"/>
          <w:highlight w:val="none"/>
        </w:rPr>
        <w:t>六、评标</w:t>
      </w:r>
    </w:p>
    <w:bookmarkEnd w:id="84"/>
    <w:bookmarkEnd w:id="85"/>
    <w:p>
      <w:pPr>
        <w:pStyle w:val="24"/>
        <w:snapToGrid w:val="0"/>
        <w:spacing w:line="360" w:lineRule="exact"/>
        <w:ind w:left="241" w:hanging="241" w:hangingChars="100"/>
        <w:rPr>
          <w:rFonts w:hAnsi="宋体" w:cs="Times New Roman"/>
          <w:b/>
          <w:bCs/>
          <w:color w:val="auto"/>
          <w:sz w:val="24"/>
          <w:szCs w:val="24"/>
          <w:highlight w:val="none"/>
        </w:rPr>
      </w:pPr>
      <w:r>
        <w:rPr>
          <w:rFonts w:hint="eastAsia" w:hAnsi="宋体"/>
          <w:b/>
          <w:bCs/>
          <w:color w:val="auto"/>
          <w:sz w:val="24"/>
          <w:szCs w:val="24"/>
          <w:highlight w:val="none"/>
        </w:rPr>
        <w:t>（一）组建评标委员会</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评标委员会由采购人代表和评审专家组成，成员人数应当为</w:t>
      </w:r>
      <w:r>
        <w:rPr>
          <w:rFonts w:ascii="宋体" w:hAnsi="宋体" w:cs="宋体"/>
          <w:color w:val="auto"/>
          <w:sz w:val="24"/>
          <w:szCs w:val="24"/>
          <w:highlight w:val="none"/>
        </w:rPr>
        <w:t>5</w:t>
      </w:r>
      <w:r>
        <w:rPr>
          <w:rFonts w:hint="eastAsia" w:ascii="宋体" w:hAnsi="宋体" w:cs="宋体"/>
          <w:color w:val="auto"/>
          <w:sz w:val="24"/>
          <w:szCs w:val="24"/>
          <w:highlight w:val="none"/>
        </w:rPr>
        <w:t>人以上单数，其中评审专家不得少于成员总数的三分之二。</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采购项目符合下列情形之一的，评标委员会成员人数应当为</w:t>
      </w:r>
      <w:r>
        <w:rPr>
          <w:rFonts w:ascii="宋体" w:hAnsi="宋体" w:cs="宋体"/>
          <w:color w:val="auto"/>
          <w:sz w:val="24"/>
          <w:szCs w:val="24"/>
          <w:highlight w:val="none"/>
        </w:rPr>
        <w:t>7</w:t>
      </w:r>
      <w:r>
        <w:rPr>
          <w:rFonts w:hint="eastAsia" w:ascii="宋体" w:hAnsi="宋体" w:cs="宋体"/>
          <w:color w:val="auto"/>
          <w:sz w:val="24"/>
          <w:szCs w:val="24"/>
          <w:highlight w:val="none"/>
        </w:rPr>
        <w:t>人以上单数：</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．采购预算金额在</w:t>
      </w:r>
      <w:r>
        <w:rPr>
          <w:rFonts w:ascii="宋体" w:hAnsi="宋体" w:cs="宋体"/>
          <w:color w:val="auto"/>
          <w:sz w:val="24"/>
          <w:szCs w:val="24"/>
          <w:highlight w:val="none"/>
        </w:rPr>
        <w:t>1000</w:t>
      </w:r>
      <w:r>
        <w:rPr>
          <w:rFonts w:hint="eastAsia" w:ascii="宋体" w:hAnsi="宋体" w:cs="宋体"/>
          <w:color w:val="auto"/>
          <w:sz w:val="24"/>
          <w:szCs w:val="24"/>
          <w:highlight w:val="none"/>
        </w:rPr>
        <w:t>万元以上；</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．技术复杂；</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．社会影响较大。</w:t>
      </w:r>
    </w:p>
    <w:p>
      <w:pPr>
        <w:pStyle w:val="24"/>
        <w:snapToGrid w:val="0"/>
        <w:spacing w:line="360" w:lineRule="exact"/>
        <w:ind w:left="241" w:hanging="241" w:hangingChars="100"/>
        <w:rPr>
          <w:rFonts w:hAnsi="宋体" w:cs="Times New Roman"/>
          <w:b/>
          <w:bCs/>
          <w:color w:val="auto"/>
          <w:sz w:val="24"/>
          <w:szCs w:val="24"/>
          <w:highlight w:val="none"/>
        </w:rPr>
      </w:pPr>
      <w:r>
        <w:rPr>
          <w:rFonts w:hint="eastAsia" w:hAnsi="宋体"/>
          <w:b/>
          <w:bCs/>
          <w:color w:val="auto"/>
          <w:sz w:val="24"/>
          <w:szCs w:val="24"/>
          <w:highlight w:val="none"/>
        </w:rPr>
        <w:t>（二）评标的方式</w:t>
      </w:r>
    </w:p>
    <w:p>
      <w:pPr>
        <w:pStyle w:val="24"/>
        <w:snapToGrid w:val="0"/>
        <w:spacing w:line="360" w:lineRule="exact"/>
        <w:ind w:left="210" w:leftChars="100" w:firstLine="240" w:firstLineChars="100"/>
        <w:rPr>
          <w:rFonts w:hAnsi="宋体" w:cs="Times New Roman"/>
          <w:color w:val="auto"/>
          <w:sz w:val="24"/>
          <w:szCs w:val="24"/>
          <w:highlight w:val="none"/>
        </w:rPr>
      </w:pPr>
      <w:r>
        <w:rPr>
          <w:rFonts w:hint="eastAsia" w:hAnsi="宋体"/>
          <w:color w:val="auto"/>
          <w:sz w:val="24"/>
          <w:szCs w:val="24"/>
          <w:highlight w:val="none"/>
        </w:rPr>
        <w:t>本项目采用不公开方式评标，评标的依据为招标文件和投标文件。</w:t>
      </w:r>
    </w:p>
    <w:p>
      <w:pPr>
        <w:snapToGrid w:val="0"/>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（三）资格审查</w:t>
      </w:r>
    </w:p>
    <w:p>
      <w:pPr>
        <w:pStyle w:val="24"/>
        <w:snapToGrid w:val="0"/>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采购人代表对投标人的资格进行审查。合格投标人不足</w:t>
      </w:r>
      <w:r>
        <w:rPr>
          <w:rFonts w:hAnsi="宋体"/>
          <w:color w:val="auto"/>
          <w:sz w:val="24"/>
          <w:szCs w:val="24"/>
          <w:highlight w:val="none"/>
        </w:rPr>
        <w:t>3</w:t>
      </w:r>
      <w:r>
        <w:rPr>
          <w:rFonts w:hint="eastAsia" w:hAnsi="宋体"/>
          <w:color w:val="auto"/>
          <w:sz w:val="24"/>
          <w:szCs w:val="24"/>
          <w:highlight w:val="none"/>
        </w:rPr>
        <w:t>家的，不得评标。</w:t>
      </w:r>
    </w:p>
    <w:p>
      <w:pPr>
        <w:pStyle w:val="24"/>
        <w:snapToGrid w:val="0"/>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评标委员会仅对通过资格审查的投标人进行评审。</w:t>
      </w:r>
    </w:p>
    <w:p>
      <w:pPr>
        <w:pStyle w:val="24"/>
        <w:snapToGrid w:val="0"/>
        <w:spacing w:line="360" w:lineRule="exact"/>
        <w:ind w:left="241" w:hanging="241" w:hangingChars="100"/>
        <w:rPr>
          <w:rFonts w:hAnsi="宋体" w:cs="Times New Roman"/>
          <w:b/>
          <w:bCs/>
          <w:color w:val="auto"/>
          <w:sz w:val="24"/>
          <w:szCs w:val="24"/>
          <w:highlight w:val="none"/>
        </w:rPr>
      </w:pPr>
      <w:r>
        <w:rPr>
          <w:rFonts w:hint="eastAsia" w:hAnsi="宋体"/>
          <w:b/>
          <w:bCs/>
          <w:color w:val="auto"/>
          <w:sz w:val="24"/>
          <w:szCs w:val="24"/>
          <w:highlight w:val="none"/>
        </w:rPr>
        <w:t>（四）评标程序</w:t>
      </w:r>
    </w:p>
    <w:p>
      <w:pPr>
        <w:snapToGrid w:val="0"/>
        <w:spacing w:line="360" w:lineRule="exact"/>
        <w:ind w:firstLine="472" w:firstLineChars="196"/>
        <w:rPr>
          <w:rFonts w:ascii="宋体" w:cs="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实质审查与比较</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）评标委员会对通过资格审查的投标文件进行符合性审查。</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）评标委员会审查投标文件的实质性内容是否符合招标文件的实质性要求。</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）评标委员会将根据投标人的投标文件进行审查、核对</w:t>
      </w:r>
      <w:r>
        <w:rPr>
          <w:rFonts w:ascii="宋体" w:hAnsi="宋体" w:cs="宋体"/>
          <w:color w:val="auto"/>
          <w:sz w:val="24"/>
          <w:szCs w:val="24"/>
          <w:highlight w:val="none"/>
        </w:rPr>
        <w:t>,</w:t>
      </w:r>
      <w:r>
        <w:rPr>
          <w:rFonts w:hint="eastAsia" w:ascii="宋体" w:hAnsi="宋体" w:cs="宋体"/>
          <w:color w:val="auto"/>
          <w:sz w:val="24"/>
          <w:szCs w:val="24"/>
          <w:highlight w:val="none"/>
        </w:rPr>
        <w:t>如有疑问</w:t>
      </w:r>
      <w:r>
        <w:rPr>
          <w:rFonts w:ascii="宋体" w:hAnsi="宋体" w:cs="宋体"/>
          <w:color w:val="auto"/>
          <w:sz w:val="24"/>
          <w:szCs w:val="24"/>
          <w:highlight w:val="none"/>
        </w:rPr>
        <w:t>,</w:t>
      </w:r>
      <w:r>
        <w:rPr>
          <w:rFonts w:hint="eastAsia" w:ascii="宋体" w:hAnsi="宋体" w:cs="宋体"/>
          <w:color w:val="auto"/>
          <w:sz w:val="24"/>
          <w:szCs w:val="24"/>
          <w:highlight w:val="none"/>
        </w:rPr>
        <w:t>将对投标人进行询标</w:t>
      </w:r>
      <w:r>
        <w:rPr>
          <w:rFonts w:ascii="宋体" w:hAnsi="宋体" w:cs="宋体"/>
          <w:color w:val="auto"/>
          <w:sz w:val="24"/>
          <w:szCs w:val="24"/>
          <w:highlight w:val="none"/>
        </w:rPr>
        <w:t>,</w:t>
      </w:r>
      <w:r>
        <w:rPr>
          <w:rFonts w:hint="eastAsia" w:ascii="宋体" w:hAnsi="宋体" w:cs="宋体"/>
          <w:color w:val="auto"/>
          <w:sz w:val="24"/>
          <w:szCs w:val="24"/>
          <w:highlight w:val="none"/>
        </w:rPr>
        <w:t>投标人要向评标委员会澄清有关问题</w:t>
      </w:r>
      <w:r>
        <w:rPr>
          <w:rFonts w:ascii="宋体" w:hAnsi="宋体" w:cs="宋体"/>
          <w:color w:val="auto"/>
          <w:sz w:val="24"/>
          <w:szCs w:val="24"/>
          <w:highlight w:val="none"/>
        </w:rPr>
        <w:t>,</w:t>
      </w:r>
      <w:r>
        <w:rPr>
          <w:rFonts w:hint="eastAsia" w:ascii="宋体" w:hAnsi="宋体" w:cs="宋体"/>
          <w:color w:val="auto"/>
          <w:sz w:val="24"/>
          <w:szCs w:val="24"/>
          <w:highlight w:val="none"/>
        </w:rPr>
        <w:t>并最终以书面形式进行答复。</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）各投标人的技术得分为所有评委的有效评分的算术平均数，由指定专人进行计算复核。</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）代理机构工作人员协助评标委员会根据本项目的评分标准计算各投标人的商务报价得分。</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）评标委员会完成评标后</w:t>
      </w:r>
      <w:r>
        <w:rPr>
          <w:rFonts w:ascii="宋体" w:hAnsi="宋体" w:cs="宋体"/>
          <w:color w:val="auto"/>
          <w:sz w:val="24"/>
          <w:szCs w:val="24"/>
          <w:highlight w:val="none"/>
        </w:rPr>
        <w:t>,</w:t>
      </w:r>
      <w:r>
        <w:rPr>
          <w:rFonts w:hint="eastAsia" w:ascii="宋体" w:hAnsi="宋体" w:cs="宋体"/>
          <w:color w:val="auto"/>
          <w:sz w:val="24"/>
          <w:szCs w:val="24"/>
          <w:highlight w:val="none"/>
        </w:rPr>
        <w:t>评委对各部分得分汇总</w:t>
      </w:r>
      <w:r>
        <w:rPr>
          <w:rFonts w:ascii="宋体" w:hAnsi="宋体" w:cs="宋体"/>
          <w:color w:val="auto"/>
          <w:sz w:val="24"/>
          <w:szCs w:val="24"/>
          <w:highlight w:val="none"/>
        </w:rPr>
        <w:t>,</w:t>
      </w:r>
      <w:r>
        <w:rPr>
          <w:rFonts w:hint="eastAsia" w:ascii="宋体" w:hAnsi="宋体" w:cs="宋体"/>
          <w:color w:val="auto"/>
          <w:sz w:val="24"/>
          <w:szCs w:val="24"/>
          <w:highlight w:val="none"/>
        </w:rPr>
        <w:t>计算出本项目最终得分。评标委员会按评标原则推荐中标候选人同时起草评标报告。</w:t>
      </w:r>
    </w:p>
    <w:p>
      <w:pPr>
        <w:snapToGrid w:val="0"/>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（五）澄清问题的形式</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4"/>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（六）错误修正</w:t>
      </w:r>
    </w:p>
    <w:p>
      <w:pPr>
        <w:pStyle w:val="24"/>
        <w:snapToGrid w:val="0"/>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投标文件如果出现计算或表达上的错误，修正错误的原则如下：</w:t>
      </w:r>
    </w:p>
    <w:p>
      <w:pPr>
        <w:pStyle w:val="34"/>
        <w:spacing w:before="0" w:beforeAutospacing="0" w:after="0" w:afterAutospacing="0" w:line="360" w:lineRule="exact"/>
        <w:ind w:firstLine="480" w:firstLineChars="200"/>
        <w:rPr>
          <w:rFonts w:cs="Times New Roman"/>
          <w:color w:val="auto"/>
          <w:kern w:val="2"/>
          <w:highlight w:val="none"/>
        </w:rPr>
      </w:pPr>
      <w:r>
        <w:rPr>
          <w:color w:val="auto"/>
          <w:kern w:val="2"/>
          <w:highlight w:val="none"/>
        </w:rPr>
        <w:t>1</w:t>
      </w:r>
      <w:r>
        <w:rPr>
          <w:rFonts w:hint="eastAsia"/>
          <w:color w:val="auto"/>
          <w:kern w:val="2"/>
          <w:highlight w:val="none"/>
        </w:rPr>
        <w:t>、投标文件中开标一览表（报价表）内容与投标文件中相应内容不一致的，以开标一览表（报价表）为准；</w:t>
      </w:r>
    </w:p>
    <w:p>
      <w:pPr>
        <w:pStyle w:val="34"/>
        <w:spacing w:before="0" w:beforeAutospacing="0" w:after="0" w:afterAutospacing="0" w:line="360" w:lineRule="exact"/>
        <w:rPr>
          <w:rFonts w:cs="Times New Roman"/>
          <w:color w:val="auto"/>
          <w:kern w:val="2"/>
          <w:highlight w:val="none"/>
        </w:rPr>
      </w:pPr>
      <w:r>
        <w:rPr>
          <w:rFonts w:hint="eastAsia"/>
          <w:color w:val="auto"/>
          <w:kern w:val="2"/>
          <w:highlight w:val="none"/>
        </w:rPr>
        <w:t>　　</w:t>
      </w:r>
      <w:r>
        <w:rPr>
          <w:color w:val="auto"/>
          <w:kern w:val="2"/>
          <w:highlight w:val="none"/>
        </w:rPr>
        <w:t>2</w:t>
      </w:r>
      <w:r>
        <w:rPr>
          <w:rFonts w:hint="eastAsia"/>
          <w:color w:val="auto"/>
          <w:kern w:val="2"/>
          <w:highlight w:val="none"/>
        </w:rPr>
        <w:t>、大写金额和小写金额不一致的，以大写金额为准；</w:t>
      </w:r>
    </w:p>
    <w:p>
      <w:pPr>
        <w:pStyle w:val="34"/>
        <w:spacing w:before="0" w:beforeAutospacing="0" w:after="0" w:afterAutospacing="0" w:line="360" w:lineRule="exact"/>
        <w:rPr>
          <w:rFonts w:cs="Times New Roman"/>
          <w:color w:val="auto"/>
          <w:kern w:val="2"/>
          <w:highlight w:val="none"/>
        </w:rPr>
      </w:pPr>
      <w:r>
        <w:rPr>
          <w:rFonts w:hint="eastAsia"/>
          <w:color w:val="auto"/>
          <w:kern w:val="2"/>
          <w:highlight w:val="none"/>
        </w:rPr>
        <w:t>　　</w:t>
      </w:r>
      <w:r>
        <w:rPr>
          <w:color w:val="auto"/>
          <w:kern w:val="2"/>
          <w:highlight w:val="none"/>
        </w:rPr>
        <w:t>3</w:t>
      </w:r>
      <w:r>
        <w:rPr>
          <w:rFonts w:hint="eastAsia"/>
          <w:color w:val="auto"/>
          <w:kern w:val="2"/>
          <w:highlight w:val="none"/>
        </w:rPr>
        <w:t>、单价金额小数点或者百分比有明显错位的，以开标一览表的总价为准，并修改单价；</w:t>
      </w:r>
    </w:p>
    <w:p>
      <w:pPr>
        <w:pStyle w:val="34"/>
        <w:spacing w:before="0" w:beforeAutospacing="0" w:after="0" w:afterAutospacing="0" w:line="360" w:lineRule="exact"/>
        <w:rPr>
          <w:rFonts w:cs="Times New Roman"/>
          <w:color w:val="auto"/>
          <w:kern w:val="2"/>
          <w:highlight w:val="none"/>
        </w:rPr>
      </w:pPr>
      <w:r>
        <w:rPr>
          <w:rFonts w:hint="eastAsia"/>
          <w:color w:val="auto"/>
          <w:kern w:val="2"/>
          <w:highlight w:val="none"/>
        </w:rPr>
        <w:t>　　</w:t>
      </w:r>
      <w:r>
        <w:rPr>
          <w:color w:val="auto"/>
          <w:kern w:val="2"/>
          <w:highlight w:val="none"/>
        </w:rPr>
        <w:t>4</w:t>
      </w:r>
      <w:r>
        <w:rPr>
          <w:rFonts w:hint="eastAsia"/>
          <w:color w:val="auto"/>
          <w:kern w:val="2"/>
          <w:highlight w:val="none"/>
        </w:rPr>
        <w:t>、总价金额与按单价汇总金额不一致的，以单价金额计算结果为准。</w:t>
      </w:r>
    </w:p>
    <w:p>
      <w:pPr>
        <w:pStyle w:val="24"/>
        <w:tabs>
          <w:tab w:val="left" w:pos="567"/>
        </w:tabs>
        <w:snapToGrid w:val="0"/>
        <w:spacing w:line="360" w:lineRule="exact"/>
        <w:ind w:firstLine="482" w:firstLineChars="200"/>
        <w:rPr>
          <w:rFonts w:hAnsi="宋体" w:cs="Times New Roman"/>
          <w:b/>
          <w:bCs/>
          <w:color w:val="auto"/>
          <w:sz w:val="24"/>
          <w:szCs w:val="24"/>
          <w:highlight w:val="none"/>
        </w:rPr>
      </w:pPr>
      <w:r>
        <w:rPr>
          <w:rFonts w:hint="eastAsia" w:hAnsi="宋体"/>
          <w:b/>
          <w:bCs/>
          <w:color w:val="auto"/>
          <w:sz w:val="24"/>
          <w:szCs w:val="24"/>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4"/>
        <w:tabs>
          <w:tab w:val="left" w:pos="630"/>
        </w:tabs>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（七）评标原则和评标办法</w:t>
      </w:r>
    </w:p>
    <w:p>
      <w:pPr>
        <w:pStyle w:val="24"/>
        <w:snapToGrid w:val="0"/>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4"/>
        <w:snapToGrid w:val="0"/>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评标办法。本项目评标办法是</w:t>
      </w:r>
      <w:r>
        <w:rPr>
          <w:rFonts w:hint="eastAsia" w:hAnsi="宋体"/>
          <w:color w:val="auto"/>
          <w:sz w:val="24"/>
          <w:szCs w:val="24"/>
          <w:highlight w:val="none"/>
          <w:u w:val="single"/>
        </w:rPr>
        <w:t>综合评分法</w:t>
      </w:r>
      <w:r>
        <w:rPr>
          <w:rFonts w:hint="eastAsia" w:hAnsi="宋体"/>
          <w:color w:val="auto"/>
          <w:sz w:val="24"/>
          <w:szCs w:val="24"/>
          <w:highlight w:val="none"/>
        </w:rPr>
        <w:t>，具体评标内容及评分标准等详见《第四章：评标办法及评分标准》。</w:t>
      </w:r>
    </w:p>
    <w:p>
      <w:pPr>
        <w:snapToGrid w:val="0"/>
        <w:spacing w:line="400" w:lineRule="exact"/>
        <w:rPr>
          <w:rFonts w:ascii="宋体" w:cs="宋体"/>
          <w:b/>
          <w:bCs/>
          <w:color w:val="auto"/>
          <w:sz w:val="24"/>
          <w:szCs w:val="24"/>
          <w:highlight w:val="none"/>
        </w:rPr>
      </w:pPr>
      <w:r>
        <w:rPr>
          <w:rFonts w:hint="eastAsia" w:ascii="宋体" w:hAnsi="宋体" w:cs="宋体"/>
          <w:b/>
          <w:bCs/>
          <w:color w:val="auto"/>
          <w:sz w:val="24"/>
          <w:szCs w:val="24"/>
          <w:highlight w:val="none"/>
        </w:rPr>
        <w:t>（八）投标无效的情形</w:t>
      </w:r>
    </w:p>
    <w:p>
      <w:pPr>
        <w:spacing w:line="40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实质上没有响应招标文件要求的投标将被视为无效投标。投标人不得通过修正或撤销不合要求的偏离或保留从而使其投标成为实质上响应的投标</w:t>
      </w:r>
      <w:r>
        <w:rPr>
          <w:rFonts w:ascii="宋体" w:hAnsi="宋体" w:cs="宋体"/>
          <w:color w:val="auto"/>
          <w:sz w:val="24"/>
          <w:szCs w:val="24"/>
          <w:highlight w:val="none"/>
        </w:rPr>
        <w:t>,</w:t>
      </w:r>
      <w:r>
        <w:rPr>
          <w:rFonts w:hint="eastAsia" w:ascii="宋体" w:hAnsi="宋体" w:cs="宋体"/>
          <w:color w:val="auto"/>
          <w:sz w:val="24"/>
          <w:szCs w:val="24"/>
          <w:highlight w:val="none"/>
        </w:rPr>
        <w:t>但经评标委员会认定属于投标人疏忽、笔误所造成的差错</w:t>
      </w:r>
      <w:r>
        <w:rPr>
          <w:rFonts w:ascii="宋体" w:hAnsi="宋体" w:cs="宋体"/>
          <w:color w:val="auto"/>
          <w:sz w:val="24"/>
          <w:szCs w:val="24"/>
          <w:highlight w:val="none"/>
        </w:rPr>
        <w:t>,</w:t>
      </w:r>
      <w:r>
        <w:rPr>
          <w:rFonts w:hint="eastAsia" w:ascii="宋体" w:hAnsi="宋体" w:cs="宋体"/>
          <w:color w:val="auto"/>
          <w:sz w:val="24"/>
          <w:szCs w:val="24"/>
          <w:highlight w:val="none"/>
        </w:rPr>
        <w:t>应当允许其在评标结束之前进行修改或者补正</w:t>
      </w:r>
      <w:r>
        <w:rPr>
          <w:rFonts w:ascii="宋体" w:hAnsi="宋体" w:cs="宋体"/>
          <w:color w:val="auto"/>
          <w:sz w:val="24"/>
          <w:szCs w:val="24"/>
          <w:highlight w:val="none"/>
        </w:rPr>
        <w:t>(</w:t>
      </w:r>
      <w:r>
        <w:rPr>
          <w:rFonts w:hint="eastAsia" w:ascii="宋体" w:hAnsi="宋体" w:cs="宋体"/>
          <w:color w:val="auto"/>
          <w:sz w:val="24"/>
          <w:szCs w:val="24"/>
          <w:highlight w:val="none"/>
        </w:rPr>
        <w:t>可以是复印件、传真件等</w:t>
      </w:r>
      <w:r>
        <w:rPr>
          <w:rFonts w:ascii="宋体" w:hAnsi="宋体" w:cs="宋体"/>
          <w:color w:val="auto"/>
          <w:sz w:val="24"/>
          <w:szCs w:val="24"/>
          <w:highlight w:val="none"/>
        </w:rPr>
        <w:t>,</w:t>
      </w:r>
      <w:r>
        <w:rPr>
          <w:rFonts w:hint="eastAsia" w:ascii="宋体" w:hAnsi="宋体" w:cs="宋体"/>
          <w:color w:val="auto"/>
          <w:sz w:val="24"/>
          <w:szCs w:val="24"/>
          <w:highlight w:val="none"/>
        </w:rPr>
        <w:t>原件必须加盖单位公章</w:t>
      </w:r>
      <w:r>
        <w:rPr>
          <w:rFonts w:ascii="宋体" w:hAnsi="宋体" w:cs="宋体"/>
          <w:color w:val="auto"/>
          <w:sz w:val="24"/>
          <w:szCs w:val="24"/>
          <w:highlight w:val="none"/>
        </w:rPr>
        <w:t>)</w:t>
      </w:r>
      <w:r>
        <w:rPr>
          <w:rFonts w:hint="eastAsia" w:ascii="宋体" w:hAnsi="宋体" w:cs="宋体"/>
          <w:color w:val="auto"/>
          <w:sz w:val="24"/>
          <w:szCs w:val="24"/>
          <w:highlight w:val="none"/>
        </w:rPr>
        <w:t>。修改或者补正投标文件必须以书面形式进行</w:t>
      </w:r>
      <w:r>
        <w:rPr>
          <w:rFonts w:ascii="宋体" w:hAnsi="宋体" w:cs="宋体"/>
          <w:color w:val="auto"/>
          <w:sz w:val="24"/>
          <w:szCs w:val="24"/>
          <w:highlight w:val="none"/>
        </w:rPr>
        <w:t>,</w:t>
      </w:r>
      <w:r>
        <w:rPr>
          <w:rFonts w:hint="eastAsia" w:ascii="宋体" w:hAnsi="宋体" w:cs="宋体"/>
          <w:color w:val="auto"/>
          <w:sz w:val="24"/>
          <w:szCs w:val="24"/>
          <w:highlight w:val="none"/>
        </w:rPr>
        <w:t>并在中标结果公告之前核查原件。限期内不补正或经补正后仍不符合招标文件要求的</w:t>
      </w:r>
      <w:r>
        <w:rPr>
          <w:rFonts w:ascii="宋体" w:hAnsi="宋体" w:cs="宋体"/>
          <w:color w:val="auto"/>
          <w:sz w:val="24"/>
          <w:szCs w:val="24"/>
          <w:highlight w:val="none"/>
        </w:rPr>
        <w:t>,</w:t>
      </w:r>
      <w:r>
        <w:rPr>
          <w:rFonts w:hint="eastAsia" w:ascii="宋体" w:hAnsi="宋体" w:cs="宋体"/>
          <w:color w:val="auto"/>
          <w:sz w:val="24"/>
          <w:szCs w:val="24"/>
          <w:highlight w:val="none"/>
        </w:rPr>
        <w:t>应认定其投标无效。投标人修改、补正投标文件后</w:t>
      </w:r>
      <w:r>
        <w:rPr>
          <w:rFonts w:ascii="宋体" w:hAnsi="宋体" w:cs="宋体"/>
          <w:color w:val="auto"/>
          <w:sz w:val="24"/>
          <w:szCs w:val="24"/>
          <w:highlight w:val="none"/>
        </w:rPr>
        <w:t>,</w:t>
      </w:r>
      <w:r>
        <w:rPr>
          <w:rFonts w:hint="eastAsia" w:ascii="宋体" w:hAnsi="宋体" w:cs="宋体"/>
          <w:color w:val="auto"/>
          <w:sz w:val="24"/>
          <w:szCs w:val="24"/>
          <w:highlight w:val="none"/>
        </w:rPr>
        <w:t>不影响评标委员会对其投标文件所作的评价和评分结果。</w:t>
      </w:r>
    </w:p>
    <w:p>
      <w:pPr>
        <w:snapToGrid w:val="0"/>
        <w:spacing w:line="400" w:lineRule="exact"/>
        <w:ind w:firstLine="470" w:firstLineChars="196"/>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在资格性审查时，如发现下列情形之一的，投标文件将被视为无效：</w:t>
      </w:r>
    </w:p>
    <w:p>
      <w:pPr>
        <w:snapToGrid w:val="0"/>
        <w:spacing w:line="400" w:lineRule="exact"/>
        <w:ind w:firstLine="470" w:firstLineChars="196"/>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）不符合招标公告中对投标人的资格要求的（包括超越了按照法律法规规定必须获得行政许可证或者行政审批的经营范围的）；</w:t>
      </w:r>
    </w:p>
    <w:p>
      <w:pPr>
        <w:snapToGrid w:val="0"/>
        <w:spacing w:line="400" w:lineRule="exact"/>
        <w:ind w:firstLine="470" w:firstLineChars="196"/>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）资格证明文件不全或不符合招标文件表明的资格要求的。</w:t>
      </w:r>
    </w:p>
    <w:p>
      <w:pPr>
        <w:snapToGrid w:val="0"/>
        <w:spacing w:line="400" w:lineRule="exact"/>
        <w:ind w:firstLine="470" w:firstLineChars="196"/>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在符合性审查时，如发现下列情形之一的，投标文件将被视为无效：</w:t>
      </w:r>
    </w:p>
    <w:p>
      <w:pPr>
        <w:snapToGrid w:val="0"/>
        <w:spacing w:line="400" w:lineRule="exact"/>
        <w:ind w:firstLine="470" w:firstLineChars="196"/>
        <w:rPr>
          <w:rFonts w:ascii="宋体" w:cs="宋体"/>
          <w:color w:val="auto"/>
          <w:kern w:val="0"/>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）投标文件无法定代表人或其授权委托代理人签字</w:t>
      </w:r>
      <w:r>
        <w:rPr>
          <w:rFonts w:ascii="宋体" w:hAnsi="宋体" w:cs="宋体"/>
          <w:color w:val="auto"/>
          <w:sz w:val="24"/>
          <w:szCs w:val="24"/>
          <w:highlight w:val="none"/>
        </w:rPr>
        <w:t>,</w:t>
      </w:r>
      <w:r>
        <w:rPr>
          <w:rFonts w:hint="eastAsia" w:ascii="宋体" w:hAnsi="宋体" w:cs="宋体"/>
          <w:color w:val="auto"/>
          <w:sz w:val="24"/>
          <w:szCs w:val="24"/>
          <w:highlight w:val="none"/>
        </w:rPr>
        <w:t>或未</w:t>
      </w:r>
      <w:r>
        <w:rPr>
          <w:rFonts w:hint="eastAsia" w:ascii="宋体" w:hAnsi="宋体" w:cs="宋体"/>
          <w:color w:val="auto"/>
          <w:kern w:val="0"/>
          <w:sz w:val="24"/>
          <w:szCs w:val="24"/>
          <w:highlight w:val="none"/>
        </w:rPr>
        <w:t>提供法定代表人授权委托书、声明书或者填写项目不齐全的；</w:t>
      </w:r>
    </w:p>
    <w:p>
      <w:pPr>
        <w:snapToGrid w:val="0"/>
        <w:spacing w:line="400" w:lineRule="exact"/>
        <w:ind w:firstLine="470" w:firstLineChars="196"/>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）投标代表人未能出具身份证明或与法定代表人授权委托人身份不符的；</w:t>
      </w:r>
    </w:p>
    <w:p>
      <w:pPr>
        <w:pStyle w:val="19"/>
        <w:snapToGrid w:val="0"/>
        <w:spacing w:line="400" w:lineRule="exact"/>
        <w:ind w:firstLine="470" w:firstLineChars="196"/>
        <w:rPr>
          <w:rFonts w:ascii="宋体" w:hAnsi="宋体" w:eastAsia="宋体" w:cs="Times New Roman"/>
          <w:snapToGrid w:val="0"/>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snapToGrid w:val="0"/>
          <w:color w:val="auto"/>
          <w:sz w:val="24"/>
          <w:szCs w:val="24"/>
          <w:highlight w:val="none"/>
        </w:rPr>
        <w:t>3</w:t>
      </w:r>
      <w:r>
        <w:rPr>
          <w:rFonts w:hint="eastAsia" w:ascii="宋体" w:hAnsi="宋体" w:eastAsia="宋体" w:cs="宋体"/>
          <w:snapToGrid w:val="0"/>
          <w:color w:val="auto"/>
          <w:sz w:val="24"/>
          <w:szCs w:val="24"/>
          <w:highlight w:val="none"/>
        </w:rPr>
        <w:t>）</w:t>
      </w:r>
      <w:r>
        <w:rPr>
          <w:rFonts w:hint="eastAsia" w:ascii="宋体" w:hAnsi="宋体" w:eastAsia="宋体" w:cs="宋体"/>
          <w:color w:val="auto"/>
          <w:sz w:val="24"/>
          <w:szCs w:val="24"/>
          <w:highlight w:val="none"/>
        </w:rPr>
        <w:t>项目不齐全或者内容虚假的；</w:t>
      </w:r>
    </w:p>
    <w:p>
      <w:pPr>
        <w:pStyle w:val="19"/>
        <w:snapToGrid w:val="0"/>
        <w:spacing w:line="400" w:lineRule="exact"/>
        <w:ind w:firstLine="470" w:firstLineChars="196"/>
        <w:rPr>
          <w:rFonts w:ascii="宋体" w:hAnsi="宋体" w:eastAsia="宋体" w:cs="Times New Roman"/>
          <w:snapToGrid w:val="0"/>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）投标文件的实质性内容未使用中文表述、意思表述不明确、前后矛盾或者使用计量单位不符合招标文件要求的（经评标委员会认定并允许其当场更正的笔误除外）</w:t>
      </w:r>
    </w:p>
    <w:p>
      <w:pPr>
        <w:pStyle w:val="19"/>
        <w:snapToGrid w:val="0"/>
        <w:spacing w:line="400" w:lineRule="exact"/>
        <w:ind w:firstLine="470" w:firstLineChars="196"/>
        <w:rPr>
          <w:rFonts w:ascii="宋体" w:hAnsi="宋体" w:eastAsia="宋体" w:cs="Times New Roman"/>
          <w:snapToGrid w:val="0"/>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snapToGrid w:val="0"/>
          <w:color w:val="auto"/>
          <w:sz w:val="24"/>
          <w:szCs w:val="24"/>
          <w:highlight w:val="none"/>
        </w:rPr>
        <w:t>5</w:t>
      </w:r>
      <w:r>
        <w:rPr>
          <w:rFonts w:hint="eastAsia" w:ascii="宋体" w:hAnsi="宋体" w:eastAsia="宋体" w:cs="宋体"/>
          <w:snapToGrid w:val="0"/>
          <w:color w:val="auto"/>
          <w:sz w:val="24"/>
          <w:szCs w:val="24"/>
          <w:highlight w:val="none"/>
        </w:rPr>
        <w:t>）投标有效期、服务期限等商务条款不能满足招标文件要求的；</w:t>
      </w:r>
    </w:p>
    <w:p>
      <w:pPr>
        <w:pStyle w:val="19"/>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6</w:t>
      </w:r>
      <w:r>
        <w:rPr>
          <w:rFonts w:hint="eastAsia" w:ascii="宋体" w:hAnsi="宋体" w:eastAsia="宋体" w:cs="宋体"/>
          <w:color w:val="auto"/>
          <w:sz w:val="24"/>
          <w:szCs w:val="24"/>
          <w:highlight w:val="none"/>
        </w:rPr>
        <w:t>）未实质性响应招标文件要求或者投标文件有招标方不能接受的附加条件或者</w:t>
      </w:r>
      <w:r>
        <w:rPr>
          <w:rFonts w:hint="eastAsia" w:ascii="宋体" w:hAnsi="宋体" w:eastAsia="宋体" w:cs="宋体"/>
          <w:color w:val="auto"/>
          <w:kern w:val="0"/>
          <w:sz w:val="24"/>
          <w:szCs w:val="24"/>
          <w:highlight w:val="none"/>
        </w:rPr>
        <w:t>投标人有相互串通行为</w:t>
      </w:r>
      <w:r>
        <w:rPr>
          <w:rFonts w:hint="eastAsia" w:ascii="宋体" w:hAnsi="宋体" w:eastAsia="宋体" w:cs="宋体"/>
          <w:color w:val="auto"/>
          <w:sz w:val="24"/>
          <w:szCs w:val="24"/>
          <w:highlight w:val="none"/>
        </w:rPr>
        <w:t>的；</w:t>
      </w:r>
    </w:p>
    <w:p>
      <w:pPr>
        <w:pStyle w:val="19"/>
        <w:snapToGrid w:val="0"/>
        <w:spacing w:line="400" w:lineRule="exact"/>
        <w:ind w:firstLine="590" w:firstLineChars="246"/>
        <w:rPr>
          <w:rFonts w:ascii="宋体" w:hAnsi="宋体" w:eastAsia="宋体" w:cs="Times New Roman"/>
          <w:color w:val="auto"/>
          <w:sz w:val="24"/>
          <w:szCs w:val="24"/>
          <w:highlight w:val="none"/>
        </w:rPr>
      </w:pPr>
      <w:r>
        <w:rPr>
          <w:rFonts w:hint="eastAsia" w:ascii="宋体" w:hAnsi="宋体" w:eastAsia="宋体" w:cs="宋体"/>
          <w:snapToGrid w:val="0"/>
          <w:color w:val="auto"/>
          <w:sz w:val="24"/>
          <w:szCs w:val="24"/>
          <w:highlight w:val="none"/>
        </w:rPr>
        <w:t>（</w:t>
      </w:r>
      <w:r>
        <w:rPr>
          <w:rFonts w:ascii="宋体" w:hAnsi="宋体" w:eastAsia="宋体" w:cs="宋体"/>
          <w:snapToGrid w:val="0"/>
          <w:color w:val="auto"/>
          <w:sz w:val="24"/>
          <w:szCs w:val="24"/>
          <w:highlight w:val="none"/>
        </w:rPr>
        <w:t>8</w:t>
      </w:r>
      <w:r>
        <w:rPr>
          <w:rFonts w:hint="eastAsia" w:ascii="宋体" w:hAnsi="宋体" w:eastAsia="宋体" w:cs="宋体"/>
          <w:snapToGrid w:val="0"/>
          <w:color w:val="auto"/>
          <w:sz w:val="24"/>
          <w:szCs w:val="24"/>
          <w:highlight w:val="none"/>
        </w:rPr>
        <w:t>）</w:t>
      </w:r>
      <w:r>
        <w:rPr>
          <w:rFonts w:hint="eastAsia" w:ascii="宋体" w:hAnsi="宋体" w:eastAsia="宋体" w:cs="宋体"/>
          <w:color w:val="auto"/>
          <w:sz w:val="24"/>
          <w:szCs w:val="24"/>
          <w:highlight w:val="none"/>
        </w:rPr>
        <w:t>法律、法规规定“投标无效”或招标文件规定的其他“投标无效”的情形的。</w:t>
      </w:r>
    </w:p>
    <w:p>
      <w:pPr>
        <w:pStyle w:val="19"/>
        <w:snapToGrid w:val="0"/>
        <w:spacing w:line="400" w:lineRule="exact"/>
        <w:ind w:firstLine="470" w:firstLineChars="196"/>
        <w:rPr>
          <w:rFonts w:ascii="宋体" w:hAnsi="宋体" w:eastAsia="宋体" w:cs="Times New Roman"/>
          <w:color w:val="auto"/>
          <w:sz w:val="24"/>
          <w:szCs w:val="24"/>
          <w:highlight w:val="none"/>
        </w:rPr>
      </w:pP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在技术评审时，如发现下列情形之一的，投标文件将被视为无效：</w:t>
      </w:r>
    </w:p>
    <w:p>
      <w:pPr>
        <w:pStyle w:val="19"/>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）未提供或未如实提供投标服务的技术参数，或者投标文件标明的响应或偏离与事实不符或虚假投标的；</w:t>
      </w:r>
    </w:p>
    <w:p>
      <w:pPr>
        <w:pStyle w:val="19"/>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明显不符合招标文件要求的质量标准，或者与</w:t>
      </w:r>
      <w:r>
        <w:rPr>
          <w:rFonts w:hint="eastAsia" w:ascii="宋体" w:hAnsi="宋体" w:eastAsia="宋体" w:cs="宋体"/>
          <w:color w:val="auto"/>
          <w:sz w:val="24"/>
          <w:szCs w:val="24"/>
          <w:highlight w:val="none"/>
        </w:rPr>
        <w:t>招标文件中标“▲或★”的任何一项技术指标、主要功能项目或技术要求发生实质性负偏离的；</w:t>
      </w:r>
    </w:p>
    <w:p>
      <w:pPr>
        <w:pStyle w:val="19"/>
        <w:spacing w:line="400" w:lineRule="exact"/>
        <w:ind w:firstLine="480" w:firstLineChars="200"/>
        <w:rPr>
          <w:rFonts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允许偏离的技术、性能指标或者辅助功能项目发生</w:t>
      </w:r>
      <w:r>
        <w:rPr>
          <w:rFonts w:hint="eastAsia" w:ascii="宋体" w:hAnsi="宋体" w:eastAsia="宋体" w:cs="宋体"/>
          <w:color w:val="auto"/>
          <w:sz w:val="24"/>
          <w:szCs w:val="24"/>
          <w:highlight w:val="none"/>
        </w:rPr>
        <w:t>实质性</w:t>
      </w:r>
      <w:r>
        <w:rPr>
          <w:rFonts w:hint="eastAsia" w:ascii="宋体" w:hAnsi="宋体" w:eastAsia="宋体" w:cs="宋体"/>
          <w:snapToGrid w:val="0"/>
          <w:color w:val="auto"/>
          <w:sz w:val="24"/>
          <w:szCs w:val="24"/>
          <w:highlight w:val="none"/>
        </w:rPr>
        <w:t>负偏离达</w:t>
      </w:r>
      <w:r>
        <w:rPr>
          <w:rFonts w:ascii="宋体" w:hAnsi="宋体" w:eastAsia="宋体" w:cs="宋体"/>
          <w:snapToGrid w:val="0"/>
          <w:color w:val="auto"/>
          <w:sz w:val="24"/>
          <w:szCs w:val="24"/>
          <w:highlight w:val="none"/>
          <w:u w:val="single"/>
        </w:rPr>
        <w:t xml:space="preserve"> 3 </w:t>
      </w:r>
      <w:r>
        <w:rPr>
          <w:rFonts w:hint="eastAsia" w:ascii="宋体" w:hAnsi="宋体" w:eastAsia="宋体" w:cs="宋体"/>
          <w:snapToGrid w:val="0"/>
          <w:color w:val="auto"/>
          <w:sz w:val="24"/>
          <w:szCs w:val="24"/>
          <w:highlight w:val="none"/>
        </w:rPr>
        <w:t>项以上（含</w:t>
      </w:r>
      <w:r>
        <w:rPr>
          <w:rFonts w:ascii="宋体" w:hAnsi="宋体" w:eastAsia="宋体" w:cs="宋体"/>
          <w:snapToGrid w:val="0"/>
          <w:color w:val="auto"/>
          <w:sz w:val="24"/>
          <w:szCs w:val="24"/>
          <w:highlight w:val="none"/>
          <w:u w:val="single"/>
        </w:rPr>
        <w:t xml:space="preserve"> 3 </w:t>
      </w:r>
      <w:r>
        <w:rPr>
          <w:rFonts w:hint="eastAsia" w:ascii="宋体" w:hAnsi="宋体" w:eastAsia="宋体" w:cs="宋体"/>
          <w:snapToGrid w:val="0"/>
          <w:color w:val="auto"/>
          <w:sz w:val="24"/>
          <w:szCs w:val="24"/>
          <w:highlight w:val="none"/>
        </w:rPr>
        <w:t>项）的；</w:t>
      </w:r>
    </w:p>
    <w:p>
      <w:pPr>
        <w:pStyle w:val="19"/>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）投标技术方案不明确，存在一个或一个以上备选（替代）投标方案的；</w:t>
      </w:r>
    </w:p>
    <w:p>
      <w:pPr>
        <w:pStyle w:val="19"/>
        <w:snapToGrid w:val="0"/>
        <w:spacing w:line="400" w:lineRule="exact"/>
        <w:ind w:firstLine="470" w:firstLineChars="196"/>
        <w:rPr>
          <w:rFonts w:ascii="宋体" w:hAnsi="宋体" w:eastAsia="宋体" w:cs="Times New Roman"/>
          <w:color w:val="auto"/>
          <w:sz w:val="24"/>
          <w:szCs w:val="24"/>
          <w:highlight w:val="none"/>
        </w:rPr>
      </w:pP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在报价评审时，如发现下列情形之一的，投标文件将被视为无效：</w:t>
      </w:r>
    </w:p>
    <w:p>
      <w:pPr>
        <w:pStyle w:val="19"/>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）未采用人民币报价或者未按照招标文件标明的币种报价的；</w:t>
      </w:r>
    </w:p>
    <w:p>
      <w:pPr>
        <w:pStyle w:val="19"/>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）报价超出最高限价，或者超出总采购预算金额或分项采购预算，采购人不能支付的；</w:t>
      </w:r>
    </w:p>
    <w:p>
      <w:pPr>
        <w:pStyle w:val="19"/>
        <w:snapToGrid w:val="0"/>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）投标报价具有选择性，或者开标价格与投标文件承诺的优惠（折扣）价格不一致的；</w:t>
      </w:r>
    </w:p>
    <w:p>
      <w:pPr>
        <w:pStyle w:val="19"/>
        <w:snapToGrid w:val="0"/>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9"/>
        <w:snapToGrid w:val="0"/>
        <w:spacing w:line="400" w:lineRule="exact"/>
        <w:ind w:firstLine="470" w:firstLineChars="196"/>
        <w:outlineLvl w:val="0"/>
        <w:rPr>
          <w:rFonts w:ascii="宋体" w:hAnsi="宋体" w:eastAsia="宋体" w:cs="宋体"/>
          <w:color w:val="auto"/>
          <w:sz w:val="24"/>
          <w:szCs w:val="24"/>
          <w:highlight w:val="none"/>
        </w:rPr>
      </w:pPr>
      <w:bookmarkStart w:id="86" w:name="_Toc25683"/>
      <w:bookmarkStart w:id="87" w:name="_Toc2878"/>
      <w:bookmarkStart w:id="88" w:name="_Toc22501"/>
      <w:bookmarkStart w:id="89" w:name="_Toc27262"/>
      <w:r>
        <w:rPr>
          <w:rFonts w:ascii="宋体" w:hAnsi="宋体" w:eastAsia="宋体" w:cs="宋体"/>
          <w:color w:val="auto"/>
          <w:sz w:val="24"/>
          <w:szCs w:val="24"/>
          <w:highlight w:val="none"/>
        </w:rPr>
        <w:t>5.</w:t>
      </w:r>
      <w:r>
        <w:rPr>
          <w:rFonts w:hint="eastAsia" w:ascii="宋体" w:hAnsi="宋体" w:eastAsia="宋体" w:cs="宋体"/>
          <w:color w:val="auto"/>
          <w:sz w:val="24"/>
          <w:szCs w:val="24"/>
          <w:highlight w:val="none"/>
        </w:rPr>
        <w:t>有下列情形之一的视为关联供应商参加同一合同项下政府采购活动，投标文件将被视为无效</w:t>
      </w:r>
      <w:r>
        <w:rPr>
          <w:rFonts w:ascii="宋体" w:hAnsi="宋体" w:eastAsia="宋体" w:cs="宋体"/>
          <w:color w:val="auto"/>
          <w:sz w:val="24"/>
          <w:szCs w:val="24"/>
          <w:highlight w:val="none"/>
        </w:rPr>
        <w:t>:</w:t>
      </w:r>
      <w:bookmarkEnd w:id="86"/>
      <w:bookmarkEnd w:id="87"/>
      <w:bookmarkEnd w:id="88"/>
      <w:bookmarkEnd w:id="89"/>
    </w:p>
    <w:p>
      <w:pPr>
        <w:pStyle w:val="19"/>
        <w:snapToGrid w:val="0"/>
        <w:spacing w:line="400" w:lineRule="exact"/>
        <w:ind w:firstLine="470" w:firstLineChars="196"/>
        <w:outlineLvl w:val="0"/>
        <w:rPr>
          <w:rFonts w:ascii="宋体" w:hAnsi="宋体" w:eastAsia="宋体" w:cs="Times New Roman"/>
          <w:color w:val="auto"/>
          <w:sz w:val="24"/>
          <w:szCs w:val="24"/>
          <w:highlight w:val="none"/>
        </w:rPr>
      </w:pPr>
      <w:bookmarkStart w:id="90" w:name="_Toc31174"/>
      <w:bookmarkStart w:id="91" w:name="_Toc30706"/>
      <w:bookmarkStart w:id="92" w:name="_Toc17878"/>
      <w:bookmarkStart w:id="93" w:name="_Toc23032"/>
      <w:r>
        <w:rPr>
          <w:rFonts w:hint="eastAsia" w:ascii="宋体" w:hAnsi="宋体" w:eastAsia="宋体" w:cs="宋体"/>
          <w:color w:val="auto"/>
          <w:sz w:val="24"/>
          <w:szCs w:val="24"/>
          <w:highlight w:val="none"/>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90"/>
      <w:bookmarkEnd w:id="91"/>
      <w:bookmarkEnd w:id="92"/>
      <w:bookmarkEnd w:id="93"/>
    </w:p>
    <w:p>
      <w:pPr>
        <w:pStyle w:val="19"/>
        <w:snapToGrid w:val="0"/>
        <w:spacing w:line="400" w:lineRule="exact"/>
        <w:ind w:firstLine="470" w:firstLineChars="196"/>
        <w:outlineLvl w:val="0"/>
        <w:rPr>
          <w:rFonts w:ascii="宋体" w:hAnsi="宋体" w:eastAsia="宋体" w:cs="Times New Roman"/>
          <w:color w:val="auto"/>
          <w:sz w:val="24"/>
          <w:szCs w:val="24"/>
          <w:highlight w:val="none"/>
        </w:rPr>
      </w:pPr>
      <w:bookmarkStart w:id="94" w:name="_Toc27011"/>
      <w:bookmarkStart w:id="95" w:name="_Toc27356"/>
      <w:bookmarkStart w:id="96" w:name="_Toc7850"/>
      <w:bookmarkStart w:id="97" w:name="_Toc3126"/>
      <w:r>
        <w:rPr>
          <w:rFonts w:ascii="宋体" w:hAnsi="宋体" w:eastAsia="宋体" w:cs="宋体"/>
          <w:color w:val="auto"/>
          <w:sz w:val="24"/>
          <w:szCs w:val="24"/>
          <w:highlight w:val="none"/>
        </w:rPr>
        <w:t xml:space="preserve">6. </w:t>
      </w:r>
      <w:r>
        <w:rPr>
          <w:rFonts w:hint="eastAsia" w:ascii="宋体" w:hAnsi="宋体" w:eastAsia="宋体" w:cs="宋体"/>
          <w:color w:val="auto"/>
          <w:sz w:val="24"/>
          <w:szCs w:val="24"/>
          <w:highlight w:val="none"/>
        </w:rPr>
        <w:t>有本须知总则特别说明（八）第</w:t>
      </w:r>
      <w:r>
        <w:rPr>
          <w:rFonts w:ascii="宋体" w:hAnsi="宋体" w:eastAsia="宋体" w:cs="宋体"/>
          <w:color w:val="auto"/>
          <w:sz w:val="24"/>
          <w:szCs w:val="24"/>
          <w:highlight w:val="none"/>
        </w:rPr>
        <w:t>5</w:t>
      </w:r>
      <w:r>
        <w:rPr>
          <w:rFonts w:hint="eastAsia" w:ascii="宋体" w:hAnsi="宋体" w:eastAsia="宋体" w:cs="宋体"/>
          <w:color w:val="auto"/>
          <w:sz w:val="24"/>
          <w:szCs w:val="24"/>
          <w:highlight w:val="none"/>
        </w:rPr>
        <w:t>款情形之一的视为投标人相互串通，投标文件将视为无效。</w:t>
      </w:r>
      <w:bookmarkEnd w:id="94"/>
      <w:bookmarkEnd w:id="95"/>
      <w:bookmarkEnd w:id="96"/>
      <w:bookmarkEnd w:id="97"/>
    </w:p>
    <w:p>
      <w:pPr>
        <w:pStyle w:val="24"/>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（九）评标过程的监控</w:t>
      </w:r>
    </w:p>
    <w:p>
      <w:pPr>
        <w:pStyle w:val="24"/>
        <w:snapToGrid w:val="0"/>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本项目评标过程实行全程录音、录像监控，投标人在评标过程中所进行的试图影响评标结果的不公正活动，可能导致其投标被拒绝。</w:t>
      </w:r>
    </w:p>
    <w:p>
      <w:pPr>
        <w:pStyle w:val="24"/>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（十）信用查询</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根据《关于做好政府采购有关信用主体标识码登记及在政府采购活动中查询使用信用记录有关问题的通知》桂财采〔</w:t>
      </w:r>
      <w:r>
        <w:rPr>
          <w:rFonts w:ascii="宋体" w:hAnsi="宋体" w:cs="宋体"/>
          <w:color w:val="auto"/>
          <w:sz w:val="24"/>
          <w:szCs w:val="24"/>
          <w:highlight w:val="none"/>
        </w:rPr>
        <w:t>2016</w:t>
      </w:r>
      <w:r>
        <w:rPr>
          <w:rFonts w:hint="eastAsia" w:ascii="宋体" w:hAnsi="宋体" w:cs="宋体"/>
          <w:color w:val="auto"/>
          <w:sz w:val="24"/>
          <w:szCs w:val="24"/>
          <w:highlight w:val="none"/>
        </w:rPr>
        <w:t>〕</w:t>
      </w:r>
      <w:r>
        <w:rPr>
          <w:rFonts w:ascii="宋体" w:hAnsi="宋体" w:cs="宋体"/>
          <w:color w:val="auto"/>
          <w:sz w:val="24"/>
          <w:szCs w:val="24"/>
          <w:highlight w:val="none"/>
        </w:rPr>
        <w:t>37</w:t>
      </w:r>
      <w:r>
        <w:rPr>
          <w:rFonts w:hint="eastAsia" w:ascii="宋体" w:hAnsi="宋体" w:cs="宋体"/>
          <w:color w:val="auto"/>
          <w:sz w:val="24"/>
          <w:szCs w:val="24"/>
          <w:highlight w:val="none"/>
        </w:rPr>
        <w:t>号的通知，中标通知书发出前，由采购代理机构对第一中标候选人进行信用查询：</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⑴查询渠道：“信用中国”网站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等；</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⑵查询截止时点：中标通知书发出前；</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⑶信用信息查询记录和证据留存方式：在查询网站中直接打印查询记录，打印材料作为采购活动资料保存。</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⑷信用信息使用规则：对在“信用中国”网站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等渠道列入失信被执行人、重大税收违法案件当事人名单、政府采购严重违法失信行为记录名单及其他不符合《中华人民共和国政府采购法》第二十二条规定，生产或经营本次招标采购货物的供应商条件的供应商，取消其中标候选人资格。</w:t>
      </w:r>
    </w:p>
    <w:p>
      <w:pPr>
        <w:pStyle w:val="24"/>
        <w:snapToGrid w:val="0"/>
        <w:spacing w:line="360" w:lineRule="exact"/>
        <w:rPr>
          <w:rFonts w:hAnsi="宋体" w:cs="Times New Roman"/>
          <w:b/>
          <w:bCs/>
          <w:color w:val="auto"/>
          <w:sz w:val="24"/>
          <w:szCs w:val="24"/>
          <w:highlight w:val="none"/>
        </w:rPr>
      </w:pPr>
      <w:bookmarkStart w:id="98" w:name="_Toc254970546"/>
      <w:bookmarkStart w:id="99" w:name="_Toc254970687"/>
      <w:r>
        <w:rPr>
          <w:rFonts w:hint="eastAsia" w:hAnsi="宋体"/>
          <w:b/>
          <w:bCs/>
          <w:color w:val="auto"/>
          <w:sz w:val="24"/>
          <w:szCs w:val="24"/>
          <w:highlight w:val="none"/>
        </w:rPr>
        <w:t>（十一）、评标结果</w:t>
      </w:r>
    </w:p>
    <w:bookmarkEnd w:id="98"/>
    <w:bookmarkEnd w:id="99"/>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中标供应商确定后，采购代理机构二个工作日内在原发布招标公告的网上发布中标公告。</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发布中标公告的同时，采购代理机构向中标供应商发出中标通知书。</w:t>
      </w:r>
    </w:p>
    <w:p>
      <w:pPr>
        <w:pStyle w:val="24"/>
        <w:snapToGrid w:val="0"/>
        <w:spacing w:line="360" w:lineRule="exact"/>
        <w:ind w:firstLine="470" w:firstLineChars="196"/>
        <w:rPr>
          <w:rFonts w:hAnsi="宋体" w:cs="Times New Roman"/>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投标人认为招标文件、招标过程或中标结果使自己的权益受到损害的，可以在规定的期限内，以书面形式向采购代理机构提出质疑。并及时索要书面回执。</w:t>
      </w:r>
    </w:p>
    <w:p>
      <w:pPr>
        <w:pStyle w:val="24"/>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采购代理机构应当按照有关规定就采购人委托授权范围内的事项在收到投标人的书面质疑后七个工作日内做出答复，但答复的内容不得涉及商业秘密。</w:t>
      </w:r>
    </w:p>
    <w:p>
      <w:pPr>
        <w:snapToGrid w:val="0"/>
        <w:spacing w:line="360" w:lineRule="exact"/>
        <w:ind w:firstLine="470" w:firstLineChars="196"/>
        <w:rPr>
          <w:rFonts w:asci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采购代理机构无义务向未中标人退还其投标文件。</w:t>
      </w:r>
    </w:p>
    <w:p>
      <w:pPr>
        <w:pStyle w:val="24"/>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（十二）废标和重新招标</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在招标过程中，出现下列情形之一的，予以废标：</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符合专业条件的供应商或者对招标文件作实质响应的供应商不足三家的；</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出现影响采购公正的违法、违规行为的；</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投标人的报价均超过了总采购预算或分项采购预算</w:t>
      </w:r>
      <w:r>
        <w:rPr>
          <w:rFonts w:ascii="宋体" w:hAnsi="宋体" w:cs="宋体"/>
          <w:color w:val="auto"/>
          <w:sz w:val="24"/>
          <w:szCs w:val="24"/>
          <w:highlight w:val="none"/>
        </w:rPr>
        <w:t>(</w:t>
      </w:r>
      <w:r>
        <w:rPr>
          <w:rFonts w:hint="eastAsia" w:ascii="宋体" w:hAnsi="宋体" w:cs="宋体"/>
          <w:color w:val="auto"/>
          <w:sz w:val="24"/>
          <w:szCs w:val="24"/>
          <w:highlight w:val="none"/>
        </w:rPr>
        <w:t>根据项目增减</w:t>
      </w:r>
      <w:r>
        <w:rPr>
          <w:rFonts w:ascii="宋体" w:hAnsi="宋体" w:cs="宋体"/>
          <w:color w:val="auto"/>
          <w:sz w:val="24"/>
          <w:szCs w:val="24"/>
          <w:highlight w:val="none"/>
        </w:rPr>
        <w:t>)</w:t>
      </w:r>
      <w:r>
        <w:rPr>
          <w:rFonts w:hint="eastAsia" w:ascii="宋体" w:hAnsi="宋体" w:cs="宋体"/>
          <w:color w:val="auto"/>
          <w:sz w:val="24"/>
          <w:szCs w:val="24"/>
          <w:highlight w:val="none"/>
        </w:rPr>
        <w:t>，采购人不能支付的；</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因重大变故，采购任务取消的。</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 xml:space="preserve">2. </w:t>
      </w:r>
      <w:r>
        <w:rPr>
          <w:rFonts w:hint="eastAsia" w:ascii="宋体" w:hAnsi="宋体" w:cs="宋体"/>
          <w:color w:val="auto"/>
          <w:sz w:val="24"/>
          <w:szCs w:val="24"/>
          <w:highlight w:val="none"/>
        </w:rPr>
        <w:t>废标后，采购代理机构将在原政府采购信息发布媒体上公告废标理由，不再另行通知。</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重新招标</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公开招标数额标准以上的采购项目，投标截止后投标人不足</w:t>
      </w:r>
      <w:r>
        <w:rPr>
          <w:rFonts w:ascii="宋体" w:hAnsi="宋体" w:cs="宋体"/>
          <w:color w:val="auto"/>
          <w:sz w:val="24"/>
          <w:szCs w:val="24"/>
          <w:highlight w:val="none"/>
        </w:rPr>
        <w:t>3</w:t>
      </w:r>
      <w:r>
        <w:rPr>
          <w:rFonts w:hint="eastAsia" w:ascii="宋体" w:hAnsi="宋体" w:cs="宋体"/>
          <w:color w:val="auto"/>
          <w:sz w:val="24"/>
          <w:szCs w:val="24"/>
          <w:highlight w:val="none"/>
        </w:rPr>
        <w:t>家或者通过资格审查或符合性审查的投标人不足</w:t>
      </w:r>
      <w:r>
        <w:rPr>
          <w:rFonts w:ascii="宋体" w:hAnsi="宋体" w:cs="宋体"/>
          <w:color w:val="auto"/>
          <w:sz w:val="24"/>
          <w:szCs w:val="24"/>
          <w:highlight w:val="none"/>
        </w:rPr>
        <w:t>3</w:t>
      </w:r>
      <w:r>
        <w:rPr>
          <w:rFonts w:hint="eastAsia" w:ascii="宋体" w:hAnsi="宋体" w:cs="宋体"/>
          <w:color w:val="auto"/>
          <w:sz w:val="24"/>
          <w:szCs w:val="24"/>
          <w:highlight w:val="none"/>
        </w:rPr>
        <w:t>家的，除采购任务取消情形外，按照以下方式处理：</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招标文件存在不合理条款或者招标程序不符合规定的，采购人、采购代理机构改正后依法重新招标；</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招标文件没有不合理条款、招标程序符合规定，需要采用其他采购方式采购的，采购人应当依法报同级财政部门批准。</w:t>
      </w:r>
    </w:p>
    <w:p>
      <w:pPr>
        <w:snapToGrid w:val="0"/>
        <w:spacing w:line="360" w:lineRule="exact"/>
        <w:rPr>
          <w:rFonts w:ascii="宋体" w:cs="宋体"/>
          <w:color w:val="auto"/>
          <w:sz w:val="24"/>
          <w:szCs w:val="24"/>
          <w:highlight w:val="none"/>
        </w:rPr>
      </w:pPr>
    </w:p>
    <w:p>
      <w:pPr>
        <w:snapToGrid w:val="0"/>
        <w:spacing w:line="360" w:lineRule="exact"/>
        <w:ind w:firstLine="630" w:firstLineChars="196"/>
        <w:jc w:val="center"/>
        <w:rPr>
          <w:rFonts w:ascii="宋体" w:cs="宋体"/>
          <w:b/>
          <w:bCs/>
          <w:color w:val="auto"/>
          <w:sz w:val="32"/>
          <w:szCs w:val="32"/>
          <w:highlight w:val="none"/>
        </w:rPr>
      </w:pPr>
      <w:r>
        <w:rPr>
          <w:rFonts w:hint="eastAsia" w:ascii="宋体" w:hAnsi="宋体" w:cs="宋体"/>
          <w:b/>
          <w:bCs/>
          <w:color w:val="auto"/>
          <w:sz w:val="32"/>
          <w:szCs w:val="32"/>
          <w:highlight w:val="none"/>
        </w:rPr>
        <w:t>七、签订合同</w:t>
      </w:r>
    </w:p>
    <w:p>
      <w:pPr>
        <w:snapToGrid w:val="0"/>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（一）合同授予标准</w:t>
      </w:r>
    </w:p>
    <w:p>
      <w:pPr>
        <w:pStyle w:val="24"/>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合同将授予被确定为实质上响应招标文件要求，具备履行合同能力，综合评分排名第一的投标人。</w:t>
      </w:r>
    </w:p>
    <w:p>
      <w:pPr>
        <w:pStyle w:val="24"/>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（二）签订合同</w:t>
      </w:r>
    </w:p>
    <w:p>
      <w:pPr>
        <w:pStyle w:val="24"/>
        <w:spacing w:line="360" w:lineRule="exact"/>
        <w:ind w:firstLine="42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投标人收到中标通知书后，应按中标通知书中规定的时间、地点与采购人签订合同。</w:t>
      </w:r>
    </w:p>
    <w:p>
      <w:pPr>
        <w:pStyle w:val="24"/>
        <w:spacing w:line="360" w:lineRule="exact"/>
        <w:ind w:firstLine="425"/>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如果中标供应商不按中标通知书中规定签订合同，则按中标供应商违约处理。</w:t>
      </w:r>
    </w:p>
    <w:p>
      <w:pPr>
        <w:pStyle w:val="24"/>
        <w:spacing w:line="360" w:lineRule="exact"/>
        <w:ind w:firstLine="420"/>
        <w:rPr>
          <w:rFonts w:hAnsi="宋体" w:cs="Times New Roman"/>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中标供应商因不可抗力或者自身原因不能履行政府采购合同的，采购人可以与中标供应商之后排名第一的中标候选供应商签订采购合同，以此类推。采购人也可以重新开展采购活动。</w:t>
      </w:r>
    </w:p>
    <w:p>
      <w:pPr>
        <w:pStyle w:val="24"/>
        <w:spacing w:line="360" w:lineRule="exact"/>
        <w:ind w:firstLine="420"/>
        <w:rPr>
          <w:rFonts w:hAnsi="宋体" w:cs="Times New Roman"/>
          <w:b/>
          <w:bCs/>
          <w:color w:val="auto"/>
          <w:sz w:val="24"/>
          <w:szCs w:val="24"/>
          <w:highlight w:val="none"/>
        </w:rPr>
      </w:pPr>
    </w:p>
    <w:p>
      <w:pPr>
        <w:pStyle w:val="24"/>
        <w:snapToGrid w:val="0"/>
        <w:spacing w:line="360" w:lineRule="exact"/>
        <w:ind w:firstLine="315" w:firstLineChars="98"/>
        <w:jc w:val="center"/>
        <w:rPr>
          <w:rFonts w:hAnsi="宋体" w:cs="Times New Roman"/>
          <w:b/>
          <w:bCs/>
          <w:color w:val="auto"/>
          <w:sz w:val="32"/>
          <w:szCs w:val="32"/>
          <w:highlight w:val="none"/>
        </w:rPr>
      </w:pPr>
      <w:r>
        <w:rPr>
          <w:rFonts w:hint="eastAsia" w:hAnsi="宋体"/>
          <w:b/>
          <w:bCs/>
          <w:color w:val="auto"/>
          <w:sz w:val="32"/>
          <w:szCs w:val="32"/>
          <w:highlight w:val="none"/>
        </w:rPr>
        <w:t>八、其他事项</w:t>
      </w:r>
    </w:p>
    <w:p>
      <w:pPr>
        <w:pStyle w:val="24"/>
        <w:snapToGrid w:val="0"/>
        <w:spacing w:line="360" w:lineRule="exact"/>
        <w:outlineLvl w:val="0"/>
        <w:rPr>
          <w:rFonts w:hAnsi="宋体" w:cs="Times New Roman"/>
          <w:b/>
          <w:bCs/>
          <w:color w:val="auto"/>
          <w:sz w:val="24"/>
          <w:szCs w:val="24"/>
          <w:highlight w:val="none"/>
        </w:rPr>
      </w:pPr>
      <w:bookmarkStart w:id="100" w:name="_Toc21936"/>
      <w:bookmarkStart w:id="101" w:name="_Toc14317"/>
      <w:bookmarkStart w:id="102" w:name="_Toc28793"/>
      <w:bookmarkStart w:id="103" w:name="_Toc1021"/>
      <w:r>
        <w:rPr>
          <w:rFonts w:hint="eastAsia" w:hAnsi="宋体"/>
          <w:b/>
          <w:bCs/>
          <w:color w:val="auto"/>
          <w:sz w:val="24"/>
          <w:szCs w:val="24"/>
          <w:highlight w:val="none"/>
        </w:rPr>
        <w:t>（一）招标代理服务费</w:t>
      </w:r>
      <w:bookmarkStart w:id="104" w:name="_Toc254970548"/>
      <w:bookmarkStart w:id="105" w:name="_Toc254970689"/>
      <w:r>
        <w:rPr>
          <w:rFonts w:hint="eastAsia" w:hAnsi="宋体"/>
          <w:color w:val="auto"/>
          <w:sz w:val="24"/>
          <w:szCs w:val="24"/>
          <w:highlight w:val="none"/>
          <w:u w:val="single"/>
        </w:rPr>
        <w:t>按国家计委《招标代理服务收费管理暂行办法》（计价格</w:t>
      </w:r>
      <w:r>
        <w:rPr>
          <w:rFonts w:hAnsi="宋体"/>
          <w:color w:val="auto"/>
          <w:sz w:val="24"/>
          <w:szCs w:val="24"/>
          <w:highlight w:val="none"/>
          <w:u w:val="single"/>
        </w:rPr>
        <w:t>[2002]1980</w:t>
      </w:r>
      <w:r>
        <w:rPr>
          <w:rFonts w:hint="eastAsia" w:hAnsi="宋体"/>
          <w:color w:val="auto"/>
          <w:sz w:val="24"/>
          <w:szCs w:val="24"/>
          <w:highlight w:val="none"/>
          <w:u w:val="single"/>
        </w:rPr>
        <w:t>号）规定标准下浮</w:t>
      </w:r>
      <w:r>
        <w:rPr>
          <w:rFonts w:hAnsi="宋体"/>
          <w:color w:val="auto"/>
          <w:sz w:val="24"/>
          <w:szCs w:val="24"/>
          <w:highlight w:val="none"/>
          <w:u w:val="single"/>
        </w:rPr>
        <w:t>20%</w:t>
      </w:r>
      <w:r>
        <w:rPr>
          <w:rFonts w:hint="eastAsia" w:hAnsi="宋体"/>
          <w:color w:val="auto"/>
          <w:sz w:val="24"/>
          <w:szCs w:val="24"/>
          <w:highlight w:val="none"/>
        </w:rPr>
        <w:t>向</w:t>
      </w:r>
      <w:r>
        <w:rPr>
          <w:rFonts w:hint="eastAsia" w:hAnsi="宋体"/>
          <w:color w:val="auto"/>
          <w:sz w:val="24"/>
          <w:szCs w:val="24"/>
          <w:highlight w:val="none"/>
          <w:u w:val="single"/>
        </w:rPr>
        <w:t>成交供应商</w:t>
      </w:r>
      <w:r>
        <w:rPr>
          <w:rFonts w:hint="eastAsia" w:hAnsi="宋体"/>
          <w:color w:val="auto"/>
          <w:sz w:val="24"/>
          <w:szCs w:val="24"/>
          <w:highlight w:val="none"/>
        </w:rPr>
        <w:t>收取。缴纳方式：</w:t>
      </w:r>
      <w:bookmarkEnd w:id="100"/>
      <w:r>
        <w:rPr>
          <w:rFonts w:hint="eastAsia" w:hAnsi="宋体"/>
          <w:color w:val="auto"/>
          <w:sz w:val="24"/>
          <w:szCs w:val="24"/>
          <w:highlight w:val="none"/>
        </w:rPr>
        <w:t>转账。</w:t>
      </w:r>
      <w:bookmarkEnd w:id="101"/>
      <w:bookmarkEnd w:id="102"/>
      <w:bookmarkEnd w:id="103"/>
    </w:p>
    <w:p>
      <w:pPr>
        <w:pStyle w:val="24"/>
        <w:snapToGrid w:val="0"/>
        <w:outlineLvl w:val="0"/>
        <w:rPr>
          <w:rFonts w:hAnsi="宋体" w:cs="Times New Roman"/>
          <w:b/>
          <w:bCs/>
          <w:color w:val="auto"/>
          <w:sz w:val="30"/>
          <w:szCs w:val="30"/>
          <w:highlight w:val="none"/>
        </w:rPr>
      </w:pPr>
      <w:bookmarkStart w:id="106" w:name="_Toc20376"/>
      <w:bookmarkStart w:id="107" w:name="_Toc11441"/>
      <w:bookmarkStart w:id="108" w:name="_Toc18866"/>
      <w:r>
        <w:rPr>
          <w:rFonts w:hint="eastAsia" w:hAnsi="宋体"/>
          <w:color w:val="auto"/>
          <w:sz w:val="24"/>
          <w:szCs w:val="24"/>
          <w:highlight w:val="none"/>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bookmarkEnd w:id="106"/>
      <w:bookmarkEnd w:id="107"/>
      <w:bookmarkEnd w:id="108"/>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cs="Times New Roman"/>
          <w:b/>
          <w:bCs/>
          <w:color w:val="auto"/>
          <w:sz w:val="30"/>
          <w:szCs w:val="30"/>
          <w:highlight w:val="none"/>
        </w:rPr>
      </w:pPr>
    </w:p>
    <w:p>
      <w:pPr>
        <w:pStyle w:val="24"/>
        <w:snapToGrid w:val="0"/>
        <w:jc w:val="center"/>
        <w:outlineLvl w:val="0"/>
        <w:rPr>
          <w:rFonts w:hAnsi="宋体"/>
          <w:b/>
          <w:bCs/>
          <w:color w:val="auto"/>
          <w:sz w:val="44"/>
          <w:szCs w:val="44"/>
          <w:highlight w:val="none"/>
        </w:rPr>
      </w:pPr>
      <w:bookmarkStart w:id="109" w:name="_Toc26858"/>
      <w:bookmarkStart w:id="110" w:name="_Toc330"/>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b/>
          <w:bCs/>
          <w:color w:val="auto"/>
          <w:sz w:val="44"/>
          <w:szCs w:val="44"/>
          <w:highlight w:val="none"/>
        </w:rPr>
      </w:pPr>
    </w:p>
    <w:p>
      <w:pPr>
        <w:pStyle w:val="24"/>
        <w:snapToGrid w:val="0"/>
        <w:jc w:val="center"/>
        <w:outlineLvl w:val="0"/>
        <w:rPr>
          <w:rFonts w:hAnsi="宋体" w:cs="Times New Roman"/>
          <w:b/>
          <w:bCs/>
          <w:color w:val="auto"/>
          <w:sz w:val="44"/>
          <w:szCs w:val="44"/>
          <w:highlight w:val="none"/>
        </w:rPr>
      </w:pPr>
      <w:r>
        <w:rPr>
          <w:rFonts w:hint="eastAsia" w:hAnsi="宋体"/>
          <w:b/>
          <w:bCs/>
          <w:color w:val="auto"/>
          <w:sz w:val="44"/>
          <w:szCs w:val="44"/>
          <w:highlight w:val="none"/>
        </w:rPr>
        <w:t>第四章评标办法及评分标准</w:t>
      </w:r>
      <w:bookmarkEnd w:id="104"/>
      <w:bookmarkEnd w:id="105"/>
      <w:bookmarkEnd w:id="109"/>
      <w:bookmarkEnd w:id="110"/>
    </w:p>
    <w:p>
      <w:pPr>
        <w:pStyle w:val="24"/>
        <w:outlineLvl w:val="0"/>
        <w:rPr>
          <w:rFonts w:hAnsi="宋体" w:cs="Times New Roman"/>
          <w:b/>
          <w:bCs/>
          <w:color w:val="auto"/>
          <w:highlight w:val="none"/>
        </w:rPr>
      </w:pPr>
      <w:bookmarkStart w:id="111" w:name="_Toc254970690"/>
      <w:bookmarkStart w:id="112" w:name="_Toc254970549"/>
    </w:p>
    <w:p>
      <w:pPr>
        <w:ind w:firstLine="420" w:firstLineChars="200"/>
        <w:jc w:val="center"/>
        <w:rPr>
          <w:rFonts w:ascii="宋体"/>
          <w:b/>
          <w:bCs/>
          <w:color w:val="auto"/>
          <w:sz w:val="32"/>
          <w:szCs w:val="32"/>
          <w:highlight w:val="none"/>
        </w:rPr>
      </w:pPr>
      <w:r>
        <w:rPr>
          <w:rFonts w:ascii="宋体"/>
          <w:color w:val="auto"/>
          <w:highlight w:val="none"/>
        </w:rPr>
        <w:br w:type="page"/>
      </w:r>
      <w:bookmarkEnd w:id="111"/>
      <w:bookmarkEnd w:id="112"/>
      <w:r>
        <w:rPr>
          <w:rFonts w:hint="eastAsia" w:ascii="宋体" w:hAnsi="宋体" w:cs="宋体"/>
          <w:b/>
          <w:bCs/>
          <w:color w:val="auto"/>
          <w:sz w:val="32"/>
          <w:szCs w:val="32"/>
          <w:highlight w:val="none"/>
        </w:rPr>
        <w:t>评标方法和评标标准（综合评分法）</w:t>
      </w:r>
    </w:p>
    <w:p>
      <w:pPr>
        <w:pStyle w:val="24"/>
        <w:ind w:firstLine="48" w:firstLineChars="20"/>
        <w:rPr>
          <w:rFonts w:hAnsi="宋体" w:cs="Times New Roman"/>
          <w:b/>
          <w:bCs/>
          <w:color w:val="auto"/>
          <w:sz w:val="24"/>
          <w:szCs w:val="24"/>
          <w:highlight w:val="none"/>
        </w:rPr>
      </w:pPr>
      <w:r>
        <w:rPr>
          <w:rFonts w:hint="eastAsia" w:hAnsi="宋体"/>
          <w:b/>
          <w:bCs/>
          <w:color w:val="auto"/>
          <w:sz w:val="24"/>
          <w:szCs w:val="24"/>
          <w:highlight w:val="none"/>
        </w:rPr>
        <w:t>一、评标原则</w:t>
      </w:r>
    </w:p>
    <w:p>
      <w:pPr>
        <w:pStyle w:val="24"/>
        <w:ind w:firstLine="600" w:firstLineChars="250"/>
        <w:rPr>
          <w:rFonts w:hAnsi="宋体" w:cs="Times New Roman"/>
          <w:color w:val="auto"/>
          <w:sz w:val="24"/>
          <w:szCs w:val="24"/>
          <w:highlight w:val="none"/>
        </w:rPr>
      </w:pPr>
      <w:r>
        <w:rPr>
          <w:rFonts w:hAnsi="宋体"/>
          <w:color w:val="auto"/>
          <w:sz w:val="24"/>
          <w:szCs w:val="24"/>
          <w:highlight w:val="none"/>
        </w:rPr>
        <w:t>(</w:t>
      </w:r>
      <w:r>
        <w:rPr>
          <w:rFonts w:hint="eastAsia" w:hAnsi="宋体"/>
          <w:color w:val="auto"/>
          <w:sz w:val="24"/>
          <w:szCs w:val="24"/>
          <w:highlight w:val="none"/>
        </w:rPr>
        <w:t>一</w:t>
      </w:r>
      <w:r>
        <w:rPr>
          <w:rFonts w:hAnsi="宋体"/>
          <w:color w:val="auto"/>
          <w:sz w:val="24"/>
          <w:szCs w:val="24"/>
          <w:highlight w:val="none"/>
        </w:rPr>
        <w:t>)</w:t>
      </w:r>
      <w:r>
        <w:rPr>
          <w:rFonts w:hint="eastAsia" w:hAnsi="宋体"/>
          <w:color w:val="auto"/>
          <w:sz w:val="24"/>
          <w:szCs w:val="24"/>
          <w:highlight w:val="none"/>
        </w:rPr>
        <w:t>评委构成：本招标采购项目的评委分别由依法组成的专家、采购单位代表共</w:t>
      </w:r>
      <w:r>
        <w:rPr>
          <w:rFonts w:hAnsi="宋体"/>
          <w:color w:val="auto"/>
          <w:sz w:val="24"/>
          <w:szCs w:val="24"/>
          <w:highlight w:val="none"/>
        </w:rPr>
        <w:t xml:space="preserve"> 5</w:t>
      </w:r>
      <w:r>
        <w:rPr>
          <w:rFonts w:hint="eastAsia" w:hAnsi="宋体"/>
          <w:color w:val="auto"/>
          <w:sz w:val="24"/>
          <w:szCs w:val="24"/>
          <w:highlight w:val="none"/>
        </w:rPr>
        <w:t>人以上单数构成，其中专家人数不少于成员总数的三分之二。</w:t>
      </w:r>
    </w:p>
    <w:p>
      <w:pPr>
        <w:pStyle w:val="24"/>
        <w:ind w:firstLine="600" w:firstLineChars="250"/>
        <w:rPr>
          <w:rFonts w:hAnsi="宋体" w:cs="Times New Roman"/>
          <w:color w:val="auto"/>
          <w:sz w:val="24"/>
          <w:szCs w:val="24"/>
          <w:highlight w:val="none"/>
        </w:rPr>
      </w:pPr>
      <w:r>
        <w:rPr>
          <w:rFonts w:hAnsi="宋体"/>
          <w:color w:val="auto"/>
          <w:sz w:val="24"/>
          <w:szCs w:val="24"/>
          <w:highlight w:val="none"/>
        </w:rPr>
        <w:t>(</w:t>
      </w:r>
      <w:r>
        <w:rPr>
          <w:rFonts w:hint="eastAsia" w:hAnsi="宋体"/>
          <w:color w:val="auto"/>
          <w:sz w:val="24"/>
          <w:szCs w:val="24"/>
          <w:highlight w:val="none"/>
        </w:rPr>
        <w:t>二</w:t>
      </w:r>
      <w:r>
        <w:rPr>
          <w:rFonts w:hAnsi="宋体"/>
          <w:color w:val="auto"/>
          <w:sz w:val="24"/>
          <w:szCs w:val="24"/>
          <w:highlight w:val="none"/>
        </w:rPr>
        <w:t>)</w:t>
      </w:r>
      <w:r>
        <w:rPr>
          <w:rFonts w:hint="eastAsia" w:hAnsi="宋体"/>
          <w:color w:val="auto"/>
          <w:sz w:val="24"/>
          <w:szCs w:val="24"/>
          <w:highlight w:val="none"/>
        </w:rPr>
        <w:t>评标依据：对投标人的投标报价、技术性能及配置、财务状况、业绩、服务方案、政策功能等方面内容打分。其中价格分</w:t>
      </w:r>
      <w:r>
        <w:rPr>
          <w:rFonts w:hAnsi="宋体"/>
          <w:color w:val="auto"/>
          <w:sz w:val="24"/>
          <w:szCs w:val="24"/>
          <w:highlight w:val="none"/>
          <w:u w:val="single"/>
        </w:rPr>
        <w:t xml:space="preserve"> </w:t>
      </w:r>
      <w:r>
        <w:rPr>
          <w:rFonts w:hint="eastAsia" w:hAnsi="宋体"/>
          <w:color w:val="auto"/>
          <w:sz w:val="24"/>
          <w:szCs w:val="24"/>
          <w:highlight w:val="none"/>
          <w:u w:val="single"/>
        </w:rPr>
        <w:t>1</w:t>
      </w:r>
      <w:r>
        <w:rPr>
          <w:rFonts w:hAnsi="宋体"/>
          <w:color w:val="auto"/>
          <w:sz w:val="24"/>
          <w:szCs w:val="24"/>
          <w:highlight w:val="none"/>
          <w:u w:val="single"/>
        </w:rPr>
        <w:t>0</w:t>
      </w:r>
      <w:r>
        <w:rPr>
          <w:rFonts w:hint="eastAsia" w:hAnsi="宋体"/>
          <w:color w:val="auto"/>
          <w:sz w:val="24"/>
          <w:szCs w:val="24"/>
          <w:highlight w:val="none"/>
        </w:rPr>
        <w:t>分；技术分</w:t>
      </w:r>
      <w:r>
        <w:rPr>
          <w:rFonts w:hint="eastAsia" w:hAnsi="宋体"/>
          <w:color w:val="auto"/>
          <w:sz w:val="24"/>
          <w:szCs w:val="24"/>
          <w:highlight w:val="none"/>
          <w:u w:val="single"/>
          <w:lang w:val="en-US" w:eastAsia="zh-CN"/>
        </w:rPr>
        <w:t>60</w:t>
      </w:r>
      <w:r>
        <w:rPr>
          <w:rFonts w:hint="eastAsia" w:hAnsi="宋体"/>
          <w:color w:val="auto"/>
          <w:sz w:val="24"/>
          <w:szCs w:val="24"/>
          <w:highlight w:val="none"/>
        </w:rPr>
        <w:t>分；商务分</w:t>
      </w:r>
      <w:r>
        <w:rPr>
          <w:rFonts w:hint="eastAsia" w:hAnsi="宋体"/>
          <w:color w:val="auto"/>
          <w:sz w:val="24"/>
          <w:szCs w:val="24"/>
          <w:highlight w:val="none"/>
          <w:u w:val="single"/>
          <w:lang w:val="en-US" w:eastAsia="zh-CN"/>
        </w:rPr>
        <w:t>30</w:t>
      </w:r>
      <w:r>
        <w:rPr>
          <w:rFonts w:hint="eastAsia" w:hAnsi="宋体"/>
          <w:color w:val="auto"/>
          <w:sz w:val="24"/>
          <w:szCs w:val="24"/>
          <w:highlight w:val="none"/>
        </w:rPr>
        <w:t>分；诚信分</w:t>
      </w:r>
      <w:r>
        <w:rPr>
          <w:rFonts w:hAnsi="宋体"/>
          <w:color w:val="auto"/>
          <w:sz w:val="24"/>
          <w:szCs w:val="24"/>
          <w:highlight w:val="none"/>
        </w:rPr>
        <w:t>-6</w:t>
      </w:r>
      <w:r>
        <w:rPr>
          <w:rFonts w:hint="eastAsia" w:hAnsi="宋体"/>
          <w:color w:val="auto"/>
          <w:sz w:val="24"/>
          <w:szCs w:val="24"/>
          <w:highlight w:val="none"/>
        </w:rPr>
        <w:t>分。</w:t>
      </w:r>
    </w:p>
    <w:p>
      <w:pPr>
        <w:pStyle w:val="24"/>
        <w:ind w:firstLine="585" w:firstLineChars="244"/>
        <w:rPr>
          <w:rFonts w:hAnsi="宋体" w:cs="Times New Roman"/>
          <w:color w:val="auto"/>
          <w:sz w:val="24"/>
          <w:szCs w:val="24"/>
          <w:highlight w:val="none"/>
        </w:rPr>
      </w:pPr>
      <w:r>
        <w:rPr>
          <w:rFonts w:hAnsi="宋体"/>
          <w:color w:val="auto"/>
          <w:sz w:val="24"/>
          <w:szCs w:val="24"/>
          <w:highlight w:val="none"/>
        </w:rPr>
        <w:t>(</w:t>
      </w:r>
      <w:r>
        <w:rPr>
          <w:rFonts w:hint="eastAsia" w:hAnsi="宋体"/>
          <w:color w:val="auto"/>
          <w:sz w:val="24"/>
          <w:szCs w:val="24"/>
          <w:highlight w:val="none"/>
        </w:rPr>
        <w:t>三</w:t>
      </w:r>
      <w:r>
        <w:rPr>
          <w:rFonts w:hAnsi="宋体"/>
          <w:color w:val="auto"/>
          <w:sz w:val="24"/>
          <w:szCs w:val="24"/>
          <w:highlight w:val="none"/>
        </w:rPr>
        <w:t>)</w:t>
      </w:r>
      <w:r>
        <w:rPr>
          <w:rFonts w:hint="eastAsia" w:hAnsi="宋体"/>
          <w:color w:val="auto"/>
          <w:sz w:val="24"/>
          <w:szCs w:val="24"/>
          <w:highlight w:val="none"/>
        </w:rPr>
        <w:t>评标方式：以封闭方式进行。</w:t>
      </w:r>
    </w:p>
    <w:p>
      <w:pPr>
        <w:pStyle w:val="24"/>
        <w:rPr>
          <w:rFonts w:hAnsi="宋体" w:cs="Times New Roman"/>
          <w:b/>
          <w:bCs/>
          <w:color w:val="auto"/>
          <w:sz w:val="24"/>
          <w:szCs w:val="24"/>
          <w:highlight w:val="none"/>
        </w:rPr>
      </w:pPr>
      <w:r>
        <w:rPr>
          <w:rFonts w:hint="eastAsia" w:hAnsi="宋体"/>
          <w:b/>
          <w:bCs/>
          <w:color w:val="auto"/>
          <w:sz w:val="24"/>
          <w:szCs w:val="24"/>
          <w:highlight w:val="none"/>
        </w:rPr>
        <w:t>二、评定方法</w:t>
      </w:r>
    </w:p>
    <w:p>
      <w:pPr>
        <w:pStyle w:val="24"/>
        <w:ind w:firstLine="480" w:firstLineChars="200"/>
        <w:rPr>
          <w:rFonts w:hAnsi="宋体" w:cs="Times New Roman"/>
          <w:color w:val="auto"/>
          <w:sz w:val="24"/>
          <w:szCs w:val="24"/>
          <w:highlight w:val="none"/>
        </w:rPr>
      </w:pPr>
      <w:r>
        <w:rPr>
          <w:rFonts w:hint="eastAsia" w:hAnsi="宋体"/>
          <w:color w:val="auto"/>
          <w:sz w:val="24"/>
          <w:szCs w:val="24"/>
          <w:highlight w:val="none"/>
        </w:rPr>
        <w:t>（一）对进入详评的，采用综合评分法。</w:t>
      </w:r>
    </w:p>
    <w:p>
      <w:pPr>
        <w:pStyle w:val="24"/>
        <w:ind w:firstLine="480" w:firstLineChars="200"/>
        <w:rPr>
          <w:rFonts w:hAnsi="宋体" w:cs="Times New Roman"/>
          <w:color w:val="auto"/>
          <w:sz w:val="24"/>
          <w:szCs w:val="24"/>
          <w:highlight w:val="none"/>
        </w:rPr>
      </w:pPr>
      <w:r>
        <w:rPr>
          <w:rFonts w:hint="eastAsia" w:hAnsi="宋体"/>
          <w:color w:val="auto"/>
          <w:sz w:val="24"/>
          <w:szCs w:val="24"/>
          <w:highlight w:val="none"/>
        </w:rPr>
        <w:t>（二）</w:t>
      </w:r>
      <w:r>
        <w:rPr>
          <w:rFonts w:hint="eastAsia" w:hAnsi="宋体"/>
          <w:color w:val="auto"/>
          <w:kern w:val="0"/>
          <w:sz w:val="24"/>
          <w:szCs w:val="24"/>
          <w:highlight w:val="none"/>
        </w:rPr>
        <w:t>根据《政府采购促进中小企业发展暂行办法》（财库</w:t>
      </w:r>
      <w:r>
        <w:rPr>
          <w:rFonts w:hAnsi="宋体"/>
          <w:color w:val="auto"/>
          <w:kern w:val="0"/>
          <w:sz w:val="24"/>
          <w:szCs w:val="24"/>
          <w:highlight w:val="none"/>
        </w:rPr>
        <w:t>[2011]181</w:t>
      </w:r>
      <w:r>
        <w:rPr>
          <w:rFonts w:hint="eastAsia" w:hAnsi="宋体"/>
          <w:color w:val="auto"/>
          <w:kern w:val="0"/>
          <w:sz w:val="24"/>
          <w:szCs w:val="24"/>
          <w:highlight w:val="none"/>
        </w:rPr>
        <w:t>号）第五条的规定：</w:t>
      </w:r>
    </w:p>
    <w:p>
      <w:pPr>
        <w:pStyle w:val="24"/>
        <w:ind w:firstLine="480" w:firstLineChars="200"/>
        <w:rPr>
          <w:rFonts w:hAnsi="宋体" w:cs="Times New Roman"/>
          <w:color w:val="auto"/>
          <w:sz w:val="24"/>
          <w:szCs w:val="24"/>
          <w:highlight w:val="none"/>
        </w:rPr>
      </w:pPr>
      <w:r>
        <w:rPr>
          <w:rFonts w:hint="eastAsia" w:hAnsi="宋体"/>
          <w:color w:val="auto"/>
          <w:kern w:val="0"/>
          <w:sz w:val="24"/>
          <w:szCs w:val="24"/>
          <w:highlight w:val="none"/>
        </w:rPr>
        <w:t>对小型或微型企业产品的价格给予</w:t>
      </w:r>
      <w:r>
        <w:rPr>
          <w:rFonts w:hint="eastAsia" w:hAnsi="宋体"/>
          <w:color w:val="auto"/>
          <w:kern w:val="0"/>
          <w:sz w:val="24"/>
          <w:szCs w:val="24"/>
          <w:highlight w:val="none"/>
          <w:lang w:val="en-US" w:eastAsia="zh-CN"/>
        </w:rPr>
        <w:t>10</w:t>
      </w:r>
      <w:r>
        <w:rPr>
          <w:rFonts w:hAnsi="宋体"/>
          <w:color w:val="auto"/>
          <w:kern w:val="0"/>
          <w:sz w:val="24"/>
          <w:szCs w:val="24"/>
          <w:highlight w:val="none"/>
        </w:rPr>
        <w:t>%</w:t>
      </w:r>
      <w:r>
        <w:rPr>
          <w:rFonts w:hint="eastAsia" w:hAnsi="宋体"/>
          <w:color w:val="auto"/>
          <w:kern w:val="0"/>
          <w:sz w:val="24"/>
          <w:szCs w:val="24"/>
          <w:highlight w:val="none"/>
        </w:rPr>
        <w:t>的扣除，用扣除后的价格参与评审，</w:t>
      </w:r>
      <w:r>
        <w:rPr>
          <w:rFonts w:hint="eastAsia" w:hAnsi="宋体"/>
          <w:color w:val="auto"/>
          <w:sz w:val="24"/>
          <w:szCs w:val="24"/>
          <w:highlight w:val="none"/>
        </w:rPr>
        <w:t>即：</w:t>
      </w:r>
      <w:r>
        <w:rPr>
          <w:rFonts w:hint="eastAsia" w:hAnsi="宋体"/>
          <w:color w:val="auto"/>
          <w:spacing w:val="-6"/>
          <w:sz w:val="24"/>
          <w:szCs w:val="24"/>
          <w:highlight w:val="none"/>
        </w:rPr>
        <w:t>评标价</w:t>
      </w:r>
      <w:r>
        <w:rPr>
          <w:rFonts w:hAnsi="宋体"/>
          <w:color w:val="auto"/>
          <w:sz w:val="24"/>
          <w:szCs w:val="24"/>
          <w:highlight w:val="none"/>
        </w:rPr>
        <w:t>P</w:t>
      </w:r>
      <w:r>
        <w:rPr>
          <w:rFonts w:hAnsi="宋体"/>
          <w:color w:val="auto"/>
          <w:sz w:val="24"/>
          <w:szCs w:val="24"/>
          <w:highlight w:val="none"/>
          <w:vertAlign w:val="subscript"/>
        </w:rPr>
        <w:t xml:space="preserve">P </w:t>
      </w:r>
      <w:r>
        <w:rPr>
          <w:rFonts w:hAnsi="宋体"/>
          <w:color w:val="auto"/>
          <w:sz w:val="24"/>
          <w:szCs w:val="24"/>
          <w:highlight w:val="none"/>
        </w:rPr>
        <w:t>=</w:t>
      </w:r>
      <w:r>
        <w:rPr>
          <w:rFonts w:hint="eastAsia" w:hAnsi="宋体"/>
          <w:color w:val="auto"/>
          <w:sz w:val="24"/>
          <w:szCs w:val="24"/>
          <w:highlight w:val="none"/>
        </w:rPr>
        <w:t>投标价</w:t>
      </w:r>
      <w:r>
        <w:rPr>
          <w:rFonts w:hAnsi="宋体"/>
          <w:color w:val="auto"/>
          <w:sz w:val="24"/>
          <w:szCs w:val="24"/>
          <w:highlight w:val="none"/>
        </w:rPr>
        <w:t>P</w:t>
      </w:r>
      <w:r>
        <w:rPr>
          <w:rFonts w:hAnsi="宋体"/>
          <w:color w:val="auto"/>
          <w:sz w:val="24"/>
          <w:szCs w:val="24"/>
          <w:highlight w:val="none"/>
          <w:vertAlign w:val="subscript"/>
        </w:rPr>
        <w:t>i</w:t>
      </w:r>
      <w:r>
        <w:rPr>
          <w:rFonts w:hAnsi="宋体"/>
          <w:color w:val="auto"/>
          <w:sz w:val="24"/>
          <w:szCs w:val="24"/>
          <w:highlight w:val="none"/>
        </w:rPr>
        <w:t>-</w:t>
      </w:r>
      <w:r>
        <w:rPr>
          <w:rFonts w:hint="eastAsia" w:hAnsi="宋体"/>
          <w:color w:val="auto"/>
          <w:sz w:val="24"/>
          <w:szCs w:val="24"/>
          <w:highlight w:val="none"/>
          <w:lang w:val="en-US" w:eastAsia="zh-CN"/>
        </w:rPr>
        <w:t>10</w:t>
      </w:r>
      <w:r>
        <w:rPr>
          <w:rFonts w:hAnsi="宋体"/>
          <w:color w:val="auto"/>
          <w:sz w:val="24"/>
          <w:szCs w:val="24"/>
          <w:highlight w:val="none"/>
        </w:rPr>
        <w:t>%</w:t>
      </w:r>
      <w:r>
        <w:rPr>
          <w:rFonts w:hint="eastAsia" w:hAnsi="宋体"/>
          <w:color w:val="auto"/>
          <w:sz w:val="24"/>
          <w:szCs w:val="24"/>
          <w:highlight w:val="none"/>
        </w:rPr>
        <w:t>×投标价</w:t>
      </w:r>
      <w:r>
        <w:rPr>
          <w:rFonts w:hAnsi="宋体"/>
          <w:color w:val="auto"/>
          <w:sz w:val="24"/>
          <w:szCs w:val="24"/>
          <w:highlight w:val="none"/>
        </w:rPr>
        <w:t>P</w:t>
      </w:r>
      <w:r>
        <w:rPr>
          <w:rFonts w:hAnsi="宋体"/>
          <w:color w:val="auto"/>
          <w:sz w:val="24"/>
          <w:szCs w:val="24"/>
          <w:highlight w:val="none"/>
          <w:vertAlign w:val="subscript"/>
        </w:rPr>
        <w:t>i</w:t>
      </w:r>
      <w:r>
        <w:rPr>
          <w:rFonts w:hint="eastAsia" w:hAnsi="宋体"/>
          <w:color w:val="auto"/>
          <w:sz w:val="24"/>
          <w:szCs w:val="24"/>
          <w:highlight w:val="none"/>
        </w:rPr>
        <w:t>。（投标人如实填写中小企业声明函，否则不予价格扣除）。</w:t>
      </w:r>
    </w:p>
    <w:p>
      <w:pPr>
        <w:pStyle w:val="24"/>
        <w:ind w:firstLine="480"/>
        <w:rPr>
          <w:rFonts w:hAnsi="宋体" w:cs="Times New Roman"/>
          <w:color w:val="auto"/>
          <w:sz w:val="24"/>
          <w:szCs w:val="24"/>
          <w:highlight w:val="none"/>
        </w:rPr>
      </w:pPr>
      <w:r>
        <w:rPr>
          <w:rFonts w:hint="eastAsia" w:hAnsi="宋体"/>
          <w:color w:val="auto"/>
          <w:sz w:val="24"/>
          <w:szCs w:val="24"/>
          <w:highlight w:val="none"/>
        </w:rPr>
        <w:t>大中型企业和其他自然人、法人或者其他组织与小型、微型企业组成联合体，联合体协议中约定小型、微型企业的协议合同金额占到联合体协议合同总金额</w:t>
      </w:r>
      <w:r>
        <w:rPr>
          <w:rFonts w:hAnsi="宋体"/>
          <w:color w:val="auto"/>
          <w:sz w:val="24"/>
          <w:szCs w:val="24"/>
          <w:highlight w:val="none"/>
        </w:rPr>
        <w:t>30%</w:t>
      </w:r>
      <w:r>
        <w:rPr>
          <w:rFonts w:hint="eastAsia" w:hAnsi="宋体"/>
          <w:color w:val="auto"/>
          <w:sz w:val="24"/>
          <w:szCs w:val="24"/>
          <w:highlight w:val="none"/>
        </w:rPr>
        <w:t>以上的，联合体投标价给予</w:t>
      </w:r>
      <w:r>
        <w:rPr>
          <w:rFonts w:hAnsi="宋体"/>
          <w:color w:val="auto"/>
          <w:sz w:val="24"/>
          <w:szCs w:val="24"/>
          <w:highlight w:val="none"/>
        </w:rPr>
        <w:t>2%</w:t>
      </w:r>
      <w:r>
        <w:rPr>
          <w:rFonts w:hint="eastAsia" w:hAnsi="宋体"/>
          <w:color w:val="auto"/>
          <w:sz w:val="24"/>
          <w:szCs w:val="24"/>
          <w:highlight w:val="none"/>
        </w:rPr>
        <w:t>的扣除，扣除后的价格为评标价，即：</w:t>
      </w:r>
      <w:r>
        <w:rPr>
          <w:rFonts w:hint="eastAsia" w:hAnsi="宋体"/>
          <w:color w:val="auto"/>
          <w:spacing w:val="-6"/>
          <w:sz w:val="24"/>
          <w:szCs w:val="24"/>
          <w:highlight w:val="none"/>
        </w:rPr>
        <w:t>评标价</w:t>
      </w:r>
      <w:r>
        <w:rPr>
          <w:rFonts w:hAnsi="宋体"/>
          <w:color w:val="auto"/>
          <w:sz w:val="24"/>
          <w:szCs w:val="24"/>
          <w:highlight w:val="none"/>
        </w:rPr>
        <w:t>P</w:t>
      </w:r>
      <w:r>
        <w:rPr>
          <w:rFonts w:hAnsi="宋体"/>
          <w:color w:val="auto"/>
          <w:sz w:val="24"/>
          <w:szCs w:val="24"/>
          <w:highlight w:val="none"/>
          <w:vertAlign w:val="subscript"/>
        </w:rPr>
        <w:t xml:space="preserve">P </w:t>
      </w:r>
      <w:r>
        <w:rPr>
          <w:rFonts w:hAnsi="宋体"/>
          <w:color w:val="auto"/>
          <w:sz w:val="24"/>
          <w:szCs w:val="24"/>
          <w:highlight w:val="none"/>
        </w:rPr>
        <w:t>=</w:t>
      </w:r>
      <w:r>
        <w:rPr>
          <w:rFonts w:hint="eastAsia" w:hAnsi="宋体"/>
          <w:color w:val="auto"/>
          <w:sz w:val="24"/>
          <w:szCs w:val="24"/>
          <w:highlight w:val="none"/>
        </w:rPr>
        <w:t>投标价</w:t>
      </w:r>
      <w:r>
        <w:rPr>
          <w:rFonts w:hAnsi="宋体"/>
          <w:color w:val="auto"/>
          <w:sz w:val="24"/>
          <w:szCs w:val="24"/>
          <w:highlight w:val="none"/>
        </w:rPr>
        <w:t>P</w:t>
      </w:r>
      <w:r>
        <w:rPr>
          <w:rFonts w:hAnsi="宋体"/>
          <w:color w:val="auto"/>
          <w:sz w:val="24"/>
          <w:szCs w:val="24"/>
          <w:highlight w:val="none"/>
          <w:vertAlign w:val="subscript"/>
        </w:rPr>
        <w:t>i</w:t>
      </w:r>
      <w:r>
        <w:rPr>
          <w:rFonts w:hAnsi="宋体"/>
          <w:color w:val="auto"/>
          <w:sz w:val="24"/>
          <w:szCs w:val="24"/>
          <w:highlight w:val="none"/>
        </w:rPr>
        <w:t>-2%</w:t>
      </w:r>
      <w:r>
        <w:rPr>
          <w:rFonts w:hint="eastAsia" w:hAnsi="宋体"/>
          <w:color w:val="auto"/>
          <w:sz w:val="24"/>
          <w:szCs w:val="24"/>
          <w:highlight w:val="none"/>
        </w:rPr>
        <w:t>×投标价</w:t>
      </w:r>
      <w:r>
        <w:rPr>
          <w:rFonts w:hAnsi="宋体"/>
          <w:color w:val="auto"/>
          <w:sz w:val="24"/>
          <w:szCs w:val="24"/>
          <w:highlight w:val="none"/>
        </w:rPr>
        <w:t>P</w:t>
      </w:r>
      <w:r>
        <w:rPr>
          <w:rFonts w:hAnsi="宋体"/>
          <w:color w:val="auto"/>
          <w:sz w:val="24"/>
          <w:szCs w:val="24"/>
          <w:highlight w:val="none"/>
          <w:vertAlign w:val="subscript"/>
        </w:rPr>
        <w:t>i</w:t>
      </w:r>
      <w:r>
        <w:rPr>
          <w:rFonts w:hint="eastAsia" w:hAnsi="宋体"/>
          <w:color w:val="auto"/>
          <w:sz w:val="24"/>
          <w:szCs w:val="24"/>
          <w:highlight w:val="none"/>
        </w:rPr>
        <w:t>。</w:t>
      </w:r>
    </w:p>
    <w:p>
      <w:pPr>
        <w:pStyle w:val="24"/>
        <w:ind w:firstLine="480"/>
        <w:rPr>
          <w:rFonts w:hAnsi="宋体" w:cs="Times New Roman"/>
          <w:color w:val="auto"/>
          <w:sz w:val="24"/>
          <w:szCs w:val="24"/>
          <w:highlight w:val="none"/>
        </w:rPr>
      </w:pPr>
      <w:r>
        <w:rPr>
          <w:rFonts w:hint="eastAsia" w:hAnsi="宋体"/>
          <w:color w:val="auto"/>
          <w:sz w:val="24"/>
          <w:szCs w:val="24"/>
          <w:highlight w:val="none"/>
        </w:rPr>
        <w:t>另：根据《关于政府采购支持监狱企业发展有关问题的通知》（财库</w:t>
      </w:r>
      <w:r>
        <w:rPr>
          <w:rFonts w:hAnsi="宋体"/>
          <w:color w:val="auto"/>
          <w:sz w:val="24"/>
          <w:szCs w:val="24"/>
          <w:highlight w:val="none"/>
        </w:rPr>
        <w:t>[2014]68</w:t>
      </w:r>
      <w:r>
        <w:rPr>
          <w:rFonts w:hint="eastAsia" w:hAnsi="宋体"/>
          <w:color w:val="auto"/>
          <w:sz w:val="24"/>
          <w:szCs w:val="24"/>
          <w:highlight w:val="none"/>
        </w:rPr>
        <w:t>号、桂财采</w:t>
      </w:r>
      <w:r>
        <w:rPr>
          <w:rFonts w:hAnsi="宋体"/>
          <w:color w:val="auto"/>
          <w:sz w:val="24"/>
          <w:szCs w:val="24"/>
          <w:highlight w:val="none"/>
        </w:rPr>
        <w:t>[2016]25</w:t>
      </w:r>
      <w:r>
        <w:rPr>
          <w:rFonts w:hint="eastAsia" w:hAnsi="宋体"/>
          <w:color w:val="auto"/>
          <w:sz w:val="24"/>
          <w:szCs w:val="24"/>
          <w:highlight w:val="none"/>
        </w:rPr>
        <w:t>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4"/>
        <w:ind w:firstLine="480"/>
        <w:rPr>
          <w:rFonts w:hAnsi="宋体" w:cs="Times New Roman"/>
          <w:color w:val="auto"/>
          <w:sz w:val="24"/>
          <w:szCs w:val="24"/>
          <w:highlight w:val="none"/>
        </w:rPr>
      </w:pPr>
      <w:r>
        <w:rPr>
          <w:rFonts w:hint="eastAsia" w:hAnsi="宋体"/>
          <w:color w:val="auto"/>
          <w:sz w:val="24"/>
          <w:szCs w:val="24"/>
          <w:highlight w:val="none"/>
        </w:rPr>
        <w:t>根据《关于促进残疾人就业政府采购政策的通知》（财库【</w:t>
      </w:r>
      <w:r>
        <w:rPr>
          <w:rFonts w:hAnsi="宋体"/>
          <w:color w:val="auto"/>
          <w:sz w:val="24"/>
          <w:szCs w:val="24"/>
          <w:highlight w:val="none"/>
        </w:rPr>
        <w:t>2017</w:t>
      </w:r>
      <w:r>
        <w:rPr>
          <w:rFonts w:hint="eastAsia" w:hAnsi="宋体"/>
          <w:color w:val="auto"/>
          <w:sz w:val="24"/>
          <w:szCs w:val="24"/>
          <w:highlight w:val="none"/>
        </w:rPr>
        <w:t>】</w:t>
      </w:r>
      <w:r>
        <w:rPr>
          <w:rFonts w:hAnsi="宋体"/>
          <w:color w:val="auto"/>
          <w:sz w:val="24"/>
          <w:szCs w:val="24"/>
          <w:highlight w:val="none"/>
        </w:rPr>
        <w:t>141</w:t>
      </w:r>
      <w:r>
        <w:rPr>
          <w:rFonts w:hint="eastAsia" w:hAnsi="宋体"/>
          <w:color w:val="auto"/>
          <w:sz w:val="24"/>
          <w:szCs w:val="24"/>
          <w:highlight w:val="none"/>
        </w:rPr>
        <w:t>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4"/>
        <w:ind w:firstLine="616" w:firstLineChars="257"/>
        <w:rPr>
          <w:rFonts w:hAnsi="宋体" w:cs="Times New Roman"/>
          <w:color w:val="auto"/>
          <w:sz w:val="24"/>
          <w:szCs w:val="24"/>
          <w:highlight w:val="none"/>
        </w:rPr>
      </w:pPr>
      <w:r>
        <w:rPr>
          <w:rFonts w:hint="eastAsia" w:hAnsi="宋体"/>
          <w:color w:val="auto"/>
          <w:sz w:val="24"/>
          <w:szCs w:val="24"/>
          <w:highlight w:val="none"/>
        </w:rPr>
        <w:t>对于不属于以上情形的投标人，其投标报价即为评标价。</w:t>
      </w:r>
    </w:p>
    <w:p>
      <w:pPr>
        <w:pStyle w:val="24"/>
        <w:ind w:firstLine="480" w:firstLineChars="200"/>
        <w:rPr>
          <w:rFonts w:hAnsi="宋体" w:cs="Times New Roman"/>
          <w:color w:val="auto"/>
          <w:sz w:val="24"/>
          <w:szCs w:val="24"/>
          <w:highlight w:val="none"/>
        </w:rPr>
      </w:pPr>
      <w:r>
        <w:rPr>
          <w:rFonts w:hint="eastAsia" w:hAnsi="宋体"/>
          <w:color w:val="auto"/>
          <w:sz w:val="24"/>
          <w:szCs w:val="24"/>
          <w:highlight w:val="none"/>
        </w:rPr>
        <w:t>（三）计分办法（按四舍五入取至百分位）：</w:t>
      </w:r>
    </w:p>
    <w:p>
      <w:pPr>
        <w:pStyle w:val="24"/>
        <w:rPr>
          <w:rFonts w:hAnsi="宋体" w:cs="Times New Roman"/>
          <w:b/>
          <w:bCs/>
          <w:color w:val="auto"/>
          <w:sz w:val="24"/>
          <w:szCs w:val="24"/>
          <w:highlight w:val="none"/>
        </w:rPr>
      </w:pPr>
      <w:r>
        <w:rPr>
          <w:rFonts w:hAnsi="宋体"/>
          <w:b/>
          <w:bCs/>
          <w:color w:val="auto"/>
          <w:sz w:val="24"/>
          <w:szCs w:val="24"/>
          <w:highlight w:val="none"/>
        </w:rPr>
        <w:t>1</w:t>
      </w:r>
      <w:r>
        <w:rPr>
          <w:rFonts w:hint="eastAsia" w:hAnsi="宋体"/>
          <w:b/>
          <w:bCs/>
          <w:color w:val="auto"/>
          <w:sz w:val="24"/>
          <w:szCs w:val="24"/>
          <w:highlight w:val="none"/>
        </w:rPr>
        <w:t>、价格分………………………………………………………………………</w:t>
      </w:r>
      <w:r>
        <w:rPr>
          <w:rFonts w:hAnsi="宋体"/>
          <w:b/>
          <w:bCs/>
          <w:color w:val="auto"/>
          <w:sz w:val="24"/>
          <w:szCs w:val="24"/>
          <w:highlight w:val="none"/>
        </w:rPr>
        <w:t xml:space="preserve"> </w:t>
      </w:r>
      <w:r>
        <w:rPr>
          <w:rFonts w:hint="eastAsia" w:hAnsi="宋体"/>
          <w:b/>
          <w:bCs/>
          <w:color w:val="auto"/>
          <w:sz w:val="24"/>
          <w:szCs w:val="24"/>
          <w:highlight w:val="none"/>
        </w:rPr>
        <w:t>1</w:t>
      </w:r>
      <w:r>
        <w:rPr>
          <w:rFonts w:hAnsi="宋体"/>
          <w:b/>
          <w:bCs/>
          <w:color w:val="auto"/>
          <w:sz w:val="24"/>
          <w:szCs w:val="24"/>
          <w:highlight w:val="none"/>
        </w:rPr>
        <w:t>0</w:t>
      </w:r>
      <w:r>
        <w:rPr>
          <w:rFonts w:hint="eastAsia" w:hAnsi="宋体"/>
          <w:b/>
          <w:bCs/>
          <w:color w:val="auto"/>
          <w:sz w:val="24"/>
          <w:szCs w:val="24"/>
          <w:highlight w:val="none"/>
        </w:rPr>
        <w:t>分</w:t>
      </w:r>
    </w:p>
    <w:p>
      <w:pPr>
        <w:pStyle w:val="24"/>
        <w:spacing w:line="40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1</w:t>
      </w:r>
      <w:r>
        <w:rPr>
          <w:rFonts w:hint="eastAsia" w:hAnsi="宋体"/>
          <w:color w:val="auto"/>
          <w:sz w:val="24"/>
          <w:szCs w:val="24"/>
          <w:highlight w:val="none"/>
        </w:rPr>
        <w:t>）以进入评标的最低的评标价为10分。</w:t>
      </w:r>
    </w:p>
    <w:p>
      <w:pPr>
        <w:autoSpaceDE w:val="0"/>
        <w:autoSpaceDN w:val="0"/>
        <w:adjustRightInd w:val="0"/>
        <w:spacing w:line="400" w:lineRule="exact"/>
        <w:ind w:firstLine="3480" w:firstLineChars="1450"/>
        <w:rPr>
          <w:rFonts w:ascii="宋体"/>
          <w:color w:val="auto"/>
          <w:sz w:val="24"/>
          <w:szCs w:val="24"/>
          <w:highlight w:val="none"/>
        </w:rPr>
      </w:pPr>
      <w:r>
        <w:rPr>
          <w:rFonts w:hint="eastAsia" w:ascii="宋体" w:hAnsi="宋体" w:cs="宋体"/>
          <w:color w:val="auto"/>
          <w:sz w:val="24"/>
          <w:szCs w:val="24"/>
          <w:highlight w:val="none"/>
        </w:rPr>
        <w:t>投标人最低评标价</w:t>
      </w:r>
    </w:p>
    <w:p>
      <w:pPr>
        <w:autoSpaceDE w:val="0"/>
        <w:autoSpaceDN w:val="0"/>
        <w:adjustRightInd w:val="0"/>
        <w:spacing w:line="400"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）某投标人价格得分</w:t>
      </w:r>
      <w:r>
        <w:rPr>
          <w:rFonts w:ascii="宋体" w:hAnsi="宋体" w:cs="宋体"/>
          <w:color w:val="auto"/>
          <w:sz w:val="24"/>
          <w:szCs w:val="24"/>
          <w:highlight w:val="none"/>
        </w:rPr>
        <w:t>=</w:t>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w:t>
      </w:r>
      <w:r>
        <w:rPr>
          <w:rFonts w:ascii="宋体" w:hAnsi="宋体" w:cs="宋体"/>
          <w:color w:val="auto"/>
          <w:sz w:val="24"/>
          <w:szCs w:val="24"/>
          <w:highlight w:val="none"/>
        </w:rPr>
        <w:t>0</w:t>
      </w:r>
      <w:r>
        <w:rPr>
          <w:rFonts w:hint="eastAsia" w:ascii="宋体" w:hAnsi="宋体" w:cs="宋体"/>
          <w:color w:val="auto"/>
          <w:sz w:val="24"/>
          <w:szCs w:val="24"/>
          <w:highlight w:val="none"/>
        </w:rPr>
        <w:t>分</w:t>
      </w:r>
    </w:p>
    <w:p>
      <w:pPr>
        <w:autoSpaceDE w:val="0"/>
        <w:autoSpaceDN w:val="0"/>
        <w:adjustRightInd w:val="0"/>
        <w:spacing w:line="400" w:lineRule="exact"/>
        <w:ind w:firstLine="3480" w:firstLineChars="1450"/>
        <w:rPr>
          <w:rFonts w:ascii="宋体"/>
          <w:color w:val="auto"/>
          <w:sz w:val="24"/>
          <w:szCs w:val="24"/>
          <w:highlight w:val="none"/>
        </w:rPr>
      </w:pPr>
      <w:r>
        <w:rPr>
          <w:rFonts w:hint="eastAsia" w:ascii="宋体" w:hAnsi="宋体" w:cs="宋体"/>
          <w:color w:val="auto"/>
          <w:sz w:val="24"/>
          <w:szCs w:val="24"/>
          <w:highlight w:val="none"/>
        </w:rPr>
        <w:t>某投标人评标价</w:t>
      </w:r>
    </w:p>
    <w:p>
      <w:pPr>
        <w:autoSpaceDE w:val="0"/>
        <w:autoSpaceDN w:val="0"/>
        <w:adjustRightInd w:val="0"/>
        <w:spacing w:line="240" w:lineRule="exact"/>
        <w:ind w:firstLine="480" w:firstLineChars="200"/>
        <w:rPr>
          <w:rFonts w:ascii="宋体"/>
          <w:color w:val="auto"/>
          <w:sz w:val="24"/>
          <w:szCs w:val="24"/>
          <w:highlight w:val="none"/>
        </w:rPr>
      </w:pPr>
    </w:p>
    <w:p>
      <w:pPr>
        <w:numPr>
          <w:ilvl w:val="0"/>
          <w:numId w:val="2"/>
        </w:numPr>
        <w:rPr>
          <w:rFonts w:ascii="宋体"/>
          <w:b/>
          <w:bCs/>
          <w:color w:val="auto"/>
          <w:spacing w:val="-4"/>
          <w:sz w:val="24"/>
          <w:szCs w:val="24"/>
          <w:highlight w:val="none"/>
        </w:rPr>
      </w:pPr>
      <w:bookmarkStart w:id="113" w:name="_Toc453061765"/>
      <w:r>
        <w:rPr>
          <w:rFonts w:hint="eastAsia" w:ascii="宋体" w:hAnsi="宋体" w:cs="宋体"/>
          <w:b/>
          <w:bCs/>
          <w:color w:val="auto"/>
          <w:spacing w:val="-4"/>
          <w:sz w:val="24"/>
          <w:szCs w:val="24"/>
          <w:highlight w:val="none"/>
        </w:rPr>
        <w:t>技术分</w:t>
      </w:r>
      <w:r>
        <w:rPr>
          <w:rFonts w:hint="eastAsia" w:hAnsi="宋体" w:cs="宋体"/>
          <w:b/>
          <w:bCs/>
          <w:color w:val="auto"/>
          <w:sz w:val="24"/>
          <w:szCs w:val="24"/>
          <w:highlight w:val="none"/>
        </w:rPr>
        <w:t>……………………………………………………………………</w:t>
      </w:r>
      <w:r>
        <w:rPr>
          <w:rFonts w:ascii="宋体" w:hAnsi="宋体" w:cs="宋体"/>
          <w:b/>
          <w:bCs/>
          <w:color w:val="auto"/>
          <w:spacing w:val="-4"/>
          <w:sz w:val="24"/>
          <w:szCs w:val="24"/>
          <w:highlight w:val="none"/>
        </w:rPr>
        <w:t xml:space="preserve"> </w:t>
      </w:r>
      <w:r>
        <w:rPr>
          <w:rFonts w:hint="eastAsia" w:ascii="宋体" w:hAnsi="宋体" w:cs="宋体"/>
          <w:b/>
          <w:bCs/>
          <w:color w:val="auto"/>
          <w:spacing w:val="-4"/>
          <w:sz w:val="24"/>
          <w:szCs w:val="24"/>
          <w:highlight w:val="none"/>
          <w:lang w:val="en-US" w:eastAsia="zh-CN"/>
        </w:rPr>
        <w:t>60</w:t>
      </w:r>
      <w:r>
        <w:rPr>
          <w:rFonts w:hint="eastAsia" w:ascii="宋体" w:hAnsi="宋体" w:cs="宋体"/>
          <w:b/>
          <w:bCs/>
          <w:color w:val="auto"/>
          <w:spacing w:val="-4"/>
          <w:sz w:val="24"/>
          <w:szCs w:val="24"/>
          <w:highlight w:val="none"/>
        </w:rPr>
        <w:t>分</w:t>
      </w:r>
    </w:p>
    <w:p>
      <w:pPr>
        <w:spacing w:line="360" w:lineRule="auto"/>
        <w:ind w:left="399" w:leftChars="19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(1）提质改造(旱改水)实施方案(满分30分)</w:t>
      </w:r>
    </w:p>
    <w:p>
      <w:pPr>
        <w:spacing w:line="360" w:lineRule="auto"/>
        <w:ind w:left="399" w:leftChars="19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由评标委员会根据投标人提供项目提质改造(早改水）实施方案的完整性（应包含项目实施各阶段工作技术方案、组织管理、进度及质量控制等，层次结构的合理性、清晰性、优劣性，各评委独立进行打分，满分30分。</w:t>
      </w:r>
    </w:p>
    <w:p>
      <w:pPr>
        <w:spacing w:line="360" w:lineRule="auto"/>
        <w:ind w:left="399" w:leftChars="19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一档(6分):方案过于简单，无针对性，基本满足项目实施要求。</w:t>
      </w:r>
    </w:p>
    <w:p>
      <w:pPr>
        <w:spacing w:line="360" w:lineRule="auto"/>
        <w:ind w:left="399" w:leftChars="19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二档(12分):技术方案基本可行，满足项目实施需要，没有明显技术错误，架构简单可行。</w:t>
      </w:r>
    </w:p>
    <w:p>
      <w:pPr>
        <w:spacing w:line="360" w:lineRule="auto"/>
        <w:ind w:left="399" w:leftChars="19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三档(18分):技术方案可行，了解项目区旱改水潜力资源情况，针对性一般，具有工作进度及人员安排。</w:t>
      </w:r>
    </w:p>
    <w:p>
      <w:pPr>
        <w:spacing w:line="360" w:lineRule="auto"/>
        <w:ind w:left="399" w:leftChars="19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四档（24分):技术方案较好，熟悉项目区旱改水潜力资源情况，能针对性提出措施，详细说明各个阶段工作安排及进度，实施人员配备合理。</w:t>
      </w:r>
    </w:p>
    <w:p>
      <w:pPr>
        <w:spacing w:line="360" w:lineRule="auto"/>
        <w:ind w:left="399" w:leftChars="190"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五档(30分):技术方案优秀，熟悉掌握项目区旱改水潜力资源情况，充分考虑提质改造点水源条件情况、项目区地貌工程特征及土壤适宜性等情况，并提出有针对性措施，详细说明各个阶段工作技术方案、组织管理、质量控制等措施，实施人员配备合理，方案整体性好，可实施性强。</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(2）后期管护方案（满分20分)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由评标委员会根据投标人提供项目后期管护方案的完整性(应包含但不限于后期管护具体反应处置的时间及相应措施、整改的时间及相应措施、服务配合采购人的相关承诺）、可行性、操作性，各评委独立进行打分，满分20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一档(4分):方案简单，可行性不强。</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二档(8分):方案基本满足后期管护要求，基本满足项目区土地实施水生作物种植。</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三档（12分):方案满足后期管护要求，具备措施保障项目区土地上稳定的实施水生作物种植。</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四档（16分):方案满足后期管护要求，可行性较好，实现统一管理，有针对性的满足招标要求，能够确保项目区土地上稳定的实施水生作物种植。</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五档(20分):充分了解并掌握项目区实地情况，能准确提供实施区域范围，实施方案详细，内容齐全，技术路线正确，方法科学，制定详细作业流程，采用实施方案能够深入理解服务有关要求,完全满足本次招标的后期管护要求。考虑周全,操作性强，对土地种植具有主导性，能够采取科学手段促进提升当地农业生产。</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施工技术措施及质量保证措施（满分10分）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由各评委根据投标人提供施工技术措施及质量保证措施的完整性、合理性、措施完善、可行、满足需求，各评委独立进行打分，满分10分。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一档(1分):具体措施不可行，不满足招标文件的要求。</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二档(4分):针对项目实际提出先进、可行、具体的保证措施，满足招标文件的要求。三档(7分）:针对项目实际提出先进、可行、具体的保证措施，优于招标文件的要求及施工验收规范要求。</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四档（10分）:针对项目实际提出先进、可行、具体的保证措施，有详细的施工技术措施及工艺要求，所应用技术、工艺符合规范要求，并具有创新性和先进性，目标明确、进度计划组织与质量控制措施完善，超过招标文件的要求及施工验收规范要求。</w:t>
      </w:r>
    </w:p>
    <w:p>
      <w:pPr>
        <w:rPr>
          <w:rFonts w:ascii="宋体"/>
          <w:color w:val="auto"/>
          <w:spacing w:val="-4"/>
          <w:sz w:val="24"/>
          <w:szCs w:val="24"/>
          <w:highlight w:val="none"/>
        </w:rPr>
      </w:pPr>
      <w:r>
        <w:rPr>
          <w:rFonts w:ascii="宋体" w:hAnsi="宋体" w:cs="宋体"/>
          <w:color w:val="auto"/>
          <w:spacing w:val="-4"/>
          <w:sz w:val="24"/>
          <w:szCs w:val="24"/>
          <w:highlight w:val="none"/>
        </w:rPr>
        <w:t>3</w:t>
      </w:r>
      <w:r>
        <w:rPr>
          <w:rFonts w:hint="eastAsia" w:ascii="宋体" w:hAnsi="宋体" w:cs="宋体"/>
          <w:color w:val="auto"/>
          <w:spacing w:val="-4"/>
          <w:sz w:val="24"/>
          <w:szCs w:val="24"/>
          <w:highlight w:val="none"/>
        </w:rPr>
        <w:t>、商务分（满分</w:t>
      </w:r>
      <w:r>
        <w:rPr>
          <w:rFonts w:hint="eastAsia" w:ascii="宋体" w:hAnsi="宋体" w:cs="宋体"/>
          <w:color w:val="auto"/>
          <w:spacing w:val="-4"/>
          <w:sz w:val="24"/>
          <w:szCs w:val="24"/>
          <w:highlight w:val="none"/>
          <w:lang w:val="en-US" w:eastAsia="zh-CN"/>
        </w:rPr>
        <w:t>30</w:t>
      </w:r>
      <w:r>
        <w:rPr>
          <w:rFonts w:hint="eastAsia" w:ascii="宋体" w:hAnsi="宋体" w:cs="宋体"/>
          <w:color w:val="auto"/>
          <w:spacing w:val="-4"/>
          <w:sz w:val="24"/>
          <w:szCs w:val="24"/>
          <w:highlight w:val="none"/>
        </w:rPr>
        <w:t>分）</w:t>
      </w:r>
    </w:p>
    <w:p>
      <w:pPr>
        <w:spacing w:line="360" w:lineRule="auto"/>
        <w:ind w:firstLine="480" w:firstLineChars="200"/>
        <w:rPr>
          <w:rFonts w:hint="eastAsia" w:cs="宋体"/>
          <w:color w:val="auto"/>
          <w:sz w:val="24"/>
          <w:szCs w:val="24"/>
          <w:highlight w:val="none"/>
        </w:rPr>
      </w:pPr>
      <w:r>
        <w:rPr>
          <w:rFonts w:hint="eastAsia" w:cs="宋体"/>
          <w:color w:val="auto"/>
          <w:sz w:val="24"/>
          <w:szCs w:val="24"/>
          <w:highlight w:val="none"/>
        </w:rPr>
        <w:t>(</w:t>
      </w:r>
      <w:r>
        <w:rPr>
          <w:rFonts w:hint="eastAsia" w:cs="宋体"/>
          <w:color w:val="auto"/>
          <w:sz w:val="24"/>
          <w:szCs w:val="24"/>
          <w:highlight w:val="none"/>
          <w:lang w:val="en-US" w:eastAsia="zh-CN"/>
        </w:rPr>
        <w:t>1</w:t>
      </w:r>
      <w:r>
        <w:rPr>
          <w:rFonts w:hint="eastAsia" w:cs="宋体"/>
          <w:color w:val="auto"/>
          <w:sz w:val="24"/>
          <w:szCs w:val="24"/>
          <w:highlight w:val="none"/>
        </w:rPr>
        <w:t>）服务承诺方案（满分</w:t>
      </w:r>
      <w:r>
        <w:rPr>
          <w:rFonts w:hint="eastAsia" w:cs="宋体"/>
          <w:color w:val="auto"/>
          <w:sz w:val="24"/>
          <w:szCs w:val="24"/>
          <w:highlight w:val="none"/>
          <w:lang w:val="en-US" w:eastAsia="zh-CN"/>
        </w:rPr>
        <w:t>20</w:t>
      </w:r>
      <w:r>
        <w:rPr>
          <w:rFonts w:hint="eastAsia" w:cs="宋体"/>
          <w:color w:val="auto"/>
          <w:sz w:val="24"/>
          <w:szCs w:val="24"/>
          <w:highlight w:val="none"/>
        </w:rPr>
        <w:t>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由各评委根据投标人提供的服务承诺围绕客户需求服务，具体完善、有详细的保障措施，完全满足项目需求，各评委独立进行打分，满分</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分。</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一档(</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分）:应表述的主要内容有较多欠缺，或表述的内容不符合实际、不可行。</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二档（</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分）:应表述的内容有欠缺，或表述的内容不完全符合实际、不完全可行，方案一般，有待改进。</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三档（</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rPr>
        <w:t>分):表述的内容齐全，符合实际，方案可行。</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四档（</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分）:表述的内容齐全，符合实际，方案科学、先进、可行。</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2</w:t>
      </w:r>
      <w:r>
        <w:rPr>
          <w:rFonts w:hint="eastAsia" w:cs="宋体"/>
          <w:color w:val="auto"/>
          <w:sz w:val="24"/>
          <w:szCs w:val="24"/>
          <w:highlight w:val="none"/>
        </w:rPr>
        <w:t>）自</w:t>
      </w:r>
      <w:r>
        <w:rPr>
          <w:color w:val="auto"/>
          <w:sz w:val="24"/>
          <w:szCs w:val="24"/>
          <w:highlight w:val="none"/>
        </w:rPr>
        <w:t>2017</w:t>
      </w:r>
      <w:r>
        <w:rPr>
          <w:rFonts w:hint="eastAsia" w:cs="宋体"/>
          <w:color w:val="auto"/>
          <w:sz w:val="24"/>
          <w:szCs w:val="24"/>
          <w:highlight w:val="none"/>
        </w:rPr>
        <w:t>年以来，企业完成过类似项目的，每个得</w:t>
      </w:r>
      <w:r>
        <w:rPr>
          <w:rFonts w:hint="eastAsia"/>
          <w:color w:val="auto"/>
          <w:sz w:val="24"/>
          <w:szCs w:val="24"/>
          <w:highlight w:val="none"/>
          <w:lang w:val="en-US" w:eastAsia="zh-CN"/>
        </w:rPr>
        <w:t>2</w:t>
      </w:r>
      <w:r>
        <w:rPr>
          <w:rFonts w:hint="eastAsia" w:cs="宋体"/>
          <w:color w:val="auto"/>
          <w:sz w:val="24"/>
          <w:szCs w:val="24"/>
          <w:highlight w:val="none"/>
        </w:rPr>
        <w:t>分，此项满分</w:t>
      </w:r>
      <w:r>
        <w:rPr>
          <w:rFonts w:hint="eastAsia"/>
          <w:color w:val="auto"/>
          <w:sz w:val="24"/>
          <w:szCs w:val="24"/>
          <w:highlight w:val="none"/>
          <w:lang w:val="en-US" w:eastAsia="zh-CN"/>
        </w:rPr>
        <w:t>8</w:t>
      </w:r>
      <w:r>
        <w:rPr>
          <w:rFonts w:hint="eastAsia" w:cs="宋体"/>
          <w:color w:val="auto"/>
          <w:sz w:val="24"/>
          <w:szCs w:val="24"/>
          <w:highlight w:val="none"/>
        </w:rPr>
        <w:t>分（提供合同复印件或中标通知书）。</w:t>
      </w:r>
    </w:p>
    <w:p>
      <w:pPr>
        <w:spacing w:line="360" w:lineRule="auto"/>
        <w:ind w:firstLine="420"/>
        <w:rPr>
          <w:color w:val="auto"/>
          <w:sz w:val="24"/>
          <w:szCs w:val="24"/>
          <w:highlight w:val="none"/>
        </w:rPr>
      </w:pPr>
      <w:r>
        <w:rPr>
          <w:rFonts w:hint="eastAsia" w:cs="宋体"/>
          <w:color w:val="auto"/>
          <w:sz w:val="24"/>
          <w:szCs w:val="24"/>
          <w:highlight w:val="none"/>
        </w:rPr>
        <w:t>（</w:t>
      </w:r>
      <w:r>
        <w:rPr>
          <w:color w:val="auto"/>
          <w:sz w:val="24"/>
          <w:szCs w:val="24"/>
          <w:highlight w:val="none"/>
        </w:rPr>
        <w:t>3</w:t>
      </w:r>
      <w:r>
        <w:rPr>
          <w:rFonts w:hint="eastAsia" w:cs="宋体"/>
          <w:color w:val="auto"/>
          <w:sz w:val="24"/>
          <w:szCs w:val="24"/>
          <w:highlight w:val="none"/>
        </w:rPr>
        <w:t>）</w:t>
      </w:r>
      <w:r>
        <w:rPr>
          <w:rFonts w:hint="eastAsia" w:ascii="宋体" w:hAnsi="宋体" w:cs="宋体"/>
          <w:color w:val="auto"/>
          <w:spacing w:val="-4"/>
          <w:sz w:val="24"/>
          <w:szCs w:val="24"/>
          <w:highlight w:val="none"/>
        </w:rPr>
        <w:t>投标人同时</w:t>
      </w:r>
      <w:r>
        <w:rPr>
          <w:rFonts w:hint="eastAsia" w:ascii="宋体" w:hAnsi="宋体" w:cs="宋体"/>
          <w:color w:val="auto"/>
          <w:kern w:val="1"/>
          <w:sz w:val="24"/>
          <w:szCs w:val="24"/>
          <w:highlight w:val="none"/>
        </w:rPr>
        <w:t>具有</w:t>
      </w:r>
      <w:r>
        <w:rPr>
          <w:rFonts w:ascii="宋体" w:hAnsi="宋体" w:cs="宋体"/>
          <w:color w:val="auto"/>
          <w:kern w:val="0"/>
          <w:sz w:val="24"/>
          <w:szCs w:val="24"/>
          <w:highlight w:val="none"/>
        </w:rPr>
        <w:t>ISO9001</w:t>
      </w:r>
      <w:r>
        <w:rPr>
          <w:rFonts w:hint="eastAsia" w:ascii="宋体" w:hAnsi="宋体" w:cs="宋体"/>
          <w:color w:val="auto"/>
          <w:kern w:val="1"/>
          <w:sz w:val="24"/>
          <w:szCs w:val="24"/>
          <w:highlight w:val="none"/>
        </w:rPr>
        <w:t>质量管理体系认证证书的</w:t>
      </w:r>
      <w:r>
        <w:rPr>
          <w:rFonts w:hint="eastAsia" w:ascii="宋体" w:hAnsi="宋体" w:cs="宋体"/>
          <w:color w:val="auto"/>
          <w:spacing w:val="-4"/>
          <w:sz w:val="24"/>
          <w:szCs w:val="24"/>
          <w:highlight w:val="none"/>
        </w:rPr>
        <w:t>，得</w:t>
      </w:r>
      <w:r>
        <w:rPr>
          <w:rFonts w:ascii="宋体" w:hAnsi="宋体" w:cs="宋体"/>
          <w:color w:val="auto"/>
          <w:spacing w:val="-4"/>
          <w:sz w:val="24"/>
          <w:szCs w:val="24"/>
          <w:highlight w:val="none"/>
        </w:rPr>
        <w:t>2</w:t>
      </w:r>
      <w:r>
        <w:rPr>
          <w:rFonts w:hint="eastAsia" w:ascii="宋体" w:hAnsi="宋体" w:cs="宋体"/>
          <w:color w:val="auto"/>
          <w:spacing w:val="-4"/>
          <w:sz w:val="24"/>
          <w:szCs w:val="24"/>
          <w:highlight w:val="none"/>
        </w:rPr>
        <w:t>分</w:t>
      </w:r>
      <w:r>
        <w:rPr>
          <w:rFonts w:hint="eastAsia" w:ascii="宋体" w:hAnsi="宋体" w:cs="宋体"/>
          <w:color w:val="auto"/>
          <w:spacing w:val="-4"/>
          <w:sz w:val="24"/>
          <w:szCs w:val="24"/>
          <w:highlight w:val="none"/>
          <w:lang w:eastAsia="zh-CN"/>
        </w:rPr>
        <w:t>，</w:t>
      </w:r>
      <w:r>
        <w:rPr>
          <w:rFonts w:hint="eastAsia" w:ascii="宋体" w:hAnsi="宋体" w:cs="宋体"/>
          <w:color w:val="auto"/>
          <w:spacing w:val="-4"/>
          <w:sz w:val="24"/>
          <w:szCs w:val="24"/>
          <w:highlight w:val="none"/>
          <w:lang w:val="en-US" w:eastAsia="zh-CN"/>
        </w:rPr>
        <w:t>满分2分</w:t>
      </w:r>
      <w:r>
        <w:rPr>
          <w:rFonts w:hint="eastAsia" w:ascii="宋体" w:hAnsi="宋体" w:cs="宋体"/>
          <w:color w:val="auto"/>
          <w:sz w:val="24"/>
          <w:szCs w:val="24"/>
          <w:highlight w:val="none"/>
        </w:rPr>
        <w:t>（提供证书证明材料复印件）</w:t>
      </w:r>
      <w:r>
        <w:rPr>
          <w:rFonts w:hint="eastAsia" w:ascii="宋体" w:hAnsi="宋体" w:cs="宋体"/>
          <w:color w:val="auto"/>
          <w:spacing w:val="-4"/>
          <w:sz w:val="24"/>
          <w:szCs w:val="24"/>
          <w:highlight w:val="none"/>
        </w:rPr>
        <w:t>。</w:t>
      </w:r>
    </w:p>
    <w:p>
      <w:pPr>
        <w:rPr>
          <w:rFonts w:ascii="宋体"/>
          <w:color w:val="auto"/>
          <w:spacing w:val="-4"/>
          <w:sz w:val="24"/>
          <w:szCs w:val="24"/>
          <w:highlight w:val="none"/>
        </w:rPr>
      </w:pPr>
      <w:r>
        <w:rPr>
          <w:rFonts w:ascii="宋体" w:hAnsi="宋体" w:cs="宋体"/>
          <w:color w:val="auto"/>
          <w:spacing w:val="-4"/>
          <w:sz w:val="24"/>
          <w:szCs w:val="24"/>
          <w:highlight w:val="none"/>
        </w:rPr>
        <w:t xml:space="preserve"> 4</w:t>
      </w:r>
      <w:r>
        <w:rPr>
          <w:rFonts w:hint="eastAsia" w:ascii="宋体" w:hAnsi="宋体" w:cs="宋体"/>
          <w:color w:val="auto"/>
          <w:spacing w:val="-4"/>
          <w:sz w:val="24"/>
          <w:szCs w:val="24"/>
          <w:highlight w:val="none"/>
        </w:rPr>
        <w:t>、诚信分</w:t>
      </w:r>
    </w:p>
    <w:p>
      <w:pPr>
        <w:widowControl/>
        <w:adjustRightInd w:val="0"/>
        <w:snapToGrid w:val="0"/>
        <w:spacing w:line="420" w:lineRule="exact"/>
        <w:ind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）诚信处罚扣分………………………………………………………</w:t>
      </w:r>
      <w:r>
        <w:rPr>
          <w:rFonts w:ascii="宋体" w:hAnsi="宋体" w:cs="宋体"/>
          <w:color w:val="auto"/>
          <w:kern w:val="0"/>
          <w:sz w:val="24"/>
          <w:szCs w:val="24"/>
          <w:highlight w:val="none"/>
        </w:rPr>
        <w:t xml:space="preserve"> -6</w:t>
      </w:r>
      <w:r>
        <w:rPr>
          <w:rFonts w:hint="eastAsia" w:ascii="宋体" w:hAnsi="宋体" w:cs="宋体"/>
          <w:color w:val="auto"/>
          <w:kern w:val="0"/>
          <w:sz w:val="24"/>
          <w:szCs w:val="24"/>
          <w:highlight w:val="none"/>
        </w:rPr>
        <w:t>分</w:t>
      </w:r>
    </w:p>
    <w:p>
      <w:pPr>
        <w:widowControl/>
        <w:adjustRightInd w:val="0"/>
        <w:snapToGrid w:val="0"/>
        <w:spacing w:line="420" w:lineRule="exact"/>
        <w:ind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投标人在截标日前一年内在政府采购活动中存在违约情况的，每次扣除</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分，最高扣</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分。（投标人须出具书面说明或其他有效证明材料作为评分依据，中标后由采购人进行核查，如未如实提供的，按提供虚假材料处理。）</w:t>
      </w:r>
    </w:p>
    <w:p>
      <w:pPr>
        <w:pStyle w:val="18"/>
        <w:rPr>
          <w:rFonts w:ascii="宋体" w:cs="宋体"/>
          <w:color w:val="auto"/>
          <w:kern w:val="0"/>
          <w:highlight w:val="none"/>
        </w:rPr>
      </w:pPr>
    </w:p>
    <w:p>
      <w:pPr>
        <w:numPr>
          <w:ilvl w:val="0"/>
          <w:numId w:val="3"/>
        </w:numPr>
        <w:rPr>
          <w:rFonts w:ascii="宋体"/>
          <w:b/>
          <w:bCs/>
          <w:color w:val="auto"/>
          <w:sz w:val="24"/>
          <w:szCs w:val="24"/>
          <w:highlight w:val="none"/>
        </w:rPr>
      </w:pPr>
      <w:r>
        <w:rPr>
          <w:rFonts w:hint="eastAsia" w:ascii="宋体" w:hAnsi="宋体" w:cs="宋体"/>
          <w:b/>
          <w:bCs/>
          <w:color w:val="auto"/>
          <w:sz w:val="24"/>
          <w:szCs w:val="24"/>
          <w:highlight w:val="none"/>
        </w:rPr>
        <w:t>总得分</w:t>
      </w:r>
      <w:r>
        <w:rPr>
          <w:rFonts w:ascii="宋体" w:hAnsi="宋体" w:cs="宋体"/>
          <w:b/>
          <w:bCs/>
          <w:color w:val="auto"/>
          <w:sz w:val="24"/>
          <w:szCs w:val="24"/>
          <w:highlight w:val="none"/>
        </w:rPr>
        <w:t>=1 + 2 + 3 + 4</w:t>
      </w:r>
      <w:r>
        <w:rPr>
          <w:rFonts w:hint="eastAsia" w:ascii="宋体" w:hAnsi="宋体" w:cs="宋体"/>
          <w:b/>
          <w:bCs/>
          <w:color w:val="auto"/>
          <w:sz w:val="24"/>
          <w:szCs w:val="24"/>
          <w:highlight w:val="none"/>
        </w:rPr>
        <w:t>项得分。</w:t>
      </w:r>
    </w:p>
    <w:p>
      <w:pPr>
        <w:rPr>
          <w:rFonts w:ascii="宋体"/>
          <w:b/>
          <w:bCs/>
          <w:color w:val="auto"/>
          <w:sz w:val="24"/>
          <w:szCs w:val="24"/>
          <w:highlight w:val="none"/>
        </w:rPr>
      </w:pPr>
      <w:r>
        <w:rPr>
          <w:rFonts w:hint="eastAsia" w:ascii="宋体" w:hAnsi="宋体" w:cs="宋体"/>
          <w:b/>
          <w:bCs/>
          <w:color w:val="auto"/>
          <w:sz w:val="24"/>
          <w:szCs w:val="24"/>
          <w:highlight w:val="none"/>
        </w:rPr>
        <w:t>三、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4"/>
        <w:spacing w:line="360" w:lineRule="exact"/>
        <w:outlineLvl w:val="0"/>
        <w:rPr>
          <w:rFonts w:hAnsi="宋体" w:cs="Times New Roman"/>
          <w:b/>
          <w:bCs/>
          <w:color w:val="auto"/>
          <w:sz w:val="24"/>
          <w:szCs w:val="24"/>
          <w:highlight w:val="none"/>
        </w:rPr>
      </w:pPr>
      <w:bookmarkStart w:id="114" w:name="_Toc6495"/>
      <w:bookmarkStart w:id="115" w:name="_Toc7555"/>
      <w:bookmarkStart w:id="116" w:name="_Toc14377"/>
      <w:bookmarkStart w:id="117" w:name="_Toc22778"/>
      <w:r>
        <w:rPr>
          <w:rFonts w:hint="eastAsia" w:hAnsi="宋体"/>
          <w:b/>
          <w:bCs/>
          <w:color w:val="auto"/>
          <w:sz w:val="24"/>
          <w:szCs w:val="24"/>
          <w:highlight w:val="none"/>
        </w:rPr>
        <w:t>四、中标候选人推荐原则</w:t>
      </w:r>
      <w:bookmarkEnd w:id="113"/>
      <w:bookmarkEnd w:id="114"/>
      <w:bookmarkEnd w:id="115"/>
      <w:bookmarkEnd w:id="116"/>
      <w:bookmarkEnd w:id="117"/>
    </w:p>
    <w:p>
      <w:pPr>
        <w:pStyle w:val="24"/>
        <w:ind w:firstLine="480" w:firstLineChars="200"/>
        <w:rPr>
          <w:rFonts w:ascii="宋体"/>
          <w:b/>
          <w:bCs/>
          <w:color w:val="auto"/>
          <w:sz w:val="44"/>
          <w:szCs w:val="44"/>
          <w:highlight w:val="none"/>
        </w:rPr>
      </w:pPr>
      <w:r>
        <w:rPr>
          <w:rFonts w:hint="eastAsia" w:hAnsi="宋体"/>
          <w:color w:val="auto"/>
          <w:sz w:val="24"/>
          <w:szCs w:val="24"/>
          <w:highlight w:val="none"/>
        </w:rPr>
        <w:t>评标委员会将根据综合得分由高到低排列次序（得分相同时，以投标报价由低到高顺序排列；得分相同且投标报价相同的，按技术标优劣顺序排列）并推荐不超过</w:t>
      </w:r>
      <w:r>
        <w:rPr>
          <w:rFonts w:hAnsi="宋体"/>
          <w:color w:val="auto"/>
          <w:sz w:val="24"/>
          <w:szCs w:val="24"/>
          <w:highlight w:val="none"/>
        </w:rPr>
        <w:t>3</w:t>
      </w:r>
      <w:r>
        <w:rPr>
          <w:rFonts w:hint="eastAsia" w:hAnsi="宋体"/>
          <w:color w:val="auto"/>
          <w:sz w:val="24"/>
          <w:szCs w:val="24"/>
          <w:highlight w:val="none"/>
        </w:rPr>
        <w:t>名中标候选供应商。招标采购单位应当确定评审委员会推荐排名第一的中标候选人为中标人。根据桂财采〔</w:t>
      </w:r>
      <w:r>
        <w:rPr>
          <w:rFonts w:hAnsi="宋体"/>
          <w:color w:val="auto"/>
          <w:sz w:val="24"/>
          <w:szCs w:val="24"/>
          <w:highlight w:val="none"/>
        </w:rPr>
        <w:t>2016</w:t>
      </w:r>
      <w:r>
        <w:rPr>
          <w:rFonts w:hint="eastAsia" w:hAnsi="宋体"/>
          <w:color w:val="auto"/>
          <w:sz w:val="24"/>
          <w:szCs w:val="24"/>
          <w:highlight w:val="none"/>
        </w:rPr>
        <w:t>〕</w:t>
      </w:r>
      <w:r>
        <w:rPr>
          <w:rFonts w:hAnsi="宋体"/>
          <w:color w:val="auto"/>
          <w:sz w:val="24"/>
          <w:szCs w:val="24"/>
          <w:highlight w:val="none"/>
        </w:rPr>
        <w:t>37</w:t>
      </w:r>
      <w:r>
        <w:rPr>
          <w:rFonts w:hint="eastAsia" w:hAnsi="宋体"/>
          <w:color w:val="auto"/>
          <w:sz w:val="24"/>
          <w:szCs w:val="24"/>
          <w:highlight w:val="none"/>
        </w:rPr>
        <w:t>号《关于做好政府采购有关信用主体标识码登记及在政府采购活动中查询使用信用记录有关问题的通知</w:t>
      </w:r>
      <w:r>
        <w:rPr>
          <w:rFonts w:hint="eastAsia" w:hAnsi="宋体"/>
          <w:color w:val="auto"/>
          <w:sz w:val="24"/>
          <w:szCs w:val="24"/>
          <w:highlight w:val="none"/>
          <w:shd w:val="clear" w:color="auto" w:fill="FFFFFF"/>
        </w:rPr>
        <w:t>》相关规定，</w:t>
      </w:r>
      <w:r>
        <w:rPr>
          <w:rFonts w:hint="eastAsia" w:hAnsi="宋体"/>
          <w:color w:val="auto"/>
          <w:sz w:val="24"/>
          <w:szCs w:val="24"/>
          <w:highlight w:val="none"/>
        </w:rPr>
        <w:t>采购代理机构</w:t>
      </w:r>
      <w:r>
        <w:rPr>
          <w:rFonts w:hint="eastAsia" w:hAnsi="宋体"/>
          <w:color w:val="auto"/>
          <w:sz w:val="24"/>
          <w:szCs w:val="24"/>
          <w:highlight w:val="none"/>
          <w:shd w:val="clear" w:color="auto" w:fill="FFFFFF"/>
        </w:rPr>
        <w:t>将对</w:t>
      </w:r>
      <w:r>
        <w:rPr>
          <w:rFonts w:hint="eastAsia" w:hAnsi="宋体"/>
          <w:color w:val="auto"/>
          <w:sz w:val="24"/>
          <w:szCs w:val="24"/>
          <w:highlight w:val="none"/>
        </w:rPr>
        <w:t>排名第一的中标候选人进行信用查询</w:t>
      </w:r>
      <w:r>
        <w:rPr>
          <w:rFonts w:hint="eastAsia" w:hAnsi="宋体"/>
          <w:color w:val="auto"/>
          <w:sz w:val="24"/>
          <w:szCs w:val="24"/>
          <w:highlight w:val="none"/>
          <w:shd w:val="clear" w:color="auto" w:fill="FFFFFF"/>
        </w:rPr>
        <w:t>，如</w:t>
      </w:r>
      <w:r>
        <w:rPr>
          <w:rFonts w:hint="eastAsia" w:hAnsi="宋体"/>
          <w:color w:val="auto"/>
          <w:sz w:val="24"/>
          <w:szCs w:val="24"/>
          <w:highlight w:val="none"/>
        </w:rPr>
        <w:t>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p>
    <w:p>
      <w:pPr>
        <w:jc w:val="center"/>
        <w:outlineLvl w:val="0"/>
        <w:rPr>
          <w:rFonts w:ascii="宋体"/>
          <w:b/>
          <w:bCs/>
          <w:color w:val="auto"/>
          <w:sz w:val="44"/>
          <w:szCs w:val="44"/>
          <w:highlight w:val="none"/>
        </w:rPr>
      </w:pPr>
      <w:bookmarkStart w:id="118" w:name="_Toc15812"/>
      <w:r>
        <w:rPr>
          <w:color w:val="auto"/>
          <w:highlight w:val="none"/>
        </w:rPr>
        <w:br w:type="page"/>
      </w:r>
      <w:bookmarkStart w:id="119" w:name="_Toc31377"/>
      <w:r>
        <w:rPr>
          <w:rFonts w:hint="eastAsia" w:ascii="宋体" w:hAnsi="宋体" w:cs="宋体"/>
          <w:b/>
          <w:bCs/>
          <w:color w:val="auto"/>
          <w:sz w:val="44"/>
          <w:szCs w:val="44"/>
          <w:highlight w:val="none"/>
        </w:rPr>
        <w:t>第五章合同主要条款格式</w:t>
      </w:r>
      <w:bookmarkEnd w:id="118"/>
      <w:bookmarkEnd w:id="119"/>
    </w:p>
    <w:p>
      <w:pPr>
        <w:spacing w:line="360" w:lineRule="auto"/>
        <w:jc w:val="center"/>
        <w:rPr>
          <w:rFonts w:ascii="宋体"/>
          <w:b/>
          <w:bCs/>
          <w:color w:val="auto"/>
          <w:sz w:val="52"/>
          <w:highlight w:val="none"/>
        </w:rPr>
      </w:pPr>
      <w:r>
        <w:rPr>
          <w:rFonts w:hint="eastAsia" w:ascii="宋体"/>
          <w:b/>
          <w:bCs/>
          <w:color w:val="auto"/>
          <w:sz w:val="52"/>
          <w:highlight w:val="none"/>
        </w:rPr>
        <w:t>青 秀 区 政 府 采 购</w:t>
      </w:r>
    </w:p>
    <w:p>
      <w:pPr>
        <w:spacing w:line="360" w:lineRule="auto"/>
        <w:ind w:firstLine="420" w:firstLineChars="200"/>
        <w:rPr>
          <w:rFonts w:ascii="宋体"/>
          <w:color w:val="auto"/>
          <w:highlight w:val="none"/>
        </w:rPr>
      </w:pPr>
    </w:p>
    <w:p>
      <w:pPr>
        <w:spacing w:line="360" w:lineRule="auto"/>
        <w:ind w:firstLine="420" w:firstLineChars="200"/>
        <w:rPr>
          <w:rFonts w:ascii="宋体"/>
          <w:color w:val="auto"/>
          <w:highlight w:val="none"/>
        </w:rPr>
      </w:pPr>
      <w:r>
        <w:rPr>
          <w:rFonts w:hint="eastAsia" w:ascii="宋体"/>
          <w:color w:val="auto"/>
          <w:highlight w:val="none"/>
        </w:rPr>
        <w:t xml:space="preserve">                                                 </w:t>
      </w:r>
    </w:p>
    <w:p>
      <w:pPr>
        <w:spacing w:line="360" w:lineRule="auto"/>
        <w:jc w:val="center"/>
        <w:rPr>
          <w:rFonts w:ascii="宋体"/>
          <w:b/>
          <w:bCs/>
          <w:color w:val="auto"/>
          <w:sz w:val="44"/>
          <w:highlight w:val="none"/>
        </w:rPr>
      </w:pPr>
      <w:r>
        <w:rPr>
          <w:rFonts w:hint="eastAsia" w:ascii="宋体"/>
          <w:b/>
          <w:bCs/>
          <w:color w:val="auto"/>
          <w:sz w:val="44"/>
          <w:highlight w:val="none"/>
          <w:u w:val="single"/>
        </w:rPr>
        <w:t xml:space="preserve">         （项目名称）         </w:t>
      </w:r>
      <w:r>
        <w:rPr>
          <w:rFonts w:hint="eastAsia" w:ascii="宋体"/>
          <w:b/>
          <w:bCs/>
          <w:color w:val="auto"/>
          <w:sz w:val="44"/>
          <w:highlight w:val="none"/>
        </w:rPr>
        <w:t>合同</w:t>
      </w:r>
    </w:p>
    <w:p>
      <w:pPr>
        <w:spacing w:line="360" w:lineRule="auto"/>
        <w:jc w:val="center"/>
        <w:rPr>
          <w:rFonts w:ascii="宋体"/>
          <w:b/>
          <w:bCs/>
          <w:color w:val="auto"/>
          <w:sz w:val="44"/>
          <w:highlight w:val="none"/>
        </w:rPr>
      </w:pPr>
    </w:p>
    <w:p>
      <w:pPr>
        <w:spacing w:line="360" w:lineRule="auto"/>
        <w:jc w:val="center"/>
        <w:rPr>
          <w:rFonts w:ascii="宋体"/>
          <w:b/>
          <w:bCs/>
          <w:color w:val="auto"/>
          <w:sz w:val="44"/>
          <w:highlight w:val="none"/>
        </w:rPr>
      </w:pPr>
    </w:p>
    <w:p>
      <w:pPr>
        <w:spacing w:line="360" w:lineRule="auto"/>
        <w:ind w:firstLine="3507" w:firstLineChars="794"/>
        <w:rPr>
          <w:rFonts w:ascii="宋体"/>
          <w:b/>
          <w:bCs/>
          <w:color w:val="auto"/>
          <w:sz w:val="44"/>
          <w:highlight w:val="none"/>
        </w:rPr>
      </w:pPr>
    </w:p>
    <w:p>
      <w:pPr>
        <w:spacing w:line="360" w:lineRule="auto"/>
        <w:ind w:firstLine="3507" w:firstLineChars="794"/>
        <w:rPr>
          <w:rFonts w:ascii="宋体"/>
          <w:b/>
          <w:bCs/>
          <w:color w:val="auto"/>
          <w:sz w:val="44"/>
          <w:highlight w:val="none"/>
        </w:rPr>
      </w:pPr>
    </w:p>
    <w:p>
      <w:pPr>
        <w:ind w:firstLine="1995" w:firstLineChars="552"/>
        <w:rPr>
          <w:rFonts w:ascii="宋体" w:hAnsi="宋体"/>
          <w:b/>
          <w:color w:val="auto"/>
          <w:sz w:val="36"/>
          <w:szCs w:val="36"/>
          <w:highlight w:val="none"/>
        </w:rPr>
      </w:pPr>
      <w:r>
        <w:rPr>
          <w:rFonts w:hint="eastAsia" w:ascii="宋体" w:hAnsi="宋体"/>
          <w:b/>
          <w:color w:val="auto"/>
          <w:sz w:val="36"/>
          <w:szCs w:val="36"/>
          <w:highlight w:val="none"/>
        </w:rPr>
        <w:t>项目编号：</w:t>
      </w:r>
      <w:r>
        <w:rPr>
          <w:rFonts w:hint="eastAsia" w:ascii="宋体" w:hAnsi="宋体"/>
          <w:b/>
          <w:color w:val="auto"/>
          <w:sz w:val="36"/>
          <w:szCs w:val="36"/>
          <w:highlight w:val="none"/>
          <w:u w:val="single"/>
        </w:rPr>
        <w:t xml:space="preserve">                     </w:t>
      </w:r>
    </w:p>
    <w:p>
      <w:pPr>
        <w:rPr>
          <w:rFonts w:ascii="宋体" w:hAnsi="宋体"/>
          <w:b/>
          <w:color w:val="auto"/>
          <w:sz w:val="36"/>
          <w:szCs w:val="36"/>
          <w:highlight w:val="none"/>
          <w:u w:val="single"/>
        </w:rPr>
      </w:pPr>
    </w:p>
    <w:p>
      <w:pPr>
        <w:tabs>
          <w:tab w:val="left" w:pos="7200"/>
        </w:tabs>
        <w:spacing w:line="360" w:lineRule="auto"/>
        <w:ind w:firstLine="1995" w:firstLineChars="552"/>
        <w:rPr>
          <w:rFonts w:ascii="宋体" w:hAnsi="宋体"/>
          <w:b/>
          <w:color w:val="auto"/>
          <w:sz w:val="36"/>
          <w:szCs w:val="36"/>
          <w:highlight w:val="none"/>
          <w:u w:val="single"/>
        </w:rPr>
      </w:pPr>
      <w:r>
        <w:rPr>
          <w:rFonts w:hint="eastAsia" w:ascii="宋体" w:hAnsi="宋体"/>
          <w:b/>
          <w:color w:val="auto"/>
          <w:sz w:val="36"/>
          <w:szCs w:val="36"/>
          <w:highlight w:val="none"/>
        </w:rPr>
        <w:t>采购人：</w:t>
      </w:r>
      <w:r>
        <w:rPr>
          <w:rFonts w:hint="eastAsia" w:ascii="宋体" w:hAnsi="宋体"/>
          <w:b/>
          <w:color w:val="auto"/>
          <w:sz w:val="36"/>
          <w:szCs w:val="36"/>
          <w:highlight w:val="none"/>
          <w:u w:val="single"/>
        </w:rPr>
        <w:t xml:space="preserve">                       </w:t>
      </w:r>
    </w:p>
    <w:p>
      <w:pPr>
        <w:tabs>
          <w:tab w:val="left" w:pos="7380"/>
        </w:tabs>
        <w:spacing w:line="360" w:lineRule="auto"/>
        <w:ind w:firstLine="1995" w:firstLineChars="552"/>
        <w:rPr>
          <w:rFonts w:ascii="宋体"/>
          <w:b/>
          <w:bCs/>
          <w:color w:val="auto"/>
          <w:sz w:val="44"/>
          <w:highlight w:val="none"/>
        </w:rPr>
      </w:pPr>
      <w:r>
        <w:rPr>
          <w:rFonts w:hint="eastAsia" w:ascii="宋体" w:hAnsi="宋体"/>
          <w:b/>
          <w:color w:val="auto"/>
          <w:sz w:val="36"/>
          <w:szCs w:val="36"/>
          <w:highlight w:val="none"/>
        </w:rPr>
        <w:t>中标供应商：</w:t>
      </w:r>
      <w:r>
        <w:rPr>
          <w:rFonts w:hint="eastAsia" w:ascii="宋体" w:hAnsi="宋体"/>
          <w:b/>
          <w:color w:val="auto"/>
          <w:sz w:val="36"/>
          <w:szCs w:val="36"/>
          <w:highlight w:val="none"/>
          <w:u w:val="single"/>
        </w:rPr>
        <w:t xml:space="preserve">                   </w:t>
      </w:r>
    </w:p>
    <w:p>
      <w:pPr>
        <w:tabs>
          <w:tab w:val="left" w:pos="7380"/>
        </w:tabs>
        <w:spacing w:line="360" w:lineRule="auto"/>
        <w:rPr>
          <w:rFonts w:ascii="宋体"/>
          <w:b/>
          <w:bCs/>
          <w:color w:val="auto"/>
          <w:sz w:val="44"/>
          <w:highlight w:val="none"/>
        </w:rPr>
      </w:pPr>
    </w:p>
    <w:p>
      <w:pPr>
        <w:tabs>
          <w:tab w:val="left" w:pos="7380"/>
        </w:tabs>
        <w:spacing w:line="360" w:lineRule="auto"/>
        <w:jc w:val="center"/>
        <w:rPr>
          <w:rFonts w:ascii="宋体"/>
          <w:b/>
          <w:bCs/>
          <w:color w:val="auto"/>
          <w:sz w:val="44"/>
          <w:highlight w:val="none"/>
        </w:rPr>
      </w:pPr>
      <w:r>
        <w:rPr>
          <w:rFonts w:hint="eastAsia" w:ascii="宋体"/>
          <w:b/>
          <w:bCs/>
          <w:color w:val="auto"/>
          <w:sz w:val="44"/>
          <w:highlight w:val="none"/>
        </w:rPr>
        <w:br w:type="page"/>
      </w:r>
      <w:r>
        <w:rPr>
          <w:rFonts w:hint="eastAsia"/>
          <w:b/>
          <w:color w:val="auto"/>
          <w:sz w:val="36"/>
          <w:szCs w:val="36"/>
          <w:highlight w:val="none"/>
        </w:rPr>
        <w:t>目</w:t>
      </w:r>
      <w:r>
        <w:rPr>
          <w:b/>
          <w:color w:val="auto"/>
          <w:sz w:val="36"/>
          <w:szCs w:val="36"/>
          <w:highlight w:val="none"/>
        </w:rPr>
        <w:t xml:space="preserve">  </w:t>
      </w:r>
      <w:r>
        <w:rPr>
          <w:rFonts w:hint="eastAsia"/>
          <w:b/>
          <w:color w:val="auto"/>
          <w:sz w:val="36"/>
          <w:szCs w:val="36"/>
          <w:highlight w:val="none"/>
        </w:rPr>
        <w:t>录</w:t>
      </w:r>
    </w:p>
    <w:p>
      <w:pPr>
        <w:tabs>
          <w:tab w:val="left" w:pos="1170"/>
        </w:tabs>
        <w:spacing w:line="360" w:lineRule="auto"/>
        <w:ind w:left="359" w:leftChars="171" w:firstLine="198" w:firstLineChars="71"/>
        <w:rPr>
          <w:rFonts w:ascii="宋体" w:hAnsi="宋体"/>
          <w:color w:val="auto"/>
          <w:sz w:val="28"/>
          <w:highlight w:val="none"/>
        </w:rPr>
      </w:pPr>
      <w:r>
        <w:rPr>
          <w:rFonts w:hint="eastAsia" w:ascii="宋体" w:hAnsi="宋体"/>
          <w:color w:val="auto"/>
          <w:sz w:val="28"/>
          <w:highlight w:val="none"/>
        </w:rPr>
        <w:tab/>
      </w:r>
    </w:p>
    <w:p>
      <w:pPr>
        <w:spacing w:line="360" w:lineRule="auto"/>
        <w:rPr>
          <w:b/>
          <w:color w:val="auto"/>
          <w:sz w:val="30"/>
          <w:szCs w:val="30"/>
          <w:highlight w:val="none"/>
        </w:rPr>
      </w:pPr>
      <w:r>
        <w:rPr>
          <w:rFonts w:hint="eastAsia"/>
          <w:b/>
          <w:color w:val="auto"/>
          <w:sz w:val="30"/>
          <w:szCs w:val="30"/>
          <w:highlight w:val="none"/>
        </w:rPr>
        <w:t>一、青秀区政府采购合同书</w:t>
      </w:r>
    </w:p>
    <w:p>
      <w:pPr>
        <w:spacing w:line="360" w:lineRule="auto"/>
        <w:rPr>
          <w:b/>
          <w:color w:val="auto"/>
          <w:sz w:val="30"/>
          <w:szCs w:val="30"/>
          <w:highlight w:val="none"/>
        </w:rPr>
      </w:pPr>
      <w:r>
        <w:rPr>
          <w:rFonts w:hint="eastAsia"/>
          <w:b/>
          <w:color w:val="auto"/>
          <w:sz w:val="30"/>
          <w:szCs w:val="30"/>
          <w:highlight w:val="none"/>
        </w:rPr>
        <w:t>二、合同附件</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1、中标通知书</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2、招标文件服务需求一览表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3、招标文件的澄清和修改</w:t>
      </w:r>
      <w:r>
        <w:rPr>
          <w:color w:val="auto"/>
          <w:sz w:val="28"/>
          <w:szCs w:val="28"/>
          <w:highlight w:val="none"/>
        </w:rPr>
        <w:t>（如有请提</w:t>
      </w:r>
      <w:r>
        <w:rPr>
          <w:color w:val="auto"/>
          <w:sz w:val="30"/>
          <w:szCs w:val="30"/>
          <w:highlight w:val="none"/>
        </w:rPr>
        <w:t>供</w:t>
      </w:r>
      <w:r>
        <w:rPr>
          <w:color w:val="auto"/>
          <w:sz w:val="28"/>
          <w:szCs w:val="28"/>
          <w:highlight w:val="none"/>
        </w:rPr>
        <w:t>）</w:t>
      </w:r>
    </w:p>
    <w:p>
      <w:pPr>
        <w:spacing w:line="360" w:lineRule="auto"/>
        <w:ind w:firstLine="560" w:firstLineChars="200"/>
        <w:rPr>
          <w:rFonts w:ascii="宋体" w:hAnsi="宋体"/>
          <w:color w:val="auto"/>
          <w:sz w:val="28"/>
          <w:szCs w:val="28"/>
          <w:highlight w:val="none"/>
        </w:rPr>
      </w:pPr>
      <w:r>
        <w:rPr>
          <w:color w:val="auto"/>
          <w:sz w:val="28"/>
          <w:szCs w:val="28"/>
          <w:highlight w:val="none"/>
        </w:rPr>
        <w:t>4</w:t>
      </w:r>
      <w:r>
        <w:rPr>
          <w:rFonts w:hint="eastAsia"/>
          <w:color w:val="auto"/>
          <w:sz w:val="28"/>
          <w:szCs w:val="28"/>
          <w:highlight w:val="none"/>
        </w:rPr>
        <w:t>、投标函</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5、投标报价表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6、投标服务技术资料表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7、商务条款偏离表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8、中标供应商澄清函</w:t>
      </w:r>
      <w:r>
        <w:rPr>
          <w:color w:val="auto"/>
          <w:sz w:val="28"/>
          <w:szCs w:val="28"/>
          <w:highlight w:val="none"/>
        </w:rPr>
        <w:t>（如有请提</w:t>
      </w:r>
      <w:r>
        <w:rPr>
          <w:color w:val="auto"/>
          <w:sz w:val="30"/>
          <w:szCs w:val="30"/>
          <w:highlight w:val="none"/>
        </w:rPr>
        <w:t>供</w:t>
      </w:r>
      <w:r>
        <w:rPr>
          <w:color w:val="auto"/>
          <w:sz w:val="28"/>
          <w:szCs w:val="28"/>
          <w:highlight w:val="none"/>
        </w:rPr>
        <w:t>）</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9、其他与本合同相关的资料</w:t>
      </w:r>
      <w:r>
        <w:rPr>
          <w:color w:val="auto"/>
          <w:sz w:val="28"/>
          <w:szCs w:val="28"/>
          <w:highlight w:val="none"/>
        </w:rPr>
        <w:t>（如有请提</w:t>
      </w:r>
      <w:r>
        <w:rPr>
          <w:color w:val="auto"/>
          <w:sz w:val="30"/>
          <w:szCs w:val="30"/>
          <w:highlight w:val="none"/>
        </w:rPr>
        <w:t>供</w:t>
      </w:r>
      <w:r>
        <w:rPr>
          <w:color w:val="auto"/>
          <w:sz w:val="28"/>
          <w:szCs w:val="28"/>
          <w:highlight w:val="none"/>
        </w:rPr>
        <w:t>）</w:t>
      </w:r>
    </w:p>
    <w:p>
      <w:pPr>
        <w:rPr>
          <w:b/>
          <w:color w:val="auto"/>
          <w:sz w:val="30"/>
          <w:szCs w:val="30"/>
          <w:highlight w:val="none"/>
        </w:rPr>
      </w:pPr>
    </w:p>
    <w:p>
      <w:pPr>
        <w:spacing w:line="360" w:lineRule="auto"/>
        <w:jc w:val="center"/>
        <w:rPr>
          <w:rFonts w:ascii="宋体" w:hAnsi="宋体"/>
          <w:b/>
          <w:bCs/>
          <w:color w:val="auto"/>
          <w:sz w:val="28"/>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jc w:val="center"/>
        <w:outlineLvl w:val="0"/>
        <w:rPr>
          <w:rFonts w:hAnsi="宋体"/>
          <w:b/>
          <w:bCs/>
          <w:color w:val="auto"/>
          <w:sz w:val="32"/>
          <w:szCs w:val="32"/>
          <w:highlight w:val="none"/>
        </w:rPr>
      </w:pPr>
    </w:p>
    <w:p>
      <w:pPr>
        <w:pStyle w:val="24"/>
        <w:spacing w:line="360" w:lineRule="exact"/>
        <w:outlineLvl w:val="0"/>
        <w:rPr>
          <w:rFonts w:hAnsi="宋体"/>
          <w:b/>
          <w:bCs/>
          <w:color w:val="auto"/>
          <w:sz w:val="32"/>
          <w:szCs w:val="32"/>
          <w:highlight w:val="none"/>
        </w:rPr>
      </w:pP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cs="宋体"/>
          <w:color w:val="auto"/>
          <w:sz w:val="24"/>
          <w:highlight w:val="none"/>
        </w:rPr>
      </w:pP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ascii="宋体" w:hAnsi="宋体" w:cs="宋体"/>
          <w:color w:val="auto"/>
          <w:sz w:val="24"/>
          <w:highlight w:val="none"/>
          <w:u w:val="single"/>
        </w:rPr>
      </w:pPr>
      <w:r>
        <w:rPr>
          <w:rFonts w:hint="eastAsia" w:ascii="宋体" w:hAnsi="宋体" w:cs="宋体"/>
          <w:color w:val="auto"/>
          <w:sz w:val="24"/>
          <w:highlight w:val="none"/>
        </w:rPr>
        <w:t>甲方（全称）：</w:t>
      </w:r>
      <w:r>
        <w:rPr>
          <w:rFonts w:hint="eastAsia" w:ascii="宋体" w:hAnsi="宋体" w:cs="宋体"/>
          <w:color w:val="auto"/>
          <w:sz w:val="24"/>
          <w:highlight w:val="none"/>
          <w:u w:val="single"/>
        </w:rPr>
        <w:t xml:space="preserve"> 南宁市青秀区土地储备分中心                                 </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default" w:ascii="宋体" w:hAnsi="宋体" w:cs="宋体"/>
          <w:color w:val="auto"/>
          <w:sz w:val="24"/>
          <w:highlight w:val="none"/>
          <w:u w:val="single"/>
          <w:lang w:val="en-US" w:eastAsia="zh-CN"/>
        </w:rPr>
      </w:pPr>
      <w:r>
        <w:rPr>
          <w:rFonts w:hint="eastAsia" w:ascii="宋体" w:hAnsi="宋体" w:cs="宋体"/>
          <w:color w:val="auto"/>
          <w:sz w:val="24"/>
          <w:highlight w:val="none"/>
        </w:rPr>
        <w:t>乙方（全称）：</w:t>
      </w:r>
      <w:r>
        <w:rPr>
          <w:rFonts w:hint="eastAsia" w:ascii="宋体" w:hAnsi="宋体" w:cs="宋体"/>
          <w:color w:val="auto"/>
          <w:sz w:val="24"/>
          <w:highlight w:val="none"/>
          <w:u w:val="single"/>
          <w:lang w:val="en-US" w:eastAsia="zh-CN"/>
        </w:rPr>
        <w:t xml:space="preserve">                                                         </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ascii="宋体" w:hAnsi="宋体" w:cs="宋体"/>
          <w:b/>
          <w:bCs/>
          <w:color w:val="auto"/>
          <w:sz w:val="24"/>
          <w:highlight w:val="none"/>
        </w:rPr>
      </w:pPr>
      <w:r>
        <w:rPr>
          <w:rFonts w:hint="eastAsia" w:ascii="宋体" w:hAnsi="宋体" w:cs="宋体"/>
          <w:color w:val="auto"/>
          <w:sz w:val="24"/>
          <w:highlight w:val="none"/>
        </w:rPr>
        <w:t>甲方以公开招标方式确定乙方为</w:t>
      </w:r>
      <w:r>
        <w:rPr>
          <w:rFonts w:hint="eastAsia" w:hAnsi="宋体"/>
          <w:b/>
          <w:bCs/>
          <w:color w:val="auto"/>
          <w:sz w:val="24"/>
          <w:szCs w:val="24"/>
          <w:highlight w:val="none"/>
          <w:u w:val="single"/>
          <w:lang w:eastAsia="zh-CN"/>
        </w:rPr>
        <w:t>南宁市青秀区两个耕地提质改造（旱改水）项目整改及管护工作</w:t>
      </w:r>
      <w:r>
        <w:rPr>
          <w:rFonts w:hint="eastAsia" w:ascii="宋体" w:hAnsi="宋体" w:cs="宋体"/>
          <w:color w:val="auto"/>
          <w:sz w:val="24"/>
          <w:highlight w:val="none"/>
        </w:rPr>
        <w:t>的承建单位（实施主体）。经甲乙双方友好协商，按照合作共赢、互惠互利的原则，双方达成本协议，以共同遵守。</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bidi w:val="0"/>
        <w:snapToGrid/>
        <w:spacing w:line="440" w:lineRule="exact"/>
        <w:ind w:firstLine="482" w:firstLineChars="200"/>
        <w:jc w:val="left"/>
        <w:textAlignment w:val="auto"/>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 xml:space="preserve">第一条  </w:t>
      </w:r>
      <w:r>
        <w:rPr>
          <w:rFonts w:hint="eastAsia" w:ascii="宋体" w:hAnsi="宋体" w:cs="宋体"/>
          <w:b/>
          <w:bCs/>
          <w:color w:val="auto"/>
          <w:sz w:val="24"/>
          <w:highlight w:val="none"/>
          <w:lang w:val="en-US" w:eastAsia="zh-CN"/>
        </w:rPr>
        <w:t>项目</w:t>
      </w:r>
      <w:r>
        <w:rPr>
          <w:rFonts w:hint="eastAsia" w:ascii="宋体" w:hAnsi="宋体" w:cs="宋体"/>
          <w:b/>
          <w:bCs/>
          <w:color w:val="auto"/>
          <w:sz w:val="24"/>
          <w:highlight w:val="none"/>
        </w:rPr>
        <w:t>基本</w:t>
      </w:r>
      <w:r>
        <w:rPr>
          <w:rFonts w:hint="eastAsia" w:ascii="宋体" w:hAnsi="宋体" w:cs="宋体"/>
          <w:b/>
          <w:bCs/>
          <w:color w:val="auto"/>
          <w:sz w:val="24"/>
          <w:highlight w:val="none"/>
          <w:lang w:val="en-US" w:eastAsia="zh-CN"/>
        </w:rPr>
        <w:t>情况</w:t>
      </w:r>
    </w:p>
    <w:p>
      <w:pPr>
        <w:pStyle w:val="147"/>
        <w:keepNext w:val="0"/>
        <w:keepLines w:val="0"/>
        <w:pageBreakBefore w:val="0"/>
        <w:widowControl w:val="0"/>
        <w:kinsoku/>
        <w:wordWrap/>
        <w:overflowPunct/>
        <w:topLinePunct w:val="0"/>
        <w:bidi w:val="0"/>
        <w:snapToGrid/>
        <w:spacing w:line="440" w:lineRule="exact"/>
        <w:ind w:firstLine="480"/>
        <w:jc w:val="left"/>
        <w:textAlignment w:val="auto"/>
        <w:rPr>
          <w:rFonts w:hint="eastAsia" w:hAnsi="宋体"/>
          <w:b/>
          <w:bCs/>
          <w:color w:val="auto"/>
          <w:sz w:val="24"/>
          <w:szCs w:val="24"/>
          <w:highlight w:val="none"/>
          <w:u w:val="single"/>
          <w:lang w:eastAsia="zh-CN"/>
        </w:rPr>
      </w:pPr>
      <w:r>
        <w:rPr>
          <w:rFonts w:hint="eastAsia" w:ascii="宋体" w:hAnsi="宋体" w:cs="宋体"/>
          <w:color w:val="auto"/>
          <w:sz w:val="24"/>
          <w:highlight w:val="none"/>
        </w:rPr>
        <w:t>1、项目名称：</w:t>
      </w:r>
      <w:r>
        <w:rPr>
          <w:rFonts w:hint="eastAsia" w:hAnsi="宋体"/>
          <w:b/>
          <w:bCs/>
          <w:color w:val="auto"/>
          <w:sz w:val="24"/>
          <w:szCs w:val="24"/>
          <w:highlight w:val="none"/>
          <w:u w:val="single"/>
          <w:lang w:eastAsia="zh-CN"/>
        </w:rPr>
        <w:t>南宁市青秀区两个耕地提质改造（旱改水）项目整改及管护工作</w:t>
      </w:r>
    </w:p>
    <w:p>
      <w:pPr>
        <w:pStyle w:val="147"/>
        <w:keepNext w:val="0"/>
        <w:keepLines w:val="0"/>
        <w:pageBreakBefore w:val="0"/>
        <w:widowControl w:val="0"/>
        <w:kinsoku/>
        <w:wordWrap/>
        <w:overflowPunct/>
        <w:topLinePunct w:val="0"/>
        <w:bidi w:val="0"/>
        <w:snapToGrid/>
        <w:spacing w:line="440" w:lineRule="exact"/>
        <w:ind w:firstLine="480"/>
        <w:jc w:val="left"/>
        <w:textAlignment w:val="auto"/>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rPr>
        <w:t>2、项目编号：</w:t>
      </w:r>
      <w:r>
        <w:rPr>
          <w:rFonts w:hint="eastAsia" w:ascii="宋体" w:hAnsi="宋体" w:cs="宋体"/>
          <w:color w:val="auto"/>
          <w:sz w:val="24"/>
          <w:highlight w:val="none"/>
          <w:u w:val="single"/>
          <w:lang w:val="en-US" w:eastAsia="zh-CN"/>
        </w:rPr>
        <w:t xml:space="preserve">                                                        </w:t>
      </w:r>
    </w:p>
    <w:p>
      <w:pPr>
        <w:spacing w:line="36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3、项目概况：</w:t>
      </w:r>
      <w:r>
        <w:rPr>
          <w:rFonts w:hint="eastAsia" w:ascii="宋体" w:hAnsi="宋体" w:cs="宋体"/>
          <w:color w:val="auto"/>
          <w:sz w:val="24"/>
          <w:highlight w:val="none"/>
          <w:lang w:eastAsia="zh-CN"/>
        </w:rPr>
        <w:t>南宁市青秀区南阳镇等3个乡镇新光村等5个村耕地提质改造（旱改水）项目</w:t>
      </w:r>
      <w:r>
        <w:rPr>
          <w:rFonts w:hint="eastAsia" w:ascii="宋体" w:hAnsi="宋体" w:cs="宋体"/>
          <w:color w:val="auto"/>
          <w:sz w:val="24"/>
          <w:highlight w:val="none"/>
          <w:lang w:val="en-US" w:eastAsia="zh-CN"/>
        </w:rPr>
        <w:t>于2016年8月9日，项目已按设计完成工程施工、工程复核、质量耕地评定等工作，目前项目指标入库所需材料已上报南宁市自然资源局，根据南国土资复[2018]0055号，项目新增水田面积：14.9262公顷，</w:t>
      </w:r>
    </w:p>
    <w:p>
      <w:pPr>
        <w:spacing w:line="36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南宁市自然资源局关于南宁市青秀区伶俐镇石塘村等3个村耕地提质改造（旱改水）项目于2017年2月4日立项，项目已按设计完成工程施工、工程复核、质量耕地评定等工作，目前项目指标入库所需材料已上报南宁市自然资源局，根据南国土资发〔2019〕162号，项目新增水田面积20.5249公顷。</w:t>
      </w:r>
    </w:p>
    <w:p>
      <w:pPr>
        <w:pStyle w:val="147"/>
        <w:keepNext w:val="0"/>
        <w:keepLines w:val="0"/>
        <w:pageBreakBefore w:val="0"/>
        <w:widowControl w:val="0"/>
        <w:kinsoku/>
        <w:wordWrap/>
        <w:overflowPunct/>
        <w:topLinePunct w:val="0"/>
        <w:bidi w:val="0"/>
        <w:snapToGrid/>
        <w:spacing w:line="440" w:lineRule="exact"/>
        <w:ind w:firstLine="480"/>
        <w:jc w:val="left"/>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以上两个项目（立项实施面积共计：43.7386公顷，新增水田面积共计：35.4511公顷）于2019年申报自然资源系统报备入库时南宁市自然资源局依据项目新的管理办法开展新增耕地核定工作，项目涉及的部分地块由于种植甘蔗、玉米等旱生作物，项目“水田指标”未能入库。本次整改和管护工作主要内容：对项目区种植甘蔗、玉米等旱生作物的地块采取有效措施，使项目区达到种植水田的标准，项目通过验收后，负责管护三年，主要内容为原则上保证连续三年每一年至少种植一造水稻、茭白、菱角、莲藕、荸荠（马蹄）、茨菇等水生农作物，确保项目工程和设施完好并正常使用。（整改项目地块情况详见南宁市青秀区南阳镇等3个乡镇新光村等5个村耕地提质改造（旱改水）项目规划设计报告及图件和南宁市青秀区伶俐镇石塘村等3个村耕地提质改造（旱改水）项目规划设计报告及图件）</w:t>
      </w:r>
    </w:p>
    <w:p>
      <w:pPr>
        <w:keepNext w:val="0"/>
        <w:keepLines w:val="0"/>
        <w:pageBreakBefore w:val="0"/>
        <w:widowControl w:val="0"/>
        <w:kinsoku/>
        <w:wordWrap/>
        <w:overflowPunct/>
        <w:topLinePunct w:val="0"/>
        <w:bidi w:val="0"/>
        <w:snapToGrid/>
        <w:spacing w:line="440" w:lineRule="exact"/>
        <w:ind w:firstLine="482" w:firstLineChars="200"/>
        <w:jc w:val="left"/>
        <w:textAlignment w:val="auto"/>
        <w:outlineLvl w:val="0"/>
        <w:rPr>
          <w:rFonts w:ascii="宋体" w:hAnsi="宋体" w:cs="宋体"/>
          <w:b/>
          <w:color w:val="auto"/>
          <w:sz w:val="24"/>
          <w:highlight w:val="none"/>
        </w:rPr>
      </w:pPr>
      <w:r>
        <w:rPr>
          <w:rFonts w:hint="eastAsia" w:ascii="宋体" w:hAnsi="宋体" w:cs="宋体"/>
          <w:b/>
          <w:color w:val="auto"/>
          <w:sz w:val="24"/>
          <w:highlight w:val="none"/>
        </w:rPr>
        <w:t>第二条 合作方式</w:t>
      </w:r>
    </w:p>
    <w:p>
      <w:pPr>
        <w:pStyle w:val="147"/>
        <w:keepNext w:val="0"/>
        <w:keepLines w:val="0"/>
        <w:pageBreakBefore w:val="0"/>
        <w:widowControl w:val="0"/>
        <w:numPr>
          <w:ilvl w:val="0"/>
          <w:numId w:val="0"/>
        </w:numPr>
        <w:kinsoku/>
        <w:wordWrap/>
        <w:overflowPunct/>
        <w:topLinePunct w:val="0"/>
        <w:bidi w:val="0"/>
        <w:snapToGrid/>
        <w:spacing w:line="440" w:lineRule="exact"/>
        <w:ind w:leftChars="0" w:firstLine="488" w:firstLineChars="200"/>
        <w:jc w:val="left"/>
        <w:textAlignment w:val="auto"/>
        <w:rPr>
          <w:rFonts w:hint="eastAsia" w:ascii="宋体" w:hAnsi="宋体"/>
          <w:color w:val="auto"/>
          <w:spacing w:val="2"/>
          <w:sz w:val="24"/>
          <w:szCs w:val="24"/>
          <w:highlight w:val="none"/>
          <w:lang w:eastAsia="zh-CN"/>
        </w:rPr>
      </w:pPr>
      <w:r>
        <w:rPr>
          <w:rFonts w:hint="eastAsia" w:ascii="宋体" w:hAnsi="宋体"/>
          <w:color w:val="auto"/>
          <w:spacing w:val="2"/>
          <w:sz w:val="24"/>
          <w:szCs w:val="24"/>
          <w:highlight w:val="none"/>
          <w:lang w:val="en-US" w:eastAsia="zh-CN"/>
        </w:rPr>
        <w:t>1、 乙方</w:t>
      </w:r>
      <w:r>
        <w:rPr>
          <w:rFonts w:hint="eastAsia" w:ascii="宋体" w:hAnsi="宋体"/>
          <w:color w:val="auto"/>
          <w:spacing w:val="2"/>
          <w:sz w:val="24"/>
          <w:szCs w:val="24"/>
          <w:highlight w:val="none"/>
        </w:rPr>
        <w:t>完成南宁市青秀区南阳镇等3个乡镇新光村等5 个村耕地提质 改造(旱改水)项目和伶俐镇石塘村等3个村耕地提质改造(旱改水)项目 整改，获得自然资源厅(局)主管部门批复的水田指标并完成指标报备入 库及报备入库后3年内的项目管护工作</w:t>
      </w:r>
      <w:r>
        <w:rPr>
          <w:rFonts w:hint="eastAsia" w:ascii="宋体" w:hAnsi="宋体"/>
          <w:color w:val="auto"/>
          <w:spacing w:val="2"/>
          <w:sz w:val="24"/>
          <w:szCs w:val="24"/>
          <w:highlight w:val="none"/>
          <w:lang w:eastAsia="zh-CN"/>
        </w:rPr>
        <w:t>。</w:t>
      </w:r>
    </w:p>
    <w:p>
      <w:pPr>
        <w:spacing w:line="360" w:lineRule="exact"/>
        <w:ind w:firstLine="480" w:firstLineChars="200"/>
        <w:rPr>
          <w:rFonts w:hint="eastAsia" w:ascii="宋体" w:hAnsi="宋体"/>
          <w:color w:val="auto"/>
          <w:spacing w:val="2"/>
          <w:sz w:val="24"/>
          <w:szCs w:val="24"/>
          <w:highlight w:val="none"/>
          <w:lang w:eastAsia="zh-CN"/>
        </w:rPr>
      </w:pPr>
      <w:r>
        <w:rPr>
          <w:rFonts w:hint="eastAsia" w:ascii="宋体" w:hAnsi="宋体" w:cs="宋体"/>
          <w:color w:val="auto"/>
          <w:sz w:val="24"/>
          <w:highlight w:val="none"/>
          <w:lang w:val="en-US" w:eastAsia="zh-CN"/>
        </w:rPr>
        <w:t>2、整改期一年（以完成新增水田指标确认入库为准），管护期</w:t>
      </w:r>
      <w:r>
        <w:rPr>
          <w:rFonts w:hint="eastAsia" w:ascii="宋体" w:hAnsi="宋体" w:cs="宋体"/>
          <w:color w:val="auto"/>
          <w:sz w:val="24"/>
          <w:highlight w:val="none"/>
          <w:shd w:val="clear" w:color="auto" w:fill="FFFFFF"/>
          <w:lang w:val="en-US" w:eastAsia="zh-CN"/>
        </w:rPr>
        <w:t>三</w:t>
      </w:r>
      <w:r>
        <w:rPr>
          <w:rFonts w:hint="eastAsia" w:ascii="宋体" w:hAnsi="宋体" w:cs="宋体"/>
          <w:color w:val="auto"/>
          <w:sz w:val="24"/>
          <w:highlight w:val="none"/>
          <w:shd w:val="clear" w:color="auto" w:fill="FFFFFF"/>
        </w:rPr>
        <w:t>年</w:t>
      </w:r>
      <w:r>
        <w:rPr>
          <w:rFonts w:hint="eastAsia" w:ascii="宋体" w:hAnsi="宋体" w:cs="宋体"/>
          <w:color w:val="auto"/>
          <w:sz w:val="24"/>
          <w:highlight w:val="none"/>
          <w:shd w:val="clear" w:color="auto" w:fill="FFFFFF"/>
          <w:lang w:eastAsia="zh-CN"/>
        </w:rPr>
        <w:t>，（</w:t>
      </w:r>
      <w:r>
        <w:rPr>
          <w:rFonts w:hint="eastAsia" w:ascii="宋体" w:hAnsi="宋体" w:cs="宋体"/>
          <w:color w:val="auto"/>
          <w:sz w:val="24"/>
          <w:highlight w:val="none"/>
          <w:shd w:val="clear" w:color="auto" w:fill="FFFFFF"/>
          <w:lang w:val="en-US" w:eastAsia="zh-CN"/>
        </w:rPr>
        <w:t>管护期以项目“水田指标”报备入库时间作为起始时间）</w:t>
      </w:r>
      <w:r>
        <w:rPr>
          <w:rFonts w:hint="eastAsia" w:ascii="宋体" w:hAnsi="宋体" w:cs="宋体"/>
          <w:color w:val="auto"/>
          <w:sz w:val="24"/>
          <w:highlight w:val="none"/>
        </w:rPr>
        <w:t>。</w:t>
      </w:r>
    </w:p>
    <w:p>
      <w:pPr>
        <w:keepNext w:val="0"/>
        <w:keepLines w:val="0"/>
        <w:pageBreakBefore w:val="0"/>
        <w:widowControl w:val="0"/>
        <w:kinsoku/>
        <w:wordWrap/>
        <w:overflowPunct/>
        <w:topLinePunct w:val="0"/>
        <w:bidi w:val="0"/>
        <w:snapToGrid/>
        <w:spacing w:line="440" w:lineRule="exact"/>
        <w:ind w:firstLine="482" w:firstLineChars="20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第三条 合作事项的收益分配、拨付</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rPr>
        <w:t>甲乙双方友好协商，达成以下共同意见。</w:t>
      </w:r>
    </w:p>
    <w:p>
      <w:pPr>
        <w:keepNext w:val="0"/>
        <w:keepLines w:val="0"/>
        <w:pageBreakBefore w:val="0"/>
        <w:widowControl w:val="0"/>
        <w:kinsoku/>
        <w:wordWrap/>
        <w:overflowPunct/>
        <w:topLinePunct w:val="0"/>
        <w:autoSpaceDE/>
        <w:autoSpaceDN/>
        <w:bidi w:val="0"/>
        <w:adjustRightInd/>
        <w:snapToGrid/>
        <w:spacing w:line="420" w:lineRule="exact"/>
        <w:ind w:firstLine="488" w:firstLineChars="200"/>
        <w:textAlignment w:val="auto"/>
        <w:outlineLvl w:val="9"/>
        <w:rPr>
          <w:rFonts w:hint="eastAsia" w:ascii="宋体" w:hAnsi="宋体" w:eastAsia="宋体" w:cs="Times New Roman"/>
          <w:color w:val="auto"/>
          <w:spacing w:val="2"/>
          <w:kern w:val="2"/>
          <w:sz w:val="24"/>
          <w:szCs w:val="24"/>
          <w:highlight w:val="none"/>
          <w:lang w:val="en-US" w:eastAsia="zh-CN" w:bidi="ar-SA"/>
        </w:rPr>
      </w:pPr>
      <w:r>
        <w:rPr>
          <w:rFonts w:hint="eastAsia" w:ascii="宋体" w:hAnsi="宋体" w:eastAsia="宋体" w:cs="Times New Roman"/>
          <w:color w:val="auto"/>
          <w:spacing w:val="2"/>
          <w:kern w:val="2"/>
          <w:sz w:val="24"/>
          <w:szCs w:val="24"/>
          <w:highlight w:val="none"/>
          <w:lang w:val="en-US" w:eastAsia="zh-CN" w:bidi="ar-SA"/>
        </w:rPr>
        <w:t>本项目无预付款，无进度款。为确保</w:t>
      </w:r>
      <w:r>
        <w:rPr>
          <w:rFonts w:hint="eastAsia" w:ascii="宋体" w:hAnsi="宋体" w:cs="Times New Roman"/>
          <w:color w:val="auto"/>
          <w:spacing w:val="2"/>
          <w:kern w:val="2"/>
          <w:sz w:val="24"/>
          <w:szCs w:val="24"/>
          <w:highlight w:val="none"/>
          <w:lang w:val="en-US" w:eastAsia="zh-CN" w:bidi="ar-SA"/>
        </w:rPr>
        <w:t>乙方</w:t>
      </w:r>
      <w:r>
        <w:rPr>
          <w:rFonts w:hint="eastAsia" w:ascii="宋体" w:hAnsi="宋体" w:eastAsia="宋体" w:cs="Times New Roman"/>
          <w:color w:val="auto"/>
          <w:spacing w:val="2"/>
          <w:kern w:val="2"/>
          <w:sz w:val="24"/>
          <w:szCs w:val="24"/>
          <w:highlight w:val="none"/>
          <w:lang w:val="en-US" w:eastAsia="zh-CN" w:bidi="ar-SA"/>
        </w:rPr>
        <w:t>高效、优质的完成以上两个项目的整改和管护工作。项目新增水田报备入库面积达到35.4511公顷</w:t>
      </w:r>
      <w:r>
        <w:rPr>
          <w:rFonts w:hint="eastAsia" w:ascii="宋体" w:hAnsi="宋体" w:cs="Times New Roman"/>
          <w:color w:val="auto"/>
          <w:spacing w:val="2"/>
          <w:kern w:val="2"/>
          <w:sz w:val="24"/>
          <w:szCs w:val="24"/>
          <w:highlight w:val="none"/>
          <w:lang w:val="en-US" w:eastAsia="zh-CN" w:bidi="ar-SA"/>
        </w:rPr>
        <w:t>的</w:t>
      </w:r>
      <w:r>
        <w:rPr>
          <w:rFonts w:hint="eastAsia" w:ascii="宋体" w:hAnsi="宋体" w:eastAsia="宋体" w:cs="Times New Roman"/>
          <w:color w:val="auto"/>
          <w:spacing w:val="2"/>
          <w:kern w:val="2"/>
          <w:sz w:val="24"/>
          <w:szCs w:val="24"/>
          <w:highlight w:val="none"/>
          <w:lang w:val="en-US" w:eastAsia="zh-CN" w:bidi="ar-SA"/>
        </w:rPr>
        <w:t>90%（含本数）以上才予以结账，项目结算价按以下方式计算：</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8" w:firstLineChars="200"/>
        <w:textAlignment w:val="auto"/>
        <w:outlineLvl w:val="9"/>
        <w:rPr>
          <w:rFonts w:hint="eastAsia" w:ascii="宋体" w:hAnsi="宋体" w:eastAsia="宋体" w:cs="Times New Roman"/>
          <w:color w:val="auto"/>
          <w:spacing w:val="2"/>
          <w:kern w:val="2"/>
          <w:sz w:val="24"/>
          <w:szCs w:val="24"/>
          <w:highlight w:val="none"/>
          <w:lang w:val="en-US" w:eastAsia="zh-CN" w:bidi="ar-SA"/>
        </w:rPr>
      </w:pPr>
      <w:r>
        <w:rPr>
          <w:rFonts w:hint="eastAsia" w:ascii="宋体" w:hAnsi="宋体" w:eastAsia="宋体" w:cs="Times New Roman"/>
          <w:color w:val="auto"/>
          <w:spacing w:val="2"/>
          <w:kern w:val="2"/>
          <w:sz w:val="24"/>
          <w:szCs w:val="24"/>
          <w:highlight w:val="none"/>
          <w:lang w:val="en-US" w:eastAsia="zh-CN" w:bidi="ar-SA"/>
        </w:rPr>
        <w:t>（1）</w:t>
      </w:r>
      <w:bookmarkStart w:id="120" w:name="OLE_LINK1"/>
      <w:r>
        <w:rPr>
          <w:rFonts w:hint="eastAsia" w:ascii="宋体" w:hAnsi="宋体" w:eastAsia="宋体" w:cs="Times New Roman"/>
          <w:color w:val="auto"/>
          <w:spacing w:val="2"/>
          <w:kern w:val="2"/>
          <w:sz w:val="24"/>
          <w:szCs w:val="24"/>
          <w:highlight w:val="none"/>
          <w:lang w:val="en-US" w:eastAsia="zh-CN" w:bidi="ar-SA"/>
        </w:rPr>
        <w:t>新增水田报备入库面积达到</w:t>
      </w:r>
      <w:bookmarkEnd w:id="120"/>
      <w:r>
        <w:rPr>
          <w:rFonts w:hint="eastAsia" w:ascii="宋体" w:hAnsi="宋体" w:eastAsia="宋体" w:cs="Times New Roman"/>
          <w:color w:val="auto"/>
          <w:spacing w:val="2"/>
          <w:kern w:val="2"/>
          <w:sz w:val="24"/>
          <w:szCs w:val="24"/>
          <w:highlight w:val="none"/>
          <w:lang w:val="en-US" w:eastAsia="zh-CN" w:bidi="ar-SA"/>
        </w:rPr>
        <w:t>35.4511公顷的95%以上（含95%），结算价计算公式：投标人中标单价×新增水田报备入库面积。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8" w:firstLineChars="200"/>
        <w:textAlignment w:val="auto"/>
        <w:outlineLvl w:val="9"/>
        <w:rPr>
          <w:rFonts w:hint="eastAsia" w:ascii="宋体" w:hAnsi="宋体" w:eastAsia="宋体" w:cs="Times New Roman"/>
          <w:color w:val="auto"/>
          <w:spacing w:val="2"/>
          <w:kern w:val="2"/>
          <w:sz w:val="24"/>
          <w:szCs w:val="24"/>
          <w:highlight w:val="none"/>
          <w:lang w:val="en-US" w:eastAsia="zh-CN" w:bidi="ar-SA"/>
        </w:rPr>
      </w:pPr>
      <w:r>
        <w:rPr>
          <w:rFonts w:hint="eastAsia" w:ascii="宋体" w:hAnsi="宋体" w:eastAsia="宋体" w:cs="Times New Roman"/>
          <w:color w:val="auto"/>
          <w:spacing w:val="2"/>
          <w:kern w:val="2"/>
          <w:sz w:val="24"/>
          <w:szCs w:val="24"/>
          <w:highlight w:val="none"/>
          <w:lang w:val="en-US" w:eastAsia="zh-CN" w:bidi="ar-SA"/>
        </w:rPr>
        <w:t>（2）新增水田报备入库面积达到35.4511公顷的90</w:t>
      </w:r>
      <w:r>
        <w:rPr>
          <w:rFonts w:hint="eastAsia" w:ascii="宋体" w:hAnsi="宋体" w:cs="Times New Roman"/>
          <w:color w:val="auto"/>
          <w:spacing w:val="2"/>
          <w:kern w:val="2"/>
          <w:sz w:val="24"/>
          <w:szCs w:val="24"/>
          <w:highlight w:val="none"/>
          <w:lang w:val="en-US" w:eastAsia="zh-CN" w:bidi="ar-SA"/>
        </w:rPr>
        <w:t>%</w:t>
      </w:r>
      <w:r>
        <w:rPr>
          <w:rFonts w:hint="eastAsia" w:ascii="宋体" w:hAnsi="宋体" w:eastAsia="宋体" w:cs="Times New Roman"/>
          <w:color w:val="auto"/>
          <w:spacing w:val="2"/>
          <w:kern w:val="2"/>
          <w:sz w:val="24"/>
          <w:szCs w:val="24"/>
          <w:highlight w:val="none"/>
          <w:lang w:val="en-US" w:eastAsia="zh-CN" w:bidi="ar-SA"/>
        </w:rPr>
        <w:t>-95%（不含95%），结算价计算公式：投标人中标单价×新增水田报备入库面积×Z(Z=新增水田报备入库面积</w:t>
      </w:r>
      <w:r>
        <w:rPr>
          <w:rFonts w:hint="default" w:ascii="宋体" w:hAnsi="宋体" w:eastAsia="宋体" w:cs="Times New Roman"/>
          <w:color w:val="auto"/>
          <w:spacing w:val="2"/>
          <w:kern w:val="2"/>
          <w:sz w:val="24"/>
          <w:szCs w:val="24"/>
          <w:highlight w:val="none"/>
          <w:lang w:val="en-US" w:eastAsia="zh-CN" w:bidi="ar-SA"/>
        </w:rPr>
        <w:t>÷</w:t>
      </w:r>
      <w:r>
        <w:rPr>
          <w:rFonts w:hint="eastAsia" w:ascii="宋体" w:hAnsi="宋体" w:eastAsia="宋体" w:cs="Times New Roman"/>
          <w:color w:val="auto"/>
          <w:spacing w:val="2"/>
          <w:kern w:val="2"/>
          <w:sz w:val="24"/>
          <w:szCs w:val="24"/>
          <w:highlight w:val="none"/>
          <w:lang w:val="en-US" w:eastAsia="zh-CN" w:bidi="ar-SA"/>
        </w:rPr>
        <w:t>35.4511公顷）。</w:t>
      </w:r>
    </w:p>
    <w:p>
      <w:pPr>
        <w:pStyle w:val="3"/>
        <w:pageBreakBefore w:val="0"/>
        <w:widowControl w:val="0"/>
        <w:kinsoku/>
        <w:wordWrap/>
        <w:overflowPunct/>
        <w:topLinePunct w:val="0"/>
        <w:autoSpaceDE/>
        <w:autoSpaceDN/>
        <w:bidi w:val="0"/>
        <w:adjustRightInd/>
        <w:snapToGrid/>
        <w:spacing w:before="0" w:after="0" w:line="420" w:lineRule="exact"/>
        <w:ind w:firstLine="490" w:firstLineChars="200"/>
        <w:jc w:val="left"/>
        <w:textAlignment w:val="auto"/>
        <w:rPr>
          <w:rFonts w:hint="default" w:ascii="仿宋_GB2312" w:eastAsia="仿宋_GB2312"/>
          <w:color w:val="auto"/>
          <w:sz w:val="32"/>
          <w:szCs w:val="32"/>
          <w:highlight w:val="none"/>
          <w:lang w:val="en-US" w:eastAsia="zh-CN"/>
        </w:rPr>
      </w:pPr>
      <w:r>
        <w:rPr>
          <w:rFonts w:hint="eastAsia" w:ascii="宋体" w:hAnsi="宋体" w:eastAsia="宋体" w:cs="Times New Roman"/>
          <w:color w:val="auto"/>
          <w:spacing w:val="2"/>
          <w:kern w:val="2"/>
          <w:sz w:val="24"/>
          <w:szCs w:val="24"/>
          <w:highlight w:val="none"/>
          <w:lang w:val="en-US" w:eastAsia="zh-CN" w:bidi="ar-SA"/>
        </w:rPr>
        <w:t>指标报备入库后一次性支付项目结算价的90%，预留项目结算价的10%作为后期管护保证金，分三年支付给中标单位，中标单位按约定履行第一年度后期管护义务次年青秀区政府退还4%（不计利息）、按约定履行第二年度后期管护义务次年青秀区政府退还3%（不计利息）、按约定履行第三年度后期管护义务次年青秀区政府退还3%（不计利息）。</w:t>
      </w:r>
    </w:p>
    <w:p>
      <w:pPr>
        <w:keepNext w:val="0"/>
        <w:keepLines w:val="0"/>
        <w:pageBreakBefore w:val="0"/>
        <w:widowControl w:val="0"/>
        <w:kinsoku/>
        <w:wordWrap/>
        <w:overflowPunct/>
        <w:topLinePunct w:val="0"/>
        <w:bidi w:val="0"/>
        <w:snapToGrid/>
        <w:spacing w:line="440" w:lineRule="exact"/>
        <w:ind w:firstLine="482" w:firstLineChars="20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第四条  双方的权利与义务</w:t>
      </w:r>
    </w:p>
    <w:p>
      <w:pPr>
        <w:keepNext w:val="0"/>
        <w:keepLines w:val="0"/>
        <w:pageBreakBefore w:val="0"/>
        <w:widowControl w:val="0"/>
        <w:kinsoku/>
        <w:wordWrap/>
        <w:overflowPunct/>
        <w:topLinePunct w:val="0"/>
        <w:bidi w:val="0"/>
        <w:snapToGrid/>
        <w:spacing w:line="440" w:lineRule="exact"/>
        <w:ind w:firstLine="482" w:firstLineChars="20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（一）甲方的权利与义务</w:t>
      </w:r>
    </w:p>
    <w:p>
      <w:pPr>
        <w:pStyle w:val="146"/>
        <w:keepNext w:val="0"/>
        <w:keepLines w:val="0"/>
        <w:pageBreakBefore w:val="0"/>
        <w:widowControl w:val="0"/>
        <w:kinsoku/>
        <w:wordWrap/>
        <w:overflowPunct/>
        <w:topLinePunct w:val="0"/>
        <w:bidi w:val="0"/>
        <w:snapToGrid/>
        <w:spacing w:line="440" w:lineRule="exact"/>
        <w:ind w:firstLine="480" w:firstLineChars="200"/>
        <w:jc w:val="both"/>
        <w:textAlignment w:val="auto"/>
        <w:rPr>
          <w:rFonts w:ascii="宋体" w:hAnsi="宋体" w:cs="宋体"/>
          <w:b w:val="0"/>
          <w:bCs w:val="0"/>
          <w:color w:val="auto"/>
          <w:highlight w:val="none"/>
        </w:rPr>
      </w:pPr>
      <w:r>
        <w:rPr>
          <w:rFonts w:hint="eastAsia" w:ascii="宋体" w:hAnsi="宋体" w:cs="宋体"/>
          <w:b w:val="0"/>
          <w:bCs w:val="0"/>
          <w:color w:val="auto"/>
          <w:highlight w:val="none"/>
        </w:rPr>
        <w:t>1.监督乙方抓好项目实施，为乙方实施项目提供数据、资料、基础图件等文件材料，涉及需要费用的资料和图件甲方协助乙方提取，所需费用由乙方承担，组织协调有关部门开展项目各级评审、验收等工作，为乙方提供良好的实施环境。</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b w:val="0"/>
          <w:bCs w:val="0"/>
          <w:color w:val="auto"/>
          <w:sz w:val="24"/>
          <w:highlight w:val="none"/>
        </w:rPr>
      </w:pPr>
      <w:r>
        <w:rPr>
          <w:rFonts w:hint="eastAsia" w:ascii="宋体" w:hAnsi="宋体" w:cs="宋体"/>
          <w:b w:val="0"/>
          <w:bCs w:val="0"/>
          <w:color w:val="auto"/>
          <w:sz w:val="24"/>
          <w:highlight w:val="none"/>
        </w:rPr>
        <w:t>2.项目建成后产生的“旱改水”耕地指标归属甲方所在地的青秀区人民政府所有，乙方无权干预“旱改水”耕地指标的使用安排。</w:t>
      </w:r>
    </w:p>
    <w:p>
      <w:pPr>
        <w:pStyle w:val="146"/>
        <w:keepNext w:val="0"/>
        <w:keepLines w:val="0"/>
        <w:pageBreakBefore w:val="0"/>
        <w:widowControl w:val="0"/>
        <w:kinsoku/>
        <w:wordWrap/>
        <w:overflowPunct/>
        <w:topLinePunct w:val="0"/>
        <w:bidi w:val="0"/>
        <w:snapToGrid/>
        <w:spacing w:line="440" w:lineRule="exact"/>
        <w:ind w:firstLine="480" w:firstLineChars="200"/>
        <w:textAlignment w:val="auto"/>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3、定期检查在建项目或计划纳入新增立项项目备选地块的基本情况，检查项目的实施进度和工程质量情况。</w:t>
      </w:r>
    </w:p>
    <w:p>
      <w:pPr>
        <w:keepNext w:val="0"/>
        <w:keepLines w:val="0"/>
        <w:pageBreakBefore w:val="0"/>
        <w:widowControl w:val="0"/>
        <w:kinsoku/>
        <w:wordWrap/>
        <w:overflowPunct/>
        <w:topLinePunct w:val="0"/>
        <w:autoSpaceDE w:val="0"/>
        <w:autoSpaceDN w:val="0"/>
        <w:bidi w:val="0"/>
        <w:snapToGrid/>
        <w:spacing w:line="440" w:lineRule="exact"/>
        <w:ind w:firstLine="482" w:firstLineChars="20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（二）乙方的权利和义务</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.依法依规选定具备相应资质的施工单位负责项目施工，施工单位严格按照国家和自治区、南宁市发布的土地整治技术规范进行施工，确保工程质量合格。选取</w:t>
      </w:r>
      <w:r>
        <w:rPr>
          <w:rFonts w:hint="eastAsia" w:ascii="宋体" w:hAnsi="宋体" w:cs="宋体"/>
          <w:color w:val="auto"/>
          <w:sz w:val="24"/>
          <w:highlight w:val="none"/>
          <w:lang w:eastAsia="zh-CN"/>
        </w:rPr>
        <w:t>单位前</w:t>
      </w:r>
      <w:r>
        <w:rPr>
          <w:rFonts w:hint="eastAsia" w:ascii="宋体" w:hAnsi="宋体" w:cs="宋体"/>
          <w:color w:val="auto"/>
          <w:sz w:val="24"/>
          <w:highlight w:val="none"/>
        </w:rPr>
        <w:t>，乙方需将</w:t>
      </w:r>
      <w:r>
        <w:rPr>
          <w:rFonts w:hint="eastAsia" w:ascii="宋体" w:hAnsi="宋体" w:cs="宋体"/>
          <w:color w:val="auto"/>
          <w:sz w:val="24"/>
          <w:highlight w:val="none"/>
          <w:lang w:eastAsia="zh-CN"/>
        </w:rPr>
        <w:t>选取</w:t>
      </w:r>
      <w:r>
        <w:rPr>
          <w:rFonts w:hint="eastAsia" w:ascii="宋体" w:hAnsi="宋体" w:cs="宋体"/>
          <w:color w:val="auto"/>
          <w:sz w:val="24"/>
          <w:highlight w:val="none"/>
        </w:rPr>
        <w:t>单位的企业资质等详细情况书面向</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申请报备。</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.按照《广西壮族自治区自然资源厅 广西壮族自治区农业农村厅关于印发广西壮族自治区耕地提质改造项目立项与验收规范（试行）的通知》（桂自然资发〔2018〕17号）、《土地整治工程 验收技术规程DB 45/T 1057-2014》等规定（如有新政策文件出台，则以新政策文件规定为准），开展项目</w:t>
      </w:r>
      <w:r>
        <w:rPr>
          <w:rFonts w:hint="eastAsia" w:ascii="宋体" w:hAnsi="宋体" w:cs="宋体"/>
          <w:color w:val="auto"/>
          <w:sz w:val="24"/>
          <w:highlight w:val="none"/>
          <w:lang w:val="en-US" w:eastAsia="zh-CN"/>
        </w:rPr>
        <w:t>整改后报备</w:t>
      </w:r>
      <w:r>
        <w:rPr>
          <w:rFonts w:hint="eastAsia" w:ascii="宋体" w:hAnsi="宋体" w:cs="宋体"/>
          <w:color w:val="auto"/>
          <w:sz w:val="24"/>
          <w:highlight w:val="none"/>
        </w:rPr>
        <w:t>材料</w:t>
      </w:r>
      <w:r>
        <w:rPr>
          <w:rFonts w:hint="eastAsia" w:ascii="宋体" w:hAnsi="宋体" w:cs="宋体"/>
          <w:color w:val="auto"/>
          <w:sz w:val="24"/>
          <w:highlight w:val="none"/>
          <w:lang w:val="en-US" w:eastAsia="zh-CN"/>
        </w:rPr>
        <w:t>的整理</w:t>
      </w:r>
      <w:r>
        <w:rPr>
          <w:rFonts w:hint="eastAsia" w:ascii="宋体" w:hAnsi="宋体" w:cs="宋体"/>
          <w:color w:val="auto"/>
          <w:sz w:val="24"/>
          <w:highlight w:val="none"/>
        </w:rPr>
        <w:t>工作，申请项目验收，确保项目获得耕地提质改造（旱改水）水田确认批文，并通过自治区、自然资源部有关信息系统报备。</w:t>
      </w:r>
    </w:p>
    <w:p>
      <w:pPr>
        <w:pStyle w:val="146"/>
        <w:keepNext w:val="0"/>
        <w:keepLines w:val="0"/>
        <w:pageBreakBefore w:val="0"/>
        <w:widowControl w:val="0"/>
        <w:kinsoku/>
        <w:wordWrap/>
        <w:overflowPunct/>
        <w:topLinePunct w:val="0"/>
        <w:bidi w:val="0"/>
        <w:snapToGrid/>
        <w:spacing w:line="440" w:lineRule="exact"/>
        <w:jc w:val="both"/>
        <w:textAlignment w:val="auto"/>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lang w:val="en-US" w:eastAsia="zh-CN"/>
        </w:rPr>
        <w:t>3</w:t>
      </w:r>
      <w:r>
        <w:rPr>
          <w:rFonts w:hint="eastAsia" w:ascii="宋体" w:hAnsi="宋体" w:cs="宋体"/>
          <w:color w:val="auto"/>
          <w:highlight w:val="none"/>
        </w:rPr>
        <w:t>.按照南宁市人民政府办公厅关于印发《南宁市土地整治和高标准农田建设新增耕地核定工作方案的通知》（南府办函〔2018〕188号）、广西壮族自治区自然资源厅办公室《关于进一步规范我区土地整治和高标准农田建设项目新增耕地核定技术审查有关事项的通知》（桂自然资办〔2019〕288号）等文件（如有新政策文件出台，则以新政策文件规定为准）相关要求开展新增耕地核定工作，确保数量真实、质量可靠。</w:t>
      </w:r>
    </w:p>
    <w:p>
      <w:pPr>
        <w:pStyle w:val="146"/>
        <w:keepNext w:val="0"/>
        <w:keepLines w:val="0"/>
        <w:pageBreakBefore w:val="0"/>
        <w:widowControl w:val="0"/>
        <w:kinsoku/>
        <w:wordWrap/>
        <w:overflowPunct/>
        <w:topLinePunct w:val="0"/>
        <w:bidi w:val="0"/>
        <w:snapToGrid/>
        <w:spacing w:line="440" w:lineRule="exact"/>
        <w:ind w:firstLine="480" w:firstLineChars="200"/>
        <w:jc w:val="both"/>
        <w:textAlignment w:val="auto"/>
        <w:rPr>
          <w:rFonts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.对项目实施全过程的安全生产负总责，乙方是安全生产责任主体，如项目实施过程发生安全生产事故，由乙方自行处置，消除负面影响，产生的一切安全生产责任与甲方无关。</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.乙方自行明确所选</w:t>
      </w:r>
      <w:r>
        <w:rPr>
          <w:rFonts w:hint="eastAsia" w:ascii="宋体" w:hAnsi="宋体" w:cs="宋体"/>
          <w:color w:val="auto"/>
          <w:sz w:val="24"/>
          <w:highlight w:val="none"/>
          <w:lang w:val="en-US" w:eastAsia="zh-CN"/>
        </w:rPr>
        <w:t>施工</w:t>
      </w:r>
      <w:r>
        <w:rPr>
          <w:rFonts w:hint="eastAsia" w:ascii="宋体" w:hAnsi="宋体" w:cs="宋体"/>
          <w:color w:val="auto"/>
          <w:sz w:val="24"/>
          <w:highlight w:val="none"/>
        </w:rPr>
        <w:t>单位之间的权利义务，乙方所选参建单位之间产生的一切矛盾纠纷与甲方无关。</w:t>
      </w:r>
    </w:p>
    <w:p>
      <w:pPr>
        <w:pStyle w:val="146"/>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按照广西壮族自治区人力资源和社会保障厅《关于开展农民工工资保证金三方监管工作的通知》（桂人社发〔2019〕30号）等有关规定（如有新政策文件出台，则以新政策文件规定为准），按时足额缴存农民工工资保证金。</w:t>
      </w:r>
    </w:p>
    <w:p>
      <w:pPr>
        <w:keepNext w:val="0"/>
        <w:keepLines w:val="0"/>
        <w:pageBreakBefore w:val="0"/>
        <w:widowControl w:val="0"/>
        <w:tabs>
          <w:tab w:val="left" w:pos="5895"/>
        </w:tabs>
        <w:kinsoku/>
        <w:wordWrap/>
        <w:overflowPunct/>
        <w:topLinePunct w:val="0"/>
        <w:bidi w:val="0"/>
        <w:snapToGrid/>
        <w:spacing w:line="440" w:lineRule="exact"/>
        <w:ind w:firstLine="482" w:firstLineChars="200"/>
        <w:textAlignment w:val="auto"/>
        <w:rPr>
          <w:rFonts w:ascii="宋体" w:hAnsi="宋体" w:cs="宋体"/>
          <w:b/>
          <w:bCs/>
          <w:color w:val="auto"/>
          <w:sz w:val="24"/>
          <w:highlight w:val="none"/>
        </w:rPr>
      </w:pPr>
      <w:r>
        <w:rPr>
          <w:rFonts w:hint="eastAsia" w:ascii="宋体" w:hAnsi="宋体" w:cs="宋体"/>
          <w:b/>
          <w:bCs/>
          <w:color w:val="auto"/>
          <w:sz w:val="24"/>
          <w:highlight w:val="none"/>
        </w:rPr>
        <w:t>第五条  项目进度计划要求</w:t>
      </w:r>
    </w:p>
    <w:p>
      <w:pPr>
        <w:pStyle w:val="146"/>
        <w:keepNext w:val="0"/>
        <w:keepLines w:val="0"/>
        <w:pageBreakBefore w:val="0"/>
        <w:widowControl w:val="0"/>
        <w:kinsoku/>
        <w:wordWrap/>
        <w:overflowPunct/>
        <w:topLinePunct w:val="0"/>
        <w:bidi w:val="0"/>
        <w:snapToGrid/>
        <w:spacing w:line="440" w:lineRule="exact"/>
        <w:ind w:firstLine="480" w:firstLineChars="200"/>
        <w:jc w:val="both"/>
        <w:textAlignment w:val="auto"/>
        <w:rPr>
          <w:rFonts w:ascii="宋体" w:hAnsi="宋体" w:cs="宋体"/>
          <w:color w:val="auto"/>
          <w:highlight w:val="none"/>
        </w:rPr>
      </w:pPr>
      <w:r>
        <w:rPr>
          <w:rFonts w:hint="eastAsia" w:ascii="宋体" w:hAnsi="宋体" w:cs="宋体"/>
          <w:color w:val="auto"/>
          <w:highlight w:val="none"/>
          <w:shd w:val="clear" w:color="auto" w:fill="FFFFFF"/>
        </w:rPr>
        <w:t>如遇因不可抗力因素（包括自然灾害，如</w:t>
      </w:r>
      <w:r>
        <w:rPr>
          <w:color w:val="auto"/>
          <w:highlight w:val="none"/>
        </w:rPr>
        <w:fldChar w:fldCharType="begin"/>
      </w:r>
      <w:r>
        <w:rPr>
          <w:color w:val="auto"/>
          <w:highlight w:val="none"/>
        </w:rPr>
        <w:instrText xml:space="preserve"> HYPERLINK "https://baike.baidu.com/item/%E5%8F%B0%E9%A3%8E/17003" \t "_blank" </w:instrText>
      </w:r>
      <w:r>
        <w:rPr>
          <w:color w:val="auto"/>
          <w:highlight w:val="none"/>
        </w:rPr>
        <w:fldChar w:fldCharType="separate"/>
      </w:r>
      <w:r>
        <w:rPr>
          <w:rStyle w:val="43"/>
          <w:rFonts w:hint="eastAsia" w:ascii="宋体" w:hAnsi="宋体" w:cs="宋体"/>
          <w:color w:val="auto"/>
          <w:highlight w:val="none"/>
          <w:shd w:val="clear" w:color="auto" w:fill="FFFFFF"/>
        </w:rPr>
        <w:t>台风</w:t>
      </w:r>
      <w:r>
        <w:rPr>
          <w:rStyle w:val="43"/>
          <w:rFonts w:hint="eastAsia" w:ascii="宋体" w:hAnsi="宋体" w:cs="宋体"/>
          <w:color w:val="auto"/>
          <w:highlight w:val="none"/>
          <w:shd w:val="clear" w:color="auto" w:fill="FFFFFF"/>
        </w:rPr>
        <w:fldChar w:fldCharType="end"/>
      </w:r>
      <w:r>
        <w:rPr>
          <w:rFonts w:hint="eastAsia" w:ascii="宋体" w:hAnsi="宋体" w:cs="宋体"/>
          <w:color w:val="auto"/>
          <w:highlight w:val="none"/>
          <w:shd w:val="clear" w:color="auto" w:fill="FFFFFF"/>
        </w:rPr>
        <w:t>、</w:t>
      </w:r>
      <w:r>
        <w:rPr>
          <w:color w:val="auto"/>
          <w:highlight w:val="none"/>
        </w:rPr>
        <w:fldChar w:fldCharType="begin"/>
      </w:r>
      <w:r>
        <w:rPr>
          <w:color w:val="auto"/>
          <w:highlight w:val="none"/>
        </w:rPr>
        <w:instrText xml:space="preserve"> HYPERLINK "https://baike.baidu.com/item/%E5%9C%B0%E9%9C%87/40588" \t "_blank" </w:instrText>
      </w:r>
      <w:r>
        <w:rPr>
          <w:color w:val="auto"/>
          <w:highlight w:val="none"/>
        </w:rPr>
        <w:fldChar w:fldCharType="separate"/>
      </w:r>
      <w:r>
        <w:rPr>
          <w:rStyle w:val="43"/>
          <w:rFonts w:hint="eastAsia" w:ascii="宋体" w:hAnsi="宋体" w:cs="宋体"/>
          <w:color w:val="auto"/>
          <w:highlight w:val="none"/>
          <w:shd w:val="clear" w:color="auto" w:fill="FFFFFF"/>
        </w:rPr>
        <w:t>地震</w:t>
      </w:r>
      <w:r>
        <w:rPr>
          <w:rStyle w:val="43"/>
          <w:rFonts w:hint="eastAsia" w:ascii="宋体" w:hAnsi="宋体" w:cs="宋体"/>
          <w:color w:val="auto"/>
          <w:highlight w:val="none"/>
          <w:shd w:val="clear" w:color="auto" w:fill="FFFFFF"/>
        </w:rPr>
        <w:fldChar w:fldCharType="end"/>
      </w:r>
      <w:r>
        <w:rPr>
          <w:rFonts w:hint="eastAsia" w:ascii="宋体" w:hAnsi="宋体" w:cs="宋体"/>
          <w:color w:val="auto"/>
          <w:highlight w:val="none"/>
          <w:shd w:val="clear" w:color="auto" w:fill="FFFFFF"/>
        </w:rPr>
        <w:t>、洪水、冰雹；政府行为，如征收、征用；社会异常事件，如罢工、骚乱三方面）导致项目不能按计划实施的，</w:t>
      </w:r>
      <w:r>
        <w:rPr>
          <w:rFonts w:hint="eastAsia" w:ascii="宋体" w:hAnsi="宋体" w:cs="宋体"/>
          <w:color w:val="auto"/>
          <w:highlight w:val="none"/>
        </w:rPr>
        <w:t>“旱改水”指标确认和广西国土资源提质改造项目监管系统、农村土地整治监测监管系统等系统报备完成期限顺延，</w:t>
      </w:r>
      <w:r>
        <w:rPr>
          <w:rFonts w:hint="eastAsia" w:ascii="宋体" w:hAnsi="宋体" w:cs="宋体"/>
          <w:color w:val="auto"/>
          <w:highlight w:val="none"/>
          <w:shd w:val="clear" w:color="auto" w:fill="FFFFFF"/>
        </w:rPr>
        <w:t>双方签订补充协议约定期限顺延时间，</w:t>
      </w:r>
      <w:r>
        <w:rPr>
          <w:rFonts w:hint="eastAsia" w:ascii="宋体" w:hAnsi="宋体" w:cs="宋体"/>
          <w:color w:val="auto"/>
          <w:highlight w:val="none"/>
        </w:rPr>
        <w:t>期限顺延后，甲乙双方权利义务按照原协议条款约定顺延时间履行。</w:t>
      </w:r>
    </w:p>
    <w:p>
      <w:pPr>
        <w:pStyle w:val="146"/>
        <w:keepNext w:val="0"/>
        <w:keepLines w:val="0"/>
        <w:pageBreakBefore w:val="0"/>
        <w:widowControl w:val="0"/>
        <w:kinsoku/>
        <w:wordWrap/>
        <w:overflowPunct/>
        <w:topLinePunct w:val="0"/>
        <w:bidi w:val="0"/>
        <w:snapToGrid/>
        <w:spacing w:line="440" w:lineRule="exact"/>
        <w:ind w:firstLine="482" w:firstLineChars="200"/>
        <w:jc w:val="both"/>
        <w:textAlignment w:val="auto"/>
        <w:rPr>
          <w:rFonts w:ascii="宋体" w:hAnsi="宋体" w:cs="宋体"/>
          <w:b/>
          <w:bCs/>
          <w:color w:val="auto"/>
          <w:highlight w:val="none"/>
        </w:rPr>
      </w:pPr>
      <w:r>
        <w:rPr>
          <w:rFonts w:hint="eastAsia" w:ascii="宋体" w:hAnsi="宋体" w:cs="宋体"/>
          <w:b/>
          <w:bCs/>
          <w:color w:val="auto"/>
          <w:highlight w:val="none"/>
        </w:rPr>
        <w:t>第六条  验收规范</w:t>
      </w:r>
    </w:p>
    <w:p>
      <w:pPr>
        <w:pStyle w:val="146"/>
        <w:keepNext w:val="0"/>
        <w:keepLines w:val="0"/>
        <w:pageBreakBefore w:val="0"/>
        <w:widowControl w:val="0"/>
        <w:kinsoku/>
        <w:wordWrap/>
        <w:overflowPunct/>
        <w:topLinePunct w:val="0"/>
        <w:bidi w:val="0"/>
        <w:snapToGrid/>
        <w:spacing w:line="440" w:lineRule="exact"/>
        <w:ind w:firstLine="660"/>
        <w:jc w:val="both"/>
        <w:textAlignment w:val="auto"/>
        <w:rPr>
          <w:rFonts w:ascii="宋体" w:hAnsi="宋体" w:cs="宋体"/>
          <w:b/>
          <w:color w:val="auto"/>
          <w:highlight w:val="none"/>
        </w:rPr>
      </w:pPr>
      <w:r>
        <w:rPr>
          <w:rFonts w:hint="eastAsia" w:ascii="宋体" w:hAnsi="宋体" w:cs="宋体"/>
          <w:b/>
          <w:color w:val="auto"/>
          <w:highlight w:val="none"/>
        </w:rPr>
        <w:t>（一）验收标准</w:t>
      </w:r>
    </w:p>
    <w:p>
      <w:pPr>
        <w:pStyle w:val="146"/>
        <w:keepNext w:val="0"/>
        <w:keepLines w:val="0"/>
        <w:pageBreakBefore w:val="0"/>
        <w:widowControl w:val="0"/>
        <w:kinsoku/>
        <w:wordWrap/>
        <w:overflowPunct/>
        <w:topLinePunct w:val="0"/>
        <w:bidi w:val="0"/>
        <w:snapToGrid/>
        <w:spacing w:line="440" w:lineRule="exact"/>
        <w:ind w:firstLine="660"/>
        <w:jc w:val="both"/>
        <w:textAlignment w:val="auto"/>
        <w:rPr>
          <w:rFonts w:ascii="宋体" w:hAnsi="宋体" w:cs="宋体"/>
          <w:color w:val="auto"/>
          <w:highlight w:val="none"/>
        </w:rPr>
      </w:pPr>
      <w:r>
        <w:rPr>
          <w:rFonts w:hint="eastAsia" w:ascii="宋体" w:hAnsi="宋体" w:cs="宋体"/>
          <w:color w:val="auto"/>
          <w:highlight w:val="none"/>
        </w:rPr>
        <w:t>1.项目验收标准按照《广西壮族自治区自然资源厅 广西壮族自治区农业农村厅关于印发广西壮族自治区耕地提质改造项目立项与验收规范（试行）的通知》（桂自然资发〔2018〕17号）、《土地整治工程 第3部分 验收技术规程DB 45/T 1057-2014》等规定执行。如有新政策文件规定，则按新政策文件规定执行。</w:t>
      </w:r>
    </w:p>
    <w:p>
      <w:pPr>
        <w:pStyle w:val="146"/>
        <w:keepNext w:val="0"/>
        <w:keepLines w:val="0"/>
        <w:pageBreakBefore w:val="0"/>
        <w:widowControl w:val="0"/>
        <w:kinsoku/>
        <w:wordWrap/>
        <w:overflowPunct/>
        <w:topLinePunct w:val="0"/>
        <w:bidi w:val="0"/>
        <w:snapToGrid/>
        <w:spacing w:line="440" w:lineRule="exact"/>
        <w:jc w:val="both"/>
        <w:textAlignment w:val="auto"/>
        <w:rPr>
          <w:rFonts w:ascii="宋体" w:hAnsi="宋体" w:cs="宋体"/>
          <w:b/>
          <w:color w:val="auto"/>
          <w:highlight w:val="none"/>
        </w:rPr>
      </w:pPr>
      <w:r>
        <w:rPr>
          <w:rFonts w:hint="eastAsia" w:ascii="宋体" w:hAnsi="宋体" w:cs="宋体"/>
          <w:b/>
          <w:color w:val="auto"/>
          <w:highlight w:val="none"/>
        </w:rPr>
        <w:t xml:space="preserve">    （二）验收程序</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ascii="宋体" w:hAnsi="宋体" w:cs="宋体"/>
          <w:color w:val="auto"/>
          <w:highlight w:val="none"/>
        </w:rPr>
      </w:pPr>
      <w:r>
        <w:rPr>
          <w:rFonts w:hint="eastAsia" w:ascii="宋体" w:hAnsi="宋体" w:cs="宋体"/>
          <w:color w:val="auto"/>
          <w:sz w:val="24"/>
          <w:highlight w:val="none"/>
        </w:rPr>
        <w:t>1.由乙方</w:t>
      </w:r>
      <w:r>
        <w:rPr>
          <w:rFonts w:hint="eastAsia" w:ascii="宋体" w:hAnsi="宋体" w:cs="宋体"/>
          <w:color w:val="auto"/>
          <w:sz w:val="24"/>
          <w:highlight w:val="none"/>
          <w:lang w:val="en-US" w:eastAsia="zh-CN"/>
        </w:rPr>
        <w:t>根据甲方提供及已报请南宁市自然资源局的验收材料</w:t>
      </w:r>
      <w:r>
        <w:rPr>
          <w:rFonts w:hint="eastAsia" w:ascii="宋体" w:hAnsi="宋体" w:cs="宋体"/>
          <w:color w:val="auto"/>
          <w:sz w:val="24"/>
          <w:highlight w:val="none"/>
        </w:rPr>
        <w:t>整理</w:t>
      </w:r>
      <w:r>
        <w:rPr>
          <w:rFonts w:hint="eastAsia" w:ascii="宋体" w:hAnsi="宋体" w:cs="宋体"/>
          <w:color w:val="auto"/>
          <w:sz w:val="24"/>
          <w:highlight w:val="none"/>
          <w:lang w:val="en-US" w:eastAsia="zh-CN"/>
        </w:rPr>
        <w:t>报备</w:t>
      </w:r>
      <w:r>
        <w:rPr>
          <w:rFonts w:hint="eastAsia" w:ascii="宋体" w:hAnsi="宋体" w:cs="宋体"/>
          <w:color w:val="auto"/>
          <w:sz w:val="24"/>
          <w:highlight w:val="none"/>
        </w:rPr>
        <w:t>资料，确保项目满足</w:t>
      </w:r>
      <w:r>
        <w:rPr>
          <w:rFonts w:hint="eastAsia" w:ascii="宋体" w:hAnsi="宋体" w:cs="宋体"/>
          <w:color w:val="auto"/>
          <w:sz w:val="24"/>
          <w:highlight w:val="none"/>
          <w:lang w:val="en-US" w:eastAsia="zh-CN"/>
        </w:rPr>
        <w:t>项目报备</w:t>
      </w:r>
      <w:r>
        <w:rPr>
          <w:rFonts w:hint="eastAsia" w:ascii="宋体" w:hAnsi="宋体" w:cs="宋体"/>
          <w:color w:val="auto"/>
          <w:sz w:val="24"/>
          <w:highlight w:val="none"/>
        </w:rPr>
        <w:t>具备的基本条件。</w:t>
      </w:r>
    </w:p>
    <w:p>
      <w:pPr>
        <w:keepNext w:val="0"/>
        <w:keepLines w:val="0"/>
        <w:pageBreakBefore w:val="0"/>
        <w:widowControl w:val="0"/>
        <w:tabs>
          <w:tab w:val="left" w:pos="5895"/>
        </w:tabs>
        <w:kinsoku/>
        <w:wordWrap/>
        <w:overflowPunct/>
        <w:topLinePunct w:val="0"/>
        <w:bidi w:val="0"/>
        <w:snapToGrid/>
        <w:spacing w:line="440" w:lineRule="exact"/>
        <w:ind w:firstLine="482" w:firstLineChars="200"/>
        <w:textAlignment w:val="auto"/>
        <w:rPr>
          <w:rFonts w:ascii="宋体" w:hAnsi="宋体" w:cs="宋体"/>
          <w:b/>
          <w:bCs/>
          <w:color w:val="auto"/>
          <w:sz w:val="24"/>
          <w:highlight w:val="none"/>
        </w:rPr>
      </w:pPr>
      <w:r>
        <w:rPr>
          <w:rFonts w:hint="eastAsia" w:ascii="宋体" w:hAnsi="宋体" w:cs="宋体"/>
          <w:b/>
          <w:bCs/>
          <w:color w:val="auto"/>
          <w:sz w:val="24"/>
          <w:highlight w:val="none"/>
        </w:rPr>
        <w:t>第七条  质量保修</w:t>
      </w:r>
    </w:p>
    <w:p>
      <w:pPr>
        <w:pStyle w:val="146"/>
        <w:keepNext w:val="0"/>
        <w:keepLines w:val="0"/>
        <w:pageBreakBefore w:val="0"/>
        <w:widowControl w:val="0"/>
        <w:kinsoku/>
        <w:wordWrap/>
        <w:overflowPunct/>
        <w:topLinePunct w:val="0"/>
        <w:bidi w:val="0"/>
        <w:snapToGrid/>
        <w:spacing w:line="440" w:lineRule="exact"/>
        <w:ind w:firstLine="465"/>
        <w:jc w:val="both"/>
        <w:textAlignment w:val="auto"/>
        <w:rPr>
          <w:rFonts w:ascii="宋体" w:hAnsi="宋体" w:cs="宋体"/>
          <w:b/>
          <w:color w:val="auto"/>
          <w:highlight w:val="none"/>
        </w:rPr>
      </w:pPr>
      <w:r>
        <w:rPr>
          <w:rFonts w:hint="eastAsia" w:ascii="宋体" w:hAnsi="宋体" w:cs="宋体"/>
          <w:b/>
          <w:color w:val="auto"/>
          <w:highlight w:val="none"/>
        </w:rPr>
        <w:t>（一）质量保修范围</w:t>
      </w:r>
    </w:p>
    <w:p>
      <w:pPr>
        <w:pStyle w:val="146"/>
        <w:keepNext w:val="0"/>
        <w:keepLines w:val="0"/>
        <w:pageBreakBefore w:val="0"/>
        <w:widowControl w:val="0"/>
        <w:kinsoku/>
        <w:wordWrap/>
        <w:overflowPunct/>
        <w:topLinePunct w:val="0"/>
        <w:bidi w:val="0"/>
        <w:snapToGrid/>
        <w:spacing w:line="440" w:lineRule="exact"/>
        <w:ind w:firstLine="480" w:firstLineChars="200"/>
        <w:jc w:val="both"/>
        <w:textAlignment w:val="auto"/>
        <w:rPr>
          <w:rFonts w:ascii="宋体" w:hAnsi="宋体" w:cs="宋体"/>
          <w:color w:val="auto"/>
          <w:highlight w:val="none"/>
        </w:rPr>
      </w:pPr>
      <w:r>
        <w:rPr>
          <w:rFonts w:hint="eastAsia" w:ascii="宋体" w:hAnsi="宋体" w:cs="宋体"/>
          <w:color w:val="auto"/>
          <w:highlight w:val="none"/>
          <w:lang w:val="en-US" w:eastAsia="zh-CN"/>
        </w:rPr>
        <w:t>项目完成的</w:t>
      </w:r>
      <w:r>
        <w:rPr>
          <w:rFonts w:hint="eastAsia" w:ascii="宋体" w:hAnsi="宋体" w:cs="宋体"/>
          <w:color w:val="auto"/>
          <w:highlight w:val="none"/>
        </w:rPr>
        <w:t>所有工程设施</w:t>
      </w:r>
      <w:r>
        <w:rPr>
          <w:rFonts w:hint="eastAsia" w:ascii="宋体" w:hAnsi="宋体" w:cs="宋体"/>
          <w:color w:val="auto"/>
          <w:highlight w:val="none"/>
          <w:lang w:val="en-US" w:eastAsia="zh-CN"/>
        </w:rPr>
        <w:t>无需乙方质保，乙方为完成整改和管护工作而开展的其它工程设施由乙方履行质保</w:t>
      </w:r>
      <w:r>
        <w:rPr>
          <w:rFonts w:hint="eastAsia" w:ascii="宋体" w:hAnsi="宋体" w:cs="宋体"/>
          <w:color w:val="auto"/>
          <w:highlight w:val="none"/>
        </w:rPr>
        <w:t>。</w:t>
      </w:r>
    </w:p>
    <w:p>
      <w:pPr>
        <w:pStyle w:val="146"/>
        <w:keepNext w:val="0"/>
        <w:keepLines w:val="0"/>
        <w:pageBreakBefore w:val="0"/>
        <w:widowControl w:val="0"/>
        <w:kinsoku/>
        <w:wordWrap/>
        <w:overflowPunct/>
        <w:topLinePunct w:val="0"/>
        <w:bidi w:val="0"/>
        <w:snapToGrid/>
        <w:spacing w:line="440" w:lineRule="exact"/>
        <w:ind w:firstLine="465"/>
        <w:jc w:val="both"/>
        <w:textAlignment w:val="auto"/>
        <w:rPr>
          <w:rFonts w:ascii="宋体" w:hAnsi="宋体" w:cs="宋体"/>
          <w:b/>
          <w:color w:val="auto"/>
          <w:highlight w:val="none"/>
        </w:rPr>
      </w:pPr>
      <w:r>
        <w:rPr>
          <w:rFonts w:hint="eastAsia" w:ascii="宋体" w:hAnsi="宋体" w:cs="宋体"/>
          <w:b/>
          <w:color w:val="auto"/>
          <w:highlight w:val="none"/>
        </w:rPr>
        <w:t>（二）质量保修期限</w:t>
      </w:r>
    </w:p>
    <w:p>
      <w:pPr>
        <w:pStyle w:val="146"/>
        <w:keepNext w:val="0"/>
        <w:keepLines w:val="0"/>
        <w:pageBreakBefore w:val="0"/>
        <w:widowControl w:val="0"/>
        <w:kinsoku/>
        <w:wordWrap/>
        <w:overflowPunct/>
        <w:topLinePunct w:val="0"/>
        <w:bidi w:val="0"/>
        <w:snapToGrid/>
        <w:spacing w:line="440" w:lineRule="exact"/>
        <w:ind w:firstLine="480" w:firstLineChars="200"/>
        <w:jc w:val="both"/>
        <w:textAlignment w:val="auto"/>
        <w:rPr>
          <w:rFonts w:ascii="宋体" w:hAnsi="宋体" w:cs="宋体"/>
          <w:color w:val="auto"/>
          <w:highlight w:val="none"/>
        </w:rPr>
      </w:pPr>
      <w:r>
        <w:rPr>
          <w:rFonts w:hint="eastAsia" w:ascii="宋体" w:hAnsi="宋体" w:cs="宋体"/>
          <w:color w:val="auto"/>
          <w:highlight w:val="none"/>
          <w:lang w:val="en-US" w:eastAsia="zh-CN"/>
        </w:rPr>
        <w:t>乙方为完成整改和管护工作而开展的工程设施由乙方履行质保，项目</w:t>
      </w:r>
      <w:r>
        <w:rPr>
          <w:rFonts w:hint="eastAsia" w:ascii="宋体" w:hAnsi="宋体" w:cs="宋体"/>
          <w:color w:val="auto"/>
          <w:highlight w:val="none"/>
        </w:rPr>
        <w:t>指标申报入库（广西国土资源提质改造项目监管系统、农村土地整治监测监管系统等系统报备）之日起3年。</w:t>
      </w:r>
    </w:p>
    <w:p>
      <w:pPr>
        <w:pStyle w:val="146"/>
        <w:keepNext w:val="0"/>
        <w:keepLines w:val="0"/>
        <w:pageBreakBefore w:val="0"/>
        <w:widowControl w:val="0"/>
        <w:kinsoku/>
        <w:wordWrap/>
        <w:overflowPunct/>
        <w:topLinePunct w:val="0"/>
        <w:bidi w:val="0"/>
        <w:snapToGrid/>
        <w:spacing w:line="440" w:lineRule="exact"/>
        <w:ind w:firstLine="472" w:firstLineChars="196"/>
        <w:jc w:val="both"/>
        <w:textAlignment w:val="auto"/>
        <w:rPr>
          <w:rFonts w:ascii="宋体" w:hAnsi="宋体" w:cs="宋体"/>
          <w:b/>
          <w:color w:val="auto"/>
          <w:highlight w:val="none"/>
        </w:rPr>
      </w:pPr>
      <w:r>
        <w:rPr>
          <w:rFonts w:hint="eastAsia" w:ascii="宋体" w:hAnsi="宋体" w:cs="宋体"/>
          <w:b/>
          <w:color w:val="auto"/>
          <w:highlight w:val="none"/>
        </w:rPr>
        <w:t>（三）质量保修责任</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发生紧急抢修事故的，乙方在接到事故通知后，应当立即到事故现场抢修，抢修费用由乙方支付。</w:t>
      </w:r>
    </w:p>
    <w:p>
      <w:pPr>
        <w:pStyle w:val="146"/>
        <w:keepNext w:val="0"/>
        <w:keepLines w:val="0"/>
        <w:pageBreakBefore w:val="0"/>
        <w:widowControl w:val="0"/>
        <w:kinsoku/>
        <w:wordWrap/>
        <w:overflowPunct/>
        <w:topLinePunct w:val="0"/>
        <w:bidi w:val="0"/>
        <w:snapToGrid/>
        <w:spacing w:line="440" w:lineRule="exact"/>
        <w:ind w:firstLine="482" w:firstLineChars="200"/>
        <w:jc w:val="both"/>
        <w:textAlignment w:val="auto"/>
        <w:rPr>
          <w:rFonts w:ascii="宋体" w:hAnsi="宋体" w:cs="宋体"/>
          <w:b/>
          <w:bCs/>
          <w:color w:val="auto"/>
          <w:highlight w:val="none"/>
        </w:rPr>
      </w:pPr>
      <w:r>
        <w:rPr>
          <w:rFonts w:hint="eastAsia" w:ascii="宋体" w:hAnsi="宋体" w:cs="宋体"/>
          <w:b/>
          <w:bCs/>
          <w:color w:val="auto"/>
          <w:highlight w:val="none"/>
        </w:rPr>
        <w:t>第八条  后期管护</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1.项目通过</w:t>
      </w:r>
      <w:r>
        <w:rPr>
          <w:rFonts w:hint="eastAsia" w:ascii="宋体" w:hAnsi="宋体" w:cs="宋体"/>
          <w:color w:val="auto"/>
          <w:kern w:val="0"/>
          <w:sz w:val="24"/>
          <w:highlight w:val="none"/>
          <w:lang w:val="en-US" w:eastAsia="zh-CN"/>
        </w:rPr>
        <w:t>报备入库</w:t>
      </w:r>
      <w:r>
        <w:rPr>
          <w:rFonts w:hint="eastAsia" w:ascii="宋体" w:hAnsi="宋体" w:cs="宋体"/>
          <w:color w:val="auto"/>
          <w:kern w:val="0"/>
          <w:sz w:val="24"/>
          <w:highlight w:val="none"/>
        </w:rPr>
        <w:t>后，乙方将项目</w:t>
      </w:r>
      <w:r>
        <w:rPr>
          <w:rFonts w:hint="eastAsia" w:ascii="宋体" w:hAnsi="宋体" w:cs="宋体"/>
          <w:color w:val="auto"/>
          <w:kern w:val="0"/>
          <w:sz w:val="24"/>
          <w:highlight w:val="none"/>
          <w:lang w:val="en-US" w:eastAsia="zh-CN"/>
        </w:rPr>
        <w:t>整改时配套完成的</w:t>
      </w:r>
      <w:r>
        <w:rPr>
          <w:rFonts w:hint="eastAsia" w:ascii="宋体" w:hAnsi="宋体" w:cs="宋体"/>
          <w:color w:val="auto"/>
          <w:kern w:val="0"/>
          <w:sz w:val="24"/>
          <w:highlight w:val="none"/>
        </w:rPr>
        <w:t>工程设施移交土地权利人所在村委使用，由乙方负责管护3年并承担期间所有管护费用，水田原则上保证连续3年每1年至少种植一造水稻、茭白、菱角、莲藕、</w:t>
      </w:r>
      <w:r>
        <w:rPr>
          <w:color w:val="auto"/>
          <w:highlight w:val="none"/>
        </w:rPr>
        <w:fldChar w:fldCharType="begin"/>
      </w:r>
      <w:r>
        <w:rPr>
          <w:color w:val="auto"/>
          <w:highlight w:val="none"/>
        </w:rPr>
        <w:instrText xml:space="preserve"> HYPERLINK "https://www.baidu.com/s?wd=%E8%8D%B8%E8%8D%A0&amp;tn=SE_PcZhidaonwhc_ngpagmjz&amp;rsv_dl=gh_pc_zhidao" \t "_blank" </w:instrText>
      </w:r>
      <w:r>
        <w:rPr>
          <w:color w:val="auto"/>
          <w:highlight w:val="none"/>
        </w:rPr>
        <w:fldChar w:fldCharType="separate"/>
      </w:r>
      <w:r>
        <w:rPr>
          <w:rFonts w:hint="eastAsia" w:ascii="宋体" w:hAnsi="宋体" w:cs="宋体"/>
          <w:color w:val="auto"/>
          <w:kern w:val="0"/>
          <w:sz w:val="24"/>
          <w:highlight w:val="none"/>
        </w:rPr>
        <w:t>荸荠</w:t>
      </w:r>
      <w:r>
        <w:rPr>
          <w:rFonts w:hint="eastAsia" w:ascii="宋体" w:hAnsi="宋体" w:cs="宋体"/>
          <w:color w:val="auto"/>
          <w:kern w:val="0"/>
          <w:sz w:val="24"/>
          <w:highlight w:val="none"/>
        </w:rPr>
        <w:fldChar w:fldCharType="end"/>
      </w:r>
      <w:r>
        <w:rPr>
          <w:rFonts w:hint="eastAsia" w:ascii="宋体" w:hAnsi="宋体" w:cs="宋体"/>
          <w:color w:val="auto"/>
          <w:kern w:val="0"/>
          <w:sz w:val="24"/>
          <w:highlight w:val="none"/>
        </w:rPr>
        <w:t>（马蹄）、茨菇等水生农作物（如有新政策文件要求，则按新政策文件规定执行）。</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2.乙方后期管护质量应确保通过南宁市人民政府办公厅关于印发《南宁市土地整治和高标准农田建设新增耕地核定工作方案的通知》（南府办函〔2018〕188号）、广西壮族自治区自然资源厅办公室《关于进一步规范我区土地整治和高标准农田建设项目新增耕地核定技术审查有关事项的通知》（桂自然资办〔2019〕288号）等规定（如有新政策文件规定，则按新政策文件规定执行）新增耕地核定，满足上级主管部门水田认定标准。</w:t>
      </w:r>
    </w:p>
    <w:p>
      <w:pPr>
        <w:keepNext w:val="0"/>
        <w:keepLines w:val="0"/>
        <w:pageBreakBefore w:val="0"/>
        <w:widowControl w:val="0"/>
        <w:tabs>
          <w:tab w:val="left" w:pos="5895"/>
        </w:tabs>
        <w:kinsoku/>
        <w:wordWrap/>
        <w:overflowPunct/>
        <w:topLinePunct w:val="0"/>
        <w:bidi w:val="0"/>
        <w:snapToGrid/>
        <w:spacing w:line="440" w:lineRule="exact"/>
        <w:ind w:firstLine="482" w:firstLineChars="200"/>
        <w:textAlignment w:val="auto"/>
        <w:rPr>
          <w:rFonts w:ascii="宋体" w:hAnsi="宋体" w:cs="宋体"/>
          <w:b/>
          <w:bCs/>
          <w:color w:val="auto"/>
          <w:sz w:val="24"/>
          <w:highlight w:val="none"/>
        </w:rPr>
      </w:pPr>
      <w:r>
        <w:rPr>
          <w:rFonts w:hint="eastAsia" w:ascii="宋体" w:hAnsi="宋体" w:cs="宋体"/>
          <w:b/>
          <w:bCs/>
          <w:color w:val="auto"/>
          <w:sz w:val="24"/>
          <w:highlight w:val="none"/>
        </w:rPr>
        <w:t>第九条  违约责任</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1.乙方未按时间期限要求完成项目</w:t>
      </w:r>
      <w:r>
        <w:rPr>
          <w:rFonts w:hint="eastAsia" w:ascii="宋体" w:hAnsi="宋体" w:cs="宋体"/>
          <w:color w:val="auto"/>
          <w:sz w:val="24"/>
          <w:highlight w:val="none"/>
          <w:lang w:val="en-US" w:eastAsia="zh-CN"/>
        </w:rPr>
        <w:t>整改工作</w:t>
      </w:r>
      <w:r>
        <w:rPr>
          <w:rFonts w:hint="eastAsia" w:ascii="宋体" w:hAnsi="宋体" w:cs="宋体"/>
          <w:color w:val="auto"/>
          <w:sz w:val="24"/>
          <w:highlight w:val="none"/>
        </w:rPr>
        <w:t>，甲方</w:t>
      </w:r>
      <w:r>
        <w:rPr>
          <w:rFonts w:hint="eastAsia" w:ascii="宋体" w:hAnsi="宋体" w:cs="宋体"/>
          <w:color w:val="auto"/>
          <w:sz w:val="24"/>
          <w:highlight w:val="none"/>
          <w:lang w:val="en-US" w:eastAsia="zh-CN"/>
        </w:rPr>
        <w:t>有权根据实际情况</w:t>
      </w:r>
      <w:r>
        <w:rPr>
          <w:rFonts w:hint="eastAsia" w:ascii="宋体" w:hAnsi="宋体" w:cs="宋体"/>
          <w:color w:val="auto"/>
          <w:sz w:val="24"/>
          <w:highlight w:val="none"/>
        </w:rPr>
        <w:t>解除终止合作协议，乙方自行承担已经投入的相关资金损失并按甲方要求完成现场的清理和撤离。</w:t>
      </w:r>
    </w:p>
    <w:p>
      <w:pPr>
        <w:pStyle w:val="146"/>
        <w:keepNext w:val="0"/>
        <w:keepLines w:val="0"/>
        <w:pageBreakBefore w:val="0"/>
        <w:widowControl w:val="0"/>
        <w:kinsoku/>
        <w:wordWrap/>
        <w:overflowPunct/>
        <w:topLinePunct w:val="0"/>
        <w:bidi w:val="0"/>
        <w:snapToGrid/>
        <w:spacing w:line="440" w:lineRule="exact"/>
        <w:ind w:firstLine="482" w:firstLineChars="200"/>
        <w:jc w:val="both"/>
        <w:textAlignment w:val="auto"/>
        <w:rPr>
          <w:rFonts w:ascii="宋体" w:hAnsi="宋体" w:cs="宋体"/>
          <w:b/>
          <w:bCs/>
          <w:color w:val="auto"/>
          <w:highlight w:val="none"/>
        </w:rPr>
      </w:pPr>
      <w:r>
        <w:rPr>
          <w:rFonts w:hint="eastAsia" w:ascii="宋体" w:hAnsi="宋体" w:cs="宋体"/>
          <w:b/>
          <w:bCs/>
          <w:color w:val="auto"/>
          <w:highlight w:val="none"/>
        </w:rPr>
        <w:t>2.乙方委派的施工单位或乙方作为施工主体</w:t>
      </w:r>
      <w:r>
        <w:rPr>
          <w:rFonts w:hint="eastAsia" w:ascii="宋体" w:hAnsi="宋体" w:cs="宋体"/>
          <w:b/>
          <w:bCs/>
          <w:color w:val="auto"/>
          <w:highlight w:val="none"/>
          <w:lang w:eastAsia="zh-CN"/>
        </w:rPr>
        <w:t>时</w:t>
      </w:r>
      <w:r>
        <w:rPr>
          <w:rFonts w:hint="eastAsia" w:ascii="宋体" w:hAnsi="宋体" w:cs="宋体"/>
          <w:b/>
          <w:bCs/>
          <w:color w:val="auto"/>
          <w:highlight w:val="none"/>
        </w:rPr>
        <w:t>，如果未按规定足额缴存农民工工资保证金的，乙方应</w:t>
      </w:r>
      <w:r>
        <w:rPr>
          <w:rFonts w:hint="eastAsia" w:ascii="宋体" w:hAnsi="宋体" w:cs="宋体"/>
          <w:b/>
          <w:bCs/>
          <w:color w:val="auto"/>
          <w:highlight w:val="none"/>
          <w:lang w:eastAsia="zh-CN"/>
        </w:rPr>
        <w:t>督促</w:t>
      </w:r>
      <w:r>
        <w:rPr>
          <w:rFonts w:hint="eastAsia" w:ascii="宋体" w:hAnsi="宋体" w:cs="宋体"/>
          <w:b/>
          <w:bCs/>
          <w:color w:val="auto"/>
          <w:highlight w:val="none"/>
        </w:rPr>
        <w:t>或由乙方</w:t>
      </w:r>
      <w:r>
        <w:rPr>
          <w:rFonts w:hint="eastAsia" w:ascii="宋体" w:hAnsi="宋体" w:cs="宋体"/>
          <w:b/>
          <w:bCs/>
          <w:color w:val="auto"/>
          <w:highlight w:val="none"/>
          <w:lang w:eastAsia="zh-CN"/>
        </w:rPr>
        <w:t>（</w:t>
      </w:r>
      <w:r>
        <w:rPr>
          <w:rFonts w:hint="eastAsia" w:ascii="宋体" w:hAnsi="宋体" w:cs="宋体"/>
          <w:b/>
          <w:bCs/>
          <w:color w:val="auto"/>
          <w:highlight w:val="none"/>
        </w:rPr>
        <w:t>作为施工主体</w:t>
      </w:r>
      <w:r>
        <w:rPr>
          <w:rFonts w:hint="eastAsia" w:ascii="宋体" w:hAnsi="宋体" w:cs="宋体"/>
          <w:b/>
          <w:bCs/>
          <w:color w:val="auto"/>
          <w:highlight w:val="none"/>
          <w:lang w:eastAsia="zh-CN"/>
        </w:rPr>
        <w:t>时）</w:t>
      </w:r>
      <w:r>
        <w:rPr>
          <w:rFonts w:hint="eastAsia" w:ascii="宋体" w:hAnsi="宋体" w:cs="宋体"/>
          <w:b/>
          <w:bCs/>
          <w:color w:val="auto"/>
          <w:highlight w:val="none"/>
        </w:rPr>
        <w:t>足额缴存农民工工资保证金，并及时解决存在的问题，由此产生的后果由乙方或其委派的施工单位承担，甲方有权解除终止合作协议，并上报有关部门依法进行处罚。</w:t>
      </w:r>
    </w:p>
    <w:p>
      <w:pPr>
        <w:pStyle w:val="146"/>
        <w:keepNext w:val="0"/>
        <w:keepLines w:val="0"/>
        <w:pageBreakBefore w:val="0"/>
        <w:widowControl w:val="0"/>
        <w:kinsoku/>
        <w:wordWrap/>
        <w:overflowPunct/>
        <w:topLinePunct w:val="0"/>
        <w:bidi w:val="0"/>
        <w:snapToGrid/>
        <w:spacing w:line="440" w:lineRule="exact"/>
        <w:ind w:firstLine="480" w:firstLineChars="200"/>
        <w:jc w:val="both"/>
        <w:textAlignment w:val="auto"/>
        <w:rPr>
          <w:rFonts w:ascii="宋体" w:hAnsi="宋体" w:cs="宋体"/>
          <w:b/>
          <w:bCs/>
          <w:color w:val="auto"/>
          <w:highlight w:val="none"/>
        </w:rPr>
      </w:pPr>
      <w:r>
        <w:rPr>
          <w:rFonts w:hint="eastAsia" w:ascii="宋体" w:hAnsi="宋体" w:cs="宋体"/>
          <w:color w:val="auto"/>
          <w:highlight w:val="none"/>
        </w:rPr>
        <w:t>3.乙方未按约定履行项目后期管护和工程质量保修义务的，甲方有权启用后期管护保证金委托第三方进行后期管护和返修整改。</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.乙方对实施的项目质量负总责，确保“旱改水”耕地指标数量真实、质量可靠，符合占补平衡要求，如项目质量方面原因造成不能获批耕地提质改造（旱改水）指标，乙方自行承担已经投入的相关资金损失。</w:t>
      </w:r>
    </w:p>
    <w:p>
      <w:pPr>
        <w:keepNext w:val="0"/>
        <w:keepLines w:val="0"/>
        <w:pageBreakBefore w:val="0"/>
        <w:widowControl w:val="0"/>
        <w:tabs>
          <w:tab w:val="left" w:pos="5895"/>
        </w:tabs>
        <w:kinsoku/>
        <w:wordWrap/>
        <w:overflowPunct/>
        <w:topLinePunct w:val="0"/>
        <w:bidi w:val="0"/>
        <w:snapToGrid/>
        <w:spacing w:line="440" w:lineRule="exact"/>
        <w:ind w:firstLine="482" w:firstLineChars="200"/>
        <w:textAlignment w:val="auto"/>
        <w:rPr>
          <w:rFonts w:ascii="宋体" w:hAnsi="宋体" w:cs="宋体"/>
          <w:b/>
          <w:bCs/>
          <w:color w:val="auto"/>
          <w:sz w:val="24"/>
          <w:highlight w:val="none"/>
        </w:rPr>
      </w:pPr>
      <w:r>
        <w:rPr>
          <w:rFonts w:hint="eastAsia" w:ascii="宋体" w:hAnsi="宋体" w:cs="宋体"/>
          <w:b/>
          <w:bCs/>
          <w:color w:val="auto"/>
          <w:sz w:val="24"/>
          <w:highlight w:val="none"/>
        </w:rPr>
        <w:t>第十条  协议解除</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1.经双方协商一致，可以解除协议，协议解除后，乙方应按甲方要求完成现场的清理和撤离。</w:t>
      </w:r>
    </w:p>
    <w:p>
      <w:pPr>
        <w:pStyle w:val="146"/>
        <w:keepNext w:val="0"/>
        <w:keepLines w:val="0"/>
        <w:pageBreakBefore w:val="0"/>
        <w:widowControl w:val="0"/>
        <w:kinsoku/>
        <w:wordWrap/>
        <w:overflowPunct/>
        <w:topLinePunct w:val="0"/>
        <w:bidi w:val="0"/>
        <w:snapToGrid/>
        <w:spacing w:line="440" w:lineRule="exact"/>
        <w:ind w:firstLine="480" w:firstLineChars="200"/>
        <w:jc w:val="both"/>
        <w:textAlignment w:val="auto"/>
        <w:rPr>
          <w:rFonts w:ascii="宋体" w:hAnsi="宋体" w:cs="宋体"/>
          <w:b/>
          <w:bCs/>
          <w:color w:val="auto"/>
          <w:highlight w:val="none"/>
        </w:rPr>
      </w:pPr>
      <w:r>
        <w:rPr>
          <w:rFonts w:hint="eastAsia" w:ascii="宋体" w:hAnsi="宋体" w:cs="宋体"/>
          <w:color w:val="auto"/>
          <w:highlight w:val="none"/>
        </w:rPr>
        <w:t>2.本协议自签订之日起15日内，如乙方不进场开展项目建设相关工作，甲方有权解除终止协议并取消乙方中标承建项目资格。</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.乙方如有违约，经甲方三次书面警告后，乙方仍未能整改的，甲方有权单方解除协议，对于影响劳动生产、未达到使用要求或违反政策法规的工程设施，乙方应承担费用并予以拆除，自行消除影响，恢复原状。</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6.甲方按照本协调有关条款解除协议后，所有已验收、未验收的项目工程设施的所有权、使用权、处置权归属甲方，甲方可在已验收、未验收的工程设施成果基础上施工作业，乙方应向甲方移交工程设施有关施工资料、技术资料且不得进行任何形式的干涉行为。</w:t>
      </w:r>
    </w:p>
    <w:p>
      <w:pPr>
        <w:keepNext w:val="0"/>
        <w:keepLines w:val="0"/>
        <w:pageBreakBefore w:val="0"/>
        <w:widowControl w:val="0"/>
        <w:tabs>
          <w:tab w:val="left" w:pos="5895"/>
        </w:tabs>
        <w:kinsoku/>
        <w:wordWrap/>
        <w:overflowPunct/>
        <w:topLinePunct w:val="0"/>
        <w:bidi w:val="0"/>
        <w:snapToGrid/>
        <w:spacing w:line="440" w:lineRule="exact"/>
        <w:ind w:firstLine="482" w:firstLineChars="200"/>
        <w:textAlignment w:val="auto"/>
        <w:rPr>
          <w:rFonts w:ascii="宋体" w:hAnsi="宋体" w:cs="宋体"/>
          <w:b/>
          <w:bCs/>
          <w:color w:val="auto"/>
          <w:sz w:val="24"/>
          <w:highlight w:val="none"/>
        </w:rPr>
      </w:pPr>
      <w:r>
        <w:rPr>
          <w:rFonts w:hint="eastAsia" w:ascii="宋体" w:hAnsi="宋体" w:cs="宋体"/>
          <w:b/>
          <w:bCs/>
          <w:color w:val="auto"/>
          <w:sz w:val="24"/>
          <w:highlight w:val="none"/>
        </w:rPr>
        <w:t>第十一条  争议的解决</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本合同履行过程中若发生争议，应友好协商解决；若协商不成，双方向青秀区人民法院提起诉讼。</w:t>
      </w:r>
    </w:p>
    <w:p>
      <w:pPr>
        <w:keepNext w:val="0"/>
        <w:keepLines w:val="0"/>
        <w:pageBreakBefore w:val="0"/>
        <w:widowControl w:val="0"/>
        <w:kinsoku/>
        <w:wordWrap/>
        <w:overflowPunct/>
        <w:topLinePunct w:val="0"/>
        <w:bidi w:val="0"/>
        <w:snapToGrid/>
        <w:spacing w:line="440" w:lineRule="exact"/>
        <w:ind w:firstLine="645"/>
        <w:textAlignment w:val="auto"/>
        <w:rPr>
          <w:rFonts w:ascii="宋体" w:hAnsi="宋体" w:cs="宋体"/>
          <w:b/>
          <w:bCs/>
          <w:color w:val="auto"/>
          <w:sz w:val="24"/>
          <w:highlight w:val="none"/>
        </w:rPr>
      </w:pPr>
      <w:r>
        <w:rPr>
          <w:rFonts w:hint="eastAsia" w:ascii="宋体" w:hAnsi="宋体" w:cs="宋体"/>
          <w:b/>
          <w:bCs/>
          <w:color w:val="auto"/>
          <w:sz w:val="24"/>
          <w:highlight w:val="none"/>
        </w:rPr>
        <w:t>第十二条  其他约定</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甲乙双方已确认本协议所填写的地址及联系方式，一切联系以此为准，双方按本协议地址、电子邮箱收发文书，无论是他人代收、本人拒收、无人签收均视为已送达，已发送信息到电子邮箱视为送达。如一方改变联系方式或联系人的，须及时书面通知对方，否则他方仍有权按原定的联系方式进行联系且视为送达。</w:t>
      </w:r>
    </w:p>
    <w:p>
      <w:pPr>
        <w:keepNext w:val="0"/>
        <w:keepLines w:val="0"/>
        <w:pageBreakBefore w:val="0"/>
        <w:widowControl w:val="0"/>
        <w:tabs>
          <w:tab w:val="left" w:pos="5895"/>
        </w:tabs>
        <w:kinsoku/>
        <w:wordWrap/>
        <w:overflowPunct/>
        <w:topLinePunct w:val="0"/>
        <w:bidi w:val="0"/>
        <w:snapToGrid/>
        <w:spacing w:line="440" w:lineRule="exact"/>
        <w:ind w:firstLine="482" w:firstLineChars="200"/>
        <w:textAlignment w:val="auto"/>
        <w:rPr>
          <w:rFonts w:ascii="宋体" w:hAnsi="宋体" w:cs="宋体"/>
          <w:b/>
          <w:bCs/>
          <w:color w:val="auto"/>
          <w:sz w:val="24"/>
          <w:highlight w:val="none"/>
        </w:rPr>
      </w:pPr>
      <w:r>
        <w:rPr>
          <w:rFonts w:hint="eastAsia" w:ascii="宋体" w:hAnsi="宋体" w:cs="宋体"/>
          <w:b/>
          <w:bCs/>
          <w:color w:val="auto"/>
          <w:sz w:val="24"/>
          <w:highlight w:val="none"/>
        </w:rPr>
        <w:t>第十三条  附则</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1.本协议自签订之日起生效，项目</w:t>
      </w:r>
      <w:r>
        <w:rPr>
          <w:rFonts w:hint="eastAsia" w:ascii="宋体" w:hAnsi="宋体" w:cs="宋体"/>
          <w:color w:val="auto"/>
          <w:kern w:val="0"/>
          <w:sz w:val="24"/>
          <w:highlight w:val="none"/>
          <w:lang w:val="en-US" w:eastAsia="zh-CN"/>
        </w:rPr>
        <w:t>完成整改和管护工作</w:t>
      </w:r>
      <w:r>
        <w:rPr>
          <w:rFonts w:hint="eastAsia" w:ascii="宋体" w:hAnsi="宋体" w:cs="宋体"/>
          <w:color w:val="auto"/>
          <w:kern w:val="0"/>
          <w:sz w:val="24"/>
          <w:highlight w:val="none"/>
        </w:rPr>
        <w:t>后，本协议自行终止。</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2.本协议的签订及效力不受甲乙双方法定代表人的变更影响。</w:t>
      </w:r>
    </w:p>
    <w:p>
      <w:pPr>
        <w:keepNext w:val="0"/>
        <w:keepLines w:val="0"/>
        <w:pageBreakBefore w:val="0"/>
        <w:widowControl w:val="0"/>
        <w:tabs>
          <w:tab w:val="left" w:pos="5895"/>
        </w:tabs>
        <w:kinsoku/>
        <w:wordWrap/>
        <w:overflowPunct/>
        <w:topLinePunct w:val="0"/>
        <w:bidi w:val="0"/>
        <w:snapToGrid/>
        <w:spacing w:line="440" w:lineRule="exact"/>
        <w:ind w:left="0" w:leftChars="0" w:firstLine="420" w:firstLineChars="175"/>
        <w:textAlignment w:val="auto"/>
        <w:rPr>
          <w:rFonts w:ascii="宋体" w:hAnsi="宋体" w:cs="宋体"/>
          <w:color w:val="auto"/>
          <w:kern w:val="0"/>
          <w:sz w:val="24"/>
          <w:highlight w:val="none"/>
        </w:rPr>
      </w:pPr>
      <w:r>
        <w:rPr>
          <w:rFonts w:hint="eastAsia" w:ascii="宋体" w:hAnsi="宋体" w:cs="宋体"/>
          <w:color w:val="auto"/>
          <w:kern w:val="0"/>
          <w:sz w:val="24"/>
          <w:highlight w:val="none"/>
        </w:rPr>
        <w:t xml:space="preserve"> 3.本协议条款约定内容如与青秀区政府政策发生冲突的，以青秀区政府常务会议审定为准，双方可签订补充协议，补充协议与本协议具有同等的法律效力。</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4.协议未尽事宜或有其他情况发生，双方可协商签订补充协议，补充协议与本协议具有同等的法律效力。</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5.本协议一式捌份，甲方、乙方各执肆份，具有同等法律效力，协议经双方法定代表人签字并盖单位公章后生效。</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（正文结束，后为签字盖章页）</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 xml:space="preserve">甲方：（公章）                         乙方：（公章）              </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住所：                                    住所：</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法定代表人                                法定代表人</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或委托代理人（签字）：                   或委托代理人（签字）：</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法定代表人:                               法定代表人：</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授权代理人：                              授权代理人：</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电话：                                    电话：</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传真：                                    传真：</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开户名称：                                  开户名称：</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 xml:space="preserve">开户银行：                                开户银行：    </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帐号：                                     帐号：</w:t>
      </w:r>
    </w:p>
    <w:p>
      <w:pPr>
        <w:keepNext w:val="0"/>
        <w:keepLines w:val="0"/>
        <w:pageBreakBefore w:val="0"/>
        <w:widowControl w:val="0"/>
        <w:tabs>
          <w:tab w:val="left" w:pos="5895"/>
        </w:tabs>
        <w:kinsoku/>
        <w:wordWrap/>
        <w:overflowPunct/>
        <w:topLinePunct w:val="0"/>
        <w:bidi w:val="0"/>
        <w:snapToGrid/>
        <w:spacing w:line="440" w:lineRule="exact"/>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邮政编码：                                 邮政编码：</w:t>
      </w:r>
    </w:p>
    <w:p>
      <w:pPr>
        <w:pStyle w:val="132"/>
        <w:spacing w:after="160" w:line="240" w:lineRule="auto"/>
        <w:ind w:firstLine="0"/>
        <w:jc w:val="left"/>
        <w:rPr>
          <w:rFonts w:cs="Times New Roman"/>
          <w:color w:val="auto"/>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int="eastAsia" w:hAnsi="宋体"/>
          <w:color w:val="auto"/>
          <w:sz w:val="36"/>
          <w:szCs w:val="36"/>
          <w:highlight w:val="none"/>
        </w:rPr>
      </w:pPr>
    </w:p>
    <w:p>
      <w:pPr>
        <w:pStyle w:val="24"/>
        <w:spacing w:line="360" w:lineRule="auto"/>
        <w:jc w:val="center"/>
        <w:rPr>
          <w:rFonts w:hAnsi="宋体" w:cs="Times New Roman"/>
          <w:b/>
          <w:bCs/>
          <w:color w:val="auto"/>
          <w:sz w:val="36"/>
          <w:szCs w:val="36"/>
          <w:highlight w:val="none"/>
        </w:rPr>
      </w:pPr>
      <w:r>
        <w:rPr>
          <w:rFonts w:hint="eastAsia" w:hAnsi="宋体"/>
          <w:color w:val="auto"/>
          <w:sz w:val="36"/>
          <w:szCs w:val="36"/>
          <w:highlight w:val="none"/>
        </w:rPr>
        <w:t>政府采购项目合同验收报告（格式）</w:t>
      </w:r>
    </w:p>
    <w:p>
      <w:pPr>
        <w:widowControl/>
        <w:snapToGrid w:val="0"/>
        <w:spacing w:before="100" w:beforeAutospacing="1" w:after="100" w:afterAutospacing="1" w:line="440" w:lineRule="exact"/>
        <w:ind w:firstLine="659"/>
        <w:jc w:val="left"/>
        <w:rPr>
          <w:rFonts w:ascii="宋体"/>
          <w:color w:val="auto"/>
          <w:kern w:val="0"/>
          <w:highlight w:val="none"/>
        </w:rPr>
      </w:pPr>
      <w:r>
        <w:rPr>
          <w:rFonts w:hint="eastAsia" w:ascii="宋体" w:hAnsi="宋体" w:cs="宋体"/>
          <w:color w:val="auto"/>
          <w:kern w:val="0"/>
          <w:highlight w:val="none"/>
        </w:rPr>
        <w:t>根据政府采购合同</w:t>
      </w:r>
      <w:r>
        <w:rPr>
          <w:rFonts w:hint="eastAsia" w:ascii="宋体" w:hAnsi="宋体" w:cs="宋体"/>
          <w:color w:val="auto"/>
          <w:kern w:val="0"/>
          <w:highlight w:val="none"/>
          <w:u w:val="single"/>
        </w:rPr>
        <w:t>（采购合同编号：</w:t>
      </w:r>
      <w:r>
        <w:rPr>
          <w:rFonts w:ascii="宋体"/>
          <w:color w:val="auto"/>
          <w:kern w:val="0"/>
          <w:highlight w:val="none"/>
          <w:u w:val="single"/>
        </w:rPr>
        <w:t>  </w:t>
      </w:r>
      <w:r>
        <w:rPr>
          <w:rFonts w:hint="eastAsia" w:ascii="宋体" w:hAnsi="宋体" w:cs="宋体"/>
          <w:color w:val="auto"/>
          <w:kern w:val="0"/>
          <w:highlight w:val="none"/>
          <w:u w:val="single"/>
        </w:rPr>
        <w:t>）的约定，我单位对（项目名称）政府采购项目中标（或成交）供应商（公司名称）</w:t>
      </w:r>
      <w:r>
        <w:rPr>
          <w:rFonts w:hint="eastAsia" w:ascii="宋体" w:hAnsi="宋体" w:cs="宋体"/>
          <w:color w:val="auto"/>
          <w:kern w:val="0"/>
          <w:highlight w:val="none"/>
        </w:rPr>
        <w:t>提供的或服务进行了验收，验收情况如下：</w:t>
      </w:r>
    </w:p>
    <w:tbl>
      <w:tblPr>
        <w:tblStyle w:val="37"/>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color w:val="auto"/>
                <w:kern w:val="0"/>
                <w:highlight w:val="none"/>
              </w:rPr>
            </w:pPr>
            <w:r>
              <w:rPr>
                <w:rFonts w:hint="eastAsia" w:ascii="宋体" w:hAnsi="宋体" w:cs="宋体"/>
                <w:color w:val="auto"/>
                <w:kern w:val="0"/>
                <w:highlight w:val="none"/>
              </w:rPr>
              <w:t>验收方式：</w:t>
            </w:r>
          </w:p>
        </w:tc>
        <w:tc>
          <w:tcPr>
            <w:tcW w:w="6218" w:type="dxa"/>
            <w:gridSpan w:val="5"/>
            <w:vAlign w:val="center"/>
          </w:tcPr>
          <w:p>
            <w:pPr>
              <w:widowControl/>
              <w:snapToGrid w:val="0"/>
              <w:ind w:left="-3"/>
              <w:jc w:val="center"/>
              <w:rPr>
                <w:rFonts w:ascii="宋体"/>
                <w:color w:val="auto"/>
                <w:kern w:val="0"/>
                <w:highlight w:val="none"/>
              </w:rPr>
            </w:pPr>
            <w:r>
              <w:rPr>
                <w:rFonts w:hint="eastAsia" w:ascii="宋体" w:hAnsi="宋体" w:cs="宋体"/>
                <w:color w:val="auto"/>
                <w:kern w:val="0"/>
                <w:highlight w:val="none"/>
              </w:rPr>
              <w:t>□自行验收</w:t>
            </w:r>
            <w:r>
              <w:rPr>
                <w:rFonts w:ascii="宋体"/>
                <w:color w:val="auto"/>
                <w:kern w:val="0"/>
                <w:highlight w:val="none"/>
              </w:rPr>
              <w:t>        </w:t>
            </w:r>
            <w:r>
              <w:rPr>
                <w:rFonts w:hint="eastAsia" w:ascii="宋体" w:hAnsi="宋体" w:cs="宋体"/>
                <w:color w:val="auto"/>
                <w:kern w:val="0"/>
                <w:highlight w:val="none"/>
              </w:rPr>
              <w:t>□联合验收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color w:val="auto"/>
                <w:kern w:val="0"/>
                <w:highlight w:val="none"/>
              </w:rPr>
            </w:pPr>
            <w:r>
              <w:rPr>
                <w:rFonts w:hint="eastAsia" w:ascii="宋体" w:hAnsi="宋体" w:cs="宋体"/>
                <w:color w:val="auto"/>
                <w:kern w:val="0"/>
                <w:highlight w:val="none"/>
              </w:rPr>
              <w:t>序号</w:t>
            </w:r>
          </w:p>
        </w:tc>
        <w:tc>
          <w:tcPr>
            <w:tcW w:w="1963" w:type="dxa"/>
            <w:vAlign w:val="center"/>
          </w:tcPr>
          <w:p>
            <w:pPr>
              <w:widowControl/>
              <w:snapToGrid w:val="0"/>
              <w:ind w:left="-3"/>
              <w:jc w:val="center"/>
              <w:rPr>
                <w:rFonts w:ascii="宋体"/>
                <w:color w:val="auto"/>
                <w:kern w:val="0"/>
                <w:highlight w:val="none"/>
              </w:rPr>
            </w:pPr>
            <w:r>
              <w:rPr>
                <w:rFonts w:hint="eastAsia" w:ascii="宋体" w:hAnsi="宋体" w:cs="宋体"/>
                <w:color w:val="auto"/>
                <w:kern w:val="0"/>
                <w:highlight w:val="none"/>
              </w:rPr>
              <w:t>名</w:t>
            </w:r>
            <w:r>
              <w:rPr>
                <w:rFonts w:ascii="宋体"/>
                <w:color w:val="auto"/>
                <w:kern w:val="0"/>
                <w:highlight w:val="none"/>
              </w:rPr>
              <w:t> </w:t>
            </w:r>
            <w:r>
              <w:rPr>
                <w:rFonts w:hint="eastAsia" w:ascii="宋体" w:hAnsi="宋体" w:cs="宋体"/>
                <w:color w:val="auto"/>
                <w:kern w:val="0"/>
                <w:highlight w:val="none"/>
              </w:rPr>
              <w:t>称</w:t>
            </w:r>
          </w:p>
        </w:tc>
        <w:tc>
          <w:tcPr>
            <w:tcW w:w="3441" w:type="dxa"/>
            <w:gridSpan w:val="2"/>
            <w:vAlign w:val="center"/>
          </w:tcPr>
          <w:p>
            <w:pPr>
              <w:widowControl/>
              <w:snapToGrid w:val="0"/>
              <w:jc w:val="center"/>
              <w:rPr>
                <w:rFonts w:ascii="宋体"/>
                <w:color w:val="auto"/>
                <w:kern w:val="0"/>
                <w:highlight w:val="none"/>
              </w:rPr>
            </w:pPr>
            <w:r>
              <w:rPr>
                <w:rFonts w:hint="eastAsia" w:ascii="宋体" w:hAnsi="宋体" w:cs="宋体"/>
                <w:color w:val="auto"/>
                <w:kern w:val="0"/>
                <w:highlight w:val="none"/>
              </w:rPr>
              <w:t>服务内容、标准</w:t>
            </w:r>
          </w:p>
        </w:tc>
        <w:tc>
          <w:tcPr>
            <w:tcW w:w="998" w:type="dxa"/>
            <w:gridSpan w:val="2"/>
            <w:vAlign w:val="center"/>
          </w:tcPr>
          <w:p>
            <w:pPr>
              <w:widowControl/>
              <w:snapToGrid w:val="0"/>
              <w:jc w:val="center"/>
              <w:rPr>
                <w:rFonts w:ascii="宋体"/>
                <w:color w:val="auto"/>
                <w:kern w:val="0"/>
                <w:highlight w:val="none"/>
              </w:rPr>
            </w:pPr>
            <w:r>
              <w:rPr>
                <w:rFonts w:hint="eastAsia" w:ascii="宋体" w:hAnsi="宋体" w:cs="宋体"/>
                <w:color w:val="auto"/>
                <w:kern w:val="0"/>
                <w:highlight w:val="none"/>
              </w:rPr>
              <w:t>数量</w:t>
            </w:r>
          </w:p>
        </w:tc>
        <w:tc>
          <w:tcPr>
            <w:tcW w:w="1779" w:type="dxa"/>
            <w:vAlign w:val="center"/>
          </w:tcPr>
          <w:p>
            <w:pPr>
              <w:widowControl/>
              <w:snapToGrid w:val="0"/>
              <w:ind w:left="-3"/>
              <w:jc w:val="center"/>
              <w:rPr>
                <w:rFonts w:ascii="宋体"/>
                <w:color w:val="auto"/>
                <w:kern w:val="0"/>
                <w:highlight w:val="none"/>
              </w:rPr>
            </w:pPr>
            <w:r>
              <w:rPr>
                <w:rFonts w:hint="eastAsia" w:ascii="宋体" w:hAnsi="宋体" w:cs="宋体"/>
                <w:color w:val="auto"/>
                <w:kern w:val="0"/>
                <w:highlight w:val="none"/>
              </w:rPr>
              <w:t>与合同约定</w:t>
            </w:r>
          </w:p>
          <w:p>
            <w:pPr>
              <w:widowControl/>
              <w:snapToGrid w:val="0"/>
              <w:ind w:left="-3"/>
              <w:jc w:val="center"/>
              <w:rPr>
                <w:rFonts w:ascii="宋体"/>
                <w:color w:val="auto"/>
                <w:kern w:val="0"/>
                <w:highlight w:val="none"/>
              </w:rPr>
            </w:pPr>
            <w:r>
              <w:rPr>
                <w:rFonts w:hint="eastAsia" w:ascii="宋体" w:hAnsi="宋体" w:cs="宋体"/>
                <w:color w:val="auto"/>
                <w:kern w:val="0"/>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1963" w:type="dxa"/>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3441" w:type="dxa"/>
            <w:gridSpan w:val="2"/>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998" w:type="dxa"/>
            <w:gridSpan w:val="2"/>
            <w:vAlign w:val="center"/>
          </w:tcPr>
          <w:p>
            <w:pPr>
              <w:widowControl/>
              <w:snapToGrid w:val="0"/>
              <w:jc w:val="left"/>
              <w:rPr>
                <w:rFonts w:ascii="宋体"/>
                <w:color w:val="auto"/>
                <w:kern w:val="0"/>
                <w:highlight w:val="none"/>
              </w:rPr>
            </w:pPr>
            <w:r>
              <w:rPr>
                <w:rFonts w:ascii="宋体"/>
                <w:color w:val="auto"/>
                <w:kern w:val="0"/>
                <w:highlight w:val="none"/>
              </w:rPr>
              <w:t> </w:t>
            </w:r>
          </w:p>
        </w:tc>
        <w:tc>
          <w:tcPr>
            <w:tcW w:w="1779" w:type="dxa"/>
            <w:vAlign w:val="center"/>
          </w:tcPr>
          <w:p>
            <w:pPr>
              <w:widowControl/>
              <w:snapToGrid w:val="0"/>
              <w:jc w:val="left"/>
              <w:rPr>
                <w:rFonts w:ascii="宋体"/>
                <w:color w:val="auto"/>
                <w:kern w:val="0"/>
                <w:highlight w:val="none"/>
              </w:rPr>
            </w:pPr>
            <w:r>
              <w:rPr>
                <w:rFonts w:ascii="宋体"/>
                <w:color w:val="auto"/>
                <w:kern w:val="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1963" w:type="dxa"/>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3441" w:type="dxa"/>
            <w:gridSpan w:val="2"/>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998" w:type="dxa"/>
            <w:gridSpan w:val="2"/>
            <w:vAlign w:val="center"/>
          </w:tcPr>
          <w:p>
            <w:pPr>
              <w:widowControl/>
              <w:snapToGrid w:val="0"/>
              <w:jc w:val="left"/>
              <w:rPr>
                <w:rFonts w:ascii="宋体"/>
                <w:color w:val="auto"/>
                <w:kern w:val="0"/>
                <w:highlight w:val="none"/>
              </w:rPr>
            </w:pPr>
            <w:r>
              <w:rPr>
                <w:rFonts w:ascii="宋体"/>
                <w:color w:val="auto"/>
                <w:kern w:val="0"/>
                <w:highlight w:val="none"/>
              </w:rPr>
              <w:t> </w:t>
            </w:r>
          </w:p>
        </w:tc>
        <w:tc>
          <w:tcPr>
            <w:tcW w:w="1779" w:type="dxa"/>
            <w:vAlign w:val="center"/>
          </w:tcPr>
          <w:p>
            <w:pPr>
              <w:widowControl/>
              <w:snapToGrid w:val="0"/>
              <w:jc w:val="left"/>
              <w:rPr>
                <w:rFonts w:ascii="宋体"/>
                <w:color w:val="auto"/>
                <w:kern w:val="0"/>
                <w:highlight w:val="none"/>
              </w:rPr>
            </w:pPr>
            <w:r>
              <w:rPr>
                <w:rFonts w:ascii="宋体"/>
                <w:color w:val="auto"/>
                <w:kern w:val="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1963" w:type="dxa"/>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3441" w:type="dxa"/>
            <w:gridSpan w:val="2"/>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998" w:type="dxa"/>
            <w:gridSpan w:val="2"/>
            <w:vAlign w:val="center"/>
          </w:tcPr>
          <w:p>
            <w:pPr>
              <w:widowControl/>
              <w:snapToGrid w:val="0"/>
              <w:jc w:val="left"/>
              <w:rPr>
                <w:rFonts w:ascii="宋体"/>
                <w:color w:val="auto"/>
                <w:kern w:val="0"/>
                <w:highlight w:val="none"/>
              </w:rPr>
            </w:pPr>
            <w:r>
              <w:rPr>
                <w:rFonts w:ascii="宋体"/>
                <w:color w:val="auto"/>
                <w:kern w:val="0"/>
                <w:highlight w:val="none"/>
              </w:rPr>
              <w:t> </w:t>
            </w:r>
          </w:p>
        </w:tc>
        <w:tc>
          <w:tcPr>
            <w:tcW w:w="1779" w:type="dxa"/>
            <w:vAlign w:val="center"/>
          </w:tcPr>
          <w:p>
            <w:pPr>
              <w:widowControl/>
              <w:snapToGrid w:val="0"/>
              <w:jc w:val="left"/>
              <w:rPr>
                <w:rFonts w:ascii="宋体"/>
                <w:color w:val="auto"/>
                <w:kern w:val="0"/>
                <w:highlight w:val="none"/>
              </w:rPr>
            </w:pPr>
            <w:r>
              <w:rPr>
                <w:rFonts w:ascii="宋体"/>
                <w:color w:val="auto"/>
                <w:kern w:val="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1963" w:type="dxa"/>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3441" w:type="dxa"/>
            <w:gridSpan w:val="2"/>
            <w:vAlign w:val="center"/>
          </w:tcPr>
          <w:p>
            <w:pPr>
              <w:widowControl/>
              <w:snapToGrid w:val="0"/>
              <w:ind w:left="-3" w:firstLine="576"/>
              <w:jc w:val="left"/>
              <w:rPr>
                <w:rFonts w:ascii="宋体"/>
                <w:color w:val="auto"/>
                <w:kern w:val="0"/>
                <w:highlight w:val="none"/>
              </w:rPr>
            </w:pPr>
            <w:r>
              <w:rPr>
                <w:rFonts w:ascii="宋体"/>
                <w:color w:val="auto"/>
                <w:kern w:val="0"/>
                <w:highlight w:val="none"/>
              </w:rPr>
              <w:t> </w:t>
            </w:r>
          </w:p>
        </w:tc>
        <w:tc>
          <w:tcPr>
            <w:tcW w:w="998" w:type="dxa"/>
            <w:gridSpan w:val="2"/>
            <w:vAlign w:val="center"/>
          </w:tcPr>
          <w:p>
            <w:pPr>
              <w:widowControl/>
              <w:snapToGrid w:val="0"/>
              <w:jc w:val="left"/>
              <w:rPr>
                <w:rFonts w:ascii="宋体"/>
                <w:color w:val="auto"/>
                <w:kern w:val="0"/>
                <w:highlight w:val="none"/>
              </w:rPr>
            </w:pPr>
            <w:r>
              <w:rPr>
                <w:rFonts w:ascii="宋体"/>
                <w:color w:val="auto"/>
                <w:kern w:val="0"/>
                <w:highlight w:val="none"/>
              </w:rPr>
              <w:t> </w:t>
            </w:r>
          </w:p>
        </w:tc>
        <w:tc>
          <w:tcPr>
            <w:tcW w:w="1779" w:type="dxa"/>
            <w:vAlign w:val="center"/>
          </w:tcPr>
          <w:p>
            <w:pPr>
              <w:widowControl/>
              <w:snapToGrid w:val="0"/>
              <w:jc w:val="left"/>
              <w:rPr>
                <w:rFonts w:ascii="宋体"/>
                <w:color w:val="auto"/>
                <w:kern w:val="0"/>
                <w:highlight w:val="none"/>
              </w:rPr>
            </w:pPr>
            <w:r>
              <w:rPr>
                <w:rFonts w:ascii="宋体"/>
                <w:color w:val="auto"/>
                <w:kern w:val="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highlight w:val="none"/>
              </w:rPr>
            </w:pPr>
          </w:p>
        </w:tc>
        <w:tc>
          <w:tcPr>
            <w:tcW w:w="1963" w:type="dxa"/>
            <w:vAlign w:val="center"/>
          </w:tcPr>
          <w:p>
            <w:pPr>
              <w:widowControl/>
              <w:snapToGrid w:val="0"/>
              <w:ind w:left="-3" w:firstLine="576"/>
              <w:jc w:val="left"/>
              <w:rPr>
                <w:rFonts w:ascii="宋体"/>
                <w:color w:val="auto"/>
                <w:kern w:val="0"/>
                <w:highlight w:val="none"/>
              </w:rPr>
            </w:pPr>
          </w:p>
        </w:tc>
        <w:tc>
          <w:tcPr>
            <w:tcW w:w="3441" w:type="dxa"/>
            <w:gridSpan w:val="2"/>
            <w:vAlign w:val="center"/>
          </w:tcPr>
          <w:p>
            <w:pPr>
              <w:widowControl/>
              <w:snapToGrid w:val="0"/>
              <w:ind w:left="-3" w:firstLine="576"/>
              <w:jc w:val="left"/>
              <w:rPr>
                <w:rFonts w:ascii="宋体"/>
                <w:color w:val="auto"/>
                <w:kern w:val="0"/>
                <w:highlight w:val="none"/>
              </w:rPr>
            </w:pPr>
          </w:p>
        </w:tc>
        <w:tc>
          <w:tcPr>
            <w:tcW w:w="998" w:type="dxa"/>
            <w:gridSpan w:val="2"/>
            <w:vAlign w:val="center"/>
          </w:tcPr>
          <w:p>
            <w:pPr>
              <w:widowControl/>
              <w:snapToGrid w:val="0"/>
              <w:jc w:val="left"/>
              <w:rPr>
                <w:rFonts w:ascii="宋体"/>
                <w:color w:val="auto"/>
                <w:kern w:val="0"/>
                <w:highlight w:val="none"/>
              </w:rPr>
            </w:pPr>
          </w:p>
        </w:tc>
        <w:tc>
          <w:tcPr>
            <w:tcW w:w="1779" w:type="dxa"/>
            <w:vAlign w:val="center"/>
          </w:tcPr>
          <w:p>
            <w:pPr>
              <w:widowControl/>
              <w:snapToGrid w:val="0"/>
              <w:jc w:val="left"/>
              <w:rPr>
                <w:rFonts w:ascii="宋体"/>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highlight w:val="none"/>
              </w:rPr>
            </w:pPr>
          </w:p>
        </w:tc>
        <w:tc>
          <w:tcPr>
            <w:tcW w:w="1963" w:type="dxa"/>
            <w:vAlign w:val="center"/>
          </w:tcPr>
          <w:p>
            <w:pPr>
              <w:widowControl/>
              <w:snapToGrid w:val="0"/>
              <w:ind w:left="-3" w:firstLine="576"/>
              <w:jc w:val="left"/>
              <w:rPr>
                <w:rFonts w:ascii="宋体"/>
                <w:color w:val="auto"/>
                <w:kern w:val="0"/>
                <w:highlight w:val="none"/>
              </w:rPr>
            </w:pPr>
          </w:p>
        </w:tc>
        <w:tc>
          <w:tcPr>
            <w:tcW w:w="3441" w:type="dxa"/>
            <w:gridSpan w:val="2"/>
            <w:vAlign w:val="center"/>
          </w:tcPr>
          <w:p>
            <w:pPr>
              <w:widowControl/>
              <w:snapToGrid w:val="0"/>
              <w:ind w:left="-3" w:firstLine="576"/>
              <w:jc w:val="left"/>
              <w:rPr>
                <w:rFonts w:ascii="宋体"/>
                <w:color w:val="auto"/>
                <w:kern w:val="0"/>
                <w:highlight w:val="none"/>
              </w:rPr>
            </w:pPr>
          </w:p>
        </w:tc>
        <w:tc>
          <w:tcPr>
            <w:tcW w:w="998" w:type="dxa"/>
            <w:gridSpan w:val="2"/>
            <w:vAlign w:val="center"/>
          </w:tcPr>
          <w:p>
            <w:pPr>
              <w:widowControl/>
              <w:snapToGrid w:val="0"/>
              <w:jc w:val="left"/>
              <w:rPr>
                <w:rFonts w:ascii="宋体"/>
                <w:color w:val="auto"/>
                <w:kern w:val="0"/>
                <w:highlight w:val="none"/>
              </w:rPr>
            </w:pPr>
          </w:p>
        </w:tc>
        <w:tc>
          <w:tcPr>
            <w:tcW w:w="1779" w:type="dxa"/>
            <w:vAlign w:val="center"/>
          </w:tcPr>
          <w:p>
            <w:pPr>
              <w:widowControl/>
              <w:snapToGrid w:val="0"/>
              <w:jc w:val="left"/>
              <w:rPr>
                <w:rFonts w:ascii="宋体"/>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color w:val="auto"/>
                <w:kern w:val="0"/>
                <w:highlight w:val="none"/>
              </w:rPr>
            </w:pPr>
          </w:p>
        </w:tc>
        <w:tc>
          <w:tcPr>
            <w:tcW w:w="1963" w:type="dxa"/>
            <w:vAlign w:val="center"/>
          </w:tcPr>
          <w:p>
            <w:pPr>
              <w:widowControl/>
              <w:snapToGrid w:val="0"/>
              <w:ind w:left="-3" w:firstLine="576"/>
              <w:jc w:val="left"/>
              <w:rPr>
                <w:rFonts w:ascii="宋体"/>
                <w:color w:val="auto"/>
                <w:kern w:val="0"/>
                <w:highlight w:val="none"/>
              </w:rPr>
            </w:pPr>
          </w:p>
        </w:tc>
        <w:tc>
          <w:tcPr>
            <w:tcW w:w="3441" w:type="dxa"/>
            <w:gridSpan w:val="2"/>
            <w:vAlign w:val="center"/>
          </w:tcPr>
          <w:p>
            <w:pPr>
              <w:widowControl/>
              <w:snapToGrid w:val="0"/>
              <w:ind w:left="-3" w:firstLine="576"/>
              <w:jc w:val="left"/>
              <w:rPr>
                <w:rFonts w:ascii="宋体"/>
                <w:color w:val="auto"/>
                <w:kern w:val="0"/>
                <w:highlight w:val="none"/>
              </w:rPr>
            </w:pPr>
          </w:p>
        </w:tc>
        <w:tc>
          <w:tcPr>
            <w:tcW w:w="998" w:type="dxa"/>
            <w:gridSpan w:val="2"/>
            <w:vAlign w:val="center"/>
          </w:tcPr>
          <w:p>
            <w:pPr>
              <w:widowControl/>
              <w:snapToGrid w:val="0"/>
              <w:jc w:val="left"/>
              <w:rPr>
                <w:rFonts w:ascii="宋体"/>
                <w:color w:val="auto"/>
                <w:kern w:val="0"/>
                <w:highlight w:val="none"/>
              </w:rPr>
            </w:pPr>
          </w:p>
        </w:tc>
        <w:tc>
          <w:tcPr>
            <w:tcW w:w="1779" w:type="dxa"/>
            <w:vAlign w:val="center"/>
          </w:tcPr>
          <w:p>
            <w:pPr>
              <w:widowControl/>
              <w:snapToGrid w:val="0"/>
              <w:jc w:val="left"/>
              <w:rPr>
                <w:rFonts w:ascii="宋体"/>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color w:val="auto"/>
                <w:kern w:val="0"/>
                <w:highlight w:val="none"/>
              </w:rPr>
            </w:pPr>
            <w:r>
              <w:rPr>
                <w:rFonts w:hint="eastAsia" w:ascii="宋体" w:hAnsi="宋体" w:cs="宋体"/>
                <w:color w:val="auto"/>
                <w:kern w:val="0"/>
                <w:highlight w:val="none"/>
              </w:rPr>
              <w:t>实际供货日期</w:t>
            </w:r>
          </w:p>
        </w:tc>
        <w:tc>
          <w:tcPr>
            <w:tcW w:w="3542" w:type="dxa"/>
            <w:gridSpan w:val="2"/>
            <w:vAlign w:val="center"/>
          </w:tcPr>
          <w:p>
            <w:pPr>
              <w:snapToGrid w:val="0"/>
              <w:jc w:val="left"/>
              <w:rPr>
                <w:rFonts w:ascii="宋体"/>
                <w:color w:val="auto"/>
                <w:kern w:val="0"/>
                <w:highlight w:val="none"/>
              </w:rPr>
            </w:pPr>
          </w:p>
        </w:tc>
        <w:tc>
          <w:tcPr>
            <w:tcW w:w="2522" w:type="dxa"/>
            <w:gridSpan w:val="2"/>
            <w:vAlign w:val="center"/>
          </w:tcPr>
          <w:p>
            <w:pPr>
              <w:snapToGrid w:val="0"/>
              <w:ind w:left="590"/>
              <w:jc w:val="left"/>
              <w:rPr>
                <w:rFonts w:ascii="宋体"/>
                <w:color w:val="auto"/>
                <w:kern w:val="0"/>
                <w:highlight w:val="none"/>
              </w:rPr>
            </w:pPr>
            <w:r>
              <w:rPr>
                <w:rFonts w:hint="eastAsia" w:ascii="宋体" w:hAnsi="宋体" w:cs="宋体"/>
                <w:color w:val="auto"/>
                <w:kern w:val="0"/>
                <w:highlight w:val="none"/>
              </w:rPr>
              <w:t>合同交货验收日期</w:t>
            </w:r>
          </w:p>
        </w:tc>
        <w:tc>
          <w:tcPr>
            <w:tcW w:w="2117" w:type="dxa"/>
            <w:gridSpan w:val="2"/>
            <w:vAlign w:val="center"/>
          </w:tcPr>
          <w:p>
            <w:pPr>
              <w:snapToGrid w:val="0"/>
              <w:jc w:val="left"/>
              <w:rPr>
                <w:rFonts w:ascii="宋体"/>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color w:val="auto"/>
                <w:kern w:val="0"/>
                <w:highlight w:val="none"/>
              </w:rPr>
            </w:pPr>
            <w:r>
              <w:rPr>
                <w:rFonts w:hint="eastAsia" w:ascii="宋体" w:hAnsi="宋体" w:cs="宋体"/>
                <w:color w:val="auto"/>
                <w:kern w:val="0"/>
                <w:highlight w:val="none"/>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color w:val="auto"/>
                <w:kern w:val="0"/>
                <w:highlight w:val="none"/>
              </w:rPr>
            </w:pPr>
            <w:r>
              <w:rPr>
                <w:rFonts w:ascii="宋体"/>
                <w:color w:val="auto"/>
                <w:kern w:val="0"/>
                <w:highlight w:val="none"/>
              </w:rPr>
              <w:t> </w:t>
            </w:r>
            <w:r>
              <w:rPr>
                <w:rFonts w:ascii="宋体" w:hAnsi="宋体" w:cs="宋体"/>
                <w:color w:val="auto"/>
                <w:kern w:val="0"/>
                <w:highlight w:val="none"/>
              </w:rPr>
              <w:t>(</w:t>
            </w:r>
            <w:r>
              <w:rPr>
                <w:rFonts w:hint="eastAsia" w:ascii="宋体" w:hAnsi="宋体" w:cs="宋体"/>
                <w:color w:val="auto"/>
                <w:kern w:val="0"/>
                <w:highlight w:val="none"/>
              </w:rPr>
              <w:t>按招标采购文件及验收方案等。可附件</w:t>
            </w:r>
            <w:r>
              <w:rPr>
                <w:rFonts w:ascii="宋体" w:hAnsi="宋体" w:cs="宋体"/>
                <w:color w:val="auto"/>
                <w:kern w:val="0"/>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color w:val="auto"/>
                <w:kern w:val="0"/>
                <w:highlight w:val="none"/>
              </w:rPr>
            </w:pPr>
            <w:r>
              <w:rPr>
                <w:rFonts w:hint="eastAsia" w:ascii="宋体" w:hAnsi="宋体" w:cs="宋体"/>
                <w:color w:val="auto"/>
                <w:kern w:val="0"/>
                <w:highlight w:val="none"/>
              </w:rPr>
              <w:t>验收小组意见</w:t>
            </w:r>
          </w:p>
        </w:tc>
        <w:tc>
          <w:tcPr>
            <w:tcW w:w="8181" w:type="dxa"/>
            <w:gridSpan w:val="6"/>
            <w:vAlign w:val="center"/>
          </w:tcPr>
          <w:p>
            <w:pPr>
              <w:widowControl/>
              <w:jc w:val="left"/>
              <w:rPr>
                <w:rFonts w:ascii="宋体"/>
                <w:color w:val="auto"/>
                <w:kern w:val="0"/>
                <w:highlight w:val="none"/>
              </w:rPr>
            </w:pPr>
            <w:r>
              <w:rPr>
                <w:rFonts w:ascii="宋体"/>
                <w:color w:val="auto"/>
                <w:kern w:val="0"/>
                <w:highlight w:val="none"/>
              </w:rPr>
              <w:t> </w:t>
            </w:r>
          </w:p>
          <w:p>
            <w:pPr>
              <w:widowControl/>
              <w:jc w:val="left"/>
              <w:rPr>
                <w:rFonts w:ascii="宋体"/>
                <w:color w:val="auto"/>
                <w:kern w:val="0"/>
                <w:highlight w:val="none"/>
              </w:rPr>
            </w:pPr>
            <w:r>
              <w:rPr>
                <w:rFonts w:ascii="宋体"/>
                <w:color w:val="auto"/>
                <w:kern w:val="0"/>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color w:val="auto"/>
                <w:kern w:val="0"/>
                <w:highlight w:val="none"/>
              </w:rPr>
            </w:pPr>
            <w:r>
              <w:rPr>
                <w:rFonts w:hint="eastAsia" w:ascii="宋体" w:hAnsi="宋体" w:cs="宋体"/>
                <w:color w:val="auto"/>
                <w:kern w:val="0"/>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color w:val="auto"/>
                <w:kern w:val="0"/>
                <w:highlight w:val="none"/>
              </w:rPr>
            </w:pPr>
            <w:r>
              <w:rPr>
                <w:rFonts w:hint="eastAsia" w:ascii="宋体" w:hAnsi="宋体" w:cs="宋体"/>
                <w:color w:val="auto"/>
                <w:kern w:val="0"/>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color w:val="auto"/>
                <w:kern w:val="0"/>
                <w:highlight w:val="none"/>
              </w:rPr>
            </w:pPr>
            <w:r>
              <w:rPr>
                <w:rFonts w:hint="eastAsia" w:ascii="宋体" w:hAnsi="宋体" w:cs="宋体"/>
                <w:color w:val="auto"/>
                <w:kern w:val="0"/>
                <w:highlight w:val="none"/>
              </w:rPr>
              <w:t>供应商签字或盖章：</w:t>
            </w:r>
          </w:p>
          <w:p>
            <w:pPr>
              <w:widowControl/>
              <w:jc w:val="left"/>
              <w:rPr>
                <w:rFonts w:ascii="宋体"/>
                <w:color w:val="auto"/>
                <w:kern w:val="0"/>
                <w:highlight w:val="none"/>
              </w:rPr>
            </w:pPr>
            <w:r>
              <w:rPr>
                <w:rFonts w:hint="eastAsia" w:ascii="宋体" w:hAnsi="宋体" w:cs="宋体"/>
                <w:color w:val="auto"/>
                <w:kern w:val="0"/>
                <w:highlight w:val="none"/>
              </w:rPr>
              <w:t>联系方式：</w:t>
            </w:r>
            <w:r>
              <w:rPr>
                <w:rFonts w:ascii="宋体"/>
                <w:color w:val="auto"/>
                <w:kern w:val="0"/>
                <w:highlight w:val="none"/>
              </w:rPr>
              <w:t>      </w:t>
            </w:r>
            <w:r>
              <w:rPr>
                <w:rFonts w:ascii="宋体" w:hAnsi="宋体" w:cs="宋体"/>
                <w:color w:val="auto"/>
                <w:kern w:val="0"/>
                <w:highlight w:val="none"/>
              </w:rPr>
              <w:t xml:space="preserve">   </w:t>
            </w:r>
            <w:r>
              <w:rPr>
                <w:rFonts w:hint="eastAsia" w:ascii="宋体" w:hAnsi="宋体" w:cs="宋体"/>
                <w:color w:val="auto"/>
                <w:kern w:val="0"/>
                <w:highlight w:val="none"/>
              </w:rPr>
              <w:t>年</w:t>
            </w:r>
            <w:r>
              <w:rPr>
                <w:rFonts w:ascii="宋体"/>
                <w:color w:val="auto"/>
                <w:kern w:val="0"/>
                <w:highlight w:val="none"/>
              </w:rPr>
              <w:t> </w:t>
            </w:r>
            <w:r>
              <w:rPr>
                <w:rFonts w:hint="eastAsia" w:ascii="宋体" w:hAnsi="宋体" w:cs="宋体"/>
                <w:color w:val="auto"/>
                <w:kern w:val="0"/>
                <w:highlight w:val="none"/>
              </w:rPr>
              <w:t>月</w:t>
            </w:r>
            <w:r>
              <w:rPr>
                <w:rFonts w:ascii="宋体"/>
                <w:color w:val="auto"/>
                <w:kern w:val="0"/>
                <w:highlight w:val="none"/>
              </w:rPr>
              <w:t> </w:t>
            </w:r>
            <w:r>
              <w:rPr>
                <w:rFonts w:hint="eastAsia" w:ascii="宋体" w:hAnsi="宋体" w:cs="宋体"/>
                <w:color w:val="auto"/>
                <w:kern w:val="0"/>
                <w:highlight w:val="none"/>
              </w:rPr>
              <w:t>日</w:t>
            </w:r>
          </w:p>
        </w:tc>
        <w:tc>
          <w:tcPr>
            <w:tcW w:w="4639" w:type="dxa"/>
            <w:gridSpan w:val="4"/>
            <w:vAlign w:val="center"/>
          </w:tcPr>
          <w:p>
            <w:pPr>
              <w:widowControl/>
              <w:jc w:val="left"/>
              <w:rPr>
                <w:rFonts w:ascii="宋体"/>
                <w:color w:val="auto"/>
                <w:kern w:val="0"/>
                <w:highlight w:val="none"/>
              </w:rPr>
            </w:pPr>
            <w:r>
              <w:rPr>
                <w:rFonts w:ascii="宋体"/>
                <w:color w:val="auto"/>
                <w:kern w:val="0"/>
                <w:highlight w:val="none"/>
              </w:rPr>
              <w:t> </w:t>
            </w:r>
            <w:r>
              <w:rPr>
                <w:rFonts w:hint="eastAsia" w:ascii="宋体" w:hAnsi="宋体" w:cs="宋体"/>
                <w:color w:val="auto"/>
                <w:kern w:val="0"/>
                <w:highlight w:val="none"/>
              </w:rPr>
              <w:t>采购单位盖章：</w:t>
            </w:r>
          </w:p>
          <w:p>
            <w:pPr>
              <w:widowControl/>
              <w:ind w:firstLine="2119"/>
              <w:jc w:val="left"/>
              <w:rPr>
                <w:rFonts w:ascii="宋体"/>
                <w:color w:val="auto"/>
                <w:kern w:val="0"/>
                <w:highlight w:val="none"/>
              </w:rPr>
            </w:pPr>
            <w:r>
              <w:rPr>
                <w:rFonts w:hint="eastAsia" w:ascii="宋体" w:hAnsi="宋体" w:cs="宋体"/>
                <w:color w:val="auto"/>
                <w:kern w:val="0"/>
                <w:highlight w:val="none"/>
              </w:rPr>
              <w:t>年</w:t>
            </w:r>
            <w:r>
              <w:rPr>
                <w:rFonts w:ascii="宋体"/>
                <w:color w:val="auto"/>
                <w:kern w:val="0"/>
                <w:highlight w:val="none"/>
              </w:rPr>
              <w:t> </w:t>
            </w:r>
            <w:r>
              <w:rPr>
                <w:rFonts w:hint="eastAsia" w:ascii="宋体" w:hAnsi="宋体" w:cs="宋体"/>
                <w:color w:val="auto"/>
                <w:kern w:val="0"/>
                <w:highlight w:val="none"/>
              </w:rPr>
              <w:t>月</w:t>
            </w:r>
            <w:r>
              <w:rPr>
                <w:rFonts w:ascii="宋体"/>
                <w:color w:val="auto"/>
                <w:kern w:val="0"/>
                <w:highlight w:val="none"/>
              </w:rPr>
              <w:t> </w:t>
            </w:r>
            <w:r>
              <w:rPr>
                <w:rFonts w:hint="eastAsia" w:ascii="宋体" w:hAnsi="宋体" w:cs="宋体"/>
                <w:color w:val="auto"/>
                <w:kern w:val="0"/>
                <w:highlight w:val="none"/>
              </w:rPr>
              <w:t>日</w:t>
            </w:r>
          </w:p>
        </w:tc>
      </w:tr>
    </w:tbl>
    <w:p>
      <w:pPr>
        <w:widowControl/>
        <w:jc w:val="left"/>
        <w:rPr>
          <w:rFonts w:ascii="宋体"/>
          <w:color w:val="auto"/>
          <w:kern w:val="0"/>
          <w:highlight w:val="none"/>
        </w:rPr>
      </w:pPr>
      <w:r>
        <w:rPr>
          <w:rFonts w:hint="eastAsia" w:ascii="宋体" w:hAnsi="宋体" w:cs="宋体"/>
          <w:color w:val="auto"/>
          <w:spacing w:val="-20"/>
          <w:kern w:val="0"/>
          <w:highlight w:val="none"/>
        </w:rPr>
        <w:t>备注：本报告单一式</w:t>
      </w:r>
      <w:r>
        <w:rPr>
          <w:rFonts w:ascii="宋体" w:hAnsi="宋体" w:cs="宋体"/>
          <w:color w:val="auto"/>
          <w:spacing w:val="-20"/>
          <w:kern w:val="0"/>
          <w:highlight w:val="none"/>
        </w:rPr>
        <w:t xml:space="preserve"> 4 </w:t>
      </w:r>
      <w:r>
        <w:rPr>
          <w:rFonts w:hint="eastAsia" w:ascii="宋体" w:hAnsi="宋体" w:cs="宋体"/>
          <w:color w:val="auto"/>
          <w:spacing w:val="-20"/>
          <w:kern w:val="0"/>
          <w:highlight w:val="none"/>
        </w:rPr>
        <w:t>份（采购单位</w:t>
      </w:r>
      <w:r>
        <w:rPr>
          <w:rFonts w:ascii="宋体" w:hAnsi="宋体" w:cs="宋体"/>
          <w:color w:val="auto"/>
          <w:spacing w:val="-20"/>
          <w:kern w:val="0"/>
          <w:highlight w:val="none"/>
        </w:rPr>
        <w:t xml:space="preserve"> 1 </w:t>
      </w:r>
      <w:r>
        <w:rPr>
          <w:rFonts w:hint="eastAsia" w:ascii="宋体" w:hAnsi="宋体" w:cs="宋体"/>
          <w:color w:val="auto"/>
          <w:spacing w:val="-20"/>
          <w:kern w:val="0"/>
          <w:highlight w:val="none"/>
        </w:rPr>
        <w:t>份、供应商</w:t>
      </w:r>
      <w:r>
        <w:rPr>
          <w:rFonts w:ascii="宋体" w:hAnsi="宋体" w:cs="宋体"/>
          <w:color w:val="auto"/>
          <w:spacing w:val="-20"/>
          <w:kern w:val="0"/>
          <w:highlight w:val="none"/>
        </w:rPr>
        <w:t xml:space="preserve"> 1 </w:t>
      </w:r>
      <w:r>
        <w:rPr>
          <w:rFonts w:hint="eastAsia" w:ascii="宋体" w:hAnsi="宋体" w:cs="宋体"/>
          <w:color w:val="auto"/>
          <w:spacing w:val="-20"/>
          <w:kern w:val="0"/>
          <w:highlight w:val="none"/>
        </w:rPr>
        <w:t>份、采购监督部门备案</w:t>
      </w:r>
      <w:r>
        <w:rPr>
          <w:rFonts w:ascii="宋体" w:hAnsi="宋体" w:cs="宋体"/>
          <w:color w:val="auto"/>
          <w:spacing w:val="-20"/>
          <w:kern w:val="0"/>
          <w:highlight w:val="none"/>
        </w:rPr>
        <w:t xml:space="preserve"> 1 </w:t>
      </w:r>
      <w:r>
        <w:rPr>
          <w:rFonts w:hint="eastAsia" w:ascii="宋体" w:hAnsi="宋体" w:cs="宋体"/>
          <w:color w:val="auto"/>
          <w:spacing w:val="-20"/>
          <w:kern w:val="0"/>
          <w:highlight w:val="none"/>
        </w:rPr>
        <w:t>份、采购代理机构</w:t>
      </w:r>
      <w:r>
        <w:rPr>
          <w:rFonts w:ascii="宋体" w:hAnsi="宋体" w:cs="宋体"/>
          <w:color w:val="auto"/>
          <w:spacing w:val="-20"/>
          <w:kern w:val="0"/>
          <w:highlight w:val="none"/>
        </w:rPr>
        <w:t xml:space="preserve"> 1 </w:t>
      </w:r>
      <w:r>
        <w:rPr>
          <w:rFonts w:hint="eastAsia" w:ascii="宋体" w:hAnsi="宋体" w:cs="宋体"/>
          <w:color w:val="auto"/>
          <w:spacing w:val="-20"/>
          <w:kern w:val="0"/>
          <w:highlight w:val="none"/>
        </w:rPr>
        <w:t>份</w:t>
      </w:r>
      <w:r>
        <w:rPr>
          <w:rFonts w:hint="eastAsia" w:ascii="宋体" w:hAnsi="宋体" w:cs="宋体"/>
          <w:color w:val="auto"/>
          <w:kern w:val="0"/>
          <w:highlight w:val="none"/>
        </w:rPr>
        <w:t>）。</w:t>
      </w:r>
    </w:p>
    <w:p>
      <w:pPr>
        <w:jc w:val="left"/>
        <w:rPr>
          <w:rFonts w:ascii="宋体"/>
          <w:color w:val="auto"/>
          <w:sz w:val="24"/>
          <w:szCs w:val="24"/>
          <w:highlight w:val="none"/>
        </w:rPr>
      </w:pPr>
    </w:p>
    <w:p>
      <w:pPr>
        <w:pStyle w:val="24"/>
        <w:tabs>
          <w:tab w:val="left" w:pos="2472"/>
        </w:tabs>
        <w:snapToGrid w:val="0"/>
        <w:jc w:val="center"/>
        <w:rPr>
          <w:rFonts w:hAnsi="宋体" w:cs="Times New Roman"/>
          <w:color w:val="auto"/>
          <w:highlight w:val="none"/>
        </w:rPr>
        <w:sectPr>
          <w:footerReference r:id="rId4" w:type="first"/>
          <w:footerReference r:id="rId3" w:type="default"/>
          <w:pgSz w:w="11900" w:h="16840"/>
          <w:pgMar w:top="1418" w:right="1418" w:bottom="1418" w:left="1418" w:header="851" w:footer="992" w:gutter="0"/>
          <w:cols w:space="720" w:num="1"/>
          <w:titlePg/>
          <w:docGrid w:linePitch="312" w:charSpace="0"/>
        </w:sectPr>
      </w:pPr>
    </w:p>
    <w:p>
      <w:pPr>
        <w:pStyle w:val="24"/>
        <w:tabs>
          <w:tab w:val="left" w:pos="2472"/>
        </w:tabs>
        <w:snapToGrid w:val="0"/>
        <w:jc w:val="center"/>
        <w:rPr>
          <w:rFonts w:hAnsi="宋体" w:cs="Times New Roman"/>
          <w:color w:val="auto"/>
          <w:highlight w:val="none"/>
        </w:rPr>
      </w:pPr>
    </w:p>
    <w:p>
      <w:pPr>
        <w:pStyle w:val="24"/>
        <w:tabs>
          <w:tab w:val="left" w:pos="2472"/>
        </w:tabs>
        <w:snapToGrid w:val="0"/>
        <w:jc w:val="center"/>
        <w:rPr>
          <w:rFonts w:hAnsi="宋体" w:cs="Times New Roman"/>
          <w:color w:val="auto"/>
          <w:highlight w:val="none"/>
        </w:rPr>
      </w:pPr>
    </w:p>
    <w:p>
      <w:pPr>
        <w:pStyle w:val="24"/>
        <w:tabs>
          <w:tab w:val="left" w:pos="2472"/>
        </w:tabs>
        <w:snapToGrid w:val="0"/>
        <w:jc w:val="center"/>
        <w:outlineLvl w:val="0"/>
        <w:rPr>
          <w:rFonts w:hAnsi="宋体" w:cs="Times New Roman"/>
          <w:b/>
          <w:bCs/>
          <w:color w:val="auto"/>
          <w:sz w:val="44"/>
          <w:szCs w:val="44"/>
          <w:highlight w:val="none"/>
        </w:rPr>
      </w:pPr>
    </w:p>
    <w:p>
      <w:pPr>
        <w:pStyle w:val="24"/>
        <w:tabs>
          <w:tab w:val="left" w:pos="2472"/>
        </w:tabs>
        <w:snapToGrid w:val="0"/>
        <w:jc w:val="center"/>
        <w:outlineLvl w:val="0"/>
        <w:rPr>
          <w:rFonts w:hAnsi="宋体" w:cs="Times New Roman"/>
          <w:b/>
          <w:bCs/>
          <w:color w:val="auto"/>
          <w:sz w:val="44"/>
          <w:szCs w:val="44"/>
          <w:highlight w:val="none"/>
        </w:rPr>
      </w:pPr>
    </w:p>
    <w:p>
      <w:pPr>
        <w:pStyle w:val="24"/>
        <w:tabs>
          <w:tab w:val="left" w:pos="2472"/>
        </w:tabs>
        <w:snapToGrid w:val="0"/>
        <w:jc w:val="center"/>
        <w:outlineLvl w:val="0"/>
        <w:rPr>
          <w:rFonts w:hAnsi="宋体" w:cs="Times New Roman"/>
          <w:b/>
          <w:bCs/>
          <w:color w:val="auto"/>
          <w:sz w:val="44"/>
          <w:szCs w:val="44"/>
          <w:highlight w:val="none"/>
        </w:rPr>
      </w:pPr>
      <w:bookmarkStart w:id="121" w:name="_Toc26296"/>
      <w:bookmarkStart w:id="122" w:name="_Toc30020"/>
      <w:r>
        <w:rPr>
          <w:rFonts w:hint="eastAsia" w:hAnsi="宋体"/>
          <w:b/>
          <w:bCs/>
          <w:color w:val="auto"/>
          <w:sz w:val="44"/>
          <w:szCs w:val="44"/>
          <w:highlight w:val="none"/>
        </w:rPr>
        <w:t>第六章投标文件格式</w:t>
      </w:r>
      <w:bookmarkEnd w:id="121"/>
      <w:bookmarkEnd w:id="122"/>
    </w:p>
    <w:p>
      <w:pPr>
        <w:snapToGrid w:val="0"/>
        <w:rPr>
          <w:rFonts w:ascii="宋体"/>
          <w:b/>
          <w:bCs/>
          <w:color w:val="auto"/>
          <w:sz w:val="24"/>
          <w:szCs w:val="24"/>
          <w:highlight w:val="none"/>
        </w:rPr>
      </w:pPr>
      <w:r>
        <w:rPr>
          <w:rFonts w:ascii="宋体"/>
          <w:color w:val="auto"/>
          <w:highlight w:val="none"/>
        </w:rPr>
        <w:br w:type="page"/>
      </w:r>
      <w:r>
        <w:rPr>
          <w:rFonts w:hint="eastAsia" w:ascii="宋体" w:hAnsi="宋体" w:cs="宋体"/>
          <w:b/>
          <w:bCs/>
          <w:color w:val="auto"/>
          <w:sz w:val="24"/>
          <w:szCs w:val="24"/>
          <w:highlight w:val="none"/>
        </w:rPr>
        <w:t>开标一览表信封封面格式（可以手写，密封）：</w:t>
      </w:r>
    </w:p>
    <w:p>
      <w:pPr>
        <w:snapToGrid w:val="0"/>
        <w:rPr>
          <w:rFonts w:ascii="宋体"/>
          <w:color w:val="auto"/>
          <w:sz w:val="24"/>
          <w:szCs w:val="24"/>
          <w:highlight w:val="none"/>
        </w:rPr>
      </w:pPr>
    </w:p>
    <w:p>
      <w:pPr>
        <w:snapToGrid w:val="0"/>
        <w:rPr>
          <w:rFonts w:ascii="宋体"/>
          <w:color w:val="auto"/>
          <w:sz w:val="24"/>
          <w:szCs w:val="24"/>
          <w:highlight w:val="none"/>
        </w:rPr>
      </w:pPr>
    </w:p>
    <w:p>
      <w:pPr>
        <w:pStyle w:val="24"/>
        <w:snapToGrid w:val="0"/>
        <w:jc w:val="center"/>
        <w:rPr>
          <w:rFonts w:hAnsi="宋体" w:cs="Times New Roman"/>
          <w:color w:val="auto"/>
          <w:sz w:val="24"/>
          <w:szCs w:val="24"/>
          <w:highlight w:val="none"/>
        </w:rPr>
      </w:pPr>
      <w:r>
        <w:rPr>
          <w:rFonts w:hint="eastAsia" w:hAnsi="宋体"/>
          <w:color w:val="auto"/>
          <w:sz w:val="24"/>
          <w:szCs w:val="24"/>
          <w:highlight w:val="none"/>
        </w:rPr>
        <w:t>开标一览表</w:t>
      </w:r>
    </w:p>
    <w:p>
      <w:pPr>
        <w:snapToGrid w:val="0"/>
        <w:rPr>
          <w:rFonts w:ascii="宋体"/>
          <w:color w:val="auto"/>
          <w:sz w:val="24"/>
          <w:szCs w:val="24"/>
          <w:highlight w:val="none"/>
        </w:rPr>
      </w:pPr>
    </w:p>
    <w:p>
      <w:pPr>
        <w:snapToGrid w:val="0"/>
        <w:rPr>
          <w:rFonts w:ascii="宋体"/>
          <w:color w:val="auto"/>
          <w:sz w:val="24"/>
          <w:szCs w:val="24"/>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项目名称：</w:t>
      </w:r>
    </w:p>
    <w:p>
      <w:pPr>
        <w:snapToGrid w:val="0"/>
        <w:rPr>
          <w:rFonts w:ascii="宋体"/>
          <w:color w:val="auto"/>
          <w:sz w:val="24"/>
          <w:szCs w:val="24"/>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项目编号：</w:t>
      </w:r>
    </w:p>
    <w:p>
      <w:pPr>
        <w:snapToGrid w:val="0"/>
        <w:rPr>
          <w:rFonts w:ascii="宋体"/>
          <w:color w:val="auto"/>
          <w:sz w:val="24"/>
          <w:szCs w:val="24"/>
          <w:highlight w:val="none"/>
        </w:rPr>
      </w:pPr>
    </w:p>
    <w:p>
      <w:pPr>
        <w:snapToGrid w:val="0"/>
        <w:rPr>
          <w:rFonts w:ascii="宋体" w:cs="宋体"/>
          <w:color w:val="auto"/>
          <w:sz w:val="24"/>
          <w:szCs w:val="24"/>
          <w:highlight w:val="none"/>
        </w:rPr>
      </w:pP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分标（此处有分标时填写具体分标号，无分标时填写“无”）</w:t>
      </w:r>
    </w:p>
    <w:p>
      <w:pPr>
        <w:snapToGrid w:val="0"/>
        <w:rPr>
          <w:rFonts w:ascii="宋体"/>
          <w:color w:val="auto"/>
          <w:sz w:val="24"/>
          <w:szCs w:val="24"/>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投标人名称：</w:t>
      </w:r>
    </w:p>
    <w:p>
      <w:pPr>
        <w:pStyle w:val="24"/>
        <w:snapToGrid w:val="0"/>
        <w:jc w:val="center"/>
        <w:rPr>
          <w:rFonts w:hAnsi="宋体" w:cs="Times New Roman"/>
          <w:color w:val="auto"/>
          <w:sz w:val="24"/>
          <w:szCs w:val="24"/>
          <w:highlight w:val="none"/>
        </w:rPr>
      </w:pPr>
    </w:p>
    <w:p>
      <w:pPr>
        <w:pStyle w:val="24"/>
        <w:snapToGrid w:val="0"/>
        <w:jc w:val="center"/>
        <w:rPr>
          <w:rFonts w:hAnsi="宋体" w:cs="Times New Roman"/>
          <w:color w:val="auto"/>
          <w:sz w:val="24"/>
          <w:szCs w:val="24"/>
          <w:highlight w:val="none"/>
        </w:rPr>
      </w:pPr>
    </w:p>
    <w:p>
      <w:pPr>
        <w:rPr>
          <w:rFonts w:ascii="宋体"/>
          <w:color w:val="auto"/>
          <w:sz w:val="24"/>
          <w:szCs w:val="24"/>
          <w:highlight w:val="none"/>
        </w:rPr>
      </w:pPr>
    </w:p>
    <w:p>
      <w:pPr>
        <w:pStyle w:val="8"/>
        <w:snapToGrid w:val="0"/>
        <w:ind w:firstLine="3960" w:firstLineChars="1650"/>
        <w:rPr>
          <w:rFonts w:ascii="宋体"/>
          <w:color w:val="auto"/>
          <w:sz w:val="24"/>
          <w:szCs w:val="24"/>
          <w:highlight w:val="none"/>
        </w:rPr>
      </w:pPr>
      <w:r>
        <w:rPr>
          <w:rFonts w:hint="eastAsia" w:ascii="宋体" w:hAnsi="宋体" w:cs="宋体"/>
          <w:color w:val="auto"/>
          <w:sz w:val="24"/>
          <w:szCs w:val="24"/>
          <w:highlight w:val="none"/>
        </w:rPr>
        <w:t>在开标时间之前不得启封</w:t>
      </w:r>
    </w:p>
    <w:p>
      <w:pPr>
        <w:pStyle w:val="8"/>
        <w:snapToGrid w:val="0"/>
        <w:ind w:firstLine="998" w:firstLineChars="416"/>
        <w:rPr>
          <w:rFonts w:ascii="宋体"/>
          <w:color w:val="auto"/>
          <w:sz w:val="24"/>
          <w:szCs w:val="24"/>
          <w:highlight w:val="none"/>
        </w:rPr>
      </w:pPr>
    </w:p>
    <w:p>
      <w:pPr>
        <w:snapToGrid w:val="0"/>
        <w:ind w:firstLine="645"/>
        <w:jc w:val="center"/>
        <w:rPr>
          <w:rFonts w:ascii="宋体"/>
          <w:color w:val="auto"/>
          <w:sz w:val="24"/>
          <w:szCs w:val="24"/>
          <w:highlight w:val="none"/>
        </w:rPr>
      </w:pPr>
      <w:r>
        <w:rPr>
          <w:rFonts w:hint="eastAsia" w:ascii="宋体" w:hAnsi="宋体" w:cs="宋体"/>
          <w:color w:val="auto"/>
          <w:sz w:val="24"/>
          <w:szCs w:val="24"/>
          <w:highlight w:val="none"/>
        </w:rPr>
        <w:t>年月日</w:t>
      </w:r>
    </w:p>
    <w:p>
      <w:pPr>
        <w:snapToGrid w:val="0"/>
        <w:rPr>
          <w:rFonts w:ascii="宋体"/>
          <w:b/>
          <w:bCs/>
          <w:color w:val="auto"/>
          <w:sz w:val="24"/>
          <w:szCs w:val="24"/>
          <w:highlight w:val="none"/>
        </w:rPr>
      </w:pPr>
      <w:r>
        <w:rPr>
          <w:rFonts w:ascii="宋体"/>
          <w:color w:val="auto"/>
          <w:sz w:val="24"/>
          <w:szCs w:val="24"/>
          <w:highlight w:val="none"/>
        </w:rPr>
        <w:br w:type="page"/>
      </w:r>
      <w:r>
        <w:rPr>
          <w:rFonts w:hint="eastAsia" w:ascii="宋体" w:hAnsi="宋体" w:cs="宋体"/>
          <w:b/>
          <w:bCs/>
          <w:color w:val="auto"/>
          <w:sz w:val="24"/>
          <w:szCs w:val="24"/>
          <w:highlight w:val="none"/>
        </w:rPr>
        <w:t>开标一览表（格式）</w:t>
      </w:r>
    </w:p>
    <w:p>
      <w:pPr>
        <w:snapToGrid w:val="0"/>
        <w:jc w:val="center"/>
        <w:rPr>
          <w:rFonts w:ascii="宋体"/>
          <w:b/>
          <w:bCs/>
          <w:color w:val="auto"/>
          <w:sz w:val="32"/>
          <w:szCs w:val="32"/>
          <w:highlight w:val="none"/>
        </w:rPr>
      </w:pPr>
    </w:p>
    <w:p>
      <w:pPr>
        <w:snapToGrid w:val="0"/>
        <w:jc w:val="center"/>
        <w:rPr>
          <w:rFonts w:ascii="宋体"/>
          <w:b/>
          <w:bCs/>
          <w:color w:val="auto"/>
          <w:sz w:val="32"/>
          <w:szCs w:val="32"/>
          <w:highlight w:val="none"/>
        </w:rPr>
      </w:pPr>
    </w:p>
    <w:p>
      <w:pPr>
        <w:snapToGrid w:val="0"/>
        <w:jc w:val="center"/>
        <w:rPr>
          <w:rFonts w:ascii="宋体"/>
          <w:b/>
          <w:bCs/>
          <w:color w:val="auto"/>
          <w:sz w:val="32"/>
          <w:szCs w:val="32"/>
          <w:highlight w:val="none"/>
        </w:rPr>
      </w:pPr>
      <w:r>
        <w:rPr>
          <w:rFonts w:hint="eastAsia" w:ascii="宋体" w:hAnsi="宋体" w:cs="宋体"/>
          <w:b/>
          <w:bCs/>
          <w:color w:val="auto"/>
          <w:sz w:val="32"/>
          <w:szCs w:val="32"/>
          <w:highlight w:val="none"/>
        </w:rPr>
        <w:t>开标一览表</w:t>
      </w:r>
    </w:p>
    <w:p>
      <w:pPr>
        <w:snapToGrid w:val="0"/>
        <w:jc w:val="center"/>
        <w:rPr>
          <w:rFonts w:ascii="宋体"/>
          <w:b/>
          <w:bCs/>
          <w:color w:val="auto"/>
          <w:sz w:val="24"/>
          <w:szCs w:val="24"/>
          <w:highlight w:val="none"/>
        </w:rPr>
      </w:pPr>
    </w:p>
    <w:p>
      <w:pPr>
        <w:pStyle w:val="18"/>
        <w:rPr>
          <w:color w:val="auto"/>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项目编号：</w:t>
      </w:r>
    </w:p>
    <w:p>
      <w:pPr>
        <w:snapToGrid w:val="0"/>
        <w:rPr>
          <w:rFonts w:ascii="仿宋_GB2312" w:eastAsia="仿宋_GB2312"/>
          <w:color w:val="auto"/>
          <w:sz w:val="24"/>
          <w:szCs w:val="24"/>
          <w:highlight w:val="none"/>
        </w:rPr>
      </w:pPr>
      <w:r>
        <w:rPr>
          <w:rFonts w:hint="eastAsia" w:ascii="宋体" w:hAnsi="宋体" w:cs="宋体"/>
          <w:color w:val="auto"/>
          <w:sz w:val="24"/>
          <w:szCs w:val="24"/>
          <w:highlight w:val="none"/>
        </w:rPr>
        <w:t>投标人名称：</w:t>
      </w:r>
    </w:p>
    <w:tbl>
      <w:tblPr>
        <w:tblStyle w:val="37"/>
        <w:tblpPr w:leftFromText="180" w:rightFromText="180" w:vertAnchor="text" w:horzAnchor="margin" w:tblpXSpec="right" w:tblpY="229"/>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88"/>
        <w:gridCol w:w="1560"/>
        <w:gridCol w:w="1500"/>
        <w:gridCol w:w="1050"/>
        <w:gridCol w:w="124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20" w:type="dxa"/>
            <w:vAlign w:val="center"/>
          </w:tcPr>
          <w:p>
            <w:pPr>
              <w:rPr>
                <w:rFonts w:eastAsia="仿宋_GB2312"/>
                <w:color w:val="auto"/>
                <w:highlight w:val="none"/>
              </w:rPr>
            </w:pPr>
            <w:r>
              <w:rPr>
                <w:rFonts w:hint="eastAsia" w:eastAsia="仿宋_GB2312" w:cs="仿宋_GB2312"/>
                <w:color w:val="auto"/>
                <w:highlight w:val="none"/>
              </w:rPr>
              <w:t>序号</w:t>
            </w:r>
          </w:p>
        </w:tc>
        <w:tc>
          <w:tcPr>
            <w:tcW w:w="988" w:type="dxa"/>
            <w:vAlign w:val="center"/>
          </w:tcPr>
          <w:p>
            <w:pPr>
              <w:rPr>
                <w:rFonts w:eastAsia="仿宋_GB2312"/>
                <w:color w:val="auto"/>
                <w:highlight w:val="none"/>
              </w:rPr>
            </w:pPr>
            <w:r>
              <w:rPr>
                <w:rFonts w:hint="eastAsia" w:eastAsia="仿宋_GB2312" w:cs="仿宋_GB2312"/>
                <w:color w:val="auto"/>
                <w:highlight w:val="none"/>
              </w:rPr>
              <w:t>服务名称</w:t>
            </w:r>
          </w:p>
        </w:tc>
        <w:tc>
          <w:tcPr>
            <w:tcW w:w="1560" w:type="dxa"/>
            <w:vAlign w:val="center"/>
          </w:tcPr>
          <w:p>
            <w:pPr>
              <w:jc w:val="center"/>
              <w:rPr>
                <w:rFonts w:eastAsia="仿宋_GB2312"/>
                <w:color w:val="auto"/>
                <w:highlight w:val="none"/>
              </w:rPr>
            </w:pPr>
            <w:r>
              <w:rPr>
                <w:rFonts w:hint="eastAsia" w:eastAsia="仿宋_GB2312" w:cs="仿宋_GB2312"/>
                <w:color w:val="auto"/>
                <w:highlight w:val="none"/>
              </w:rPr>
              <w:t>服务内容</w:t>
            </w:r>
          </w:p>
        </w:tc>
        <w:tc>
          <w:tcPr>
            <w:tcW w:w="1500" w:type="dxa"/>
            <w:vAlign w:val="center"/>
          </w:tcPr>
          <w:p>
            <w:pPr>
              <w:jc w:val="center"/>
              <w:rPr>
                <w:rFonts w:eastAsia="仿宋_GB2312"/>
                <w:color w:val="auto"/>
                <w:highlight w:val="none"/>
              </w:rPr>
            </w:pPr>
            <w:r>
              <w:rPr>
                <w:rFonts w:hint="eastAsia" w:eastAsia="仿宋_GB2312" w:cs="仿宋_GB2312"/>
                <w:color w:val="auto"/>
                <w:highlight w:val="none"/>
              </w:rPr>
              <w:t>数量①</w:t>
            </w:r>
          </w:p>
        </w:tc>
        <w:tc>
          <w:tcPr>
            <w:tcW w:w="1050" w:type="dxa"/>
            <w:vAlign w:val="center"/>
          </w:tcPr>
          <w:p>
            <w:pPr>
              <w:rPr>
                <w:rFonts w:eastAsia="仿宋_GB2312"/>
                <w:color w:val="auto"/>
                <w:highlight w:val="none"/>
              </w:rPr>
            </w:pPr>
            <w:r>
              <w:rPr>
                <w:rFonts w:hint="eastAsia" w:eastAsia="仿宋_GB2312" w:cs="仿宋_GB2312"/>
                <w:color w:val="auto"/>
                <w:highlight w:val="none"/>
              </w:rPr>
              <w:t>单价</w:t>
            </w:r>
            <w:r>
              <w:rPr>
                <w:rFonts w:eastAsia="仿宋_GB2312"/>
                <w:color w:val="auto"/>
                <w:highlight w:val="none"/>
              </w:rPr>
              <w:t>(</w:t>
            </w:r>
            <w:r>
              <w:rPr>
                <w:rFonts w:hint="eastAsia" w:eastAsia="仿宋_GB2312" w:cs="仿宋_GB2312"/>
                <w:color w:val="auto"/>
                <w:highlight w:val="none"/>
              </w:rPr>
              <w:t>元</w:t>
            </w:r>
            <w:r>
              <w:rPr>
                <w:rFonts w:eastAsia="仿宋_GB2312"/>
                <w:color w:val="auto"/>
                <w:highlight w:val="none"/>
              </w:rPr>
              <w:t>)</w:t>
            </w:r>
            <w:r>
              <w:rPr>
                <w:rFonts w:hint="eastAsia" w:ascii="宋体" w:hAnsi="宋体" w:cs="宋体"/>
                <w:color w:val="auto"/>
                <w:highlight w:val="none"/>
              </w:rPr>
              <w:t>②</w:t>
            </w:r>
          </w:p>
        </w:tc>
        <w:tc>
          <w:tcPr>
            <w:tcW w:w="1245" w:type="dxa"/>
            <w:vAlign w:val="center"/>
          </w:tcPr>
          <w:p>
            <w:pPr>
              <w:rPr>
                <w:rFonts w:eastAsia="仿宋_GB2312"/>
                <w:color w:val="auto"/>
                <w:highlight w:val="none"/>
              </w:rPr>
            </w:pPr>
            <w:r>
              <w:rPr>
                <w:rFonts w:hint="eastAsia" w:eastAsia="仿宋_GB2312" w:cs="仿宋_GB2312"/>
                <w:color w:val="auto"/>
                <w:highlight w:val="none"/>
              </w:rPr>
              <w:t>单项合价（元）</w:t>
            </w:r>
          </w:p>
          <w:p>
            <w:pPr>
              <w:rPr>
                <w:rFonts w:eastAsia="仿宋_GB2312"/>
                <w:color w:val="auto"/>
                <w:highlight w:val="none"/>
              </w:rPr>
            </w:pPr>
            <w:r>
              <w:rPr>
                <w:rFonts w:hint="eastAsia" w:eastAsia="仿宋_GB2312" w:cs="仿宋_GB2312"/>
                <w:color w:val="auto"/>
                <w:highlight w:val="none"/>
              </w:rPr>
              <w:t>③＝①</w:t>
            </w:r>
            <w:r>
              <w:rPr>
                <w:rFonts w:eastAsia="仿宋_GB2312"/>
                <w:color w:val="auto"/>
                <w:highlight w:val="none"/>
              </w:rPr>
              <w:t>×</w:t>
            </w:r>
            <w:r>
              <w:rPr>
                <w:rFonts w:hint="eastAsia" w:ascii="宋体" w:hAnsi="宋体" w:cs="宋体"/>
                <w:color w:val="auto"/>
                <w:highlight w:val="none"/>
              </w:rPr>
              <w:t>②</w:t>
            </w:r>
          </w:p>
        </w:tc>
        <w:tc>
          <w:tcPr>
            <w:tcW w:w="1796" w:type="dxa"/>
            <w:vAlign w:val="center"/>
          </w:tcPr>
          <w:p>
            <w:pPr>
              <w:rPr>
                <w:rFonts w:eastAsia="仿宋_GB2312"/>
                <w:color w:val="auto"/>
                <w:highlight w:val="none"/>
              </w:rPr>
            </w:pPr>
            <w:r>
              <w:rPr>
                <w:rFonts w:hint="eastAsia" w:eastAsia="仿宋_GB2312" w:cs="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vAlign w:val="center"/>
          </w:tcPr>
          <w:p>
            <w:pPr>
              <w:rPr>
                <w:rFonts w:eastAsia="仿宋_GB2312"/>
                <w:color w:val="auto"/>
                <w:highlight w:val="none"/>
              </w:rPr>
            </w:pPr>
            <w:r>
              <w:rPr>
                <w:rFonts w:eastAsia="仿宋_GB2312"/>
                <w:color w:val="auto"/>
                <w:highlight w:val="none"/>
              </w:rPr>
              <w:t>1</w:t>
            </w:r>
          </w:p>
        </w:tc>
        <w:tc>
          <w:tcPr>
            <w:tcW w:w="988" w:type="dxa"/>
            <w:vAlign w:val="center"/>
          </w:tcPr>
          <w:p>
            <w:pPr>
              <w:rPr>
                <w:rFonts w:eastAsia="仿宋_GB2312"/>
                <w:color w:val="auto"/>
                <w:highlight w:val="none"/>
              </w:rPr>
            </w:pPr>
          </w:p>
        </w:tc>
        <w:tc>
          <w:tcPr>
            <w:tcW w:w="1560" w:type="dxa"/>
            <w:vAlign w:val="center"/>
          </w:tcPr>
          <w:p>
            <w:pPr>
              <w:rPr>
                <w:rFonts w:eastAsia="仿宋_GB2312"/>
                <w:color w:val="auto"/>
                <w:highlight w:val="none"/>
              </w:rPr>
            </w:pPr>
          </w:p>
        </w:tc>
        <w:tc>
          <w:tcPr>
            <w:tcW w:w="1500" w:type="dxa"/>
            <w:vAlign w:val="center"/>
          </w:tcPr>
          <w:p>
            <w:pPr>
              <w:rPr>
                <w:rFonts w:eastAsia="仿宋_GB2312"/>
                <w:color w:val="auto"/>
                <w:highlight w:val="none"/>
              </w:rPr>
            </w:pPr>
            <w:r>
              <w:rPr>
                <w:rFonts w:hint="eastAsia" w:eastAsia="仿宋_GB2312" w:cs="仿宋_GB2312"/>
                <w:color w:val="auto"/>
                <w:highlight w:val="none"/>
              </w:rPr>
              <w:t>35.4511公顷</w:t>
            </w:r>
          </w:p>
        </w:tc>
        <w:tc>
          <w:tcPr>
            <w:tcW w:w="1050" w:type="dxa"/>
            <w:vAlign w:val="center"/>
          </w:tcPr>
          <w:p>
            <w:pPr>
              <w:rPr>
                <w:rFonts w:eastAsia="仿宋_GB2312"/>
                <w:color w:val="auto"/>
                <w:highlight w:val="none"/>
              </w:rPr>
            </w:pPr>
          </w:p>
        </w:tc>
        <w:tc>
          <w:tcPr>
            <w:tcW w:w="1245" w:type="dxa"/>
            <w:vAlign w:val="center"/>
          </w:tcPr>
          <w:p>
            <w:pPr>
              <w:rPr>
                <w:rFonts w:eastAsia="仿宋_GB2312"/>
                <w:color w:val="auto"/>
                <w:highlight w:val="none"/>
              </w:rPr>
            </w:pPr>
          </w:p>
        </w:tc>
        <w:tc>
          <w:tcPr>
            <w:tcW w:w="1796" w:type="dxa"/>
            <w:vAlign w:val="center"/>
          </w:tcPr>
          <w:p>
            <w:pPr>
              <w:rPr>
                <w:rFonts w:hint="default" w:eastAsia="仿宋_GB2312"/>
                <w:color w:val="auto"/>
                <w:highlight w:val="none"/>
                <w:lang w:val="en-US" w:eastAsia="zh-CN"/>
              </w:rPr>
            </w:pPr>
            <w:r>
              <w:rPr>
                <w:rFonts w:hint="eastAsia" w:eastAsia="仿宋_GB2312"/>
                <w:color w:val="auto"/>
                <w:highlight w:val="none"/>
                <w:lang w:val="en-US" w:eastAsia="zh-CN"/>
              </w:rPr>
              <w:t>当最终批复的水田报备入库面积超过35.4511公顷，并且结算总价超过本项目的最高限价时，双方另行协商解决，其中，结算单价按中标的报价计取。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20" w:type="dxa"/>
            <w:vAlign w:val="center"/>
          </w:tcPr>
          <w:p>
            <w:pPr>
              <w:rPr>
                <w:rFonts w:eastAsia="仿宋_GB2312"/>
                <w:color w:val="auto"/>
                <w:highlight w:val="none"/>
              </w:rPr>
            </w:pPr>
            <w:r>
              <w:rPr>
                <w:rFonts w:eastAsia="仿宋_GB2312"/>
                <w:color w:val="auto"/>
                <w:highlight w:val="none"/>
              </w:rPr>
              <w:t>2</w:t>
            </w:r>
          </w:p>
        </w:tc>
        <w:tc>
          <w:tcPr>
            <w:tcW w:w="988" w:type="dxa"/>
            <w:vAlign w:val="center"/>
          </w:tcPr>
          <w:p>
            <w:pPr>
              <w:rPr>
                <w:rFonts w:eastAsia="仿宋_GB2312"/>
                <w:color w:val="auto"/>
                <w:highlight w:val="none"/>
              </w:rPr>
            </w:pPr>
          </w:p>
        </w:tc>
        <w:tc>
          <w:tcPr>
            <w:tcW w:w="1560" w:type="dxa"/>
            <w:vAlign w:val="center"/>
          </w:tcPr>
          <w:p>
            <w:pPr>
              <w:rPr>
                <w:rFonts w:eastAsia="仿宋_GB2312"/>
                <w:color w:val="auto"/>
                <w:highlight w:val="none"/>
              </w:rPr>
            </w:pPr>
          </w:p>
        </w:tc>
        <w:tc>
          <w:tcPr>
            <w:tcW w:w="1500" w:type="dxa"/>
            <w:vAlign w:val="center"/>
          </w:tcPr>
          <w:p>
            <w:pPr>
              <w:rPr>
                <w:rFonts w:eastAsia="仿宋_GB2312"/>
                <w:color w:val="auto"/>
                <w:highlight w:val="none"/>
              </w:rPr>
            </w:pPr>
          </w:p>
        </w:tc>
        <w:tc>
          <w:tcPr>
            <w:tcW w:w="1050" w:type="dxa"/>
            <w:vAlign w:val="center"/>
          </w:tcPr>
          <w:p>
            <w:pPr>
              <w:rPr>
                <w:rFonts w:eastAsia="仿宋_GB2312"/>
                <w:color w:val="auto"/>
                <w:highlight w:val="none"/>
              </w:rPr>
            </w:pPr>
          </w:p>
        </w:tc>
        <w:tc>
          <w:tcPr>
            <w:tcW w:w="1245" w:type="dxa"/>
            <w:vAlign w:val="center"/>
          </w:tcPr>
          <w:p>
            <w:pPr>
              <w:rPr>
                <w:rFonts w:eastAsia="仿宋_GB2312"/>
                <w:color w:val="auto"/>
                <w:highlight w:val="none"/>
              </w:rPr>
            </w:pPr>
          </w:p>
        </w:tc>
        <w:tc>
          <w:tcPr>
            <w:tcW w:w="1796"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20" w:type="dxa"/>
            <w:vAlign w:val="center"/>
          </w:tcPr>
          <w:p>
            <w:pPr>
              <w:rPr>
                <w:rFonts w:eastAsia="仿宋_GB2312"/>
                <w:color w:val="auto"/>
                <w:highlight w:val="none"/>
              </w:rPr>
            </w:pPr>
            <w:r>
              <w:rPr>
                <w:rFonts w:eastAsia="仿宋_GB2312"/>
                <w:color w:val="auto"/>
                <w:highlight w:val="none"/>
              </w:rPr>
              <w:t>...</w:t>
            </w:r>
          </w:p>
        </w:tc>
        <w:tc>
          <w:tcPr>
            <w:tcW w:w="988" w:type="dxa"/>
            <w:vAlign w:val="center"/>
          </w:tcPr>
          <w:p>
            <w:pPr>
              <w:rPr>
                <w:rFonts w:eastAsia="仿宋_GB2312"/>
                <w:color w:val="auto"/>
                <w:highlight w:val="none"/>
              </w:rPr>
            </w:pPr>
          </w:p>
        </w:tc>
        <w:tc>
          <w:tcPr>
            <w:tcW w:w="1560" w:type="dxa"/>
            <w:vAlign w:val="center"/>
          </w:tcPr>
          <w:p>
            <w:pPr>
              <w:rPr>
                <w:rFonts w:eastAsia="仿宋_GB2312"/>
                <w:color w:val="auto"/>
                <w:highlight w:val="none"/>
              </w:rPr>
            </w:pPr>
          </w:p>
        </w:tc>
        <w:tc>
          <w:tcPr>
            <w:tcW w:w="1500" w:type="dxa"/>
            <w:vAlign w:val="center"/>
          </w:tcPr>
          <w:p>
            <w:pPr>
              <w:rPr>
                <w:rFonts w:eastAsia="仿宋_GB2312"/>
                <w:color w:val="auto"/>
                <w:highlight w:val="none"/>
              </w:rPr>
            </w:pPr>
          </w:p>
        </w:tc>
        <w:tc>
          <w:tcPr>
            <w:tcW w:w="1050" w:type="dxa"/>
            <w:vAlign w:val="center"/>
          </w:tcPr>
          <w:p>
            <w:pPr>
              <w:rPr>
                <w:rFonts w:eastAsia="仿宋_GB2312"/>
                <w:color w:val="auto"/>
                <w:highlight w:val="none"/>
              </w:rPr>
            </w:pPr>
          </w:p>
        </w:tc>
        <w:tc>
          <w:tcPr>
            <w:tcW w:w="1245" w:type="dxa"/>
            <w:vAlign w:val="center"/>
          </w:tcPr>
          <w:p>
            <w:pPr>
              <w:rPr>
                <w:rFonts w:eastAsia="仿宋_GB2312"/>
                <w:color w:val="auto"/>
                <w:highlight w:val="none"/>
              </w:rPr>
            </w:pPr>
          </w:p>
        </w:tc>
        <w:tc>
          <w:tcPr>
            <w:tcW w:w="1796"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报价合计（包含税费等所有费用）：（大写）人民币（￥元）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highlight w:val="none"/>
              </w:rPr>
            </w:pPr>
            <w:r>
              <w:rPr>
                <w:rFonts w:hint="eastAsia" w:eastAsia="仿宋_GB2312" w:cs="仿宋_GB2312"/>
                <w:color w:val="auto"/>
                <w:highlight w:val="none"/>
                <w:u w:val="single"/>
              </w:rPr>
              <w:t>　　</w:t>
            </w:r>
            <w:r>
              <w:rPr>
                <w:rFonts w:hint="eastAsia" w:eastAsia="仿宋_GB2312" w:cs="仿宋_GB2312"/>
                <w:color w:val="auto"/>
                <w:highlight w:val="none"/>
              </w:rPr>
              <w:t>分标（此处有分标时填写具体分标号，无分标时填写</w:t>
            </w:r>
            <w:r>
              <w:rPr>
                <w:rFonts w:eastAsia="仿宋_GB2312"/>
                <w:color w:val="auto"/>
                <w:highlight w:val="none"/>
              </w:rPr>
              <w:t>“</w:t>
            </w:r>
            <w:r>
              <w:rPr>
                <w:rFonts w:hint="eastAsia" w:eastAsia="仿宋_GB2312" w:cs="仿宋_GB2312"/>
                <w:color w:val="auto"/>
                <w:highlight w:val="none"/>
              </w:rPr>
              <w:t>无</w:t>
            </w:r>
            <w:r>
              <w:rPr>
                <w:rFonts w:eastAsia="仿宋_GB2312"/>
                <w:color w:val="auto"/>
                <w:highlight w:val="none"/>
              </w:rPr>
              <w:t>”</w:t>
            </w:r>
            <w:r>
              <w:rPr>
                <w:rFonts w:hint="eastAsia"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法定代表人或其委托代理人（签字或盖章）：</w:t>
            </w:r>
          </w:p>
          <w:p>
            <w:pPr>
              <w:rPr>
                <w:rFonts w:eastAsia="仿宋_GB2312"/>
                <w:color w:val="auto"/>
                <w:highlight w:val="none"/>
              </w:rPr>
            </w:pPr>
            <w:r>
              <w:rPr>
                <w:rFonts w:hint="eastAsia" w:ascii="宋体" w:hAnsi="宋体" w:cs="宋体"/>
                <w:color w:val="auto"/>
                <w:highlight w:val="none"/>
              </w:rPr>
              <w:t>（</w:t>
            </w:r>
            <w:r>
              <w:rPr>
                <w:rFonts w:hint="eastAsia" w:eastAsia="仿宋_GB2312" w:cs="仿宋_GB2312"/>
                <w:color w:val="auto"/>
                <w:highlight w:val="none"/>
              </w:rPr>
              <w:t>投标人属自然人的应由自然人签字并加盖指印，投标人若为其他组织形式无法定代表人的应由机构负责人签字或盖章</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日期：年月日</w:t>
            </w:r>
          </w:p>
        </w:tc>
      </w:tr>
    </w:tbl>
    <w:p>
      <w:pPr>
        <w:snapToGrid w:val="0"/>
        <w:ind w:firstLine="480" w:firstLineChars="200"/>
        <w:jc w:val="left"/>
        <w:rPr>
          <w:rFonts w:ascii="仿宋_GB2312" w:eastAsia="仿宋_GB2312"/>
          <w:color w:val="auto"/>
          <w:sz w:val="24"/>
          <w:szCs w:val="24"/>
          <w:highlight w:val="none"/>
        </w:rPr>
      </w:pPr>
    </w:p>
    <w:p>
      <w:pPr>
        <w:snapToGrid w:val="0"/>
        <w:ind w:firstLine="480" w:firstLineChars="200"/>
        <w:jc w:val="left"/>
        <w:rPr>
          <w:rFonts w:ascii="仿宋_GB2312" w:eastAsia="仿宋_GB2312"/>
          <w:color w:val="auto"/>
          <w:sz w:val="24"/>
          <w:szCs w:val="24"/>
          <w:highlight w:val="none"/>
        </w:rPr>
      </w:pPr>
    </w:p>
    <w:p>
      <w:pPr>
        <w:snapToGrid w:val="0"/>
        <w:ind w:firstLine="480" w:firstLineChars="200"/>
        <w:jc w:val="left"/>
        <w:rPr>
          <w:rFonts w:ascii="仿宋_GB2312" w:eastAsia="仿宋_GB2312"/>
          <w:color w:val="auto"/>
          <w:sz w:val="24"/>
          <w:szCs w:val="24"/>
          <w:highlight w:val="none"/>
        </w:rPr>
      </w:pPr>
      <w:r>
        <w:rPr>
          <w:rFonts w:hint="eastAsia" w:ascii="仿宋_GB2312" w:eastAsia="仿宋_GB2312" w:cs="仿宋_GB2312"/>
          <w:color w:val="auto"/>
          <w:sz w:val="24"/>
          <w:szCs w:val="24"/>
          <w:highlight w:val="none"/>
        </w:rPr>
        <w:t>注：</w:t>
      </w:r>
      <w:r>
        <w:rPr>
          <w:rFonts w:ascii="仿宋_GB2312" w:eastAsia="仿宋_GB2312" w:cs="仿宋_GB2312"/>
          <w:color w:val="auto"/>
          <w:sz w:val="24"/>
          <w:szCs w:val="24"/>
          <w:highlight w:val="none"/>
        </w:rPr>
        <w:t>1</w:t>
      </w:r>
      <w:r>
        <w:rPr>
          <w:rFonts w:hint="eastAsia" w:ascii="仿宋_GB2312" w:eastAsia="仿宋_GB2312" w:cs="仿宋_GB2312"/>
          <w:color w:val="auto"/>
          <w:sz w:val="24"/>
          <w:szCs w:val="24"/>
          <w:highlight w:val="none"/>
        </w:rPr>
        <w:t>、表格内容均需按要求填写并盖章，不得留空</w:t>
      </w:r>
      <w:r>
        <w:rPr>
          <w:rFonts w:ascii="仿宋_GB2312" w:eastAsia="仿宋_GB2312" w:cs="仿宋_GB2312"/>
          <w:color w:val="auto"/>
          <w:sz w:val="24"/>
          <w:szCs w:val="24"/>
          <w:highlight w:val="none"/>
        </w:rPr>
        <w:t xml:space="preserve">, </w:t>
      </w:r>
      <w:r>
        <w:rPr>
          <w:rFonts w:hint="eastAsia" w:ascii="仿宋_GB2312" w:eastAsia="仿宋_GB2312" w:cs="仿宋_GB2312"/>
          <w:color w:val="auto"/>
          <w:sz w:val="24"/>
          <w:szCs w:val="24"/>
          <w:highlight w:val="none"/>
        </w:rPr>
        <w:t>否则按投标无效处理。</w:t>
      </w:r>
    </w:p>
    <w:p>
      <w:pPr>
        <w:snapToGrid w:val="0"/>
        <w:ind w:firstLine="480" w:firstLineChars="200"/>
        <w:jc w:val="left"/>
        <w:rPr>
          <w:rFonts w:ascii="仿宋_GB2312" w:eastAsia="仿宋_GB2312"/>
          <w:color w:val="auto"/>
          <w:sz w:val="24"/>
          <w:szCs w:val="24"/>
          <w:highlight w:val="none"/>
        </w:rPr>
      </w:pPr>
      <w:r>
        <w:rPr>
          <w:rFonts w:ascii="仿宋_GB2312" w:eastAsia="仿宋_GB2312" w:cs="仿宋_GB2312"/>
          <w:color w:val="auto"/>
          <w:sz w:val="24"/>
          <w:szCs w:val="24"/>
          <w:highlight w:val="none"/>
        </w:rPr>
        <w:t xml:space="preserve">    2</w:t>
      </w:r>
      <w:r>
        <w:rPr>
          <w:rFonts w:hint="eastAsia" w:ascii="仿宋_GB2312" w:eastAsia="仿宋_GB2312" w:cs="仿宋_GB2312"/>
          <w:color w:val="auto"/>
          <w:sz w:val="24"/>
          <w:szCs w:val="24"/>
          <w:highlight w:val="none"/>
        </w:rPr>
        <w:t>、以上“报价合计”应与“投标报价明细表”中的“报价合计”相一致。</w:t>
      </w:r>
    </w:p>
    <w:p>
      <w:pPr>
        <w:pStyle w:val="8"/>
        <w:snapToGrid w:val="0"/>
        <w:ind w:firstLine="960" w:firstLineChars="400"/>
        <w:jc w:val="left"/>
        <w:rPr>
          <w:rFonts w:ascii="仿宋_GB2312" w:eastAsia="仿宋_GB2312"/>
          <w:color w:val="auto"/>
          <w:sz w:val="24"/>
          <w:szCs w:val="24"/>
          <w:highlight w:val="none"/>
        </w:rPr>
      </w:pPr>
      <w:r>
        <w:rPr>
          <w:rFonts w:ascii="仿宋_GB2312" w:eastAsia="仿宋_GB2312" w:cs="仿宋_GB2312"/>
          <w:color w:val="auto"/>
          <w:sz w:val="24"/>
          <w:szCs w:val="24"/>
          <w:highlight w:val="none"/>
        </w:rPr>
        <w:t>3</w:t>
      </w:r>
      <w:r>
        <w:rPr>
          <w:rFonts w:hint="eastAsia" w:ascii="仿宋_GB2312" w:eastAsia="仿宋_GB2312" w:cs="仿宋_GB2312"/>
          <w:color w:val="auto"/>
          <w:sz w:val="24"/>
          <w:szCs w:val="24"/>
          <w:highlight w:val="none"/>
        </w:rPr>
        <w:t>、此表请单独用信封封装，信封封面请注明招标编号、标项、投标人名称及“开标一览表”字样。如有多个标段的，每表须分别单独用信封密封。</w:t>
      </w: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snapToGrid w:val="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封套格式：</w:t>
      </w:r>
    </w:p>
    <w:p>
      <w:pPr>
        <w:snapToGrid w:val="0"/>
        <w:rPr>
          <w:rFonts w:ascii="宋体"/>
          <w:color w:val="auto"/>
          <w:sz w:val="24"/>
          <w:szCs w:val="24"/>
          <w:highlight w:val="none"/>
        </w:rPr>
      </w:pPr>
    </w:p>
    <w:p>
      <w:pPr>
        <w:snapToGrid w:val="0"/>
        <w:jc w:val="center"/>
        <w:rPr>
          <w:rFonts w:ascii="宋体"/>
          <w:b/>
          <w:bCs/>
          <w:color w:val="auto"/>
          <w:sz w:val="44"/>
          <w:szCs w:val="44"/>
          <w:highlight w:val="none"/>
        </w:rPr>
      </w:pPr>
    </w:p>
    <w:p>
      <w:pPr>
        <w:snapToGrid w:val="0"/>
        <w:jc w:val="center"/>
        <w:rPr>
          <w:rFonts w:ascii="宋体"/>
          <w:b/>
          <w:bCs/>
          <w:color w:val="auto"/>
          <w:sz w:val="44"/>
          <w:szCs w:val="44"/>
          <w:highlight w:val="none"/>
        </w:rPr>
      </w:pPr>
    </w:p>
    <w:p>
      <w:pPr>
        <w:snapToGrid w:val="0"/>
        <w:jc w:val="center"/>
        <w:rPr>
          <w:rFonts w:ascii="宋体"/>
          <w:b/>
          <w:bCs/>
          <w:color w:val="auto"/>
          <w:sz w:val="44"/>
          <w:szCs w:val="44"/>
          <w:highlight w:val="none"/>
        </w:rPr>
      </w:pPr>
    </w:p>
    <w:p>
      <w:pPr>
        <w:snapToGrid w:val="0"/>
        <w:jc w:val="center"/>
        <w:rPr>
          <w:rFonts w:ascii="宋体"/>
          <w:b/>
          <w:bCs/>
          <w:color w:val="auto"/>
          <w:sz w:val="44"/>
          <w:szCs w:val="44"/>
          <w:highlight w:val="none"/>
        </w:rPr>
      </w:pPr>
      <w:r>
        <w:rPr>
          <w:rFonts w:hint="eastAsia" w:ascii="宋体" w:hAnsi="宋体" w:cs="宋体"/>
          <w:b/>
          <w:bCs/>
          <w:color w:val="auto"/>
          <w:sz w:val="44"/>
          <w:szCs w:val="44"/>
          <w:highlight w:val="none"/>
        </w:rPr>
        <w:t>投标文件</w:t>
      </w:r>
    </w:p>
    <w:p>
      <w:pPr>
        <w:snapToGrid w:val="0"/>
        <w:ind w:firstLine="1424" w:firstLineChars="445"/>
        <w:rPr>
          <w:rFonts w:ascii="宋体"/>
          <w:color w:val="auto"/>
          <w:sz w:val="32"/>
          <w:szCs w:val="32"/>
          <w:highlight w:val="none"/>
        </w:rPr>
      </w:pPr>
    </w:p>
    <w:p>
      <w:pPr>
        <w:snapToGrid w:val="0"/>
        <w:ind w:firstLine="1424" w:firstLineChars="445"/>
        <w:rPr>
          <w:rFonts w:ascii="宋体"/>
          <w:color w:val="auto"/>
          <w:sz w:val="32"/>
          <w:szCs w:val="32"/>
          <w:highlight w:val="none"/>
        </w:rPr>
      </w:pPr>
    </w:p>
    <w:p>
      <w:pPr>
        <w:snapToGrid w:val="0"/>
        <w:ind w:firstLine="1430" w:firstLineChars="445"/>
        <w:rPr>
          <w:rFonts w:ascii="宋体"/>
          <w:b/>
          <w:bCs/>
          <w:color w:val="auto"/>
          <w:sz w:val="32"/>
          <w:szCs w:val="32"/>
          <w:highlight w:val="none"/>
        </w:rPr>
      </w:pPr>
      <w:r>
        <w:rPr>
          <w:rFonts w:hint="eastAsia" w:ascii="宋体" w:hAnsi="宋体" w:cs="宋体"/>
          <w:b/>
          <w:bCs/>
          <w:color w:val="auto"/>
          <w:sz w:val="32"/>
          <w:szCs w:val="32"/>
          <w:highlight w:val="none"/>
        </w:rPr>
        <w:t>项目名称：</w:t>
      </w:r>
    </w:p>
    <w:p>
      <w:pPr>
        <w:snapToGrid w:val="0"/>
        <w:ind w:firstLine="643" w:firstLineChars="200"/>
        <w:rPr>
          <w:rFonts w:ascii="宋体"/>
          <w:b/>
          <w:bCs/>
          <w:color w:val="auto"/>
          <w:sz w:val="32"/>
          <w:szCs w:val="32"/>
          <w:highlight w:val="none"/>
        </w:rPr>
      </w:pPr>
      <w:r>
        <w:rPr>
          <w:rFonts w:hint="eastAsia" w:ascii="宋体" w:hAnsi="宋体" w:cs="宋体"/>
          <w:b/>
          <w:bCs/>
          <w:color w:val="auto"/>
          <w:sz w:val="32"/>
          <w:szCs w:val="32"/>
          <w:highlight w:val="none"/>
        </w:rPr>
        <w:t>项目编号：</w:t>
      </w:r>
    </w:p>
    <w:p>
      <w:pPr>
        <w:snapToGrid w:val="0"/>
        <w:ind w:firstLine="643" w:firstLineChars="200"/>
        <w:rPr>
          <w:rFonts w:ascii="宋体"/>
          <w:b/>
          <w:bCs/>
          <w:color w:val="auto"/>
          <w:sz w:val="32"/>
          <w:szCs w:val="32"/>
          <w:highlight w:val="none"/>
        </w:rPr>
      </w:pPr>
      <w:r>
        <w:rPr>
          <w:rFonts w:hint="eastAsia" w:ascii="宋体" w:hAnsi="宋体" w:cs="宋体"/>
          <w:b/>
          <w:bCs/>
          <w:color w:val="auto"/>
          <w:sz w:val="32"/>
          <w:szCs w:val="32"/>
          <w:highlight w:val="none"/>
        </w:rPr>
        <w:t>标项（如有）：</w:t>
      </w: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r>
        <w:rPr>
          <w:rFonts w:hint="eastAsia" w:ascii="宋体" w:hAnsi="宋体" w:cs="宋体"/>
          <w:b/>
          <w:bCs/>
          <w:color w:val="auto"/>
          <w:sz w:val="32"/>
          <w:szCs w:val="32"/>
          <w:highlight w:val="none"/>
        </w:rPr>
        <w:t>投标人名称：</w:t>
      </w:r>
    </w:p>
    <w:p>
      <w:pPr>
        <w:pStyle w:val="8"/>
        <w:snapToGrid w:val="0"/>
        <w:ind w:firstLine="1336" w:firstLineChars="416"/>
        <w:rPr>
          <w:rFonts w:ascii="宋体"/>
          <w:b/>
          <w:bCs/>
          <w:color w:val="auto"/>
          <w:sz w:val="32"/>
          <w:szCs w:val="32"/>
          <w:highlight w:val="none"/>
        </w:rPr>
      </w:pPr>
      <w:r>
        <w:rPr>
          <w:rFonts w:hint="eastAsia" w:ascii="宋体" w:hAnsi="宋体" w:cs="宋体"/>
          <w:b/>
          <w:bCs/>
          <w:color w:val="auto"/>
          <w:sz w:val="32"/>
          <w:szCs w:val="32"/>
          <w:highlight w:val="none"/>
        </w:rPr>
        <w:t>投标人地址：</w:t>
      </w: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snapToGrid w:val="0"/>
        <w:ind w:firstLine="645"/>
        <w:jc w:val="center"/>
        <w:rPr>
          <w:rFonts w:ascii="宋体"/>
          <w:b/>
          <w:bCs/>
          <w:color w:val="auto"/>
          <w:sz w:val="32"/>
          <w:szCs w:val="32"/>
          <w:highlight w:val="none"/>
        </w:rPr>
      </w:pPr>
      <w:r>
        <w:rPr>
          <w:rFonts w:hint="eastAsia" w:ascii="宋体" w:hAnsi="宋体" w:cs="宋体"/>
          <w:b/>
          <w:bCs/>
          <w:color w:val="auto"/>
          <w:sz w:val="32"/>
          <w:szCs w:val="32"/>
          <w:highlight w:val="none"/>
        </w:rPr>
        <w:t>在年月日时分前不得开启日</w:t>
      </w:r>
    </w:p>
    <w:p>
      <w:pPr>
        <w:snapToGrid w:val="0"/>
        <w:rPr>
          <w:rFonts w:ascii="宋体"/>
          <w:b/>
          <w:bCs/>
          <w:color w:val="auto"/>
          <w:sz w:val="24"/>
          <w:szCs w:val="24"/>
          <w:highlight w:val="none"/>
        </w:rPr>
      </w:pPr>
    </w:p>
    <w:p>
      <w:pPr>
        <w:snapToGrid w:val="0"/>
        <w:rPr>
          <w:rFonts w:ascii="宋体"/>
          <w:b/>
          <w:bCs/>
          <w:color w:val="auto"/>
          <w:sz w:val="24"/>
          <w:szCs w:val="24"/>
          <w:highlight w:val="none"/>
        </w:rPr>
      </w:pPr>
      <w:r>
        <w:rPr>
          <w:rFonts w:ascii="宋体"/>
          <w:b/>
          <w:bCs/>
          <w:color w:val="auto"/>
          <w:sz w:val="24"/>
          <w:szCs w:val="24"/>
          <w:highlight w:val="none"/>
        </w:rPr>
        <w:br w:type="textWrapping"/>
      </w:r>
      <w:r>
        <w:rPr>
          <w:rFonts w:ascii="宋体"/>
          <w:b/>
          <w:bCs/>
          <w:color w:val="auto"/>
          <w:sz w:val="24"/>
          <w:szCs w:val="24"/>
          <w:highlight w:val="none"/>
        </w:rPr>
        <w:br w:type="page"/>
      </w:r>
      <w:r>
        <w:rPr>
          <w:rFonts w:ascii="宋体" w:hAnsi="宋体" w:cs="宋体"/>
          <w:b/>
          <w:bCs/>
          <w:color w:val="auto"/>
          <w:sz w:val="24"/>
          <w:szCs w:val="24"/>
          <w:highlight w:val="none"/>
        </w:rPr>
        <w:t>2.</w:t>
      </w:r>
      <w:r>
        <w:rPr>
          <w:rFonts w:hint="eastAsia" w:ascii="宋体" w:hAnsi="宋体" w:cs="宋体"/>
          <w:b/>
          <w:bCs/>
          <w:color w:val="auto"/>
          <w:sz w:val="24"/>
          <w:szCs w:val="24"/>
          <w:highlight w:val="none"/>
        </w:rPr>
        <w:t>投标文件封面格式：</w:t>
      </w:r>
    </w:p>
    <w:p>
      <w:pPr>
        <w:snapToGrid w:val="0"/>
        <w:rPr>
          <w:rFonts w:ascii="宋体"/>
          <w:b/>
          <w:bCs/>
          <w:color w:val="auto"/>
          <w:sz w:val="44"/>
          <w:szCs w:val="44"/>
          <w:highlight w:val="none"/>
        </w:rPr>
      </w:pPr>
      <w:r>
        <w:rPr>
          <w:rFonts w:hint="eastAsia" w:ascii="宋体" w:hAnsi="宋体" w:cs="宋体"/>
          <w:b/>
          <w:bCs/>
          <w:color w:val="auto"/>
          <w:sz w:val="44"/>
          <w:szCs w:val="44"/>
          <w:highlight w:val="none"/>
        </w:rPr>
        <w:t>正本</w:t>
      </w:r>
      <w:r>
        <w:rPr>
          <w:rFonts w:ascii="宋体" w:hAnsi="宋体" w:cs="宋体"/>
          <w:b/>
          <w:bCs/>
          <w:color w:val="auto"/>
          <w:sz w:val="44"/>
          <w:szCs w:val="44"/>
          <w:highlight w:val="none"/>
        </w:rPr>
        <w:t>/</w:t>
      </w:r>
      <w:r>
        <w:rPr>
          <w:rFonts w:hint="eastAsia" w:ascii="宋体" w:hAnsi="宋体" w:cs="宋体"/>
          <w:b/>
          <w:bCs/>
          <w:color w:val="auto"/>
          <w:sz w:val="44"/>
          <w:szCs w:val="44"/>
          <w:highlight w:val="none"/>
        </w:rPr>
        <w:t>或副本</w:t>
      </w:r>
    </w:p>
    <w:p>
      <w:pPr>
        <w:snapToGrid w:val="0"/>
        <w:rPr>
          <w:rFonts w:ascii="宋体"/>
          <w:b/>
          <w:bCs/>
          <w:color w:val="auto"/>
          <w:sz w:val="44"/>
          <w:szCs w:val="44"/>
          <w:highlight w:val="none"/>
        </w:rPr>
      </w:pPr>
    </w:p>
    <w:p>
      <w:pPr>
        <w:snapToGrid w:val="0"/>
        <w:jc w:val="center"/>
        <w:rPr>
          <w:rFonts w:ascii="宋体"/>
          <w:b/>
          <w:bCs/>
          <w:color w:val="auto"/>
          <w:sz w:val="44"/>
          <w:szCs w:val="44"/>
          <w:highlight w:val="none"/>
        </w:rPr>
      </w:pPr>
      <w:r>
        <w:rPr>
          <w:rFonts w:hint="eastAsia" w:ascii="宋体" w:hAnsi="宋体" w:cs="宋体"/>
          <w:b/>
          <w:bCs/>
          <w:color w:val="auto"/>
          <w:sz w:val="44"/>
          <w:szCs w:val="44"/>
          <w:highlight w:val="none"/>
        </w:rPr>
        <w:t>投标文件</w:t>
      </w:r>
    </w:p>
    <w:p>
      <w:pPr>
        <w:snapToGrid w:val="0"/>
        <w:rPr>
          <w:rFonts w:ascii="宋体"/>
          <w:color w:val="auto"/>
          <w:sz w:val="24"/>
          <w:szCs w:val="24"/>
          <w:highlight w:val="none"/>
        </w:rPr>
      </w:pPr>
    </w:p>
    <w:p>
      <w:pPr>
        <w:snapToGrid w:val="0"/>
        <w:ind w:firstLine="1424" w:firstLineChars="445"/>
        <w:rPr>
          <w:rFonts w:ascii="宋体"/>
          <w:color w:val="auto"/>
          <w:sz w:val="32"/>
          <w:szCs w:val="32"/>
          <w:highlight w:val="none"/>
        </w:rPr>
      </w:pPr>
    </w:p>
    <w:p>
      <w:pPr>
        <w:snapToGrid w:val="0"/>
        <w:ind w:firstLine="1424" w:firstLineChars="445"/>
        <w:rPr>
          <w:rFonts w:ascii="宋体"/>
          <w:color w:val="auto"/>
          <w:sz w:val="32"/>
          <w:szCs w:val="32"/>
          <w:highlight w:val="none"/>
        </w:rPr>
      </w:pPr>
    </w:p>
    <w:p>
      <w:pPr>
        <w:snapToGrid w:val="0"/>
        <w:ind w:firstLine="1430" w:firstLineChars="445"/>
        <w:rPr>
          <w:rFonts w:ascii="宋体"/>
          <w:b/>
          <w:bCs/>
          <w:color w:val="auto"/>
          <w:sz w:val="32"/>
          <w:szCs w:val="32"/>
          <w:highlight w:val="none"/>
        </w:rPr>
      </w:pPr>
      <w:r>
        <w:rPr>
          <w:rFonts w:hint="eastAsia" w:ascii="宋体" w:hAnsi="宋体" w:cs="宋体"/>
          <w:b/>
          <w:bCs/>
          <w:color w:val="auto"/>
          <w:sz w:val="32"/>
          <w:szCs w:val="32"/>
          <w:highlight w:val="none"/>
        </w:rPr>
        <w:t>项目名称：</w:t>
      </w:r>
    </w:p>
    <w:p>
      <w:pPr>
        <w:snapToGrid w:val="0"/>
        <w:ind w:firstLine="643" w:firstLineChars="200"/>
        <w:rPr>
          <w:rFonts w:ascii="宋体"/>
          <w:b/>
          <w:bCs/>
          <w:color w:val="auto"/>
          <w:sz w:val="32"/>
          <w:szCs w:val="32"/>
          <w:highlight w:val="none"/>
        </w:rPr>
      </w:pPr>
    </w:p>
    <w:p>
      <w:pPr>
        <w:snapToGrid w:val="0"/>
        <w:ind w:firstLine="1446" w:firstLineChars="450"/>
        <w:rPr>
          <w:rFonts w:ascii="宋体"/>
          <w:b/>
          <w:bCs/>
          <w:color w:val="auto"/>
          <w:sz w:val="32"/>
          <w:szCs w:val="32"/>
          <w:highlight w:val="none"/>
        </w:rPr>
      </w:pPr>
      <w:r>
        <w:rPr>
          <w:rFonts w:hint="eastAsia" w:ascii="宋体" w:hAnsi="宋体" w:cs="宋体"/>
          <w:b/>
          <w:bCs/>
          <w:color w:val="auto"/>
          <w:sz w:val="32"/>
          <w:szCs w:val="32"/>
          <w:highlight w:val="none"/>
        </w:rPr>
        <w:t>项目编号：</w:t>
      </w:r>
    </w:p>
    <w:p>
      <w:pPr>
        <w:snapToGrid w:val="0"/>
        <w:ind w:firstLine="643" w:firstLineChars="200"/>
        <w:rPr>
          <w:rFonts w:ascii="宋体"/>
          <w:b/>
          <w:bCs/>
          <w:color w:val="auto"/>
          <w:sz w:val="32"/>
          <w:szCs w:val="32"/>
          <w:highlight w:val="none"/>
        </w:rPr>
      </w:pPr>
    </w:p>
    <w:p>
      <w:pPr>
        <w:snapToGrid w:val="0"/>
        <w:ind w:firstLine="1446" w:firstLineChars="450"/>
        <w:rPr>
          <w:rFonts w:ascii="宋体"/>
          <w:b/>
          <w:bCs/>
          <w:color w:val="auto"/>
          <w:sz w:val="32"/>
          <w:szCs w:val="32"/>
          <w:highlight w:val="none"/>
        </w:rPr>
      </w:pPr>
      <w:r>
        <w:rPr>
          <w:rFonts w:hint="eastAsia" w:ascii="宋体" w:hAnsi="宋体" w:cs="宋体"/>
          <w:b/>
          <w:bCs/>
          <w:color w:val="auto"/>
          <w:sz w:val="32"/>
          <w:szCs w:val="32"/>
          <w:highlight w:val="none"/>
        </w:rPr>
        <w:t>标项：</w:t>
      </w:r>
    </w:p>
    <w:p>
      <w:pPr>
        <w:snapToGrid w:val="0"/>
        <w:ind w:firstLine="643" w:firstLineChars="200"/>
        <w:rPr>
          <w:rFonts w:ascii="宋体"/>
          <w:b/>
          <w:bCs/>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6" w:firstLineChars="416"/>
        <w:rPr>
          <w:rFonts w:ascii="宋体"/>
          <w:b/>
          <w:bCs/>
          <w:color w:val="auto"/>
          <w:sz w:val="32"/>
          <w:szCs w:val="32"/>
          <w:highlight w:val="none"/>
        </w:rPr>
      </w:pPr>
      <w:r>
        <w:rPr>
          <w:rFonts w:hint="eastAsia" w:ascii="宋体" w:hAnsi="宋体" w:cs="宋体"/>
          <w:b/>
          <w:bCs/>
          <w:color w:val="auto"/>
          <w:sz w:val="32"/>
          <w:szCs w:val="32"/>
          <w:highlight w:val="none"/>
        </w:rPr>
        <w:t>投标人名称：</w:t>
      </w:r>
    </w:p>
    <w:p>
      <w:pPr>
        <w:pStyle w:val="8"/>
        <w:snapToGrid w:val="0"/>
        <w:ind w:firstLine="1336" w:firstLineChars="416"/>
        <w:rPr>
          <w:rFonts w:ascii="宋体"/>
          <w:b/>
          <w:bCs/>
          <w:color w:val="auto"/>
          <w:sz w:val="32"/>
          <w:szCs w:val="32"/>
          <w:highlight w:val="none"/>
        </w:rPr>
      </w:pPr>
      <w:r>
        <w:rPr>
          <w:rFonts w:hint="eastAsia" w:ascii="宋体" w:hAnsi="宋体" w:cs="宋体"/>
          <w:b/>
          <w:bCs/>
          <w:color w:val="auto"/>
          <w:sz w:val="32"/>
          <w:szCs w:val="32"/>
          <w:highlight w:val="none"/>
        </w:rPr>
        <w:t>投标人地址：</w:t>
      </w:r>
    </w:p>
    <w:p>
      <w:pPr>
        <w:pStyle w:val="8"/>
        <w:snapToGrid w:val="0"/>
        <w:ind w:firstLine="1285" w:firstLineChars="400"/>
        <w:rPr>
          <w:rFonts w:ascii="宋体"/>
          <w:b/>
          <w:bCs/>
          <w:color w:val="auto"/>
          <w:sz w:val="32"/>
          <w:szCs w:val="32"/>
          <w:highlight w:val="none"/>
        </w:rPr>
      </w:pPr>
    </w:p>
    <w:p>
      <w:pPr>
        <w:snapToGrid w:val="0"/>
        <w:ind w:firstLine="645"/>
        <w:jc w:val="center"/>
        <w:rPr>
          <w:rFonts w:ascii="宋体"/>
          <w:b/>
          <w:bCs/>
          <w:color w:val="auto"/>
          <w:sz w:val="32"/>
          <w:szCs w:val="32"/>
          <w:highlight w:val="none"/>
        </w:rPr>
      </w:pPr>
      <w:r>
        <w:rPr>
          <w:rFonts w:hint="eastAsia" w:ascii="宋体" w:hAnsi="宋体" w:cs="宋体"/>
          <w:b/>
          <w:bCs/>
          <w:color w:val="auto"/>
          <w:sz w:val="32"/>
          <w:szCs w:val="32"/>
          <w:highlight w:val="none"/>
        </w:rPr>
        <w:t>年月日</w:t>
      </w:r>
    </w:p>
    <w:p>
      <w:pPr>
        <w:snapToGrid w:val="0"/>
        <w:rPr>
          <w:rFonts w:ascii="宋体"/>
          <w:color w:val="auto"/>
          <w:sz w:val="24"/>
          <w:szCs w:val="24"/>
          <w:highlight w:val="none"/>
        </w:rPr>
      </w:pPr>
      <w:r>
        <w:rPr>
          <w:rFonts w:ascii="宋体"/>
          <w:color w:val="auto"/>
          <w:sz w:val="24"/>
          <w:szCs w:val="24"/>
          <w:highlight w:val="none"/>
        </w:rPr>
        <w:br w:type="page"/>
      </w:r>
      <w:r>
        <w:rPr>
          <w:rFonts w:ascii="宋体" w:hAnsi="宋体" w:cs="宋体"/>
          <w:color w:val="auto"/>
          <w:sz w:val="24"/>
          <w:szCs w:val="24"/>
          <w:highlight w:val="none"/>
        </w:rPr>
        <w:t>3.</w:t>
      </w:r>
      <w:r>
        <w:rPr>
          <w:rFonts w:hint="eastAsia" w:ascii="宋体" w:hAnsi="宋体" w:cs="宋体"/>
          <w:b/>
          <w:bCs/>
          <w:color w:val="auto"/>
          <w:sz w:val="24"/>
          <w:szCs w:val="24"/>
          <w:highlight w:val="none"/>
        </w:rPr>
        <w:t>投标文件目录</w:t>
      </w:r>
    </w:p>
    <w:p>
      <w:pPr>
        <w:snapToGrid w:val="0"/>
        <w:rPr>
          <w:rFonts w:ascii="宋体"/>
          <w:color w:val="auto"/>
          <w:sz w:val="24"/>
          <w:szCs w:val="24"/>
          <w:highlight w:val="none"/>
        </w:rPr>
      </w:pPr>
    </w:p>
    <w:p>
      <w:pPr>
        <w:snapToGrid w:val="0"/>
        <w:jc w:val="left"/>
        <w:rPr>
          <w:rFonts w:ascii="宋体"/>
          <w:color w:val="auto"/>
          <w:sz w:val="24"/>
          <w:szCs w:val="24"/>
          <w:highlight w:val="none"/>
        </w:rPr>
      </w:pPr>
      <w:r>
        <w:rPr>
          <w:rFonts w:hint="eastAsia" w:ascii="宋体" w:hAnsi="宋体" w:cs="宋体"/>
          <w:color w:val="auto"/>
          <w:sz w:val="24"/>
          <w:szCs w:val="24"/>
          <w:highlight w:val="none"/>
        </w:rPr>
        <w:t>按照招标文件第三章“投标人须知”中“三之（一）投标文件的组成”的顺序编排</w:t>
      </w:r>
    </w:p>
    <w:p>
      <w:pPr>
        <w:snapToGrid w:val="0"/>
        <w:rPr>
          <w:rFonts w:ascii="宋体"/>
          <w:b/>
          <w:bCs/>
          <w:color w:val="auto"/>
          <w:sz w:val="24"/>
          <w:szCs w:val="24"/>
          <w:highlight w:val="none"/>
        </w:rPr>
      </w:pPr>
      <w:r>
        <w:rPr>
          <w:rFonts w:ascii="宋体"/>
          <w:b/>
          <w:bCs/>
          <w:color w:val="auto"/>
          <w:sz w:val="24"/>
          <w:szCs w:val="24"/>
          <w:highlight w:val="none"/>
        </w:rPr>
        <w:br w:type="page"/>
      </w:r>
      <w:r>
        <w:rPr>
          <w:rFonts w:hint="eastAsia" w:ascii="宋体" w:hAnsi="宋体" w:cs="宋体"/>
          <w:b/>
          <w:bCs/>
          <w:color w:val="auto"/>
          <w:sz w:val="24"/>
          <w:szCs w:val="24"/>
          <w:highlight w:val="none"/>
        </w:rPr>
        <w:t>投标函格式：</w:t>
      </w:r>
    </w:p>
    <w:p>
      <w:pPr>
        <w:snapToGrid w:val="0"/>
        <w:jc w:val="center"/>
        <w:rPr>
          <w:rFonts w:ascii="宋体"/>
          <w:b/>
          <w:bCs/>
          <w:color w:val="auto"/>
          <w:sz w:val="32"/>
          <w:szCs w:val="32"/>
          <w:highlight w:val="none"/>
        </w:rPr>
      </w:pPr>
      <w:r>
        <w:rPr>
          <w:rFonts w:hint="eastAsia" w:ascii="宋体" w:hAnsi="宋体" w:cs="宋体"/>
          <w:b/>
          <w:bCs/>
          <w:color w:val="auto"/>
          <w:sz w:val="32"/>
          <w:szCs w:val="32"/>
          <w:highlight w:val="none"/>
        </w:rPr>
        <w:t>投标函</w:t>
      </w:r>
    </w:p>
    <w:p>
      <w:pPr>
        <w:snapToGrid w:val="0"/>
        <w:jc w:val="center"/>
        <w:rPr>
          <w:rFonts w:ascii="宋体"/>
          <w:b/>
          <w:bCs/>
          <w:color w:val="auto"/>
          <w:sz w:val="24"/>
          <w:szCs w:val="24"/>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致：</w:t>
      </w:r>
      <w:r>
        <w:rPr>
          <w:rFonts w:ascii="宋体" w:hAnsi="宋体" w:cs="宋体"/>
          <w:color w:val="auto"/>
          <w:sz w:val="24"/>
          <w:szCs w:val="24"/>
          <w:highlight w:val="none"/>
        </w:rPr>
        <w:t>______</w:t>
      </w:r>
      <w:r>
        <w:rPr>
          <w:rFonts w:ascii="宋体" w:hAnsi="宋体" w:cs="宋体"/>
          <w:color w:val="auto"/>
          <w:sz w:val="24"/>
          <w:szCs w:val="24"/>
          <w:highlight w:val="none"/>
          <w:u w:val="single"/>
        </w:rPr>
        <w:t>_     _</w:t>
      </w:r>
      <w:r>
        <w:rPr>
          <w:rFonts w:ascii="宋体" w:hAnsi="宋体" w:cs="宋体"/>
          <w:color w:val="auto"/>
          <w:sz w:val="24"/>
          <w:szCs w:val="24"/>
          <w:highlight w:val="none"/>
        </w:rPr>
        <w:t>_</w:t>
      </w:r>
      <w:r>
        <w:rPr>
          <w:rFonts w:hint="eastAsia" w:ascii="宋体" w:hAnsi="宋体" w:cs="宋体"/>
          <w:color w:val="auto"/>
          <w:sz w:val="24"/>
          <w:szCs w:val="24"/>
          <w:highlight w:val="none"/>
        </w:rPr>
        <w:t>（招标采购单位名称）：</w:t>
      </w:r>
    </w:p>
    <w:p>
      <w:pPr>
        <w:snapToGrid w:val="0"/>
        <w:ind w:firstLine="480"/>
        <w:rPr>
          <w:rFonts w:ascii="宋体"/>
          <w:color w:val="auto"/>
          <w:sz w:val="24"/>
          <w:szCs w:val="24"/>
          <w:highlight w:val="none"/>
        </w:rPr>
      </w:pPr>
      <w:r>
        <w:rPr>
          <w:rFonts w:hint="eastAsia" w:ascii="宋体" w:hAnsi="宋体" w:cs="宋体"/>
          <w:color w:val="auto"/>
          <w:sz w:val="24"/>
          <w:szCs w:val="24"/>
          <w:highlight w:val="none"/>
        </w:rPr>
        <w:t>根据贵方为项目的招标公告（项目编号：</w:t>
      </w:r>
      <w:r>
        <w:rPr>
          <w:rFonts w:ascii="宋体" w:hAnsi="宋体" w:cs="宋体"/>
          <w:color w:val="auto"/>
          <w:sz w:val="24"/>
          <w:szCs w:val="24"/>
          <w:highlight w:val="none"/>
        </w:rPr>
        <w:t>____</w:t>
      </w:r>
      <w:r>
        <w:rPr>
          <w:rFonts w:hint="eastAsia" w:ascii="宋体" w:hAnsi="宋体" w:cs="宋体"/>
          <w:color w:val="auto"/>
          <w:sz w:val="24"/>
          <w:szCs w:val="24"/>
          <w:highlight w:val="none"/>
        </w:rPr>
        <w:t>），签字代表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（全名）经正式授权并代表投标人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投标人名称）提交投标文件正本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份、副本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份。</w:t>
      </w:r>
    </w:p>
    <w:p>
      <w:pPr>
        <w:snapToGrid w:val="0"/>
        <w:ind w:firstLine="480" w:firstLineChars="200"/>
        <w:rPr>
          <w:rFonts w:ascii="宋体"/>
          <w:color w:val="auto"/>
          <w:sz w:val="24"/>
          <w:szCs w:val="24"/>
          <w:highlight w:val="none"/>
        </w:rPr>
      </w:pPr>
      <w:r>
        <w:rPr>
          <w:rFonts w:hint="eastAsia" w:ascii="宋体" w:hAnsi="宋体" w:cs="宋体"/>
          <w:color w:val="auto"/>
          <w:sz w:val="24"/>
          <w:szCs w:val="24"/>
          <w:highlight w:val="none"/>
        </w:rPr>
        <w:t>据此函，签字代表宣布同意如下：</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投标人已详细审查全部“招标文件”，包括修改文件（如有的话）以及全部参考资料和有关附件，已经了解我方对于招标文件、采购过程、采购结果有依法进行询问、质疑、投诉的权利及相关渠道和要求。</w:t>
      </w:r>
    </w:p>
    <w:p>
      <w:pPr>
        <w:pStyle w:val="24"/>
        <w:snapToGrid w:val="0"/>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、按投标报价明细表报价。</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投标人在投标之前已经与贵方进行了充分的沟通，完全理解并接受招标文件的各项规定和要求，对招标文件的合理性、合法性不再有异议。</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本项目投标有效期为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如中标，本投标文件至本项目合同履行完毕止均保持有效，本投标人将按“招标文件”及政府采购法律、法规的规定履行合同责任和义务。</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投标人同意按照贵方要求提供与投标有关的一切数据或资料。</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与本投标有关的一切正式往来信函请寄：</w:t>
      </w:r>
    </w:p>
    <w:p>
      <w:pPr>
        <w:snapToGrid w:val="0"/>
        <w:ind w:firstLine="480" w:firstLineChars="200"/>
        <w:rPr>
          <w:rFonts w:asci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rPr>
        <w:t>____________</w:t>
      </w:r>
      <w:r>
        <w:rPr>
          <w:rFonts w:hint="eastAsia" w:ascii="宋体" w:hAnsi="宋体" w:cs="宋体"/>
          <w:color w:val="auto"/>
          <w:sz w:val="24"/>
          <w:szCs w:val="24"/>
          <w:highlight w:val="none"/>
        </w:rPr>
        <w:t>邮编：</w:t>
      </w:r>
      <w:r>
        <w:rPr>
          <w:rFonts w:ascii="宋体" w:hAnsi="宋体" w:cs="宋体"/>
          <w:color w:val="auto"/>
          <w:sz w:val="24"/>
          <w:szCs w:val="24"/>
          <w:highlight w:val="none"/>
        </w:rPr>
        <w:t xml:space="preserve">__________   </w:t>
      </w:r>
      <w:r>
        <w:rPr>
          <w:rFonts w:hint="eastAsia" w:ascii="宋体" w:hAnsi="宋体" w:cs="宋体"/>
          <w:color w:val="auto"/>
          <w:sz w:val="24"/>
          <w:szCs w:val="24"/>
          <w:highlight w:val="none"/>
        </w:rPr>
        <w:t>电话：</w:t>
      </w:r>
      <w:r>
        <w:rPr>
          <w:rFonts w:ascii="宋体" w:hAnsi="宋体" w:cs="宋体"/>
          <w:color w:val="auto"/>
          <w:sz w:val="24"/>
          <w:szCs w:val="24"/>
          <w:highlight w:val="none"/>
        </w:rPr>
        <w:t>_____________</w:t>
      </w:r>
    </w:p>
    <w:p>
      <w:pPr>
        <w:snapToGrid w:val="0"/>
        <w:ind w:firstLine="480" w:firstLineChars="200"/>
        <w:rPr>
          <w:rFonts w:ascii="宋体"/>
          <w:color w:val="auto"/>
          <w:sz w:val="24"/>
          <w:szCs w:val="24"/>
          <w:highlight w:val="none"/>
        </w:rPr>
      </w:pPr>
    </w:p>
    <w:p>
      <w:pPr>
        <w:snapToGrid w:val="0"/>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r>
        <w:rPr>
          <w:rFonts w:ascii="宋体" w:hAnsi="宋体" w:cs="宋体"/>
          <w:color w:val="auto"/>
          <w:sz w:val="24"/>
          <w:szCs w:val="24"/>
          <w:highlight w:val="none"/>
        </w:rPr>
        <w:t xml:space="preserve">___________   </w:t>
      </w:r>
      <w:r>
        <w:rPr>
          <w:rFonts w:hint="eastAsia" w:ascii="宋体" w:hAnsi="宋体" w:cs="宋体"/>
          <w:color w:val="auto"/>
          <w:sz w:val="24"/>
          <w:szCs w:val="24"/>
          <w:highlight w:val="none"/>
        </w:rPr>
        <w:t>投标人代表姓名</w:t>
      </w:r>
      <w:r>
        <w:rPr>
          <w:rFonts w:ascii="宋体" w:hAnsi="宋体" w:cs="宋体"/>
          <w:color w:val="auto"/>
          <w:sz w:val="24"/>
          <w:szCs w:val="24"/>
          <w:highlight w:val="none"/>
        </w:rPr>
        <w:t xml:space="preserve"> _________ </w:t>
      </w:r>
      <w:r>
        <w:rPr>
          <w:rFonts w:hint="eastAsia" w:ascii="宋体" w:hAnsi="宋体" w:cs="宋体"/>
          <w:color w:val="auto"/>
          <w:sz w:val="24"/>
          <w:szCs w:val="24"/>
          <w:highlight w:val="none"/>
        </w:rPr>
        <w:t>职务：</w:t>
      </w:r>
      <w:r>
        <w:rPr>
          <w:rFonts w:ascii="宋体" w:hAnsi="宋体" w:cs="宋体"/>
          <w:color w:val="auto"/>
          <w:sz w:val="24"/>
          <w:szCs w:val="24"/>
          <w:highlight w:val="none"/>
        </w:rPr>
        <w:t>_____________</w:t>
      </w:r>
    </w:p>
    <w:p>
      <w:pPr>
        <w:snapToGrid w:val="0"/>
        <w:rPr>
          <w:rFonts w:ascii="宋体"/>
          <w:color w:val="auto"/>
          <w:sz w:val="24"/>
          <w:szCs w:val="24"/>
          <w:highlight w:val="none"/>
        </w:rPr>
      </w:pPr>
    </w:p>
    <w:p>
      <w:pPr>
        <w:snapToGrid w:val="0"/>
        <w:ind w:firstLine="360" w:firstLineChars="150"/>
        <w:rPr>
          <w:rFonts w:ascii="宋体"/>
          <w:color w:val="auto"/>
          <w:sz w:val="24"/>
          <w:szCs w:val="24"/>
          <w:highlight w:val="none"/>
        </w:rPr>
      </w:pPr>
      <w:r>
        <w:rPr>
          <w:rFonts w:hint="eastAsia" w:ascii="宋体" w:hAnsi="宋体" w:cs="宋体"/>
          <w:color w:val="auto"/>
          <w:sz w:val="24"/>
          <w:szCs w:val="24"/>
          <w:highlight w:val="none"/>
        </w:rPr>
        <w:t>投标人名称</w:t>
      </w:r>
      <w:r>
        <w:rPr>
          <w:rFonts w:ascii="宋体" w:hAnsi="宋体" w:cs="宋体"/>
          <w:color w:val="auto"/>
          <w:sz w:val="24"/>
          <w:szCs w:val="24"/>
          <w:highlight w:val="none"/>
        </w:rPr>
        <w:t>:_________________</w:t>
      </w:r>
    </w:p>
    <w:p>
      <w:pPr>
        <w:snapToGrid w:val="0"/>
        <w:ind w:firstLine="360" w:firstLineChars="150"/>
        <w:rPr>
          <w:rFonts w:ascii="宋体"/>
          <w:color w:val="auto"/>
          <w:sz w:val="24"/>
          <w:szCs w:val="24"/>
          <w:highlight w:val="none"/>
        </w:rPr>
      </w:pPr>
      <w:r>
        <w:rPr>
          <w:rFonts w:hint="eastAsia" w:ascii="宋体" w:hAnsi="宋体" w:cs="宋体"/>
          <w:color w:val="auto"/>
          <w:sz w:val="24"/>
          <w:szCs w:val="24"/>
          <w:highlight w:val="none"/>
        </w:rPr>
        <w:t>开户银行：银行帐号：</w:t>
      </w:r>
    </w:p>
    <w:p>
      <w:pPr>
        <w:snapToGrid w:val="0"/>
        <w:jc w:val="center"/>
        <w:rPr>
          <w:rFonts w:ascii="宋体"/>
          <w:color w:val="auto"/>
          <w:sz w:val="24"/>
          <w:szCs w:val="24"/>
          <w:highlight w:val="none"/>
        </w:rPr>
      </w:pPr>
    </w:p>
    <w:p>
      <w:pPr>
        <w:snapToGrid w:val="0"/>
        <w:jc w:val="center"/>
        <w:rPr>
          <w:rFonts w:ascii="宋体"/>
          <w:color w:val="auto"/>
          <w:sz w:val="24"/>
          <w:szCs w:val="24"/>
          <w:highlight w:val="none"/>
        </w:rPr>
      </w:pPr>
    </w:p>
    <w:p>
      <w:pPr>
        <w:snapToGrid w:val="0"/>
        <w:ind w:firstLine="5040" w:firstLineChars="2100"/>
        <w:rPr>
          <w:rFonts w:ascii="宋体"/>
          <w:color w:val="auto"/>
          <w:sz w:val="24"/>
          <w:szCs w:val="24"/>
          <w:highlight w:val="none"/>
        </w:rPr>
      </w:pPr>
    </w:p>
    <w:p>
      <w:pPr>
        <w:snapToGrid w:val="0"/>
        <w:ind w:firstLine="1920" w:firstLineChars="800"/>
        <w:rPr>
          <w:rFonts w:ascii="宋体" w:hAnsi="宋体" w:cs="宋体"/>
          <w:color w:val="auto"/>
          <w:sz w:val="24"/>
          <w:szCs w:val="24"/>
          <w:highlight w:val="none"/>
        </w:rPr>
      </w:pPr>
    </w:p>
    <w:p>
      <w:pPr>
        <w:snapToGrid w:val="0"/>
        <w:ind w:left="149" w:hanging="148" w:hangingChars="62"/>
        <w:rPr>
          <w:rFonts w:ascii="宋体" w:cs="宋体"/>
          <w:color w:val="auto"/>
          <w:sz w:val="24"/>
          <w:szCs w:val="24"/>
          <w:highlight w:val="none"/>
        </w:rPr>
      </w:pPr>
      <w:r>
        <w:rPr>
          <w:rFonts w:hint="eastAsia" w:ascii="宋体" w:hAnsi="宋体" w:cs="宋体"/>
          <w:color w:val="auto"/>
          <w:sz w:val="24"/>
          <w:szCs w:val="24"/>
          <w:highlight w:val="none"/>
        </w:rPr>
        <w:t>投标人（盖单位公章，自然人除外）：</w:t>
      </w:r>
    </w:p>
    <w:p>
      <w:pPr>
        <w:snapToGrid w:val="0"/>
        <w:ind w:firstLine="1920" w:firstLineChars="800"/>
        <w:rPr>
          <w:rFonts w:ascii="宋体" w:cs="宋体"/>
          <w:color w:val="auto"/>
          <w:sz w:val="24"/>
          <w:szCs w:val="24"/>
          <w:highlight w:val="none"/>
        </w:rPr>
      </w:pPr>
    </w:p>
    <w:p>
      <w:pPr>
        <w:rPr>
          <w:rFonts w:ascii="宋体" w:cs="宋体"/>
          <w:color w:val="auto"/>
          <w:sz w:val="24"/>
          <w:szCs w:val="24"/>
          <w:highlight w:val="none"/>
        </w:rPr>
      </w:pPr>
      <w:r>
        <w:rPr>
          <w:rFonts w:hint="eastAsia" w:ascii="宋体" w:hAnsi="宋体" w:cs="宋体"/>
          <w:color w:val="auto"/>
          <w:sz w:val="24"/>
          <w:szCs w:val="24"/>
          <w:highlight w:val="none"/>
        </w:rPr>
        <w:t>法定代表人或其委托代理人（签字或盖章）：</w:t>
      </w:r>
    </w:p>
    <w:p>
      <w:pPr>
        <w:snapToGrid w:val="0"/>
        <w:rPr>
          <w:rFonts w:ascii="宋体" w:cs="宋体"/>
          <w:color w:val="auto"/>
          <w:sz w:val="24"/>
          <w:szCs w:val="24"/>
          <w:highlight w:val="none"/>
        </w:rPr>
      </w:pPr>
      <w:r>
        <w:rPr>
          <w:rFonts w:hint="eastAsia" w:ascii="宋体" w:hAnsi="宋体" w:cs="宋体"/>
          <w:color w:val="auto"/>
          <w:sz w:val="24"/>
          <w:szCs w:val="24"/>
          <w:highlight w:val="none"/>
        </w:rPr>
        <w:t>（投标人属自然人的应由自然人签字并加盖指印，投标人若为其他组织形式无法定代表人的应由机构负责人签字或盖章）</w:t>
      </w:r>
    </w:p>
    <w:p>
      <w:pPr>
        <w:snapToGrid w:val="0"/>
        <w:ind w:firstLine="2280" w:firstLineChars="950"/>
        <w:rPr>
          <w:rFonts w:ascii="宋体" w:cs="宋体"/>
          <w:color w:val="auto"/>
          <w:sz w:val="24"/>
          <w:szCs w:val="24"/>
          <w:highlight w:val="none"/>
        </w:rPr>
      </w:pPr>
    </w:p>
    <w:p>
      <w:pPr>
        <w:snapToGrid w:val="0"/>
        <w:rPr>
          <w:rFonts w:asci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widowControl/>
        <w:jc w:val="left"/>
        <w:rPr>
          <w:rFonts w:ascii="宋体"/>
          <w:color w:val="auto"/>
          <w:highlight w:val="none"/>
        </w:rPr>
      </w:pPr>
      <w:r>
        <w:rPr>
          <w:rFonts w:ascii="宋体"/>
          <w:color w:val="auto"/>
          <w:highlight w:val="none"/>
        </w:rPr>
        <w:br w:type="page"/>
      </w:r>
    </w:p>
    <w:p>
      <w:pPr>
        <w:snapToGrid w:val="0"/>
        <w:ind w:firstLine="2289" w:firstLineChars="950"/>
        <w:rPr>
          <w:rFonts w:ascii="宋体"/>
          <w:b/>
          <w:bCs/>
          <w:color w:val="auto"/>
          <w:sz w:val="24"/>
          <w:szCs w:val="24"/>
          <w:highlight w:val="none"/>
        </w:rPr>
      </w:pPr>
    </w:p>
    <w:p>
      <w:pPr>
        <w:snapToGrid w:val="0"/>
        <w:rPr>
          <w:rFonts w:ascii="宋体"/>
          <w:b/>
          <w:bCs/>
          <w:color w:val="auto"/>
          <w:sz w:val="24"/>
          <w:szCs w:val="24"/>
          <w:highlight w:val="none"/>
        </w:rPr>
      </w:pPr>
      <w:r>
        <w:rPr>
          <w:rFonts w:hint="eastAsia" w:ascii="宋体" w:hAnsi="宋体" w:cs="宋体"/>
          <w:b/>
          <w:bCs/>
          <w:color w:val="auto"/>
          <w:sz w:val="24"/>
          <w:szCs w:val="24"/>
          <w:highlight w:val="none"/>
        </w:rPr>
        <w:t>投标报价明细表格式：</w:t>
      </w:r>
    </w:p>
    <w:p>
      <w:pPr>
        <w:pStyle w:val="24"/>
        <w:snapToGrid w:val="0"/>
        <w:jc w:val="center"/>
        <w:rPr>
          <w:rFonts w:hAnsi="宋体" w:cs="Times New Roman"/>
          <w:b/>
          <w:bCs/>
          <w:color w:val="auto"/>
          <w:sz w:val="32"/>
          <w:szCs w:val="32"/>
          <w:highlight w:val="none"/>
        </w:rPr>
      </w:pPr>
    </w:p>
    <w:p>
      <w:pPr>
        <w:pStyle w:val="24"/>
        <w:snapToGrid w:val="0"/>
        <w:jc w:val="center"/>
        <w:rPr>
          <w:rFonts w:hAnsi="宋体" w:cs="Times New Roman"/>
          <w:b/>
          <w:bCs/>
          <w:color w:val="auto"/>
          <w:sz w:val="32"/>
          <w:szCs w:val="32"/>
          <w:highlight w:val="none"/>
        </w:rPr>
      </w:pPr>
      <w:r>
        <w:rPr>
          <w:rFonts w:hint="eastAsia" w:hAnsi="宋体"/>
          <w:b/>
          <w:bCs/>
          <w:color w:val="auto"/>
          <w:sz w:val="32"/>
          <w:szCs w:val="32"/>
          <w:highlight w:val="none"/>
        </w:rPr>
        <w:t>投标报价明细表</w:t>
      </w:r>
    </w:p>
    <w:tbl>
      <w:tblPr>
        <w:tblStyle w:val="37"/>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1468"/>
        <w:gridCol w:w="1065"/>
        <w:gridCol w:w="1245"/>
        <w:gridCol w:w="1065"/>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vAlign w:val="center"/>
          </w:tcPr>
          <w:p>
            <w:pPr>
              <w:rPr>
                <w:rFonts w:eastAsia="仿宋_GB2312"/>
                <w:color w:val="auto"/>
                <w:highlight w:val="none"/>
              </w:rPr>
            </w:pPr>
            <w:r>
              <w:rPr>
                <w:rFonts w:hint="eastAsia" w:eastAsia="仿宋_GB2312" w:cs="仿宋_GB2312"/>
                <w:color w:val="auto"/>
                <w:highlight w:val="none"/>
              </w:rPr>
              <w:t>序号</w:t>
            </w:r>
          </w:p>
        </w:tc>
        <w:tc>
          <w:tcPr>
            <w:tcW w:w="1260" w:type="dxa"/>
            <w:vAlign w:val="center"/>
          </w:tcPr>
          <w:p>
            <w:pPr>
              <w:rPr>
                <w:rFonts w:eastAsia="仿宋_GB2312"/>
                <w:color w:val="auto"/>
                <w:highlight w:val="none"/>
              </w:rPr>
            </w:pPr>
            <w:r>
              <w:rPr>
                <w:rFonts w:hint="eastAsia" w:eastAsia="仿宋_GB2312" w:cs="仿宋_GB2312"/>
                <w:color w:val="auto"/>
                <w:highlight w:val="none"/>
              </w:rPr>
              <w:t>服务名称</w:t>
            </w:r>
          </w:p>
        </w:tc>
        <w:tc>
          <w:tcPr>
            <w:tcW w:w="1468" w:type="dxa"/>
            <w:vAlign w:val="center"/>
          </w:tcPr>
          <w:p>
            <w:pPr>
              <w:jc w:val="center"/>
              <w:rPr>
                <w:rFonts w:eastAsia="仿宋_GB2312"/>
                <w:color w:val="auto"/>
                <w:highlight w:val="none"/>
              </w:rPr>
            </w:pPr>
            <w:r>
              <w:rPr>
                <w:rFonts w:hint="eastAsia" w:eastAsia="仿宋_GB2312" w:cs="仿宋_GB2312"/>
                <w:color w:val="auto"/>
                <w:highlight w:val="none"/>
              </w:rPr>
              <w:t>服务内容</w:t>
            </w:r>
          </w:p>
        </w:tc>
        <w:tc>
          <w:tcPr>
            <w:tcW w:w="1065" w:type="dxa"/>
            <w:vAlign w:val="center"/>
          </w:tcPr>
          <w:p>
            <w:pPr>
              <w:jc w:val="center"/>
              <w:rPr>
                <w:rFonts w:eastAsia="仿宋_GB2312"/>
                <w:color w:val="auto"/>
                <w:highlight w:val="none"/>
              </w:rPr>
            </w:pPr>
            <w:r>
              <w:rPr>
                <w:rFonts w:hint="eastAsia" w:eastAsia="仿宋_GB2312" w:cs="仿宋_GB2312"/>
                <w:color w:val="auto"/>
                <w:highlight w:val="none"/>
              </w:rPr>
              <w:t>数量①</w:t>
            </w:r>
          </w:p>
        </w:tc>
        <w:tc>
          <w:tcPr>
            <w:tcW w:w="1245" w:type="dxa"/>
            <w:vAlign w:val="center"/>
          </w:tcPr>
          <w:p>
            <w:pPr>
              <w:rPr>
                <w:rFonts w:eastAsia="仿宋_GB2312"/>
                <w:color w:val="auto"/>
                <w:highlight w:val="none"/>
              </w:rPr>
            </w:pPr>
            <w:r>
              <w:rPr>
                <w:rFonts w:hint="eastAsia" w:eastAsia="仿宋_GB2312" w:cs="仿宋_GB2312"/>
                <w:color w:val="auto"/>
                <w:highlight w:val="none"/>
              </w:rPr>
              <w:t>单价</w:t>
            </w:r>
            <w:r>
              <w:rPr>
                <w:rFonts w:eastAsia="仿宋_GB2312"/>
                <w:color w:val="auto"/>
                <w:highlight w:val="none"/>
              </w:rPr>
              <w:t>(</w:t>
            </w:r>
            <w:r>
              <w:rPr>
                <w:rFonts w:hint="eastAsia" w:eastAsia="仿宋_GB2312" w:cs="仿宋_GB2312"/>
                <w:color w:val="auto"/>
                <w:highlight w:val="none"/>
              </w:rPr>
              <w:t>元</w:t>
            </w:r>
            <w:r>
              <w:rPr>
                <w:rFonts w:eastAsia="仿宋_GB2312"/>
                <w:color w:val="auto"/>
                <w:highlight w:val="none"/>
              </w:rPr>
              <w:t>)</w:t>
            </w:r>
            <w:r>
              <w:rPr>
                <w:rFonts w:hint="eastAsia" w:ascii="宋体" w:hAnsi="宋体" w:cs="宋体"/>
                <w:color w:val="auto"/>
                <w:highlight w:val="none"/>
              </w:rPr>
              <w:t>②</w:t>
            </w:r>
          </w:p>
        </w:tc>
        <w:tc>
          <w:tcPr>
            <w:tcW w:w="1065" w:type="dxa"/>
            <w:vAlign w:val="center"/>
          </w:tcPr>
          <w:p>
            <w:pPr>
              <w:rPr>
                <w:rFonts w:eastAsia="仿宋_GB2312"/>
                <w:color w:val="auto"/>
                <w:highlight w:val="none"/>
              </w:rPr>
            </w:pPr>
            <w:r>
              <w:rPr>
                <w:rFonts w:hint="eastAsia" w:eastAsia="仿宋_GB2312" w:cs="仿宋_GB2312"/>
                <w:color w:val="auto"/>
                <w:highlight w:val="none"/>
              </w:rPr>
              <w:t>单项合价（元）</w:t>
            </w:r>
          </w:p>
          <w:p>
            <w:pPr>
              <w:rPr>
                <w:rFonts w:eastAsia="仿宋_GB2312"/>
                <w:color w:val="auto"/>
                <w:highlight w:val="none"/>
              </w:rPr>
            </w:pPr>
            <w:r>
              <w:rPr>
                <w:rFonts w:hint="eastAsia" w:eastAsia="仿宋_GB2312" w:cs="仿宋_GB2312"/>
                <w:color w:val="auto"/>
                <w:highlight w:val="none"/>
              </w:rPr>
              <w:t>③＝①</w:t>
            </w:r>
            <w:r>
              <w:rPr>
                <w:rFonts w:eastAsia="仿宋_GB2312"/>
                <w:color w:val="auto"/>
                <w:highlight w:val="none"/>
              </w:rPr>
              <w:t>×</w:t>
            </w:r>
            <w:r>
              <w:rPr>
                <w:rFonts w:hint="eastAsia" w:ascii="宋体" w:hAnsi="宋体" w:cs="宋体"/>
                <w:color w:val="auto"/>
                <w:highlight w:val="none"/>
              </w:rPr>
              <w:t>②</w:t>
            </w:r>
          </w:p>
        </w:tc>
        <w:tc>
          <w:tcPr>
            <w:tcW w:w="2036" w:type="dxa"/>
            <w:vAlign w:val="center"/>
          </w:tcPr>
          <w:p>
            <w:pPr>
              <w:rPr>
                <w:rFonts w:eastAsia="仿宋_GB2312"/>
                <w:color w:val="auto"/>
                <w:highlight w:val="none"/>
              </w:rPr>
            </w:pPr>
            <w:r>
              <w:rPr>
                <w:rFonts w:hint="eastAsia" w:eastAsia="仿宋_GB2312" w:cs="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vAlign w:val="center"/>
          </w:tcPr>
          <w:p>
            <w:pPr>
              <w:rPr>
                <w:rFonts w:eastAsia="仿宋_GB2312"/>
                <w:color w:val="auto"/>
                <w:highlight w:val="none"/>
              </w:rPr>
            </w:pPr>
            <w:r>
              <w:rPr>
                <w:rFonts w:eastAsia="仿宋_GB2312"/>
                <w:color w:val="auto"/>
                <w:highlight w:val="none"/>
              </w:rPr>
              <w:t>1</w:t>
            </w:r>
          </w:p>
        </w:tc>
        <w:tc>
          <w:tcPr>
            <w:tcW w:w="1260" w:type="dxa"/>
            <w:vAlign w:val="center"/>
          </w:tcPr>
          <w:p>
            <w:pPr>
              <w:rPr>
                <w:rFonts w:eastAsia="仿宋_GB2312"/>
                <w:color w:val="auto"/>
                <w:highlight w:val="none"/>
              </w:rPr>
            </w:pPr>
          </w:p>
        </w:tc>
        <w:tc>
          <w:tcPr>
            <w:tcW w:w="1468" w:type="dxa"/>
            <w:vAlign w:val="center"/>
          </w:tcPr>
          <w:p>
            <w:pPr>
              <w:rPr>
                <w:rFonts w:eastAsia="仿宋_GB2312"/>
                <w:color w:val="auto"/>
                <w:highlight w:val="none"/>
              </w:rPr>
            </w:pPr>
          </w:p>
        </w:tc>
        <w:tc>
          <w:tcPr>
            <w:tcW w:w="1065" w:type="dxa"/>
            <w:vAlign w:val="center"/>
          </w:tcPr>
          <w:p>
            <w:pPr>
              <w:rPr>
                <w:rFonts w:eastAsia="仿宋_GB2312"/>
                <w:color w:val="auto"/>
                <w:highlight w:val="none"/>
              </w:rPr>
            </w:pPr>
            <w:r>
              <w:rPr>
                <w:rFonts w:hint="eastAsia" w:eastAsia="仿宋_GB2312" w:cs="仿宋_GB2312"/>
                <w:color w:val="auto"/>
                <w:highlight w:val="none"/>
              </w:rPr>
              <w:t>35.4511公顷</w:t>
            </w:r>
          </w:p>
        </w:tc>
        <w:tc>
          <w:tcPr>
            <w:tcW w:w="1245" w:type="dxa"/>
            <w:vAlign w:val="center"/>
          </w:tcPr>
          <w:p>
            <w:pPr>
              <w:rPr>
                <w:rFonts w:eastAsia="仿宋_GB2312"/>
                <w:color w:val="auto"/>
                <w:highlight w:val="none"/>
              </w:rPr>
            </w:pPr>
          </w:p>
        </w:tc>
        <w:tc>
          <w:tcPr>
            <w:tcW w:w="1065" w:type="dxa"/>
            <w:vAlign w:val="center"/>
          </w:tcPr>
          <w:p>
            <w:pPr>
              <w:rPr>
                <w:rFonts w:eastAsia="仿宋_GB2312"/>
                <w:color w:val="auto"/>
                <w:highlight w:val="none"/>
              </w:rPr>
            </w:pPr>
          </w:p>
        </w:tc>
        <w:tc>
          <w:tcPr>
            <w:tcW w:w="2036" w:type="dxa"/>
            <w:vAlign w:val="center"/>
          </w:tcPr>
          <w:p>
            <w:pPr>
              <w:rPr>
                <w:rFonts w:eastAsia="仿宋_GB2312"/>
                <w:color w:val="auto"/>
                <w:highlight w:val="none"/>
              </w:rPr>
            </w:pPr>
            <w:r>
              <w:rPr>
                <w:rFonts w:hint="eastAsia" w:eastAsia="仿宋_GB2312"/>
                <w:color w:val="auto"/>
                <w:highlight w:val="none"/>
                <w:lang w:val="en-US" w:eastAsia="zh-CN"/>
              </w:rPr>
              <w:t>当最终批复的水田报备入库面积超过35.4511公顷，并且结算总价超过本项目的最高限价时，双方另行协商解决，其中，结算单价按中标的报价计取。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vAlign w:val="center"/>
          </w:tcPr>
          <w:p>
            <w:pPr>
              <w:rPr>
                <w:rFonts w:eastAsia="仿宋_GB2312"/>
                <w:color w:val="auto"/>
                <w:highlight w:val="none"/>
              </w:rPr>
            </w:pPr>
            <w:r>
              <w:rPr>
                <w:rFonts w:eastAsia="仿宋_GB2312"/>
                <w:color w:val="auto"/>
                <w:highlight w:val="none"/>
              </w:rPr>
              <w:t>2</w:t>
            </w:r>
          </w:p>
        </w:tc>
        <w:tc>
          <w:tcPr>
            <w:tcW w:w="1260" w:type="dxa"/>
            <w:vAlign w:val="center"/>
          </w:tcPr>
          <w:p>
            <w:pPr>
              <w:rPr>
                <w:rFonts w:eastAsia="仿宋_GB2312"/>
                <w:color w:val="auto"/>
                <w:highlight w:val="none"/>
              </w:rPr>
            </w:pPr>
          </w:p>
        </w:tc>
        <w:tc>
          <w:tcPr>
            <w:tcW w:w="1468" w:type="dxa"/>
            <w:vAlign w:val="center"/>
          </w:tcPr>
          <w:p>
            <w:pPr>
              <w:rPr>
                <w:rFonts w:eastAsia="仿宋_GB2312"/>
                <w:color w:val="auto"/>
                <w:highlight w:val="none"/>
              </w:rPr>
            </w:pPr>
          </w:p>
        </w:tc>
        <w:tc>
          <w:tcPr>
            <w:tcW w:w="1065" w:type="dxa"/>
            <w:vAlign w:val="center"/>
          </w:tcPr>
          <w:p>
            <w:pPr>
              <w:rPr>
                <w:rFonts w:eastAsia="仿宋_GB2312"/>
                <w:color w:val="auto"/>
                <w:highlight w:val="none"/>
              </w:rPr>
            </w:pPr>
          </w:p>
        </w:tc>
        <w:tc>
          <w:tcPr>
            <w:tcW w:w="1245" w:type="dxa"/>
            <w:vAlign w:val="center"/>
          </w:tcPr>
          <w:p>
            <w:pPr>
              <w:rPr>
                <w:rFonts w:eastAsia="仿宋_GB2312"/>
                <w:color w:val="auto"/>
                <w:highlight w:val="none"/>
              </w:rPr>
            </w:pPr>
          </w:p>
        </w:tc>
        <w:tc>
          <w:tcPr>
            <w:tcW w:w="1065" w:type="dxa"/>
            <w:vAlign w:val="center"/>
          </w:tcPr>
          <w:p>
            <w:pPr>
              <w:rPr>
                <w:rFonts w:eastAsia="仿宋_GB2312"/>
                <w:color w:val="auto"/>
                <w:highlight w:val="none"/>
              </w:rPr>
            </w:pPr>
          </w:p>
        </w:tc>
        <w:tc>
          <w:tcPr>
            <w:tcW w:w="2036"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vAlign w:val="center"/>
          </w:tcPr>
          <w:p>
            <w:pPr>
              <w:rPr>
                <w:rFonts w:eastAsia="仿宋_GB2312"/>
                <w:color w:val="auto"/>
                <w:highlight w:val="none"/>
              </w:rPr>
            </w:pPr>
            <w:r>
              <w:rPr>
                <w:rFonts w:eastAsia="仿宋_GB2312"/>
                <w:color w:val="auto"/>
                <w:highlight w:val="none"/>
              </w:rPr>
              <w:t>...</w:t>
            </w:r>
          </w:p>
        </w:tc>
        <w:tc>
          <w:tcPr>
            <w:tcW w:w="1260" w:type="dxa"/>
            <w:vAlign w:val="center"/>
          </w:tcPr>
          <w:p>
            <w:pPr>
              <w:rPr>
                <w:rFonts w:eastAsia="仿宋_GB2312"/>
                <w:color w:val="auto"/>
                <w:highlight w:val="none"/>
              </w:rPr>
            </w:pPr>
          </w:p>
        </w:tc>
        <w:tc>
          <w:tcPr>
            <w:tcW w:w="1468" w:type="dxa"/>
            <w:vAlign w:val="center"/>
          </w:tcPr>
          <w:p>
            <w:pPr>
              <w:rPr>
                <w:rFonts w:eastAsia="仿宋_GB2312"/>
                <w:color w:val="auto"/>
                <w:highlight w:val="none"/>
              </w:rPr>
            </w:pPr>
          </w:p>
        </w:tc>
        <w:tc>
          <w:tcPr>
            <w:tcW w:w="1065" w:type="dxa"/>
            <w:vAlign w:val="center"/>
          </w:tcPr>
          <w:p>
            <w:pPr>
              <w:rPr>
                <w:rFonts w:eastAsia="仿宋_GB2312"/>
                <w:color w:val="auto"/>
                <w:highlight w:val="none"/>
              </w:rPr>
            </w:pPr>
          </w:p>
        </w:tc>
        <w:tc>
          <w:tcPr>
            <w:tcW w:w="1245" w:type="dxa"/>
            <w:vAlign w:val="center"/>
          </w:tcPr>
          <w:p>
            <w:pPr>
              <w:rPr>
                <w:rFonts w:eastAsia="仿宋_GB2312"/>
                <w:color w:val="auto"/>
                <w:highlight w:val="none"/>
              </w:rPr>
            </w:pPr>
          </w:p>
        </w:tc>
        <w:tc>
          <w:tcPr>
            <w:tcW w:w="1065" w:type="dxa"/>
            <w:vAlign w:val="center"/>
          </w:tcPr>
          <w:p>
            <w:pPr>
              <w:rPr>
                <w:rFonts w:eastAsia="仿宋_GB2312"/>
                <w:color w:val="auto"/>
                <w:highlight w:val="none"/>
              </w:rPr>
            </w:pPr>
          </w:p>
        </w:tc>
        <w:tc>
          <w:tcPr>
            <w:tcW w:w="2036"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报价合计（包含税费等所有费用）：（大写）人民币（￥元）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highlight w:val="none"/>
              </w:rPr>
            </w:pPr>
            <w:r>
              <w:rPr>
                <w:rFonts w:hint="eastAsia" w:eastAsia="仿宋_GB2312" w:cs="仿宋_GB2312"/>
                <w:color w:val="auto"/>
                <w:highlight w:val="none"/>
                <w:u w:val="single"/>
              </w:rPr>
              <w:t>　　</w:t>
            </w:r>
            <w:r>
              <w:rPr>
                <w:rFonts w:hint="eastAsia" w:eastAsia="仿宋_GB2312" w:cs="仿宋_GB2312"/>
                <w:color w:val="auto"/>
                <w:highlight w:val="none"/>
              </w:rPr>
              <w:t>分标（此处有分标时填写具体分标号，无分标时填写</w:t>
            </w:r>
            <w:r>
              <w:rPr>
                <w:rFonts w:eastAsia="仿宋_GB2312"/>
                <w:color w:val="auto"/>
                <w:highlight w:val="none"/>
              </w:rPr>
              <w:t>“</w:t>
            </w:r>
            <w:r>
              <w:rPr>
                <w:rFonts w:hint="eastAsia" w:eastAsia="仿宋_GB2312" w:cs="仿宋_GB2312"/>
                <w:color w:val="auto"/>
                <w:highlight w:val="none"/>
              </w:rPr>
              <w:t>无</w:t>
            </w:r>
            <w:r>
              <w:rPr>
                <w:rFonts w:eastAsia="仿宋_GB2312"/>
                <w:color w:val="auto"/>
                <w:highlight w:val="none"/>
              </w:rPr>
              <w:t>”</w:t>
            </w:r>
            <w:r>
              <w:rPr>
                <w:rFonts w:hint="eastAsia"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法定代表人或其委托代理人（签字或盖章）：</w:t>
            </w:r>
          </w:p>
          <w:p>
            <w:pPr>
              <w:rPr>
                <w:rFonts w:eastAsia="仿宋_GB2312"/>
                <w:color w:val="auto"/>
                <w:highlight w:val="none"/>
              </w:rPr>
            </w:pPr>
            <w:r>
              <w:rPr>
                <w:rFonts w:hint="eastAsia" w:ascii="宋体" w:hAnsi="宋体" w:cs="宋体"/>
                <w:color w:val="auto"/>
                <w:highlight w:val="none"/>
              </w:rPr>
              <w:t>（</w:t>
            </w:r>
            <w:r>
              <w:rPr>
                <w:rFonts w:hint="eastAsia" w:eastAsia="仿宋_GB2312" w:cs="仿宋_GB2312"/>
                <w:color w:val="auto"/>
                <w:highlight w:val="none"/>
              </w:rPr>
              <w:t>投标人属自然人的应由自然人签字并加盖指印，投标人若为其他组织形式无法定代表人的应由机构负责人签字或盖章</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日期：年月日</w:t>
            </w:r>
          </w:p>
        </w:tc>
      </w:tr>
    </w:tbl>
    <w:p>
      <w:pPr>
        <w:ind w:firstLine="480" w:firstLineChars="200"/>
        <w:rPr>
          <w:rFonts w:ascii="仿宋_GB2312" w:eastAsia="仿宋_GB2312"/>
          <w:color w:val="auto"/>
          <w:sz w:val="24"/>
          <w:szCs w:val="24"/>
          <w:highlight w:val="none"/>
        </w:rPr>
      </w:pPr>
    </w:p>
    <w:p>
      <w:pPr>
        <w:ind w:firstLine="480" w:firstLineChars="200"/>
        <w:rPr>
          <w:rFonts w:ascii="仿宋_GB2312" w:eastAsia="仿宋_GB2312"/>
          <w:color w:val="auto"/>
          <w:sz w:val="24"/>
          <w:szCs w:val="24"/>
          <w:highlight w:val="none"/>
        </w:rPr>
      </w:pPr>
      <w:r>
        <w:rPr>
          <w:rFonts w:hint="eastAsia" w:ascii="仿宋_GB2312" w:eastAsia="仿宋_GB2312" w:cs="仿宋_GB2312"/>
          <w:color w:val="auto"/>
          <w:sz w:val="24"/>
          <w:szCs w:val="24"/>
          <w:highlight w:val="none"/>
        </w:rPr>
        <w:t>注：表格内容均需按要求填写并盖章，不得留空</w:t>
      </w:r>
      <w:r>
        <w:rPr>
          <w:rFonts w:ascii="仿宋_GB2312" w:eastAsia="仿宋_GB2312" w:cs="仿宋_GB2312"/>
          <w:color w:val="auto"/>
          <w:sz w:val="24"/>
          <w:szCs w:val="24"/>
          <w:highlight w:val="none"/>
        </w:rPr>
        <w:t xml:space="preserve">, </w:t>
      </w:r>
      <w:r>
        <w:rPr>
          <w:rFonts w:hint="eastAsia" w:ascii="仿宋_GB2312" w:eastAsia="仿宋_GB2312" w:cs="仿宋_GB2312"/>
          <w:color w:val="auto"/>
          <w:sz w:val="24"/>
          <w:szCs w:val="24"/>
          <w:highlight w:val="none"/>
        </w:rPr>
        <w:t>否则按投标无效处理。</w:t>
      </w:r>
    </w:p>
    <w:p>
      <w:pPr>
        <w:ind w:firstLine="480" w:firstLineChars="200"/>
        <w:rPr>
          <w:rFonts w:ascii="仿宋_GB2312" w:eastAsia="仿宋_GB2312"/>
          <w:color w:val="auto"/>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pStyle w:val="24"/>
        <w:ind w:firstLine="602" w:firstLineChars="250"/>
        <w:rPr>
          <w:rFonts w:hAnsi="宋体" w:cs="Times New Roman"/>
          <w:b/>
          <w:bCs/>
          <w:color w:val="auto"/>
          <w:sz w:val="24"/>
          <w:szCs w:val="24"/>
          <w:highlight w:val="none"/>
        </w:rPr>
      </w:pPr>
    </w:p>
    <w:p>
      <w:pPr>
        <w:tabs>
          <w:tab w:val="left" w:pos="3870"/>
          <w:tab w:val="left" w:pos="4085"/>
        </w:tabs>
        <w:snapToGrid w:val="0"/>
        <w:ind w:firstLine="480" w:firstLineChars="200"/>
        <w:rPr>
          <w:rFonts w:ascii="宋体"/>
          <w:color w:val="auto"/>
          <w:highlight w:val="none"/>
        </w:rPr>
      </w:pPr>
      <w:r>
        <w:rPr>
          <w:rFonts w:hAnsi="宋体"/>
          <w:color w:val="auto"/>
          <w:sz w:val="24"/>
          <w:szCs w:val="24"/>
          <w:highlight w:val="none"/>
        </w:rPr>
        <w:br w:type="page"/>
      </w:r>
    </w:p>
    <w:p>
      <w:pPr>
        <w:rPr>
          <w:rFonts w:ascii="宋体"/>
          <w:color w:val="auto"/>
          <w:highlight w:val="none"/>
        </w:rPr>
      </w:pPr>
    </w:p>
    <w:p>
      <w:pPr>
        <w:tabs>
          <w:tab w:val="left" w:pos="3870"/>
          <w:tab w:val="left" w:pos="4085"/>
        </w:tabs>
        <w:snapToGrid w:val="0"/>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投标声明书格式：</w:t>
      </w:r>
    </w:p>
    <w:p>
      <w:pPr>
        <w:snapToGrid w:val="0"/>
        <w:jc w:val="left"/>
        <w:rPr>
          <w:rFonts w:ascii="宋体"/>
          <w:color w:val="auto"/>
          <w:sz w:val="24"/>
          <w:szCs w:val="24"/>
          <w:highlight w:val="none"/>
        </w:rPr>
      </w:pPr>
    </w:p>
    <w:p>
      <w:pPr>
        <w:snapToGrid w:val="0"/>
        <w:jc w:val="center"/>
        <w:rPr>
          <w:rFonts w:ascii="宋体"/>
          <w:b/>
          <w:bCs/>
          <w:color w:val="auto"/>
          <w:sz w:val="32"/>
          <w:szCs w:val="32"/>
          <w:highlight w:val="none"/>
        </w:rPr>
      </w:pPr>
      <w:r>
        <w:rPr>
          <w:rFonts w:hint="eastAsia" w:ascii="宋体" w:hAnsi="宋体" w:cs="宋体"/>
          <w:b/>
          <w:bCs/>
          <w:color w:val="auto"/>
          <w:sz w:val="32"/>
          <w:szCs w:val="32"/>
          <w:highlight w:val="none"/>
        </w:rPr>
        <w:t>投标声明书</w:t>
      </w:r>
    </w:p>
    <w:p>
      <w:pPr>
        <w:snapToGrid w:val="0"/>
        <w:rPr>
          <w:rFonts w:ascii="宋体"/>
          <w:color w:val="auto"/>
          <w:sz w:val="24"/>
          <w:szCs w:val="24"/>
          <w:highlight w:val="none"/>
        </w:rPr>
      </w:pPr>
    </w:p>
    <w:p>
      <w:pPr>
        <w:snapToGrid w:val="0"/>
        <w:rPr>
          <w:rFonts w:ascii="宋体"/>
          <w:color w:val="auto"/>
          <w:sz w:val="24"/>
          <w:szCs w:val="24"/>
          <w:highlight w:val="none"/>
        </w:rPr>
      </w:pPr>
    </w:p>
    <w:p>
      <w:pPr>
        <w:snapToGrid w:val="0"/>
        <w:spacing w:line="460" w:lineRule="exact"/>
        <w:rPr>
          <w:rFonts w:ascii="宋体"/>
          <w:color w:val="auto"/>
          <w:highlight w:val="none"/>
        </w:rPr>
      </w:pPr>
      <w:r>
        <w:rPr>
          <w:rFonts w:hint="eastAsia" w:ascii="宋体" w:hAnsi="宋体" w:cs="宋体"/>
          <w:color w:val="auto"/>
          <w:highlight w:val="none"/>
        </w:rPr>
        <w:t>致：（招标采购单位名称）：</w:t>
      </w:r>
    </w:p>
    <w:p>
      <w:pPr>
        <w:snapToGrid w:val="0"/>
        <w:spacing w:line="460" w:lineRule="exact"/>
        <w:ind w:firstLine="630" w:firstLineChars="300"/>
        <w:rPr>
          <w:rFonts w:ascii="宋体"/>
          <w:color w:val="auto"/>
          <w:highlight w:val="none"/>
        </w:rPr>
      </w:pPr>
      <w:r>
        <w:rPr>
          <w:rFonts w:ascii="宋体" w:hAnsi="宋体" w:cs="宋体"/>
          <w:color w:val="auto"/>
          <w:highlight w:val="none"/>
        </w:rPr>
        <w:t>______</w:t>
      </w:r>
      <w:r>
        <w:rPr>
          <w:rFonts w:hint="eastAsia" w:ascii="宋体" w:hAnsi="宋体" w:cs="宋体"/>
          <w:color w:val="auto"/>
          <w:highlight w:val="none"/>
        </w:rPr>
        <w:t>（投标人名称）系中华人民共和国合法企业，经营地址。</w:t>
      </w:r>
    </w:p>
    <w:p>
      <w:pPr>
        <w:snapToGrid w:val="0"/>
        <w:spacing w:line="460" w:lineRule="exact"/>
        <w:ind w:firstLine="645"/>
        <w:rPr>
          <w:rFonts w:ascii="宋体"/>
          <w:color w:val="auto"/>
          <w:highlight w:val="none"/>
        </w:rPr>
      </w:pPr>
      <w:r>
        <w:rPr>
          <w:rFonts w:hint="eastAsia" w:ascii="宋体" w:hAnsi="宋体" w:cs="宋体"/>
          <w:color w:val="auto"/>
          <w:highlight w:val="none"/>
        </w:rPr>
        <w:t>我方愿意参加贵方组织的项目的投标，为便于贵方公正、择优地确定中标人及其投标产品和服务，我方就本次投标有关事项郑重声明如下：</w:t>
      </w:r>
    </w:p>
    <w:p>
      <w:pPr>
        <w:snapToGrid w:val="0"/>
        <w:spacing w:line="460" w:lineRule="exact"/>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我方向贵方提交的所有投标文件、资料都是准确的和真实的。</w:t>
      </w:r>
    </w:p>
    <w:p>
      <w:pPr>
        <w:snapToGrid w:val="0"/>
        <w:spacing w:line="460" w:lineRule="exact"/>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我方在参加政府采购活动前</w:t>
      </w:r>
      <w:r>
        <w:rPr>
          <w:rFonts w:ascii="宋体" w:hAnsi="宋体" w:cs="宋体"/>
          <w:color w:val="auto"/>
          <w:highlight w:val="none"/>
        </w:rPr>
        <w:t>3</w:t>
      </w:r>
      <w:r>
        <w:rPr>
          <w:rFonts w:hint="eastAsia" w:ascii="宋体" w:hAnsi="宋体" w:cs="宋体"/>
          <w:color w:val="auto"/>
          <w:highlight w:val="none"/>
        </w:rPr>
        <w:t>年内在经营活动中</w:t>
      </w:r>
      <w:r>
        <w:rPr>
          <w:rFonts w:hint="eastAsia" w:cs="宋体"/>
          <w:color w:val="auto"/>
          <w:highlight w:val="none"/>
          <w:u w:val="single"/>
        </w:rPr>
        <w:t>（填</w:t>
      </w:r>
      <w:r>
        <w:rPr>
          <w:rFonts w:hint="eastAsia" w:ascii="宋体" w:hAnsi="宋体" w:cs="宋体"/>
          <w:color w:val="auto"/>
          <w:highlight w:val="none"/>
          <w:u w:val="single"/>
        </w:rPr>
        <w:t>没有或有</w:t>
      </w:r>
      <w:r>
        <w:rPr>
          <w:rFonts w:hint="eastAsia" w:cs="宋体"/>
          <w:color w:val="auto"/>
          <w:highlight w:val="none"/>
          <w:u w:val="single"/>
        </w:rPr>
        <w:t>）</w:t>
      </w:r>
      <w:r>
        <w:rPr>
          <w:rFonts w:hint="eastAsia" w:ascii="宋体" w:hAnsi="宋体" w:cs="宋体"/>
          <w:color w:val="auto"/>
          <w:highlight w:val="none"/>
        </w:rPr>
        <w:t>重大违法记录（指因违法经营收到刑事处罚或者责令停产停业、吊销许可证或者执照、较大数额罚款等行政处罚）。</w:t>
      </w:r>
    </w:p>
    <w:p>
      <w:pPr>
        <w:snapToGrid w:val="0"/>
        <w:spacing w:line="460" w:lineRule="exact"/>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、我方在“信用中国”或“中国政府采购网”的被列为失信被执行人、重大税收违法案件当事人名单、政府采购严重违法失信行为记录名单情况：</w:t>
      </w:r>
      <w:r>
        <w:rPr>
          <w:rFonts w:hint="eastAsia" w:cs="宋体"/>
          <w:color w:val="auto"/>
          <w:highlight w:val="none"/>
        </w:rPr>
        <w:t>。</w:t>
      </w:r>
    </w:p>
    <w:p>
      <w:pPr>
        <w:snapToGrid w:val="0"/>
        <w:spacing w:line="460" w:lineRule="exact"/>
        <w:ind w:firstLine="420" w:firstLineChars="200"/>
        <w:rPr>
          <w:rFonts w:ascii="宋体"/>
          <w:color w:val="auto"/>
          <w:highlight w:val="none"/>
        </w:rPr>
      </w:pPr>
      <w:r>
        <w:rPr>
          <w:rFonts w:ascii="宋体" w:hAnsi="宋体" w:cs="宋体"/>
          <w:color w:val="auto"/>
          <w:highlight w:val="none"/>
        </w:rPr>
        <w:t>5.</w:t>
      </w:r>
      <w:r>
        <w:rPr>
          <w:rFonts w:hint="eastAsia" w:ascii="宋体" w:hAnsi="宋体" w:cs="宋体"/>
          <w:color w:val="auto"/>
          <w:highlight w:val="none"/>
        </w:rPr>
        <w:t>以上事项如有虚假或隐瞒，我方愿意承担一切后果，并不再寻求任何旨在减轻或免除法律责任的辩解。</w:t>
      </w:r>
    </w:p>
    <w:p>
      <w:pPr>
        <w:pStyle w:val="21"/>
        <w:tabs>
          <w:tab w:val="left" w:pos="939"/>
        </w:tabs>
        <w:snapToGrid w:val="0"/>
        <w:spacing w:line="460" w:lineRule="exact"/>
        <w:ind w:left="401" w:leftChars="0" w:hanging="401" w:hangingChars="191"/>
        <w:rPr>
          <w:rFonts w:ascii="宋体"/>
          <w:color w:val="auto"/>
          <w:sz w:val="21"/>
          <w:szCs w:val="21"/>
          <w:highlight w:val="none"/>
        </w:rPr>
      </w:pPr>
    </w:p>
    <w:p>
      <w:pPr>
        <w:pStyle w:val="21"/>
        <w:tabs>
          <w:tab w:val="left" w:pos="939"/>
        </w:tabs>
        <w:snapToGrid w:val="0"/>
        <w:spacing w:line="420" w:lineRule="exact"/>
        <w:ind w:left="401" w:leftChars="0" w:hanging="401" w:hangingChars="191"/>
        <w:rPr>
          <w:rFonts w:ascii="宋体"/>
          <w:color w:val="auto"/>
          <w:sz w:val="21"/>
          <w:szCs w:val="21"/>
          <w:highlight w:val="none"/>
        </w:rPr>
      </w:pPr>
    </w:p>
    <w:p>
      <w:pPr>
        <w:pStyle w:val="21"/>
        <w:tabs>
          <w:tab w:val="left" w:pos="939"/>
        </w:tabs>
        <w:snapToGrid w:val="0"/>
        <w:spacing w:line="420" w:lineRule="exact"/>
        <w:ind w:left="401" w:leftChars="0" w:hanging="401" w:hangingChars="191"/>
        <w:rPr>
          <w:rFonts w:ascii="宋体"/>
          <w:color w:val="auto"/>
          <w:sz w:val="21"/>
          <w:szCs w:val="21"/>
          <w:highlight w:val="none"/>
        </w:rPr>
      </w:pPr>
    </w:p>
    <w:p>
      <w:pPr>
        <w:pStyle w:val="21"/>
        <w:tabs>
          <w:tab w:val="left" w:pos="939"/>
        </w:tabs>
        <w:snapToGrid w:val="0"/>
        <w:spacing w:line="420" w:lineRule="exact"/>
        <w:ind w:left="401" w:leftChars="0" w:hanging="401" w:hangingChars="191"/>
        <w:rPr>
          <w:rFonts w:ascii="宋体"/>
          <w:color w:val="auto"/>
          <w:sz w:val="21"/>
          <w:szCs w:val="21"/>
          <w:highlight w:val="none"/>
        </w:rPr>
      </w:pPr>
    </w:p>
    <w:p>
      <w:pPr>
        <w:pStyle w:val="120"/>
        <w:snapToGrid w:val="0"/>
        <w:spacing w:line="420" w:lineRule="exact"/>
        <w:ind w:firstLine="200"/>
        <w:rPr>
          <w:rFonts w:ascii="宋体" w:cs="Times New Roman"/>
          <w:color w:val="auto"/>
          <w:sz w:val="21"/>
          <w:szCs w:val="21"/>
          <w:highlight w:val="none"/>
        </w:rPr>
      </w:pPr>
    </w:p>
    <w:p>
      <w:pPr>
        <w:snapToGrid w:val="0"/>
        <w:ind w:left="149" w:hanging="148" w:hangingChars="62"/>
        <w:rPr>
          <w:rFonts w:ascii="宋体" w:cs="宋体"/>
          <w:color w:val="auto"/>
          <w:sz w:val="24"/>
          <w:szCs w:val="24"/>
          <w:highlight w:val="none"/>
        </w:rPr>
      </w:pPr>
      <w:r>
        <w:rPr>
          <w:rFonts w:hint="eastAsia" w:ascii="宋体" w:hAnsi="宋体" w:cs="宋体"/>
          <w:color w:val="auto"/>
          <w:sz w:val="24"/>
          <w:szCs w:val="24"/>
          <w:highlight w:val="none"/>
        </w:rPr>
        <w:t>投标人（盖单位公章，自然人除外）：</w:t>
      </w:r>
    </w:p>
    <w:p>
      <w:pPr>
        <w:snapToGrid w:val="0"/>
        <w:ind w:firstLine="1920" w:firstLineChars="800"/>
        <w:rPr>
          <w:rFonts w:ascii="宋体" w:cs="宋体"/>
          <w:color w:val="auto"/>
          <w:sz w:val="24"/>
          <w:szCs w:val="24"/>
          <w:highlight w:val="none"/>
        </w:rPr>
      </w:pPr>
    </w:p>
    <w:p>
      <w:pPr>
        <w:rPr>
          <w:rFonts w:ascii="宋体" w:cs="宋体"/>
          <w:color w:val="auto"/>
          <w:sz w:val="24"/>
          <w:szCs w:val="24"/>
          <w:highlight w:val="none"/>
        </w:rPr>
      </w:pPr>
      <w:r>
        <w:rPr>
          <w:rFonts w:hint="eastAsia" w:ascii="宋体" w:hAnsi="宋体" w:cs="宋体"/>
          <w:color w:val="auto"/>
          <w:sz w:val="24"/>
          <w:szCs w:val="24"/>
          <w:highlight w:val="none"/>
        </w:rPr>
        <w:t>法定代表人或其委托代理人（签字或盖章）：</w:t>
      </w:r>
    </w:p>
    <w:p>
      <w:pPr>
        <w:snapToGrid w:val="0"/>
        <w:ind w:firstLine="2280" w:firstLineChars="950"/>
        <w:rPr>
          <w:rFonts w:ascii="宋体" w:cs="宋体"/>
          <w:color w:val="auto"/>
          <w:sz w:val="24"/>
          <w:szCs w:val="24"/>
          <w:highlight w:val="none"/>
        </w:rPr>
      </w:pPr>
    </w:p>
    <w:p>
      <w:pPr>
        <w:snapToGrid w:val="0"/>
        <w:rPr>
          <w:rFonts w:asci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rPr>
          <w:rFonts w:ascii="宋体"/>
          <w:color w:val="auto"/>
          <w:highlight w:val="none"/>
        </w:rPr>
      </w:pPr>
    </w:p>
    <w:p>
      <w:pPr>
        <w:snapToGrid w:val="0"/>
        <w:jc w:val="left"/>
        <w:rPr>
          <w:rFonts w:ascii="宋体"/>
          <w:color w:val="auto"/>
          <w:highlight w:val="none"/>
        </w:rPr>
      </w:pPr>
    </w:p>
    <w:p>
      <w:pPr>
        <w:widowControl/>
        <w:jc w:val="left"/>
        <w:rPr>
          <w:rFonts w:ascii="宋体"/>
          <w:b/>
          <w:bCs/>
          <w:color w:val="auto"/>
          <w:kern w:val="0"/>
          <w:sz w:val="36"/>
          <w:szCs w:val="36"/>
          <w:highlight w:val="none"/>
        </w:rPr>
      </w:pPr>
      <w:r>
        <w:rPr>
          <w:rFonts w:ascii="宋体"/>
          <w:b/>
          <w:bCs/>
          <w:color w:val="auto"/>
          <w:kern w:val="0"/>
          <w:sz w:val="36"/>
          <w:szCs w:val="36"/>
          <w:highlight w:val="none"/>
        </w:rPr>
        <w:br w:type="page"/>
      </w:r>
    </w:p>
    <w:p>
      <w:pPr>
        <w:widowControl/>
        <w:shd w:val="clear" w:color="auto" w:fill="FFFFFF"/>
        <w:spacing w:line="360" w:lineRule="auto"/>
        <w:ind w:firstLine="480"/>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投标人参加政府采购活动前</w:t>
      </w:r>
      <w:r>
        <w:rPr>
          <w:rFonts w:ascii="宋体" w:hAnsi="宋体" w:cs="宋体"/>
          <w:b/>
          <w:bCs/>
          <w:color w:val="auto"/>
          <w:kern w:val="0"/>
          <w:sz w:val="36"/>
          <w:szCs w:val="36"/>
          <w:highlight w:val="none"/>
        </w:rPr>
        <w:t>3</w:t>
      </w:r>
      <w:r>
        <w:rPr>
          <w:rFonts w:hint="eastAsia" w:ascii="宋体" w:hAnsi="宋体" w:cs="宋体"/>
          <w:b/>
          <w:bCs/>
          <w:color w:val="auto"/>
          <w:kern w:val="0"/>
          <w:sz w:val="36"/>
          <w:szCs w:val="36"/>
          <w:highlight w:val="none"/>
        </w:rPr>
        <w:t>年内在经营活动中没有重大违法记录的声明</w:t>
      </w:r>
    </w:p>
    <w:p>
      <w:pPr>
        <w:widowControl/>
        <w:shd w:val="clear" w:color="auto" w:fill="FFFFFF"/>
        <w:spacing w:line="360" w:lineRule="auto"/>
        <w:jc w:val="left"/>
        <w:rPr>
          <w:rFonts w:ascii="宋体"/>
          <w:color w:val="auto"/>
          <w:kern w:val="0"/>
          <w:sz w:val="24"/>
          <w:szCs w:val="24"/>
          <w:highlight w:val="none"/>
        </w:rPr>
      </w:pPr>
    </w:p>
    <w:p>
      <w:pPr>
        <w:widowControl/>
        <w:shd w:val="clear" w:color="auto" w:fill="FFFFFF"/>
        <w:spacing w:line="360" w:lineRule="auto"/>
        <w:jc w:val="left"/>
        <w:rPr>
          <w:rFonts w:ascii="宋体"/>
          <w:color w:val="auto"/>
          <w:kern w:val="0"/>
          <w:sz w:val="24"/>
          <w:szCs w:val="24"/>
          <w:highlight w:val="none"/>
        </w:rPr>
      </w:pPr>
    </w:p>
    <w:p>
      <w:pPr>
        <w:widowControl/>
        <w:shd w:val="clear" w:color="auto" w:fill="FFFFFF"/>
        <w:spacing w:line="360" w:lineRule="auto"/>
        <w:jc w:val="left"/>
        <w:rPr>
          <w:rFonts w:ascii="宋体"/>
          <w:color w:val="auto"/>
          <w:kern w:val="0"/>
          <w:sz w:val="24"/>
          <w:szCs w:val="24"/>
          <w:highlight w:val="none"/>
        </w:rPr>
      </w:pPr>
      <w:r>
        <w:rPr>
          <w:rFonts w:hint="eastAsia" w:ascii="宋体" w:hAnsi="宋体" w:cs="宋体"/>
          <w:color w:val="auto"/>
          <w:kern w:val="0"/>
          <w:sz w:val="24"/>
          <w:szCs w:val="24"/>
          <w:highlight w:val="none"/>
        </w:rPr>
        <w:t>致：广西建设工程机电设备招标中心有限公司</w:t>
      </w:r>
    </w:p>
    <w:p>
      <w:pPr>
        <w:widowControl/>
        <w:shd w:val="clear" w:color="auto" w:fill="FFFFFF"/>
        <w:spacing w:line="360" w:lineRule="auto"/>
        <w:ind w:firstLine="480"/>
        <w:jc w:val="left"/>
        <w:rPr>
          <w:rFonts w:ascii="宋体"/>
          <w:color w:val="auto"/>
          <w:kern w:val="0"/>
          <w:sz w:val="24"/>
          <w:szCs w:val="24"/>
          <w:highlight w:val="none"/>
        </w:rPr>
      </w:pPr>
      <w:r>
        <w:rPr>
          <w:rFonts w:hint="eastAsia" w:ascii="宋体" w:hAnsi="宋体" w:cs="宋体"/>
          <w:color w:val="auto"/>
          <w:kern w:val="0"/>
          <w:sz w:val="24"/>
          <w:szCs w:val="24"/>
          <w:highlight w:val="none"/>
        </w:rPr>
        <w:t>本公司郑重声明，在参加投标人参加政府采购活动前</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年内在经营活动中没有重大违法记录（重大违法记录指因违法经营收到刑事处罚或者责令停产停业、吊销许可证或者执照、较大数额罚</w:t>
      </w:r>
      <w:r>
        <w:rPr>
          <w:rFonts w:hint="eastAsia" w:ascii="宋体" w:hAnsi="宋体" w:cs="宋体"/>
          <w:color w:val="auto"/>
          <w:sz w:val="24"/>
          <w:szCs w:val="24"/>
          <w:highlight w:val="none"/>
        </w:rPr>
        <w:t>款等行政处</w:t>
      </w:r>
      <w:r>
        <w:rPr>
          <w:rFonts w:hint="eastAsia" w:ascii="宋体" w:hAnsi="宋体" w:cs="宋体"/>
          <w:color w:val="auto"/>
          <w:kern w:val="0"/>
          <w:sz w:val="24"/>
          <w:szCs w:val="24"/>
          <w:highlight w:val="none"/>
        </w:rPr>
        <w:t>罚）</w:t>
      </w:r>
    </w:p>
    <w:p>
      <w:pPr>
        <w:widowControl/>
        <w:shd w:val="clear" w:color="auto" w:fill="FFFFFF"/>
        <w:spacing w:line="360" w:lineRule="auto"/>
        <w:ind w:firstLine="480"/>
        <w:jc w:val="left"/>
        <w:rPr>
          <w:rFonts w:ascii="宋体"/>
          <w:color w:val="auto"/>
          <w:kern w:val="0"/>
          <w:sz w:val="24"/>
          <w:szCs w:val="24"/>
          <w:highlight w:val="none"/>
        </w:rPr>
      </w:pPr>
    </w:p>
    <w:p>
      <w:pPr>
        <w:widowControl/>
        <w:shd w:val="clear" w:color="auto" w:fill="FFFFFF"/>
        <w:spacing w:line="360" w:lineRule="auto"/>
        <w:ind w:firstLine="480"/>
        <w:jc w:val="left"/>
        <w:rPr>
          <w:rFonts w:ascii="宋体"/>
          <w:color w:val="auto"/>
          <w:kern w:val="0"/>
          <w:sz w:val="24"/>
          <w:szCs w:val="24"/>
          <w:highlight w:val="none"/>
        </w:rPr>
      </w:pPr>
    </w:p>
    <w:p>
      <w:pPr>
        <w:widowControl/>
        <w:shd w:val="clear" w:color="auto" w:fill="FFFFFF"/>
        <w:spacing w:line="360" w:lineRule="auto"/>
        <w:ind w:firstLine="480"/>
        <w:jc w:val="left"/>
        <w:rPr>
          <w:rFonts w:ascii="宋体"/>
          <w:color w:val="auto"/>
          <w:kern w:val="0"/>
          <w:sz w:val="24"/>
          <w:szCs w:val="24"/>
          <w:highlight w:val="none"/>
        </w:rPr>
      </w:pPr>
    </w:p>
    <w:p>
      <w:pPr>
        <w:snapToGrid w:val="0"/>
        <w:ind w:left="149" w:hanging="148" w:hangingChars="62"/>
        <w:rPr>
          <w:rFonts w:ascii="宋体" w:cs="宋体"/>
          <w:color w:val="auto"/>
          <w:sz w:val="24"/>
          <w:szCs w:val="24"/>
          <w:highlight w:val="none"/>
        </w:rPr>
      </w:pPr>
      <w:r>
        <w:rPr>
          <w:rFonts w:hint="eastAsia" w:ascii="宋体" w:hAnsi="宋体" w:cs="宋体"/>
          <w:color w:val="auto"/>
          <w:sz w:val="24"/>
          <w:szCs w:val="24"/>
          <w:highlight w:val="none"/>
        </w:rPr>
        <w:t>投标人（盖单位公章，自然人除外）：</w:t>
      </w:r>
    </w:p>
    <w:p>
      <w:pPr>
        <w:snapToGrid w:val="0"/>
        <w:ind w:firstLine="1920" w:firstLineChars="800"/>
        <w:rPr>
          <w:rFonts w:ascii="宋体" w:cs="宋体"/>
          <w:color w:val="auto"/>
          <w:sz w:val="24"/>
          <w:szCs w:val="24"/>
          <w:highlight w:val="none"/>
        </w:rPr>
      </w:pPr>
    </w:p>
    <w:p>
      <w:pPr>
        <w:rPr>
          <w:rFonts w:ascii="宋体" w:cs="宋体"/>
          <w:color w:val="auto"/>
          <w:sz w:val="24"/>
          <w:szCs w:val="24"/>
          <w:highlight w:val="none"/>
        </w:rPr>
      </w:pPr>
      <w:r>
        <w:rPr>
          <w:rFonts w:hint="eastAsia" w:ascii="宋体" w:hAnsi="宋体" w:cs="宋体"/>
          <w:color w:val="auto"/>
          <w:sz w:val="24"/>
          <w:szCs w:val="24"/>
          <w:highlight w:val="none"/>
        </w:rPr>
        <w:t>法定代表人或其委托代理人（签字或盖章）：</w:t>
      </w:r>
    </w:p>
    <w:p>
      <w:pPr>
        <w:snapToGrid w:val="0"/>
        <w:ind w:firstLine="2280" w:firstLineChars="950"/>
        <w:rPr>
          <w:rFonts w:ascii="宋体" w:cs="宋体"/>
          <w:color w:val="auto"/>
          <w:sz w:val="24"/>
          <w:szCs w:val="24"/>
          <w:highlight w:val="none"/>
        </w:rPr>
      </w:pPr>
    </w:p>
    <w:p>
      <w:pPr>
        <w:snapToGrid w:val="0"/>
        <w:rPr>
          <w:rFonts w:asci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rPr>
          <w:rFonts w:ascii="宋体"/>
          <w:b/>
          <w:bCs/>
          <w:color w:val="auto"/>
          <w:sz w:val="24"/>
          <w:szCs w:val="24"/>
          <w:highlight w:val="none"/>
        </w:rPr>
      </w:pPr>
      <w:r>
        <w:rPr>
          <w:rFonts w:ascii="宋体"/>
          <w:b/>
          <w:bCs/>
          <w:color w:val="auto"/>
          <w:sz w:val="24"/>
          <w:szCs w:val="24"/>
          <w:highlight w:val="none"/>
        </w:rPr>
        <w:br w:type="page"/>
      </w:r>
      <w:r>
        <w:rPr>
          <w:rFonts w:hint="eastAsia" w:ascii="宋体" w:hAnsi="宋体" w:cs="宋体"/>
          <w:b/>
          <w:bCs/>
          <w:color w:val="auto"/>
          <w:sz w:val="24"/>
          <w:szCs w:val="24"/>
          <w:highlight w:val="none"/>
        </w:rPr>
        <w:t>法定代表人身份证明书格式：</w:t>
      </w:r>
    </w:p>
    <w:p>
      <w:pPr>
        <w:jc w:val="center"/>
        <w:rPr>
          <w:rFonts w:ascii="宋体"/>
          <w:b/>
          <w:bCs/>
          <w:color w:val="auto"/>
          <w:sz w:val="32"/>
          <w:szCs w:val="32"/>
          <w:highlight w:val="none"/>
        </w:rPr>
      </w:pPr>
      <w:r>
        <w:rPr>
          <w:rFonts w:hint="eastAsia" w:ascii="宋体" w:hAnsi="宋体" w:cs="宋体"/>
          <w:b/>
          <w:bCs/>
          <w:color w:val="auto"/>
          <w:sz w:val="32"/>
          <w:szCs w:val="32"/>
          <w:highlight w:val="none"/>
        </w:rPr>
        <w:t>法定代表人身份证明书</w:t>
      </w:r>
    </w:p>
    <w:p>
      <w:pPr>
        <w:ind w:firstLine="840" w:firstLineChars="400"/>
        <w:rPr>
          <w:rFonts w:ascii="宋体"/>
          <w:color w:val="auto"/>
          <w:highlight w:val="none"/>
          <w:u w:val="single"/>
        </w:rPr>
      </w:pPr>
    </w:p>
    <w:p>
      <w:pPr>
        <w:ind w:firstLine="960" w:firstLineChars="400"/>
        <w:rPr>
          <w:rFonts w:ascii="宋体"/>
          <w:color w:val="auto"/>
          <w:sz w:val="24"/>
          <w:szCs w:val="24"/>
          <w:highlight w:val="none"/>
        </w:rPr>
      </w:pPr>
      <w:r>
        <w:rPr>
          <w:rFonts w:hint="eastAsia" w:ascii="宋体" w:hAnsi="宋体" w:cs="宋体"/>
          <w:color w:val="auto"/>
          <w:sz w:val="24"/>
          <w:szCs w:val="24"/>
          <w:highlight w:val="none"/>
          <w:u w:val="single"/>
        </w:rPr>
        <w:t>（法定代表人名字）</w:t>
      </w:r>
      <w:r>
        <w:rPr>
          <w:rFonts w:hint="eastAsia" w:ascii="宋体" w:hAnsi="宋体" w:cs="宋体"/>
          <w:color w:val="auto"/>
          <w:sz w:val="24"/>
          <w:szCs w:val="24"/>
          <w:highlight w:val="none"/>
        </w:rPr>
        <w:t>在</w:t>
      </w:r>
      <w:r>
        <w:rPr>
          <w:rFonts w:hint="eastAsia" w:ascii="宋体" w:hAnsi="宋体" w:cs="宋体"/>
          <w:color w:val="auto"/>
          <w:sz w:val="24"/>
          <w:szCs w:val="24"/>
          <w:highlight w:val="none"/>
          <w:u w:val="single"/>
        </w:rPr>
        <w:t>（单位名称）</w:t>
      </w:r>
      <w:r>
        <w:rPr>
          <w:rFonts w:hint="eastAsia" w:ascii="宋体" w:hAnsi="宋体" w:cs="宋体"/>
          <w:color w:val="auto"/>
          <w:sz w:val="24"/>
          <w:szCs w:val="24"/>
          <w:highlight w:val="none"/>
        </w:rPr>
        <w:t>任职务，是</w:t>
      </w:r>
      <w:r>
        <w:rPr>
          <w:rFonts w:hint="eastAsia" w:ascii="宋体" w:hAnsi="宋体" w:cs="宋体"/>
          <w:color w:val="auto"/>
          <w:sz w:val="24"/>
          <w:szCs w:val="24"/>
          <w:highlight w:val="none"/>
          <w:u w:val="single"/>
        </w:rPr>
        <w:t>（单位名称）</w:t>
      </w:r>
      <w:r>
        <w:rPr>
          <w:rFonts w:hint="eastAsia" w:ascii="宋体" w:hAnsi="宋体" w:cs="宋体"/>
          <w:color w:val="auto"/>
          <w:sz w:val="24"/>
          <w:szCs w:val="24"/>
          <w:highlight w:val="none"/>
        </w:rPr>
        <w:t>的法定代表人。</w:t>
      </w:r>
    </w:p>
    <w:p>
      <w:pPr>
        <w:ind w:firstLine="840" w:firstLineChars="350"/>
        <w:rPr>
          <w:rFonts w:ascii="宋体"/>
          <w:color w:val="auto"/>
          <w:sz w:val="24"/>
          <w:szCs w:val="24"/>
          <w:highlight w:val="none"/>
        </w:rPr>
      </w:pPr>
      <w:r>
        <w:rPr>
          <w:rFonts w:hint="eastAsia" w:ascii="宋体" w:hAnsi="宋体" w:cs="宋体"/>
          <w:color w:val="auto"/>
          <w:sz w:val="24"/>
          <w:szCs w:val="24"/>
          <w:highlight w:val="none"/>
        </w:rPr>
        <w:t>特此证明。</w:t>
      </w:r>
    </w:p>
    <w:p>
      <w:pPr>
        <w:rPr>
          <w:rFonts w:ascii="宋体"/>
          <w:color w:val="auto"/>
          <w:sz w:val="24"/>
          <w:szCs w:val="24"/>
          <w:highlight w:val="none"/>
        </w:rPr>
      </w:pPr>
    </w:p>
    <w:p>
      <w:pPr>
        <w:rPr>
          <w:rFonts w:ascii="宋体"/>
          <w:color w:val="auto"/>
          <w:sz w:val="24"/>
          <w:szCs w:val="24"/>
          <w:highlight w:val="none"/>
        </w:rPr>
      </w:pPr>
    </w:p>
    <w:p>
      <w:pPr>
        <w:rPr>
          <w:rFonts w:ascii="宋体"/>
          <w:color w:val="auto"/>
          <w:sz w:val="24"/>
          <w:szCs w:val="24"/>
          <w:highlight w:val="none"/>
          <w:u w:val="single"/>
        </w:rPr>
      </w:pPr>
      <w:r>
        <w:rPr>
          <w:rFonts w:hint="eastAsia" w:ascii="宋体" w:hAnsi="宋体" w:cs="宋体"/>
          <w:color w:val="auto"/>
          <w:sz w:val="24"/>
          <w:szCs w:val="24"/>
          <w:highlight w:val="none"/>
        </w:rPr>
        <w:t>单位名称：</w:t>
      </w:r>
    </w:p>
    <w:p>
      <w:pPr>
        <w:rPr>
          <w:rFonts w:ascii="宋体"/>
          <w:color w:val="auto"/>
          <w:sz w:val="24"/>
          <w:szCs w:val="24"/>
          <w:highlight w:val="none"/>
        </w:rPr>
      </w:pPr>
      <w:r>
        <w:rPr>
          <w:rFonts w:hint="eastAsia" w:ascii="宋体" w:hAnsi="宋体" w:cs="宋体"/>
          <w:color w:val="auto"/>
          <w:sz w:val="24"/>
          <w:szCs w:val="24"/>
          <w:highlight w:val="none"/>
        </w:rPr>
        <w:t>（单位公章）</w:t>
      </w:r>
    </w:p>
    <w:p>
      <w:pPr>
        <w:rPr>
          <w:rFonts w:ascii="宋体"/>
          <w:color w:val="auto"/>
          <w:sz w:val="24"/>
          <w:szCs w:val="24"/>
          <w:highlight w:val="none"/>
        </w:rPr>
      </w:pPr>
      <w:r>
        <w:rPr>
          <w:rFonts w:hint="eastAsia" w:ascii="宋体" w:hAnsi="宋体" w:cs="宋体"/>
          <w:color w:val="auto"/>
          <w:sz w:val="24"/>
          <w:szCs w:val="24"/>
          <w:highlight w:val="none"/>
        </w:rPr>
        <w:t>年月日</w:t>
      </w:r>
    </w:p>
    <w:p>
      <w:pPr>
        <w:rPr>
          <w:rFonts w:ascii="宋体"/>
          <w:color w:val="auto"/>
          <w:sz w:val="24"/>
          <w:szCs w:val="24"/>
          <w:highlight w:val="none"/>
        </w:rPr>
      </w:pPr>
    </w:p>
    <w:p>
      <w:pPr>
        <w:ind w:firstLine="360" w:firstLineChars="150"/>
        <w:rPr>
          <w:rFonts w:ascii="宋体"/>
          <w:color w:val="auto"/>
          <w:sz w:val="24"/>
          <w:szCs w:val="24"/>
          <w:highlight w:val="none"/>
        </w:rPr>
      </w:pPr>
      <w:r>
        <w:rPr>
          <w:rFonts w:hint="eastAsia" w:ascii="宋体" w:hAnsi="宋体" w:cs="宋体"/>
          <w:color w:val="auto"/>
          <w:sz w:val="24"/>
          <w:szCs w:val="24"/>
          <w:highlight w:val="none"/>
        </w:rPr>
        <w:t>法定代表人身份证号码：</w:t>
      </w:r>
    </w:p>
    <w:p>
      <w:pPr>
        <w:ind w:firstLine="360" w:firstLineChars="150"/>
        <w:rPr>
          <w:rFonts w:ascii="宋体"/>
          <w:color w:val="auto"/>
          <w:sz w:val="24"/>
          <w:szCs w:val="24"/>
          <w:highlight w:val="none"/>
        </w:rPr>
      </w:pPr>
    </w:p>
    <w:p>
      <w:pPr>
        <w:ind w:firstLine="360" w:firstLineChars="150"/>
        <w:rPr>
          <w:rFonts w:ascii="宋体"/>
          <w:color w:val="auto"/>
          <w:sz w:val="24"/>
          <w:szCs w:val="24"/>
          <w:highlight w:val="none"/>
        </w:rPr>
      </w:pPr>
      <w:r>
        <w:rPr>
          <w:rFonts w:hint="eastAsia" w:ascii="宋体" w:hAnsi="宋体" w:cs="宋体"/>
          <w:color w:val="auto"/>
          <w:sz w:val="24"/>
          <w:szCs w:val="24"/>
          <w:highlight w:val="none"/>
        </w:rPr>
        <w:t>住址：</w:t>
      </w:r>
    </w:p>
    <w:p>
      <w:pPr>
        <w:pStyle w:val="24"/>
        <w:jc w:val="center"/>
        <w:rPr>
          <w:rFonts w:hAnsi="宋体" w:cs="Times New Roman"/>
          <w:color w:val="auto"/>
          <w:sz w:val="24"/>
          <w:szCs w:val="24"/>
          <w:highlight w:val="none"/>
        </w:rPr>
      </w:pPr>
    </w:p>
    <w:p>
      <w:pPr>
        <w:snapToGrid w:val="0"/>
        <w:ind w:firstLine="470" w:firstLineChars="196"/>
        <w:jc w:val="center"/>
        <w:rPr>
          <w:rFonts w:ascii="宋体"/>
          <w:b/>
          <w:bCs/>
          <w:color w:val="auto"/>
          <w:sz w:val="24"/>
          <w:szCs w:val="24"/>
          <w:highlight w:val="none"/>
        </w:rPr>
      </w:pPr>
      <w:r>
        <w:rPr>
          <w:rFonts w:ascii="宋体"/>
          <w:color w:val="auto"/>
          <w:sz w:val="24"/>
          <w:szCs w:val="24"/>
          <w:highlight w:val="none"/>
        </w:rPr>
        <w:br w:type="page"/>
      </w:r>
      <w:r>
        <w:rPr>
          <w:rFonts w:hint="eastAsia" w:ascii="宋体" w:hAnsi="宋体" w:cs="宋体"/>
          <w:b/>
          <w:bCs/>
          <w:color w:val="auto"/>
          <w:sz w:val="24"/>
          <w:szCs w:val="24"/>
          <w:highlight w:val="none"/>
        </w:rPr>
        <w:t>投标人法定代表人身份证复印件</w:t>
      </w:r>
    </w:p>
    <w:p>
      <w:pPr>
        <w:rPr>
          <w:rFonts w:ascii="宋体"/>
          <w:color w:val="auto"/>
          <w:highlight w:val="none"/>
        </w:rPr>
      </w:pPr>
    </w:p>
    <w:p>
      <w:pPr>
        <w:rPr>
          <w:rFonts w:ascii="宋体"/>
          <w:color w:val="auto"/>
          <w:highlight w:val="none"/>
        </w:rPr>
      </w:pPr>
      <w:r>
        <w:rPr>
          <w:rFonts w:hint="eastAsia" w:ascii="宋体" w:hAnsi="宋体" w:cs="宋体"/>
          <w:color w:val="auto"/>
          <w:highlight w:val="none"/>
        </w:rPr>
        <w:t>投标人法定代表人身份证复印件：</w:t>
      </w:r>
    </w:p>
    <w:p>
      <w:pPr>
        <w:rPr>
          <w:rFonts w:ascii="宋体"/>
          <w:color w:val="auto"/>
          <w:highlight w:val="none"/>
        </w:rPr>
      </w:pPr>
    </w:p>
    <w:tbl>
      <w:tblPr>
        <w:tblStyle w:val="37"/>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color w:val="auto"/>
                <w:highlight w:val="none"/>
              </w:rPr>
            </w:pPr>
            <w:r>
              <w:rPr>
                <w:rFonts w:hint="eastAsia" w:ascii="宋体" w:hAnsi="宋体" w:cs="宋体"/>
                <w:color w:val="auto"/>
                <w:highlight w:val="none"/>
              </w:rPr>
              <w:t>身份证（正面）</w:t>
            </w:r>
          </w:p>
        </w:tc>
      </w:tr>
    </w:tbl>
    <w:p>
      <w:pPr>
        <w:rPr>
          <w:rFonts w:ascii="宋体"/>
          <w:color w:val="auto"/>
          <w:highlight w:val="none"/>
        </w:rPr>
      </w:pPr>
    </w:p>
    <w:tbl>
      <w:tblPr>
        <w:tblStyle w:val="37"/>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color w:val="auto"/>
                <w:highlight w:val="none"/>
              </w:rPr>
            </w:pPr>
            <w:r>
              <w:rPr>
                <w:rFonts w:hint="eastAsia" w:ascii="宋体" w:hAnsi="宋体" w:cs="宋体"/>
                <w:color w:val="auto"/>
                <w:highlight w:val="none"/>
              </w:rPr>
              <w:t>身份证（反面）</w:t>
            </w:r>
          </w:p>
          <w:p>
            <w:pPr>
              <w:jc w:val="center"/>
              <w:rPr>
                <w:rFonts w:ascii="宋体"/>
                <w:color w:val="auto"/>
                <w:highlight w:val="none"/>
              </w:rPr>
            </w:pPr>
          </w:p>
        </w:tc>
      </w:tr>
    </w:tbl>
    <w:p>
      <w:pPr>
        <w:rPr>
          <w:rFonts w:ascii="宋体"/>
          <w:color w:val="auto"/>
          <w:highlight w:val="none"/>
        </w:rPr>
      </w:pPr>
    </w:p>
    <w:p>
      <w:pPr>
        <w:rPr>
          <w:rFonts w:ascii="宋体"/>
          <w:color w:val="auto"/>
          <w:highlight w:val="none"/>
        </w:rPr>
      </w:pPr>
    </w:p>
    <w:p>
      <w:pPr>
        <w:rPr>
          <w:rFonts w:ascii="宋体"/>
          <w:color w:val="auto"/>
          <w:highlight w:val="none"/>
        </w:rPr>
      </w:pPr>
      <w:r>
        <w:rPr>
          <w:rFonts w:hint="eastAsia" w:ascii="宋体" w:hAnsi="宋体" w:cs="宋体"/>
          <w:color w:val="auto"/>
          <w:highlight w:val="none"/>
        </w:rPr>
        <w:t>法定代表人签名（签章）：</w:t>
      </w:r>
    </w:p>
    <w:p>
      <w:pPr>
        <w:rPr>
          <w:rFonts w:ascii="宋体"/>
          <w:color w:val="auto"/>
          <w:highlight w:val="none"/>
        </w:rPr>
      </w:pPr>
    </w:p>
    <w:p>
      <w:pPr>
        <w:rPr>
          <w:rFonts w:ascii="宋体"/>
          <w:color w:val="auto"/>
          <w:highlight w:val="none"/>
        </w:rPr>
      </w:pPr>
      <w:r>
        <w:rPr>
          <w:rFonts w:hint="eastAsia" w:ascii="宋体" w:hAnsi="宋体" w:cs="宋体"/>
          <w:color w:val="auto"/>
          <w:highlight w:val="none"/>
        </w:rPr>
        <w:t>投标单位（公章）：</w:t>
      </w:r>
    </w:p>
    <w:p>
      <w:pPr>
        <w:rPr>
          <w:rFonts w:ascii="宋体"/>
          <w:color w:val="auto"/>
          <w:highlight w:val="none"/>
        </w:rPr>
      </w:pPr>
    </w:p>
    <w:p>
      <w:pPr>
        <w:ind w:firstLine="735" w:firstLineChars="350"/>
        <w:rPr>
          <w:rFonts w:ascii="宋体"/>
          <w:b/>
          <w:bCs/>
          <w:color w:val="auto"/>
          <w:sz w:val="24"/>
          <w:szCs w:val="24"/>
          <w:highlight w:val="none"/>
        </w:rPr>
      </w:pPr>
      <w:r>
        <w:rPr>
          <w:rFonts w:hint="eastAsia" w:ascii="宋体" w:hAnsi="宋体" w:cs="宋体"/>
          <w:color w:val="auto"/>
          <w:highlight w:val="none"/>
        </w:rPr>
        <w:t>年月日</w:t>
      </w:r>
      <w:r>
        <w:rPr>
          <w:rFonts w:ascii="宋体"/>
          <w:color w:val="auto"/>
          <w:highlight w:val="none"/>
        </w:rPr>
        <w:br w:type="page"/>
      </w:r>
      <w:r>
        <w:rPr>
          <w:rFonts w:hint="eastAsia" w:ascii="宋体" w:hAnsi="宋体" w:cs="宋体"/>
          <w:b/>
          <w:bCs/>
          <w:color w:val="auto"/>
          <w:sz w:val="24"/>
          <w:szCs w:val="24"/>
          <w:highlight w:val="none"/>
        </w:rPr>
        <w:t>授权委托书格式：</w:t>
      </w:r>
    </w:p>
    <w:p>
      <w:pPr>
        <w:jc w:val="center"/>
        <w:rPr>
          <w:rFonts w:ascii="宋体"/>
          <w:b/>
          <w:bCs/>
          <w:color w:val="auto"/>
          <w:sz w:val="32"/>
          <w:szCs w:val="32"/>
          <w:highlight w:val="none"/>
        </w:rPr>
      </w:pPr>
      <w:r>
        <w:rPr>
          <w:rFonts w:hint="eastAsia" w:ascii="宋体" w:hAnsi="宋体" w:cs="宋体"/>
          <w:b/>
          <w:bCs/>
          <w:color w:val="auto"/>
          <w:sz w:val="32"/>
          <w:szCs w:val="32"/>
          <w:highlight w:val="none"/>
        </w:rPr>
        <w:t>授权委托书（格式一）</w:t>
      </w:r>
    </w:p>
    <w:p>
      <w:pPr>
        <w:snapToGrid w:val="0"/>
        <w:rPr>
          <w:rFonts w:ascii="宋体"/>
          <w:color w:val="auto"/>
          <w:sz w:val="24"/>
          <w:szCs w:val="24"/>
          <w:highlight w:val="none"/>
        </w:rPr>
      </w:pPr>
    </w:p>
    <w:p>
      <w:pPr>
        <w:snapToGrid w:val="0"/>
        <w:rPr>
          <w:rFonts w:ascii="宋体"/>
          <w:b/>
          <w:bCs/>
          <w:color w:val="auto"/>
          <w:sz w:val="24"/>
          <w:szCs w:val="24"/>
          <w:highlight w:val="none"/>
        </w:rPr>
      </w:pPr>
      <w:r>
        <w:rPr>
          <w:rFonts w:hint="eastAsia" w:ascii="宋体" w:hAnsi="宋体" w:cs="宋体"/>
          <w:color w:val="auto"/>
          <w:sz w:val="24"/>
          <w:szCs w:val="24"/>
          <w:highlight w:val="none"/>
        </w:rPr>
        <w:t>致：（招标采购单位名称）：</w:t>
      </w:r>
    </w:p>
    <w:p>
      <w:pPr>
        <w:snapToGrid w:val="0"/>
        <w:ind w:firstLine="720" w:firstLineChars="300"/>
        <w:rPr>
          <w:rFonts w:ascii="宋体"/>
          <w:color w:val="auto"/>
          <w:sz w:val="24"/>
          <w:szCs w:val="24"/>
          <w:highlight w:val="none"/>
        </w:rPr>
      </w:pPr>
      <w:r>
        <w:rPr>
          <w:rFonts w:hint="eastAsia" w:ascii="宋体" w:hAnsi="宋体" w:cs="宋体"/>
          <w:color w:val="auto"/>
          <w:sz w:val="24"/>
          <w:szCs w:val="24"/>
          <w:highlight w:val="none"/>
        </w:rPr>
        <w:t>我（姓名）系（投标人名称）的法定代表人（投标人若为其他组织形式无法定代表人的应为机构负责人），现授权委托本单位在职职工（姓名）以我方的名义参加</w:t>
      </w:r>
      <w:r>
        <w:rPr>
          <w:rFonts w:hint="eastAsia" w:ascii="宋体" w:hAnsi="宋体" w:cs="宋体"/>
          <w:color w:val="auto"/>
          <w:sz w:val="24"/>
          <w:szCs w:val="24"/>
          <w:highlight w:val="none"/>
          <w:u w:val="single"/>
        </w:rPr>
        <w:t>（项目名称和编号）</w:t>
      </w:r>
      <w:r>
        <w:rPr>
          <w:rFonts w:hint="eastAsia" w:ascii="宋体" w:hAnsi="宋体" w:cs="宋体"/>
          <w:color w:val="auto"/>
          <w:sz w:val="24"/>
          <w:szCs w:val="24"/>
          <w:highlight w:val="none"/>
        </w:rPr>
        <w:t>项目的投标活动，并代表我方全权办理针对上述项目的投标、开标、评标、签约等具体事务和签署相关文件。</w:t>
      </w:r>
    </w:p>
    <w:p>
      <w:pPr>
        <w:snapToGrid w:val="0"/>
        <w:rPr>
          <w:rFonts w:ascii="宋体"/>
          <w:color w:val="auto"/>
          <w:sz w:val="24"/>
          <w:szCs w:val="24"/>
          <w:highlight w:val="none"/>
        </w:rPr>
      </w:pPr>
      <w:r>
        <w:rPr>
          <w:rFonts w:hint="eastAsia" w:ascii="宋体" w:hAnsi="宋体" w:cs="宋体"/>
          <w:color w:val="auto"/>
          <w:sz w:val="24"/>
          <w:szCs w:val="24"/>
          <w:highlight w:val="none"/>
        </w:rPr>
        <w:t>我方对被授权人的签名事项负全部责任。</w:t>
      </w:r>
    </w:p>
    <w:p>
      <w:pPr>
        <w:snapToGrid w:val="0"/>
        <w:ind w:firstLine="480"/>
        <w:rPr>
          <w:rFonts w:ascii="宋体"/>
          <w:color w:val="auto"/>
          <w:sz w:val="24"/>
          <w:szCs w:val="24"/>
          <w:highlight w:val="none"/>
        </w:rPr>
      </w:pPr>
      <w:r>
        <w:rPr>
          <w:rFonts w:hint="eastAsia" w:ascii="宋体" w:hAnsi="宋体" w:cs="宋体"/>
          <w:color w:val="auto"/>
          <w:sz w:val="24"/>
          <w:szCs w:val="24"/>
          <w:highlight w:val="none"/>
          <w:u w:val="single"/>
        </w:rPr>
        <w:t>在撤销授权的书面通知以前，本授权书一直有效。</w:t>
      </w:r>
      <w:r>
        <w:rPr>
          <w:rFonts w:hint="eastAsia" w:ascii="宋体" w:hAnsi="宋体" w:cs="宋体"/>
          <w:color w:val="auto"/>
          <w:sz w:val="24"/>
          <w:szCs w:val="24"/>
          <w:highlight w:val="none"/>
        </w:rPr>
        <w:t>被授权人在授权书有效期内签署的所有文件不因授权的撤销而失效。</w:t>
      </w:r>
    </w:p>
    <w:p>
      <w:pPr>
        <w:snapToGrid w:val="0"/>
        <w:ind w:firstLine="480"/>
        <w:rPr>
          <w:rFonts w:ascii="宋体"/>
          <w:color w:val="auto"/>
          <w:sz w:val="24"/>
          <w:szCs w:val="24"/>
          <w:highlight w:val="none"/>
        </w:rPr>
      </w:pPr>
      <w:r>
        <w:rPr>
          <w:rFonts w:hint="eastAsia" w:ascii="宋体" w:hAnsi="宋体" w:cs="宋体"/>
          <w:color w:val="auto"/>
          <w:sz w:val="24"/>
          <w:szCs w:val="24"/>
          <w:highlight w:val="none"/>
        </w:rPr>
        <w:t>被授权人无转委托权，特此委托。</w:t>
      </w:r>
    </w:p>
    <w:p>
      <w:pPr>
        <w:snapToGrid w:val="0"/>
        <w:rPr>
          <w:rFonts w:ascii="宋体"/>
          <w:color w:val="auto"/>
          <w:sz w:val="24"/>
          <w:szCs w:val="24"/>
          <w:highlight w:val="none"/>
        </w:rPr>
      </w:pPr>
    </w:p>
    <w:p>
      <w:pPr>
        <w:snapToGrid w:val="0"/>
        <w:rPr>
          <w:rFonts w:ascii="宋体"/>
          <w:color w:val="auto"/>
          <w:sz w:val="24"/>
          <w:szCs w:val="24"/>
          <w:highlight w:val="none"/>
          <w:u w:val="single"/>
        </w:rPr>
      </w:pPr>
      <w:r>
        <w:rPr>
          <w:rFonts w:hint="eastAsia" w:ascii="宋体" w:hAnsi="宋体" w:cs="宋体"/>
          <w:color w:val="auto"/>
          <w:sz w:val="24"/>
          <w:szCs w:val="24"/>
          <w:highlight w:val="none"/>
        </w:rPr>
        <w:t>被授权人签名：</w:t>
      </w:r>
    </w:p>
    <w:p>
      <w:pPr>
        <w:snapToGrid w:val="0"/>
        <w:rPr>
          <w:rFonts w:ascii="宋体"/>
          <w:color w:val="auto"/>
          <w:sz w:val="24"/>
          <w:szCs w:val="24"/>
          <w:highlight w:val="none"/>
        </w:rPr>
      </w:pPr>
      <w:r>
        <w:rPr>
          <w:rFonts w:hint="eastAsia" w:ascii="宋体" w:hAnsi="宋体" w:cs="宋体"/>
          <w:color w:val="auto"/>
          <w:sz w:val="24"/>
          <w:szCs w:val="24"/>
          <w:highlight w:val="none"/>
        </w:rPr>
        <w:t>所在部门：</w:t>
      </w:r>
    </w:p>
    <w:p>
      <w:pPr>
        <w:snapToGrid w:val="0"/>
        <w:rPr>
          <w:rFonts w:ascii="宋体"/>
          <w:color w:val="auto"/>
          <w:sz w:val="24"/>
          <w:szCs w:val="24"/>
          <w:highlight w:val="none"/>
        </w:rPr>
      </w:pPr>
      <w:r>
        <w:rPr>
          <w:rFonts w:hint="eastAsia" w:ascii="宋体" w:hAnsi="宋体" w:cs="宋体"/>
          <w:color w:val="auto"/>
          <w:sz w:val="24"/>
          <w:szCs w:val="24"/>
          <w:highlight w:val="none"/>
        </w:rPr>
        <w:t>职务：</w:t>
      </w:r>
    </w:p>
    <w:p>
      <w:pPr>
        <w:snapToGrid w:val="0"/>
        <w:rPr>
          <w:rFonts w:ascii="宋体"/>
          <w:color w:val="auto"/>
          <w:sz w:val="24"/>
          <w:szCs w:val="24"/>
          <w:highlight w:val="none"/>
        </w:rPr>
      </w:pPr>
      <w:r>
        <w:rPr>
          <w:rFonts w:hint="eastAsia" w:ascii="宋体" w:hAnsi="宋体" w:cs="宋体"/>
          <w:color w:val="auto"/>
          <w:sz w:val="24"/>
          <w:szCs w:val="24"/>
          <w:highlight w:val="none"/>
        </w:rPr>
        <w:t>被授权人身份证号码：</w:t>
      </w:r>
    </w:p>
    <w:p>
      <w:pPr>
        <w:snapToGrid w:val="0"/>
        <w:rPr>
          <w:rFonts w:ascii="宋体"/>
          <w:color w:val="auto"/>
          <w:sz w:val="24"/>
          <w:szCs w:val="24"/>
          <w:highlight w:val="none"/>
        </w:rPr>
      </w:pPr>
    </w:p>
    <w:p>
      <w:pPr>
        <w:snapToGrid w:val="0"/>
        <w:ind w:firstLine="5400" w:firstLineChars="2250"/>
        <w:rPr>
          <w:rFonts w:ascii="宋体"/>
          <w:color w:val="auto"/>
          <w:sz w:val="24"/>
          <w:szCs w:val="24"/>
          <w:highlight w:val="none"/>
        </w:rPr>
      </w:pPr>
      <w:r>
        <w:rPr>
          <w:rFonts w:hint="eastAsia" w:ascii="宋体" w:hAnsi="宋体" w:cs="宋体"/>
          <w:color w:val="auto"/>
          <w:sz w:val="24"/>
          <w:szCs w:val="24"/>
          <w:highlight w:val="none"/>
        </w:rPr>
        <w:t>法定代表人（签字或盖章）：</w:t>
      </w:r>
    </w:p>
    <w:p>
      <w:pPr>
        <w:snapToGrid w:val="0"/>
        <w:ind w:firstLine="5400" w:firstLineChars="2250"/>
        <w:rPr>
          <w:rFonts w:ascii="宋体"/>
          <w:color w:val="auto"/>
          <w:sz w:val="24"/>
          <w:szCs w:val="24"/>
          <w:highlight w:val="none"/>
        </w:rPr>
      </w:pPr>
      <w:r>
        <w:rPr>
          <w:rFonts w:hint="eastAsia" w:ascii="宋体" w:hAnsi="宋体" w:cs="宋体"/>
          <w:color w:val="auto"/>
          <w:sz w:val="24"/>
          <w:szCs w:val="24"/>
          <w:highlight w:val="none"/>
        </w:rPr>
        <w:t>投标人公章：</w:t>
      </w:r>
    </w:p>
    <w:p>
      <w:pPr>
        <w:snapToGrid w:val="0"/>
        <w:ind w:firstLine="470" w:firstLineChars="196"/>
        <w:jc w:val="left"/>
        <w:rPr>
          <w:rFonts w:asci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rPr>
          <w:rFonts w:ascii="宋体"/>
          <w:color w:val="auto"/>
          <w:highlight w:val="none"/>
        </w:rPr>
      </w:pPr>
    </w:p>
    <w:p>
      <w:pPr>
        <w:rPr>
          <w:rFonts w:ascii="宋体"/>
          <w:color w:val="auto"/>
          <w:highlight w:val="none"/>
        </w:rPr>
      </w:pPr>
    </w:p>
    <w:p>
      <w:pPr>
        <w:rPr>
          <w:rFonts w:ascii="宋体"/>
          <w:color w:val="auto"/>
          <w:highlight w:val="none"/>
        </w:rPr>
      </w:pPr>
    </w:p>
    <w:p>
      <w:pPr>
        <w:jc w:val="center"/>
        <w:rPr>
          <w:rFonts w:ascii="宋体"/>
          <w:b/>
          <w:bCs/>
          <w:color w:val="auto"/>
          <w:sz w:val="32"/>
          <w:szCs w:val="32"/>
          <w:highlight w:val="none"/>
        </w:rPr>
      </w:pPr>
      <w:r>
        <w:rPr>
          <w:rFonts w:hint="eastAsia" w:ascii="宋体" w:hAnsi="宋体" w:cs="宋体"/>
          <w:b/>
          <w:bCs/>
          <w:color w:val="auto"/>
          <w:sz w:val="32"/>
          <w:szCs w:val="32"/>
          <w:highlight w:val="none"/>
        </w:rPr>
        <w:t>授权委托书（格式二）</w:t>
      </w:r>
    </w:p>
    <w:p>
      <w:pPr>
        <w:snapToGrid w:val="0"/>
        <w:rPr>
          <w:rFonts w:ascii="宋体"/>
          <w:color w:val="auto"/>
          <w:sz w:val="24"/>
          <w:szCs w:val="24"/>
          <w:highlight w:val="none"/>
        </w:rPr>
      </w:pPr>
    </w:p>
    <w:p>
      <w:pPr>
        <w:snapToGrid w:val="0"/>
        <w:rPr>
          <w:rFonts w:ascii="宋体"/>
          <w:b/>
          <w:bCs/>
          <w:color w:val="auto"/>
          <w:sz w:val="24"/>
          <w:szCs w:val="24"/>
          <w:highlight w:val="none"/>
        </w:rPr>
      </w:pPr>
      <w:r>
        <w:rPr>
          <w:rFonts w:hint="eastAsia" w:ascii="宋体" w:hAnsi="宋体" w:cs="宋体"/>
          <w:color w:val="auto"/>
          <w:sz w:val="24"/>
          <w:szCs w:val="24"/>
          <w:highlight w:val="none"/>
        </w:rPr>
        <w:t>致：（招标采购单位名称）：</w:t>
      </w:r>
    </w:p>
    <w:p>
      <w:pPr>
        <w:snapToGrid w:val="0"/>
        <w:ind w:firstLine="720" w:firstLineChars="300"/>
        <w:rPr>
          <w:rFonts w:ascii="宋体"/>
          <w:color w:val="auto"/>
          <w:sz w:val="24"/>
          <w:szCs w:val="24"/>
          <w:highlight w:val="none"/>
        </w:rPr>
      </w:pPr>
      <w:r>
        <w:rPr>
          <w:rFonts w:hint="eastAsia" w:ascii="宋体" w:hAnsi="宋体" w:cs="宋体"/>
          <w:color w:val="auto"/>
          <w:sz w:val="24"/>
          <w:szCs w:val="24"/>
          <w:highlight w:val="none"/>
        </w:rPr>
        <w:t>我（姓名）系自然人，现授权委托（姓名）以本人名义参加</w:t>
      </w:r>
      <w:r>
        <w:rPr>
          <w:rFonts w:hint="eastAsia" w:ascii="宋体" w:hAnsi="宋体" w:cs="宋体"/>
          <w:color w:val="auto"/>
          <w:sz w:val="24"/>
          <w:szCs w:val="24"/>
          <w:highlight w:val="none"/>
          <w:u w:val="single"/>
        </w:rPr>
        <w:t>（项目名称和编号）</w:t>
      </w:r>
      <w:r>
        <w:rPr>
          <w:rFonts w:hint="eastAsia" w:ascii="宋体" w:hAnsi="宋体" w:cs="宋体"/>
          <w:color w:val="auto"/>
          <w:sz w:val="24"/>
          <w:szCs w:val="24"/>
          <w:highlight w:val="none"/>
        </w:rPr>
        <w:t>项目的投标活动，并代表本人全权办理针对上述项目的投标、开标、评标、签约等具体事务和签署相关文件。</w:t>
      </w:r>
    </w:p>
    <w:p>
      <w:pPr>
        <w:snapToGrid w:val="0"/>
        <w:rPr>
          <w:rFonts w:ascii="宋体"/>
          <w:color w:val="auto"/>
          <w:sz w:val="24"/>
          <w:szCs w:val="24"/>
          <w:highlight w:val="none"/>
        </w:rPr>
      </w:pPr>
      <w:r>
        <w:rPr>
          <w:rFonts w:hint="eastAsia" w:ascii="宋体" w:hAnsi="宋体" w:cs="宋体"/>
          <w:color w:val="auto"/>
          <w:sz w:val="24"/>
          <w:szCs w:val="24"/>
          <w:highlight w:val="none"/>
        </w:rPr>
        <w:t>本人对被授权人的签名事项负全部责任。</w:t>
      </w:r>
    </w:p>
    <w:p>
      <w:pPr>
        <w:snapToGrid w:val="0"/>
        <w:ind w:firstLine="480"/>
        <w:rPr>
          <w:rFonts w:ascii="宋体"/>
          <w:color w:val="auto"/>
          <w:sz w:val="24"/>
          <w:szCs w:val="24"/>
          <w:highlight w:val="none"/>
        </w:rPr>
      </w:pPr>
      <w:r>
        <w:rPr>
          <w:rFonts w:hint="eastAsia" w:ascii="宋体" w:hAnsi="宋体" w:cs="宋体"/>
          <w:color w:val="auto"/>
          <w:sz w:val="24"/>
          <w:szCs w:val="24"/>
          <w:highlight w:val="none"/>
          <w:u w:val="single"/>
        </w:rPr>
        <w:t>在撤销授权的书面通知以前，本授权书一直有效。</w:t>
      </w:r>
      <w:r>
        <w:rPr>
          <w:rFonts w:hint="eastAsia" w:ascii="宋体" w:hAnsi="宋体" w:cs="宋体"/>
          <w:color w:val="auto"/>
          <w:sz w:val="24"/>
          <w:szCs w:val="24"/>
          <w:highlight w:val="none"/>
        </w:rPr>
        <w:t>被授权人在授权书有效期内签署的所有文件不因授权的撤销而失效。</w:t>
      </w:r>
    </w:p>
    <w:p>
      <w:pPr>
        <w:snapToGrid w:val="0"/>
        <w:ind w:firstLine="480"/>
        <w:rPr>
          <w:rFonts w:ascii="宋体"/>
          <w:color w:val="auto"/>
          <w:sz w:val="24"/>
          <w:szCs w:val="24"/>
          <w:highlight w:val="none"/>
        </w:rPr>
      </w:pPr>
      <w:r>
        <w:rPr>
          <w:rFonts w:hint="eastAsia" w:ascii="宋体" w:hAnsi="宋体" w:cs="宋体"/>
          <w:color w:val="auto"/>
          <w:sz w:val="24"/>
          <w:szCs w:val="24"/>
          <w:highlight w:val="none"/>
        </w:rPr>
        <w:t>被授权人无转委托权，特此委托。</w:t>
      </w:r>
    </w:p>
    <w:p>
      <w:pPr>
        <w:snapToGrid w:val="0"/>
        <w:rPr>
          <w:rFonts w:ascii="宋体"/>
          <w:color w:val="auto"/>
          <w:sz w:val="24"/>
          <w:szCs w:val="24"/>
          <w:highlight w:val="none"/>
        </w:rPr>
      </w:pPr>
    </w:p>
    <w:p>
      <w:pPr>
        <w:snapToGrid w:val="0"/>
        <w:rPr>
          <w:rFonts w:ascii="宋体"/>
          <w:color w:val="auto"/>
          <w:sz w:val="24"/>
          <w:szCs w:val="24"/>
          <w:highlight w:val="none"/>
          <w:u w:val="single"/>
        </w:rPr>
      </w:pPr>
      <w:r>
        <w:rPr>
          <w:rFonts w:hint="eastAsia" w:ascii="宋体" w:hAnsi="宋体" w:cs="宋体"/>
          <w:color w:val="auto"/>
          <w:sz w:val="24"/>
          <w:szCs w:val="24"/>
          <w:highlight w:val="none"/>
        </w:rPr>
        <w:t>被授权人签名：</w:t>
      </w:r>
    </w:p>
    <w:p>
      <w:pPr>
        <w:snapToGrid w:val="0"/>
        <w:rPr>
          <w:rFonts w:ascii="宋体"/>
          <w:color w:val="auto"/>
          <w:sz w:val="24"/>
          <w:szCs w:val="24"/>
          <w:highlight w:val="none"/>
        </w:rPr>
      </w:pPr>
      <w:r>
        <w:rPr>
          <w:rFonts w:hint="eastAsia" w:ascii="宋体" w:hAnsi="宋体" w:cs="宋体"/>
          <w:color w:val="auto"/>
          <w:sz w:val="24"/>
          <w:szCs w:val="24"/>
          <w:highlight w:val="none"/>
        </w:rPr>
        <w:t>被授权人身份证号码：</w:t>
      </w:r>
    </w:p>
    <w:p>
      <w:pPr>
        <w:snapToGrid w:val="0"/>
        <w:rPr>
          <w:rFonts w:ascii="宋体"/>
          <w:color w:val="auto"/>
          <w:sz w:val="24"/>
          <w:szCs w:val="24"/>
          <w:highlight w:val="none"/>
        </w:rPr>
      </w:pPr>
    </w:p>
    <w:p>
      <w:pPr>
        <w:snapToGrid w:val="0"/>
        <w:ind w:firstLine="3000" w:firstLineChars="1250"/>
        <w:rPr>
          <w:rFonts w:ascii="宋体"/>
          <w:color w:val="auto"/>
          <w:sz w:val="24"/>
          <w:szCs w:val="24"/>
          <w:highlight w:val="none"/>
        </w:rPr>
      </w:pPr>
      <w:r>
        <w:rPr>
          <w:rFonts w:hint="eastAsia" w:ascii="宋体" w:hAnsi="宋体" w:cs="宋体"/>
          <w:color w:val="auto"/>
          <w:sz w:val="24"/>
          <w:szCs w:val="24"/>
          <w:highlight w:val="none"/>
        </w:rPr>
        <w:t>自然人签名并在签名处加盖指印：</w:t>
      </w:r>
    </w:p>
    <w:p>
      <w:pPr>
        <w:snapToGrid w:val="0"/>
        <w:ind w:firstLine="5400" w:firstLineChars="2250"/>
        <w:rPr>
          <w:rFonts w:ascii="宋体"/>
          <w:color w:val="auto"/>
          <w:sz w:val="24"/>
          <w:szCs w:val="24"/>
          <w:highlight w:val="none"/>
        </w:rPr>
      </w:pPr>
    </w:p>
    <w:p>
      <w:pPr>
        <w:snapToGrid w:val="0"/>
        <w:ind w:firstLine="470" w:firstLineChars="196"/>
        <w:jc w:val="left"/>
        <w:rPr>
          <w:rFonts w:ascii="宋体"/>
          <w:color w:val="auto"/>
          <w:sz w:val="24"/>
          <w:szCs w:val="24"/>
          <w:highlight w:val="none"/>
        </w:rPr>
      </w:pPr>
      <w:r>
        <w:rPr>
          <w:rFonts w:hint="eastAsia" w:ascii="宋体" w:hAnsi="宋体" w:cs="宋体"/>
          <w:color w:val="auto"/>
          <w:sz w:val="24"/>
          <w:szCs w:val="24"/>
          <w:highlight w:val="none"/>
        </w:rPr>
        <w:t>年月日</w:t>
      </w:r>
    </w:p>
    <w:p>
      <w:pPr>
        <w:rPr>
          <w:rFonts w:ascii="宋体"/>
          <w:color w:val="auto"/>
          <w:highlight w:val="none"/>
        </w:rPr>
      </w:pPr>
      <w:r>
        <w:rPr>
          <w:rFonts w:ascii="宋体"/>
          <w:color w:val="auto"/>
          <w:highlight w:val="none"/>
        </w:rPr>
        <w:br w:type="page"/>
      </w:r>
      <w:r>
        <w:rPr>
          <w:rFonts w:hint="eastAsia" w:ascii="宋体" w:hAnsi="宋体" w:cs="宋体"/>
          <w:color w:val="auto"/>
          <w:highlight w:val="none"/>
        </w:rPr>
        <w:t>委托代理人身份证复印件：</w:t>
      </w:r>
    </w:p>
    <w:p>
      <w:pPr>
        <w:rPr>
          <w:rFonts w:ascii="宋体"/>
          <w:color w:val="auto"/>
          <w:highlight w:val="none"/>
        </w:rPr>
      </w:pPr>
    </w:p>
    <w:tbl>
      <w:tblPr>
        <w:tblStyle w:val="37"/>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color w:val="auto"/>
                <w:highlight w:val="none"/>
              </w:rPr>
            </w:pPr>
            <w:r>
              <w:rPr>
                <w:rFonts w:hint="eastAsia" w:ascii="宋体" w:hAnsi="宋体" w:cs="宋体"/>
                <w:color w:val="auto"/>
                <w:highlight w:val="none"/>
              </w:rPr>
              <w:t>身份证（正面）</w:t>
            </w:r>
          </w:p>
        </w:tc>
      </w:tr>
    </w:tbl>
    <w:p>
      <w:pPr>
        <w:rPr>
          <w:rFonts w:ascii="宋体"/>
          <w:color w:val="auto"/>
          <w:highlight w:val="none"/>
        </w:rPr>
      </w:pPr>
    </w:p>
    <w:tbl>
      <w:tblPr>
        <w:tblStyle w:val="37"/>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color w:val="auto"/>
                <w:highlight w:val="none"/>
              </w:rPr>
            </w:pPr>
            <w:r>
              <w:rPr>
                <w:rFonts w:hint="eastAsia" w:ascii="宋体" w:hAnsi="宋体" w:cs="宋体"/>
                <w:color w:val="auto"/>
                <w:highlight w:val="none"/>
              </w:rPr>
              <w:t>身份证（反面）</w:t>
            </w:r>
          </w:p>
        </w:tc>
      </w:tr>
    </w:tbl>
    <w:p>
      <w:pPr>
        <w:rPr>
          <w:rFonts w:ascii="宋体"/>
          <w:color w:val="auto"/>
          <w:highlight w:val="none"/>
        </w:rPr>
      </w:pPr>
    </w:p>
    <w:p>
      <w:pPr>
        <w:rPr>
          <w:rFonts w:ascii="宋体"/>
          <w:color w:val="auto"/>
          <w:highlight w:val="none"/>
        </w:rPr>
      </w:pPr>
    </w:p>
    <w:p>
      <w:pPr>
        <w:rPr>
          <w:rFonts w:ascii="宋体"/>
          <w:color w:val="auto"/>
          <w:highlight w:val="none"/>
        </w:rPr>
      </w:pPr>
      <w:r>
        <w:rPr>
          <w:rFonts w:hint="eastAsia" w:ascii="宋体" w:hAnsi="宋体" w:cs="宋体"/>
          <w:color w:val="auto"/>
          <w:highlight w:val="none"/>
        </w:rPr>
        <w:t>委托代理人签名：</w:t>
      </w:r>
    </w:p>
    <w:p>
      <w:pPr>
        <w:rPr>
          <w:rFonts w:ascii="宋体"/>
          <w:color w:val="auto"/>
          <w:highlight w:val="none"/>
        </w:rPr>
      </w:pPr>
    </w:p>
    <w:p>
      <w:pPr>
        <w:rPr>
          <w:rFonts w:ascii="宋体"/>
          <w:color w:val="auto"/>
          <w:highlight w:val="none"/>
        </w:rPr>
      </w:pPr>
      <w:r>
        <w:rPr>
          <w:rFonts w:hint="eastAsia" w:ascii="宋体" w:hAnsi="宋体" w:cs="宋体"/>
          <w:color w:val="auto"/>
          <w:highlight w:val="none"/>
        </w:rPr>
        <w:t>委托单位（公章，自然人除外）：</w:t>
      </w:r>
    </w:p>
    <w:p>
      <w:pPr>
        <w:widowControl/>
        <w:jc w:val="left"/>
        <w:rPr>
          <w:rFonts w:ascii="宋体"/>
          <w:b/>
          <w:bCs/>
          <w:color w:val="auto"/>
          <w:sz w:val="24"/>
          <w:szCs w:val="24"/>
          <w:highlight w:val="none"/>
        </w:rPr>
      </w:pPr>
      <w:r>
        <w:rPr>
          <w:rFonts w:ascii="宋体"/>
          <w:b/>
          <w:bCs/>
          <w:color w:val="auto"/>
          <w:sz w:val="24"/>
          <w:szCs w:val="24"/>
          <w:highlight w:val="none"/>
        </w:rPr>
        <w:br w:type="page"/>
      </w:r>
    </w:p>
    <w:p>
      <w:pPr>
        <w:widowControl/>
        <w:jc w:val="left"/>
        <w:rPr>
          <w:rFonts w:ascii="宋体"/>
          <w:b/>
          <w:bCs/>
          <w:color w:val="auto"/>
          <w:sz w:val="24"/>
          <w:szCs w:val="24"/>
          <w:highlight w:val="none"/>
        </w:rPr>
      </w:pPr>
    </w:p>
    <w:p>
      <w:pPr>
        <w:snapToGrid w:val="0"/>
        <w:jc w:val="left"/>
        <w:rPr>
          <w:rFonts w:ascii="宋体"/>
          <w:b/>
          <w:bCs/>
          <w:color w:val="auto"/>
          <w:sz w:val="24"/>
          <w:szCs w:val="24"/>
          <w:highlight w:val="none"/>
        </w:rPr>
      </w:pPr>
      <w:r>
        <w:rPr>
          <w:rFonts w:hint="eastAsia" w:ascii="宋体" w:hAnsi="宋体" w:cs="宋体"/>
          <w:b/>
          <w:bCs/>
          <w:color w:val="auto"/>
          <w:sz w:val="24"/>
          <w:szCs w:val="24"/>
          <w:highlight w:val="none"/>
        </w:rPr>
        <w:t>商务条款偏离表格式：</w:t>
      </w:r>
    </w:p>
    <w:p>
      <w:pPr>
        <w:snapToGrid w:val="0"/>
        <w:jc w:val="center"/>
        <w:rPr>
          <w:rFonts w:ascii="宋体"/>
          <w:b/>
          <w:bCs/>
          <w:color w:val="auto"/>
          <w:sz w:val="32"/>
          <w:szCs w:val="32"/>
          <w:highlight w:val="none"/>
        </w:rPr>
      </w:pPr>
      <w:r>
        <w:rPr>
          <w:rFonts w:hint="eastAsia" w:ascii="宋体" w:hAnsi="宋体" w:cs="宋体"/>
          <w:b/>
          <w:bCs/>
          <w:color w:val="auto"/>
          <w:sz w:val="32"/>
          <w:szCs w:val="32"/>
          <w:highlight w:val="none"/>
        </w:rPr>
        <w:t>商务条款偏离表</w:t>
      </w:r>
    </w:p>
    <w:p>
      <w:pPr>
        <w:pStyle w:val="24"/>
        <w:spacing w:line="4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rPr>
        <w:t>请逐条对应本项目招标文件第二章</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服务需求一览表</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中</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商务条款</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的要求，详细填写相应的具体内容。</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偏离说明</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一栏应当选择</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正偏离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负偏离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或</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无偏离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进行填写。</w:t>
      </w:r>
    </w:p>
    <w:p>
      <w:pPr>
        <w:pStyle w:val="24"/>
        <w:ind w:firstLine="640" w:firstLineChars="200"/>
        <w:rPr>
          <w:rFonts w:ascii="Times New Roman" w:hAnsi="Times New Roman" w:eastAsia="仿宋_GB2312" w:cs="Times New Roman"/>
          <w:color w:val="auto"/>
          <w:sz w:val="32"/>
          <w:szCs w:val="32"/>
          <w:highlight w:val="none"/>
        </w:rPr>
      </w:pPr>
    </w:p>
    <w:tbl>
      <w:tblPr>
        <w:tblStyle w:val="37"/>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24"/>
              <w:spacing w:line="340" w:lineRule="exact"/>
              <w:jc w:val="center"/>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项号</w:t>
            </w:r>
          </w:p>
        </w:tc>
        <w:tc>
          <w:tcPr>
            <w:tcW w:w="4071" w:type="dxa"/>
            <w:vAlign w:val="center"/>
          </w:tcPr>
          <w:p>
            <w:pPr>
              <w:pStyle w:val="24"/>
              <w:spacing w:line="340" w:lineRule="exact"/>
              <w:jc w:val="center"/>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招标文件的商务需求</w:t>
            </w:r>
          </w:p>
        </w:tc>
        <w:tc>
          <w:tcPr>
            <w:tcW w:w="3720" w:type="dxa"/>
            <w:vAlign w:val="center"/>
          </w:tcPr>
          <w:p>
            <w:pPr>
              <w:pStyle w:val="24"/>
              <w:spacing w:line="340" w:lineRule="exact"/>
              <w:jc w:val="center"/>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投标文件承诺的商务条款</w:t>
            </w:r>
          </w:p>
        </w:tc>
        <w:tc>
          <w:tcPr>
            <w:tcW w:w="1320" w:type="dxa"/>
            <w:vAlign w:val="center"/>
          </w:tcPr>
          <w:p>
            <w:pPr>
              <w:pStyle w:val="24"/>
              <w:spacing w:line="340" w:lineRule="exact"/>
              <w:jc w:val="center"/>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4"/>
              <w:spacing w:line="34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一</w:t>
            </w:r>
          </w:p>
        </w:tc>
        <w:tc>
          <w:tcPr>
            <w:tcW w:w="4071" w:type="dxa"/>
          </w:tcPr>
          <w:p>
            <w:pPr>
              <w:spacing w:line="340" w:lineRule="exact"/>
              <w:rPr>
                <w:rFonts w:eastAsia="仿宋_GB2312"/>
                <w:color w:val="auto"/>
                <w:highlight w:val="none"/>
              </w:rPr>
            </w:pPr>
            <w:r>
              <w:rPr>
                <w:rFonts w:eastAsia="仿宋_GB2312"/>
                <w:color w:val="auto"/>
                <w:highlight w:val="none"/>
              </w:rPr>
              <w:t>1  ……</w:t>
            </w:r>
          </w:p>
          <w:p>
            <w:pPr>
              <w:spacing w:line="340" w:lineRule="exact"/>
              <w:rPr>
                <w:rFonts w:eastAsia="仿宋_GB2312"/>
                <w:color w:val="auto"/>
                <w:highlight w:val="none"/>
              </w:rPr>
            </w:pPr>
            <w:r>
              <w:rPr>
                <w:rFonts w:eastAsia="仿宋_GB2312"/>
                <w:color w:val="auto"/>
                <w:highlight w:val="none"/>
              </w:rPr>
              <w:t>2  ……</w:t>
            </w:r>
          </w:p>
          <w:p>
            <w:pPr>
              <w:spacing w:line="340" w:lineRule="exact"/>
              <w:rPr>
                <w:rFonts w:eastAsia="仿宋_GB2312"/>
                <w:color w:val="auto"/>
                <w:highlight w:val="none"/>
              </w:rPr>
            </w:pPr>
            <w:r>
              <w:rPr>
                <w:rFonts w:eastAsia="仿宋_GB2312"/>
                <w:color w:val="auto"/>
                <w:highlight w:val="none"/>
              </w:rPr>
              <w:t>3  ……</w:t>
            </w:r>
          </w:p>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3720" w:type="dxa"/>
          </w:tcPr>
          <w:p>
            <w:pPr>
              <w:spacing w:line="340" w:lineRule="exact"/>
              <w:rPr>
                <w:rFonts w:eastAsia="仿宋_GB2312"/>
                <w:color w:val="auto"/>
                <w:highlight w:val="none"/>
              </w:rPr>
            </w:pPr>
            <w:r>
              <w:rPr>
                <w:rFonts w:eastAsia="仿宋_GB2312"/>
                <w:color w:val="auto"/>
                <w:highlight w:val="none"/>
              </w:rPr>
              <w:t>1  ……</w:t>
            </w:r>
          </w:p>
          <w:p>
            <w:pPr>
              <w:spacing w:line="340" w:lineRule="exact"/>
              <w:rPr>
                <w:rFonts w:eastAsia="仿宋_GB2312"/>
                <w:color w:val="auto"/>
                <w:highlight w:val="none"/>
              </w:rPr>
            </w:pPr>
            <w:r>
              <w:rPr>
                <w:rFonts w:eastAsia="仿宋_GB2312"/>
                <w:color w:val="auto"/>
                <w:highlight w:val="none"/>
              </w:rPr>
              <w:t>2  ……</w:t>
            </w:r>
          </w:p>
          <w:p>
            <w:pPr>
              <w:spacing w:line="340" w:lineRule="exact"/>
              <w:rPr>
                <w:rFonts w:eastAsia="仿宋_GB2312"/>
                <w:color w:val="auto"/>
                <w:highlight w:val="none"/>
              </w:rPr>
            </w:pPr>
            <w:r>
              <w:rPr>
                <w:rFonts w:eastAsia="仿宋_GB2312"/>
                <w:color w:val="auto"/>
                <w:highlight w:val="none"/>
              </w:rPr>
              <w:t>3  ……</w:t>
            </w:r>
          </w:p>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1320" w:type="dxa"/>
          </w:tcPr>
          <w:p>
            <w:pPr>
              <w:pStyle w:val="24"/>
              <w:spacing w:line="30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4"/>
              <w:spacing w:line="34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二</w:t>
            </w:r>
          </w:p>
        </w:tc>
        <w:tc>
          <w:tcPr>
            <w:tcW w:w="4071" w:type="dxa"/>
          </w:tcPr>
          <w:p>
            <w:pPr>
              <w:spacing w:line="340" w:lineRule="exact"/>
              <w:rPr>
                <w:rFonts w:eastAsia="仿宋_GB2312"/>
                <w:color w:val="auto"/>
                <w:highlight w:val="none"/>
              </w:rPr>
            </w:pPr>
            <w:r>
              <w:rPr>
                <w:rFonts w:eastAsia="仿宋_GB2312"/>
                <w:color w:val="auto"/>
                <w:highlight w:val="none"/>
              </w:rPr>
              <w:t>1  ……</w:t>
            </w:r>
          </w:p>
          <w:p>
            <w:pPr>
              <w:spacing w:line="340" w:lineRule="exact"/>
              <w:rPr>
                <w:rFonts w:eastAsia="仿宋_GB2312"/>
                <w:color w:val="auto"/>
                <w:highlight w:val="none"/>
              </w:rPr>
            </w:pPr>
            <w:r>
              <w:rPr>
                <w:rFonts w:eastAsia="仿宋_GB2312"/>
                <w:color w:val="auto"/>
                <w:highlight w:val="none"/>
              </w:rPr>
              <w:t>2  ……</w:t>
            </w:r>
          </w:p>
          <w:p>
            <w:pPr>
              <w:spacing w:line="340" w:lineRule="exact"/>
              <w:rPr>
                <w:rFonts w:eastAsia="仿宋_GB2312"/>
                <w:color w:val="auto"/>
                <w:highlight w:val="none"/>
              </w:rPr>
            </w:pPr>
            <w:r>
              <w:rPr>
                <w:rFonts w:eastAsia="仿宋_GB2312"/>
                <w:color w:val="auto"/>
                <w:highlight w:val="none"/>
              </w:rPr>
              <w:t>3  ……</w:t>
            </w:r>
          </w:p>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3720" w:type="dxa"/>
          </w:tcPr>
          <w:p>
            <w:pPr>
              <w:spacing w:line="340" w:lineRule="exact"/>
              <w:rPr>
                <w:rFonts w:eastAsia="仿宋_GB2312"/>
                <w:color w:val="auto"/>
                <w:highlight w:val="none"/>
              </w:rPr>
            </w:pPr>
            <w:r>
              <w:rPr>
                <w:rFonts w:eastAsia="仿宋_GB2312"/>
                <w:color w:val="auto"/>
                <w:highlight w:val="none"/>
              </w:rPr>
              <w:t>1  ……</w:t>
            </w:r>
          </w:p>
          <w:p>
            <w:pPr>
              <w:spacing w:line="340" w:lineRule="exact"/>
              <w:rPr>
                <w:rFonts w:eastAsia="仿宋_GB2312"/>
                <w:color w:val="auto"/>
                <w:highlight w:val="none"/>
              </w:rPr>
            </w:pPr>
            <w:r>
              <w:rPr>
                <w:rFonts w:eastAsia="仿宋_GB2312"/>
                <w:color w:val="auto"/>
                <w:highlight w:val="none"/>
              </w:rPr>
              <w:t>2  ……</w:t>
            </w:r>
          </w:p>
          <w:p>
            <w:pPr>
              <w:spacing w:line="340" w:lineRule="exact"/>
              <w:rPr>
                <w:rFonts w:eastAsia="仿宋_GB2312"/>
                <w:color w:val="auto"/>
                <w:highlight w:val="none"/>
              </w:rPr>
            </w:pPr>
            <w:r>
              <w:rPr>
                <w:rFonts w:eastAsia="仿宋_GB2312"/>
                <w:color w:val="auto"/>
                <w:highlight w:val="none"/>
              </w:rPr>
              <w:t>3  ……</w:t>
            </w:r>
          </w:p>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1320" w:type="dxa"/>
          </w:tcPr>
          <w:p>
            <w:pPr>
              <w:pStyle w:val="24"/>
              <w:spacing w:line="30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4071" w:type="dxa"/>
          </w:tcPr>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1 ……</w:t>
            </w:r>
          </w:p>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2. ……</w:t>
            </w:r>
          </w:p>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3. ……</w:t>
            </w:r>
          </w:p>
        </w:tc>
        <w:tc>
          <w:tcPr>
            <w:tcW w:w="3720" w:type="dxa"/>
          </w:tcPr>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1 ……</w:t>
            </w:r>
          </w:p>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2. ……</w:t>
            </w:r>
          </w:p>
          <w:p>
            <w:pPr>
              <w:pStyle w:val="24"/>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3. ……</w:t>
            </w:r>
          </w:p>
        </w:tc>
        <w:tc>
          <w:tcPr>
            <w:tcW w:w="1320" w:type="dxa"/>
          </w:tcPr>
          <w:p>
            <w:pPr>
              <w:pStyle w:val="24"/>
              <w:spacing w:line="300" w:lineRule="exact"/>
              <w:rPr>
                <w:rFonts w:ascii="Times New Roman" w:hAnsi="Times New Roman" w:eastAsia="仿宋_GB2312" w:cs="Times New Roman"/>
                <w:color w:val="auto"/>
                <w:highlight w:val="none"/>
              </w:rPr>
            </w:pPr>
          </w:p>
          <w:p>
            <w:pPr>
              <w:pStyle w:val="24"/>
              <w:spacing w:line="30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Pr>
          <w:p>
            <w:pPr>
              <w:pStyle w:val="24"/>
              <w:spacing w:line="34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u w:val="single"/>
              </w:rPr>
              <w:t>　　</w:t>
            </w:r>
            <w:r>
              <w:rPr>
                <w:rFonts w:hint="eastAsia" w:ascii="Times New Roman" w:hAnsi="Times New Roman" w:eastAsia="仿宋_GB2312" w:cs="仿宋_GB2312"/>
                <w:color w:val="auto"/>
                <w:highlight w:val="none"/>
              </w:rPr>
              <w:t>分标（此处有分标时填写具体分标号，无分标时填写</w:t>
            </w:r>
            <w:r>
              <w:rPr>
                <w:rFonts w:ascii="Times New Roman" w:hAnsi="Times New Roman" w:eastAsia="仿宋_GB2312" w:cs="Times New Roman"/>
                <w:color w:val="auto"/>
                <w:highlight w:val="none"/>
              </w:rPr>
              <w:t>“</w:t>
            </w:r>
            <w:r>
              <w:rPr>
                <w:rFonts w:hint="eastAsia" w:ascii="Times New Roman" w:hAnsi="Times New Roman" w:eastAsia="仿宋_GB2312" w:cs="仿宋_GB2312"/>
                <w:color w:val="auto"/>
                <w:highlight w:val="none"/>
              </w:rPr>
              <w:t>无</w:t>
            </w:r>
            <w:r>
              <w:rPr>
                <w:rFonts w:ascii="Times New Roman" w:hAnsi="Times New Roman" w:eastAsia="仿宋_GB2312" w:cs="Times New Roman"/>
                <w:color w:val="auto"/>
                <w:highlight w:val="none"/>
              </w:rPr>
              <w:t>”</w:t>
            </w:r>
            <w:r>
              <w:rPr>
                <w:rFonts w:hint="eastAsia" w:ascii="Times New Roman" w:hAnsi="Times New Roman"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rPr>
                <w:rFonts w:eastAsia="仿宋_GB2312"/>
                <w:color w:val="auto"/>
                <w:highlight w:val="none"/>
              </w:rPr>
            </w:pPr>
            <w:r>
              <w:rPr>
                <w:rFonts w:hint="eastAsia" w:eastAsia="仿宋_GB2312" w:cs="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rPr>
                <w:rFonts w:eastAsia="仿宋_GB2312"/>
                <w:color w:val="auto"/>
                <w:highlight w:val="none"/>
              </w:rPr>
            </w:pPr>
            <w:r>
              <w:rPr>
                <w:rFonts w:hint="eastAsia" w:eastAsia="仿宋_GB2312" w:cs="仿宋_GB2312"/>
                <w:color w:val="auto"/>
                <w:highlight w:val="none"/>
              </w:rPr>
              <w:t>法定代表人或其委托代理人（签字或盖章）：</w:t>
            </w:r>
          </w:p>
          <w:p>
            <w:pPr>
              <w:rPr>
                <w:rFonts w:eastAsia="仿宋_GB2312"/>
                <w:color w:val="auto"/>
                <w:highlight w:val="none"/>
              </w:rPr>
            </w:pPr>
            <w:r>
              <w:rPr>
                <w:rFonts w:hint="eastAsia" w:ascii="宋体" w:hAnsi="宋体" w:cs="宋体"/>
                <w:color w:val="auto"/>
                <w:highlight w:val="none"/>
              </w:rPr>
              <w:t>（</w:t>
            </w:r>
            <w:r>
              <w:rPr>
                <w:rFonts w:hint="eastAsia" w:eastAsia="仿宋_GB2312" w:cs="仿宋_GB2312"/>
                <w:color w:val="auto"/>
                <w:highlight w:val="none"/>
              </w:rPr>
              <w:t>投标人属自然人的应由自然人签字并加盖指印，投标人若为其他组织形式无法定代表人的应由机构负责人签字或盖章</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rPr>
                <w:rFonts w:eastAsia="仿宋_GB2312"/>
                <w:color w:val="auto"/>
                <w:highlight w:val="none"/>
              </w:rPr>
            </w:pPr>
            <w:r>
              <w:rPr>
                <w:rFonts w:hint="eastAsia" w:eastAsia="仿宋_GB2312" w:cs="仿宋_GB2312"/>
                <w:color w:val="auto"/>
                <w:highlight w:val="none"/>
              </w:rPr>
              <w:t>日期：年月日</w:t>
            </w:r>
          </w:p>
        </w:tc>
      </w:tr>
    </w:tbl>
    <w:p>
      <w:pPr>
        <w:pStyle w:val="24"/>
        <w:rPr>
          <w:rFonts w:ascii="Times New Roman" w:hAnsi="Times New Roman" w:eastAsia="仿宋_GB2312" w:cs="Times New Roman"/>
          <w:color w:val="auto"/>
          <w:sz w:val="24"/>
          <w:szCs w:val="24"/>
          <w:highlight w:val="none"/>
        </w:rPr>
      </w:pPr>
      <w:r>
        <w:rPr>
          <w:rFonts w:hint="eastAsia" w:ascii="Times New Roman" w:hAnsi="Times New Roman" w:eastAsia="仿宋_GB2312" w:cs="仿宋_GB2312"/>
          <w:color w:val="auto"/>
          <w:sz w:val="24"/>
          <w:szCs w:val="24"/>
          <w:highlight w:val="none"/>
        </w:rPr>
        <w:t>注：⑴表格内容均需按要求填写并盖章，不得留空，否则按投标无效处理。</w:t>
      </w:r>
    </w:p>
    <w:p>
      <w:pPr>
        <w:pStyle w:val="24"/>
        <w:spacing w:line="600" w:lineRule="exact"/>
        <w:ind w:left="719" w:leftChars="228" w:hanging="240" w:hangingChars="100"/>
        <w:rPr>
          <w:rFonts w:ascii="Times New Roman" w:hAnsi="Times New Roman" w:eastAsia="仿宋_GB2312" w:cs="Times New Roman"/>
          <w:color w:val="auto"/>
          <w:sz w:val="24"/>
          <w:szCs w:val="24"/>
          <w:highlight w:val="none"/>
        </w:rPr>
      </w:pPr>
      <w:r>
        <w:rPr>
          <w:rFonts w:hint="eastAsia" w:ascii="Times New Roman" w:hAnsi="Times New Roman" w:eastAsia="楷体_GB2312" w:cs="楷体_GB2312"/>
          <w:color w:val="auto"/>
          <w:sz w:val="24"/>
          <w:szCs w:val="24"/>
          <w:highlight w:val="none"/>
        </w:rPr>
        <w:t>⑵</w:t>
      </w:r>
      <w:r>
        <w:rPr>
          <w:rFonts w:hint="eastAsia" w:ascii="Times New Roman" w:hAnsi="Times New Roman" w:eastAsia="仿宋_GB2312" w:cs="仿宋_GB2312"/>
          <w:color w:val="auto"/>
          <w:sz w:val="24"/>
          <w:szCs w:val="24"/>
          <w:highlight w:val="none"/>
        </w:rPr>
        <w:t>如果投标文件为小于或大于招标文件需求标准时，投标文件承诺不得直接复制招标文件需求，投标文件承诺内容应当写明投标服务具体参数或商务响应承诺的具体内容，否则按投标无效处理。</w:t>
      </w:r>
    </w:p>
    <w:p>
      <w:pPr>
        <w:pStyle w:val="24"/>
        <w:spacing w:line="600" w:lineRule="exact"/>
        <w:ind w:left="719" w:leftChars="228" w:hanging="240" w:hangingChars="100"/>
        <w:rPr>
          <w:rFonts w:ascii="Times New Roman" w:hAnsi="Times New Roman" w:eastAsia="仿宋_GB2312" w:cs="Times New Roman"/>
          <w:color w:val="auto"/>
          <w:sz w:val="24"/>
          <w:szCs w:val="24"/>
          <w:highlight w:val="none"/>
        </w:rPr>
      </w:pPr>
      <w:r>
        <w:rPr>
          <w:rFonts w:hint="eastAsia" w:ascii="Times New Roman" w:hAnsi="Times New Roman" w:eastAsia="仿宋_GB2312" w:cs="仿宋_GB2312"/>
          <w:color w:val="auto"/>
          <w:sz w:val="24"/>
          <w:szCs w:val="24"/>
          <w:highlight w:val="none"/>
        </w:rPr>
        <w:t>⑶当投标文件的服务内容低于招标文件要求时，投标人应当如实写明</w:t>
      </w:r>
      <w:r>
        <w:rPr>
          <w:rFonts w:ascii="Times New Roman" w:hAnsi="Times New Roman" w:eastAsia="仿宋_GB2312" w:cs="Times New Roman"/>
          <w:color w:val="auto"/>
          <w:sz w:val="24"/>
          <w:szCs w:val="24"/>
          <w:highlight w:val="none"/>
        </w:rPr>
        <w:t>“</w:t>
      </w:r>
      <w:r>
        <w:rPr>
          <w:rFonts w:hint="eastAsia" w:ascii="Times New Roman" w:hAnsi="Times New Roman" w:eastAsia="仿宋_GB2312" w:cs="仿宋_GB2312"/>
          <w:color w:val="auto"/>
          <w:sz w:val="24"/>
          <w:szCs w:val="24"/>
          <w:highlight w:val="none"/>
        </w:rPr>
        <w:t>负偏离</w:t>
      </w:r>
      <w:r>
        <w:rPr>
          <w:rFonts w:ascii="Times New Roman" w:hAnsi="Times New Roman" w:eastAsia="仿宋_GB2312" w:cs="Times New Roman"/>
          <w:color w:val="auto"/>
          <w:sz w:val="24"/>
          <w:szCs w:val="24"/>
          <w:highlight w:val="none"/>
        </w:rPr>
        <w:t>”</w:t>
      </w:r>
      <w:r>
        <w:rPr>
          <w:rFonts w:hint="eastAsia" w:ascii="Times New Roman" w:hAnsi="Times New Roman" w:eastAsia="仿宋_GB2312" w:cs="仿宋_GB2312"/>
          <w:color w:val="auto"/>
          <w:sz w:val="24"/>
          <w:szCs w:val="24"/>
          <w:highlight w:val="none"/>
        </w:rPr>
        <w:t>，否则视为虚假应标。</w:t>
      </w:r>
    </w:p>
    <w:p>
      <w:pPr>
        <w:widowControl/>
        <w:jc w:val="left"/>
        <w:rPr>
          <w:rFonts w:ascii="宋体"/>
          <w:b/>
          <w:bCs/>
          <w:color w:val="auto"/>
          <w:sz w:val="32"/>
          <w:szCs w:val="32"/>
          <w:highlight w:val="none"/>
        </w:rPr>
      </w:pPr>
      <w:r>
        <w:rPr>
          <w:rFonts w:hAnsi="宋体"/>
          <w:b/>
          <w:bCs/>
          <w:color w:val="auto"/>
          <w:sz w:val="32"/>
          <w:szCs w:val="32"/>
          <w:highlight w:val="none"/>
        </w:rPr>
        <w:br w:type="page"/>
      </w:r>
    </w:p>
    <w:p>
      <w:pPr>
        <w:pStyle w:val="24"/>
        <w:ind w:firstLine="380"/>
        <w:jc w:val="center"/>
        <w:rPr>
          <w:rFonts w:hAnsi="宋体" w:cs="Times New Roman"/>
          <w:b/>
          <w:bCs/>
          <w:color w:val="auto"/>
          <w:sz w:val="32"/>
          <w:szCs w:val="32"/>
          <w:highlight w:val="none"/>
        </w:rPr>
      </w:pPr>
    </w:p>
    <w:p>
      <w:pPr>
        <w:pStyle w:val="24"/>
        <w:ind w:firstLine="380"/>
        <w:jc w:val="center"/>
        <w:rPr>
          <w:rFonts w:hAnsi="宋体" w:cs="Times New Roman"/>
          <w:b/>
          <w:bCs/>
          <w:color w:val="auto"/>
          <w:sz w:val="32"/>
          <w:szCs w:val="32"/>
          <w:highlight w:val="none"/>
        </w:rPr>
      </w:pPr>
    </w:p>
    <w:p>
      <w:pPr>
        <w:pStyle w:val="24"/>
        <w:ind w:firstLine="380"/>
        <w:jc w:val="center"/>
        <w:rPr>
          <w:rFonts w:hAnsi="宋体" w:cs="Times New Roman"/>
          <w:b/>
          <w:bCs/>
          <w:color w:val="auto"/>
          <w:sz w:val="32"/>
          <w:szCs w:val="32"/>
          <w:highlight w:val="none"/>
        </w:rPr>
      </w:pPr>
      <w:r>
        <w:rPr>
          <w:rFonts w:hint="eastAsia" w:hAnsi="宋体"/>
          <w:b/>
          <w:bCs/>
          <w:color w:val="auto"/>
          <w:sz w:val="32"/>
          <w:szCs w:val="32"/>
          <w:highlight w:val="none"/>
        </w:rPr>
        <w:t>售后服务承诺书</w:t>
      </w:r>
    </w:p>
    <w:p>
      <w:pPr>
        <w:snapToGrid w:val="0"/>
        <w:jc w:val="center"/>
        <w:rPr>
          <w:rFonts w:ascii="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rPr>
        <w:t>由投标人按《招标需求》及评分办法的要求自行分别填写</w:t>
      </w:r>
      <w:r>
        <w:rPr>
          <w:rFonts w:ascii="宋体" w:hAnsi="宋体" w:cs="宋体"/>
          <w:color w:val="auto"/>
          <w:sz w:val="24"/>
          <w:szCs w:val="24"/>
          <w:highlight w:val="none"/>
        </w:rPr>
        <w:t>)</w:t>
      </w:r>
    </w:p>
    <w:p>
      <w:pPr>
        <w:rPr>
          <w:rFonts w:ascii="宋体"/>
          <w:color w:val="auto"/>
          <w:highlight w:val="none"/>
        </w:rPr>
      </w:pPr>
      <w:r>
        <w:rPr>
          <w:rFonts w:ascii="宋体"/>
          <w:b/>
          <w:bCs/>
          <w:color w:val="auto"/>
          <w:sz w:val="24"/>
          <w:szCs w:val="24"/>
          <w:highlight w:val="none"/>
        </w:rPr>
        <w:br w:type="page"/>
      </w:r>
    </w:p>
    <w:p>
      <w:pPr>
        <w:snapToGrid w:val="0"/>
        <w:ind w:firstLine="472" w:firstLineChars="196"/>
        <w:jc w:val="center"/>
        <w:rPr>
          <w:rFonts w:ascii="宋体"/>
          <w:b/>
          <w:bCs/>
          <w:color w:val="auto"/>
          <w:sz w:val="24"/>
          <w:szCs w:val="24"/>
          <w:highlight w:val="none"/>
        </w:rPr>
      </w:pPr>
    </w:p>
    <w:p>
      <w:pPr>
        <w:snapToGrid w:val="0"/>
        <w:rPr>
          <w:rFonts w:ascii="宋体"/>
          <w:b/>
          <w:bCs/>
          <w:color w:val="auto"/>
          <w:highlight w:val="none"/>
        </w:rPr>
      </w:pPr>
      <w:r>
        <w:rPr>
          <w:rFonts w:hint="eastAsia" w:ascii="宋体" w:hAnsi="宋体" w:cs="宋体"/>
          <w:b/>
          <w:bCs/>
          <w:color w:val="auto"/>
          <w:sz w:val="24"/>
          <w:szCs w:val="24"/>
          <w:highlight w:val="none"/>
        </w:rPr>
        <w:t>投标人类似项目业绩情况一览表格式：</w:t>
      </w:r>
    </w:p>
    <w:tbl>
      <w:tblPr>
        <w:tblStyle w:val="37"/>
        <w:tblW w:w="9213"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0"/>
        <w:gridCol w:w="1991"/>
        <w:gridCol w:w="1786"/>
        <w:gridCol w:w="2364"/>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2" w:hRule="atLeast"/>
        </w:trPr>
        <w:tc>
          <w:tcPr>
            <w:tcW w:w="1860" w:type="dxa"/>
            <w:tcBorders>
              <w:top w:val="single" w:color="auto" w:sz="4" w:space="0"/>
              <w:bottom w:val="single" w:color="auto" w:sz="4" w:space="0"/>
              <w:righ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rPr>
              <w:t>采购单位名称</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rPr>
              <w:t>服务名称</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rPr>
              <w:t>采购数量</w:t>
            </w:r>
          </w:p>
        </w:tc>
        <w:tc>
          <w:tcPr>
            <w:tcW w:w="23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rPr>
              <w:t>合同金额（万元）</w:t>
            </w:r>
          </w:p>
        </w:tc>
        <w:tc>
          <w:tcPr>
            <w:tcW w:w="1212" w:type="dxa"/>
            <w:tcBorders>
              <w:top w:val="single" w:color="auto" w:sz="4" w:space="0"/>
              <w:lef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bl>
    <w:p>
      <w:pPr>
        <w:snapToGrid w:val="0"/>
        <w:rPr>
          <w:rFonts w:ascii="宋体"/>
          <w:color w:val="auto"/>
          <w:sz w:val="24"/>
          <w:szCs w:val="24"/>
          <w:highlight w:val="none"/>
        </w:rPr>
      </w:pPr>
      <w:r>
        <w:rPr>
          <w:rFonts w:hint="eastAsia" w:ascii="宋体" w:hAnsi="宋体" w:cs="宋体"/>
          <w:color w:val="auto"/>
          <w:sz w:val="24"/>
          <w:szCs w:val="24"/>
          <w:highlight w:val="none"/>
        </w:rPr>
        <w:t>附：销售合同等其他证明复印件</w:t>
      </w: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widowControl/>
        <w:shd w:val="clear" w:color="auto" w:fill="FFFFFF"/>
        <w:spacing w:line="360" w:lineRule="auto"/>
        <w:ind w:firstLine="480"/>
        <w:jc w:val="left"/>
        <w:rPr>
          <w:rFonts w:ascii="宋体"/>
          <w:color w:val="auto"/>
          <w:kern w:val="0"/>
          <w:sz w:val="24"/>
          <w:szCs w:val="24"/>
          <w:highlight w:val="none"/>
        </w:rPr>
      </w:pPr>
    </w:p>
    <w:p>
      <w:pPr>
        <w:snapToGrid w:val="0"/>
        <w:ind w:left="149" w:hanging="148" w:hangingChars="62"/>
        <w:rPr>
          <w:rFonts w:ascii="宋体" w:cs="宋体"/>
          <w:color w:val="auto"/>
          <w:sz w:val="24"/>
          <w:szCs w:val="24"/>
          <w:highlight w:val="none"/>
        </w:rPr>
      </w:pPr>
      <w:r>
        <w:rPr>
          <w:rFonts w:hint="eastAsia" w:ascii="宋体" w:hAnsi="宋体" w:cs="宋体"/>
          <w:color w:val="auto"/>
          <w:sz w:val="24"/>
          <w:szCs w:val="24"/>
          <w:highlight w:val="none"/>
        </w:rPr>
        <w:t>投标人（盖单位公章，自然人除外）：</w:t>
      </w:r>
    </w:p>
    <w:p>
      <w:pPr>
        <w:snapToGrid w:val="0"/>
        <w:ind w:firstLine="1920" w:firstLineChars="800"/>
        <w:rPr>
          <w:rFonts w:ascii="宋体" w:cs="宋体"/>
          <w:color w:val="auto"/>
          <w:sz w:val="24"/>
          <w:szCs w:val="24"/>
          <w:highlight w:val="none"/>
        </w:rPr>
      </w:pPr>
    </w:p>
    <w:p>
      <w:pPr>
        <w:rPr>
          <w:rFonts w:ascii="宋体" w:cs="宋体"/>
          <w:color w:val="auto"/>
          <w:sz w:val="24"/>
          <w:szCs w:val="24"/>
          <w:highlight w:val="none"/>
        </w:rPr>
      </w:pPr>
      <w:r>
        <w:rPr>
          <w:rFonts w:hint="eastAsia" w:ascii="宋体" w:hAnsi="宋体" w:cs="宋体"/>
          <w:color w:val="auto"/>
          <w:sz w:val="24"/>
          <w:szCs w:val="24"/>
          <w:highlight w:val="none"/>
        </w:rPr>
        <w:t>法定代表人或其委托代理人（签字或盖章）：</w:t>
      </w:r>
    </w:p>
    <w:p>
      <w:pPr>
        <w:snapToGrid w:val="0"/>
        <w:ind w:firstLine="1995" w:firstLineChars="950"/>
        <w:rPr>
          <w:rFonts w:ascii="宋体"/>
          <w:color w:val="auto"/>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snapToGrid w:val="0"/>
        <w:jc w:val="center"/>
        <w:rPr>
          <w:rFonts w:ascii="宋体"/>
          <w:color w:val="auto"/>
          <w:sz w:val="24"/>
          <w:szCs w:val="24"/>
          <w:highlight w:val="none"/>
        </w:rPr>
      </w:pPr>
    </w:p>
    <w:p>
      <w:pPr>
        <w:jc w:val="center"/>
        <w:rPr>
          <w:rFonts w:ascii="宋体"/>
          <w:b/>
          <w:bCs/>
          <w:color w:val="auto"/>
          <w:sz w:val="28"/>
          <w:szCs w:val="28"/>
          <w:highlight w:val="none"/>
        </w:rPr>
      </w:pPr>
      <w:r>
        <w:rPr>
          <w:rFonts w:ascii="宋体"/>
          <w:b/>
          <w:bCs/>
          <w:color w:val="auto"/>
          <w:sz w:val="24"/>
          <w:szCs w:val="24"/>
          <w:highlight w:val="none"/>
        </w:rPr>
        <w:br w:type="page"/>
      </w:r>
      <w:r>
        <w:rPr>
          <w:rFonts w:hint="eastAsia" w:ascii="宋体" w:hAnsi="宋体" w:cs="宋体"/>
          <w:b/>
          <w:bCs/>
          <w:color w:val="auto"/>
          <w:sz w:val="28"/>
          <w:szCs w:val="28"/>
          <w:highlight w:val="none"/>
        </w:rPr>
        <w:t>技术资料表</w:t>
      </w:r>
    </w:p>
    <w:p>
      <w:pPr>
        <w:pStyle w:val="24"/>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rPr>
        <w:t>请根据所投服务的实际技术参数，逐条对应本项目招标文件第二章</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服务需求一览表</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中的服务内容及要求详细填写相应的具体内容。</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偏离说明</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一栏应当选择</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正偏离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负偏离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或</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无偏离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进行填写</w:t>
      </w:r>
    </w:p>
    <w:tbl>
      <w:tblPr>
        <w:tblStyle w:val="37"/>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vAlign w:val="center"/>
          </w:tcPr>
          <w:p>
            <w:pPr>
              <w:rPr>
                <w:rFonts w:eastAsia="仿宋_GB2312"/>
                <w:color w:val="auto"/>
                <w:highlight w:val="none"/>
              </w:rPr>
            </w:pPr>
            <w:r>
              <w:rPr>
                <w:rFonts w:hint="eastAsia" w:eastAsia="仿宋_GB2312" w:cs="仿宋_GB2312"/>
                <w:color w:val="auto"/>
                <w:highlight w:val="none"/>
              </w:rPr>
              <w:t>项号</w:t>
            </w:r>
          </w:p>
        </w:tc>
        <w:tc>
          <w:tcPr>
            <w:tcW w:w="3570" w:type="dxa"/>
            <w:gridSpan w:val="2"/>
            <w:vAlign w:val="center"/>
          </w:tcPr>
          <w:p>
            <w:pPr>
              <w:jc w:val="center"/>
              <w:rPr>
                <w:rFonts w:eastAsia="仿宋_GB2312"/>
                <w:color w:val="auto"/>
                <w:highlight w:val="none"/>
              </w:rPr>
            </w:pPr>
            <w:r>
              <w:rPr>
                <w:rFonts w:hint="eastAsia" w:eastAsia="仿宋_GB2312" w:cs="仿宋_GB2312"/>
                <w:color w:val="auto"/>
                <w:highlight w:val="none"/>
              </w:rPr>
              <w:t>招标文件需求</w:t>
            </w:r>
          </w:p>
        </w:tc>
        <w:tc>
          <w:tcPr>
            <w:tcW w:w="4813" w:type="dxa"/>
            <w:gridSpan w:val="2"/>
            <w:vAlign w:val="center"/>
          </w:tcPr>
          <w:p>
            <w:pPr>
              <w:jc w:val="center"/>
              <w:rPr>
                <w:rFonts w:eastAsia="仿宋_GB2312"/>
                <w:color w:val="auto"/>
                <w:highlight w:val="none"/>
              </w:rPr>
            </w:pPr>
            <w:r>
              <w:rPr>
                <w:rFonts w:hint="eastAsia" w:eastAsia="仿宋_GB2312" w:cs="仿宋_GB2312"/>
                <w:color w:val="auto"/>
                <w:highlight w:val="none"/>
              </w:rPr>
              <w:t>投标文件承诺</w:t>
            </w:r>
          </w:p>
        </w:tc>
        <w:tc>
          <w:tcPr>
            <w:tcW w:w="1168" w:type="dxa"/>
            <w:vMerge w:val="restart"/>
            <w:vAlign w:val="center"/>
          </w:tcPr>
          <w:p>
            <w:pPr>
              <w:rPr>
                <w:rFonts w:eastAsia="仿宋_GB2312"/>
                <w:color w:val="auto"/>
                <w:highlight w:val="none"/>
              </w:rPr>
            </w:pPr>
            <w:r>
              <w:rPr>
                <w:rFonts w:hint="eastAsia" w:eastAsia="仿宋_GB2312" w:cs="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vAlign w:val="center"/>
          </w:tcPr>
          <w:p>
            <w:pPr>
              <w:widowControl/>
              <w:jc w:val="left"/>
              <w:rPr>
                <w:rFonts w:eastAsia="仿宋_GB2312"/>
                <w:color w:val="auto"/>
                <w:highlight w:val="none"/>
              </w:rPr>
            </w:pPr>
          </w:p>
        </w:tc>
        <w:tc>
          <w:tcPr>
            <w:tcW w:w="1260" w:type="dxa"/>
            <w:vAlign w:val="center"/>
          </w:tcPr>
          <w:p>
            <w:pPr>
              <w:jc w:val="center"/>
              <w:rPr>
                <w:rFonts w:eastAsia="仿宋_GB2312"/>
                <w:color w:val="auto"/>
                <w:highlight w:val="none"/>
              </w:rPr>
            </w:pPr>
            <w:r>
              <w:rPr>
                <w:rFonts w:hint="eastAsia" w:eastAsia="仿宋_GB2312" w:cs="仿宋_GB2312"/>
                <w:color w:val="auto"/>
                <w:highlight w:val="none"/>
              </w:rPr>
              <w:t>服务名称</w:t>
            </w:r>
          </w:p>
        </w:tc>
        <w:tc>
          <w:tcPr>
            <w:tcW w:w="2310" w:type="dxa"/>
            <w:vAlign w:val="center"/>
          </w:tcPr>
          <w:p>
            <w:pPr>
              <w:jc w:val="center"/>
              <w:rPr>
                <w:rFonts w:eastAsia="仿宋_GB2312"/>
                <w:color w:val="auto"/>
                <w:highlight w:val="none"/>
              </w:rPr>
            </w:pPr>
            <w:r>
              <w:rPr>
                <w:rFonts w:hint="eastAsia" w:eastAsia="仿宋_GB2312" w:cs="仿宋_GB2312"/>
                <w:color w:val="auto"/>
                <w:highlight w:val="none"/>
              </w:rPr>
              <w:t>服务内容及要求</w:t>
            </w:r>
          </w:p>
        </w:tc>
        <w:tc>
          <w:tcPr>
            <w:tcW w:w="1516" w:type="dxa"/>
            <w:vAlign w:val="center"/>
          </w:tcPr>
          <w:p>
            <w:pPr>
              <w:jc w:val="center"/>
              <w:rPr>
                <w:rFonts w:eastAsia="仿宋_GB2312"/>
                <w:color w:val="auto"/>
                <w:highlight w:val="none"/>
              </w:rPr>
            </w:pPr>
            <w:r>
              <w:rPr>
                <w:rFonts w:hint="eastAsia" w:eastAsia="仿宋_GB2312" w:cs="仿宋_GB2312"/>
                <w:color w:val="auto"/>
                <w:highlight w:val="none"/>
              </w:rPr>
              <w:t>服务名称</w:t>
            </w:r>
          </w:p>
        </w:tc>
        <w:tc>
          <w:tcPr>
            <w:tcW w:w="3297" w:type="dxa"/>
            <w:vAlign w:val="center"/>
          </w:tcPr>
          <w:p>
            <w:pPr>
              <w:jc w:val="center"/>
              <w:rPr>
                <w:rFonts w:eastAsia="仿宋_GB2312"/>
                <w:color w:val="auto"/>
                <w:highlight w:val="none"/>
              </w:rPr>
            </w:pPr>
            <w:r>
              <w:rPr>
                <w:rFonts w:hint="eastAsia" w:eastAsia="仿宋_GB2312" w:cs="仿宋_GB2312"/>
                <w:color w:val="auto"/>
                <w:highlight w:val="none"/>
              </w:rPr>
              <w:t>所提供服务的内容</w:t>
            </w:r>
          </w:p>
        </w:tc>
        <w:tc>
          <w:tcPr>
            <w:tcW w:w="1168" w:type="dxa"/>
            <w:vMerge w:val="continue"/>
            <w:vAlign w:val="center"/>
          </w:tcPr>
          <w:p>
            <w:pPr>
              <w:widowControl/>
              <w:jc w:val="left"/>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eastAsia="仿宋_GB2312"/>
                <w:color w:val="auto"/>
                <w:highlight w:val="none"/>
              </w:rPr>
            </w:pPr>
            <w:r>
              <w:rPr>
                <w:rFonts w:eastAsia="仿宋_GB2312"/>
                <w:color w:val="auto"/>
                <w:highlight w:val="none"/>
              </w:rPr>
              <w:t>1</w:t>
            </w:r>
          </w:p>
        </w:tc>
        <w:tc>
          <w:tcPr>
            <w:tcW w:w="1260" w:type="dxa"/>
            <w:vAlign w:val="center"/>
          </w:tcPr>
          <w:p>
            <w:pPr>
              <w:rPr>
                <w:rFonts w:eastAsia="仿宋_GB2312"/>
                <w:color w:val="auto"/>
                <w:highlight w:val="none"/>
              </w:rPr>
            </w:pPr>
            <w:r>
              <w:rPr>
                <w:rFonts w:eastAsia="仿宋_GB2312"/>
                <w:color w:val="auto"/>
                <w:highlight w:val="none"/>
              </w:rPr>
              <w:t>……</w:t>
            </w:r>
          </w:p>
        </w:tc>
        <w:tc>
          <w:tcPr>
            <w:tcW w:w="2310" w:type="dxa"/>
            <w:vAlign w:val="center"/>
          </w:tcPr>
          <w:p>
            <w:pPr>
              <w:rPr>
                <w:rFonts w:eastAsia="仿宋_GB2312"/>
                <w:color w:val="auto"/>
                <w:highlight w:val="none"/>
              </w:rPr>
            </w:pPr>
            <w:r>
              <w:rPr>
                <w:rFonts w:eastAsia="仿宋_GB2312"/>
                <w:color w:val="auto"/>
                <w:highlight w:val="none"/>
              </w:rPr>
              <w:t>1  ……</w:t>
            </w:r>
          </w:p>
          <w:p>
            <w:pPr>
              <w:rPr>
                <w:rFonts w:eastAsia="仿宋_GB2312"/>
                <w:color w:val="auto"/>
                <w:highlight w:val="none"/>
              </w:rPr>
            </w:pPr>
            <w:r>
              <w:rPr>
                <w:rFonts w:eastAsia="仿宋_GB2312"/>
                <w:color w:val="auto"/>
                <w:highlight w:val="none"/>
              </w:rPr>
              <w:t>2  ……</w:t>
            </w:r>
          </w:p>
          <w:p>
            <w:pPr>
              <w:rPr>
                <w:rFonts w:eastAsia="仿宋_GB2312"/>
                <w:color w:val="auto"/>
                <w:highlight w:val="none"/>
              </w:rPr>
            </w:pPr>
            <w:r>
              <w:rPr>
                <w:rFonts w:eastAsia="仿宋_GB2312"/>
                <w:color w:val="auto"/>
                <w:highlight w:val="none"/>
              </w:rPr>
              <w:t>3  ……</w:t>
            </w:r>
          </w:p>
          <w:p>
            <w:pPr>
              <w:rPr>
                <w:rFonts w:eastAsia="仿宋_GB2312"/>
                <w:color w:val="auto"/>
                <w:highlight w:val="none"/>
              </w:rPr>
            </w:pPr>
            <w:r>
              <w:rPr>
                <w:rFonts w:eastAsia="仿宋_GB2312"/>
                <w:color w:val="auto"/>
                <w:highlight w:val="none"/>
              </w:rPr>
              <w:t>……</w:t>
            </w:r>
          </w:p>
        </w:tc>
        <w:tc>
          <w:tcPr>
            <w:tcW w:w="1516" w:type="dxa"/>
            <w:vAlign w:val="center"/>
          </w:tcPr>
          <w:p>
            <w:pPr>
              <w:rPr>
                <w:rFonts w:eastAsia="仿宋_GB2312"/>
                <w:color w:val="auto"/>
                <w:highlight w:val="none"/>
              </w:rPr>
            </w:pPr>
            <w:r>
              <w:rPr>
                <w:rFonts w:eastAsia="仿宋_GB2312"/>
                <w:color w:val="auto"/>
                <w:highlight w:val="none"/>
              </w:rPr>
              <w:t>……</w:t>
            </w:r>
          </w:p>
        </w:tc>
        <w:tc>
          <w:tcPr>
            <w:tcW w:w="3297" w:type="dxa"/>
            <w:vAlign w:val="center"/>
          </w:tcPr>
          <w:p>
            <w:pPr>
              <w:rPr>
                <w:rFonts w:eastAsia="仿宋_GB2312"/>
                <w:color w:val="auto"/>
                <w:highlight w:val="none"/>
              </w:rPr>
            </w:pPr>
            <w:r>
              <w:rPr>
                <w:rFonts w:eastAsia="仿宋_GB2312"/>
                <w:color w:val="auto"/>
                <w:highlight w:val="none"/>
              </w:rPr>
              <w:t>1  ……</w:t>
            </w:r>
          </w:p>
          <w:p>
            <w:pPr>
              <w:rPr>
                <w:rFonts w:eastAsia="仿宋_GB2312"/>
                <w:color w:val="auto"/>
                <w:highlight w:val="none"/>
              </w:rPr>
            </w:pPr>
            <w:r>
              <w:rPr>
                <w:rFonts w:eastAsia="仿宋_GB2312"/>
                <w:color w:val="auto"/>
                <w:highlight w:val="none"/>
              </w:rPr>
              <w:t>2  ……</w:t>
            </w:r>
          </w:p>
          <w:p>
            <w:pPr>
              <w:rPr>
                <w:rFonts w:eastAsia="仿宋_GB2312"/>
                <w:color w:val="auto"/>
                <w:highlight w:val="none"/>
              </w:rPr>
            </w:pPr>
            <w:r>
              <w:rPr>
                <w:rFonts w:eastAsia="仿宋_GB2312"/>
                <w:color w:val="auto"/>
                <w:highlight w:val="none"/>
              </w:rPr>
              <w:t>3  ……</w:t>
            </w:r>
          </w:p>
          <w:p>
            <w:pPr>
              <w:rPr>
                <w:rFonts w:eastAsia="仿宋_GB2312"/>
                <w:color w:val="auto"/>
                <w:highlight w:val="none"/>
              </w:rPr>
            </w:pPr>
            <w:r>
              <w:rPr>
                <w:rFonts w:eastAsia="仿宋_GB2312"/>
                <w:color w:val="auto"/>
                <w:highlight w:val="none"/>
              </w:rPr>
              <w:t>……</w:t>
            </w:r>
          </w:p>
        </w:tc>
        <w:tc>
          <w:tcPr>
            <w:tcW w:w="1168" w:type="dxa"/>
            <w:vAlign w:val="center"/>
          </w:tcPr>
          <w:p>
            <w:pPr>
              <w:rPr>
                <w:rFonts w:eastAsia="仿宋_GB2312"/>
                <w:color w:val="auto"/>
                <w:highlight w:val="none"/>
              </w:rPr>
            </w:pPr>
            <w:r>
              <w:rPr>
                <w:rFonts w:hint="eastAsia"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eastAsia="仿宋_GB2312"/>
                <w:color w:val="auto"/>
                <w:highlight w:val="none"/>
              </w:rPr>
            </w:pPr>
            <w:r>
              <w:rPr>
                <w:rFonts w:eastAsia="仿宋_GB2312"/>
                <w:color w:val="auto"/>
                <w:highlight w:val="none"/>
              </w:rPr>
              <w:t>2</w:t>
            </w:r>
          </w:p>
        </w:tc>
        <w:tc>
          <w:tcPr>
            <w:tcW w:w="1260" w:type="dxa"/>
            <w:vAlign w:val="center"/>
          </w:tcPr>
          <w:p>
            <w:pPr>
              <w:rPr>
                <w:rFonts w:eastAsia="仿宋_GB2312"/>
                <w:color w:val="auto"/>
                <w:highlight w:val="none"/>
              </w:rPr>
            </w:pPr>
            <w:r>
              <w:rPr>
                <w:rFonts w:eastAsia="仿宋_GB2312"/>
                <w:color w:val="auto"/>
                <w:highlight w:val="none"/>
              </w:rPr>
              <w:t>……</w:t>
            </w:r>
          </w:p>
        </w:tc>
        <w:tc>
          <w:tcPr>
            <w:tcW w:w="2310" w:type="dxa"/>
            <w:vAlign w:val="center"/>
          </w:tcPr>
          <w:p>
            <w:pPr>
              <w:rPr>
                <w:rFonts w:eastAsia="仿宋_GB2312"/>
                <w:color w:val="auto"/>
                <w:highlight w:val="none"/>
              </w:rPr>
            </w:pPr>
            <w:r>
              <w:rPr>
                <w:rFonts w:eastAsia="仿宋_GB2312"/>
                <w:color w:val="auto"/>
                <w:highlight w:val="none"/>
              </w:rPr>
              <w:t>1  ……</w:t>
            </w:r>
          </w:p>
          <w:p>
            <w:pPr>
              <w:rPr>
                <w:rFonts w:eastAsia="仿宋_GB2312"/>
                <w:color w:val="auto"/>
                <w:highlight w:val="none"/>
              </w:rPr>
            </w:pPr>
            <w:r>
              <w:rPr>
                <w:rFonts w:eastAsia="仿宋_GB2312"/>
                <w:color w:val="auto"/>
                <w:highlight w:val="none"/>
              </w:rPr>
              <w:t>2  ……</w:t>
            </w:r>
          </w:p>
          <w:p>
            <w:pPr>
              <w:rPr>
                <w:rFonts w:eastAsia="仿宋_GB2312"/>
                <w:color w:val="auto"/>
                <w:highlight w:val="none"/>
              </w:rPr>
            </w:pPr>
            <w:r>
              <w:rPr>
                <w:rFonts w:eastAsia="仿宋_GB2312"/>
                <w:color w:val="auto"/>
                <w:highlight w:val="none"/>
              </w:rPr>
              <w:t>3  ……</w:t>
            </w:r>
          </w:p>
          <w:p>
            <w:pPr>
              <w:rPr>
                <w:rFonts w:eastAsia="仿宋_GB2312"/>
                <w:color w:val="auto"/>
                <w:highlight w:val="none"/>
              </w:rPr>
            </w:pPr>
            <w:r>
              <w:rPr>
                <w:rFonts w:eastAsia="仿宋_GB2312"/>
                <w:color w:val="auto"/>
                <w:highlight w:val="none"/>
              </w:rPr>
              <w:t>……</w:t>
            </w:r>
          </w:p>
        </w:tc>
        <w:tc>
          <w:tcPr>
            <w:tcW w:w="1516" w:type="dxa"/>
            <w:vAlign w:val="center"/>
          </w:tcPr>
          <w:p>
            <w:pPr>
              <w:rPr>
                <w:rFonts w:eastAsia="仿宋_GB2312"/>
                <w:color w:val="auto"/>
                <w:highlight w:val="none"/>
              </w:rPr>
            </w:pPr>
            <w:r>
              <w:rPr>
                <w:rFonts w:eastAsia="仿宋_GB2312"/>
                <w:color w:val="auto"/>
                <w:highlight w:val="none"/>
              </w:rPr>
              <w:t>……</w:t>
            </w:r>
          </w:p>
        </w:tc>
        <w:tc>
          <w:tcPr>
            <w:tcW w:w="3297" w:type="dxa"/>
            <w:vAlign w:val="center"/>
          </w:tcPr>
          <w:p>
            <w:pPr>
              <w:rPr>
                <w:rFonts w:eastAsia="仿宋_GB2312"/>
                <w:color w:val="auto"/>
                <w:highlight w:val="none"/>
              </w:rPr>
            </w:pPr>
            <w:r>
              <w:rPr>
                <w:rFonts w:eastAsia="仿宋_GB2312"/>
                <w:color w:val="auto"/>
                <w:highlight w:val="none"/>
              </w:rPr>
              <w:t>1  ……</w:t>
            </w:r>
          </w:p>
          <w:p>
            <w:pPr>
              <w:rPr>
                <w:rFonts w:eastAsia="仿宋_GB2312"/>
                <w:color w:val="auto"/>
                <w:highlight w:val="none"/>
              </w:rPr>
            </w:pPr>
            <w:r>
              <w:rPr>
                <w:rFonts w:eastAsia="仿宋_GB2312"/>
                <w:color w:val="auto"/>
                <w:highlight w:val="none"/>
              </w:rPr>
              <w:t>2  ……</w:t>
            </w:r>
          </w:p>
          <w:p>
            <w:pPr>
              <w:rPr>
                <w:rFonts w:eastAsia="仿宋_GB2312"/>
                <w:color w:val="auto"/>
                <w:highlight w:val="none"/>
              </w:rPr>
            </w:pPr>
            <w:r>
              <w:rPr>
                <w:rFonts w:eastAsia="仿宋_GB2312"/>
                <w:color w:val="auto"/>
                <w:highlight w:val="none"/>
              </w:rPr>
              <w:t>3  ……</w:t>
            </w:r>
          </w:p>
          <w:p>
            <w:pPr>
              <w:rPr>
                <w:rFonts w:eastAsia="仿宋_GB2312"/>
                <w:color w:val="auto"/>
                <w:highlight w:val="none"/>
              </w:rPr>
            </w:pPr>
            <w:r>
              <w:rPr>
                <w:rFonts w:eastAsia="仿宋_GB2312"/>
                <w:color w:val="auto"/>
                <w:highlight w:val="none"/>
              </w:rPr>
              <w:t>……</w:t>
            </w:r>
          </w:p>
        </w:tc>
        <w:tc>
          <w:tcPr>
            <w:tcW w:w="1168" w:type="dxa"/>
            <w:vAlign w:val="center"/>
          </w:tcPr>
          <w:p>
            <w:pPr>
              <w:rPr>
                <w:rFonts w:eastAsia="仿宋_GB2312"/>
                <w:color w:val="auto"/>
                <w:highlight w:val="none"/>
              </w:rPr>
            </w:pPr>
            <w:r>
              <w:rPr>
                <w:rFonts w:hint="eastAsia"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eastAsia="仿宋_GB2312"/>
                <w:color w:val="auto"/>
                <w:highlight w:val="none"/>
              </w:rPr>
            </w:pPr>
            <w:r>
              <w:rPr>
                <w:rFonts w:eastAsia="仿宋_GB2312"/>
                <w:color w:val="auto"/>
                <w:highlight w:val="none"/>
              </w:rPr>
              <w:t>...</w:t>
            </w:r>
          </w:p>
        </w:tc>
        <w:tc>
          <w:tcPr>
            <w:tcW w:w="1260" w:type="dxa"/>
            <w:vAlign w:val="center"/>
          </w:tcPr>
          <w:p>
            <w:pPr>
              <w:rPr>
                <w:rFonts w:eastAsia="仿宋_GB2312"/>
                <w:color w:val="auto"/>
                <w:highlight w:val="none"/>
              </w:rPr>
            </w:pPr>
          </w:p>
        </w:tc>
        <w:tc>
          <w:tcPr>
            <w:tcW w:w="2310" w:type="dxa"/>
            <w:vAlign w:val="center"/>
          </w:tcPr>
          <w:p>
            <w:pPr>
              <w:rPr>
                <w:rFonts w:eastAsia="仿宋_GB2312"/>
                <w:color w:val="auto"/>
                <w:highlight w:val="none"/>
              </w:rPr>
            </w:pPr>
          </w:p>
        </w:tc>
        <w:tc>
          <w:tcPr>
            <w:tcW w:w="1516" w:type="dxa"/>
            <w:vAlign w:val="center"/>
          </w:tcPr>
          <w:p>
            <w:pPr>
              <w:rPr>
                <w:rFonts w:eastAsia="仿宋_GB2312"/>
                <w:color w:val="auto"/>
                <w:highlight w:val="none"/>
              </w:rPr>
            </w:pPr>
          </w:p>
        </w:tc>
        <w:tc>
          <w:tcPr>
            <w:tcW w:w="3297" w:type="dxa"/>
            <w:vAlign w:val="center"/>
          </w:tcPr>
          <w:p>
            <w:pPr>
              <w:rPr>
                <w:rFonts w:eastAsia="仿宋_GB2312"/>
                <w:color w:val="auto"/>
                <w:highlight w:val="none"/>
              </w:rPr>
            </w:pPr>
          </w:p>
        </w:tc>
        <w:tc>
          <w:tcPr>
            <w:tcW w:w="1168"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vAlign w:val="center"/>
          </w:tcPr>
          <w:p>
            <w:pPr>
              <w:rPr>
                <w:rFonts w:eastAsia="仿宋_GB2312"/>
                <w:color w:val="auto"/>
                <w:highlight w:val="none"/>
              </w:rPr>
            </w:pPr>
            <w:r>
              <w:rPr>
                <w:rFonts w:hint="eastAsia" w:eastAsia="仿宋_GB2312" w:cs="仿宋_GB2312"/>
                <w:color w:val="auto"/>
                <w:highlight w:val="none"/>
                <w:u w:val="single"/>
              </w:rPr>
              <w:t>　　</w:t>
            </w:r>
            <w:r>
              <w:rPr>
                <w:rFonts w:hint="eastAsia" w:eastAsia="仿宋_GB2312" w:cs="仿宋_GB2312"/>
                <w:color w:val="auto"/>
                <w:highlight w:val="none"/>
              </w:rPr>
              <w:t>分标（此处有分标时填写具体分标号，无分标时填写</w:t>
            </w:r>
            <w:r>
              <w:rPr>
                <w:rFonts w:eastAsia="仿宋_GB2312"/>
                <w:color w:val="auto"/>
                <w:highlight w:val="none"/>
              </w:rPr>
              <w:t>“</w:t>
            </w:r>
            <w:r>
              <w:rPr>
                <w:rFonts w:hint="eastAsia" w:eastAsia="仿宋_GB2312" w:cs="仿宋_GB2312"/>
                <w:color w:val="auto"/>
                <w:highlight w:val="none"/>
              </w:rPr>
              <w:t>无</w:t>
            </w:r>
            <w:r>
              <w:rPr>
                <w:rFonts w:eastAsia="仿宋_GB2312"/>
                <w:color w:val="auto"/>
                <w:highlight w:val="none"/>
              </w:rPr>
              <w:t>”</w:t>
            </w:r>
            <w:r>
              <w:rPr>
                <w:rFonts w:hint="eastAsia"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vAlign w:val="center"/>
          </w:tcPr>
          <w:p>
            <w:pPr>
              <w:rPr>
                <w:rFonts w:eastAsia="仿宋_GB2312"/>
                <w:color w:val="auto"/>
                <w:highlight w:val="none"/>
              </w:rPr>
            </w:pPr>
            <w:r>
              <w:rPr>
                <w:rFonts w:hint="eastAsia" w:eastAsia="仿宋_GB2312" w:cs="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vAlign w:val="center"/>
          </w:tcPr>
          <w:p>
            <w:pPr>
              <w:rPr>
                <w:rFonts w:eastAsia="仿宋_GB2312"/>
                <w:color w:val="auto"/>
                <w:highlight w:val="none"/>
              </w:rPr>
            </w:pPr>
            <w:r>
              <w:rPr>
                <w:rFonts w:hint="eastAsia" w:eastAsia="仿宋_GB2312" w:cs="仿宋_GB2312"/>
                <w:color w:val="auto"/>
                <w:highlight w:val="none"/>
              </w:rPr>
              <w:t>法定代表人或其委托代理人（签字或盖章）：</w:t>
            </w:r>
          </w:p>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vAlign w:val="center"/>
          </w:tcPr>
          <w:p>
            <w:pPr>
              <w:rPr>
                <w:rFonts w:eastAsia="仿宋_GB2312"/>
                <w:color w:val="auto"/>
                <w:highlight w:val="none"/>
              </w:rPr>
            </w:pPr>
            <w:r>
              <w:rPr>
                <w:rFonts w:hint="eastAsia" w:eastAsia="仿宋_GB2312" w:cs="仿宋_GB2312"/>
                <w:color w:val="auto"/>
                <w:highlight w:val="none"/>
              </w:rPr>
              <w:t>日期：年月日</w:t>
            </w:r>
          </w:p>
        </w:tc>
      </w:tr>
    </w:tbl>
    <w:p>
      <w:pPr>
        <w:pStyle w:val="24"/>
        <w:spacing w:line="400" w:lineRule="exact"/>
        <w:rPr>
          <w:rFonts w:ascii="Times New Roman" w:hAnsi="Times New Roman" w:eastAsia="仿宋_GB2312" w:cs="Times New Roman"/>
          <w:color w:val="auto"/>
          <w:sz w:val="24"/>
          <w:szCs w:val="24"/>
          <w:highlight w:val="none"/>
        </w:rPr>
      </w:pPr>
      <w:r>
        <w:rPr>
          <w:rFonts w:hint="eastAsia" w:ascii="Times New Roman" w:hAnsi="Times New Roman" w:eastAsia="仿宋_GB2312" w:cs="仿宋_GB2312"/>
          <w:color w:val="auto"/>
          <w:sz w:val="24"/>
          <w:szCs w:val="24"/>
          <w:highlight w:val="none"/>
        </w:rPr>
        <w:t>注：⑴表格内容均需按要求填写并盖章，不得留空，否则按投标无效处理。</w:t>
      </w:r>
    </w:p>
    <w:p>
      <w:pPr>
        <w:pStyle w:val="24"/>
        <w:spacing w:line="400" w:lineRule="exact"/>
        <w:ind w:left="719" w:leftChars="228" w:hanging="240" w:hangingChars="100"/>
        <w:rPr>
          <w:rFonts w:ascii="Times New Roman" w:hAnsi="Times New Roman" w:eastAsia="楷体_GB2312" w:cs="Times New Roman"/>
          <w:color w:val="auto"/>
          <w:sz w:val="24"/>
          <w:szCs w:val="24"/>
          <w:highlight w:val="none"/>
        </w:rPr>
      </w:pPr>
      <w:r>
        <w:rPr>
          <w:rFonts w:hint="eastAsia" w:ascii="Times New Roman" w:hAnsi="Times New Roman" w:eastAsia="楷体_GB2312" w:cs="楷体_GB2312"/>
          <w:color w:val="auto"/>
          <w:sz w:val="24"/>
          <w:szCs w:val="24"/>
          <w:highlight w:val="none"/>
        </w:rPr>
        <w:t>⑵</w:t>
      </w:r>
      <w:r>
        <w:rPr>
          <w:rFonts w:hint="eastAsia" w:ascii="Times New Roman" w:hAnsi="Times New Roman" w:eastAsia="仿宋_GB2312" w:cs="仿宋_GB2312"/>
          <w:color w:val="auto"/>
          <w:sz w:val="24"/>
          <w:szCs w:val="24"/>
          <w:highlight w:val="none"/>
        </w:rPr>
        <w:t>如果投标文件为小于或大于招标文件需求标准时，投标文件承诺不得直接复制招标文件需求，投标文件承诺内容应当写明投标服务具体参数或商务响应承诺的具体内容，否则按投标无效处理。</w:t>
      </w:r>
    </w:p>
    <w:p>
      <w:pPr>
        <w:pStyle w:val="24"/>
        <w:spacing w:line="400" w:lineRule="exact"/>
        <w:ind w:left="719" w:leftChars="228" w:hanging="240" w:hangingChars="100"/>
        <w:rPr>
          <w:rFonts w:ascii="Times New Roman" w:hAnsi="Times New Roman" w:eastAsia="仿宋_GB2312" w:cs="Times New Roman"/>
          <w:color w:val="auto"/>
          <w:sz w:val="24"/>
          <w:szCs w:val="24"/>
          <w:highlight w:val="none"/>
        </w:rPr>
      </w:pPr>
      <w:r>
        <w:rPr>
          <w:rFonts w:hint="eastAsia" w:ascii="Times New Roman" w:hAnsi="Times New Roman" w:eastAsia="仿宋_GB2312" w:cs="仿宋_GB2312"/>
          <w:color w:val="auto"/>
          <w:sz w:val="24"/>
          <w:szCs w:val="24"/>
          <w:highlight w:val="none"/>
        </w:rPr>
        <w:t>⑶当投标文件的服务内容低于招标文件要求时，投标人应当如实写明</w:t>
      </w:r>
      <w:r>
        <w:rPr>
          <w:rFonts w:ascii="Times New Roman" w:hAnsi="Times New Roman" w:eastAsia="仿宋_GB2312" w:cs="Times New Roman"/>
          <w:color w:val="auto"/>
          <w:sz w:val="24"/>
          <w:szCs w:val="24"/>
          <w:highlight w:val="none"/>
        </w:rPr>
        <w:t>“</w:t>
      </w:r>
      <w:r>
        <w:rPr>
          <w:rFonts w:hint="eastAsia" w:ascii="Times New Roman" w:hAnsi="Times New Roman" w:eastAsia="仿宋_GB2312" w:cs="仿宋_GB2312"/>
          <w:color w:val="auto"/>
          <w:sz w:val="24"/>
          <w:szCs w:val="24"/>
          <w:highlight w:val="none"/>
        </w:rPr>
        <w:t>负偏离</w:t>
      </w:r>
      <w:r>
        <w:rPr>
          <w:rFonts w:ascii="Times New Roman" w:hAnsi="Times New Roman" w:eastAsia="仿宋_GB2312" w:cs="Times New Roman"/>
          <w:color w:val="auto"/>
          <w:sz w:val="24"/>
          <w:szCs w:val="24"/>
          <w:highlight w:val="none"/>
        </w:rPr>
        <w:t>”</w:t>
      </w:r>
      <w:r>
        <w:rPr>
          <w:rFonts w:hint="eastAsia" w:ascii="Times New Roman" w:hAnsi="Times New Roman" w:eastAsia="仿宋_GB2312" w:cs="仿宋_GB2312"/>
          <w:color w:val="auto"/>
          <w:sz w:val="24"/>
          <w:szCs w:val="24"/>
          <w:highlight w:val="none"/>
        </w:rPr>
        <w:t>，否则视为虚假应标。</w:t>
      </w:r>
    </w:p>
    <w:p>
      <w:pPr>
        <w:pStyle w:val="24"/>
        <w:spacing w:line="600" w:lineRule="exact"/>
        <w:ind w:left="719" w:leftChars="228" w:hanging="240" w:hangingChars="100"/>
        <w:rPr>
          <w:rFonts w:ascii="Times New Roman" w:hAnsi="Times New Roman" w:eastAsia="仿宋_GB2312" w:cs="Times New Roman"/>
          <w:color w:val="auto"/>
          <w:sz w:val="24"/>
          <w:szCs w:val="24"/>
          <w:highlight w:val="none"/>
        </w:rPr>
      </w:pPr>
    </w:p>
    <w:p>
      <w:pPr>
        <w:snapToGrid w:val="0"/>
        <w:jc w:val="center"/>
        <w:rPr>
          <w:rFonts w:ascii="宋体"/>
          <w:color w:val="auto"/>
          <w:sz w:val="24"/>
          <w:szCs w:val="24"/>
          <w:highlight w:val="none"/>
        </w:rPr>
      </w:pPr>
    </w:p>
    <w:p>
      <w:pPr>
        <w:widowControl/>
        <w:shd w:val="clear" w:color="auto" w:fill="FFFFFF"/>
        <w:spacing w:after="240" w:line="360" w:lineRule="atLeast"/>
        <w:ind w:firstLine="480"/>
        <w:jc w:val="center"/>
        <w:rPr>
          <w:rFonts w:ascii="宋体"/>
          <w:b/>
          <w:bCs/>
          <w:color w:val="auto"/>
          <w:kern w:val="0"/>
          <w:sz w:val="28"/>
          <w:szCs w:val="28"/>
          <w:highlight w:val="none"/>
        </w:rPr>
      </w:pPr>
      <w:r>
        <w:rPr>
          <w:rFonts w:ascii="宋体"/>
          <w:color w:val="auto"/>
          <w:highlight w:val="none"/>
        </w:rPr>
        <w:br w:type="page"/>
      </w:r>
      <w:r>
        <w:rPr>
          <w:rFonts w:hint="eastAsia" w:ascii="宋体" w:hAnsi="宋体" w:cs="宋体"/>
          <w:b/>
          <w:bCs/>
          <w:color w:val="auto"/>
          <w:kern w:val="0"/>
          <w:sz w:val="28"/>
          <w:szCs w:val="28"/>
          <w:highlight w:val="none"/>
        </w:rPr>
        <w:t>中小企业声明函</w:t>
      </w:r>
    </w:p>
    <w:p>
      <w:pPr>
        <w:widowControl/>
        <w:shd w:val="clear" w:color="auto" w:fill="FFFFFF"/>
        <w:spacing w:line="360" w:lineRule="auto"/>
        <w:ind w:firstLine="480"/>
        <w:jc w:val="left"/>
        <w:rPr>
          <w:rFonts w:ascii="宋体"/>
          <w:color w:val="auto"/>
          <w:kern w:val="0"/>
          <w:sz w:val="24"/>
          <w:szCs w:val="24"/>
          <w:highlight w:val="none"/>
        </w:rPr>
      </w:pPr>
      <w:r>
        <w:rPr>
          <w:rFonts w:ascii="宋体"/>
          <w:color w:val="auto"/>
          <w:kern w:val="0"/>
          <w:sz w:val="24"/>
          <w:szCs w:val="24"/>
          <w:highlight w:val="none"/>
        </w:rPr>
        <w:t> </w:t>
      </w:r>
      <w:r>
        <w:rPr>
          <w:rFonts w:hint="eastAsia" w:ascii="宋体" w:hAnsi="宋体" w:cs="宋体"/>
          <w:color w:val="auto"/>
          <w:kern w:val="0"/>
          <w:sz w:val="24"/>
          <w:szCs w:val="24"/>
          <w:highlight w:val="none"/>
        </w:rPr>
        <w:t>本公司郑重声明，根据《政府采购促进中小企业发展暂行办法》（财库</w:t>
      </w:r>
      <w:r>
        <w:rPr>
          <w:rFonts w:ascii="宋体" w:hAnsi="宋体" w:cs="宋体"/>
          <w:color w:val="auto"/>
          <w:kern w:val="0"/>
          <w:sz w:val="24"/>
          <w:szCs w:val="24"/>
          <w:highlight w:val="none"/>
        </w:rPr>
        <w:t>[2011]181</w:t>
      </w:r>
      <w:r>
        <w:rPr>
          <w:rFonts w:hint="eastAsia" w:ascii="宋体" w:hAnsi="宋体" w:cs="宋体"/>
          <w:color w:val="auto"/>
          <w:kern w:val="0"/>
          <w:sz w:val="24"/>
          <w:szCs w:val="24"/>
          <w:highlight w:val="none"/>
        </w:rPr>
        <w:t>号）的规定，本公司为</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（请填写：中型、小型、微型）企业。即，本公司同时满足以下条件：</w:t>
      </w:r>
    </w:p>
    <w:p>
      <w:pPr>
        <w:widowControl/>
        <w:shd w:val="clear" w:color="auto" w:fill="FFFFFF"/>
        <w:spacing w:line="360" w:lineRule="auto"/>
        <w:ind w:firstLine="480"/>
        <w:jc w:val="left"/>
        <w:rPr>
          <w:rFonts w:ascii="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根据《工业和信息化部、国家统计局、国家发展和改革委员会、财政部关于印发中小企业划型标准规定的通知》（工信部联企业</w:t>
      </w:r>
      <w:r>
        <w:rPr>
          <w:rFonts w:ascii="宋体" w:hAnsi="宋体" w:cs="宋体"/>
          <w:color w:val="auto"/>
          <w:kern w:val="0"/>
          <w:sz w:val="24"/>
          <w:szCs w:val="24"/>
          <w:highlight w:val="none"/>
        </w:rPr>
        <w:t>[2011]300</w:t>
      </w:r>
      <w:r>
        <w:rPr>
          <w:rFonts w:hint="eastAsia" w:ascii="宋体" w:hAnsi="宋体" w:cs="宋体"/>
          <w:color w:val="auto"/>
          <w:kern w:val="0"/>
          <w:sz w:val="24"/>
          <w:szCs w:val="24"/>
          <w:highlight w:val="none"/>
        </w:rPr>
        <w:t>号）规定的划分标准，本公司为</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（请填写：中型、小型、微型）企业。</w:t>
      </w:r>
    </w:p>
    <w:p>
      <w:pPr>
        <w:widowControl/>
        <w:shd w:val="clear" w:color="auto" w:fill="FFFFFF"/>
        <w:spacing w:line="360" w:lineRule="auto"/>
        <w:ind w:firstLine="480"/>
        <w:jc w:val="left"/>
        <w:rPr>
          <w:rFonts w:ascii="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本公司参加</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单位的</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项目采购活动提供本企业制造的货物，由本企业承担工程、提供服务，或者提供其他</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（请填写：中型、小型、微型）企业制造的货物。本条所称货物不包括使用大型企业注册商标的货物。</w:t>
      </w:r>
    </w:p>
    <w:p>
      <w:pPr>
        <w:widowControl/>
        <w:shd w:val="clear" w:color="auto" w:fill="FFFFFF"/>
        <w:spacing w:line="360" w:lineRule="auto"/>
        <w:ind w:firstLine="480"/>
        <w:jc w:val="left"/>
        <w:rPr>
          <w:rFonts w:ascii="宋体"/>
          <w:color w:val="auto"/>
          <w:kern w:val="0"/>
          <w:sz w:val="24"/>
          <w:szCs w:val="24"/>
          <w:highlight w:val="none"/>
        </w:rPr>
      </w:pPr>
      <w:r>
        <w:rPr>
          <w:rFonts w:hint="eastAsia" w:ascii="宋体" w:hAnsi="宋体" w:cs="宋体"/>
          <w:color w:val="auto"/>
          <w:kern w:val="0"/>
          <w:sz w:val="24"/>
          <w:szCs w:val="24"/>
          <w:highlight w:val="none"/>
        </w:rPr>
        <w:t>本公司对上述声明的真实性负责。如有虚假，将依法承担相应责任。</w:t>
      </w:r>
    </w:p>
    <w:p>
      <w:pPr>
        <w:widowControl/>
        <w:shd w:val="clear" w:color="auto" w:fill="FFFFFF"/>
        <w:spacing w:line="360" w:lineRule="auto"/>
        <w:ind w:firstLine="480"/>
        <w:jc w:val="left"/>
        <w:rPr>
          <w:rFonts w:ascii="宋体"/>
          <w:color w:val="auto"/>
          <w:kern w:val="0"/>
          <w:sz w:val="24"/>
          <w:szCs w:val="24"/>
          <w:highlight w:val="none"/>
        </w:rPr>
      </w:pPr>
      <w:r>
        <w:rPr>
          <w:rFonts w:ascii="宋体"/>
          <w:color w:val="auto"/>
          <w:kern w:val="0"/>
          <w:sz w:val="24"/>
          <w:szCs w:val="24"/>
          <w:highlight w:val="none"/>
        </w:rPr>
        <w:t> </w:t>
      </w:r>
    </w:p>
    <w:p>
      <w:pPr>
        <w:widowControl/>
        <w:shd w:val="clear" w:color="auto" w:fill="FFFFFF"/>
        <w:spacing w:line="360" w:lineRule="auto"/>
        <w:ind w:firstLine="480"/>
        <w:jc w:val="left"/>
        <w:rPr>
          <w:rFonts w:ascii="宋体"/>
          <w:color w:val="auto"/>
          <w:kern w:val="0"/>
          <w:sz w:val="24"/>
          <w:szCs w:val="24"/>
          <w:highlight w:val="none"/>
        </w:rPr>
      </w:pPr>
      <w:r>
        <w:rPr>
          <w:rFonts w:hint="eastAsia" w:ascii="宋体" w:hAnsi="宋体" w:cs="宋体"/>
          <w:color w:val="auto"/>
          <w:kern w:val="0"/>
          <w:sz w:val="24"/>
          <w:szCs w:val="24"/>
          <w:highlight w:val="none"/>
        </w:rPr>
        <w:t>　　　　　　　　　　　　　　　　　　　　企业名称（盖章）：</w:t>
      </w:r>
    </w:p>
    <w:p>
      <w:pPr>
        <w:widowControl/>
        <w:shd w:val="clear" w:color="auto" w:fill="FFFFFF"/>
        <w:spacing w:line="360" w:lineRule="auto"/>
        <w:ind w:firstLine="480"/>
        <w:jc w:val="left"/>
        <w:rPr>
          <w:rFonts w:ascii="宋体"/>
          <w:color w:val="auto"/>
          <w:kern w:val="0"/>
          <w:sz w:val="24"/>
          <w:szCs w:val="24"/>
          <w:highlight w:val="none"/>
        </w:rPr>
      </w:pPr>
      <w:r>
        <w:rPr>
          <w:rFonts w:ascii="宋体"/>
          <w:color w:val="auto"/>
          <w:kern w:val="0"/>
          <w:sz w:val="24"/>
          <w:szCs w:val="24"/>
          <w:highlight w:val="none"/>
        </w:rPr>
        <w:t> </w:t>
      </w:r>
    </w:p>
    <w:p>
      <w:pPr>
        <w:widowControl/>
        <w:shd w:val="clear" w:color="auto" w:fill="FFFFFF"/>
        <w:spacing w:line="360" w:lineRule="auto"/>
        <w:ind w:firstLine="480"/>
        <w:jc w:val="left"/>
        <w:rPr>
          <w:rFonts w:ascii="宋体"/>
          <w:color w:val="auto"/>
          <w:kern w:val="0"/>
          <w:sz w:val="24"/>
          <w:szCs w:val="24"/>
          <w:highlight w:val="none"/>
        </w:rPr>
      </w:pPr>
      <w:r>
        <w:rPr>
          <w:rFonts w:hint="eastAsia" w:ascii="宋体" w:hAnsi="宋体" w:cs="宋体"/>
          <w:color w:val="auto"/>
          <w:kern w:val="0"/>
          <w:sz w:val="24"/>
          <w:szCs w:val="24"/>
          <w:highlight w:val="none"/>
        </w:rPr>
        <w:t>　　　　　　　　　　　　　　　　　　　　日期：年月日</w:t>
      </w: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588" w:lineRule="exact"/>
        <w:jc w:val="center"/>
        <w:rPr>
          <w:rFonts w:ascii="宋体"/>
          <w:b/>
          <w:bCs/>
          <w:color w:val="auto"/>
          <w:spacing w:val="6"/>
          <w:sz w:val="24"/>
          <w:szCs w:val="24"/>
          <w:highlight w:val="none"/>
        </w:rPr>
      </w:pPr>
      <w:bookmarkStart w:id="123" w:name="OLE_LINK14"/>
      <w:bookmarkStart w:id="124" w:name="OLE_LINK13"/>
      <w:r>
        <w:rPr>
          <w:rFonts w:hint="eastAsia" w:ascii="宋体" w:hAnsi="宋体" w:cs="宋体"/>
          <w:b/>
          <w:bCs/>
          <w:color w:val="auto"/>
          <w:spacing w:val="6"/>
          <w:sz w:val="24"/>
          <w:szCs w:val="24"/>
          <w:highlight w:val="none"/>
        </w:rPr>
        <w:t>残疾人福利性单位声明函</w:t>
      </w:r>
    </w:p>
    <w:bookmarkEnd w:id="123"/>
    <w:bookmarkEnd w:id="124"/>
    <w:p>
      <w:pPr>
        <w:spacing w:line="588" w:lineRule="exact"/>
        <w:rPr>
          <w:rFonts w:ascii="宋体"/>
          <w:b/>
          <w:bCs/>
          <w:color w:val="auto"/>
          <w:spacing w:val="6"/>
          <w:sz w:val="24"/>
          <w:szCs w:val="24"/>
          <w:highlight w:val="none"/>
        </w:rPr>
      </w:pPr>
    </w:p>
    <w:p>
      <w:pPr>
        <w:spacing w:line="588" w:lineRule="exact"/>
        <w:ind w:firstLine="504" w:firstLineChars="200"/>
        <w:rPr>
          <w:rFonts w:ascii="宋体"/>
          <w:color w:val="auto"/>
          <w:spacing w:val="6"/>
          <w:sz w:val="24"/>
          <w:szCs w:val="24"/>
          <w:highlight w:val="none"/>
        </w:rPr>
      </w:pPr>
      <w:r>
        <w:rPr>
          <w:rFonts w:hint="eastAsia" w:ascii="宋体" w:hAnsi="宋体" w:cs="宋体"/>
          <w:color w:val="auto"/>
          <w:spacing w:val="6"/>
          <w:sz w:val="24"/>
          <w:szCs w:val="24"/>
          <w:highlight w:val="none"/>
        </w:rPr>
        <w:t>本单位郑重声明，根据《财政部民政部中国残疾人联合会关于促进残疾人就业政府采购政策的通知》（财库</w:t>
      </w:r>
      <w:r>
        <w:rPr>
          <w:rFonts w:hint="eastAsia" w:ascii="宋体" w:hAnsi="宋体" w:cs="宋体"/>
          <w:color w:val="auto"/>
          <w:sz w:val="24"/>
          <w:szCs w:val="24"/>
          <w:highlight w:val="none"/>
        </w:rPr>
        <w:t>〔</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pacing w:val="6"/>
          <w:sz w:val="24"/>
          <w:szCs w:val="24"/>
          <w:highlight w:val="none"/>
        </w:rPr>
        <w:t>号）的规定，本单位为符合条件的残疾人福利性单位，且本单位参加</w:t>
      </w:r>
      <w:r>
        <w:rPr>
          <w:rFonts w:ascii="宋体" w:hAnsi="宋体" w:cs="宋体"/>
          <w:color w:val="auto"/>
          <w:spacing w:val="6"/>
          <w:sz w:val="24"/>
          <w:szCs w:val="24"/>
          <w:highlight w:val="none"/>
        </w:rPr>
        <w:t>______</w:t>
      </w:r>
      <w:r>
        <w:rPr>
          <w:rFonts w:hint="eastAsia" w:ascii="宋体" w:hAnsi="宋体" w:cs="宋体"/>
          <w:color w:val="auto"/>
          <w:spacing w:val="6"/>
          <w:sz w:val="24"/>
          <w:szCs w:val="24"/>
          <w:highlight w:val="none"/>
        </w:rPr>
        <w:t>单位的</w:t>
      </w:r>
      <w:r>
        <w:rPr>
          <w:rFonts w:ascii="宋体" w:hAnsi="宋体" w:cs="宋体"/>
          <w:color w:val="auto"/>
          <w:spacing w:val="6"/>
          <w:sz w:val="24"/>
          <w:szCs w:val="24"/>
          <w:highlight w:val="none"/>
        </w:rPr>
        <w:t>______</w:t>
      </w:r>
      <w:r>
        <w:rPr>
          <w:rFonts w:hint="eastAsia" w:ascii="宋体" w:hAnsi="宋体" w:cs="宋体"/>
          <w:color w:val="auto"/>
          <w:spacing w:val="6"/>
          <w:sz w:val="24"/>
          <w:szCs w:val="24"/>
          <w:highlight w:val="none"/>
        </w:rPr>
        <w:t>项目采购活动提供本单位制造的货物（由本单位承担工程</w:t>
      </w:r>
      <w:r>
        <w:rPr>
          <w:rFonts w:ascii="宋体" w:hAnsi="宋体" w:cs="宋体"/>
          <w:color w:val="auto"/>
          <w:spacing w:val="6"/>
          <w:sz w:val="24"/>
          <w:szCs w:val="24"/>
          <w:highlight w:val="none"/>
        </w:rPr>
        <w:t>/</w:t>
      </w:r>
      <w:r>
        <w:rPr>
          <w:rFonts w:hint="eastAsia" w:ascii="宋体" w:hAnsi="宋体" w:cs="宋体"/>
          <w:color w:val="auto"/>
          <w:spacing w:val="6"/>
          <w:sz w:val="24"/>
          <w:szCs w:val="24"/>
          <w:highlight w:val="none"/>
        </w:rPr>
        <w:t>提供服务），或者提供其他残疾人福利性单位制造的货物（不包括使用非残疾人福利性单位注册商标的货物）。</w:t>
      </w:r>
    </w:p>
    <w:p>
      <w:pPr>
        <w:spacing w:line="588" w:lineRule="exact"/>
        <w:ind w:firstLine="504" w:firstLineChars="200"/>
        <w:rPr>
          <w:rFonts w:ascii="宋体"/>
          <w:color w:val="auto"/>
          <w:spacing w:val="6"/>
          <w:sz w:val="24"/>
          <w:szCs w:val="24"/>
          <w:highlight w:val="none"/>
        </w:rPr>
      </w:pPr>
      <w:r>
        <w:rPr>
          <w:rFonts w:hint="eastAsia" w:ascii="宋体" w:hAnsi="宋体" w:cs="宋体"/>
          <w:color w:val="auto"/>
          <w:spacing w:val="6"/>
          <w:sz w:val="24"/>
          <w:szCs w:val="24"/>
          <w:highlight w:val="none"/>
        </w:rPr>
        <w:t>本单位对上述声明的真实性负责。如有虚假，将依法承担相应责任。</w:t>
      </w:r>
    </w:p>
    <w:p>
      <w:pPr>
        <w:spacing w:line="588" w:lineRule="exact"/>
        <w:ind w:firstLine="504" w:firstLineChars="200"/>
        <w:rPr>
          <w:rFonts w:ascii="宋体"/>
          <w:color w:val="auto"/>
          <w:spacing w:val="6"/>
          <w:sz w:val="24"/>
          <w:szCs w:val="24"/>
          <w:highlight w:val="none"/>
        </w:rPr>
      </w:pPr>
    </w:p>
    <w:p>
      <w:pPr>
        <w:spacing w:line="588" w:lineRule="exact"/>
        <w:ind w:firstLine="504" w:firstLineChars="200"/>
        <w:rPr>
          <w:rFonts w:ascii="宋体"/>
          <w:color w:val="auto"/>
          <w:spacing w:val="6"/>
          <w:sz w:val="24"/>
          <w:szCs w:val="24"/>
          <w:highlight w:val="none"/>
        </w:rPr>
      </w:pPr>
    </w:p>
    <w:p>
      <w:pPr>
        <w:tabs>
          <w:tab w:val="left" w:pos="4860"/>
        </w:tabs>
        <w:spacing w:line="588" w:lineRule="exact"/>
        <w:ind w:right="1560" w:firstLine="504" w:firstLineChars="200"/>
        <w:jc w:val="center"/>
        <w:rPr>
          <w:rFonts w:ascii="宋体"/>
          <w:color w:val="auto"/>
          <w:spacing w:val="6"/>
          <w:sz w:val="24"/>
          <w:szCs w:val="24"/>
          <w:highlight w:val="none"/>
        </w:rPr>
      </w:pPr>
      <w:r>
        <w:rPr>
          <w:rFonts w:hint="eastAsia" w:ascii="宋体" w:hAnsi="宋体" w:cs="宋体"/>
          <w:color w:val="auto"/>
          <w:spacing w:val="6"/>
          <w:sz w:val="24"/>
          <w:szCs w:val="24"/>
          <w:highlight w:val="none"/>
        </w:rPr>
        <w:t>单位名称（盖章）：</w:t>
      </w:r>
    </w:p>
    <w:p>
      <w:pPr>
        <w:tabs>
          <w:tab w:val="left" w:pos="4860"/>
        </w:tabs>
        <w:spacing w:line="588" w:lineRule="exact"/>
        <w:ind w:right="1560" w:firstLine="504" w:firstLineChars="200"/>
        <w:jc w:val="center"/>
        <w:rPr>
          <w:rFonts w:ascii="宋体"/>
          <w:color w:val="auto"/>
          <w:spacing w:val="6"/>
          <w:sz w:val="24"/>
          <w:szCs w:val="24"/>
          <w:highlight w:val="none"/>
        </w:rPr>
      </w:pPr>
      <w:r>
        <w:rPr>
          <w:rFonts w:hint="eastAsia" w:ascii="宋体" w:hAnsi="宋体" w:cs="宋体"/>
          <w:color w:val="auto"/>
          <w:spacing w:val="6"/>
          <w:sz w:val="24"/>
          <w:szCs w:val="24"/>
          <w:highlight w:val="none"/>
        </w:rPr>
        <w:t>日期：</w:t>
      </w:r>
      <w:r>
        <w:rPr>
          <w:rFonts w:hint="eastAsia" w:ascii="宋体" w:hAnsi="宋体" w:cs="宋体"/>
          <w:color w:val="auto"/>
          <w:kern w:val="0"/>
          <w:sz w:val="24"/>
          <w:szCs w:val="24"/>
          <w:highlight w:val="none"/>
        </w:rPr>
        <w:t>年月日</w:t>
      </w: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pStyle w:val="18"/>
        <w:rPr>
          <w:color w:val="auto"/>
          <w:highlight w:val="none"/>
        </w:rPr>
      </w:pPr>
    </w:p>
    <w:p>
      <w:pPr>
        <w:spacing w:line="360" w:lineRule="auto"/>
        <w:rPr>
          <w:color w:val="auto"/>
          <w:sz w:val="24"/>
          <w:szCs w:val="24"/>
          <w:highlight w:val="none"/>
        </w:rPr>
      </w:pPr>
    </w:p>
    <w:p>
      <w:pPr>
        <w:spacing w:line="360" w:lineRule="auto"/>
        <w:rPr>
          <w:color w:val="auto"/>
          <w:sz w:val="24"/>
          <w:szCs w:val="24"/>
          <w:highlight w:val="none"/>
        </w:rPr>
      </w:pPr>
    </w:p>
    <w:p>
      <w:pPr>
        <w:widowControl/>
        <w:shd w:val="clear" w:color="auto" w:fill="FFFFFF"/>
        <w:spacing w:line="360" w:lineRule="auto"/>
        <w:ind w:firstLine="480"/>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第七章质疑函及投诉书格式</w:t>
      </w:r>
    </w:p>
    <w:p>
      <w:pPr>
        <w:spacing w:line="360" w:lineRule="exact"/>
        <w:jc w:val="center"/>
        <w:rPr>
          <w:rFonts w:ascii="宋体" w:cs="宋体"/>
          <w:b/>
          <w:bCs/>
          <w:color w:val="auto"/>
          <w:sz w:val="28"/>
          <w:szCs w:val="28"/>
          <w:highlight w:val="none"/>
        </w:rPr>
      </w:pPr>
      <w:r>
        <w:rPr>
          <w:rFonts w:hint="eastAsia" w:ascii="宋体" w:hAnsi="宋体" w:cs="宋体"/>
          <w:b/>
          <w:bCs/>
          <w:color w:val="auto"/>
          <w:sz w:val="28"/>
          <w:szCs w:val="28"/>
          <w:highlight w:val="none"/>
        </w:rPr>
        <w:t>质疑函</w:t>
      </w:r>
    </w:p>
    <w:p>
      <w:pPr>
        <w:tabs>
          <w:tab w:val="left" w:pos="606"/>
        </w:tabs>
        <w:rPr>
          <w:rFonts w:ascii="宋体" w:cs="宋体"/>
          <w:color w:val="auto"/>
          <w:sz w:val="24"/>
          <w:szCs w:val="24"/>
          <w:highlight w:val="none"/>
        </w:rPr>
      </w:pPr>
      <w:r>
        <w:rPr>
          <w:rFonts w:hint="eastAsia" w:ascii="宋体" w:hAnsi="宋体" w:cs="宋体"/>
          <w:color w:val="auto"/>
          <w:sz w:val="24"/>
          <w:szCs w:val="24"/>
          <w:highlight w:val="none"/>
        </w:rPr>
        <w:t>一、质疑供应商基本信息</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质疑供应商：</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地址：邮编：</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联系人：联系电话：</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授权代表：</w:t>
      </w:r>
    </w:p>
    <w:p>
      <w:pPr>
        <w:adjustRightInd w:val="0"/>
        <w:snapToGrid w:val="0"/>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联系电话：</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地址：邮编：</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二、质疑项目基本情况</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质疑项目的名称：</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质疑项目的编号：包号：</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采购人名称：</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采购文件获取日期：</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三、质疑事项具体内容</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质疑事项</w:t>
      </w:r>
      <w:r>
        <w:rPr>
          <w:rFonts w:ascii="宋体" w:hAnsi="宋体" w:cs="宋体"/>
          <w:color w:val="auto"/>
          <w:sz w:val="24"/>
          <w:szCs w:val="24"/>
          <w:highlight w:val="none"/>
        </w:rPr>
        <w:t>1</w:t>
      </w:r>
      <w:r>
        <w:rPr>
          <w:rFonts w:hint="eastAsia" w:ascii="宋体" w:hAnsi="宋体" w:cs="宋体"/>
          <w:color w:val="auto"/>
          <w:sz w:val="24"/>
          <w:szCs w:val="24"/>
          <w:highlight w:val="none"/>
        </w:rPr>
        <w:t>：</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事实依据：</w:t>
      </w:r>
    </w:p>
    <w:p>
      <w:pPr>
        <w:adjustRightInd w:val="0"/>
        <w:snapToGrid w:val="0"/>
        <w:spacing w:line="360" w:lineRule="exact"/>
        <w:rPr>
          <w:rFonts w:ascii="宋体" w:cs="宋体"/>
          <w:color w:val="auto"/>
          <w:sz w:val="24"/>
          <w:szCs w:val="24"/>
          <w:highlight w:val="none"/>
        </w:rPr>
      </w:pP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法律依据：</w:t>
      </w:r>
    </w:p>
    <w:p>
      <w:pPr>
        <w:adjustRightInd w:val="0"/>
        <w:snapToGrid w:val="0"/>
        <w:spacing w:line="360" w:lineRule="exact"/>
        <w:rPr>
          <w:rFonts w:ascii="宋体" w:hAnsi="宋体" w:cs="宋体"/>
          <w:color w:val="auto"/>
          <w:sz w:val="24"/>
          <w:szCs w:val="24"/>
          <w:highlight w:val="none"/>
          <w:u w:val="dotted"/>
        </w:rPr>
      </w:pPr>
    </w:p>
    <w:p>
      <w:pPr>
        <w:adjustRightInd w:val="0"/>
        <w:snapToGrid w:val="0"/>
        <w:spacing w:line="360" w:lineRule="exact"/>
        <w:rPr>
          <w:rFonts w:ascii="宋体" w:cs="宋体"/>
          <w:color w:val="auto"/>
          <w:sz w:val="24"/>
          <w:szCs w:val="24"/>
          <w:highlight w:val="none"/>
          <w:u w:val="dotted"/>
        </w:rPr>
      </w:pPr>
      <w:r>
        <w:rPr>
          <w:rFonts w:hint="eastAsia" w:ascii="宋体" w:hAnsi="宋体" w:cs="宋体"/>
          <w:color w:val="auto"/>
          <w:sz w:val="24"/>
          <w:szCs w:val="24"/>
          <w:highlight w:val="none"/>
        </w:rPr>
        <w:t>质疑事项</w:t>
      </w:r>
      <w:r>
        <w:rPr>
          <w:rFonts w:ascii="宋体" w:hAnsi="宋体" w:cs="宋体"/>
          <w:color w:val="auto"/>
          <w:sz w:val="24"/>
          <w:szCs w:val="24"/>
          <w:highlight w:val="none"/>
        </w:rPr>
        <w:t>2</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四、与质疑事项相关的质疑请求</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请求：</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签字</w:t>
      </w:r>
      <w:r>
        <w:rPr>
          <w:rFonts w:ascii="宋体" w:hAnsi="宋体" w:cs="宋体"/>
          <w:color w:val="auto"/>
          <w:sz w:val="24"/>
          <w:szCs w:val="24"/>
          <w:highlight w:val="none"/>
        </w:rPr>
        <w:t>(</w:t>
      </w:r>
      <w:r>
        <w:rPr>
          <w:rFonts w:hint="eastAsia" w:ascii="宋体" w:hAnsi="宋体" w:cs="宋体"/>
          <w:color w:val="auto"/>
          <w:sz w:val="24"/>
          <w:szCs w:val="24"/>
          <w:highlight w:val="none"/>
        </w:rPr>
        <w:t>签章</w:t>
      </w:r>
      <w:r>
        <w:rPr>
          <w:rFonts w:ascii="宋体" w:hAnsi="宋体" w:cs="宋体"/>
          <w:color w:val="auto"/>
          <w:sz w:val="24"/>
          <w:szCs w:val="24"/>
          <w:highlight w:val="none"/>
        </w:rPr>
        <w:t>)</w:t>
      </w:r>
      <w:r>
        <w:rPr>
          <w:rFonts w:hint="eastAsia" w:ascii="宋体" w:hAnsi="宋体" w:cs="宋体"/>
          <w:color w:val="auto"/>
          <w:sz w:val="24"/>
          <w:szCs w:val="24"/>
          <w:highlight w:val="none"/>
        </w:rPr>
        <w:t>：公章：</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日期：</w:t>
      </w:r>
    </w:p>
    <w:p>
      <w:pPr>
        <w:adjustRightInd w:val="0"/>
        <w:snapToGrid w:val="0"/>
        <w:spacing w:line="360" w:lineRule="exact"/>
        <w:rPr>
          <w:rFonts w:ascii="宋体" w:cs="宋体"/>
          <w:color w:val="auto"/>
          <w:sz w:val="24"/>
          <w:szCs w:val="24"/>
          <w:highlight w:val="none"/>
        </w:rPr>
      </w:pPr>
    </w:p>
    <w:p>
      <w:pPr>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质疑函制作说明：</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供应商提出质疑时，应提交质疑函和必要的证明材料。</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质疑供应商若委托代理人进行质疑的，质疑函应按要求列明“授权代表”的有关内容，并在附件中提交由质疑</w:t>
      </w:r>
      <w:r>
        <w:rPr>
          <w:rFonts w:hint="eastAsia" w:ascii="宋体" w:hAnsi="宋体" w:cs="宋体"/>
          <w:color w:val="auto"/>
          <w:kern w:val="0"/>
          <w:sz w:val="24"/>
          <w:szCs w:val="24"/>
          <w:highlight w:val="none"/>
        </w:rPr>
        <w:t>供应商签署的授权委托书。授权委托书应载明代理人的姓名或者名称、代理事项、具体权限、期限和相关事项。</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质疑供应商若对项目的某一分包进行质疑，质疑函中应列明具体分包号。</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质疑函的质疑事项应具体、明确，并有必要的事实依据和法律依据。</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质疑函的质疑请求应与质疑事项相关。</w:t>
      </w:r>
    </w:p>
    <w:p>
      <w:pPr>
        <w:spacing w:line="360" w:lineRule="exact"/>
        <w:rPr>
          <w:rFonts w:asci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质疑供应商为自然人的，质疑函应由本人签字；质疑供应商为法人或者其他组织的，质疑函应由法定代表人、主要负责人，或者其授权代表签字或者盖章，并加盖公章。</w:t>
      </w:r>
    </w:p>
    <w:p>
      <w:pPr>
        <w:pStyle w:val="129"/>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color w:val="auto"/>
          <w:sz w:val="24"/>
          <w:szCs w:val="24"/>
          <w:highlight w:val="none"/>
        </w:rPr>
      </w:pPr>
    </w:p>
    <w:p>
      <w:pPr>
        <w:spacing w:line="360" w:lineRule="exact"/>
        <w:jc w:val="center"/>
        <w:rPr>
          <w:rFonts w:ascii="宋体" w:cs="宋体"/>
          <w:b/>
          <w:bCs/>
          <w:color w:val="auto"/>
          <w:sz w:val="28"/>
          <w:szCs w:val="28"/>
          <w:highlight w:val="none"/>
        </w:rPr>
      </w:pPr>
      <w:bookmarkStart w:id="125" w:name="page2"/>
      <w:bookmarkEnd w:id="125"/>
      <w:r>
        <w:rPr>
          <w:rFonts w:hint="eastAsia" w:ascii="宋体" w:hAnsi="宋体" w:cs="宋体"/>
          <w:b/>
          <w:bCs/>
          <w:color w:val="auto"/>
          <w:sz w:val="28"/>
          <w:szCs w:val="28"/>
          <w:highlight w:val="none"/>
        </w:rPr>
        <w:t>投诉书</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一、投诉相关主体基本情况</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投诉人：</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地址：邮编：</w:t>
      </w:r>
    </w:p>
    <w:p>
      <w:pPr>
        <w:tabs>
          <w:tab w:val="left" w:pos="6510"/>
        </w:tabs>
        <w:spacing w:line="36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w:t>
      </w:r>
      <w:r>
        <w:rPr>
          <w:rFonts w:ascii="宋体" w:hAnsi="宋体" w:cs="宋体"/>
          <w:color w:val="auto"/>
          <w:sz w:val="24"/>
          <w:szCs w:val="24"/>
          <w:highlight w:val="none"/>
        </w:rPr>
        <w:t>/</w:t>
      </w:r>
      <w:r>
        <w:rPr>
          <w:rFonts w:hint="eastAsia" w:ascii="宋体" w:hAnsi="宋体" w:cs="宋体"/>
          <w:color w:val="auto"/>
          <w:sz w:val="24"/>
          <w:szCs w:val="24"/>
          <w:highlight w:val="none"/>
        </w:rPr>
        <w:t>主要负责人：</w:t>
      </w:r>
    </w:p>
    <w:p>
      <w:pPr>
        <w:tabs>
          <w:tab w:val="left" w:pos="6510"/>
        </w:tabs>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联系电话：</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授权代表：联系电话</w:t>
      </w:r>
      <w:r>
        <w:rPr>
          <w:rFonts w:hint="eastAsia" w:ascii="宋体" w:hAnsi="宋体" w:cs="宋体"/>
          <w:color w:val="auto"/>
          <w:sz w:val="24"/>
          <w:szCs w:val="24"/>
          <w:highlight w:val="none"/>
          <w:u w:val="dotted"/>
        </w:rPr>
        <w:t>：</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地址：邮编：</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被投诉人</w:t>
      </w:r>
      <w:r>
        <w:rPr>
          <w:rFonts w:ascii="宋体" w:hAnsi="宋体" w:cs="宋体"/>
          <w:color w:val="auto"/>
          <w:sz w:val="24"/>
          <w:szCs w:val="24"/>
          <w:highlight w:val="none"/>
        </w:rPr>
        <w:t>1</w:t>
      </w:r>
      <w:r>
        <w:rPr>
          <w:rFonts w:hint="eastAsia" w:ascii="宋体" w:hAnsi="宋体" w:cs="宋体"/>
          <w:color w:val="auto"/>
          <w:sz w:val="24"/>
          <w:szCs w:val="24"/>
          <w:highlight w:val="none"/>
        </w:rPr>
        <w:t>：</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地址：邮编：</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联系人：联系电话：</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被投诉人</w:t>
      </w:r>
      <w:r>
        <w:rPr>
          <w:rFonts w:ascii="宋体" w:hAnsi="宋体" w:cs="宋体"/>
          <w:color w:val="auto"/>
          <w:sz w:val="24"/>
          <w:szCs w:val="24"/>
          <w:highlight w:val="none"/>
        </w:rPr>
        <w:t>2</w:t>
      </w:r>
    </w:p>
    <w:p>
      <w:pPr>
        <w:spacing w:line="360" w:lineRule="exact"/>
        <w:rPr>
          <w:rFonts w:ascii="宋体" w:cs="宋体"/>
          <w:color w:val="auto"/>
          <w:sz w:val="24"/>
          <w:szCs w:val="24"/>
          <w:highlight w:val="none"/>
          <w:u w:val="dotted"/>
        </w:rPr>
      </w:pPr>
      <w:r>
        <w:rPr>
          <w:rFonts w:hint="eastAsia" w:ascii="宋体" w:hAnsi="宋体" w:cs="宋体"/>
          <w:color w:val="auto"/>
          <w:sz w:val="24"/>
          <w:szCs w:val="24"/>
          <w:highlight w:val="none"/>
        </w:rPr>
        <w:t>……</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相关供应商：</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地址：邮编：</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联系人：联系电话：</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二、投诉项目基本情况</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采购项目名称：</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采购项目编号：包号：</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采购人名称：</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代理机构名称：</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采购文件公告</w:t>
      </w:r>
      <w:r>
        <w:rPr>
          <w:rFonts w:ascii="宋体" w:hAnsi="宋体" w:cs="宋体"/>
          <w:color w:val="auto"/>
          <w:sz w:val="24"/>
          <w:szCs w:val="24"/>
          <w:highlight w:val="none"/>
        </w:rPr>
        <w:t>:</w:t>
      </w:r>
      <w:r>
        <w:rPr>
          <w:rFonts w:hint="eastAsia" w:ascii="宋体" w:hAnsi="宋体" w:cs="宋体"/>
          <w:color w:val="auto"/>
          <w:sz w:val="24"/>
          <w:szCs w:val="24"/>
          <w:highlight w:val="none"/>
          <w:u w:val="dotted"/>
        </w:rPr>
        <w:t>是</w:t>
      </w:r>
      <w:r>
        <w:rPr>
          <w:rFonts w:ascii="宋体" w:hAnsi="宋体" w:cs="宋体"/>
          <w:color w:val="auto"/>
          <w:sz w:val="24"/>
          <w:szCs w:val="24"/>
          <w:highlight w:val="none"/>
          <w:u w:val="dotted"/>
        </w:rPr>
        <w:t>/</w:t>
      </w:r>
      <w:r>
        <w:rPr>
          <w:rFonts w:hint="eastAsia" w:ascii="宋体" w:hAnsi="宋体" w:cs="宋体"/>
          <w:color w:val="auto"/>
          <w:sz w:val="24"/>
          <w:szCs w:val="24"/>
          <w:highlight w:val="none"/>
          <w:u w:val="dotted"/>
        </w:rPr>
        <w:t>否</w:t>
      </w:r>
      <w:r>
        <w:rPr>
          <w:rFonts w:hint="eastAsia" w:ascii="宋体" w:hAnsi="宋体" w:cs="宋体"/>
          <w:color w:val="auto"/>
          <w:sz w:val="24"/>
          <w:szCs w:val="24"/>
          <w:highlight w:val="none"/>
        </w:rPr>
        <w:t>公告期限：</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采购结果公告</w:t>
      </w:r>
      <w:r>
        <w:rPr>
          <w:rFonts w:ascii="宋体" w:hAnsi="宋体" w:cs="宋体"/>
          <w:color w:val="auto"/>
          <w:sz w:val="24"/>
          <w:szCs w:val="24"/>
          <w:highlight w:val="none"/>
        </w:rPr>
        <w:t>:</w:t>
      </w:r>
      <w:r>
        <w:rPr>
          <w:rFonts w:hint="eastAsia" w:ascii="宋体" w:hAnsi="宋体" w:cs="宋体"/>
          <w:color w:val="auto"/>
          <w:sz w:val="24"/>
          <w:szCs w:val="24"/>
          <w:highlight w:val="none"/>
          <w:u w:val="dotted"/>
        </w:rPr>
        <w:t>是</w:t>
      </w:r>
      <w:r>
        <w:rPr>
          <w:rFonts w:ascii="宋体" w:hAnsi="宋体" w:cs="宋体"/>
          <w:color w:val="auto"/>
          <w:sz w:val="24"/>
          <w:szCs w:val="24"/>
          <w:highlight w:val="none"/>
          <w:u w:val="dotted"/>
        </w:rPr>
        <w:t>/</w:t>
      </w:r>
      <w:r>
        <w:rPr>
          <w:rFonts w:hint="eastAsia" w:ascii="宋体" w:hAnsi="宋体" w:cs="宋体"/>
          <w:color w:val="auto"/>
          <w:sz w:val="24"/>
          <w:szCs w:val="24"/>
          <w:highlight w:val="none"/>
          <w:u w:val="dotted"/>
        </w:rPr>
        <w:t>否</w:t>
      </w:r>
      <w:r>
        <w:rPr>
          <w:rFonts w:hint="eastAsia" w:ascii="宋体" w:hAnsi="宋体" w:cs="宋体"/>
          <w:color w:val="auto"/>
          <w:sz w:val="24"/>
          <w:szCs w:val="24"/>
          <w:highlight w:val="none"/>
        </w:rPr>
        <w:t>公告期限：</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三、质疑基本情况</w:t>
      </w:r>
    </w:p>
    <w:p>
      <w:pPr>
        <w:spacing w:line="360" w:lineRule="exact"/>
        <w:ind w:firstLine="480" w:firstLineChars="200"/>
        <w:rPr>
          <w:rFonts w:ascii="宋体" w:hAnsi="宋体" w:cs="宋体"/>
          <w:color w:val="auto"/>
          <w:sz w:val="24"/>
          <w:szCs w:val="24"/>
          <w:highlight w:val="none"/>
          <w:u w:val="dotted"/>
        </w:rPr>
      </w:pPr>
      <w:r>
        <w:rPr>
          <w:rFonts w:hint="eastAsia" w:ascii="宋体" w:hAnsi="宋体" w:cs="宋体"/>
          <w:color w:val="auto"/>
          <w:sz w:val="24"/>
          <w:szCs w:val="24"/>
          <w:highlight w:val="none"/>
        </w:rPr>
        <w:t>投诉人于年月日</w:t>
      </w:r>
      <w:r>
        <w:rPr>
          <w:rFonts w:ascii="宋体" w:hAnsi="宋体" w:cs="宋体"/>
          <w:color w:val="auto"/>
          <w:sz w:val="24"/>
          <w:szCs w:val="24"/>
          <w:highlight w:val="none"/>
        </w:rPr>
        <w:t>,</w:t>
      </w:r>
      <w:r>
        <w:rPr>
          <w:rFonts w:hint="eastAsia" w:ascii="宋体" w:hAnsi="宋体" w:cs="宋体"/>
          <w:color w:val="auto"/>
          <w:sz w:val="24"/>
          <w:szCs w:val="24"/>
          <w:highlight w:val="none"/>
        </w:rPr>
        <w:t>向提出质疑，质疑事项为：</w:t>
      </w:r>
    </w:p>
    <w:p>
      <w:pPr>
        <w:spacing w:line="360" w:lineRule="exact"/>
        <w:rPr>
          <w:rFonts w:ascii="宋体" w:cs="宋体"/>
          <w:color w:val="auto"/>
          <w:sz w:val="24"/>
          <w:szCs w:val="24"/>
          <w:highlight w:val="none"/>
          <w:u w:val="dotted"/>
        </w:rPr>
      </w:pPr>
    </w:p>
    <w:p>
      <w:pPr>
        <w:spacing w:line="360" w:lineRule="exact"/>
        <w:ind w:firstLine="360" w:firstLineChars="150"/>
        <w:rPr>
          <w:rFonts w:ascii="宋体" w:cs="宋体"/>
          <w:color w:val="auto"/>
          <w:sz w:val="24"/>
          <w:szCs w:val="24"/>
          <w:highlight w:val="none"/>
        </w:rPr>
      </w:pPr>
      <w:r>
        <w:rPr>
          <w:rFonts w:hint="eastAsia" w:ascii="宋体" w:hAnsi="宋体" w:cs="宋体"/>
          <w:color w:val="auto"/>
          <w:sz w:val="24"/>
          <w:szCs w:val="24"/>
          <w:highlight w:val="none"/>
          <w:u w:val="dotted"/>
        </w:rPr>
        <w:t>采购人</w:t>
      </w:r>
      <w:r>
        <w:rPr>
          <w:rFonts w:ascii="宋体" w:hAnsi="宋体" w:cs="宋体"/>
          <w:color w:val="auto"/>
          <w:sz w:val="24"/>
          <w:szCs w:val="24"/>
          <w:highlight w:val="none"/>
          <w:u w:val="dotted"/>
        </w:rPr>
        <w:t>/</w:t>
      </w:r>
      <w:r>
        <w:rPr>
          <w:rFonts w:hint="eastAsia" w:ascii="宋体" w:hAnsi="宋体" w:cs="宋体"/>
          <w:color w:val="auto"/>
          <w:sz w:val="24"/>
          <w:szCs w:val="24"/>
          <w:highlight w:val="none"/>
          <w:u w:val="dotted"/>
        </w:rPr>
        <w:t>代理机构</w:t>
      </w:r>
      <w:r>
        <w:rPr>
          <w:rFonts w:hint="eastAsia" w:ascii="宋体" w:hAnsi="宋体" w:cs="宋体"/>
          <w:color w:val="auto"/>
          <w:sz w:val="24"/>
          <w:szCs w:val="24"/>
          <w:highlight w:val="none"/>
        </w:rPr>
        <w:t>于年月日</w:t>
      </w:r>
      <w:r>
        <w:rPr>
          <w:rFonts w:ascii="宋体" w:hAnsi="宋体" w:cs="宋体"/>
          <w:color w:val="auto"/>
          <w:sz w:val="24"/>
          <w:szCs w:val="24"/>
          <w:highlight w:val="none"/>
        </w:rPr>
        <w:t>,</w:t>
      </w:r>
      <w:r>
        <w:rPr>
          <w:rFonts w:hint="eastAsia" w:ascii="宋体" w:hAnsi="宋体" w:cs="宋体"/>
          <w:color w:val="auto"/>
          <w:sz w:val="24"/>
          <w:szCs w:val="24"/>
          <w:highlight w:val="none"/>
        </w:rPr>
        <w:t>就质疑事项作出了答复</w:t>
      </w:r>
      <w:r>
        <w:rPr>
          <w:rFonts w:ascii="宋体" w:hAnsi="宋体" w:cs="宋体"/>
          <w:color w:val="auto"/>
          <w:sz w:val="24"/>
          <w:szCs w:val="24"/>
          <w:highlight w:val="none"/>
        </w:rPr>
        <w:t>/</w:t>
      </w:r>
      <w:r>
        <w:rPr>
          <w:rFonts w:hint="eastAsia" w:ascii="宋体" w:hAnsi="宋体" w:cs="宋体"/>
          <w:color w:val="auto"/>
          <w:sz w:val="24"/>
          <w:szCs w:val="24"/>
          <w:highlight w:val="none"/>
        </w:rPr>
        <w:t>没有在法定期限内作出答复。</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四、投诉事项具体内容</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投诉事项</w:t>
      </w:r>
      <w:r>
        <w:rPr>
          <w:rFonts w:ascii="宋体" w:hAnsi="宋体" w:cs="宋体"/>
          <w:color w:val="auto"/>
          <w:sz w:val="24"/>
          <w:szCs w:val="24"/>
          <w:highlight w:val="none"/>
        </w:rPr>
        <w:t xml:space="preserve"> 1</w:t>
      </w:r>
      <w:r>
        <w:rPr>
          <w:rFonts w:hint="eastAsia" w:ascii="宋体" w:hAnsi="宋体" w:cs="宋体"/>
          <w:color w:val="auto"/>
          <w:sz w:val="24"/>
          <w:szCs w:val="24"/>
          <w:highlight w:val="none"/>
        </w:rPr>
        <w:t>：</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事实依据：</w:t>
      </w:r>
    </w:p>
    <w:p>
      <w:pPr>
        <w:spacing w:line="360" w:lineRule="exact"/>
        <w:rPr>
          <w:rFonts w:ascii="宋体" w:hAnsi="宋体" w:cs="宋体"/>
          <w:color w:val="auto"/>
          <w:sz w:val="24"/>
          <w:szCs w:val="24"/>
          <w:highlight w:val="none"/>
          <w:u w:val="dotted"/>
        </w:rPr>
      </w:pP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法律依据：</w:t>
      </w:r>
    </w:p>
    <w:p>
      <w:pPr>
        <w:spacing w:line="360" w:lineRule="exact"/>
        <w:rPr>
          <w:rFonts w:ascii="宋体" w:hAnsi="宋体" w:cs="宋体"/>
          <w:color w:val="auto"/>
          <w:sz w:val="24"/>
          <w:szCs w:val="24"/>
          <w:highlight w:val="none"/>
          <w:u w:val="dotted"/>
        </w:rPr>
      </w:pP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投诉事项</w:t>
      </w:r>
      <w:r>
        <w:rPr>
          <w:rFonts w:ascii="宋体" w:hAnsi="宋体" w:cs="宋体"/>
          <w:color w:val="auto"/>
          <w:sz w:val="24"/>
          <w:szCs w:val="24"/>
          <w:highlight w:val="none"/>
        </w:rPr>
        <w:t>2</w:t>
      </w:r>
    </w:p>
    <w:p>
      <w:pPr>
        <w:spacing w:line="360" w:lineRule="exact"/>
        <w:rPr>
          <w:rFonts w:ascii="宋体" w:cs="宋体"/>
          <w:color w:val="auto"/>
          <w:sz w:val="24"/>
          <w:szCs w:val="24"/>
          <w:highlight w:val="none"/>
          <w:u w:val="dotted"/>
        </w:rPr>
      </w:pPr>
      <w:r>
        <w:rPr>
          <w:rFonts w:hint="eastAsia" w:ascii="宋体" w:hAnsi="宋体" w:cs="宋体"/>
          <w:color w:val="auto"/>
          <w:sz w:val="24"/>
          <w:szCs w:val="24"/>
          <w:highlight w:val="none"/>
        </w:rPr>
        <w:t>……</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五、与投诉事项相关的投诉请求</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请求：</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签字</w:t>
      </w:r>
      <w:r>
        <w:rPr>
          <w:rFonts w:ascii="宋体" w:hAnsi="宋体" w:cs="宋体"/>
          <w:color w:val="auto"/>
          <w:sz w:val="24"/>
          <w:szCs w:val="24"/>
          <w:highlight w:val="none"/>
        </w:rPr>
        <w:t>(</w:t>
      </w:r>
      <w:r>
        <w:rPr>
          <w:rFonts w:hint="eastAsia" w:ascii="宋体" w:hAnsi="宋体" w:cs="宋体"/>
          <w:color w:val="auto"/>
          <w:sz w:val="24"/>
          <w:szCs w:val="24"/>
          <w:highlight w:val="none"/>
        </w:rPr>
        <w:t>签章</w:t>
      </w:r>
      <w:r>
        <w:rPr>
          <w:rFonts w:ascii="宋体" w:hAnsi="宋体" w:cs="宋体"/>
          <w:color w:val="auto"/>
          <w:sz w:val="24"/>
          <w:szCs w:val="24"/>
          <w:highlight w:val="none"/>
        </w:rPr>
        <w:t>)</w:t>
      </w:r>
      <w:r>
        <w:rPr>
          <w:rFonts w:hint="eastAsia" w:ascii="宋体" w:hAnsi="宋体" w:cs="宋体"/>
          <w:color w:val="auto"/>
          <w:sz w:val="24"/>
          <w:szCs w:val="24"/>
          <w:highlight w:val="none"/>
        </w:rPr>
        <w:t>：公章：</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日期：</w:t>
      </w:r>
    </w:p>
    <w:p>
      <w:pPr>
        <w:spacing w:line="360" w:lineRule="exact"/>
        <w:rPr>
          <w:rFonts w:ascii="宋体" w:cs="宋体"/>
          <w:b/>
          <w:bCs/>
          <w:color w:val="auto"/>
          <w:sz w:val="24"/>
          <w:szCs w:val="24"/>
          <w:highlight w:val="none"/>
        </w:rPr>
      </w:pPr>
    </w:p>
    <w:p>
      <w:pPr>
        <w:spacing w:line="360" w:lineRule="exact"/>
        <w:rPr>
          <w:rFonts w:ascii="宋体" w:cs="宋体"/>
          <w:b/>
          <w:bCs/>
          <w:color w:val="auto"/>
          <w:sz w:val="24"/>
          <w:szCs w:val="24"/>
          <w:highlight w:val="none"/>
        </w:rPr>
      </w:pPr>
    </w:p>
    <w:p>
      <w:pPr>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投诉书制作说明：</w:t>
      </w:r>
    </w:p>
    <w:p>
      <w:pPr>
        <w:widowControl/>
        <w:spacing w:line="360" w:lineRule="exact"/>
        <w:ind w:firstLine="480" w:firstLineChars="200"/>
        <w:rPr>
          <w:rFonts w:ascii="宋体" w:cs="宋体"/>
          <w:color w:val="auto"/>
          <w:kern w:val="0"/>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ascii="宋体" w:cs="宋体"/>
          <w:color w:val="auto"/>
          <w:kern w:val="0"/>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投诉人若委托代理人进行投诉的，投诉书应按照要求列明“授权代表”的有关内容，并在附件中提交由</w:t>
      </w:r>
      <w:r>
        <w:rPr>
          <w:rFonts w:hint="eastAsia" w:ascii="宋体" w:hAnsi="宋体" w:cs="宋体"/>
          <w:color w:val="auto"/>
          <w:kern w:val="0"/>
          <w:sz w:val="24"/>
          <w:szCs w:val="24"/>
          <w:highlight w:val="none"/>
        </w:rPr>
        <w:t>投诉人签署的授权委托书。授权委托书应当载明代理人的姓名或者名称、代理事项、具体权限、期限和相关事项。</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投诉人若对项目的某一分包进行投诉，投诉书应列明具体分包号。</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投诉书应简要列明质疑事项，质疑函、质疑答复等作为附件材料提供。</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投诉书的投诉事项应具体、明确，并有必要的事实依据和法律依据。</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投诉书的投诉请求应与投诉事项相关。</w:t>
      </w:r>
    </w:p>
    <w:p>
      <w:pPr>
        <w:spacing w:line="360" w:lineRule="exact"/>
        <w:rPr>
          <w:rFonts w:ascii="宋体" w:cs="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投诉人为自然人的，投诉书应当由本人签字；投诉人为法人或者其他组织的，投诉书应当由法定代表人、主要负责人，或者其授权代表签字或者盖章，并加盖公章。</w:t>
      </w:r>
    </w:p>
    <w:p>
      <w:pPr>
        <w:spacing w:line="360" w:lineRule="exact"/>
        <w:rPr>
          <w:rFonts w:ascii="宋体" w:cs="宋体"/>
          <w:color w:val="auto"/>
          <w:sz w:val="28"/>
          <w:szCs w:val="28"/>
          <w:highlight w:val="none"/>
        </w:rPr>
      </w:pPr>
    </w:p>
    <w:p>
      <w:pPr>
        <w:tabs>
          <w:tab w:val="left" w:pos="1087"/>
        </w:tabs>
        <w:spacing w:line="360" w:lineRule="auto"/>
        <w:rPr>
          <w:color w:val="auto"/>
          <w:sz w:val="24"/>
          <w:szCs w:val="24"/>
          <w:highlight w:val="none"/>
        </w:rPr>
      </w:pPr>
      <w:r>
        <w:rPr>
          <w:color w:val="auto"/>
          <w:sz w:val="24"/>
          <w:szCs w:val="24"/>
          <w:highlight w:val="none"/>
        </w:rPr>
        <w:tab/>
      </w:r>
    </w:p>
    <w:p>
      <w:pPr>
        <w:spacing w:line="360" w:lineRule="auto"/>
        <w:rPr>
          <w:color w:val="auto"/>
          <w:sz w:val="24"/>
          <w:szCs w:val="24"/>
          <w:highlight w:val="none"/>
        </w:rPr>
      </w:pPr>
    </w:p>
    <w:p>
      <w:pPr>
        <w:spacing w:line="360" w:lineRule="auto"/>
        <w:rPr>
          <w:color w:val="auto"/>
          <w:sz w:val="24"/>
          <w:szCs w:val="24"/>
          <w:highlight w:val="none"/>
        </w:rPr>
      </w:pPr>
    </w:p>
    <w:p>
      <w:pPr>
        <w:tabs>
          <w:tab w:val="left" w:pos="606"/>
        </w:tabs>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pStyle w:val="18"/>
        <w:rPr>
          <w:color w:val="auto"/>
          <w:highlight w:val="none"/>
        </w:rPr>
      </w:pPr>
    </w:p>
    <w:p>
      <w:pPr>
        <w:tabs>
          <w:tab w:val="left" w:pos="606"/>
        </w:tabs>
        <w:rPr>
          <w:color w:val="auto"/>
          <w:highlight w:val="none"/>
        </w:rPr>
      </w:pPr>
      <w:r>
        <w:rPr>
          <w:rFonts w:hint="eastAsia" w:ascii="宋体" w:hAnsi="宋体" w:cs="宋体"/>
          <w:b/>
          <w:bCs/>
          <w:color w:val="auto"/>
          <w:kern w:val="0"/>
          <w:sz w:val="36"/>
          <w:szCs w:val="36"/>
          <w:highlight w:val="none"/>
        </w:rPr>
        <w:t>附件</w:t>
      </w:r>
    </w:p>
    <w:p>
      <w:pPr>
        <w:tabs>
          <w:tab w:val="left" w:pos="606"/>
        </w:tabs>
        <w:rPr>
          <w:color w:val="auto"/>
          <w:highlight w:val="none"/>
        </w:rPr>
      </w:pPr>
    </w:p>
    <w:p>
      <w:pPr>
        <w:pStyle w:val="3"/>
        <w:jc w:val="center"/>
        <w:rPr>
          <w:color w:val="auto"/>
          <w:highlight w:val="none"/>
        </w:rPr>
      </w:pPr>
      <w:bookmarkStart w:id="126" w:name="_Toc27844"/>
      <w:bookmarkStart w:id="127" w:name="_Toc24796"/>
      <w:r>
        <w:rPr>
          <w:rFonts w:hint="eastAsia" w:cs="宋体"/>
          <w:color w:val="auto"/>
          <w:highlight w:val="none"/>
        </w:rPr>
        <w:t>中标通知书</w:t>
      </w:r>
      <w:bookmarkEnd w:id="126"/>
      <w:bookmarkEnd w:id="127"/>
    </w:p>
    <w:p>
      <w:pPr>
        <w:tabs>
          <w:tab w:val="left" w:pos="606"/>
        </w:tabs>
        <w:rPr>
          <w:color w:val="auto"/>
          <w:sz w:val="28"/>
          <w:szCs w:val="28"/>
          <w:highlight w:val="none"/>
        </w:rPr>
      </w:pPr>
      <w:r>
        <w:rPr>
          <w:rFonts w:hint="eastAsia" w:cs="宋体"/>
          <w:color w:val="auto"/>
          <w:sz w:val="28"/>
          <w:szCs w:val="28"/>
          <w:highlight w:val="none"/>
        </w:rPr>
        <w:t>公司：</w:t>
      </w:r>
    </w:p>
    <w:p>
      <w:pPr>
        <w:tabs>
          <w:tab w:val="left" w:pos="606"/>
        </w:tabs>
        <w:ind w:firstLine="420"/>
        <w:rPr>
          <w:color w:val="auto"/>
          <w:sz w:val="28"/>
          <w:szCs w:val="28"/>
          <w:highlight w:val="none"/>
        </w:rPr>
      </w:pPr>
      <w:r>
        <w:rPr>
          <w:rFonts w:hint="eastAsia" w:cs="宋体"/>
          <w:color w:val="auto"/>
          <w:sz w:val="28"/>
          <w:szCs w:val="28"/>
          <w:highlight w:val="none"/>
          <w:u w:val="single"/>
        </w:rPr>
        <w:t>（代理机构名称）</w:t>
      </w:r>
      <w:r>
        <w:rPr>
          <w:rFonts w:hint="eastAsia" w:cs="宋体"/>
          <w:color w:val="auto"/>
          <w:sz w:val="28"/>
          <w:szCs w:val="28"/>
          <w:highlight w:val="none"/>
        </w:rPr>
        <w:t>受</w:t>
      </w:r>
      <w:r>
        <w:rPr>
          <w:rFonts w:hint="eastAsia" w:cs="宋体"/>
          <w:color w:val="auto"/>
          <w:sz w:val="28"/>
          <w:szCs w:val="28"/>
          <w:highlight w:val="none"/>
          <w:u w:val="single"/>
        </w:rPr>
        <w:t>（采购单位名称）</w:t>
      </w:r>
      <w:r>
        <w:rPr>
          <w:rFonts w:hint="eastAsia" w:cs="宋体"/>
          <w:color w:val="auto"/>
          <w:sz w:val="28"/>
          <w:szCs w:val="28"/>
          <w:highlight w:val="none"/>
        </w:rPr>
        <w:t>的委托，就</w:t>
      </w:r>
      <w:r>
        <w:rPr>
          <w:rFonts w:hint="eastAsia" w:cs="宋体"/>
          <w:color w:val="auto"/>
          <w:sz w:val="28"/>
          <w:szCs w:val="28"/>
          <w:highlight w:val="none"/>
          <w:u w:val="single"/>
        </w:rPr>
        <w:t>项目</w:t>
      </w:r>
      <w:r>
        <w:rPr>
          <w:rFonts w:hint="eastAsia" w:cs="宋体"/>
          <w:color w:val="auto"/>
          <w:sz w:val="28"/>
          <w:szCs w:val="28"/>
          <w:highlight w:val="none"/>
        </w:rPr>
        <w:t>（项目编号：；审批编号：）采用方式进行采购。经采购人确认，贵单位为项目的中标单位，具体内容如下：</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s="宋体"/>
          <w:color w:val="auto"/>
          <w:sz w:val="28"/>
          <w:szCs w:val="28"/>
          <w:highlight w:val="none"/>
        </w:rPr>
        <w:t>中标单位：公司</w:t>
      </w:r>
    </w:p>
    <w:p>
      <w:pPr>
        <w:tabs>
          <w:tab w:val="left" w:pos="606"/>
        </w:tabs>
        <w:ind w:firstLine="420"/>
        <w:rPr>
          <w:color w:val="auto"/>
          <w:sz w:val="28"/>
          <w:szCs w:val="28"/>
          <w:highlight w:val="none"/>
        </w:rPr>
      </w:pPr>
      <w:r>
        <w:rPr>
          <w:rFonts w:hint="eastAsia" w:cs="宋体"/>
          <w:color w:val="auto"/>
          <w:sz w:val="28"/>
          <w:szCs w:val="28"/>
          <w:highlight w:val="none"/>
        </w:rPr>
        <w:t>企业规模：□中型□小型□微型□其他</w:t>
      </w:r>
    </w:p>
    <w:p>
      <w:pPr>
        <w:tabs>
          <w:tab w:val="left" w:pos="606"/>
        </w:tabs>
        <w:ind w:firstLine="420"/>
        <w:rPr>
          <w:color w:val="auto"/>
          <w:sz w:val="28"/>
          <w:szCs w:val="28"/>
          <w:highlight w:val="none"/>
        </w:rPr>
      </w:pPr>
      <w:r>
        <w:rPr>
          <w:rFonts w:hint="eastAsia" w:cs="宋体"/>
          <w:color w:val="auto"/>
          <w:sz w:val="28"/>
          <w:szCs w:val="28"/>
          <w:highlight w:val="none"/>
        </w:rPr>
        <w:t>中标金额：（￥元）</w:t>
      </w:r>
    </w:p>
    <w:p>
      <w:pPr>
        <w:tabs>
          <w:tab w:val="left" w:pos="606"/>
        </w:tabs>
        <w:ind w:firstLine="420"/>
        <w:rPr>
          <w:color w:val="auto"/>
          <w:sz w:val="28"/>
          <w:szCs w:val="28"/>
          <w:highlight w:val="none"/>
        </w:rPr>
      </w:pPr>
      <w:r>
        <w:rPr>
          <w:rFonts w:hint="eastAsia" w:cs="宋体"/>
          <w:color w:val="auto"/>
          <w:sz w:val="28"/>
          <w:szCs w:val="28"/>
          <w:highlight w:val="none"/>
        </w:rPr>
        <w:t>交货时间：自合同签定之日起天内</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s="宋体"/>
          <w:color w:val="auto"/>
          <w:sz w:val="28"/>
          <w:szCs w:val="28"/>
          <w:highlight w:val="none"/>
        </w:rPr>
        <w:t>请贵单位接此通知书后日内尽快与采购人签订合同，并按采购文件要求和投标文件的承诺履行合同。</w:t>
      </w:r>
    </w:p>
    <w:p>
      <w:pPr>
        <w:tabs>
          <w:tab w:val="left" w:pos="606"/>
        </w:tabs>
        <w:ind w:firstLine="420"/>
        <w:rPr>
          <w:color w:val="auto"/>
          <w:sz w:val="28"/>
          <w:szCs w:val="28"/>
          <w:highlight w:val="none"/>
        </w:rPr>
      </w:pPr>
      <w:r>
        <w:rPr>
          <w:rFonts w:hint="eastAsia" w:cs="宋体"/>
          <w:color w:val="auto"/>
          <w:sz w:val="28"/>
          <w:szCs w:val="28"/>
          <w:highlight w:val="none"/>
        </w:rPr>
        <w:t>特此通知！</w:t>
      </w:r>
    </w:p>
    <w:p>
      <w:pPr>
        <w:tabs>
          <w:tab w:val="left" w:pos="606"/>
        </w:tabs>
        <w:rPr>
          <w:color w:val="auto"/>
          <w:sz w:val="28"/>
          <w:szCs w:val="28"/>
          <w:highlight w:val="none"/>
        </w:rPr>
      </w:pPr>
    </w:p>
    <w:p>
      <w:pPr>
        <w:tabs>
          <w:tab w:val="left" w:pos="606"/>
        </w:tabs>
        <w:ind w:firstLine="4480" w:firstLineChars="1600"/>
        <w:rPr>
          <w:color w:val="auto"/>
          <w:sz w:val="28"/>
          <w:szCs w:val="28"/>
          <w:highlight w:val="none"/>
        </w:rPr>
      </w:pPr>
      <w:r>
        <w:rPr>
          <w:rFonts w:hint="eastAsia" w:cs="宋体"/>
          <w:color w:val="auto"/>
          <w:sz w:val="28"/>
          <w:szCs w:val="28"/>
          <w:highlight w:val="none"/>
        </w:rPr>
        <w:t>采购单位（盖章）：</w:t>
      </w:r>
    </w:p>
    <w:p>
      <w:pPr>
        <w:tabs>
          <w:tab w:val="left" w:pos="606"/>
        </w:tabs>
        <w:ind w:firstLine="4480" w:firstLineChars="1600"/>
        <w:rPr>
          <w:color w:val="auto"/>
          <w:sz w:val="28"/>
          <w:szCs w:val="28"/>
          <w:highlight w:val="none"/>
        </w:rPr>
      </w:pPr>
      <w:r>
        <w:rPr>
          <w:rFonts w:hint="eastAsia" w:cs="宋体"/>
          <w:color w:val="auto"/>
          <w:sz w:val="28"/>
          <w:szCs w:val="28"/>
          <w:highlight w:val="none"/>
        </w:rPr>
        <w:t>代理机构（盖章）：</w:t>
      </w:r>
    </w:p>
    <w:p>
      <w:pPr>
        <w:tabs>
          <w:tab w:val="left" w:pos="606"/>
        </w:tabs>
        <w:ind w:firstLine="4480" w:firstLineChars="1600"/>
        <w:rPr>
          <w:color w:val="auto"/>
          <w:highlight w:val="none"/>
        </w:rPr>
      </w:pPr>
      <w:r>
        <w:rPr>
          <w:rFonts w:hint="eastAsia" w:cs="宋体"/>
          <w:color w:val="auto"/>
          <w:sz w:val="28"/>
          <w:szCs w:val="28"/>
          <w:highlight w:val="none"/>
        </w:rPr>
        <w:t>日期：年月日</w:t>
      </w:r>
    </w:p>
    <w:sectPr>
      <w:pgSz w:w="11900" w:h="16840"/>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文本框 10" o:spid="_x0000_s4101"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JOGzXe4AQAAVgMAAA4AAAAAAAAAAQAgAAAAHwEAAGRycy9lMm9Eb2MueG1sUEsFBgAAAAAGAAYA&#10;WQEAAEkFAAAAAA==&#10;">
          <v:path/>
          <v:fill on="f" focussize="0,0"/>
          <v:stroke on="f" weight="0.5pt" joinstyle="miter"/>
          <v:imagedata o:title=""/>
          <o:lock v:ext="edit"/>
          <v:textbox inset="0mm,0mm,0mm,0mm" style="mso-fit-shape-to-text:t;">
            <w:txbxContent>
              <w:p>
                <w:pPr>
                  <w:pStyle w:val="27"/>
                </w:pPr>
                <w:r>
                  <w:fldChar w:fldCharType="begin"/>
                </w:r>
                <w:r>
                  <w:instrText xml:space="preserve"> PAGE  \* MERGEFORMAT </w:instrText>
                </w:r>
                <w:r>
                  <w:fldChar w:fldCharType="separate"/>
                </w:r>
                <w:r>
                  <w:t>55</w:t>
                </w:r>
                <w:r>
                  <w:fldChar w:fldCharType="end"/>
                </w:r>
              </w:p>
            </w:txbxContent>
          </v:textbox>
        </v:shape>
      </w:pict>
    </w:r>
    <w:r>
      <w:pict>
        <v:shape id="文本框 11" o:spid="_x0000_s4102" o:spt="202" type="#_x0000_t202" style="position:absolute;left:0pt;margin-left:750pt;margin-top:508.25pt;height:9.85pt;width:34.55pt;mso-position-horizontal-relative:page;mso-position-vertical-relative:page;mso-wrap-style:none;z-index:-251655168;mso-width-relative:page;mso-height-relative:page;" filled="f" stroked="f" coordsize="21600,21600" o:gfxdata="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Q3f+42AAAAA8BAAAPAAAAAAAAAAEAIAAAACIAAABkcnMvZG93bnJldi54bWxQSwECFAAUAAAA&#10;CACHTuJAzuOSWLUBAABLAwAADgAAAAAAAAABACAAAAAnAQAAZHJzL2Uyb0RvYy54bWxQSwUGAAAA&#10;AAYABgBZAQAATgUAAAAA&#10;">
          <v:path/>
          <v:fill on="f" focussize="0,0"/>
          <v:stroke on="f" joinstyle="miter"/>
          <v:imagedata o:title=""/>
          <o:lock v:ext="edit"/>
          <v:textbox inset="0mm,0mm,0mm,0mm" style="mso-fit-shape-to-text:t;">
            <w:txbxContent>
              <w:p>
                <w:pPr>
                  <w:jc w:val="left"/>
                  <w:rPr>
                    <w:color w:val="2E2F2F"/>
                    <w:sz w:val="28"/>
                    <w:szCs w:val="28"/>
                    <w:lang w:val="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文本框 12" o:spid="_x0000_s4100"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URTtJroBAABWAwAADgAAAAAAAAABACAAAAAfAQAAZHJzL2Uyb0RvYy54bWxQSwUGAAAAAAYA&#10;BgBZAQAASwUAAAAA&#10;">
          <v:path/>
          <v:fill on="f" focussize="0,0"/>
          <v:stroke on="f" weight="0.5pt" joinstyle="miter"/>
          <v:imagedata o:title=""/>
          <o:lock v:ext="edit"/>
          <v:textbox inset="0mm,0mm,0mm,0mm" style="mso-fit-shape-to-text:t;">
            <w:txbxContent>
              <w:p>
                <w:pPr>
                  <w:pStyle w:val="27"/>
                </w:pPr>
                <w:r>
                  <w:fldChar w:fldCharType="begin"/>
                </w:r>
                <w:r>
                  <w:instrText xml:space="preserve"> PAGE  \* MERGEFORMAT </w:instrText>
                </w:r>
                <w:r>
                  <w:fldChar w:fldCharType="separate"/>
                </w:r>
                <w:r>
                  <w:t>31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45777"/>
    <w:multiLevelType w:val="singleLevel"/>
    <w:tmpl w:val="DB245777"/>
    <w:lvl w:ilvl="0" w:tentative="0">
      <w:start w:val="1"/>
      <w:numFmt w:val="chineseCounting"/>
      <w:lvlText w:val="%1."/>
      <w:lvlJc w:val="left"/>
      <w:pPr>
        <w:tabs>
          <w:tab w:val="left" w:pos="312"/>
        </w:tabs>
      </w:pPr>
      <w:rPr>
        <w:rFonts w:hint="eastAsia"/>
      </w:rPr>
    </w:lvl>
  </w:abstractNum>
  <w:abstractNum w:abstractNumId="1">
    <w:nsid w:val="246CF2D3"/>
    <w:multiLevelType w:val="singleLevel"/>
    <w:tmpl w:val="246CF2D3"/>
    <w:lvl w:ilvl="0" w:tentative="0">
      <w:start w:val="3"/>
      <w:numFmt w:val="chineseCounting"/>
      <w:suff w:val="nothing"/>
      <w:lvlText w:val="（%1）"/>
      <w:lvlJc w:val="left"/>
      <w:rPr>
        <w:rFonts w:hint="eastAsia"/>
      </w:rPr>
    </w:lvl>
  </w:abstractNum>
  <w:abstractNum w:abstractNumId="2">
    <w:nsid w:val="3A7217AC"/>
    <w:multiLevelType w:val="singleLevel"/>
    <w:tmpl w:val="3A7217AC"/>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172A27"/>
    <w:rsid w:val="00000FB3"/>
    <w:rsid w:val="000018B2"/>
    <w:rsid w:val="00002412"/>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57BA"/>
    <w:rsid w:val="00026337"/>
    <w:rsid w:val="00027C7D"/>
    <w:rsid w:val="00030B35"/>
    <w:rsid w:val="00033872"/>
    <w:rsid w:val="00035C93"/>
    <w:rsid w:val="000369F0"/>
    <w:rsid w:val="00037C8F"/>
    <w:rsid w:val="000403D6"/>
    <w:rsid w:val="00041069"/>
    <w:rsid w:val="00041914"/>
    <w:rsid w:val="000423BF"/>
    <w:rsid w:val="00042EAA"/>
    <w:rsid w:val="00043276"/>
    <w:rsid w:val="00043BC4"/>
    <w:rsid w:val="00044292"/>
    <w:rsid w:val="0004471C"/>
    <w:rsid w:val="00044AFC"/>
    <w:rsid w:val="00045544"/>
    <w:rsid w:val="00047850"/>
    <w:rsid w:val="00047B43"/>
    <w:rsid w:val="00047DE2"/>
    <w:rsid w:val="00050208"/>
    <w:rsid w:val="00051654"/>
    <w:rsid w:val="00051AB7"/>
    <w:rsid w:val="0005233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433"/>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2A8"/>
    <w:rsid w:val="00094717"/>
    <w:rsid w:val="00096217"/>
    <w:rsid w:val="000970AC"/>
    <w:rsid w:val="00097C11"/>
    <w:rsid w:val="000A039F"/>
    <w:rsid w:val="000A0C3A"/>
    <w:rsid w:val="000A0D4E"/>
    <w:rsid w:val="000A1094"/>
    <w:rsid w:val="000A157E"/>
    <w:rsid w:val="000A1DD1"/>
    <w:rsid w:val="000A43CD"/>
    <w:rsid w:val="000A47E9"/>
    <w:rsid w:val="000A568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11D7"/>
    <w:rsid w:val="000F165B"/>
    <w:rsid w:val="000F1723"/>
    <w:rsid w:val="000F2036"/>
    <w:rsid w:val="000F6442"/>
    <w:rsid w:val="000F6D2F"/>
    <w:rsid w:val="00103631"/>
    <w:rsid w:val="0010495C"/>
    <w:rsid w:val="0010572F"/>
    <w:rsid w:val="00105882"/>
    <w:rsid w:val="00106614"/>
    <w:rsid w:val="00107D65"/>
    <w:rsid w:val="00111699"/>
    <w:rsid w:val="00112461"/>
    <w:rsid w:val="001125BB"/>
    <w:rsid w:val="00112DA4"/>
    <w:rsid w:val="001134AC"/>
    <w:rsid w:val="001147A6"/>
    <w:rsid w:val="00115D3C"/>
    <w:rsid w:val="00116835"/>
    <w:rsid w:val="001174CC"/>
    <w:rsid w:val="00117513"/>
    <w:rsid w:val="00120030"/>
    <w:rsid w:val="001222FD"/>
    <w:rsid w:val="00122373"/>
    <w:rsid w:val="00126C3C"/>
    <w:rsid w:val="00126F1C"/>
    <w:rsid w:val="00127B0D"/>
    <w:rsid w:val="00131634"/>
    <w:rsid w:val="00132A72"/>
    <w:rsid w:val="00132EAF"/>
    <w:rsid w:val="00133516"/>
    <w:rsid w:val="00133C68"/>
    <w:rsid w:val="00133D32"/>
    <w:rsid w:val="001348F7"/>
    <w:rsid w:val="00134BF7"/>
    <w:rsid w:val="00135C75"/>
    <w:rsid w:val="0013616C"/>
    <w:rsid w:val="001363C7"/>
    <w:rsid w:val="00136755"/>
    <w:rsid w:val="001373D9"/>
    <w:rsid w:val="00137A35"/>
    <w:rsid w:val="0014024B"/>
    <w:rsid w:val="00141869"/>
    <w:rsid w:val="001421B0"/>
    <w:rsid w:val="001431A2"/>
    <w:rsid w:val="00143F6C"/>
    <w:rsid w:val="00144B48"/>
    <w:rsid w:val="00145F39"/>
    <w:rsid w:val="00146229"/>
    <w:rsid w:val="00146FFB"/>
    <w:rsid w:val="0015130F"/>
    <w:rsid w:val="00152112"/>
    <w:rsid w:val="00152A00"/>
    <w:rsid w:val="00152F44"/>
    <w:rsid w:val="00153268"/>
    <w:rsid w:val="001539F5"/>
    <w:rsid w:val="00153C62"/>
    <w:rsid w:val="0015431C"/>
    <w:rsid w:val="00154774"/>
    <w:rsid w:val="001576DC"/>
    <w:rsid w:val="00157B5E"/>
    <w:rsid w:val="001610A9"/>
    <w:rsid w:val="00161318"/>
    <w:rsid w:val="00162436"/>
    <w:rsid w:val="00162933"/>
    <w:rsid w:val="00163720"/>
    <w:rsid w:val="00163AC9"/>
    <w:rsid w:val="00163E3E"/>
    <w:rsid w:val="00164348"/>
    <w:rsid w:val="0016511C"/>
    <w:rsid w:val="001651AC"/>
    <w:rsid w:val="0016544B"/>
    <w:rsid w:val="00165540"/>
    <w:rsid w:val="00165BE5"/>
    <w:rsid w:val="001661C8"/>
    <w:rsid w:val="00166B37"/>
    <w:rsid w:val="0016722F"/>
    <w:rsid w:val="001673D1"/>
    <w:rsid w:val="0016754E"/>
    <w:rsid w:val="0016778B"/>
    <w:rsid w:val="001708A0"/>
    <w:rsid w:val="001718A3"/>
    <w:rsid w:val="00171BA6"/>
    <w:rsid w:val="0017219E"/>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90E8A"/>
    <w:rsid w:val="00191828"/>
    <w:rsid w:val="00191EE3"/>
    <w:rsid w:val="001925D6"/>
    <w:rsid w:val="001929B1"/>
    <w:rsid w:val="00192AC2"/>
    <w:rsid w:val="00192BB1"/>
    <w:rsid w:val="00192EAE"/>
    <w:rsid w:val="0019336D"/>
    <w:rsid w:val="001936FC"/>
    <w:rsid w:val="00194697"/>
    <w:rsid w:val="001946BA"/>
    <w:rsid w:val="00195FAD"/>
    <w:rsid w:val="00196B64"/>
    <w:rsid w:val="001A04E3"/>
    <w:rsid w:val="001A1890"/>
    <w:rsid w:val="001A2D19"/>
    <w:rsid w:val="001A3C11"/>
    <w:rsid w:val="001A4663"/>
    <w:rsid w:val="001A4A4E"/>
    <w:rsid w:val="001A4B8D"/>
    <w:rsid w:val="001A4C0D"/>
    <w:rsid w:val="001A4F50"/>
    <w:rsid w:val="001A5A2D"/>
    <w:rsid w:val="001A6969"/>
    <w:rsid w:val="001A7307"/>
    <w:rsid w:val="001A76BF"/>
    <w:rsid w:val="001A78AC"/>
    <w:rsid w:val="001A7A8C"/>
    <w:rsid w:val="001B0343"/>
    <w:rsid w:val="001B0DB9"/>
    <w:rsid w:val="001B14EF"/>
    <w:rsid w:val="001B170C"/>
    <w:rsid w:val="001B26C9"/>
    <w:rsid w:val="001B2961"/>
    <w:rsid w:val="001B367C"/>
    <w:rsid w:val="001B390C"/>
    <w:rsid w:val="001B54BF"/>
    <w:rsid w:val="001B593E"/>
    <w:rsid w:val="001C0E03"/>
    <w:rsid w:val="001C1415"/>
    <w:rsid w:val="001C19A3"/>
    <w:rsid w:val="001C2AA5"/>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632"/>
    <w:rsid w:val="00216AC6"/>
    <w:rsid w:val="00216E58"/>
    <w:rsid w:val="002177B1"/>
    <w:rsid w:val="0022445D"/>
    <w:rsid w:val="002247C5"/>
    <w:rsid w:val="0022542B"/>
    <w:rsid w:val="002259F1"/>
    <w:rsid w:val="00226529"/>
    <w:rsid w:val="0022720F"/>
    <w:rsid w:val="00227F47"/>
    <w:rsid w:val="0023068F"/>
    <w:rsid w:val="00230D7A"/>
    <w:rsid w:val="00232951"/>
    <w:rsid w:val="00232C3F"/>
    <w:rsid w:val="002335F5"/>
    <w:rsid w:val="00235232"/>
    <w:rsid w:val="002359C0"/>
    <w:rsid w:val="00236031"/>
    <w:rsid w:val="002376BA"/>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12A"/>
    <w:rsid w:val="00252AA1"/>
    <w:rsid w:val="002544B1"/>
    <w:rsid w:val="0025574B"/>
    <w:rsid w:val="002559FD"/>
    <w:rsid w:val="00255ED5"/>
    <w:rsid w:val="00257011"/>
    <w:rsid w:val="00257E53"/>
    <w:rsid w:val="002610E8"/>
    <w:rsid w:val="0026139F"/>
    <w:rsid w:val="0026191E"/>
    <w:rsid w:val="002628A3"/>
    <w:rsid w:val="00262C22"/>
    <w:rsid w:val="0026391E"/>
    <w:rsid w:val="00263CDF"/>
    <w:rsid w:val="00265F19"/>
    <w:rsid w:val="00265FA8"/>
    <w:rsid w:val="00266ACD"/>
    <w:rsid w:val="00271260"/>
    <w:rsid w:val="00272691"/>
    <w:rsid w:val="0027586C"/>
    <w:rsid w:val="002760F5"/>
    <w:rsid w:val="00276F56"/>
    <w:rsid w:val="0028067B"/>
    <w:rsid w:val="00282766"/>
    <w:rsid w:val="0028501D"/>
    <w:rsid w:val="002872DF"/>
    <w:rsid w:val="0029198C"/>
    <w:rsid w:val="00291A75"/>
    <w:rsid w:val="002930FA"/>
    <w:rsid w:val="0029402C"/>
    <w:rsid w:val="002944A1"/>
    <w:rsid w:val="002965FE"/>
    <w:rsid w:val="00296843"/>
    <w:rsid w:val="002969C5"/>
    <w:rsid w:val="00297897"/>
    <w:rsid w:val="00297B4E"/>
    <w:rsid w:val="002A0A45"/>
    <w:rsid w:val="002A0BA5"/>
    <w:rsid w:val="002A5011"/>
    <w:rsid w:val="002A56B5"/>
    <w:rsid w:val="002B1210"/>
    <w:rsid w:val="002B1227"/>
    <w:rsid w:val="002B184E"/>
    <w:rsid w:val="002B47C9"/>
    <w:rsid w:val="002B5E2A"/>
    <w:rsid w:val="002B6F4C"/>
    <w:rsid w:val="002B7383"/>
    <w:rsid w:val="002B760E"/>
    <w:rsid w:val="002C1634"/>
    <w:rsid w:val="002C1C3C"/>
    <w:rsid w:val="002C22C6"/>
    <w:rsid w:val="002C25B2"/>
    <w:rsid w:val="002C2919"/>
    <w:rsid w:val="002C41A5"/>
    <w:rsid w:val="002C454F"/>
    <w:rsid w:val="002C4AC2"/>
    <w:rsid w:val="002C5303"/>
    <w:rsid w:val="002C5422"/>
    <w:rsid w:val="002C66A0"/>
    <w:rsid w:val="002C6969"/>
    <w:rsid w:val="002C74F0"/>
    <w:rsid w:val="002C7CC1"/>
    <w:rsid w:val="002C7D11"/>
    <w:rsid w:val="002D07C7"/>
    <w:rsid w:val="002D121B"/>
    <w:rsid w:val="002D197E"/>
    <w:rsid w:val="002D23DB"/>
    <w:rsid w:val="002D24C0"/>
    <w:rsid w:val="002D2980"/>
    <w:rsid w:val="002D3717"/>
    <w:rsid w:val="002D3FDF"/>
    <w:rsid w:val="002D41A7"/>
    <w:rsid w:val="002D49AA"/>
    <w:rsid w:val="002D4A44"/>
    <w:rsid w:val="002D4AE8"/>
    <w:rsid w:val="002D5288"/>
    <w:rsid w:val="002D5702"/>
    <w:rsid w:val="002D7055"/>
    <w:rsid w:val="002D71CB"/>
    <w:rsid w:val="002D72CD"/>
    <w:rsid w:val="002D7920"/>
    <w:rsid w:val="002D7A45"/>
    <w:rsid w:val="002D7D66"/>
    <w:rsid w:val="002E1235"/>
    <w:rsid w:val="002E1398"/>
    <w:rsid w:val="002E2674"/>
    <w:rsid w:val="002E31E0"/>
    <w:rsid w:val="002E3300"/>
    <w:rsid w:val="002E409D"/>
    <w:rsid w:val="002E44B9"/>
    <w:rsid w:val="002E4869"/>
    <w:rsid w:val="002E4A87"/>
    <w:rsid w:val="002E5932"/>
    <w:rsid w:val="002F1032"/>
    <w:rsid w:val="002F1CB1"/>
    <w:rsid w:val="002F477C"/>
    <w:rsid w:val="002F603B"/>
    <w:rsid w:val="002F626F"/>
    <w:rsid w:val="002F6DB1"/>
    <w:rsid w:val="003007B7"/>
    <w:rsid w:val="00301578"/>
    <w:rsid w:val="003020F2"/>
    <w:rsid w:val="003025BB"/>
    <w:rsid w:val="00302E13"/>
    <w:rsid w:val="003067E9"/>
    <w:rsid w:val="0031025B"/>
    <w:rsid w:val="003110B1"/>
    <w:rsid w:val="00311184"/>
    <w:rsid w:val="00315E34"/>
    <w:rsid w:val="00315FCA"/>
    <w:rsid w:val="003162BD"/>
    <w:rsid w:val="003178A8"/>
    <w:rsid w:val="00320DC9"/>
    <w:rsid w:val="00321E4E"/>
    <w:rsid w:val="0032217D"/>
    <w:rsid w:val="00322397"/>
    <w:rsid w:val="00322E72"/>
    <w:rsid w:val="003249B8"/>
    <w:rsid w:val="00324F95"/>
    <w:rsid w:val="0032588B"/>
    <w:rsid w:val="00325C46"/>
    <w:rsid w:val="00325C4C"/>
    <w:rsid w:val="00325F39"/>
    <w:rsid w:val="00326B7D"/>
    <w:rsid w:val="00326F66"/>
    <w:rsid w:val="00327D3C"/>
    <w:rsid w:val="00330317"/>
    <w:rsid w:val="0033085E"/>
    <w:rsid w:val="00330B45"/>
    <w:rsid w:val="00332F5C"/>
    <w:rsid w:val="0033511A"/>
    <w:rsid w:val="00335348"/>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21CD"/>
    <w:rsid w:val="0037238D"/>
    <w:rsid w:val="00372B87"/>
    <w:rsid w:val="00372BCF"/>
    <w:rsid w:val="003731CE"/>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62CA"/>
    <w:rsid w:val="0039659F"/>
    <w:rsid w:val="00396C3F"/>
    <w:rsid w:val="003A0600"/>
    <w:rsid w:val="003A0D2B"/>
    <w:rsid w:val="003A0E7B"/>
    <w:rsid w:val="003A0FBC"/>
    <w:rsid w:val="003A1395"/>
    <w:rsid w:val="003A17E0"/>
    <w:rsid w:val="003A1C4F"/>
    <w:rsid w:val="003A1EA5"/>
    <w:rsid w:val="003A2C33"/>
    <w:rsid w:val="003A50FF"/>
    <w:rsid w:val="003A6122"/>
    <w:rsid w:val="003A6291"/>
    <w:rsid w:val="003A6CDC"/>
    <w:rsid w:val="003A77A4"/>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4C74"/>
    <w:rsid w:val="003F4D4F"/>
    <w:rsid w:val="003F65CB"/>
    <w:rsid w:val="003F6F61"/>
    <w:rsid w:val="003F6FF6"/>
    <w:rsid w:val="00401B66"/>
    <w:rsid w:val="00401DEF"/>
    <w:rsid w:val="004023C3"/>
    <w:rsid w:val="00402447"/>
    <w:rsid w:val="0040371C"/>
    <w:rsid w:val="00403F3A"/>
    <w:rsid w:val="00404FD6"/>
    <w:rsid w:val="00405031"/>
    <w:rsid w:val="0040529F"/>
    <w:rsid w:val="0040602B"/>
    <w:rsid w:val="00406FA3"/>
    <w:rsid w:val="0040775C"/>
    <w:rsid w:val="00411515"/>
    <w:rsid w:val="00411E75"/>
    <w:rsid w:val="00412F0F"/>
    <w:rsid w:val="00412F71"/>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4D07"/>
    <w:rsid w:val="004251F1"/>
    <w:rsid w:val="0042525E"/>
    <w:rsid w:val="00425861"/>
    <w:rsid w:val="0043063A"/>
    <w:rsid w:val="00430ADD"/>
    <w:rsid w:val="004327FC"/>
    <w:rsid w:val="004339AC"/>
    <w:rsid w:val="00433C3C"/>
    <w:rsid w:val="00434B75"/>
    <w:rsid w:val="00434D0D"/>
    <w:rsid w:val="00436580"/>
    <w:rsid w:val="004410C9"/>
    <w:rsid w:val="00441232"/>
    <w:rsid w:val="00441FE7"/>
    <w:rsid w:val="00442B01"/>
    <w:rsid w:val="0044363C"/>
    <w:rsid w:val="00444098"/>
    <w:rsid w:val="004443CB"/>
    <w:rsid w:val="00444717"/>
    <w:rsid w:val="0044538B"/>
    <w:rsid w:val="0044649C"/>
    <w:rsid w:val="00446637"/>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58AE"/>
    <w:rsid w:val="00456170"/>
    <w:rsid w:val="004564F0"/>
    <w:rsid w:val="004564F6"/>
    <w:rsid w:val="00456E98"/>
    <w:rsid w:val="00457DFE"/>
    <w:rsid w:val="0046029F"/>
    <w:rsid w:val="00461C4D"/>
    <w:rsid w:val="0046305D"/>
    <w:rsid w:val="004645C7"/>
    <w:rsid w:val="00464C9F"/>
    <w:rsid w:val="004673E2"/>
    <w:rsid w:val="00467751"/>
    <w:rsid w:val="00467B09"/>
    <w:rsid w:val="004734AB"/>
    <w:rsid w:val="00473E39"/>
    <w:rsid w:val="00474A5F"/>
    <w:rsid w:val="00476484"/>
    <w:rsid w:val="0047703F"/>
    <w:rsid w:val="004776B6"/>
    <w:rsid w:val="0047773A"/>
    <w:rsid w:val="0047776A"/>
    <w:rsid w:val="0048029F"/>
    <w:rsid w:val="0048083B"/>
    <w:rsid w:val="00480E49"/>
    <w:rsid w:val="00481766"/>
    <w:rsid w:val="00481B0F"/>
    <w:rsid w:val="00482922"/>
    <w:rsid w:val="004832E5"/>
    <w:rsid w:val="004836BA"/>
    <w:rsid w:val="00484809"/>
    <w:rsid w:val="00484D47"/>
    <w:rsid w:val="00484D66"/>
    <w:rsid w:val="00485ADE"/>
    <w:rsid w:val="00485D4F"/>
    <w:rsid w:val="00486292"/>
    <w:rsid w:val="004903AA"/>
    <w:rsid w:val="00491072"/>
    <w:rsid w:val="00492196"/>
    <w:rsid w:val="0049378B"/>
    <w:rsid w:val="00493CA0"/>
    <w:rsid w:val="00494271"/>
    <w:rsid w:val="0049537D"/>
    <w:rsid w:val="004954A4"/>
    <w:rsid w:val="0049559F"/>
    <w:rsid w:val="004960A8"/>
    <w:rsid w:val="00496DEE"/>
    <w:rsid w:val="004975B4"/>
    <w:rsid w:val="004A1815"/>
    <w:rsid w:val="004A250B"/>
    <w:rsid w:val="004A34ED"/>
    <w:rsid w:val="004A3558"/>
    <w:rsid w:val="004A496D"/>
    <w:rsid w:val="004A52E4"/>
    <w:rsid w:val="004A58C0"/>
    <w:rsid w:val="004A7021"/>
    <w:rsid w:val="004A777C"/>
    <w:rsid w:val="004A7E51"/>
    <w:rsid w:val="004B0462"/>
    <w:rsid w:val="004B1823"/>
    <w:rsid w:val="004B30A6"/>
    <w:rsid w:val="004B346D"/>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1B5"/>
    <w:rsid w:val="004C1478"/>
    <w:rsid w:val="004C1580"/>
    <w:rsid w:val="004C1D09"/>
    <w:rsid w:val="004C2E4E"/>
    <w:rsid w:val="004C348C"/>
    <w:rsid w:val="004C3D14"/>
    <w:rsid w:val="004C541C"/>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482B"/>
    <w:rsid w:val="00524854"/>
    <w:rsid w:val="00525368"/>
    <w:rsid w:val="005264E9"/>
    <w:rsid w:val="005270AB"/>
    <w:rsid w:val="00527C88"/>
    <w:rsid w:val="00527D53"/>
    <w:rsid w:val="00531F67"/>
    <w:rsid w:val="00532049"/>
    <w:rsid w:val="005345A0"/>
    <w:rsid w:val="0053487F"/>
    <w:rsid w:val="00535B41"/>
    <w:rsid w:val="00535CC5"/>
    <w:rsid w:val="005373A1"/>
    <w:rsid w:val="005406A3"/>
    <w:rsid w:val="00540A3D"/>
    <w:rsid w:val="00541329"/>
    <w:rsid w:val="00543422"/>
    <w:rsid w:val="0054478E"/>
    <w:rsid w:val="00544BC0"/>
    <w:rsid w:val="00544E50"/>
    <w:rsid w:val="0054515D"/>
    <w:rsid w:val="00545492"/>
    <w:rsid w:val="00545F0A"/>
    <w:rsid w:val="00546A5D"/>
    <w:rsid w:val="005471AD"/>
    <w:rsid w:val="00550A5D"/>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A2"/>
    <w:rsid w:val="00572470"/>
    <w:rsid w:val="00572EF3"/>
    <w:rsid w:val="00574645"/>
    <w:rsid w:val="00574FD3"/>
    <w:rsid w:val="005757E1"/>
    <w:rsid w:val="00575B5B"/>
    <w:rsid w:val="005766F7"/>
    <w:rsid w:val="00576BC9"/>
    <w:rsid w:val="00577328"/>
    <w:rsid w:val="0058035B"/>
    <w:rsid w:val="005830C6"/>
    <w:rsid w:val="00583FB7"/>
    <w:rsid w:val="00584693"/>
    <w:rsid w:val="00585411"/>
    <w:rsid w:val="00585F41"/>
    <w:rsid w:val="0058601D"/>
    <w:rsid w:val="005862D1"/>
    <w:rsid w:val="00586A85"/>
    <w:rsid w:val="00586D1F"/>
    <w:rsid w:val="00587D3B"/>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EED"/>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3449"/>
    <w:rsid w:val="005E56A1"/>
    <w:rsid w:val="005E6F7C"/>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71E6"/>
    <w:rsid w:val="0060727A"/>
    <w:rsid w:val="006108AC"/>
    <w:rsid w:val="006113BE"/>
    <w:rsid w:val="00611FE0"/>
    <w:rsid w:val="00613019"/>
    <w:rsid w:val="00613307"/>
    <w:rsid w:val="00613A2E"/>
    <w:rsid w:val="00613C5A"/>
    <w:rsid w:val="006143D7"/>
    <w:rsid w:val="006144FE"/>
    <w:rsid w:val="006149E0"/>
    <w:rsid w:val="00614FA8"/>
    <w:rsid w:val="0061619C"/>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0ECD"/>
    <w:rsid w:val="00642F11"/>
    <w:rsid w:val="006434CB"/>
    <w:rsid w:val="006439C6"/>
    <w:rsid w:val="00644E33"/>
    <w:rsid w:val="00644E78"/>
    <w:rsid w:val="00644F73"/>
    <w:rsid w:val="00644FC0"/>
    <w:rsid w:val="006454BA"/>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361"/>
    <w:rsid w:val="00663640"/>
    <w:rsid w:val="00663E5B"/>
    <w:rsid w:val="00665EE2"/>
    <w:rsid w:val="00666E90"/>
    <w:rsid w:val="0067114C"/>
    <w:rsid w:val="006711B2"/>
    <w:rsid w:val="0067202E"/>
    <w:rsid w:val="006729CA"/>
    <w:rsid w:val="00673A13"/>
    <w:rsid w:val="006758B8"/>
    <w:rsid w:val="00676634"/>
    <w:rsid w:val="00680E97"/>
    <w:rsid w:val="006812F0"/>
    <w:rsid w:val="006813F1"/>
    <w:rsid w:val="00681B0C"/>
    <w:rsid w:val="0068257E"/>
    <w:rsid w:val="006828FB"/>
    <w:rsid w:val="00682E9E"/>
    <w:rsid w:val="00683108"/>
    <w:rsid w:val="00683348"/>
    <w:rsid w:val="006838E5"/>
    <w:rsid w:val="006870FB"/>
    <w:rsid w:val="0068744D"/>
    <w:rsid w:val="0068760E"/>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4B85"/>
    <w:rsid w:val="006B5BE7"/>
    <w:rsid w:val="006B6523"/>
    <w:rsid w:val="006C03AA"/>
    <w:rsid w:val="006C0AB1"/>
    <w:rsid w:val="006C0B18"/>
    <w:rsid w:val="006C36CE"/>
    <w:rsid w:val="006C39A1"/>
    <w:rsid w:val="006C3D05"/>
    <w:rsid w:val="006C40AA"/>
    <w:rsid w:val="006C568C"/>
    <w:rsid w:val="006C5BEC"/>
    <w:rsid w:val="006C5C99"/>
    <w:rsid w:val="006C6448"/>
    <w:rsid w:val="006C75F5"/>
    <w:rsid w:val="006C7E4C"/>
    <w:rsid w:val="006D1030"/>
    <w:rsid w:val="006D1282"/>
    <w:rsid w:val="006D2143"/>
    <w:rsid w:val="006D272A"/>
    <w:rsid w:val="006D42B5"/>
    <w:rsid w:val="006D5E49"/>
    <w:rsid w:val="006D6E63"/>
    <w:rsid w:val="006D74D3"/>
    <w:rsid w:val="006D75A8"/>
    <w:rsid w:val="006D7B1C"/>
    <w:rsid w:val="006E093E"/>
    <w:rsid w:val="006E1492"/>
    <w:rsid w:val="006E38B4"/>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7DC"/>
    <w:rsid w:val="00732CA0"/>
    <w:rsid w:val="00733AF9"/>
    <w:rsid w:val="007342EA"/>
    <w:rsid w:val="00734411"/>
    <w:rsid w:val="00735EB9"/>
    <w:rsid w:val="007360CA"/>
    <w:rsid w:val="00736D48"/>
    <w:rsid w:val="007414DE"/>
    <w:rsid w:val="007414E5"/>
    <w:rsid w:val="00741518"/>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440"/>
    <w:rsid w:val="007604ED"/>
    <w:rsid w:val="007607CD"/>
    <w:rsid w:val="007633BD"/>
    <w:rsid w:val="00764AC7"/>
    <w:rsid w:val="00765FED"/>
    <w:rsid w:val="00766B22"/>
    <w:rsid w:val="00767981"/>
    <w:rsid w:val="00772BA9"/>
    <w:rsid w:val="00773C9F"/>
    <w:rsid w:val="007744F1"/>
    <w:rsid w:val="00775EDD"/>
    <w:rsid w:val="007771C3"/>
    <w:rsid w:val="007815D7"/>
    <w:rsid w:val="007821F1"/>
    <w:rsid w:val="007824F2"/>
    <w:rsid w:val="00782678"/>
    <w:rsid w:val="00782E5C"/>
    <w:rsid w:val="00783C32"/>
    <w:rsid w:val="00783CDE"/>
    <w:rsid w:val="0078682B"/>
    <w:rsid w:val="00786E34"/>
    <w:rsid w:val="007903FD"/>
    <w:rsid w:val="00790FFB"/>
    <w:rsid w:val="00791ADF"/>
    <w:rsid w:val="0079359B"/>
    <w:rsid w:val="00795F26"/>
    <w:rsid w:val="00796F88"/>
    <w:rsid w:val="007A0C70"/>
    <w:rsid w:val="007A1126"/>
    <w:rsid w:val="007A144A"/>
    <w:rsid w:val="007A1670"/>
    <w:rsid w:val="007A18AE"/>
    <w:rsid w:val="007A1AD0"/>
    <w:rsid w:val="007A28C1"/>
    <w:rsid w:val="007A3325"/>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507"/>
    <w:rsid w:val="007C7CC3"/>
    <w:rsid w:val="007C7DFD"/>
    <w:rsid w:val="007D000F"/>
    <w:rsid w:val="007D1895"/>
    <w:rsid w:val="007D199A"/>
    <w:rsid w:val="007D28DC"/>
    <w:rsid w:val="007D2CA3"/>
    <w:rsid w:val="007D2FB0"/>
    <w:rsid w:val="007D3E61"/>
    <w:rsid w:val="007D468D"/>
    <w:rsid w:val="007D4BC0"/>
    <w:rsid w:val="007D51D2"/>
    <w:rsid w:val="007D552F"/>
    <w:rsid w:val="007D5BD2"/>
    <w:rsid w:val="007D5CCA"/>
    <w:rsid w:val="007D5FED"/>
    <w:rsid w:val="007E14EB"/>
    <w:rsid w:val="007E2903"/>
    <w:rsid w:val="007E292B"/>
    <w:rsid w:val="007E303F"/>
    <w:rsid w:val="007E34F9"/>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57FD"/>
    <w:rsid w:val="00806C7B"/>
    <w:rsid w:val="00807BB9"/>
    <w:rsid w:val="00807BE2"/>
    <w:rsid w:val="00811208"/>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2C1D"/>
    <w:rsid w:val="008344B1"/>
    <w:rsid w:val="008364BD"/>
    <w:rsid w:val="0083740A"/>
    <w:rsid w:val="0083749A"/>
    <w:rsid w:val="0083750A"/>
    <w:rsid w:val="00837F39"/>
    <w:rsid w:val="00837F42"/>
    <w:rsid w:val="00841FE8"/>
    <w:rsid w:val="00842202"/>
    <w:rsid w:val="008422B7"/>
    <w:rsid w:val="0084262D"/>
    <w:rsid w:val="00843073"/>
    <w:rsid w:val="00843539"/>
    <w:rsid w:val="0084403C"/>
    <w:rsid w:val="00844417"/>
    <w:rsid w:val="0084496E"/>
    <w:rsid w:val="00844A7D"/>
    <w:rsid w:val="00844AE0"/>
    <w:rsid w:val="008467C3"/>
    <w:rsid w:val="00846BF3"/>
    <w:rsid w:val="00847032"/>
    <w:rsid w:val="008473D5"/>
    <w:rsid w:val="00847C55"/>
    <w:rsid w:val="00850386"/>
    <w:rsid w:val="00850A33"/>
    <w:rsid w:val="0085157E"/>
    <w:rsid w:val="0085190E"/>
    <w:rsid w:val="008520CE"/>
    <w:rsid w:val="008524CF"/>
    <w:rsid w:val="00853C98"/>
    <w:rsid w:val="00853EFC"/>
    <w:rsid w:val="008551FF"/>
    <w:rsid w:val="00855916"/>
    <w:rsid w:val="00856703"/>
    <w:rsid w:val="00856A75"/>
    <w:rsid w:val="00857925"/>
    <w:rsid w:val="0086035F"/>
    <w:rsid w:val="00860855"/>
    <w:rsid w:val="00861C03"/>
    <w:rsid w:val="00864153"/>
    <w:rsid w:val="008642D1"/>
    <w:rsid w:val="00864CD7"/>
    <w:rsid w:val="00865E52"/>
    <w:rsid w:val="00866379"/>
    <w:rsid w:val="0087022D"/>
    <w:rsid w:val="00870AE9"/>
    <w:rsid w:val="00870C14"/>
    <w:rsid w:val="00872669"/>
    <w:rsid w:val="008733E5"/>
    <w:rsid w:val="00874E61"/>
    <w:rsid w:val="00876D70"/>
    <w:rsid w:val="00876E3A"/>
    <w:rsid w:val="00877417"/>
    <w:rsid w:val="00877EFC"/>
    <w:rsid w:val="0088176B"/>
    <w:rsid w:val="00881DD3"/>
    <w:rsid w:val="008834CB"/>
    <w:rsid w:val="008836ED"/>
    <w:rsid w:val="008839C7"/>
    <w:rsid w:val="0088481F"/>
    <w:rsid w:val="00884CC9"/>
    <w:rsid w:val="00885437"/>
    <w:rsid w:val="00890687"/>
    <w:rsid w:val="008910B5"/>
    <w:rsid w:val="00891385"/>
    <w:rsid w:val="008916EF"/>
    <w:rsid w:val="00892E46"/>
    <w:rsid w:val="008933EB"/>
    <w:rsid w:val="00893AEC"/>
    <w:rsid w:val="008941CE"/>
    <w:rsid w:val="00894ABA"/>
    <w:rsid w:val="00894EAB"/>
    <w:rsid w:val="00896B8C"/>
    <w:rsid w:val="00897522"/>
    <w:rsid w:val="008A0589"/>
    <w:rsid w:val="008A0D3F"/>
    <w:rsid w:val="008A155E"/>
    <w:rsid w:val="008A52DB"/>
    <w:rsid w:val="008B0339"/>
    <w:rsid w:val="008B09A0"/>
    <w:rsid w:val="008B3CC4"/>
    <w:rsid w:val="008B4AA4"/>
    <w:rsid w:val="008B507A"/>
    <w:rsid w:val="008B5608"/>
    <w:rsid w:val="008B59D2"/>
    <w:rsid w:val="008B70EB"/>
    <w:rsid w:val="008C0028"/>
    <w:rsid w:val="008C0633"/>
    <w:rsid w:val="008C0F2D"/>
    <w:rsid w:val="008C1158"/>
    <w:rsid w:val="008C1A4D"/>
    <w:rsid w:val="008C22F4"/>
    <w:rsid w:val="008C6CC4"/>
    <w:rsid w:val="008D10CD"/>
    <w:rsid w:val="008D190B"/>
    <w:rsid w:val="008D3B5E"/>
    <w:rsid w:val="008D4066"/>
    <w:rsid w:val="008D5214"/>
    <w:rsid w:val="008D5B39"/>
    <w:rsid w:val="008D63F9"/>
    <w:rsid w:val="008D696D"/>
    <w:rsid w:val="008D7974"/>
    <w:rsid w:val="008D7A85"/>
    <w:rsid w:val="008E267B"/>
    <w:rsid w:val="008E50EE"/>
    <w:rsid w:val="008E5879"/>
    <w:rsid w:val="008F12F2"/>
    <w:rsid w:val="008F15E6"/>
    <w:rsid w:val="008F1BD1"/>
    <w:rsid w:val="008F27A0"/>
    <w:rsid w:val="008F573A"/>
    <w:rsid w:val="008F7244"/>
    <w:rsid w:val="00902A0B"/>
    <w:rsid w:val="009031D1"/>
    <w:rsid w:val="009046F7"/>
    <w:rsid w:val="00905C23"/>
    <w:rsid w:val="00905F95"/>
    <w:rsid w:val="00906B2A"/>
    <w:rsid w:val="009078E4"/>
    <w:rsid w:val="00910919"/>
    <w:rsid w:val="00910DF3"/>
    <w:rsid w:val="009112B6"/>
    <w:rsid w:val="009117B4"/>
    <w:rsid w:val="00912F32"/>
    <w:rsid w:val="0091395E"/>
    <w:rsid w:val="00914544"/>
    <w:rsid w:val="00915213"/>
    <w:rsid w:val="00917405"/>
    <w:rsid w:val="00917E2E"/>
    <w:rsid w:val="009205D0"/>
    <w:rsid w:val="00920624"/>
    <w:rsid w:val="00920632"/>
    <w:rsid w:val="00920FB9"/>
    <w:rsid w:val="00922AA9"/>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FFD"/>
    <w:rsid w:val="00950438"/>
    <w:rsid w:val="009505A8"/>
    <w:rsid w:val="00950A79"/>
    <w:rsid w:val="00950E17"/>
    <w:rsid w:val="00950EA2"/>
    <w:rsid w:val="00953B2C"/>
    <w:rsid w:val="00955A3C"/>
    <w:rsid w:val="00955CD4"/>
    <w:rsid w:val="00955F16"/>
    <w:rsid w:val="0095661E"/>
    <w:rsid w:val="0096095A"/>
    <w:rsid w:val="00960BED"/>
    <w:rsid w:val="00960CF9"/>
    <w:rsid w:val="00961629"/>
    <w:rsid w:val="00961750"/>
    <w:rsid w:val="00961DCC"/>
    <w:rsid w:val="00961DE7"/>
    <w:rsid w:val="00963145"/>
    <w:rsid w:val="0096383D"/>
    <w:rsid w:val="00964738"/>
    <w:rsid w:val="0096786D"/>
    <w:rsid w:val="00972443"/>
    <w:rsid w:val="00974659"/>
    <w:rsid w:val="00974B1C"/>
    <w:rsid w:val="00975E20"/>
    <w:rsid w:val="00976358"/>
    <w:rsid w:val="00976621"/>
    <w:rsid w:val="00976F1B"/>
    <w:rsid w:val="00977091"/>
    <w:rsid w:val="00982F54"/>
    <w:rsid w:val="009842CD"/>
    <w:rsid w:val="0098431C"/>
    <w:rsid w:val="00984CEC"/>
    <w:rsid w:val="009857A2"/>
    <w:rsid w:val="00985A8B"/>
    <w:rsid w:val="00985D3C"/>
    <w:rsid w:val="00985F7B"/>
    <w:rsid w:val="00987F44"/>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564"/>
    <w:rsid w:val="009B482B"/>
    <w:rsid w:val="009B5293"/>
    <w:rsid w:val="009B798F"/>
    <w:rsid w:val="009C07D6"/>
    <w:rsid w:val="009C09C7"/>
    <w:rsid w:val="009C0F8D"/>
    <w:rsid w:val="009C147B"/>
    <w:rsid w:val="009C17AA"/>
    <w:rsid w:val="009C1A38"/>
    <w:rsid w:val="009C202F"/>
    <w:rsid w:val="009C300D"/>
    <w:rsid w:val="009C3412"/>
    <w:rsid w:val="009C38D7"/>
    <w:rsid w:val="009C3900"/>
    <w:rsid w:val="009C4308"/>
    <w:rsid w:val="009C46AB"/>
    <w:rsid w:val="009C599B"/>
    <w:rsid w:val="009C59E4"/>
    <w:rsid w:val="009C5C11"/>
    <w:rsid w:val="009C7B8A"/>
    <w:rsid w:val="009D000A"/>
    <w:rsid w:val="009D142B"/>
    <w:rsid w:val="009D205F"/>
    <w:rsid w:val="009D3D83"/>
    <w:rsid w:val="009D3DBD"/>
    <w:rsid w:val="009D51AC"/>
    <w:rsid w:val="009D5A52"/>
    <w:rsid w:val="009D5D44"/>
    <w:rsid w:val="009D6014"/>
    <w:rsid w:val="009D6361"/>
    <w:rsid w:val="009D63C6"/>
    <w:rsid w:val="009E0D00"/>
    <w:rsid w:val="009E1699"/>
    <w:rsid w:val="009E355A"/>
    <w:rsid w:val="009E41E3"/>
    <w:rsid w:val="009E56D5"/>
    <w:rsid w:val="009E7397"/>
    <w:rsid w:val="009F1EEF"/>
    <w:rsid w:val="009F380F"/>
    <w:rsid w:val="009F4AD9"/>
    <w:rsid w:val="009F59B6"/>
    <w:rsid w:val="009F5EDC"/>
    <w:rsid w:val="00A0284F"/>
    <w:rsid w:val="00A0313E"/>
    <w:rsid w:val="00A03541"/>
    <w:rsid w:val="00A03908"/>
    <w:rsid w:val="00A03CC5"/>
    <w:rsid w:val="00A03F54"/>
    <w:rsid w:val="00A04A13"/>
    <w:rsid w:val="00A05217"/>
    <w:rsid w:val="00A05C2C"/>
    <w:rsid w:val="00A05C96"/>
    <w:rsid w:val="00A06D47"/>
    <w:rsid w:val="00A07416"/>
    <w:rsid w:val="00A11E23"/>
    <w:rsid w:val="00A129CB"/>
    <w:rsid w:val="00A12BC5"/>
    <w:rsid w:val="00A12CA4"/>
    <w:rsid w:val="00A13B8C"/>
    <w:rsid w:val="00A13F53"/>
    <w:rsid w:val="00A14F76"/>
    <w:rsid w:val="00A155CD"/>
    <w:rsid w:val="00A165EB"/>
    <w:rsid w:val="00A16D29"/>
    <w:rsid w:val="00A17B40"/>
    <w:rsid w:val="00A207F7"/>
    <w:rsid w:val="00A2135E"/>
    <w:rsid w:val="00A217DF"/>
    <w:rsid w:val="00A21999"/>
    <w:rsid w:val="00A21FF5"/>
    <w:rsid w:val="00A23B8A"/>
    <w:rsid w:val="00A242C4"/>
    <w:rsid w:val="00A24D20"/>
    <w:rsid w:val="00A254FD"/>
    <w:rsid w:val="00A25524"/>
    <w:rsid w:val="00A25FF3"/>
    <w:rsid w:val="00A263B3"/>
    <w:rsid w:val="00A26AE2"/>
    <w:rsid w:val="00A26F65"/>
    <w:rsid w:val="00A27F42"/>
    <w:rsid w:val="00A31D9F"/>
    <w:rsid w:val="00A3358A"/>
    <w:rsid w:val="00A34A78"/>
    <w:rsid w:val="00A3551B"/>
    <w:rsid w:val="00A35BB1"/>
    <w:rsid w:val="00A373C9"/>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739"/>
    <w:rsid w:val="00A47937"/>
    <w:rsid w:val="00A512CF"/>
    <w:rsid w:val="00A51D10"/>
    <w:rsid w:val="00A5367C"/>
    <w:rsid w:val="00A5369C"/>
    <w:rsid w:val="00A543CB"/>
    <w:rsid w:val="00A553C9"/>
    <w:rsid w:val="00A55E4C"/>
    <w:rsid w:val="00A564EC"/>
    <w:rsid w:val="00A6013C"/>
    <w:rsid w:val="00A60CC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08C"/>
    <w:rsid w:val="00A83251"/>
    <w:rsid w:val="00A83563"/>
    <w:rsid w:val="00A83B40"/>
    <w:rsid w:val="00A83B7E"/>
    <w:rsid w:val="00A84440"/>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2FDB"/>
    <w:rsid w:val="00AA4A31"/>
    <w:rsid w:val="00AA6968"/>
    <w:rsid w:val="00AA7D5E"/>
    <w:rsid w:val="00AB0274"/>
    <w:rsid w:val="00AB0682"/>
    <w:rsid w:val="00AB0DF9"/>
    <w:rsid w:val="00AB12F2"/>
    <w:rsid w:val="00AB21C3"/>
    <w:rsid w:val="00AB2856"/>
    <w:rsid w:val="00AB31EC"/>
    <w:rsid w:val="00AB35C9"/>
    <w:rsid w:val="00AB3B35"/>
    <w:rsid w:val="00AB42FD"/>
    <w:rsid w:val="00AB4449"/>
    <w:rsid w:val="00AB5553"/>
    <w:rsid w:val="00AB624D"/>
    <w:rsid w:val="00AB65A6"/>
    <w:rsid w:val="00AB6745"/>
    <w:rsid w:val="00AC0117"/>
    <w:rsid w:val="00AC0633"/>
    <w:rsid w:val="00AC2953"/>
    <w:rsid w:val="00AC3590"/>
    <w:rsid w:val="00AC3591"/>
    <w:rsid w:val="00AC426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0BC"/>
    <w:rsid w:val="00AF015E"/>
    <w:rsid w:val="00AF0C6E"/>
    <w:rsid w:val="00AF152A"/>
    <w:rsid w:val="00AF22EF"/>
    <w:rsid w:val="00AF3859"/>
    <w:rsid w:val="00AF426E"/>
    <w:rsid w:val="00AF6334"/>
    <w:rsid w:val="00AF64C9"/>
    <w:rsid w:val="00AF7111"/>
    <w:rsid w:val="00AF714C"/>
    <w:rsid w:val="00B000C1"/>
    <w:rsid w:val="00B008BD"/>
    <w:rsid w:val="00B012C2"/>
    <w:rsid w:val="00B02173"/>
    <w:rsid w:val="00B025B3"/>
    <w:rsid w:val="00B02C12"/>
    <w:rsid w:val="00B02E41"/>
    <w:rsid w:val="00B032C2"/>
    <w:rsid w:val="00B03A2C"/>
    <w:rsid w:val="00B03CE4"/>
    <w:rsid w:val="00B04543"/>
    <w:rsid w:val="00B04876"/>
    <w:rsid w:val="00B04878"/>
    <w:rsid w:val="00B05123"/>
    <w:rsid w:val="00B052C6"/>
    <w:rsid w:val="00B055F6"/>
    <w:rsid w:val="00B0682A"/>
    <w:rsid w:val="00B06BAA"/>
    <w:rsid w:val="00B0756E"/>
    <w:rsid w:val="00B0797B"/>
    <w:rsid w:val="00B109CF"/>
    <w:rsid w:val="00B1188C"/>
    <w:rsid w:val="00B11B36"/>
    <w:rsid w:val="00B12827"/>
    <w:rsid w:val="00B14491"/>
    <w:rsid w:val="00B14710"/>
    <w:rsid w:val="00B14A65"/>
    <w:rsid w:val="00B15ACB"/>
    <w:rsid w:val="00B15DAF"/>
    <w:rsid w:val="00B167D6"/>
    <w:rsid w:val="00B17324"/>
    <w:rsid w:val="00B2039D"/>
    <w:rsid w:val="00B20B41"/>
    <w:rsid w:val="00B20FD2"/>
    <w:rsid w:val="00B21A7E"/>
    <w:rsid w:val="00B23D3F"/>
    <w:rsid w:val="00B241CF"/>
    <w:rsid w:val="00B24C18"/>
    <w:rsid w:val="00B250BE"/>
    <w:rsid w:val="00B2551C"/>
    <w:rsid w:val="00B260BC"/>
    <w:rsid w:val="00B269F2"/>
    <w:rsid w:val="00B270C6"/>
    <w:rsid w:val="00B27855"/>
    <w:rsid w:val="00B27E98"/>
    <w:rsid w:val="00B30398"/>
    <w:rsid w:val="00B31075"/>
    <w:rsid w:val="00B3200A"/>
    <w:rsid w:val="00B32055"/>
    <w:rsid w:val="00B32886"/>
    <w:rsid w:val="00B33265"/>
    <w:rsid w:val="00B333C1"/>
    <w:rsid w:val="00B338B7"/>
    <w:rsid w:val="00B3588B"/>
    <w:rsid w:val="00B3631D"/>
    <w:rsid w:val="00B36669"/>
    <w:rsid w:val="00B3752C"/>
    <w:rsid w:val="00B37F1F"/>
    <w:rsid w:val="00B40EDE"/>
    <w:rsid w:val="00B421F6"/>
    <w:rsid w:val="00B422DC"/>
    <w:rsid w:val="00B43798"/>
    <w:rsid w:val="00B43DD4"/>
    <w:rsid w:val="00B45020"/>
    <w:rsid w:val="00B46698"/>
    <w:rsid w:val="00B46AD9"/>
    <w:rsid w:val="00B4740A"/>
    <w:rsid w:val="00B47A82"/>
    <w:rsid w:val="00B505C8"/>
    <w:rsid w:val="00B50D3C"/>
    <w:rsid w:val="00B50DDB"/>
    <w:rsid w:val="00B5138C"/>
    <w:rsid w:val="00B51549"/>
    <w:rsid w:val="00B51AE5"/>
    <w:rsid w:val="00B51D5E"/>
    <w:rsid w:val="00B52237"/>
    <w:rsid w:val="00B53F2F"/>
    <w:rsid w:val="00B550A2"/>
    <w:rsid w:val="00B56878"/>
    <w:rsid w:val="00B569FA"/>
    <w:rsid w:val="00B57D49"/>
    <w:rsid w:val="00B57E6D"/>
    <w:rsid w:val="00B61747"/>
    <w:rsid w:val="00B62E97"/>
    <w:rsid w:val="00B635A5"/>
    <w:rsid w:val="00B640DC"/>
    <w:rsid w:val="00B6522E"/>
    <w:rsid w:val="00B70176"/>
    <w:rsid w:val="00B710B5"/>
    <w:rsid w:val="00B7244D"/>
    <w:rsid w:val="00B729FE"/>
    <w:rsid w:val="00B7339D"/>
    <w:rsid w:val="00B736A1"/>
    <w:rsid w:val="00B7370A"/>
    <w:rsid w:val="00B738F6"/>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016"/>
    <w:rsid w:val="00BA1226"/>
    <w:rsid w:val="00BA16EE"/>
    <w:rsid w:val="00BA2231"/>
    <w:rsid w:val="00BA3AD1"/>
    <w:rsid w:val="00BA3BA6"/>
    <w:rsid w:val="00BA48F9"/>
    <w:rsid w:val="00BA5652"/>
    <w:rsid w:val="00BA58DF"/>
    <w:rsid w:val="00BA62CD"/>
    <w:rsid w:val="00BA64A2"/>
    <w:rsid w:val="00BB1B0D"/>
    <w:rsid w:val="00BB2320"/>
    <w:rsid w:val="00BB2C5F"/>
    <w:rsid w:val="00BB40BD"/>
    <w:rsid w:val="00BB41CF"/>
    <w:rsid w:val="00BB6A57"/>
    <w:rsid w:val="00BB7238"/>
    <w:rsid w:val="00BC08AE"/>
    <w:rsid w:val="00BC0B15"/>
    <w:rsid w:val="00BC3175"/>
    <w:rsid w:val="00BC3651"/>
    <w:rsid w:val="00BC3F96"/>
    <w:rsid w:val="00BC43CA"/>
    <w:rsid w:val="00BC48FE"/>
    <w:rsid w:val="00BC5530"/>
    <w:rsid w:val="00BC65AF"/>
    <w:rsid w:val="00BC745A"/>
    <w:rsid w:val="00BC74E1"/>
    <w:rsid w:val="00BD04A8"/>
    <w:rsid w:val="00BD20A2"/>
    <w:rsid w:val="00BD35BB"/>
    <w:rsid w:val="00BD3DDD"/>
    <w:rsid w:val="00BD4EAF"/>
    <w:rsid w:val="00BD4F55"/>
    <w:rsid w:val="00BD5279"/>
    <w:rsid w:val="00BD5E04"/>
    <w:rsid w:val="00BD79B7"/>
    <w:rsid w:val="00BE01FE"/>
    <w:rsid w:val="00BE33D2"/>
    <w:rsid w:val="00BE3B61"/>
    <w:rsid w:val="00BE46A1"/>
    <w:rsid w:val="00BE68A2"/>
    <w:rsid w:val="00BF0FD9"/>
    <w:rsid w:val="00BF262E"/>
    <w:rsid w:val="00BF2C16"/>
    <w:rsid w:val="00BF43AF"/>
    <w:rsid w:val="00BF5709"/>
    <w:rsid w:val="00BF5C38"/>
    <w:rsid w:val="00BF5FE4"/>
    <w:rsid w:val="00BF67A2"/>
    <w:rsid w:val="00BF7194"/>
    <w:rsid w:val="00C0088D"/>
    <w:rsid w:val="00C0146E"/>
    <w:rsid w:val="00C04CA0"/>
    <w:rsid w:val="00C04CE6"/>
    <w:rsid w:val="00C05A9B"/>
    <w:rsid w:val="00C0729A"/>
    <w:rsid w:val="00C076CC"/>
    <w:rsid w:val="00C07743"/>
    <w:rsid w:val="00C106B5"/>
    <w:rsid w:val="00C10AF2"/>
    <w:rsid w:val="00C10CEF"/>
    <w:rsid w:val="00C10F2C"/>
    <w:rsid w:val="00C1103B"/>
    <w:rsid w:val="00C12F4A"/>
    <w:rsid w:val="00C13A8B"/>
    <w:rsid w:val="00C13CCF"/>
    <w:rsid w:val="00C13F2D"/>
    <w:rsid w:val="00C157FC"/>
    <w:rsid w:val="00C15BDE"/>
    <w:rsid w:val="00C15F91"/>
    <w:rsid w:val="00C202B9"/>
    <w:rsid w:val="00C2051B"/>
    <w:rsid w:val="00C20633"/>
    <w:rsid w:val="00C20E2B"/>
    <w:rsid w:val="00C21529"/>
    <w:rsid w:val="00C22517"/>
    <w:rsid w:val="00C2332F"/>
    <w:rsid w:val="00C236CF"/>
    <w:rsid w:val="00C23B71"/>
    <w:rsid w:val="00C2644A"/>
    <w:rsid w:val="00C270FA"/>
    <w:rsid w:val="00C272F5"/>
    <w:rsid w:val="00C311A4"/>
    <w:rsid w:val="00C314AD"/>
    <w:rsid w:val="00C319C5"/>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6442"/>
    <w:rsid w:val="00C47BF8"/>
    <w:rsid w:val="00C500B5"/>
    <w:rsid w:val="00C50988"/>
    <w:rsid w:val="00C54581"/>
    <w:rsid w:val="00C54953"/>
    <w:rsid w:val="00C55C43"/>
    <w:rsid w:val="00C55CDD"/>
    <w:rsid w:val="00C56114"/>
    <w:rsid w:val="00C577FA"/>
    <w:rsid w:val="00C57A7A"/>
    <w:rsid w:val="00C62FB6"/>
    <w:rsid w:val="00C63A6B"/>
    <w:rsid w:val="00C6420C"/>
    <w:rsid w:val="00C64C09"/>
    <w:rsid w:val="00C64CCC"/>
    <w:rsid w:val="00C65198"/>
    <w:rsid w:val="00C6574C"/>
    <w:rsid w:val="00C65A7B"/>
    <w:rsid w:val="00C6670B"/>
    <w:rsid w:val="00C66CA5"/>
    <w:rsid w:val="00C67746"/>
    <w:rsid w:val="00C707DE"/>
    <w:rsid w:val="00C70945"/>
    <w:rsid w:val="00C70C7A"/>
    <w:rsid w:val="00C71C09"/>
    <w:rsid w:val="00C71CD9"/>
    <w:rsid w:val="00C71DC1"/>
    <w:rsid w:val="00C73664"/>
    <w:rsid w:val="00C741B0"/>
    <w:rsid w:val="00C745AF"/>
    <w:rsid w:val="00C77301"/>
    <w:rsid w:val="00C774E0"/>
    <w:rsid w:val="00C7766F"/>
    <w:rsid w:val="00C77A7C"/>
    <w:rsid w:val="00C81D99"/>
    <w:rsid w:val="00C826BB"/>
    <w:rsid w:val="00C84029"/>
    <w:rsid w:val="00C84435"/>
    <w:rsid w:val="00C84EE3"/>
    <w:rsid w:val="00C85193"/>
    <w:rsid w:val="00C86FEC"/>
    <w:rsid w:val="00C93DAF"/>
    <w:rsid w:val="00C9446D"/>
    <w:rsid w:val="00C944EE"/>
    <w:rsid w:val="00C94859"/>
    <w:rsid w:val="00C94F1B"/>
    <w:rsid w:val="00C9542B"/>
    <w:rsid w:val="00C95706"/>
    <w:rsid w:val="00C9625C"/>
    <w:rsid w:val="00C9675D"/>
    <w:rsid w:val="00C96C4D"/>
    <w:rsid w:val="00C97E57"/>
    <w:rsid w:val="00C97F0C"/>
    <w:rsid w:val="00CA0A87"/>
    <w:rsid w:val="00CA1993"/>
    <w:rsid w:val="00CA1A88"/>
    <w:rsid w:val="00CA292D"/>
    <w:rsid w:val="00CA2A42"/>
    <w:rsid w:val="00CA2FB6"/>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812"/>
    <w:rsid w:val="00CB768D"/>
    <w:rsid w:val="00CB7E3A"/>
    <w:rsid w:val="00CC02C9"/>
    <w:rsid w:val="00CC4F6F"/>
    <w:rsid w:val="00CC600E"/>
    <w:rsid w:val="00CC687C"/>
    <w:rsid w:val="00CC7713"/>
    <w:rsid w:val="00CC7772"/>
    <w:rsid w:val="00CC7D35"/>
    <w:rsid w:val="00CD040A"/>
    <w:rsid w:val="00CD2392"/>
    <w:rsid w:val="00CD255F"/>
    <w:rsid w:val="00CD296D"/>
    <w:rsid w:val="00CD4DA0"/>
    <w:rsid w:val="00CD4E5B"/>
    <w:rsid w:val="00CD50ED"/>
    <w:rsid w:val="00CD56FA"/>
    <w:rsid w:val="00CD60D7"/>
    <w:rsid w:val="00CE1398"/>
    <w:rsid w:val="00CE1A20"/>
    <w:rsid w:val="00CE1D87"/>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1EBB"/>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4DAD"/>
    <w:rsid w:val="00D35829"/>
    <w:rsid w:val="00D35FE2"/>
    <w:rsid w:val="00D414C8"/>
    <w:rsid w:val="00D42E3B"/>
    <w:rsid w:val="00D43E1F"/>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68CF"/>
    <w:rsid w:val="00D67005"/>
    <w:rsid w:val="00D67DF7"/>
    <w:rsid w:val="00D703CE"/>
    <w:rsid w:val="00D70552"/>
    <w:rsid w:val="00D70FE0"/>
    <w:rsid w:val="00D711B6"/>
    <w:rsid w:val="00D71DC2"/>
    <w:rsid w:val="00D720FE"/>
    <w:rsid w:val="00D728C4"/>
    <w:rsid w:val="00D73235"/>
    <w:rsid w:val="00D734F0"/>
    <w:rsid w:val="00D7398D"/>
    <w:rsid w:val="00D75057"/>
    <w:rsid w:val="00D75DA9"/>
    <w:rsid w:val="00D7737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30DF"/>
    <w:rsid w:val="00D932D8"/>
    <w:rsid w:val="00D96109"/>
    <w:rsid w:val="00D96127"/>
    <w:rsid w:val="00D978D5"/>
    <w:rsid w:val="00DA0205"/>
    <w:rsid w:val="00DA1D27"/>
    <w:rsid w:val="00DA41C3"/>
    <w:rsid w:val="00DA6983"/>
    <w:rsid w:val="00DA774A"/>
    <w:rsid w:val="00DA7DA4"/>
    <w:rsid w:val="00DB0A96"/>
    <w:rsid w:val="00DB0B5C"/>
    <w:rsid w:val="00DB0E24"/>
    <w:rsid w:val="00DB17B8"/>
    <w:rsid w:val="00DB25DD"/>
    <w:rsid w:val="00DB494A"/>
    <w:rsid w:val="00DB5877"/>
    <w:rsid w:val="00DB5D9D"/>
    <w:rsid w:val="00DB5F6D"/>
    <w:rsid w:val="00DB6E83"/>
    <w:rsid w:val="00DC083B"/>
    <w:rsid w:val="00DC14DF"/>
    <w:rsid w:val="00DC15F4"/>
    <w:rsid w:val="00DC1F0C"/>
    <w:rsid w:val="00DC20E2"/>
    <w:rsid w:val="00DC22F8"/>
    <w:rsid w:val="00DC2ADD"/>
    <w:rsid w:val="00DC3389"/>
    <w:rsid w:val="00DC37B3"/>
    <w:rsid w:val="00DC3C43"/>
    <w:rsid w:val="00DC3E1F"/>
    <w:rsid w:val="00DC529B"/>
    <w:rsid w:val="00DC5C67"/>
    <w:rsid w:val="00DC6940"/>
    <w:rsid w:val="00DC7354"/>
    <w:rsid w:val="00DD18CA"/>
    <w:rsid w:val="00DD5D42"/>
    <w:rsid w:val="00DD6095"/>
    <w:rsid w:val="00DD6678"/>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7CE"/>
    <w:rsid w:val="00DF383B"/>
    <w:rsid w:val="00DF3FDB"/>
    <w:rsid w:val="00DF40B6"/>
    <w:rsid w:val="00DF60B0"/>
    <w:rsid w:val="00DF6FB2"/>
    <w:rsid w:val="00E004C9"/>
    <w:rsid w:val="00E0169C"/>
    <w:rsid w:val="00E024FB"/>
    <w:rsid w:val="00E02B6E"/>
    <w:rsid w:val="00E02C97"/>
    <w:rsid w:val="00E03CD3"/>
    <w:rsid w:val="00E04711"/>
    <w:rsid w:val="00E04740"/>
    <w:rsid w:val="00E04C67"/>
    <w:rsid w:val="00E04EE3"/>
    <w:rsid w:val="00E100F8"/>
    <w:rsid w:val="00E10B39"/>
    <w:rsid w:val="00E10E7E"/>
    <w:rsid w:val="00E11D0B"/>
    <w:rsid w:val="00E12AD3"/>
    <w:rsid w:val="00E13A14"/>
    <w:rsid w:val="00E16381"/>
    <w:rsid w:val="00E1750B"/>
    <w:rsid w:val="00E21036"/>
    <w:rsid w:val="00E21AB0"/>
    <w:rsid w:val="00E22014"/>
    <w:rsid w:val="00E22BCD"/>
    <w:rsid w:val="00E25DA1"/>
    <w:rsid w:val="00E2605A"/>
    <w:rsid w:val="00E26393"/>
    <w:rsid w:val="00E26492"/>
    <w:rsid w:val="00E273B1"/>
    <w:rsid w:val="00E30313"/>
    <w:rsid w:val="00E30895"/>
    <w:rsid w:val="00E30BA0"/>
    <w:rsid w:val="00E30DF3"/>
    <w:rsid w:val="00E327ED"/>
    <w:rsid w:val="00E32994"/>
    <w:rsid w:val="00E34772"/>
    <w:rsid w:val="00E357D0"/>
    <w:rsid w:val="00E35866"/>
    <w:rsid w:val="00E35B4C"/>
    <w:rsid w:val="00E35C40"/>
    <w:rsid w:val="00E35FBD"/>
    <w:rsid w:val="00E36513"/>
    <w:rsid w:val="00E3692A"/>
    <w:rsid w:val="00E40AA9"/>
    <w:rsid w:val="00E41969"/>
    <w:rsid w:val="00E425DA"/>
    <w:rsid w:val="00E42F0A"/>
    <w:rsid w:val="00E43300"/>
    <w:rsid w:val="00E45074"/>
    <w:rsid w:val="00E457DA"/>
    <w:rsid w:val="00E458D9"/>
    <w:rsid w:val="00E50222"/>
    <w:rsid w:val="00E50ADD"/>
    <w:rsid w:val="00E511E7"/>
    <w:rsid w:val="00E52000"/>
    <w:rsid w:val="00E532AF"/>
    <w:rsid w:val="00E54380"/>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B62"/>
    <w:rsid w:val="00E724E1"/>
    <w:rsid w:val="00E73BA5"/>
    <w:rsid w:val="00E74B53"/>
    <w:rsid w:val="00E76211"/>
    <w:rsid w:val="00E7692C"/>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1FD"/>
    <w:rsid w:val="00E938C2"/>
    <w:rsid w:val="00E943C5"/>
    <w:rsid w:val="00E94975"/>
    <w:rsid w:val="00E9513F"/>
    <w:rsid w:val="00E9566B"/>
    <w:rsid w:val="00E9644B"/>
    <w:rsid w:val="00EA00B4"/>
    <w:rsid w:val="00EA485D"/>
    <w:rsid w:val="00EA4D23"/>
    <w:rsid w:val="00EA4F1C"/>
    <w:rsid w:val="00EA5415"/>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1DD1"/>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911"/>
    <w:rsid w:val="00F26AD2"/>
    <w:rsid w:val="00F279B7"/>
    <w:rsid w:val="00F31D27"/>
    <w:rsid w:val="00F33C3B"/>
    <w:rsid w:val="00F364C4"/>
    <w:rsid w:val="00F36BFA"/>
    <w:rsid w:val="00F36E2B"/>
    <w:rsid w:val="00F40839"/>
    <w:rsid w:val="00F40A79"/>
    <w:rsid w:val="00F40BD2"/>
    <w:rsid w:val="00F41115"/>
    <w:rsid w:val="00F41D11"/>
    <w:rsid w:val="00F44905"/>
    <w:rsid w:val="00F4490F"/>
    <w:rsid w:val="00F44DCF"/>
    <w:rsid w:val="00F45C2E"/>
    <w:rsid w:val="00F46537"/>
    <w:rsid w:val="00F46A31"/>
    <w:rsid w:val="00F51D03"/>
    <w:rsid w:val="00F523E8"/>
    <w:rsid w:val="00F52BF6"/>
    <w:rsid w:val="00F5309E"/>
    <w:rsid w:val="00F53F78"/>
    <w:rsid w:val="00F5487E"/>
    <w:rsid w:val="00F549F1"/>
    <w:rsid w:val="00F55E10"/>
    <w:rsid w:val="00F56907"/>
    <w:rsid w:val="00F56B74"/>
    <w:rsid w:val="00F574B1"/>
    <w:rsid w:val="00F57C16"/>
    <w:rsid w:val="00F6078E"/>
    <w:rsid w:val="00F620DD"/>
    <w:rsid w:val="00F62FE4"/>
    <w:rsid w:val="00F63875"/>
    <w:rsid w:val="00F6575C"/>
    <w:rsid w:val="00F663C1"/>
    <w:rsid w:val="00F66C5C"/>
    <w:rsid w:val="00F67699"/>
    <w:rsid w:val="00F7019E"/>
    <w:rsid w:val="00F71229"/>
    <w:rsid w:val="00F7284C"/>
    <w:rsid w:val="00F75178"/>
    <w:rsid w:val="00F76136"/>
    <w:rsid w:val="00F77CBC"/>
    <w:rsid w:val="00F815B6"/>
    <w:rsid w:val="00F837F0"/>
    <w:rsid w:val="00F84554"/>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4E7B"/>
    <w:rsid w:val="00FA59DC"/>
    <w:rsid w:val="00FA5F99"/>
    <w:rsid w:val="00FA6AA8"/>
    <w:rsid w:val="00FA7C64"/>
    <w:rsid w:val="00FB1366"/>
    <w:rsid w:val="00FB1DA7"/>
    <w:rsid w:val="00FB1E7C"/>
    <w:rsid w:val="00FB2BA7"/>
    <w:rsid w:val="00FB5795"/>
    <w:rsid w:val="00FB5BEE"/>
    <w:rsid w:val="00FB7D22"/>
    <w:rsid w:val="00FC0390"/>
    <w:rsid w:val="00FC1CF1"/>
    <w:rsid w:val="00FC1EF5"/>
    <w:rsid w:val="00FC3916"/>
    <w:rsid w:val="00FC3EAA"/>
    <w:rsid w:val="00FC4660"/>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028"/>
    <w:rsid w:val="00FE38DC"/>
    <w:rsid w:val="00FE6083"/>
    <w:rsid w:val="00FE781E"/>
    <w:rsid w:val="00FF11A5"/>
    <w:rsid w:val="00FF4CFE"/>
    <w:rsid w:val="00FF4E3B"/>
    <w:rsid w:val="00FF5DCD"/>
    <w:rsid w:val="014A2300"/>
    <w:rsid w:val="014A752E"/>
    <w:rsid w:val="01552358"/>
    <w:rsid w:val="01AE2741"/>
    <w:rsid w:val="01B43697"/>
    <w:rsid w:val="01C759C5"/>
    <w:rsid w:val="01CF485B"/>
    <w:rsid w:val="01E16A27"/>
    <w:rsid w:val="026F1BE5"/>
    <w:rsid w:val="02767157"/>
    <w:rsid w:val="027C2116"/>
    <w:rsid w:val="028B383B"/>
    <w:rsid w:val="029063F9"/>
    <w:rsid w:val="0297496C"/>
    <w:rsid w:val="02BF4727"/>
    <w:rsid w:val="03261BB7"/>
    <w:rsid w:val="033F194C"/>
    <w:rsid w:val="03587E9C"/>
    <w:rsid w:val="03795DEE"/>
    <w:rsid w:val="03C031BE"/>
    <w:rsid w:val="03C76875"/>
    <w:rsid w:val="03CA6095"/>
    <w:rsid w:val="03DB6583"/>
    <w:rsid w:val="04012347"/>
    <w:rsid w:val="043D57F5"/>
    <w:rsid w:val="04663D58"/>
    <w:rsid w:val="046C67BE"/>
    <w:rsid w:val="047C71AE"/>
    <w:rsid w:val="047F7DB3"/>
    <w:rsid w:val="04A77498"/>
    <w:rsid w:val="04AC35B9"/>
    <w:rsid w:val="04BC386B"/>
    <w:rsid w:val="04E73165"/>
    <w:rsid w:val="04EA0654"/>
    <w:rsid w:val="05092798"/>
    <w:rsid w:val="050F208C"/>
    <w:rsid w:val="0550336F"/>
    <w:rsid w:val="0562120F"/>
    <w:rsid w:val="059D4A76"/>
    <w:rsid w:val="05B67ECF"/>
    <w:rsid w:val="05B705E8"/>
    <w:rsid w:val="05D21940"/>
    <w:rsid w:val="05DF58DF"/>
    <w:rsid w:val="0622316F"/>
    <w:rsid w:val="06234E0B"/>
    <w:rsid w:val="068C365A"/>
    <w:rsid w:val="0699045D"/>
    <w:rsid w:val="06A364D0"/>
    <w:rsid w:val="06A52457"/>
    <w:rsid w:val="06BF4A2A"/>
    <w:rsid w:val="073E238E"/>
    <w:rsid w:val="07770A55"/>
    <w:rsid w:val="079052BA"/>
    <w:rsid w:val="07996AA3"/>
    <w:rsid w:val="07B92CA2"/>
    <w:rsid w:val="07D73443"/>
    <w:rsid w:val="080F6937"/>
    <w:rsid w:val="0817739A"/>
    <w:rsid w:val="083065C9"/>
    <w:rsid w:val="084B3A43"/>
    <w:rsid w:val="0898555E"/>
    <w:rsid w:val="089A1126"/>
    <w:rsid w:val="08AA3203"/>
    <w:rsid w:val="091C760F"/>
    <w:rsid w:val="093268A2"/>
    <w:rsid w:val="093B2A1B"/>
    <w:rsid w:val="09715E82"/>
    <w:rsid w:val="09E172B1"/>
    <w:rsid w:val="0A2027B8"/>
    <w:rsid w:val="0A8945A3"/>
    <w:rsid w:val="0ACF3355"/>
    <w:rsid w:val="0B00627E"/>
    <w:rsid w:val="0B055582"/>
    <w:rsid w:val="0B0E05BA"/>
    <w:rsid w:val="0B165B2D"/>
    <w:rsid w:val="0B3811FC"/>
    <w:rsid w:val="0B6304D2"/>
    <w:rsid w:val="0B9F1513"/>
    <w:rsid w:val="0BA8085E"/>
    <w:rsid w:val="0BDF0443"/>
    <w:rsid w:val="0BE643D6"/>
    <w:rsid w:val="0C00171E"/>
    <w:rsid w:val="0C492E5E"/>
    <w:rsid w:val="0C6D30F8"/>
    <w:rsid w:val="0C9822D7"/>
    <w:rsid w:val="0CA72BED"/>
    <w:rsid w:val="0CAF6C7D"/>
    <w:rsid w:val="0CBE1219"/>
    <w:rsid w:val="0CC44A71"/>
    <w:rsid w:val="0CDD5AC5"/>
    <w:rsid w:val="0D0453E1"/>
    <w:rsid w:val="0D3660F0"/>
    <w:rsid w:val="0D8042AF"/>
    <w:rsid w:val="0D843340"/>
    <w:rsid w:val="0D88040D"/>
    <w:rsid w:val="0DA678C6"/>
    <w:rsid w:val="0DBF1C4B"/>
    <w:rsid w:val="0E133442"/>
    <w:rsid w:val="0E462C8F"/>
    <w:rsid w:val="0E4815C8"/>
    <w:rsid w:val="0E5C7718"/>
    <w:rsid w:val="0E627C0D"/>
    <w:rsid w:val="0E834F3A"/>
    <w:rsid w:val="0E9B3DEB"/>
    <w:rsid w:val="0EB46560"/>
    <w:rsid w:val="0EC1062A"/>
    <w:rsid w:val="0F0B2E6C"/>
    <w:rsid w:val="0F1C0E68"/>
    <w:rsid w:val="0F3157C2"/>
    <w:rsid w:val="0F43506A"/>
    <w:rsid w:val="0F621FE5"/>
    <w:rsid w:val="0F652177"/>
    <w:rsid w:val="0FC04AF5"/>
    <w:rsid w:val="0FE07656"/>
    <w:rsid w:val="100E41DD"/>
    <w:rsid w:val="10104AC9"/>
    <w:rsid w:val="1038265C"/>
    <w:rsid w:val="104D23BA"/>
    <w:rsid w:val="104D3D65"/>
    <w:rsid w:val="10741127"/>
    <w:rsid w:val="11081A60"/>
    <w:rsid w:val="11523B6C"/>
    <w:rsid w:val="11767935"/>
    <w:rsid w:val="117C2142"/>
    <w:rsid w:val="1188158C"/>
    <w:rsid w:val="11892F62"/>
    <w:rsid w:val="11AE1BA5"/>
    <w:rsid w:val="120A104E"/>
    <w:rsid w:val="120C19E3"/>
    <w:rsid w:val="1229050A"/>
    <w:rsid w:val="123F76A9"/>
    <w:rsid w:val="12403B36"/>
    <w:rsid w:val="12503BB3"/>
    <w:rsid w:val="12A96F3E"/>
    <w:rsid w:val="133411CC"/>
    <w:rsid w:val="134960EA"/>
    <w:rsid w:val="138B4FFF"/>
    <w:rsid w:val="13A82415"/>
    <w:rsid w:val="13A907F4"/>
    <w:rsid w:val="13B51A43"/>
    <w:rsid w:val="13B703F7"/>
    <w:rsid w:val="13C71982"/>
    <w:rsid w:val="140623D8"/>
    <w:rsid w:val="143026C9"/>
    <w:rsid w:val="14487382"/>
    <w:rsid w:val="145350C7"/>
    <w:rsid w:val="14792129"/>
    <w:rsid w:val="152016F7"/>
    <w:rsid w:val="15405664"/>
    <w:rsid w:val="15465AC2"/>
    <w:rsid w:val="158811E5"/>
    <w:rsid w:val="15A707A0"/>
    <w:rsid w:val="15DA3D8B"/>
    <w:rsid w:val="16285D80"/>
    <w:rsid w:val="16894D06"/>
    <w:rsid w:val="16B82A17"/>
    <w:rsid w:val="16DC2ABE"/>
    <w:rsid w:val="16F02B11"/>
    <w:rsid w:val="173E50E0"/>
    <w:rsid w:val="17757953"/>
    <w:rsid w:val="177C4A4B"/>
    <w:rsid w:val="1782320F"/>
    <w:rsid w:val="17A37C18"/>
    <w:rsid w:val="17B47721"/>
    <w:rsid w:val="18296D42"/>
    <w:rsid w:val="183325E9"/>
    <w:rsid w:val="1880481B"/>
    <w:rsid w:val="189D034B"/>
    <w:rsid w:val="18A41D1C"/>
    <w:rsid w:val="1925649C"/>
    <w:rsid w:val="192A0F80"/>
    <w:rsid w:val="194626F1"/>
    <w:rsid w:val="1A003E41"/>
    <w:rsid w:val="1A1C1108"/>
    <w:rsid w:val="1A350D36"/>
    <w:rsid w:val="1A4674A9"/>
    <w:rsid w:val="1A4B069F"/>
    <w:rsid w:val="1A7819CF"/>
    <w:rsid w:val="1A7E2030"/>
    <w:rsid w:val="1ABF3177"/>
    <w:rsid w:val="1ADD3A44"/>
    <w:rsid w:val="1AF33E06"/>
    <w:rsid w:val="1B202CBD"/>
    <w:rsid w:val="1B2C17A0"/>
    <w:rsid w:val="1B3214FA"/>
    <w:rsid w:val="1B486B63"/>
    <w:rsid w:val="1B734F3C"/>
    <w:rsid w:val="1BA3553D"/>
    <w:rsid w:val="1BC06F08"/>
    <w:rsid w:val="1BCC4205"/>
    <w:rsid w:val="1BD9199A"/>
    <w:rsid w:val="1C21447A"/>
    <w:rsid w:val="1C67605A"/>
    <w:rsid w:val="1C790EC2"/>
    <w:rsid w:val="1CB41B4A"/>
    <w:rsid w:val="1CF100D0"/>
    <w:rsid w:val="1CF6273D"/>
    <w:rsid w:val="1D06547B"/>
    <w:rsid w:val="1D41730D"/>
    <w:rsid w:val="1D9A2CE2"/>
    <w:rsid w:val="1D9B6BB2"/>
    <w:rsid w:val="1DEF219F"/>
    <w:rsid w:val="1E262D67"/>
    <w:rsid w:val="1E401FB3"/>
    <w:rsid w:val="1E852668"/>
    <w:rsid w:val="1E9B6502"/>
    <w:rsid w:val="1EC32CA3"/>
    <w:rsid w:val="1F286BCB"/>
    <w:rsid w:val="1F2A1DCC"/>
    <w:rsid w:val="1F3704AB"/>
    <w:rsid w:val="1F37777B"/>
    <w:rsid w:val="1F4402DB"/>
    <w:rsid w:val="1F4962F9"/>
    <w:rsid w:val="1F6E61E0"/>
    <w:rsid w:val="1F7473E9"/>
    <w:rsid w:val="1F762BDC"/>
    <w:rsid w:val="1FB916B2"/>
    <w:rsid w:val="1FC87C09"/>
    <w:rsid w:val="1FCD36B9"/>
    <w:rsid w:val="1FD06C97"/>
    <w:rsid w:val="2004052B"/>
    <w:rsid w:val="201B164B"/>
    <w:rsid w:val="204810B6"/>
    <w:rsid w:val="20554C84"/>
    <w:rsid w:val="20832C36"/>
    <w:rsid w:val="20A63D8D"/>
    <w:rsid w:val="20BE4D04"/>
    <w:rsid w:val="20C23E78"/>
    <w:rsid w:val="20F45B73"/>
    <w:rsid w:val="21102F1A"/>
    <w:rsid w:val="215C757E"/>
    <w:rsid w:val="21683239"/>
    <w:rsid w:val="2171327D"/>
    <w:rsid w:val="2192082A"/>
    <w:rsid w:val="21B25BF6"/>
    <w:rsid w:val="21CD670E"/>
    <w:rsid w:val="21D60F17"/>
    <w:rsid w:val="21F67AD7"/>
    <w:rsid w:val="220B5755"/>
    <w:rsid w:val="22104AF2"/>
    <w:rsid w:val="22232FD1"/>
    <w:rsid w:val="2223535C"/>
    <w:rsid w:val="227B060E"/>
    <w:rsid w:val="227B307E"/>
    <w:rsid w:val="228C0744"/>
    <w:rsid w:val="22C06A10"/>
    <w:rsid w:val="233D1688"/>
    <w:rsid w:val="23410897"/>
    <w:rsid w:val="234F6569"/>
    <w:rsid w:val="23571A56"/>
    <w:rsid w:val="23C21DFE"/>
    <w:rsid w:val="23C66C86"/>
    <w:rsid w:val="23FD7A7B"/>
    <w:rsid w:val="24184A87"/>
    <w:rsid w:val="24541003"/>
    <w:rsid w:val="24773A4C"/>
    <w:rsid w:val="24BA5EAF"/>
    <w:rsid w:val="24C07963"/>
    <w:rsid w:val="2503095F"/>
    <w:rsid w:val="25041FF1"/>
    <w:rsid w:val="2506532E"/>
    <w:rsid w:val="25195047"/>
    <w:rsid w:val="251B50D8"/>
    <w:rsid w:val="257B5A82"/>
    <w:rsid w:val="25A63C73"/>
    <w:rsid w:val="25AB796F"/>
    <w:rsid w:val="260570A8"/>
    <w:rsid w:val="26163321"/>
    <w:rsid w:val="2623181B"/>
    <w:rsid w:val="26297F31"/>
    <w:rsid w:val="2637684E"/>
    <w:rsid w:val="265041C4"/>
    <w:rsid w:val="266B1B2B"/>
    <w:rsid w:val="268A0A7D"/>
    <w:rsid w:val="26A7493E"/>
    <w:rsid w:val="26AA57F9"/>
    <w:rsid w:val="26C43081"/>
    <w:rsid w:val="26D742A1"/>
    <w:rsid w:val="26E107E4"/>
    <w:rsid w:val="277F1F69"/>
    <w:rsid w:val="27836261"/>
    <w:rsid w:val="27983052"/>
    <w:rsid w:val="27BB3100"/>
    <w:rsid w:val="27C53841"/>
    <w:rsid w:val="28023ADA"/>
    <w:rsid w:val="280C5EA4"/>
    <w:rsid w:val="282D7F06"/>
    <w:rsid w:val="284072D8"/>
    <w:rsid w:val="28586CCB"/>
    <w:rsid w:val="285D5D0E"/>
    <w:rsid w:val="28951F6C"/>
    <w:rsid w:val="28AC052B"/>
    <w:rsid w:val="28DE649D"/>
    <w:rsid w:val="28E63CF9"/>
    <w:rsid w:val="29100BDA"/>
    <w:rsid w:val="293E0ED0"/>
    <w:rsid w:val="2985793F"/>
    <w:rsid w:val="298F5607"/>
    <w:rsid w:val="29B631A8"/>
    <w:rsid w:val="2A002DB3"/>
    <w:rsid w:val="2A2D7BD0"/>
    <w:rsid w:val="2A614A76"/>
    <w:rsid w:val="2A835A28"/>
    <w:rsid w:val="2A8615FC"/>
    <w:rsid w:val="2A8D32E3"/>
    <w:rsid w:val="2A97775F"/>
    <w:rsid w:val="2AC07868"/>
    <w:rsid w:val="2AC44231"/>
    <w:rsid w:val="2AD00FAD"/>
    <w:rsid w:val="2B114963"/>
    <w:rsid w:val="2B235820"/>
    <w:rsid w:val="2B394E61"/>
    <w:rsid w:val="2B437FDF"/>
    <w:rsid w:val="2B6B0BB2"/>
    <w:rsid w:val="2B761DD2"/>
    <w:rsid w:val="2B924003"/>
    <w:rsid w:val="2BCA7B70"/>
    <w:rsid w:val="2C147EF1"/>
    <w:rsid w:val="2C5F5153"/>
    <w:rsid w:val="2CF3037F"/>
    <w:rsid w:val="2CF854AC"/>
    <w:rsid w:val="2D0666BB"/>
    <w:rsid w:val="2D237A1C"/>
    <w:rsid w:val="2D702BDC"/>
    <w:rsid w:val="2D7266E9"/>
    <w:rsid w:val="2DB34DB6"/>
    <w:rsid w:val="2E140A68"/>
    <w:rsid w:val="2E364A9A"/>
    <w:rsid w:val="2E6C44EF"/>
    <w:rsid w:val="2E82506C"/>
    <w:rsid w:val="2E930E90"/>
    <w:rsid w:val="2EC61D9D"/>
    <w:rsid w:val="2F1340CB"/>
    <w:rsid w:val="2F266720"/>
    <w:rsid w:val="2F3B2D82"/>
    <w:rsid w:val="2F677070"/>
    <w:rsid w:val="2F7219B6"/>
    <w:rsid w:val="2FA63E73"/>
    <w:rsid w:val="2FD2516A"/>
    <w:rsid w:val="2FE41E7C"/>
    <w:rsid w:val="30050574"/>
    <w:rsid w:val="30076994"/>
    <w:rsid w:val="30227969"/>
    <w:rsid w:val="30835019"/>
    <w:rsid w:val="3088786A"/>
    <w:rsid w:val="308D51A4"/>
    <w:rsid w:val="30A20CDA"/>
    <w:rsid w:val="30B83A5F"/>
    <w:rsid w:val="30C44A5B"/>
    <w:rsid w:val="30F17F5A"/>
    <w:rsid w:val="30FD257F"/>
    <w:rsid w:val="31097C8E"/>
    <w:rsid w:val="31270FA5"/>
    <w:rsid w:val="316D2EC0"/>
    <w:rsid w:val="318025A2"/>
    <w:rsid w:val="31847CAC"/>
    <w:rsid w:val="31AD2C9A"/>
    <w:rsid w:val="31CD0018"/>
    <w:rsid w:val="31ED4079"/>
    <w:rsid w:val="320011F8"/>
    <w:rsid w:val="321A7FB8"/>
    <w:rsid w:val="326B18D7"/>
    <w:rsid w:val="328161F2"/>
    <w:rsid w:val="32936DD4"/>
    <w:rsid w:val="32CB2EAC"/>
    <w:rsid w:val="32FB6A94"/>
    <w:rsid w:val="32FC6692"/>
    <w:rsid w:val="335B0139"/>
    <w:rsid w:val="336428A7"/>
    <w:rsid w:val="33A3511B"/>
    <w:rsid w:val="33A9243F"/>
    <w:rsid w:val="33BD1983"/>
    <w:rsid w:val="33F259F0"/>
    <w:rsid w:val="34182A84"/>
    <w:rsid w:val="34284029"/>
    <w:rsid w:val="34293EA8"/>
    <w:rsid w:val="34315323"/>
    <w:rsid w:val="34375B9E"/>
    <w:rsid w:val="3459554E"/>
    <w:rsid w:val="346C4588"/>
    <w:rsid w:val="347529DF"/>
    <w:rsid w:val="349B7D92"/>
    <w:rsid w:val="34EB79A4"/>
    <w:rsid w:val="34EC277C"/>
    <w:rsid w:val="3537746B"/>
    <w:rsid w:val="3557056D"/>
    <w:rsid w:val="356F7E75"/>
    <w:rsid w:val="358A0909"/>
    <w:rsid w:val="35D9704B"/>
    <w:rsid w:val="35E571CB"/>
    <w:rsid w:val="362E2FC5"/>
    <w:rsid w:val="365636AC"/>
    <w:rsid w:val="36911DCC"/>
    <w:rsid w:val="36A930AD"/>
    <w:rsid w:val="36EE2EC0"/>
    <w:rsid w:val="374E6416"/>
    <w:rsid w:val="376F7763"/>
    <w:rsid w:val="37A0553D"/>
    <w:rsid w:val="37AB28AB"/>
    <w:rsid w:val="37B7410E"/>
    <w:rsid w:val="37CC0B37"/>
    <w:rsid w:val="37F233F6"/>
    <w:rsid w:val="380E50F8"/>
    <w:rsid w:val="38412935"/>
    <w:rsid w:val="38460B12"/>
    <w:rsid w:val="38506A19"/>
    <w:rsid w:val="38656FA3"/>
    <w:rsid w:val="386E4620"/>
    <w:rsid w:val="38811467"/>
    <w:rsid w:val="38CE5D4B"/>
    <w:rsid w:val="38ED7518"/>
    <w:rsid w:val="390C7F95"/>
    <w:rsid w:val="39280403"/>
    <w:rsid w:val="392D6095"/>
    <w:rsid w:val="39754642"/>
    <w:rsid w:val="39995B99"/>
    <w:rsid w:val="399D4230"/>
    <w:rsid w:val="3A0B3466"/>
    <w:rsid w:val="3A526216"/>
    <w:rsid w:val="3ABB0B98"/>
    <w:rsid w:val="3AD83D63"/>
    <w:rsid w:val="3AE326CE"/>
    <w:rsid w:val="3AED02D8"/>
    <w:rsid w:val="3B1E64AC"/>
    <w:rsid w:val="3B6D745D"/>
    <w:rsid w:val="3B747A20"/>
    <w:rsid w:val="3BB46037"/>
    <w:rsid w:val="3BD836ED"/>
    <w:rsid w:val="3BE64E43"/>
    <w:rsid w:val="3C9154FB"/>
    <w:rsid w:val="3D5F2564"/>
    <w:rsid w:val="3D8854D5"/>
    <w:rsid w:val="3E3E1EB6"/>
    <w:rsid w:val="3E4E7CA6"/>
    <w:rsid w:val="3E505B65"/>
    <w:rsid w:val="3E524703"/>
    <w:rsid w:val="3E8F245D"/>
    <w:rsid w:val="3E922372"/>
    <w:rsid w:val="3EC27BEE"/>
    <w:rsid w:val="3F0D4FF4"/>
    <w:rsid w:val="3F456218"/>
    <w:rsid w:val="3F934C7A"/>
    <w:rsid w:val="3FA45EBA"/>
    <w:rsid w:val="404C661A"/>
    <w:rsid w:val="40874F1F"/>
    <w:rsid w:val="40A31587"/>
    <w:rsid w:val="40AC0111"/>
    <w:rsid w:val="40C267AB"/>
    <w:rsid w:val="40F742C7"/>
    <w:rsid w:val="41182A31"/>
    <w:rsid w:val="4196023D"/>
    <w:rsid w:val="41F140EA"/>
    <w:rsid w:val="42132817"/>
    <w:rsid w:val="423263A4"/>
    <w:rsid w:val="42335E1F"/>
    <w:rsid w:val="425C4316"/>
    <w:rsid w:val="42843010"/>
    <w:rsid w:val="42910515"/>
    <w:rsid w:val="42923C31"/>
    <w:rsid w:val="429B54B0"/>
    <w:rsid w:val="42BE44BD"/>
    <w:rsid w:val="42CC2F63"/>
    <w:rsid w:val="42D219D0"/>
    <w:rsid w:val="42FE2688"/>
    <w:rsid w:val="43652D66"/>
    <w:rsid w:val="437F70B4"/>
    <w:rsid w:val="438718F0"/>
    <w:rsid w:val="43E902BD"/>
    <w:rsid w:val="440C6969"/>
    <w:rsid w:val="445273C7"/>
    <w:rsid w:val="44EA6C09"/>
    <w:rsid w:val="450F78C1"/>
    <w:rsid w:val="45323501"/>
    <w:rsid w:val="454F306F"/>
    <w:rsid w:val="45721D1C"/>
    <w:rsid w:val="45AB7D97"/>
    <w:rsid w:val="45D32483"/>
    <w:rsid w:val="45DD10E1"/>
    <w:rsid w:val="45E67996"/>
    <w:rsid w:val="45E96A73"/>
    <w:rsid w:val="462702F0"/>
    <w:rsid w:val="462F75F1"/>
    <w:rsid w:val="46311AFC"/>
    <w:rsid w:val="46505A6E"/>
    <w:rsid w:val="466665DF"/>
    <w:rsid w:val="46760099"/>
    <w:rsid w:val="46AD6928"/>
    <w:rsid w:val="46B20D96"/>
    <w:rsid w:val="46D53136"/>
    <w:rsid w:val="47353D1A"/>
    <w:rsid w:val="4744721C"/>
    <w:rsid w:val="47EF0A7F"/>
    <w:rsid w:val="480C24AE"/>
    <w:rsid w:val="48206638"/>
    <w:rsid w:val="4835522A"/>
    <w:rsid w:val="483B7B4C"/>
    <w:rsid w:val="489E2A73"/>
    <w:rsid w:val="48BD55C3"/>
    <w:rsid w:val="48C6797A"/>
    <w:rsid w:val="49136555"/>
    <w:rsid w:val="494734F2"/>
    <w:rsid w:val="494A1752"/>
    <w:rsid w:val="49B958DD"/>
    <w:rsid w:val="49E25883"/>
    <w:rsid w:val="49EE4422"/>
    <w:rsid w:val="49F103A0"/>
    <w:rsid w:val="4A4C2296"/>
    <w:rsid w:val="4ABB651C"/>
    <w:rsid w:val="4AE80A8C"/>
    <w:rsid w:val="4B0B6B4D"/>
    <w:rsid w:val="4B423C92"/>
    <w:rsid w:val="4B574CAA"/>
    <w:rsid w:val="4B7C59F1"/>
    <w:rsid w:val="4B977C57"/>
    <w:rsid w:val="4B9D5BAA"/>
    <w:rsid w:val="4BB20E78"/>
    <w:rsid w:val="4BD2139A"/>
    <w:rsid w:val="4BE168A0"/>
    <w:rsid w:val="4C000A01"/>
    <w:rsid w:val="4C684C1E"/>
    <w:rsid w:val="4C9361E9"/>
    <w:rsid w:val="4CD46DEC"/>
    <w:rsid w:val="4CF211F0"/>
    <w:rsid w:val="4D0A6F77"/>
    <w:rsid w:val="4D1C3CD0"/>
    <w:rsid w:val="4D8E71D5"/>
    <w:rsid w:val="4DEA10B3"/>
    <w:rsid w:val="4E0350F8"/>
    <w:rsid w:val="4E243B8D"/>
    <w:rsid w:val="4E436B37"/>
    <w:rsid w:val="4E5223C2"/>
    <w:rsid w:val="4EA656DA"/>
    <w:rsid w:val="4EC45EA1"/>
    <w:rsid w:val="4EC970E1"/>
    <w:rsid w:val="4EE11397"/>
    <w:rsid w:val="4EE61ACA"/>
    <w:rsid w:val="4EFE2072"/>
    <w:rsid w:val="4EFE4AE3"/>
    <w:rsid w:val="4F20554F"/>
    <w:rsid w:val="4F225AAA"/>
    <w:rsid w:val="4F2549BE"/>
    <w:rsid w:val="4F3B6619"/>
    <w:rsid w:val="4F8739D1"/>
    <w:rsid w:val="4FB563EF"/>
    <w:rsid w:val="4FB64583"/>
    <w:rsid w:val="4FDD21D9"/>
    <w:rsid w:val="50120BFD"/>
    <w:rsid w:val="5014690D"/>
    <w:rsid w:val="504659F0"/>
    <w:rsid w:val="50491DE4"/>
    <w:rsid w:val="506D034B"/>
    <w:rsid w:val="50787F57"/>
    <w:rsid w:val="50D0255D"/>
    <w:rsid w:val="50D90D5F"/>
    <w:rsid w:val="511700A3"/>
    <w:rsid w:val="51553B40"/>
    <w:rsid w:val="5155574D"/>
    <w:rsid w:val="51634EAC"/>
    <w:rsid w:val="51745F08"/>
    <w:rsid w:val="517C59CC"/>
    <w:rsid w:val="523732E4"/>
    <w:rsid w:val="524A0CA9"/>
    <w:rsid w:val="52671E16"/>
    <w:rsid w:val="5282130E"/>
    <w:rsid w:val="52857241"/>
    <w:rsid w:val="52984670"/>
    <w:rsid w:val="52CF5403"/>
    <w:rsid w:val="52DE71E5"/>
    <w:rsid w:val="52F00587"/>
    <w:rsid w:val="534501D7"/>
    <w:rsid w:val="535D4D2F"/>
    <w:rsid w:val="53DC561E"/>
    <w:rsid w:val="53EF1D12"/>
    <w:rsid w:val="54397FEA"/>
    <w:rsid w:val="54BA33AD"/>
    <w:rsid w:val="54FC24CE"/>
    <w:rsid w:val="555653CF"/>
    <w:rsid w:val="558B43E9"/>
    <w:rsid w:val="55B763DF"/>
    <w:rsid w:val="55C57C62"/>
    <w:rsid w:val="55D716CF"/>
    <w:rsid w:val="565A144E"/>
    <w:rsid w:val="56734CC6"/>
    <w:rsid w:val="56773030"/>
    <w:rsid w:val="5680145C"/>
    <w:rsid w:val="56AD2C7D"/>
    <w:rsid w:val="56BD0BB6"/>
    <w:rsid w:val="56CB45AE"/>
    <w:rsid w:val="56D7638C"/>
    <w:rsid w:val="57293CFA"/>
    <w:rsid w:val="57390D5B"/>
    <w:rsid w:val="57792FDC"/>
    <w:rsid w:val="5795304D"/>
    <w:rsid w:val="57C652E5"/>
    <w:rsid w:val="57EB09A3"/>
    <w:rsid w:val="57F43747"/>
    <w:rsid w:val="57FE59D8"/>
    <w:rsid w:val="580D008A"/>
    <w:rsid w:val="58150E72"/>
    <w:rsid w:val="583F0A9B"/>
    <w:rsid w:val="58510921"/>
    <w:rsid w:val="587E4484"/>
    <w:rsid w:val="58873694"/>
    <w:rsid w:val="58991371"/>
    <w:rsid w:val="58DB5FA5"/>
    <w:rsid w:val="58E163D7"/>
    <w:rsid w:val="5916085F"/>
    <w:rsid w:val="595C7288"/>
    <w:rsid w:val="59921D99"/>
    <w:rsid w:val="59A726A9"/>
    <w:rsid w:val="59B158F4"/>
    <w:rsid w:val="59BE5BAA"/>
    <w:rsid w:val="59C437FE"/>
    <w:rsid w:val="59CE3BCF"/>
    <w:rsid w:val="59FE517B"/>
    <w:rsid w:val="5A267527"/>
    <w:rsid w:val="5AB76440"/>
    <w:rsid w:val="5B031D49"/>
    <w:rsid w:val="5B2C134D"/>
    <w:rsid w:val="5B2F339B"/>
    <w:rsid w:val="5B962F9A"/>
    <w:rsid w:val="5BBD4C06"/>
    <w:rsid w:val="5BD61C15"/>
    <w:rsid w:val="5C0266B2"/>
    <w:rsid w:val="5C1E33C4"/>
    <w:rsid w:val="5C4C5654"/>
    <w:rsid w:val="5C725934"/>
    <w:rsid w:val="5C8D16E1"/>
    <w:rsid w:val="5CC57612"/>
    <w:rsid w:val="5D04765F"/>
    <w:rsid w:val="5D1426A8"/>
    <w:rsid w:val="5D2525BB"/>
    <w:rsid w:val="5D270646"/>
    <w:rsid w:val="5D587593"/>
    <w:rsid w:val="5D6632BE"/>
    <w:rsid w:val="5D746A2F"/>
    <w:rsid w:val="5D79362F"/>
    <w:rsid w:val="5DA66D74"/>
    <w:rsid w:val="5E035603"/>
    <w:rsid w:val="5E2E6D07"/>
    <w:rsid w:val="5E434644"/>
    <w:rsid w:val="5E7163CA"/>
    <w:rsid w:val="5EE540DA"/>
    <w:rsid w:val="5EEA34F4"/>
    <w:rsid w:val="5EF27C7E"/>
    <w:rsid w:val="5F0741A8"/>
    <w:rsid w:val="5F274022"/>
    <w:rsid w:val="5F322FC1"/>
    <w:rsid w:val="5F3C1DA9"/>
    <w:rsid w:val="5F930D63"/>
    <w:rsid w:val="5F93783B"/>
    <w:rsid w:val="60040CB9"/>
    <w:rsid w:val="60326878"/>
    <w:rsid w:val="6039647F"/>
    <w:rsid w:val="60586B40"/>
    <w:rsid w:val="60654D08"/>
    <w:rsid w:val="606F4BAD"/>
    <w:rsid w:val="60897EB4"/>
    <w:rsid w:val="60AF4B45"/>
    <w:rsid w:val="60C8132B"/>
    <w:rsid w:val="60CD5FF7"/>
    <w:rsid w:val="60FC0F63"/>
    <w:rsid w:val="610D23F7"/>
    <w:rsid w:val="610D2E70"/>
    <w:rsid w:val="610F2437"/>
    <w:rsid w:val="61563C74"/>
    <w:rsid w:val="61A3229B"/>
    <w:rsid w:val="61CB6E43"/>
    <w:rsid w:val="61F865E3"/>
    <w:rsid w:val="61FE2DAE"/>
    <w:rsid w:val="625D5ECF"/>
    <w:rsid w:val="627A2E03"/>
    <w:rsid w:val="62983893"/>
    <w:rsid w:val="629F4473"/>
    <w:rsid w:val="62C41DFD"/>
    <w:rsid w:val="631B55AD"/>
    <w:rsid w:val="6339262C"/>
    <w:rsid w:val="633950CF"/>
    <w:rsid w:val="63573E02"/>
    <w:rsid w:val="63697262"/>
    <w:rsid w:val="63C343D2"/>
    <w:rsid w:val="63EE3DDA"/>
    <w:rsid w:val="64317378"/>
    <w:rsid w:val="6435526F"/>
    <w:rsid w:val="64AA0728"/>
    <w:rsid w:val="64D178EE"/>
    <w:rsid w:val="64FE675E"/>
    <w:rsid w:val="6524245C"/>
    <w:rsid w:val="656A44D5"/>
    <w:rsid w:val="658F1E34"/>
    <w:rsid w:val="65D11D1A"/>
    <w:rsid w:val="65F35FF0"/>
    <w:rsid w:val="65F375CB"/>
    <w:rsid w:val="6637683D"/>
    <w:rsid w:val="66580DBE"/>
    <w:rsid w:val="66612E6A"/>
    <w:rsid w:val="667A1841"/>
    <w:rsid w:val="66800F51"/>
    <w:rsid w:val="66911818"/>
    <w:rsid w:val="66E14CA0"/>
    <w:rsid w:val="66FA713B"/>
    <w:rsid w:val="674C7B73"/>
    <w:rsid w:val="67552C37"/>
    <w:rsid w:val="675E3F8C"/>
    <w:rsid w:val="6775241D"/>
    <w:rsid w:val="681A03FA"/>
    <w:rsid w:val="685544E3"/>
    <w:rsid w:val="686328D9"/>
    <w:rsid w:val="68663DEF"/>
    <w:rsid w:val="686A13E8"/>
    <w:rsid w:val="688321E8"/>
    <w:rsid w:val="688F4A85"/>
    <w:rsid w:val="68D7106C"/>
    <w:rsid w:val="68EC254E"/>
    <w:rsid w:val="68F94CAE"/>
    <w:rsid w:val="695B657F"/>
    <w:rsid w:val="69653473"/>
    <w:rsid w:val="696A10AD"/>
    <w:rsid w:val="697B7C18"/>
    <w:rsid w:val="69D35E64"/>
    <w:rsid w:val="6A192068"/>
    <w:rsid w:val="6A2717A4"/>
    <w:rsid w:val="6A5A0129"/>
    <w:rsid w:val="6A875E44"/>
    <w:rsid w:val="6A8E2BD7"/>
    <w:rsid w:val="6AA428F0"/>
    <w:rsid w:val="6B250556"/>
    <w:rsid w:val="6B7C4F05"/>
    <w:rsid w:val="6BAD1164"/>
    <w:rsid w:val="6BDD6438"/>
    <w:rsid w:val="6BE469A7"/>
    <w:rsid w:val="6BF144F7"/>
    <w:rsid w:val="6BFC05B5"/>
    <w:rsid w:val="6C041747"/>
    <w:rsid w:val="6C2E63F3"/>
    <w:rsid w:val="6C3F3C8F"/>
    <w:rsid w:val="6CA4065B"/>
    <w:rsid w:val="6CEA248B"/>
    <w:rsid w:val="6CF02525"/>
    <w:rsid w:val="6D0439B9"/>
    <w:rsid w:val="6DA31861"/>
    <w:rsid w:val="6DEB2CA1"/>
    <w:rsid w:val="6E664D54"/>
    <w:rsid w:val="6E7A1526"/>
    <w:rsid w:val="6E8C07C4"/>
    <w:rsid w:val="6E955E22"/>
    <w:rsid w:val="6EA27422"/>
    <w:rsid w:val="6EBE346C"/>
    <w:rsid w:val="6ECC66E0"/>
    <w:rsid w:val="6EF91155"/>
    <w:rsid w:val="6F0C72EE"/>
    <w:rsid w:val="6F173DD6"/>
    <w:rsid w:val="6F6C5419"/>
    <w:rsid w:val="6F7C05AD"/>
    <w:rsid w:val="6F977989"/>
    <w:rsid w:val="6FBA409B"/>
    <w:rsid w:val="6FBC714B"/>
    <w:rsid w:val="6FCE0B16"/>
    <w:rsid w:val="70055EC7"/>
    <w:rsid w:val="70336F5A"/>
    <w:rsid w:val="707130F4"/>
    <w:rsid w:val="70CC5FE9"/>
    <w:rsid w:val="70EC342D"/>
    <w:rsid w:val="70F071B0"/>
    <w:rsid w:val="711B75A2"/>
    <w:rsid w:val="717075C2"/>
    <w:rsid w:val="71AD7D69"/>
    <w:rsid w:val="71BB3162"/>
    <w:rsid w:val="71D7696F"/>
    <w:rsid w:val="71FF5BB1"/>
    <w:rsid w:val="72005C2B"/>
    <w:rsid w:val="72492811"/>
    <w:rsid w:val="726B496A"/>
    <w:rsid w:val="729001EE"/>
    <w:rsid w:val="72EC1F89"/>
    <w:rsid w:val="72FF148A"/>
    <w:rsid w:val="73013145"/>
    <w:rsid w:val="73577DB2"/>
    <w:rsid w:val="738952CD"/>
    <w:rsid w:val="73EF0F11"/>
    <w:rsid w:val="73F242F1"/>
    <w:rsid w:val="73F80A65"/>
    <w:rsid w:val="740645AC"/>
    <w:rsid w:val="74262C68"/>
    <w:rsid w:val="747C59C7"/>
    <w:rsid w:val="74874888"/>
    <w:rsid w:val="74D15B2C"/>
    <w:rsid w:val="74E33AF0"/>
    <w:rsid w:val="75025100"/>
    <w:rsid w:val="751C5E64"/>
    <w:rsid w:val="75392624"/>
    <w:rsid w:val="754F316E"/>
    <w:rsid w:val="75943EB9"/>
    <w:rsid w:val="75AC3286"/>
    <w:rsid w:val="75AF53FF"/>
    <w:rsid w:val="75BB3703"/>
    <w:rsid w:val="760427CF"/>
    <w:rsid w:val="767E7E96"/>
    <w:rsid w:val="768D7127"/>
    <w:rsid w:val="76A72394"/>
    <w:rsid w:val="76E52C6F"/>
    <w:rsid w:val="76E8529D"/>
    <w:rsid w:val="76F50D20"/>
    <w:rsid w:val="770C4FF9"/>
    <w:rsid w:val="77465F26"/>
    <w:rsid w:val="77620F31"/>
    <w:rsid w:val="776B0446"/>
    <w:rsid w:val="779A2975"/>
    <w:rsid w:val="77B47658"/>
    <w:rsid w:val="77C24033"/>
    <w:rsid w:val="77ED11DA"/>
    <w:rsid w:val="783368F4"/>
    <w:rsid w:val="78906088"/>
    <w:rsid w:val="78DD04F7"/>
    <w:rsid w:val="791051F1"/>
    <w:rsid w:val="793165A3"/>
    <w:rsid w:val="793C51A6"/>
    <w:rsid w:val="795507C0"/>
    <w:rsid w:val="795C4DD9"/>
    <w:rsid w:val="79717ADD"/>
    <w:rsid w:val="799A4154"/>
    <w:rsid w:val="7A0D6B59"/>
    <w:rsid w:val="7A254FE0"/>
    <w:rsid w:val="7A441E6D"/>
    <w:rsid w:val="7A4D3E5E"/>
    <w:rsid w:val="7A7705EC"/>
    <w:rsid w:val="7A7E0E86"/>
    <w:rsid w:val="7AB22185"/>
    <w:rsid w:val="7AB84FDC"/>
    <w:rsid w:val="7AF85B45"/>
    <w:rsid w:val="7B007493"/>
    <w:rsid w:val="7B0B4BCC"/>
    <w:rsid w:val="7B2D7314"/>
    <w:rsid w:val="7B3210E5"/>
    <w:rsid w:val="7BC91B84"/>
    <w:rsid w:val="7BCE339E"/>
    <w:rsid w:val="7C2305C1"/>
    <w:rsid w:val="7C7763B7"/>
    <w:rsid w:val="7C9E175C"/>
    <w:rsid w:val="7CB86531"/>
    <w:rsid w:val="7D1C2ABC"/>
    <w:rsid w:val="7D1E6714"/>
    <w:rsid w:val="7DB608A6"/>
    <w:rsid w:val="7DB7501F"/>
    <w:rsid w:val="7DD73DDE"/>
    <w:rsid w:val="7DE26F2E"/>
    <w:rsid w:val="7E2A3ED8"/>
    <w:rsid w:val="7E553559"/>
    <w:rsid w:val="7E694E23"/>
    <w:rsid w:val="7E902EEF"/>
    <w:rsid w:val="7EA60F62"/>
    <w:rsid w:val="7ED73A56"/>
    <w:rsid w:val="7F7979A1"/>
    <w:rsid w:val="7FBD7C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5"/>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6"/>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47"/>
    <w:qFormat/>
    <w:uiPriority w:val="99"/>
    <w:pPr>
      <w:keepNext/>
      <w:keepLines/>
      <w:spacing w:before="260" w:after="260" w:line="416" w:lineRule="auto"/>
      <w:outlineLvl w:val="2"/>
    </w:pPr>
    <w:rPr>
      <w:b/>
      <w:bCs/>
      <w:sz w:val="32"/>
      <w:szCs w:val="32"/>
    </w:rPr>
  </w:style>
  <w:style w:type="paragraph" w:styleId="6">
    <w:name w:val="heading 4"/>
    <w:basedOn w:val="1"/>
    <w:next w:val="1"/>
    <w:link w:val="48"/>
    <w:qFormat/>
    <w:uiPriority w:val="99"/>
    <w:pPr>
      <w:keepNext/>
      <w:keepLines/>
      <w:adjustRightInd w:val="0"/>
      <w:snapToGrid w:val="0"/>
      <w:spacing w:before="120" w:after="120"/>
      <w:outlineLvl w:val="3"/>
    </w:pPr>
    <w:rPr>
      <w:rFonts w:ascii="Arial" w:hAnsi="Arial" w:cs="Arial"/>
      <w:b/>
      <w:bCs/>
      <w:sz w:val="28"/>
      <w:szCs w:val="28"/>
    </w:rPr>
  </w:style>
  <w:style w:type="paragraph" w:styleId="7">
    <w:name w:val="heading 5"/>
    <w:basedOn w:val="1"/>
    <w:next w:val="8"/>
    <w:link w:val="49"/>
    <w:qFormat/>
    <w:uiPriority w:val="99"/>
    <w:pPr>
      <w:keepNext/>
      <w:keepLines/>
      <w:spacing w:before="280" w:after="290" w:line="376" w:lineRule="auto"/>
      <w:outlineLvl w:val="4"/>
    </w:pPr>
    <w:rPr>
      <w:b/>
      <w:bCs/>
      <w:sz w:val="28"/>
      <w:szCs w:val="28"/>
    </w:rPr>
  </w:style>
  <w:style w:type="paragraph" w:styleId="9">
    <w:name w:val="heading 6"/>
    <w:basedOn w:val="1"/>
    <w:next w:val="8"/>
    <w:link w:val="50"/>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8"/>
    <w:link w:val="51"/>
    <w:qFormat/>
    <w:uiPriority w:val="99"/>
    <w:pPr>
      <w:keepNext/>
      <w:keepLines/>
      <w:spacing w:before="240" w:after="64" w:line="320" w:lineRule="auto"/>
      <w:outlineLvl w:val="6"/>
    </w:pPr>
    <w:rPr>
      <w:b/>
      <w:bCs/>
      <w:sz w:val="24"/>
      <w:szCs w:val="24"/>
    </w:rPr>
  </w:style>
  <w:style w:type="paragraph" w:styleId="11">
    <w:name w:val="heading 8"/>
    <w:basedOn w:val="1"/>
    <w:next w:val="8"/>
    <w:link w:val="52"/>
    <w:qFormat/>
    <w:uiPriority w:val="99"/>
    <w:pPr>
      <w:keepNext/>
      <w:keepLines/>
      <w:spacing w:before="240" w:after="64" w:line="320" w:lineRule="auto"/>
      <w:outlineLvl w:val="7"/>
    </w:pPr>
    <w:rPr>
      <w:rFonts w:ascii="Arial" w:hAnsi="Arial" w:eastAsia="黑体" w:cs="Arial"/>
      <w:sz w:val="24"/>
      <w:szCs w:val="24"/>
    </w:rPr>
  </w:style>
  <w:style w:type="paragraph" w:styleId="12">
    <w:name w:val="heading 9"/>
    <w:basedOn w:val="1"/>
    <w:next w:val="8"/>
    <w:link w:val="53"/>
    <w:qFormat/>
    <w:uiPriority w:val="99"/>
    <w:pPr>
      <w:keepNext/>
      <w:keepLines/>
      <w:spacing w:before="240" w:after="64" w:line="320" w:lineRule="auto"/>
      <w:outlineLvl w:val="8"/>
    </w:pPr>
    <w:rPr>
      <w:rFonts w:ascii="Arial" w:hAnsi="Arial" w:eastAsia="黑体" w:cs="Arial"/>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61"/>
    <w:qFormat/>
    <w:uiPriority w:val="99"/>
    <w:pPr>
      <w:ind w:firstLine="630"/>
    </w:pPr>
    <w:rPr>
      <w:sz w:val="32"/>
      <w:szCs w:val="32"/>
    </w:rPr>
  </w:style>
  <w:style w:type="paragraph" w:styleId="8">
    <w:name w:val="Normal Indent"/>
    <w:basedOn w:val="1"/>
    <w:qFormat/>
    <w:uiPriority w:val="99"/>
    <w:pPr>
      <w:ind w:firstLine="420"/>
    </w:pPr>
  </w:style>
  <w:style w:type="paragraph" w:styleId="13">
    <w:name w:val="List Number"/>
    <w:basedOn w:val="1"/>
    <w:qFormat/>
    <w:uiPriority w:val="99"/>
    <w:pPr>
      <w:widowControl/>
      <w:tabs>
        <w:tab w:val="left" w:pos="454"/>
        <w:tab w:val="left" w:pos="720"/>
        <w:tab w:val="left" w:pos="840"/>
        <w:tab w:val="left" w:pos="900"/>
      </w:tabs>
      <w:spacing w:afterLines="50"/>
      <w:ind w:left="454" w:hanging="284"/>
      <w:jc w:val="left"/>
    </w:pPr>
    <w:rPr>
      <w:kern w:val="0"/>
      <w:sz w:val="24"/>
      <w:szCs w:val="24"/>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55"/>
    <w:semiHidden/>
    <w:qFormat/>
    <w:uiPriority w:val="99"/>
    <w:pPr>
      <w:shd w:val="clear" w:color="auto" w:fill="000080"/>
    </w:pPr>
  </w:style>
  <w:style w:type="paragraph" w:styleId="16">
    <w:name w:val="annotation text"/>
    <w:basedOn w:val="1"/>
    <w:link w:val="56"/>
    <w:semiHidden/>
    <w:qFormat/>
    <w:uiPriority w:val="99"/>
    <w:pPr>
      <w:jc w:val="left"/>
    </w:pPr>
  </w:style>
  <w:style w:type="paragraph" w:styleId="17">
    <w:name w:val="Body Text 3"/>
    <w:basedOn w:val="1"/>
    <w:link w:val="57"/>
    <w:qFormat/>
    <w:uiPriority w:val="99"/>
    <w:pPr>
      <w:spacing w:line="500" w:lineRule="exact"/>
    </w:pPr>
    <w:rPr>
      <w:b/>
      <w:bCs/>
      <w:sz w:val="24"/>
      <w:szCs w:val="24"/>
    </w:rPr>
  </w:style>
  <w:style w:type="paragraph" w:styleId="18">
    <w:name w:val="Body Text"/>
    <w:basedOn w:val="1"/>
    <w:link w:val="54"/>
    <w:qFormat/>
    <w:uiPriority w:val="0"/>
    <w:pPr>
      <w:spacing w:line="380" w:lineRule="exact"/>
    </w:pPr>
    <w:rPr>
      <w:sz w:val="24"/>
      <w:szCs w:val="24"/>
    </w:rPr>
  </w:style>
  <w:style w:type="paragraph" w:styleId="19">
    <w:name w:val="Body Text Indent"/>
    <w:basedOn w:val="1"/>
    <w:link w:val="58"/>
    <w:qFormat/>
    <w:uiPriority w:val="99"/>
    <w:pPr>
      <w:ind w:firstLine="830" w:firstLineChars="352"/>
    </w:pPr>
    <w:rPr>
      <w:rFonts w:ascii="仿宋_GB2312" w:eastAsia="仿宋_GB2312" w:cs="仿宋_GB2312"/>
      <w:sz w:val="32"/>
      <w:szCs w:val="32"/>
    </w:rPr>
  </w:style>
  <w:style w:type="paragraph" w:styleId="20">
    <w:name w:val="List Number 3"/>
    <w:basedOn w:val="1"/>
    <w:qFormat/>
    <w:uiPriority w:val="99"/>
  </w:style>
  <w:style w:type="paragraph" w:styleId="21">
    <w:name w:val="List 2"/>
    <w:basedOn w:val="1"/>
    <w:qFormat/>
    <w:uiPriority w:val="99"/>
    <w:pPr>
      <w:ind w:left="100" w:leftChars="200" w:hanging="200" w:hangingChars="200"/>
    </w:pPr>
    <w:rPr>
      <w:sz w:val="28"/>
      <w:szCs w:val="28"/>
    </w:rPr>
  </w:style>
  <w:style w:type="paragraph" w:styleId="22">
    <w:name w:val="Block Text"/>
    <w:basedOn w:val="1"/>
    <w:qFormat/>
    <w:uiPriority w:val="99"/>
    <w:pPr>
      <w:spacing w:line="600" w:lineRule="exact"/>
      <w:ind w:left="-40" w:right="-198" w:firstLine="560" w:firstLineChars="200"/>
    </w:pPr>
    <w:rPr>
      <w:rFonts w:ascii="宋体" w:hAnsi="宋体" w:cs="宋体"/>
      <w:sz w:val="28"/>
      <w:szCs w:val="28"/>
    </w:rPr>
  </w:style>
  <w:style w:type="paragraph" w:styleId="23">
    <w:name w:val="toc 3"/>
    <w:basedOn w:val="1"/>
    <w:next w:val="1"/>
    <w:semiHidden/>
    <w:qFormat/>
    <w:uiPriority w:val="99"/>
    <w:pPr>
      <w:ind w:left="840" w:leftChars="400"/>
    </w:pPr>
  </w:style>
  <w:style w:type="paragraph" w:styleId="24">
    <w:name w:val="Plain Text"/>
    <w:basedOn w:val="1"/>
    <w:next w:val="1"/>
    <w:link w:val="70"/>
    <w:qFormat/>
    <w:uiPriority w:val="0"/>
    <w:rPr>
      <w:rFonts w:ascii="宋体" w:hAnsi="Courier New" w:cs="宋体"/>
    </w:rPr>
  </w:style>
  <w:style w:type="paragraph" w:styleId="25">
    <w:name w:val="Date"/>
    <w:basedOn w:val="1"/>
    <w:next w:val="1"/>
    <w:link w:val="60"/>
    <w:qFormat/>
    <w:uiPriority w:val="99"/>
    <w:pPr>
      <w:ind w:left="100" w:leftChars="2500"/>
    </w:pPr>
    <w:rPr>
      <w:rFonts w:ascii="宋体" w:hAnsi="Courier New" w:cs="宋体"/>
    </w:rPr>
  </w:style>
  <w:style w:type="paragraph" w:styleId="26">
    <w:name w:val="Balloon Text"/>
    <w:basedOn w:val="1"/>
    <w:link w:val="62"/>
    <w:semiHidden/>
    <w:qFormat/>
    <w:uiPriority w:val="99"/>
    <w:rPr>
      <w:sz w:val="18"/>
      <w:szCs w:val="18"/>
    </w:rPr>
  </w:style>
  <w:style w:type="paragraph" w:styleId="27">
    <w:name w:val="footer"/>
    <w:basedOn w:val="1"/>
    <w:link w:val="63"/>
    <w:qFormat/>
    <w:uiPriority w:val="99"/>
    <w:pPr>
      <w:tabs>
        <w:tab w:val="center" w:pos="4153"/>
        <w:tab w:val="right" w:pos="8306"/>
      </w:tabs>
      <w:snapToGrid w:val="0"/>
      <w:jc w:val="left"/>
    </w:pPr>
    <w:rPr>
      <w:sz w:val="18"/>
      <w:szCs w:val="18"/>
    </w:rPr>
  </w:style>
  <w:style w:type="paragraph" w:styleId="28">
    <w:name w:val="header"/>
    <w:basedOn w:val="1"/>
    <w:link w:val="64"/>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tabs>
        <w:tab w:val="right" w:leader="dot" w:pos="8398"/>
      </w:tabs>
      <w:spacing w:before="120" w:after="120"/>
      <w:ind w:firstLine="240" w:firstLineChars="100"/>
      <w:jc w:val="left"/>
    </w:pPr>
    <w:rPr>
      <w:rFonts w:ascii="宋体" w:hAnsi="宋体" w:cs="宋体"/>
      <w:b/>
      <w:bCs/>
      <w:caps/>
      <w:sz w:val="24"/>
      <w:szCs w:val="24"/>
    </w:rPr>
  </w:style>
  <w:style w:type="paragraph" w:styleId="30">
    <w:name w:val="List"/>
    <w:basedOn w:val="1"/>
    <w:qFormat/>
    <w:uiPriority w:val="99"/>
    <w:pPr>
      <w:ind w:left="200" w:hanging="200" w:hangingChars="200"/>
    </w:pPr>
    <w:rPr>
      <w:sz w:val="28"/>
      <w:szCs w:val="28"/>
    </w:rPr>
  </w:style>
  <w:style w:type="paragraph" w:styleId="31">
    <w:name w:val="Body Text Indent 3"/>
    <w:basedOn w:val="1"/>
    <w:link w:val="65"/>
    <w:qFormat/>
    <w:uiPriority w:val="99"/>
    <w:pPr>
      <w:spacing w:after="120"/>
      <w:ind w:left="420" w:leftChars="200"/>
    </w:pPr>
    <w:rPr>
      <w:sz w:val="16"/>
      <w:szCs w:val="16"/>
    </w:rPr>
  </w:style>
  <w:style w:type="paragraph" w:styleId="32">
    <w:name w:val="toc 2"/>
    <w:basedOn w:val="1"/>
    <w:next w:val="1"/>
    <w:semiHidden/>
    <w:qFormat/>
    <w:uiPriority w:val="99"/>
    <w:pPr>
      <w:ind w:left="420" w:leftChars="200"/>
    </w:pPr>
  </w:style>
  <w:style w:type="paragraph" w:styleId="33">
    <w:name w:val="Body Text 2"/>
    <w:basedOn w:val="1"/>
    <w:link w:val="66"/>
    <w:qFormat/>
    <w:uiPriority w:val="99"/>
    <w:pPr>
      <w:spacing w:after="120" w:line="480" w:lineRule="auto"/>
    </w:pPr>
  </w:style>
  <w:style w:type="paragraph" w:styleId="34">
    <w:name w:val="Normal (Web)"/>
    <w:basedOn w:val="1"/>
    <w:link w:val="71"/>
    <w:qFormat/>
    <w:uiPriority w:val="99"/>
    <w:pPr>
      <w:widowControl/>
      <w:spacing w:before="100" w:beforeAutospacing="1" w:after="100" w:afterAutospacing="1"/>
      <w:jc w:val="left"/>
    </w:pPr>
    <w:rPr>
      <w:rFonts w:ascii="宋体" w:hAnsi="宋体" w:cs="宋体"/>
      <w:kern w:val="0"/>
      <w:sz w:val="24"/>
      <w:szCs w:val="24"/>
    </w:rPr>
  </w:style>
  <w:style w:type="paragraph" w:styleId="35">
    <w:name w:val="index 1"/>
    <w:basedOn w:val="1"/>
    <w:next w:val="1"/>
    <w:semiHidden/>
    <w:qFormat/>
    <w:uiPriority w:val="99"/>
    <w:pPr>
      <w:spacing w:line="400" w:lineRule="exact"/>
      <w:ind w:firstLine="420" w:firstLineChars="200"/>
    </w:pPr>
    <w:rPr>
      <w:rFonts w:ascii="宋体" w:hAnsi="Courier New" w:cs="宋体"/>
      <w:b/>
      <w:bCs/>
    </w:rPr>
  </w:style>
  <w:style w:type="paragraph" w:styleId="36">
    <w:name w:val="annotation subject"/>
    <w:basedOn w:val="16"/>
    <w:next w:val="16"/>
    <w:link w:val="67"/>
    <w:semiHidden/>
    <w:qFormat/>
    <w:uiPriority w:val="99"/>
    <w:rPr>
      <w:b/>
      <w:bCs/>
    </w:rPr>
  </w:style>
  <w:style w:type="table" w:styleId="38">
    <w:name w:val="Table Grid"/>
    <w:basedOn w:val="3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99"/>
    <w:rPr>
      <w:b/>
      <w:bCs/>
    </w:rPr>
  </w:style>
  <w:style w:type="character" w:styleId="41">
    <w:name w:val="page number"/>
    <w:basedOn w:val="39"/>
    <w:qFormat/>
    <w:uiPriority w:val="99"/>
  </w:style>
  <w:style w:type="character" w:styleId="42">
    <w:name w:val="FollowedHyperlink"/>
    <w:qFormat/>
    <w:uiPriority w:val="99"/>
    <w:rPr>
      <w:color w:val="auto"/>
      <w:u w:val="none"/>
    </w:rPr>
  </w:style>
  <w:style w:type="character" w:styleId="43">
    <w:name w:val="Hyperlink"/>
    <w:basedOn w:val="39"/>
    <w:qFormat/>
    <w:uiPriority w:val="99"/>
    <w:rPr>
      <w:color w:val="auto"/>
      <w:u w:val="none"/>
    </w:rPr>
  </w:style>
  <w:style w:type="character" w:styleId="44">
    <w:name w:val="annotation reference"/>
    <w:semiHidden/>
    <w:qFormat/>
    <w:uiPriority w:val="99"/>
    <w:rPr>
      <w:sz w:val="21"/>
      <w:szCs w:val="21"/>
    </w:rPr>
  </w:style>
  <w:style w:type="character" w:customStyle="1" w:styleId="45">
    <w:name w:val="标题 1 Char"/>
    <w:link w:val="3"/>
    <w:qFormat/>
    <w:locked/>
    <w:uiPriority w:val="99"/>
    <w:rPr>
      <w:b/>
      <w:bCs/>
      <w:kern w:val="44"/>
      <w:sz w:val="44"/>
      <w:szCs w:val="44"/>
    </w:rPr>
  </w:style>
  <w:style w:type="character" w:customStyle="1" w:styleId="46">
    <w:name w:val="标题 2 Char"/>
    <w:link w:val="4"/>
    <w:semiHidden/>
    <w:qFormat/>
    <w:uiPriority w:val="9"/>
    <w:rPr>
      <w:rFonts w:ascii="Cambria" w:hAnsi="Cambria" w:eastAsia="宋体" w:cs="Times New Roman"/>
      <w:b/>
      <w:bCs/>
      <w:sz w:val="32"/>
      <w:szCs w:val="32"/>
    </w:rPr>
  </w:style>
  <w:style w:type="character" w:customStyle="1" w:styleId="47">
    <w:name w:val="标题 3 Char"/>
    <w:link w:val="5"/>
    <w:semiHidden/>
    <w:qFormat/>
    <w:uiPriority w:val="9"/>
    <w:rPr>
      <w:b/>
      <w:bCs/>
      <w:sz w:val="32"/>
      <w:szCs w:val="32"/>
    </w:rPr>
  </w:style>
  <w:style w:type="character" w:customStyle="1" w:styleId="48">
    <w:name w:val="标题 4 Char"/>
    <w:link w:val="6"/>
    <w:qFormat/>
    <w:locked/>
    <w:uiPriority w:val="99"/>
    <w:rPr>
      <w:rFonts w:ascii="Arial" w:hAnsi="Arial" w:cs="Arial"/>
      <w:b/>
      <w:bCs/>
      <w:kern w:val="2"/>
      <w:sz w:val="28"/>
      <w:szCs w:val="28"/>
    </w:rPr>
  </w:style>
  <w:style w:type="character" w:customStyle="1" w:styleId="49">
    <w:name w:val="标题 5 Char"/>
    <w:link w:val="7"/>
    <w:semiHidden/>
    <w:qFormat/>
    <w:uiPriority w:val="9"/>
    <w:rPr>
      <w:b/>
      <w:bCs/>
      <w:sz w:val="28"/>
      <w:szCs w:val="28"/>
    </w:rPr>
  </w:style>
  <w:style w:type="character" w:customStyle="1" w:styleId="50">
    <w:name w:val="标题 6 Char"/>
    <w:link w:val="9"/>
    <w:semiHidden/>
    <w:qFormat/>
    <w:uiPriority w:val="9"/>
    <w:rPr>
      <w:rFonts w:ascii="Cambria" w:hAnsi="Cambria" w:eastAsia="宋体" w:cs="Times New Roman"/>
      <w:b/>
      <w:bCs/>
      <w:sz w:val="24"/>
      <w:szCs w:val="24"/>
    </w:rPr>
  </w:style>
  <w:style w:type="character" w:customStyle="1" w:styleId="51">
    <w:name w:val="标题 7 Char"/>
    <w:link w:val="10"/>
    <w:semiHidden/>
    <w:qFormat/>
    <w:uiPriority w:val="9"/>
    <w:rPr>
      <w:b/>
      <w:bCs/>
      <w:sz w:val="24"/>
      <w:szCs w:val="24"/>
    </w:rPr>
  </w:style>
  <w:style w:type="character" w:customStyle="1" w:styleId="52">
    <w:name w:val="标题 8 Char"/>
    <w:link w:val="11"/>
    <w:semiHidden/>
    <w:qFormat/>
    <w:uiPriority w:val="9"/>
    <w:rPr>
      <w:rFonts w:ascii="Cambria" w:hAnsi="Cambria" w:eastAsia="宋体" w:cs="Times New Roman"/>
      <w:sz w:val="24"/>
      <w:szCs w:val="24"/>
    </w:rPr>
  </w:style>
  <w:style w:type="character" w:customStyle="1" w:styleId="53">
    <w:name w:val="标题 9 Char"/>
    <w:link w:val="12"/>
    <w:semiHidden/>
    <w:qFormat/>
    <w:uiPriority w:val="9"/>
    <w:rPr>
      <w:rFonts w:ascii="Cambria" w:hAnsi="Cambria" w:eastAsia="宋体" w:cs="Times New Roman"/>
      <w:szCs w:val="21"/>
    </w:rPr>
  </w:style>
  <w:style w:type="character" w:customStyle="1" w:styleId="54">
    <w:name w:val="正文文本 Char"/>
    <w:link w:val="18"/>
    <w:qFormat/>
    <w:uiPriority w:val="0"/>
    <w:rPr>
      <w:szCs w:val="21"/>
    </w:rPr>
  </w:style>
  <w:style w:type="character" w:customStyle="1" w:styleId="55">
    <w:name w:val="文档结构图 Char"/>
    <w:link w:val="15"/>
    <w:semiHidden/>
    <w:qFormat/>
    <w:uiPriority w:val="99"/>
    <w:rPr>
      <w:sz w:val="0"/>
      <w:szCs w:val="0"/>
    </w:rPr>
  </w:style>
  <w:style w:type="character" w:customStyle="1" w:styleId="56">
    <w:name w:val="批注文字 Char"/>
    <w:link w:val="16"/>
    <w:qFormat/>
    <w:locked/>
    <w:uiPriority w:val="99"/>
    <w:rPr>
      <w:kern w:val="2"/>
      <w:sz w:val="24"/>
      <w:szCs w:val="24"/>
    </w:rPr>
  </w:style>
  <w:style w:type="character" w:customStyle="1" w:styleId="57">
    <w:name w:val="正文文本 3 Char"/>
    <w:link w:val="17"/>
    <w:semiHidden/>
    <w:qFormat/>
    <w:uiPriority w:val="99"/>
    <w:rPr>
      <w:sz w:val="16"/>
      <w:szCs w:val="16"/>
    </w:rPr>
  </w:style>
  <w:style w:type="character" w:customStyle="1" w:styleId="58">
    <w:name w:val="正文文本缩进 Char"/>
    <w:link w:val="19"/>
    <w:qFormat/>
    <w:locked/>
    <w:uiPriority w:val="99"/>
    <w:rPr>
      <w:rFonts w:ascii="仿宋_GB2312" w:eastAsia="仿宋_GB2312" w:cs="仿宋_GB2312"/>
      <w:kern w:val="2"/>
      <w:sz w:val="32"/>
      <w:szCs w:val="32"/>
    </w:rPr>
  </w:style>
  <w:style w:type="character" w:customStyle="1" w:styleId="59">
    <w:name w:val="Plain Text Char"/>
    <w:qFormat/>
    <w:locked/>
    <w:uiPriority w:val="99"/>
    <w:rPr>
      <w:rFonts w:ascii="宋体" w:hAnsi="Courier New" w:eastAsia="宋体" w:cs="宋体"/>
      <w:kern w:val="2"/>
      <w:sz w:val="21"/>
      <w:szCs w:val="21"/>
      <w:lang w:val="en-US" w:eastAsia="zh-CN"/>
    </w:rPr>
  </w:style>
  <w:style w:type="character" w:customStyle="1" w:styleId="60">
    <w:name w:val="日期 Char"/>
    <w:link w:val="25"/>
    <w:semiHidden/>
    <w:qFormat/>
    <w:uiPriority w:val="99"/>
    <w:rPr>
      <w:szCs w:val="21"/>
    </w:rPr>
  </w:style>
  <w:style w:type="character" w:customStyle="1" w:styleId="61">
    <w:name w:val="正文文本缩进 2 Char"/>
    <w:link w:val="2"/>
    <w:semiHidden/>
    <w:qFormat/>
    <w:uiPriority w:val="99"/>
    <w:rPr>
      <w:szCs w:val="21"/>
    </w:rPr>
  </w:style>
  <w:style w:type="character" w:customStyle="1" w:styleId="62">
    <w:name w:val="批注框文本 Char"/>
    <w:link w:val="26"/>
    <w:semiHidden/>
    <w:qFormat/>
    <w:uiPriority w:val="99"/>
    <w:rPr>
      <w:sz w:val="0"/>
      <w:szCs w:val="0"/>
    </w:rPr>
  </w:style>
  <w:style w:type="character" w:customStyle="1" w:styleId="63">
    <w:name w:val="页脚 Char"/>
    <w:link w:val="27"/>
    <w:qFormat/>
    <w:locked/>
    <w:uiPriority w:val="99"/>
    <w:rPr>
      <w:kern w:val="2"/>
      <w:sz w:val="18"/>
      <w:szCs w:val="18"/>
    </w:rPr>
  </w:style>
  <w:style w:type="character" w:customStyle="1" w:styleId="64">
    <w:name w:val="页眉 Char"/>
    <w:link w:val="28"/>
    <w:qFormat/>
    <w:locked/>
    <w:uiPriority w:val="99"/>
    <w:rPr>
      <w:kern w:val="2"/>
      <w:sz w:val="18"/>
      <w:szCs w:val="18"/>
    </w:rPr>
  </w:style>
  <w:style w:type="character" w:customStyle="1" w:styleId="65">
    <w:name w:val="正文文本缩进 3 Char"/>
    <w:link w:val="31"/>
    <w:semiHidden/>
    <w:qFormat/>
    <w:uiPriority w:val="99"/>
    <w:rPr>
      <w:sz w:val="16"/>
      <w:szCs w:val="16"/>
    </w:rPr>
  </w:style>
  <w:style w:type="character" w:customStyle="1" w:styleId="66">
    <w:name w:val="正文文本 2 Char"/>
    <w:link w:val="33"/>
    <w:semiHidden/>
    <w:qFormat/>
    <w:uiPriority w:val="99"/>
    <w:rPr>
      <w:szCs w:val="21"/>
    </w:rPr>
  </w:style>
  <w:style w:type="character" w:customStyle="1" w:styleId="67">
    <w:name w:val="批注主题 Char"/>
    <w:link w:val="36"/>
    <w:qFormat/>
    <w:locked/>
    <w:uiPriority w:val="99"/>
    <w:rPr>
      <w:b/>
      <w:bCs/>
      <w:kern w:val="2"/>
      <w:sz w:val="24"/>
      <w:szCs w:val="24"/>
    </w:rPr>
  </w:style>
  <w:style w:type="character" w:customStyle="1" w:styleId="68">
    <w:name w:val="普通文字 Char Char2"/>
    <w:qFormat/>
    <w:uiPriority w:val="99"/>
    <w:rPr>
      <w:rFonts w:ascii="宋体" w:hAnsi="Courier New" w:eastAsia="宋体" w:cs="宋体"/>
      <w:b/>
      <w:bCs/>
      <w:i/>
      <w:iCs/>
      <w:color w:val="000000"/>
      <w:kern w:val="2"/>
      <w:sz w:val="21"/>
      <w:szCs w:val="21"/>
      <w:lang w:val="en-US" w:eastAsia="zh-CN"/>
    </w:rPr>
  </w:style>
  <w:style w:type="character" w:customStyle="1" w:styleId="69">
    <w:name w:val="Char Char4"/>
    <w:qFormat/>
    <w:uiPriority w:val="99"/>
    <w:rPr>
      <w:rFonts w:ascii="宋体" w:hAnsi="Courier New" w:eastAsia="宋体" w:cs="宋体"/>
      <w:kern w:val="2"/>
      <w:sz w:val="21"/>
      <w:szCs w:val="21"/>
      <w:lang w:val="en-US" w:eastAsia="zh-CN"/>
    </w:rPr>
  </w:style>
  <w:style w:type="character" w:customStyle="1" w:styleId="70">
    <w:name w:val="纯文本 Char"/>
    <w:link w:val="24"/>
    <w:qFormat/>
    <w:locked/>
    <w:uiPriority w:val="0"/>
    <w:rPr>
      <w:rFonts w:ascii="宋体" w:hAnsi="Courier New" w:eastAsia="宋体" w:cs="宋体"/>
      <w:kern w:val="2"/>
      <w:sz w:val="21"/>
      <w:szCs w:val="21"/>
      <w:lang w:val="en-US" w:eastAsia="zh-CN"/>
    </w:rPr>
  </w:style>
  <w:style w:type="character" w:customStyle="1" w:styleId="71">
    <w:name w:val="普通(网站) Char"/>
    <w:link w:val="34"/>
    <w:qFormat/>
    <w:locked/>
    <w:uiPriority w:val="99"/>
    <w:rPr>
      <w:rFonts w:ascii="宋体" w:eastAsia="宋体" w:cs="宋体"/>
      <w:sz w:val="24"/>
      <w:szCs w:val="24"/>
    </w:rPr>
  </w:style>
  <w:style w:type="character" w:customStyle="1" w:styleId="72">
    <w:name w:val="apple-converted-space"/>
    <w:basedOn w:val="39"/>
    <w:qFormat/>
    <w:uiPriority w:val="99"/>
  </w:style>
  <w:style w:type="character" w:customStyle="1" w:styleId="73">
    <w:name w:val="Char Char2"/>
    <w:qFormat/>
    <w:uiPriority w:val="99"/>
    <w:rPr>
      <w:rFonts w:ascii="宋体" w:hAnsi="宋体" w:eastAsia="宋体" w:cs="宋体"/>
      <w:kern w:val="2"/>
      <w:sz w:val="24"/>
      <w:szCs w:val="24"/>
      <w:lang w:val="en-US" w:eastAsia="zh-CN"/>
    </w:rPr>
  </w:style>
  <w:style w:type="character" w:customStyle="1" w:styleId="74">
    <w:name w:val="无间隔 Char"/>
    <w:link w:val="75"/>
    <w:qFormat/>
    <w:locked/>
    <w:uiPriority w:val="99"/>
    <w:rPr>
      <w:rFonts w:ascii="Calibri" w:hAnsi="Calibri" w:cs="Calibri"/>
      <w:sz w:val="22"/>
      <w:szCs w:val="22"/>
      <w:lang w:val="en-US" w:eastAsia="zh-CN"/>
    </w:rPr>
  </w:style>
  <w:style w:type="paragraph" w:customStyle="1" w:styleId="75">
    <w:name w:val="无间隔1"/>
    <w:link w:val="74"/>
    <w:qFormat/>
    <w:uiPriority w:val="99"/>
    <w:rPr>
      <w:rFonts w:ascii="Calibri" w:hAnsi="Calibri" w:eastAsia="宋体" w:cs="Calibri"/>
      <w:sz w:val="22"/>
      <w:szCs w:val="22"/>
      <w:lang w:val="en-US" w:eastAsia="zh-CN" w:bidi="ar-SA"/>
    </w:rPr>
  </w:style>
  <w:style w:type="character" w:customStyle="1" w:styleId="76">
    <w:name w:val="case31"/>
    <w:qFormat/>
    <w:uiPriority w:val="99"/>
    <w:rPr>
      <w:sz w:val="21"/>
      <w:szCs w:val="21"/>
    </w:rPr>
  </w:style>
  <w:style w:type="character" w:customStyle="1" w:styleId="77">
    <w:name w:val="样式 body + 仿宋_GB2312 三号"/>
    <w:qFormat/>
    <w:uiPriority w:val="99"/>
    <w:rPr>
      <w:rFonts w:ascii="宋体" w:eastAsia="宋体" w:cs="宋体"/>
      <w:kern w:val="0"/>
      <w:sz w:val="24"/>
      <w:szCs w:val="24"/>
      <w:lang w:val="en-US" w:eastAsia="zh-CN"/>
    </w:rPr>
  </w:style>
  <w:style w:type="character" w:customStyle="1" w:styleId="78">
    <w:name w:val="14"/>
    <w:basedOn w:val="39"/>
    <w:qFormat/>
    <w:uiPriority w:val="99"/>
  </w:style>
  <w:style w:type="character" w:customStyle="1" w:styleId="79">
    <w:name w:val="lb1"/>
    <w:qFormat/>
    <w:uiPriority w:val="99"/>
    <w:rPr>
      <w:b/>
      <w:bCs/>
      <w:color w:val="auto"/>
      <w:sz w:val="27"/>
      <w:szCs w:val="27"/>
    </w:rPr>
  </w:style>
  <w:style w:type="character" w:customStyle="1" w:styleId="80">
    <w:name w:val="textcontents"/>
    <w:basedOn w:val="39"/>
    <w:qFormat/>
    <w:uiPriority w:val="99"/>
  </w:style>
  <w:style w:type="character" w:customStyle="1" w:styleId="81">
    <w:name w:val="Char Char Char"/>
    <w:qFormat/>
    <w:uiPriority w:val="99"/>
    <w:rPr>
      <w:rFonts w:ascii="宋体" w:hAnsi="Courier New" w:eastAsia="宋体" w:cs="宋体"/>
      <w:kern w:val="2"/>
      <w:sz w:val="21"/>
      <w:szCs w:val="21"/>
      <w:lang w:val="en-US" w:eastAsia="zh-CN"/>
    </w:rPr>
  </w:style>
  <w:style w:type="paragraph" w:customStyle="1" w:styleId="82">
    <w:name w:val="xl54"/>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3">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4">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85">
    <w:name w:val="正文段"/>
    <w:basedOn w:val="1"/>
    <w:qFormat/>
    <w:uiPriority w:val="99"/>
    <w:pPr>
      <w:widowControl/>
      <w:snapToGrid w:val="0"/>
      <w:spacing w:afterLines="50"/>
      <w:ind w:firstLine="200" w:firstLineChars="200"/>
    </w:pPr>
    <w:rPr>
      <w:kern w:val="0"/>
      <w:sz w:val="24"/>
      <w:szCs w:val="24"/>
    </w:rPr>
  </w:style>
  <w:style w:type="paragraph" w:customStyle="1" w:styleId="8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87">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88">
    <w:name w:val="正文首行缩进两字符"/>
    <w:basedOn w:val="1"/>
    <w:qFormat/>
    <w:uiPriority w:val="99"/>
    <w:pPr>
      <w:spacing w:line="360" w:lineRule="auto"/>
      <w:ind w:firstLine="200" w:firstLineChars="200"/>
    </w:pPr>
  </w:style>
  <w:style w:type="paragraph" w:customStyle="1" w:styleId="89">
    <w:name w:val="font6"/>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90">
    <w:name w:val="Char2"/>
    <w:basedOn w:val="15"/>
    <w:semiHidden/>
    <w:qFormat/>
    <w:uiPriority w:val="99"/>
    <w:rPr>
      <w:rFonts w:ascii="Tahoma" w:hAnsi="Tahoma" w:cs="Tahoma"/>
      <w:kern w:val="0"/>
      <w:sz w:val="18"/>
      <w:szCs w:val="18"/>
    </w:rPr>
  </w:style>
  <w:style w:type="paragraph" w:customStyle="1" w:styleId="91">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92">
    <w:name w:val="样式 标题 1第A章标题 1 Char Char CharH1h1Level 1 Topic HeadingH11..."/>
    <w:basedOn w:val="3"/>
    <w:qFormat/>
    <w:uiPriority w:val="99"/>
    <w:pPr>
      <w:spacing w:before="0" w:after="0" w:line="460" w:lineRule="exact"/>
      <w:ind w:left="-4"/>
      <w:jc w:val="left"/>
    </w:pPr>
    <w:rPr>
      <w:rFonts w:ascii="仿宋_GB2312" w:hAnsi="宋体" w:eastAsia="仿宋_GB2312" w:cs="仿宋_GB2312"/>
      <w:sz w:val="32"/>
      <w:szCs w:val="32"/>
    </w:rPr>
  </w:style>
  <w:style w:type="paragraph" w:customStyle="1" w:styleId="93">
    <w:name w:val="表格"/>
    <w:basedOn w:val="1"/>
    <w:qFormat/>
    <w:uiPriority w:val="99"/>
    <w:pPr>
      <w:spacing w:line="400" w:lineRule="exact"/>
    </w:pPr>
    <w:rPr>
      <w:sz w:val="24"/>
      <w:szCs w:val="24"/>
    </w:rPr>
  </w:style>
  <w:style w:type="paragraph" w:customStyle="1" w:styleId="94">
    <w:name w:val="xl5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5">
    <w:name w:val="_Style 81"/>
    <w:basedOn w:val="15"/>
    <w:qFormat/>
    <w:uiPriority w:val="99"/>
    <w:pPr>
      <w:widowControl/>
      <w:ind w:firstLine="454"/>
      <w:jc w:val="left"/>
    </w:pPr>
  </w:style>
  <w:style w:type="paragraph" w:customStyle="1" w:styleId="96">
    <w:name w:val="样式 首行缩进:  2 字符"/>
    <w:basedOn w:val="1"/>
    <w:qFormat/>
    <w:uiPriority w:val="99"/>
    <w:pPr>
      <w:spacing w:line="400" w:lineRule="exact"/>
      <w:ind w:firstLine="200" w:firstLineChars="200"/>
    </w:pPr>
    <w:rPr>
      <w:sz w:val="24"/>
      <w:szCs w:val="24"/>
    </w:rPr>
  </w:style>
  <w:style w:type="paragraph" w:customStyle="1" w:styleId="97">
    <w:name w:val="font8"/>
    <w:basedOn w:val="1"/>
    <w:qFormat/>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98">
    <w:name w:val="Char1"/>
    <w:basedOn w:val="1"/>
    <w:qFormat/>
    <w:uiPriority w:val="99"/>
  </w:style>
  <w:style w:type="paragraph" w:customStyle="1" w:styleId="99">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0">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01">
    <w:name w:val="font9"/>
    <w:basedOn w:val="1"/>
    <w:qFormat/>
    <w:uiPriority w:val="99"/>
    <w:pPr>
      <w:widowControl/>
      <w:spacing w:before="100" w:beforeAutospacing="1" w:after="100" w:afterAutospacing="1"/>
      <w:jc w:val="left"/>
    </w:pPr>
    <w:rPr>
      <w:color w:val="FF0000"/>
      <w:kern w:val="0"/>
      <w:sz w:val="16"/>
      <w:szCs w:val="16"/>
    </w:rPr>
  </w:style>
  <w:style w:type="paragraph" w:customStyle="1" w:styleId="102">
    <w:name w:val="xl31"/>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103">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04">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6">
    <w:name w:val="xl5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Char Char Char Char Char Char"/>
    <w:basedOn w:val="1"/>
    <w:qFormat/>
    <w:uiPriority w:val="99"/>
  </w:style>
  <w:style w:type="paragraph" w:customStyle="1" w:styleId="108">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9">
    <w:name w:val="列出段落1"/>
    <w:basedOn w:val="1"/>
    <w:qFormat/>
    <w:uiPriority w:val="99"/>
    <w:pPr>
      <w:widowControl/>
      <w:spacing w:after="200" w:line="276" w:lineRule="auto"/>
      <w:ind w:left="720"/>
      <w:jc w:val="left"/>
    </w:pPr>
    <w:rPr>
      <w:rFonts w:ascii="Calibri" w:hAnsi="Calibri" w:cs="Calibri"/>
      <w:kern w:val="0"/>
      <w:sz w:val="22"/>
      <w:szCs w:val="22"/>
    </w:rPr>
  </w:style>
  <w:style w:type="paragraph" w:customStyle="1" w:styleId="110">
    <w:name w:val="修订1"/>
    <w:qFormat/>
    <w:uiPriority w:val="99"/>
    <w:rPr>
      <w:rFonts w:ascii="Times New Roman" w:hAnsi="Times New Roman" w:eastAsia="宋体" w:cs="Times New Roman"/>
      <w:kern w:val="2"/>
      <w:sz w:val="21"/>
      <w:szCs w:val="21"/>
      <w:lang w:val="en-US" w:eastAsia="zh-CN" w:bidi="ar-SA"/>
    </w:rPr>
  </w:style>
  <w:style w:type="paragraph" w:customStyle="1" w:styleId="111">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12">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13">
    <w:name w:val="font7"/>
    <w:basedOn w:val="1"/>
    <w:qFormat/>
    <w:uiPriority w:val="99"/>
    <w:pPr>
      <w:widowControl/>
      <w:spacing w:before="100" w:beforeAutospacing="1" w:after="100" w:afterAutospacing="1"/>
      <w:jc w:val="left"/>
    </w:pPr>
    <w:rPr>
      <w:kern w:val="0"/>
      <w:sz w:val="16"/>
      <w:szCs w:val="16"/>
    </w:rPr>
  </w:style>
  <w:style w:type="paragraph" w:customStyle="1" w:styleId="114">
    <w:name w:val="Char"/>
    <w:basedOn w:val="1"/>
    <w:qFormat/>
    <w:uiPriority w:val="99"/>
  </w:style>
  <w:style w:type="paragraph" w:customStyle="1" w:styleId="115">
    <w:name w:val="默认段落字体 Para Char"/>
    <w:basedOn w:val="1"/>
    <w:qFormat/>
    <w:uiPriority w:val="99"/>
    <w:pPr>
      <w:adjustRightInd w:val="0"/>
      <w:spacing w:line="360" w:lineRule="auto"/>
    </w:pPr>
    <w:rPr>
      <w:kern w:val="0"/>
      <w:sz w:val="24"/>
      <w:szCs w:val="24"/>
    </w:rPr>
  </w:style>
  <w:style w:type="paragraph" w:customStyle="1" w:styleId="116">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17">
    <w:name w:val="Char3"/>
    <w:basedOn w:val="15"/>
    <w:qFormat/>
    <w:uiPriority w:val="99"/>
    <w:pPr>
      <w:widowControl/>
      <w:ind w:firstLine="454"/>
      <w:jc w:val="left"/>
    </w:pPr>
    <w:rPr>
      <w:rFonts w:ascii="Tahoma" w:hAnsi="Tahoma" w:cs="Tahoma"/>
      <w:kern w:val="0"/>
      <w:sz w:val="24"/>
      <w:szCs w:val="24"/>
    </w:rPr>
  </w:style>
  <w:style w:type="paragraph" w:customStyle="1" w:styleId="11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9">
    <w:name w:val="列出段落2"/>
    <w:basedOn w:val="1"/>
    <w:qFormat/>
    <w:uiPriority w:val="99"/>
    <w:pPr>
      <w:widowControl/>
      <w:ind w:firstLine="420" w:firstLineChars="200"/>
      <w:jc w:val="left"/>
    </w:pPr>
    <w:rPr>
      <w:rFonts w:ascii="宋体" w:hAnsi="宋体" w:cs="宋体"/>
      <w:kern w:val="0"/>
      <w:sz w:val="24"/>
      <w:szCs w:val="24"/>
    </w:rPr>
  </w:style>
  <w:style w:type="paragraph" w:customStyle="1" w:styleId="120">
    <w:name w:val="默认段落字体 Para Char Char Char Char Char Char Char Char Char1 Char Char Char Char"/>
    <w:basedOn w:val="1"/>
    <w:qFormat/>
    <w:uiPriority w:val="99"/>
    <w:rPr>
      <w:rFonts w:ascii="Tahoma" w:hAnsi="Tahoma" w:cs="Tahoma"/>
      <w:sz w:val="24"/>
      <w:szCs w:val="24"/>
    </w:rPr>
  </w:style>
  <w:style w:type="paragraph" w:customStyle="1" w:styleId="121">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2">
    <w:name w:val="表内文字"/>
    <w:basedOn w:val="1"/>
    <w:qFormat/>
    <w:uiPriority w:val="99"/>
    <w:pPr>
      <w:snapToGrid w:val="0"/>
      <w:jc w:val="center"/>
    </w:pPr>
    <w:rPr>
      <w:rFonts w:ascii="宋体" w:hAnsi="宋体" w:cs="宋体"/>
      <w:color w:val="FF0000"/>
      <w:sz w:val="24"/>
      <w:szCs w:val="24"/>
    </w:rPr>
  </w:style>
  <w:style w:type="paragraph" w:customStyle="1" w:styleId="12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黑体"/>
      <w:b/>
      <w:bCs/>
      <w:kern w:val="0"/>
      <w:sz w:val="18"/>
      <w:szCs w:val="18"/>
    </w:rPr>
  </w:style>
  <w:style w:type="paragraph" w:customStyle="1" w:styleId="124">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25">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6">
    <w:name w:val="xl56"/>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7">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8">
    <w:name w:val="char"/>
    <w:basedOn w:val="1"/>
    <w:qFormat/>
    <w:uiPriority w:val="99"/>
    <w:pPr>
      <w:widowControl/>
      <w:adjustRightInd w:val="0"/>
      <w:snapToGrid w:val="0"/>
      <w:spacing w:beforeLines="50" w:after="160" w:line="360" w:lineRule="exact"/>
      <w:ind w:firstLine="496" w:firstLineChars="200"/>
      <w:jc w:val="left"/>
    </w:pPr>
    <w:rPr>
      <w:rFonts w:ascii="宋体" w:hAnsi="宋体" w:cs="宋体"/>
      <w:color w:val="000000"/>
      <w:spacing w:val="4"/>
      <w:kern w:val="0"/>
      <w:sz w:val="24"/>
      <w:szCs w:val="24"/>
      <w:lang w:eastAsia="en-US"/>
    </w:rPr>
  </w:style>
  <w:style w:type="paragraph" w:customStyle="1" w:styleId="129">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textAlignment w:val="top"/>
    </w:pPr>
    <w:rPr>
      <w:kern w:val="0"/>
    </w:rPr>
  </w:style>
  <w:style w:type="paragraph" w:customStyle="1" w:styleId="130">
    <w:name w:val="1"/>
    <w:basedOn w:val="1"/>
    <w:next w:val="24"/>
    <w:qFormat/>
    <w:uiPriority w:val="99"/>
    <w:rPr>
      <w:rFonts w:ascii="宋体" w:hAnsi="Courier New" w:cs="宋体"/>
    </w:rPr>
  </w:style>
  <w:style w:type="paragraph" w:customStyle="1" w:styleId="131">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132">
    <w:name w:val="Body text|1"/>
    <w:basedOn w:val="1"/>
    <w:qFormat/>
    <w:uiPriority w:val="99"/>
    <w:pPr>
      <w:spacing w:line="442" w:lineRule="auto"/>
      <w:ind w:firstLine="400"/>
    </w:pPr>
    <w:rPr>
      <w:rFonts w:ascii="宋体" w:hAnsi="宋体" w:cs="宋体"/>
      <w:color w:val="2E2F2F"/>
      <w:sz w:val="28"/>
      <w:szCs w:val="28"/>
      <w:lang w:val="zh-TW" w:eastAsia="zh-TW"/>
    </w:rPr>
  </w:style>
  <w:style w:type="paragraph" w:customStyle="1" w:styleId="133">
    <w:name w:val="Body text|2"/>
    <w:basedOn w:val="1"/>
    <w:qFormat/>
    <w:uiPriority w:val="99"/>
    <w:pPr>
      <w:spacing w:line="596" w:lineRule="exact"/>
      <w:ind w:firstLine="670"/>
    </w:pPr>
    <w:rPr>
      <w:rFonts w:ascii="宋体" w:hAnsi="宋体" w:cs="宋体"/>
      <w:color w:val="2E2F2F"/>
      <w:sz w:val="32"/>
      <w:szCs w:val="32"/>
      <w:lang w:val="zh-TW" w:eastAsia="zh-TW"/>
    </w:rPr>
  </w:style>
  <w:style w:type="paragraph" w:customStyle="1" w:styleId="134">
    <w:name w:val="Table of contents|1"/>
    <w:basedOn w:val="1"/>
    <w:qFormat/>
    <w:uiPriority w:val="99"/>
    <w:pPr>
      <w:spacing w:line="605" w:lineRule="exact"/>
      <w:ind w:firstLine="750"/>
    </w:pPr>
    <w:rPr>
      <w:rFonts w:ascii="宋体" w:hAnsi="宋体" w:cs="宋体"/>
      <w:color w:val="2E2F2F"/>
      <w:sz w:val="28"/>
      <w:szCs w:val="28"/>
      <w:lang w:val="zh-TW" w:eastAsia="zh-TW"/>
    </w:rPr>
  </w:style>
  <w:style w:type="paragraph" w:customStyle="1" w:styleId="135">
    <w:name w:val="Header or footer|2"/>
    <w:basedOn w:val="1"/>
    <w:qFormat/>
    <w:uiPriority w:val="99"/>
    <w:rPr>
      <w:sz w:val="20"/>
      <w:szCs w:val="20"/>
      <w:lang w:val="zh-TW" w:eastAsia="zh-TW"/>
    </w:rPr>
  </w:style>
  <w:style w:type="paragraph" w:customStyle="1" w:styleId="136">
    <w:name w:val="Heading #3|1"/>
    <w:qFormat/>
    <w:uiPriority w:val="99"/>
    <w:pPr>
      <w:widowControl w:val="0"/>
      <w:spacing w:after="340" w:line="600" w:lineRule="exact"/>
      <w:jc w:val="center"/>
      <w:outlineLvl w:val="2"/>
    </w:pPr>
    <w:rPr>
      <w:rFonts w:ascii="宋体" w:hAnsi="宋体" w:eastAsia="宋体" w:cs="宋体"/>
      <w:color w:val="2E2F2F"/>
      <w:kern w:val="2"/>
      <w:sz w:val="42"/>
      <w:szCs w:val="42"/>
      <w:lang w:val="zh-TW" w:eastAsia="zh-TW" w:bidi="ar-SA"/>
    </w:rPr>
  </w:style>
  <w:style w:type="paragraph" w:customStyle="1" w:styleId="137">
    <w:name w:val="Other|1"/>
    <w:qFormat/>
    <w:uiPriority w:val="99"/>
    <w:pPr>
      <w:widowControl w:val="0"/>
      <w:spacing w:line="307" w:lineRule="exact"/>
      <w:jc w:val="both"/>
    </w:pPr>
    <w:rPr>
      <w:rFonts w:ascii="宋体" w:hAnsi="宋体" w:eastAsia="宋体" w:cs="宋体"/>
      <w:color w:val="2E2F2F"/>
      <w:kern w:val="2"/>
      <w:lang w:val="zh-TW" w:eastAsia="zh-TW" w:bidi="ar-SA"/>
    </w:rPr>
  </w:style>
  <w:style w:type="paragraph" w:customStyle="1" w:styleId="138">
    <w:name w:val="Other|2"/>
    <w:qFormat/>
    <w:uiPriority w:val="99"/>
    <w:pPr>
      <w:widowControl w:val="0"/>
      <w:jc w:val="center"/>
    </w:pPr>
    <w:rPr>
      <w:rFonts w:ascii="宋体" w:hAnsi="宋体" w:eastAsia="宋体" w:cs="宋体"/>
      <w:color w:val="2E2F2F"/>
      <w:kern w:val="2"/>
      <w:lang w:val="zh-TW" w:eastAsia="zh-TW" w:bidi="ar-SA"/>
    </w:rPr>
  </w:style>
  <w:style w:type="paragraph" w:customStyle="1" w:styleId="139">
    <w:name w:val="Header or footer|1"/>
    <w:qFormat/>
    <w:uiPriority w:val="99"/>
    <w:pPr>
      <w:widowControl w:val="0"/>
      <w:jc w:val="both"/>
    </w:pPr>
    <w:rPr>
      <w:rFonts w:ascii="Times New Roman" w:hAnsi="Times New Roman" w:eastAsia="宋体" w:cs="Times New Roman"/>
      <w:color w:val="2E2F2F"/>
      <w:kern w:val="2"/>
      <w:sz w:val="28"/>
      <w:szCs w:val="28"/>
      <w:lang w:val="zh-CN" w:eastAsia="zh-CN" w:bidi="ar-SA"/>
    </w:rPr>
  </w:style>
  <w:style w:type="paragraph" w:customStyle="1" w:styleId="140">
    <w:name w:val="表格内容"/>
    <w:basedOn w:val="1"/>
    <w:qFormat/>
    <w:uiPriority w:val="99"/>
    <w:pPr>
      <w:jc w:val="center"/>
    </w:pPr>
    <w:rPr>
      <w:rFonts w:ascii="宋体" w:hAnsi="宋体" w:cs="宋体"/>
      <w:kern w:val="0"/>
    </w:rPr>
  </w:style>
  <w:style w:type="paragraph" w:customStyle="1" w:styleId="141">
    <w:name w:val="正文_2_0"/>
    <w:basedOn w:val="142"/>
    <w:qFormat/>
    <w:uiPriority w:val="99"/>
  </w:style>
  <w:style w:type="paragraph" w:customStyle="1" w:styleId="142">
    <w:name w:val="正文_2_1"/>
    <w:basedOn w:val="143"/>
    <w:qFormat/>
    <w:uiPriority w:val="99"/>
  </w:style>
  <w:style w:type="paragraph" w:customStyle="1" w:styleId="143">
    <w:name w:val="正文_2_2"/>
    <w:qFormat/>
    <w:uiPriority w:val="99"/>
    <w:pPr>
      <w:widowControl w:val="0"/>
      <w:jc w:val="both"/>
    </w:pPr>
    <w:rPr>
      <w:rFonts w:ascii="Calibri" w:hAnsi="Calibri" w:eastAsia="宋体" w:cs="Calibri"/>
      <w:kern w:val="2"/>
      <w:sz w:val="21"/>
      <w:szCs w:val="21"/>
      <w:lang w:val="en-US" w:eastAsia="zh-CN" w:bidi="ar-SA"/>
    </w:rPr>
  </w:style>
  <w:style w:type="character" w:customStyle="1" w:styleId="144">
    <w:name w:val="10_1"/>
    <w:qFormat/>
    <w:uiPriority w:val="99"/>
    <w:rPr>
      <w:rFonts w:ascii="Times New Roman" w:hAnsi="Times New Roman" w:eastAsia="宋体" w:cs="Times New Roman"/>
    </w:rPr>
  </w:style>
  <w:style w:type="paragraph" w:customStyle="1" w:styleId="145">
    <w:name w:val="5正文文本"/>
    <w:basedOn w:val="18"/>
    <w:qFormat/>
    <w:uiPriority w:val="0"/>
    <w:pPr>
      <w:adjustRightInd w:val="0"/>
      <w:snapToGrid w:val="0"/>
      <w:spacing w:after="0" w:line="360" w:lineRule="auto"/>
      <w:ind w:firstLine="200" w:firstLineChars="200"/>
    </w:pPr>
    <w:rPr>
      <w:rFonts w:ascii="Times New Roman" w:hAnsi="Times New Roman" w:eastAsia="仿宋_GB2312" w:cs="Times New Roman"/>
      <w:sz w:val="24"/>
    </w:rPr>
  </w:style>
  <w:style w:type="paragraph" w:customStyle="1" w:styleId="146">
    <w:name w:val="Default"/>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 w:type="paragraph" w:styleId="147">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1"/>
    <customShpInfo spid="_x0000_s4102"/>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25148</Words>
  <Characters>3950</Characters>
  <Lines>32</Lines>
  <Paragraphs>58</Paragraphs>
  <TotalTime>50</TotalTime>
  <ScaleCrop>false</ScaleCrop>
  <LinksUpToDate>false</LinksUpToDate>
  <CharactersWithSpaces>29040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2020-08-26T07:22:00Z</dcterms:created>
  <dc:creator>User</dc:creator>
  <cp:lastModifiedBy>miss wu</cp:lastModifiedBy>
  <cp:lastPrinted>2020-05-09T02:55:00Z</cp:lastPrinted>
  <dcterms:modified xsi:type="dcterms:W3CDTF">2020-11-13T05:28:44Z</dcterms:modified>
  <dc:title>广西壮族自治区建设工程机电设备招标中心</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