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auto"/>
          <w:sz w:val="24"/>
          <w:szCs w:val="24"/>
          <w:highlight w:val="none"/>
          <w:vertAlign w:val="subscript"/>
        </w:rPr>
      </w:pPr>
    </w:p>
    <w:p>
      <w:pPr>
        <w:jc w:val="center"/>
        <w:rPr>
          <w:rFonts w:ascii="宋体"/>
          <w:b/>
          <w:bCs/>
          <w:color w:val="auto"/>
          <w:sz w:val="76"/>
          <w:szCs w:val="76"/>
          <w:highlight w:val="none"/>
        </w:rPr>
      </w:pPr>
      <w:r>
        <w:rPr>
          <w:rFonts w:hint="eastAsia" w:ascii="宋体" w:hAnsi="宋体" w:cs="宋体"/>
          <w:b/>
          <w:bCs/>
          <w:color w:val="auto"/>
          <w:sz w:val="56"/>
          <w:szCs w:val="56"/>
          <w:highlight w:val="none"/>
        </w:rPr>
        <w:t>南宁政府采购服务</w:t>
      </w:r>
    </w:p>
    <w:p>
      <w:pPr>
        <w:jc w:val="center"/>
        <w:rPr>
          <w:rFonts w:ascii="宋体"/>
          <w:b/>
          <w:bCs/>
          <w:color w:val="auto"/>
          <w:sz w:val="58"/>
          <w:szCs w:val="58"/>
          <w:highlight w:val="none"/>
        </w:rPr>
      </w:pPr>
    </w:p>
    <w:p>
      <w:pPr>
        <w:jc w:val="center"/>
        <w:rPr>
          <w:rFonts w:ascii="宋体"/>
          <w:b/>
          <w:bCs/>
          <w:color w:val="auto"/>
          <w:sz w:val="84"/>
          <w:szCs w:val="84"/>
          <w:highlight w:val="none"/>
        </w:rPr>
      </w:pPr>
      <w:r>
        <w:rPr>
          <w:rFonts w:hint="eastAsia" w:ascii="宋体" w:hAnsi="宋体" w:cs="宋体"/>
          <w:b/>
          <w:bCs/>
          <w:color w:val="auto"/>
          <w:sz w:val="84"/>
          <w:szCs w:val="84"/>
          <w:highlight w:val="none"/>
        </w:rPr>
        <w:t>公开招标文件</w:t>
      </w:r>
    </w:p>
    <w:p>
      <w:pPr>
        <w:jc w:val="center"/>
        <w:rPr>
          <w:rFonts w:ascii="宋体"/>
          <w:b/>
          <w:bCs/>
          <w:color w:val="auto"/>
          <w:sz w:val="56"/>
          <w:szCs w:val="5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spacing w:line="360" w:lineRule="auto"/>
        <w:ind w:firstLine="1124" w:firstLineChars="400"/>
        <w:jc w:val="left"/>
        <w:rPr>
          <w:rFonts w:hint="eastAsia" w:hAnsi="宋体"/>
          <w:b/>
          <w:bCs/>
          <w:color w:val="auto"/>
          <w:sz w:val="28"/>
          <w:szCs w:val="28"/>
          <w:highlight w:val="none"/>
          <w:u w:val="single"/>
          <w:lang w:val="en-US" w:eastAsia="zh-CN"/>
        </w:rPr>
      </w:pPr>
      <w:r>
        <w:rPr>
          <w:rFonts w:hint="eastAsia" w:hAnsi="宋体"/>
          <w:b/>
          <w:bCs/>
          <w:color w:val="auto"/>
          <w:sz w:val="28"/>
          <w:szCs w:val="28"/>
          <w:highlight w:val="none"/>
          <w:u w:val="single"/>
          <w:lang w:val="en-US" w:eastAsia="zh-CN"/>
        </w:rPr>
        <w:t>项目名称：南宁市青秀区两个耕地提质改造（旱改水）项目整改及管护工作</w:t>
      </w:r>
    </w:p>
    <w:p>
      <w:pPr>
        <w:pStyle w:val="24"/>
        <w:snapToGrid w:val="0"/>
        <w:spacing w:line="360" w:lineRule="auto"/>
        <w:ind w:firstLine="1124" w:firstLineChars="400"/>
        <w:jc w:val="left"/>
        <w:rPr>
          <w:rFonts w:hint="default" w:hAnsi="宋体"/>
          <w:b/>
          <w:bCs/>
          <w:color w:val="auto"/>
          <w:sz w:val="28"/>
          <w:szCs w:val="28"/>
          <w:highlight w:val="none"/>
          <w:u w:val="single"/>
          <w:lang w:val="en-US" w:eastAsia="zh-CN"/>
        </w:rPr>
      </w:pPr>
      <w:r>
        <w:rPr>
          <w:rFonts w:hint="eastAsia" w:hAnsi="宋体"/>
          <w:b/>
          <w:bCs/>
          <w:color w:val="auto"/>
          <w:sz w:val="28"/>
          <w:szCs w:val="28"/>
          <w:highlight w:val="none"/>
          <w:u w:val="single"/>
          <w:lang w:val="en-US" w:eastAsia="zh-CN"/>
        </w:rPr>
        <w:t>项目编号：QXZC2020-G3-00873-001</w:t>
      </w:r>
    </w:p>
    <w:p>
      <w:pPr>
        <w:pStyle w:val="24"/>
        <w:snapToGrid w:val="0"/>
        <w:ind w:firstLine="670" w:firstLineChars="196"/>
        <w:jc w:val="center"/>
        <w:rPr>
          <w:rFonts w:hAnsi="宋体" w:cs="Times New Roman"/>
          <w:color w:val="auto"/>
          <w:w w:val="95"/>
          <w:sz w:val="36"/>
          <w:szCs w:val="36"/>
          <w:highlight w:val="none"/>
        </w:rPr>
      </w:pPr>
    </w:p>
    <w:p>
      <w:pPr>
        <w:pStyle w:val="24"/>
        <w:snapToGrid w:val="0"/>
        <w:ind w:firstLine="673" w:firstLineChars="196"/>
        <w:jc w:val="center"/>
        <w:rPr>
          <w:rFonts w:hAnsi="宋体" w:cs="Times New Roman"/>
          <w:b/>
          <w:bCs/>
          <w:color w:val="auto"/>
          <w:w w:val="95"/>
          <w:sz w:val="36"/>
          <w:szCs w:val="36"/>
          <w:highlight w:val="none"/>
        </w:rPr>
      </w:pPr>
    </w:p>
    <w:p>
      <w:pPr>
        <w:pStyle w:val="24"/>
        <w:snapToGrid w:val="0"/>
        <w:ind w:firstLine="673" w:firstLineChars="196"/>
        <w:jc w:val="center"/>
        <w:rPr>
          <w:rFonts w:hAnsi="宋体" w:cs="Times New Roman"/>
          <w:b/>
          <w:bCs/>
          <w:color w:val="auto"/>
          <w:w w:val="95"/>
          <w:sz w:val="36"/>
          <w:szCs w:val="36"/>
          <w:highlight w:val="none"/>
        </w:rPr>
      </w:pPr>
    </w:p>
    <w:p>
      <w:pPr>
        <w:pStyle w:val="24"/>
        <w:snapToGrid w:val="0"/>
        <w:spacing w:line="360" w:lineRule="auto"/>
        <w:ind w:firstLine="1068" w:firstLineChars="400"/>
        <w:jc w:val="left"/>
        <w:rPr>
          <w:rFonts w:hint="default" w:hAnsi="宋体"/>
          <w:b/>
          <w:bCs/>
          <w:color w:val="auto"/>
          <w:sz w:val="28"/>
          <w:szCs w:val="28"/>
          <w:highlight w:val="none"/>
          <w:u w:val="single"/>
          <w:lang w:val="en-US" w:eastAsia="zh-CN"/>
        </w:rPr>
      </w:pPr>
      <w:r>
        <w:rPr>
          <w:rFonts w:hint="eastAsia" w:hAnsi="宋体"/>
          <w:b/>
          <w:bCs/>
          <w:color w:val="auto"/>
          <w:w w:val="95"/>
          <w:sz w:val="28"/>
          <w:szCs w:val="28"/>
          <w:highlight w:val="none"/>
        </w:rPr>
        <w:t>采购单位：</w:t>
      </w:r>
      <w:r>
        <w:rPr>
          <w:rFonts w:hint="eastAsia" w:hAnsi="宋体"/>
          <w:b/>
          <w:bCs/>
          <w:color w:val="auto"/>
          <w:sz w:val="28"/>
          <w:szCs w:val="28"/>
          <w:highlight w:val="none"/>
          <w:u w:val="single"/>
        </w:rPr>
        <w:t>南宁市</w:t>
      </w:r>
      <w:r>
        <w:rPr>
          <w:rFonts w:hint="eastAsia" w:hAnsi="宋体"/>
          <w:b/>
          <w:bCs/>
          <w:color w:val="auto"/>
          <w:sz w:val="28"/>
          <w:szCs w:val="28"/>
          <w:highlight w:val="none"/>
          <w:u w:val="single"/>
          <w:lang w:val="en-US" w:eastAsia="zh-CN"/>
        </w:rPr>
        <w:t>青秀区土地储备分中心</w:t>
      </w:r>
    </w:p>
    <w:p>
      <w:pPr>
        <w:pStyle w:val="24"/>
        <w:snapToGrid w:val="0"/>
        <w:spacing w:line="360" w:lineRule="auto"/>
        <w:ind w:firstLine="1068" w:firstLineChars="400"/>
        <w:jc w:val="left"/>
        <w:rPr>
          <w:rFonts w:hAnsi="宋体" w:cs="Times New Roman"/>
          <w:b/>
          <w:bCs/>
          <w:color w:val="auto"/>
          <w:sz w:val="28"/>
          <w:szCs w:val="28"/>
          <w:highlight w:val="none"/>
          <w:u w:val="single"/>
        </w:rPr>
      </w:pPr>
      <w:r>
        <w:rPr>
          <w:rFonts w:hint="eastAsia" w:hAnsi="宋体"/>
          <w:b/>
          <w:bCs/>
          <w:color w:val="auto"/>
          <w:w w:val="95"/>
          <w:sz w:val="28"/>
          <w:szCs w:val="28"/>
          <w:highlight w:val="none"/>
        </w:rPr>
        <w:t>代理机构：</w:t>
      </w:r>
      <w:r>
        <w:rPr>
          <w:rFonts w:hint="eastAsia" w:hAnsi="宋体"/>
          <w:b/>
          <w:bCs/>
          <w:color w:val="auto"/>
          <w:sz w:val="28"/>
          <w:szCs w:val="28"/>
          <w:highlight w:val="none"/>
          <w:u w:val="single"/>
        </w:rPr>
        <w:t>广西建设工程机电设备招标中心有限公司</w:t>
      </w:r>
    </w:p>
    <w:p>
      <w:pPr>
        <w:pStyle w:val="24"/>
        <w:snapToGrid w:val="0"/>
        <w:spacing w:line="360" w:lineRule="auto"/>
        <w:ind w:firstLine="3576" w:firstLineChars="1272"/>
        <w:rPr>
          <w:rFonts w:hAnsi="宋体" w:cs="Times New Roman"/>
          <w:b/>
          <w:bCs/>
          <w:color w:val="auto"/>
          <w:w w:val="95"/>
          <w:sz w:val="28"/>
          <w:szCs w:val="28"/>
          <w:highlight w:val="none"/>
        </w:rPr>
      </w:pPr>
      <w:r>
        <w:rPr>
          <w:rFonts w:hAnsi="宋体"/>
          <w:b/>
          <w:bCs/>
          <w:color w:val="auto"/>
          <w:sz w:val="28"/>
          <w:szCs w:val="28"/>
          <w:highlight w:val="none"/>
          <w:u w:val="single"/>
        </w:rPr>
        <w:t>2020</w:t>
      </w:r>
      <w:r>
        <w:rPr>
          <w:rFonts w:hint="eastAsia" w:hAnsi="宋体"/>
          <w:b/>
          <w:bCs/>
          <w:color w:val="auto"/>
          <w:w w:val="95"/>
          <w:sz w:val="28"/>
          <w:szCs w:val="28"/>
          <w:highlight w:val="none"/>
        </w:rPr>
        <w:t>年</w:t>
      </w:r>
      <w:r>
        <w:rPr>
          <w:rFonts w:hint="eastAsia" w:hAnsi="宋体"/>
          <w:b/>
          <w:bCs/>
          <w:color w:val="auto"/>
          <w:w w:val="95"/>
          <w:sz w:val="28"/>
          <w:szCs w:val="28"/>
          <w:highlight w:val="none"/>
          <w:u w:val="single"/>
          <w:lang w:val="en-US" w:eastAsia="zh-CN"/>
        </w:rPr>
        <w:t>11</w:t>
      </w:r>
      <w:r>
        <w:rPr>
          <w:rFonts w:hint="eastAsia" w:hAnsi="宋体"/>
          <w:b/>
          <w:bCs/>
          <w:color w:val="auto"/>
          <w:w w:val="95"/>
          <w:sz w:val="28"/>
          <w:szCs w:val="28"/>
          <w:highlight w:val="none"/>
        </w:rPr>
        <w:t>月</w:t>
      </w:r>
    </w:p>
    <w:p>
      <w:pPr>
        <w:pStyle w:val="24"/>
        <w:snapToGrid w:val="0"/>
        <w:rPr>
          <w:rFonts w:hAnsi="宋体" w:cs="Times New Roman"/>
          <w:b/>
          <w:bCs/>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7"/>
        <w:framePr w:wrap="around" w:vAnchor="text" w:hAnchor="page" w:x="9837" w:y="1"/>
        <w:rPr>
          <w:rStyle w:val="41"/>
          <w:rFonts w:ascii="仿宋" w:hAnsi="仿宋" w:eastAsia="仿宋"/>
          <w:color w:val="auto"/>
          <w:sz w:val="28"/>
          <w:szCs w:val="28"/>
          <w:highlight w:val="none"/>
        </w:rPr>
      </w:pPr>
    </w:p>
    <w:p>
      <w:pPr>
        <w:pStyle w:val="24"/>
        <w:snapToGrid w:val="0"/>
        <w:jc w:val="right"/>
        <w:rPr>
          <w:rFonts w:cs="Times New Roman"/>
          <w:color w:val="auto"/>
          <w:highlight w:val="none"/>
        </w:rPr>
      </w:pPr>
    </w:p>
    <w:p>
      <w:pPr>
        <w:pStyle w:val="24"/>
        <w:snapToGrid w:val="0"/>
        <w:rPr>
          <w:rFonts w:hAnsi="宋体"/>
          <w:b/>
          <w:bCs/>
          <w:color w:val="auto"/>
          <w:sz w:val="28"/>
          <w:szCs w:val="28"/>
          <w:highlight w:val="none"/>
        </w:rPr>
      </w:pPr>
    </w:p>
    <w:p>
      <w:pPr>
        <w:pStyle w:val="24"/>
        <w:snapToGrid w:val="0"/>
        <w:rPr>
          <w:rFonts w:hAnsi="宋体"/>
          <w:b/>
          <w:bCs/>
          <w:color w:val="auto"/>
          <w:sz w:val="28"/>
          <w:szCs w:val="28"/>
          <w:highlight w:val="none"/>
        </w:rPr>
      </w:pPr>
    </w:p>
    <w:p>
      <w:pPr>
        <w:rPr>
          <w:rFonts w:ascii="宋体"/>
          <w:b/>
          <w:bCs/>
          <w:color w:val="auto"/>
          <w:sz w:val="44"/>
          <w:szCs w:val="44"/>
          <w:highlight w:val="none"/>
        </w:rPr>
      </w:pPr>
    </w:p>
    <w:p>
      <w:pPr>
        <w:pStyle w:val="24"/>
        <w:snapToGrid w:val="0"/>
        <w:ind w:right="140"/>
        <w:jc w:val="center"/>
        <w:rPr>
          <w:rFonts w:hAnsi="宋体" w:cs="Times New Roman"/>
          <w:b/>
          <w:bCs/>
          <w:color w:val="auto"/>
          <w:sz w:val="44"/>
          <w:szCs w:val="44"/>
          <w:highlight w:val="none"/>
        </w:rPr>
      </w:pPr>
      <w:r>
        <w:rPr>
          <w:rFonts w:hint="eastAsia" w:hAnsi="宋体"/>
          <w:b/>
          <w:bCs/>
          <w:color w:val="auto"/>
          <w:sz w:val="44"/>
          <w:szCs w:val="44"/>
          <w:highlight w:val="none"/>
        </w:rPr>
        <w:t>目录</w:t>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"_Toc31691" </w:instrText>
      </w:r>
      <w:r>
        <w:rPr>
          <w:color w:val="auto"/>
          <w:highlight w:val="none"/>
        </w:rPr>
        <w:fldChar w:fldCharType="separate"/>
      </w:r>
      <w:r>
        <w:rPr>
          <w:rFonts w:hint="eastAsia"/>
          <w:color w:val="auto"/>
          <w:szCs w:val="44"/>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_Toc31691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"_Toc6659" </w:instrText>
      </w:r>
      <w:r>
        <w:rPr>
          <w:color w:val="auto"/>
          <w:highlight w:val="none"/>
        </w:rPr>
        <w:fldChar w:fldCharType="separate"/>
      </w:r>
      <w:r>
        <w:rPr>
          <w:rFonts w:hint="eastAsia"/>
          <w:color w:val="auto"/>
          <w:szCs w:val="44"/>
          <w:highlight w:val="none"/>
        </w:rPr>
        <w:t>第二章招标项目采购需求</w:t>
      </w:r>
      <w:r>
        <w:rPr>
          <w:color w:val="auto"/>
          <w:highlight w:val="none"/>
        </w:rPr>
        <w:tab/>
      </w:r>
      <w:r>
        <w:rPr>
          <w:color w:val="auto"/>
          <w:highlight w:val="none"/>
        </w:rPr>
        <w:fldChar w:fldCharType="begin"/>
      </w:r>
      <w:r>
        <w:rPr>
          <w:color w:val="auto"/>
          <w:highlight w:val="none"/>
        </w:rPr>
        <w:instrText xml:space="preserve"> PAGEREF _Toc6659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"_Toc20956" </w:instrText>
      </w:r>
      <w:r>
        <w:rPr>
          <w:color w:val="auto"/>
          <w:highlight w:val="none"/>
        </w:rPr>
        <w:fldChar w:fldCharType="separate"/>
      </w:r>
      <w:r>
        <w:rPr>
          <w:rFonts w:hint="eastAsia"/>
          <w:color w:val="auto"/>
          <w:szCs w:val="44"/>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_Toc20956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"_Toc26858" </w:instrText>
      </w:r>
      <w:r>
        <w:rPr>
          <w:color w:val="auto"/>
          <w:highlight w:val="none"/>
        </w:rPr>
        <w:fldChar w:fldCharType="separate"/>
      </w:r>
      <w:r>
        <w:rPr>
          <w:rFonts w:hint="eastAsia"/>
          <w:color w:val="auto"/>
          <w:szCs w:val="44"/>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_Toc26858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"_Toc31377" </w:instrText>
      </w:r>
      <w:r>
        <w:rPr>
          <w:color w:val="auto"/>
          <w:highlight w:val="none"/>
        </w:rPr>
        <w:fldChar w:fldCharType="separate"/>
      </w:r>
      <w:r>
        <w:rPr>
          <w:rFonts w:hint="eastAsia"/>
          <w:color w:val="auto"/>
          <w:szCs w:val="44"/>
          <w:highlight w:val="none"/>
        </w:rPr>
        <w:t>第五章合同主要条款格式</w:t>
      </w:r>
      <w:r>
        <w:rPr>
          <w:color w:val="auto"/>
          <w:highlight w:val="none"/>
        </w:rPr>
        <w:tab/>
      </w:r>
      <w:r>
        <w:rPr>
          <w:color w:val="auto"/>
          <w:highlight w:val="none"/>
        </w:rPr>
        <w:fldChar w:fldCharType="begin"/>
      </w:r>
      <w:r>
        <w:rPr>
          <w:color w:val="auto"/>
          <w:highlight w:val="none"/>
        </w:rPr>
        <w:instrText xml:space="preserve"> PAGEREF _Toc31377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"_Toc26296" </w:instrText>
      </w:r>
      <w:r>
        <w:rPr>
          <w:color w:val="auto"/>
          <w:highlight w:val="none"/>
        </w:rPr>
        <w:fldChar w:fldCharType="separate"/>
      </w:r>
      <w:r>
        <w:rPr>
          <w:rFonts w:hint="eastAsia"/>
          <w:color w:val="auto"/>
          <w:szCs w:val="44"/>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_Toc26296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"_Toc27844" </w:instrText>
      </w:r>
      <w:r>
        <w:rPr>
          <w:color w:val="auto"/>
          <w:highlight w:val="none"/>
        </w:rPr>
        <w:fldChar w:fldCharType="separate"/>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_Toc27844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9"/>
        <w:spacing w:line="480" w:lineRule="auto"/>
        <w:ind w:firstLine="241"/>
        <w:rPr>
          <w:color w:val="auto"/>
          <w:highlight w:val="none"/>
        </w:rPr>
      </w:pPr>
      <w:r>
        <w:rPr>
          <w:color w:val="auto"/>
          <w:highlight w:val="none"/>
        </w:rPr>
        <w:fldChar w:fldCharType="end"/>
      </w: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pStyle w:val="24"/>
        <w:snapToGrid w:val="0"/>
        <w:jc w:val="center"/>
        <w:outlineLvl w:val="0"/>
        <w:rPr>
          <w:rFonts w:hAnsi="宋体" w:cs="Times New Roman"/>
          <w:color w:val="auto"/>
          <w:highlight w:val="none"/>
        </w:rPr>
      </w:pPr>
      <w:bookmarkStart w:id="0" w:name="_Toc254970489"/>
      <w:bookmarkStart w:id="1" w:name="_Toc254970630"/>
      <w:r>
        <w:rPr>
          <w:rFonts w:hAnsi="宋体" w:cs="Times New Roman"/>
          <w:color w:val="auto"/>
          <w:highlight w:val="none"/>
        </w:rPr>
        <w:br w:type="page"/>
      </w: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b/>
          <w:bCs/>
          <w:color w:val="auto"/>
          <w:sz w:val="44"/>
          <w:szCs w:val="44"/>
          <w:highlight w:val="none"/>
        </w:rPr>
      </w:pPr>
      <w:bookmarkStart w:id="2" w:name="_Toc31691"/>
      <w:bookmarkStart w:id="3" w:name="_Toc30585"/>
      <w:r>
        <w:rPr>
          <w:rFonts w:hint="eastAsia" w:hAnsi="宋体"/>
          <w:b/>
          <w:bCs/>
          <w:color w:val="auto"/>
          <w:sz w:val="44"/>
          <w:szCs w:val="44"/>
          <w:highlight w:val="none"/>
        </w:rPr>
        <w:t>第一章公开招标公告</w:t>
      </w:r>
      <w:bookmarkEnd w:id="0"/>
      <w:bookmarkEnd w:id="1"/>
      <w:bookmarkEnd w:id="2"/>
      <w:bookmarkEnd w:id="3"/>
    </w:p>
    <w:p>
      <w:pPr>
        <w:overflowPunct w:val="0"/>
        <w:autoSpaceDE w:val="0"/>
        <w:autoSpaceDN w:val="0"/>
        <w:adjustRightInd w:val="0"/>
        <w:spacing w:line="400" w:lineRule="exact"/>
        <w:ind w:firstLine="420" w:firstLineChars="200"/>
        <w:jc w:val="center"/>
        <w:rPr>
          <w:rFonts w:ascii="宋体"/>
          <w:b/>
          <w:bCs/>
          <w:color w:val="auto"/>
          <w:spacing w:val="-6"/>
          <w:sz w:val="30"/>
          <w:szCs w:val="30"/>
          <w:highlight w:val="none"/>
        </w:rPr>
      </w:pPr>
      <w:r>
        <w:rPr>
          <w:rFonts w:ascii="宋体"/>
          <w:color w:val="auto"/>
          <w:highlight w:val="none"/>
        </w:rPr>
        <w:br w:type="page"/>
      </w:r>
      <w:r>
        <w:rPr>
          <w:rFonts w:hint="eastAsia" w:ascii="宋体" w:hAnsi="宋体" w:cs="宋体"/>
          <w:b/>
          <w:bCs/>
          <w:color w:val="auto"/>
          <w:spacing w:val="-6"/>
          <w:sz w:val="30"/>
          <w:szCs w:val="30"/>
          <w:highlight w:val="none"/>
        </w:rPr>
        <w:t>广西建设工程机电设备招标中心有限公司</w:t>
      </w:r>
    </w:p>
    <w:p>
      <w:pPr>
        <w:overflowPunct w:val="0"/>
        <w:autoSpaceDE w:val="0"/>
        <w:autoSpaceDN w:val="0"/>
        <w:adjustRightInd w:val="0"/>
        <w:spacing w:line="400" w:lineRule="exact"/>
        <w:jc w:val="center"/>
        <w:rPr>
          <w:rFonts w:hint="eastAsia" w:ascii="宋体" w:hAnsi="宋体" w:eastAsia="宋体" w:cs="宋体"/>
          <w:b/>
          <w:bCs/>
          <w:color w:val="auto"/>
          <w:spacing w:val="-6"/>
          <w:sz w:val="30"/>
          <w:szCs w:val="30"/>
          <w:highlight w:val="none"/>
          <w:lang w:eastAsia="zh-CN"/>
        </w:rPr>
      </w:pPr>
      <w:r>
        <w:rPr>
          <w:rFonts w:hint="eastAsia" w:ascii="宋体" w:hAnsi="宋体" w:cs="宋体"/>
          <w:b/>
          <w:bCs/>
          <w:color w:val="auto"/>
          <w:spacing w:val="-6"/>
          <w:sz w:val="30"/>
          <w:szCs w:val="30"/>
          <w:highlight w:val="none"/>
          <w:lang w:eastAsia="zh-CN"/>
        </w:rPr>
        <w:t>南宁市青秀区两个耕地提质改造（旱改水）项目整改及管护工作</w:t>
      </w:r>
    </w:p>
    <w:p>
      <w:pPr>
        <w:overflowPunct w:val="0"/>
        <w:autoSpaceDE w:val="0"/>
        <w:autoSpaceDN w:val="0"/>
        <w:adjustRightInd w:val="0"/>
        <w:spacing w:line="400" w:lineRule="exact"/>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rPr>
        <w:t>（编号：</w:t>
      </w:r>
      <w:r>
        <w:rPr>
          <w:rFonts w:hint="eastAsia" w:ascii="宋体" w:hAnsi="宋体" w:cs="宋体"/>
          <w:b/>
          <w:bCs/>
          <w:color w:val="auto"/>
          <w:spacing w:val="-6"/>
          <w:sz w:val="30"/>
          <w:szCs w:val="30"/>
          <w:highlight w:val="none"/>
          <w:lang w:eastAsia="zh-CN"/>
        </w:rPr>
        <w:t>QXZC2020-G3-00873-001</w:t>
      </w:r>
      <w:r>
        <w:rPr>
          <w:rFonts w:hint="eastAsia" w:ascii="宋体" w:hAnsi="宋体" w:cs="宋体"/>
          <w:b/>
          <w:bCs/>
          <w:color w:val="auto"/>
          <w:spacing w:val="-6"/>
          <w:sz w:val="30"/>
          <w:szCs w:val="30"/>
          <w:highlight w:val="none"/>
        </w:rPr>
        <w:t>）</w:t>
      </w:r>
    </w:p>
    <w:p>
      <w:pPr>
        <w:overflowPunct w:val="0"/>
        <w:autoSpaceDE w:val="0"/>
        <w:autoSpaceDN w:val="0"/>
        <w:adjustRightInd w:val="0"/>
        <w:spacing w:line="400" w:lineRule="exact"/>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南宁市青秀区两个耕地提质改造（旱改水）项目整改及管护工作</w:t>
      </w:r>
      <w:r>
        <w:rPr>
          <w:rFonts w:hint="eastAsia" w:ascii="宋体" w:hAnsi="宋体" w:cs="宋体"/>
          <w:color w:val="auto"/>
          <w:sz w:val="24"/>
          <w:highlight w:val="none"/>
        </w:rPr>
        <w:t>采购项目的潜在投标人应</w:t>
      </w:r>
      <w:r>
        <w:rPr>
          <w:rFonts w:hint="eastAsia" w:ascii="宋体" w:hAnsi="宋体" w:cs="宋体"/>
          <w:color w:val="auto"/>
          <w:sz w:val="24"/>
          <w:highlight w:val="none"/>
          <w:u w:val="single"/>
        </w:rPr>
        <w:t>登陆南宁市公共资源交易中心网站（网址：</w:t>
      </w: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HYPERLINK "http://www.nnggzy.org.cn），在南宁市公共资源交易中心的采购公告栏内查找相关项目的采购公告，并点击该</w:instrText>
      </w:r>
      <w:r>
        <w:rPr>
          <w:rFonts w:hint="eastAsia" w:ascii="宋体" w:hAnsi="宋体" w:cs="宋体"/>
          <w:color w:val="auto"/>
          <w:sz w:val="24"/>
          <w:highlight w:val="none"/>
        </w:rPr>
        <w:instrText xml:space="preserve">公告的附件，即可免费浏览或下载项目的采购文件，并于2020年9月" </w:instrText>
      </w:r>
      <w:r>
        <w:rPr>
          <w:rFonts w:hint="eastAsia" w:ascii="宋体" w:hAnsi="宋体" w:cs="宋体"/>
          <w:color w:val="auto"/>
          <w:sz w:val="24"/>
          <w:highlight w:val="none"/>
        </w:rPr>
        <w:fldChar w:fldCharType="separate"/>
      </w:r>
      <w:r>
        <w:rPr>
          <w:rStyle w:val="43"/>
          <w:rFonts w:hint="eastAsia" w:ascii="宋体" w:hAnsi="宋体" w:cs="宋体"/>
          <w:color w:val="auto"/>
          <w:sz w:val="24"/>
          <w:highlight w:val="none"/>
          <w:u w:val="single"/>
        </w:rPr>
        <w:t>www.nnggzy.org.cn</w:t>
      </w:r>
      <w:r>
        <w:rPr>
          <w:rStyle w:val="43"/>
          <w:rFonts w:hint="eastAsia" w:ascii="宋体" w:hAnsi="宋体" w:cs="宋体"/>
          <w:color w:val="auto"/>
          <w:sz w:val="24"/>
          <w:highlight w:val="none"/>
        </w:rPr>
        <w:t>），在南宁市公共资源交易中心的采购公告栏内查找相关项目的采购公告，并点击该公告的附件，即可免费浏览或下载项目的采购文件，并于</w:t>
      </w:r>
      <w:r>
        <w:rPr>
          <w:rStyle w:val="43"/>
          <w:rFonts w:hint="eastAsia" w:ascii="宋体" w:hAnsi="宋体" w:cs="宋体"/>
          <w:bCs/>
          <w:color w:val="auto"/>
          <w:sz w:val="24"/>
          <w:highlight w:val="none"/>
          <w:u w:val="single"/>
        </w:rPr>
        <w:t>2020年</w:t>
      </w:r>
      <w:r>
        <w:rPr>
          <w:rStyle w:val="43"/>
          <w:rFonts w:hint="eastAsia" w:ascii="宋体" w:hAnsi="宋体" w:cs="宋体"/>
          <w:bCs/>
          <w:color w:val="auto"/>
          <w:sz w:val="24"/>
          <w:highlight w:val="none"/>
          <w:u w:val="single"/>
          <w:lang w:val="en-US" w:eastAsia="zh-CN"/>
        </w:rPr>
        <w:t>12</w:t>
      </w:r>
      <w:r>
        <w:rPr>
          <w:rStyle w:val="43"/>
          <w:rFonts w:hint="eastAsia" w:ascii="宋体" w:hAnsi="宋体" w:cs="宋体"/>
          <w:bCs/>
          <w:color w:val="auto"/>
          <w:sz w:val="24"/>
          <w:highlight w:val="none"/>
          <w:u w:val="single"/>
        </w:rPr>
        <w:t>月</w:t>
      </w:r>
      <w:r>
        <w:rPr>
          <w:rFonts w:hint="eastAsia" w:ascii="宋体" w:hAnsi="宋体" w:cs="宋体"/>
          <w:color w:val="auto"/>
          <w:sz w:val="24"/>
          <w:highlight w:val="none"/>
          <w:u w:val="single"/>
        </w:rPr>
        <w:fldChar w:fldCharType="end"/>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4"/>
        <w:spacing w:line="360" w:lineRule="exact"/>
        <w:rPr>
          <w:rFonts w:ascii="宋体" w:hAnsi="宋体" w:cs="宋体"/>
          <w:bCs w:val="0"/>
          <w:color w:val="auto"/>
          <w:sz w:val="24"/>
          <w:szCs w:val="24"/>
          <w:highlight w:val="none"/>
        </w:rPr>
      </w:pPr>
      <w:bookmarkStart w:id="4" w:name="_Toc28359012"/>
      <w:bookmarkStart w:id="5" w:name="_Toc35393629"/>
      <w:bookmarkStart w:id="6" w:name="_Toc28359089"/>
      <w:bookmarkStart w:id="7" w:name="_Toc35393798"/>
      <w:r>
        <w:rPr>
          <w:rFonts w:hint="eastAsia" w:ascii="宋体" w:hAnsi="宋体" w:cs="宋体"/>
          <w:bCs w:val="0"/>
          <w:color w:val="auto"/>
          <w:sz w:val="24"/>
          <w:szCs w:val="24"/>
          <w:highlight w:val="none"/>
        </w:rPr>
        <w:t>一、项目基本情况</w:t>
      </w:r>
      <w:bookmarkEnd w:id="4"/>
      <w:bookmarkEnd w:id="5"/>
      <w:bookmarkEnd w:id="6"/>
      <w:bookmarkEnd w:id="7"/>
    </w:p>
    <w:p>
      <w:pPr>
        <w:spacing w:line="3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项目编号：QXZC2020-G3-00873-001</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政府采购计划文号：QXZC2020-G3-00873-001</w:t>
      </w:r>
    </w:p>
    <w:p>
      <w:pPr>
        <w:spacing w:line="36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南宁市青秀区两个耕地提质改造（旱改水）项目整改及管护工作</w:t>
      </w:r>
    </w:p>
    <w:p>
      <w:pPr>
        <w:spacing w:line="360" w:lineRule="exact"/>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预算金额：</w:t>
      </w:r>
      <w:r>
        <w:rPr>
          <w:rFonts w:hint="eastAsia" w:ascii="宋体" w:hAnsi="宋体" w:cs="宋体"/>
          <w:b w:val="0"/>
          <w:bCs w:val="0"/>
          <w:color w:val="auto"/>
          <w:sz w:val="24"/>
          <w:szCs w:val="24"/>
          <w:highlight w:val="none"/>
          <w:lang w:val="en-US" w:eastAsia="zh-CN"/>
        </w:rPr>
        <w:t>2735070.52</w:t>
      </w:r>
      <w:r>
        <w:rPr>
          <w:rFonts w:hint="eastAsia" w:ascii="宋体" w:hAnsi="宋体" w:cs="宋体"/>
          <w:b w:val="0"/>
          <w:bCs w:val="0"/>
          <w:color w:val="auto"/>
          <w:sz w:val="24"/>
          <w:highlight w:val="none"/>
        </w:rPr>
        <w:t>元整</w:t>
      </w:r>
    </w:p>
    <w:p>
      <w:pPr>
        <w:spacing w:line="3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szCs w:val="24"/>
          <w:highlight w:val="none"/>
          <w:lang w:val="en-US" w:eastAsia="zh-CN"/>
        </w:rPr>
        <w:t>2735070.52</w:t>
      </w:r>
      <w:r>
        <w:rPr>
          <w:rFonts w:hint="eastAsia" w:ascii="宋体" w:hAnsi="宋体" w:cs="宋体"/>
          <w:b w:val="0"/>
          <w:bCs w:val="0"/>
          <w:color w:val="auto"/>
          <w:sz w:val="24"/>
          <w:highlight w:val="none"/>
        </w:rPr>
        <w:t>元整</w:t>
      </w:r>
    </w:p>
    <w:p>
      <w:pPr>
        <w:pStyle w:val="2"/>
        <w:ind w:left="0" w:leftChars="0" w:firstLine="0" w:firstLineChars="0"/>
        <w:rPr>
          <w:rFonts w:hint="default" w:eastAsia="宋体"/>
          <w:color w:val="auto"/>
          <w:lang w:val="en-US" w:eastAsia="zh-CN"/>
        </w:rPr>
      </w:pPr>
      <w:r>
        <w:rPr>
          <w:rFonts w:hint="eastAsia" w:ascii="宋体" w:hAnsi="宋体" w:cs="宋体"/>
          <w:b w:val="0"/>
          <w:bCs w:val="0"/>
          <w:color w:val="auto"/>
          <w:sz w:val="24"/>
          <w:highlight w:val="none"/>
          <w:lang w:val="en-US" w:eastAsia="zh-CN"/>
        </w:rPr>
        <w:t xml:space="preserve">    资金来源：财政资金</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项目概况：</w:t>
      </w:r>
      <w:r>
        <w:rPr>
          <w:rFonts w:hint="eastAsia" w:ascii="宋体" w:hAnsi="宋体" w:cs="宋体"/>
          <w:color w:val="auto"/>
          <w:sz w:val="24"/>
          <w:highlight w:val="none"/>
          <w:lang w:eastAsia="zh-CN"/>
        </w:rPr>
        <w:t>南宁市青秀区南阳镇等3个乡镇新光村等5个村耕地提质改造（旱改水）项目</w:t>
      </w:r>
      <w:r>
        <w:rPr>
          <w:rFonts w:hint="eastAsia" w:ascii="宋体" w:hAnsi="宋体" w:cs="宋体"/>
          <w:color w:val="auto"/>
          <w:sz w:val="24"/>
          <w:highlight w:val="none"/>
          <w:lang w:val="en-US" w:eastAsia="zh-CN"/>
        </w:rPr>
        <w:t>于2016年8月9日（立项实施面积：17.7590公顷），项目已按设计完成工程施工、工程复核、质量耕地评定等工作，目前项目指标入库所需材料已上报南宁市自然资源局，根据南国土资复[2018]0055号，项目新增水田面积：14.9262公顷，</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宁市自然资源局关于南宁市青秀区伶俐镇石塘村等3个村耕地提质改造（旱改水）项目于2017年2月4日立项（立项实施面积：25.9796公顷），项目已按设计完成工程施工、工程复核、质量耕地评定等工作，目前项目指标入库所需材料已上报南宁市自然资源局，根据南国土资发〔2019〕162号，项目新增水田面积20.5249公顷。</w:t>
      </w:r>
    </w:p>
    <w:p>
      <w:pPr>
        <w:spacing w:before="120" w:after="120"/>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以上两个项目（立项实施面积共计：43.7386公顷，新增水田面积共计：35.4511公顷）于2019年申报自然资源系统报备入库时南宁市自然资源局依据项目新的管理办法开展新增耕地核定工作，项目涉及的部分地块由于种植甘蔗、玉米等旱生作物，项目“水田指标”未能入库。本次整改和管护工作主要内容：对项目区种植甘蔗、玉米等旱生作物的地块采取有效措施，使项目区达到种植水田的标准，项目通过验收后，负责管护三年，主要内容为原则上保证连续三年每一年至少种植一造水稻、茭白、菱角、莲藕、荸荠（马蹄）、茨菇等水生农作物，确保项目工程和设施完好并正常使用。（整改项目地块情况详见南宁市青秀区南阳镇等3个乡镇新光村等5个村耕地提质改造（旱改水）项目规划设计报告及图件和南宁市青秀区伶俐镇石塘村等3个村耕地提质改造（旱改水）项目规划设计报告及图件）</w:t>
      </w:r>
    </w:p>
    <w:p>
      <w:pPr>
        <w:spacing w:line="360" w:lineRule="exact"/>
        <w:ind w:firstLine="480" w:firstLineChars="200"/>
        <w:rPr>
          <w:rFonts w:ascii="宋体" w:hAnsi="宋体"/>
          <w:color w:val="auto"/>
          <w:sz w:val="24"/>
          <w:highlight w:val="none"/>
        </w:rPr>
      </w:pPr>
      <w:r>
        <w:rPr>
          <w:rFonts w:hint="eastAsia" w:ascii="宋体" w:hAnsi="宋体" w:cs="宋体"/>
          <w:color w:val="auto"/>
          <w:sz w:val="24"/>
          <w:highlight w:val="none"/>
        </w:rPr>
        <w:t>采购需求：</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完成南宁市青秀区南阳镇等3个乡镇新光村等5个村耕地提质改造（旱改水）项目和伶俐镇石塘村等3个村耕地提质改造（旱改水）项目整改，获得自然资源厅(局）主管部门批复的水田指标并完成指标报备入库及报备入库后3年内的项目管护工作。如需进一步了解详细内容，详见</w:t>
      </w:r>
      <w:r>
        <w:rPr>
          <w:rFonts w:hint="eastAsia" w:ascii="宋体" w:hAnsi="宋体"/>
          <w:color w:val="auto"/>
          <w:sz w:val="24"/>
          <w:highlight w:val="none"/>
          <w:lang w:val="en-US" w:eastAsia="zh-CN"/>
        </w:rPr>
        <w:t>公开招标</w:t>
      </w:r>
      <w:r>
        <w:rPr>
          <w:rFonts w:hint="eastAsia" w:ascii="宋体" w:hAnsi="宋体"/>
          <w:color w:val="auto"/>
          <w:sz w:val="24"/>
          <w:highlight w:val="none"/>
        </w:rPr>
        <w:t>文件。</w:t>
      </w:r>
    </w:p>
    <w:p>
      <w:pPr>
        <w:spacing w:line="3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整改期一年（以完成新增水田指标确认入库为准），管护期</w:t>
      </w:r>
      <w:r>
        <w:rPr>
          <w:rFonts w:hint="eastAsia" w:ascii="宋体" w:hAnsi="宋体" w:cs="宋体"/>
          <w:color w:val="auto"/>
          <w:sz w:val="24"/>
          <w:highlight w:val="none"/>
          <w:shd w:val="clear" w:color="auto" w:fill="FFFFFF"/>
          <w:lang w:val="en-US" w:eastAsia="zh-CN"/>
        </w:rPr>
        <w:t>三</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管护期以项目“水田指标”报备入库时间作为起始时间）</w:t>
      </w:r>
      <w:r>
        <w:rPr>
          <w:rFonts w:hint="eastAsia" w:ascii="宋体" w:hAnsi="宋体" w:cs="宋体"/>
          <w:color w:val="auto"/>
          <w:sz w:val="24"/>
          <w:highlight w:val="none"/>
        </w:rPr>
        <w:t>。</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4"/>
        <w:spacing w:line="360" w:lineRule="exact"/>
        <w:rPr>
          <w:rFonts w:ascii="宋体" w:hAnsi="宋体" w:cs="宋体"/>
          <w:bCs w:val="0"/>
          <w:color w:val="auto"/>
          <w:sz w:val="24"/>
          <w:szCs w:val="24"/>
          <w:highlight w:val="none"/>
        </w:rPr>
      </w:pPr>
      <w:bookmarkStart w:id="8" w:name="_Toc35393630"/>
      <w:bookmarkStart w:id="9" w:name="_Toc28359090"/>
      <w:bookmarkStart w:id="10" w:name="_Toc35393799"/>
      <w:bookmarkStart w:id="11" w:name="_Toc28359013"/>
      <w:r>
        <w:rPr>
          <w:rFonts w:hint="eastAsia" w:ascii="宋体" w:hAnsi="宋体" w:cs="宋体"/>
          <w:bCs w:val="0"/>
          <w:color w:val="auto"/>
          <w:sz w:val="24"/>
          <w:szCs w:val="24"/>
          <w:highlight w:val="none"/>
        </w:rPr>
        <w:t>二、申请人的资格要求：</w:t>
      </w:r>
      <w:bookmarkEnd w:id="8"/>
      <w:bookmarkEnd w:id="9"/>
      <w:bookmarkEnd w:id="10"/>
      <w:bookmarkEnd w:id="11"/>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exact"/>
        <w:ind w:firstLine="480" w:firstLineChars="200"/>
        <w:rPr>
          <w:rFonts w:ascii="宋体" w:hAnsi="宋体" w:cs="宋体"/>
          <w:color w:val="auto"/>
          <w:sz w:val="24"/>
          <w:highlight w:val="none"/>
        </w:rPr>
      </w:pPr>
      <w:bookmarkStart w:id="12" w:name="_Toc28359091"/>
      <w:bookmarkStart w:id="13" w:name="_Toc28359014"/>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%的扣除。监狱企业视同小型和微型企业，其产品在评审时给予相同的价格扣除。残疾人福利性单位属于小型、微型企业的，不重复享受政策。</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pStyle w:val="4"/>
        <w:spacing w:line="360" w:lineRule="exact"/>
        <w:rPr>
          <w:rFonts w:ascii="宋体" w:hAnsi="宋体" w:cs="宋体"/>
          <w:bCs w:val="0"/>
          <w:color w:val="auto"/>
          <w:sz w:val="24"/>
          <w:szCs w:val="24"/>
          <w:highlight w:val="none"/>
        </w:rPr>
      </w:pPr>
      <w:bookmarkStart w:id="14" w:name="_Toc35393631"/>
      <w:bookmarkStart w:id="15" w:name="_Toc35393800"/>
      <w:r>
        <w:rPr>
          <w:rFonts w:hint="eastAsia" w:ascii="宋体" w:hAnsi="宋体" w:cs="宋体"/>
          <w:bCs w:val="0"/>
          <w:color w:val="auto"/>
          <w:sz w:val="24"/>
          <w:szCs w:val="24"/>
          <w:highlight w:val="none"/>
        </w:rPr>
        <w:t>三、获取采购文件</w:t>
      </w:r>
      <w:bookmarkEnd w:id="12"/>
      <w:bookmarkEnd w:id="13"/>
      <w:bookmarkEnd w:id="14"/>
      <w:bookmarkEnd w:id="15"/>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时间：2020年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日至2020年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w:t>
      </w:r>
    </w:p>
    <w:p>
      <w:pPr>
        <w:spacing w:line="360" w:lineRule="exact"/>
        <w:ind w:firstLine="540"/>
        <w:rPr>
          <w:rFonts w:ascii="宋体" w:hAnsi="宋体" w:cs="宋体"/>
          <w:color w:val="auto"/>
          <w:sz w:val="24"/>
          <w:highlight w:val="none"/>
          <w:u w:val="single"/>
        </w:rPr>
      </w:pPr>
      <w:r>
        <w:rPr>
          <w:rFonts w:hint="eastAsia" w:ascii="宋体" w:hAnsi="宋体" w:cs="宋体"/>
          <w:color w:val="auto"/>
          <w:sz w:val="24"/>
          <w:highlight w:val="none"/>
        </w:rPr>
        <w:t>地点：南宁市公共资源交易中心网站（网址：www.nnggzy.org.cn）</w:t>
      </w:r>
    </w:p>
    <w:p>
      <w:pPr>
        <w:spacing w:line="360" w:lineRule="exact"/>
        <w:ind w:firstLine="540"/>
        <w:rPr>
          <w:rFonts w:ascii="宋体" w:hAnsi="宋体" w:cs="宋体"/>
          <w:color w:val="auto"/>
          <w:sz w:val="24"/>
          <w:highlight w:val="none"/>
          <w:u w:val="single"/>
        </w:rPr>
      </w:pPr>
      <w:r>
        <w:rPr>
          <w:rFonts w:hint="eastAsia" w:ascii="宋体" w:hAnsi="宋体" w:cs="宋体"/>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售价：0元。</w:t>
      </w:r>
    </w:p>
    <w:p>
      <w:pPr>
        <w:pStyle w:val="4"/>
        <w:spacing w:line="360" w:lineRule="exact"/>
        <w:rPr>
          <w:rFonts w:ascii="宋体" w:hAnsi="宋体" w:cs="宋体"/>
          <w:bCs w:val="0"/>
          <w:color w:val="auto"/>
          <w:sz w:val="24"/>
          <w:szCs w:val="24"/>
          <w:highlight w:val="none"/>
        </w:rPr>
      </w:pPr>
      <w:bookmarkStart w:id="16" w:name="_Toc28359092"/>
      <w:bookmarkStart w:id="17" w:name="_Toc35393801"/>
      <w:bookmarkStart w:id="18" w:name="_Toc28359015"/>
      <w:bookmarkStart w:id="19" w:name="_Toc35393632"/>
      <w:r>
        <w:rPr>
          <w:rFonts w:hint="eastAsia" w:ascii="宋体" w:hAnsi="宋体" w:cs="宋体"/>
          <w:bCs w:val="0"/>
          <w:color w:val="auto"/>
          <w:sz w:val="24"/>
          <w:szCs w:val="24"/>
          <w:highlight w:val="none"/>
        </w:rPr>
        <w:t>四、</w:t>
      </w:r>
      <w:bookmarkEnd w:id="16"/>
      <w:bookmarkEnd w:id="17"/>
      <w:bookmarkEnd w:id="18"/>
      <w:bookmarkEnd w:id="19"/>
      <w:r>
        <w:rPr>
          <w:rFonts w:hint="eastAsia" w:ascii="宋体" w:hAnsi="宋体" w:cs="宋体"/>
          <w:bCs w:val="0"/>
          <w:color w:val="auto"/>
          <w:sz w:val="24"/>
          <w:szCs w:val="24"/>
          <w:highlight w:val="none"/>
        </w:rPr>
        <w:t>提交投标文件截止时间、开标时间和地点</w:t>
      </w:r>
    </w:p>
    <w:p>
      <w:pPr>
        <w:spacing w:line="36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截止时间：2020</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日9点30分（北京时间）</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spacing w:line="3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根据《南宁市机关事务管理局关于疫情防控期间恢复全市公共资源现场交易活动的通知》文件精神，疫情防控期间，按照“不见面、少接触”的原则，投标人不参加现场开标会。</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1、本项目的投标文件通过邮寄快递的方式送达(不接受现场递交)。</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投标文件</w:t>
      </w:r>
      <w:r>
        <w:rPr>
          <w:rFonts w:hint="eastAsia" w:ascii="宋体" w:hAnsi="宋体" w:cs="宋体"/>
          <w:color w:val="auto"/>
          <w:highlight w:val="none"/>
        </w:rPr>
        <w:t>邮寄地址：南宁市青秀区纬武路165号招标中心</w:t>
      </w:r>
      <w:r>
        <w:rPr>
          <w:rFonts w:hint="eastAsia" w:ascii="宋体" w:hAnsi="宋体" w:cs="宋体"/>
          <w:color w:val="auto"/>
          <w:highlight w:val="none"/>
          <w:lang w:val="en-US" w:eastAsia="zh-CN"/>
        </w:rPr>
        <w:t>2</w:t>
      </w:r>
      <w:r>
        <w:rPr>
          <w:rFonts w:hint="eastAsia" w:ascii="宋体" w:hAnsi="宋体" w:cs="宋体"/>
          <w:color w:val="auto"/>
          <w:highlight w:val="none"/>
        </w:rPr>
        <w:t>楼</w:t>
      </w:r>
      <w:r>
        <w:rPr>
          <w:rFonts w:hint="eastAsia" w:ascii="宋体" w:hAnsi="宋体" w:cs="宋体"/>
          <w:color w:val="auto"/>
          <w:highlight w:val="none"/>
          <w:lang w:val="en-US" w:eastAsia="zh-CN"/>
        </w:rPr>
        <w:t>206</w:t>
      </w:r>
      <w:r>
        <w:rPr>
          <w:rFonts w:hint="eastAsia" w:ascii="宋体" w:hAnsi="宋体" w:cs="宋体"/>
          <w:color w:val="auto"/>
          <w:highlight w:val="none"/>
        </w:rPr>
        <w:t>室；收件人：</w:t>
      </w:r>
      <w:r>
        <w:rPr>
          <w:rFonts w:hint="eastAsia" w:ascii="宋体" w:hAnsi="宋体" w:cs="宋体"/>
          <w:color w:val="auto"/>
          <w:highlight w:val="none"/>
          <w:lang w:eastAsia="zh-CN"/>
        </w:rPr>
        <w:t>谌金群</w:t>
      </w:r>
      <w:r>
        <w:rPr>
          <w:rFonts w:hint="eastAsia" w:ascii="宋体" w:hAnsi="宋体" w:cs="宋体"/>
          <w:color w:val="auto"/>
          <w:highlight w:val="none"/>
        </w:rPr>
        <w:t>；联系电话：</w:t>
      </w:r>
      <w:r>
        <w:rPr>
          <w:rFonts w:hint="eastAsia" w:ascii="宋体" w:hAnsi="宋体" w:cs="宋体"/>
          <w:color w:val="auto"/>
          <w:highlight w:val="none"/>
          <w:lang w:eastAsia="zh-CN"/>
        </w:rPr>
        <w:t>0771-2807659</w:t>
      </w:r>
      <w:r>
        <w:rPr>
          <w:rFonts w:hint="eastAsia" w:ascii="宋体" w:hAnsi="宋体" w:cs="宋体"/>
          <w:color w:val="auto"/>
          <w:highlight w:val="none"/>
        </w:rPr>
        <w:t>。</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4、采购代理机构将在投标截止时间前一小时统一将收到的投标运送至南宁市公共资源交易中心，以确保本项目能在截止（开标）时间准时截标。投标人应充分预留</w:t>
      </w:r>
      <w:r>
        <w:rPr>
          <w:rFonts w:hint="eastAsia" w:ascii="宋体" w:hAnsi="宋体" w:cs="宋体"/>
          <w:color w:val="auto"/>
          <w:highlight w:val="none"/>
          <w:lang w:eastAsia="zh-CN"/>
        </w:rPr>
        <w:t>投标文件</w:t>
      </w:r>
      <w:r>
        <w:rPr>
          <w:rFonts w:hint="eastAsia" w:ascii="宋体" w:hAnsi="宋体" w:cs="宋体"/>
          <w:color w:val="auto"/>
          <w:highlight w:val="none"/>
        </w:rPr>
        <w:t>邮寄、送达所需要的时间。为确保疫情防控期间邮寄包裹能及时送达，应选择邮寄运送时间有保障的快递公司寄送投标，并确保在投标截止日期1个工作日前内送达。</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5、投标人在按照招标文件的要求装订、密封好</w:t>
      </w:r>
      <w:r>
        <w:rPr>
          <w:rFonts w:hint="eastAsia" w:ascii="宋体" w:hAnsi="宋体" w:cs="宋体"/>
          <w:color w:val="auto"/>
          <w:highlight w:val="none"/>
          <w:lang w:eastAsia="zh-CN"/>
        </w:rPr>
        <w:t>投标文件</w:t>
      </w:r>
      <w:r>
        <w:rPr>
          <w:rFonts w:hint="eastAsia" w:ascii="宋体" w:hAnsi="宋体" w:cs="宋体"/>
          <w:color w:val="auto"/>
          <w:highlight w:val="none"/>
        </w:rPr>
        <w:t>后，应使用不透明、防水的邮寄袋或箱子再次包裹已密封好的投标，并在邮寄袋或箱子上粘牢注明项目名称、项目编号、项目开标日期、有效的电子邮箱等内容的纸质表格（表格格式详见附件）。</w:t>
      </w:r>
    </w:p>
    <w:tbl>
      <w:tblPr>
        <w:tblStyle w:val="3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0" w:type="dxa"/>
          </w:tcPr>
          <w:p>
            <w:pPr>
              <w:widowControl/>
              <w:spacing w:before="100" w:after="100" w:line="360" w:lineRule="exact"/>
              <w:jc w:val="left"/>
              <w:rPr>
                <w:color w:val="auto"/>
                <w:sz w:val="24"/>
                <w:highlight w:val="none"/>
              </w:rPr>
            </w:pPr>
            <w:r>
              <w:rPr>
                <w:rFonts w:hint="eastAsia" w:ascii="宋体" w:hAnsi="宋体" w:cs="宋体"/>
                <w:color w:val="auto"/>
                <w:kern w:val="0"/>
                <w:sz w:val="24"/>
                <w:highlight w:val="none"/>
              </w:rPr>
              <w:t>附件：</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18"/>
              <w:spacing w:line="360" w:lineRule="exact"/>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w:t>
      </w:r>
      <w:r>
        <w:rPr>
          <w:rFonts w:hint="eastAsia" w:ascii="宋体" w:hAnsi="宋体" w:cs="宋体"/>
          <w:color w:val="auto"/>
          <w:highlight w:val="none"/>
          <w:lang w:eastAsia="zh-CN"/>
        </w:rPr>
        <w:t>投标文件</w:t>
      </w:r>
      <w:r>
        <w:rPr>
          <w:rFonts w:hint="eastAsia" w:ascii="宋体" w:hAnsi="宋体" w:cs="宋体"/>
          <w:color w:val="auto"/>
          <w:highlight w:val="none"/>
        </w:rPr>
        <w:t>的邮寄包裹后，第一时间按照供应商在邮寄包裹上所预留的电子邮箱告知投标收件情况，请投标人务必确保所预留电子邮箱的有效性，并注意查收邮件。</w:t>
      </w:r>
    </w:p>
    <w:p>
      <w:pPr>
        <w:pStyle w:val="4"/>
        <w:spacing w:line="360" w:lineRule="exact"/>
        <w:rPr>
          <w:rFonts w:ascii="宋体" w:hAnsi="宋体" w:cs="宋体"/>
          <w:bCs w:val="0"/>
          <w:color w:val="auto"/>
          <w:sz w:val="24"/>
          <w:szCs w:val="24"/>
          <w:highlight w:val="none"/>
        </w:rPr>
      </w:pPr>
      <w:bookmarkStart w:id="20" w:name="_Toc28359016"/>
      <w:bookmarkStart w:id="21" w:name="_Toc35393633"/>
      <w:bookmarkStart w:id="22" w:name="_Toc35393802"/>
      <w:bookmarkStart w:id="23" w:name="_Toc28359093"/>
      <w:r>
        <w:rPr>
          <w:rFonts w:hint="eastAsia" w:ascii="宋体" w:hAnsi="宋体" w:cs="宋体"/>
          <w:bCs w:val="0"/>
          <w:color w:val="auto"/>
          <w:sz w:val="24"/>
          <w:szCs w:val="24"/>
          <w:highlight w:val="none"/>
        </w:rPr>
        <w:t>五、开启</w:t>
      </w:r>
      <w:bookmarkEnd w:id="20"/>
      <w:bookmarkEnd w:id="21"/>
      <w:bookmarkEnd w:id="22"/>
      <w:bookmarkEnd w:id="23"/>
    </w:p>
    <w:p>
      <w:pPr>
        <w:spacing w:line="36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w:t>
      </w:r>
      <w:r>
        <w:rPr>
          <w:rFonts w:hint="eastAsia" w:ascii="宋体" w:hAnsi="宋体" w:cs="宋体"/>
          <w:bCs/>
          <w:color w:val="auto"/>
          <w:sz w:val="24"/>
          <w:highlight w:val="none"/>
          <w:lang w:eastAsia="zh-CN"/>
        </w:rPr>
        <w:t>投标文件</w:t>
      </w:r>
      <w:r>
        <w:rPr>
          <w:rFonts w:hint="eastAsia" w:ascii="宋体" w:hAnsi="宋体" w:cs="宋体"/>
          <w:bCs/>
          <w:color w:val="auto"/>
          <w:sz w:val="24"/>
          <w:highlight w:val="none"/>
        </w:rPr>
        <w:t>提交</w:t>
      </w:r>
      <w:r>
        <w:rPr>
          <w:rFonts w:hint="eastAsia" w:ascii="宋体" w:hAnsi="宋体" w:cs="宋体"/>
          <w:color w:val="auto"/>
          <w:sz w:val="24"/>
          <w:highlight w:val="none"/>
        </w:rPr>
        <w:t>截止时间后</w:t>
      </w:r>
    </w:p>
    <w:p>
      <w:pPr>
        <w:spacing w:line="36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地点：南宁市良庆区玉洞大道33号（市青少年活动中心旁）南宁市市民中心10楼南宁市公共资源交易中心评标室。</w:t>
      </w:r>
    </w:p>
    <w:p>
      <w:pPr>
        <w:pStyle w:val="4"/>
        <w:spacing w:line="360" w:lineRule="exact"/>
        <w:rPr>
          <w:rFonts w:ascii="宋体" w:hAnsi="宋体" w:cs="宋体"/>
          <w:bCs w:val="0"/>
          <w:color w:val="auto"/>
          <w:sz w:val="24"/>
          <w:szCs w:val="24"/>
          <w:highlight w:val="none"/>
        </w:rPr>
      </w:pPr>
      <w:bookmarkStart w:id="24" w:name="_Toc28359017"/>
      <w:bookmarkStart w:id="25" w:name="_Toc35393803"/>
      <w:bookmarkStart w:id="26" w:name="_Toc28359094"/>
      <w:bookmarkStart w:id="27" w:name="_Toc35393634"/>
      <w:r>
        <w:rPr>
          <w:rFonts w:hint="eastAsia" w:ascii="宋体" w:hAnsi="宋体" w:cs="宋体"/>
          <w:bCs w:val="0"/>
          <w:color w:val="auto"/>
          <w:sz w:val="24"/>
          <w:szCs w:val="24"/>
          <w:highlight w:val="none"/>
        </w:rPr>
        <w:t>六、公告期限</w:t>
      </w:r>
      <w:bookmarkEnd w:id="24"/>
      <w:bookmarkEnd w:id="25"/>
      <w:bookmarkEnd w:id="26"/>
      <w:bookmarkEnd w:id="27"/>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pacing w:line="360" w:lineRule="exact"/>
        <w:rPr>
          <w:rFonts w:ascii="宋体" w:hAnsi="宋体" w:cs="宋体"/>
          <w:bCs w:val="0"/>
          <w:color w:val="auto"/>
          <w:sz w:val="24"/>
          <w:szCs w:val="24"/>
          <w:highlight w:val="none"/>
        </w:rPr>
      </w:pPr>
      <w:bookmarkStart w:id="28" w:name="_Toc35393804"/>
      <w:bookmarkStart w:id="29" w:name="_Toc35393635"/>
      <w:r>
        <w:rPr>
          <w:rFonts w:hint="eastAsia" w:ascii="宋体" w:hAnsi="宋体" w:cs="宋体"/>
          <w:bCs w:val="0"/>
          <w:color w:val="auto"/>
          <w:sz w:val="24"/>
          <w:szCs w:val="24"/>
          <w:highlight w:val="none"/>
        </w:rPr>
        <w:t>七、其他补充事宜</w:t>
      </w:r>
      <w:bookmarkEnd w:id="28"/>
      <w:bookmarkEnd w:id="29"/>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发布媒体：中国政府采购网、广西壮族自治区政府采购网、南宁政府采购网、</w:t>
      </w:r>
      <w:r>
        <w:rPr>
          <w:rFonts w:hint="eastAsia" w:ascii="宋体" w:hAnsi="宋体" w:cs="宋体"/>
          <w:color w:val="auto"/>
          <w:kern w:val="0"/>
          <w:sz w:val="24"/>
          <w:szCs w:val="24"/>
          <w:highlight w:val="none"/>
        </w:rPr>
        <w:t>南宁市公共资源交易中心网</w:t>
      </w:r>
      <w:r>
        <w:rPr>
          <w:rFonts w:hint="eastAsia" w:ascii="宋体" w:hAnsi="宋体" w:cs="宋体"/>
          <w:color w:val="auto"/>
          <w:sz w:val="24"/>
          <w:szCs w:val="24"/>
          <w:highlight w:val="none"/>
        </w:rPr>
        <w:t>、广西招标网</w:t>
      </w:r>
      <w:r>
        <w:rPr>
          <w:rFonts w:hint="eastAsia" w:ascii="宋体" w:hAnsi="宋体" w:cs="宋体"/>
          <w:color w:val="auto"/>
          <w:kern w:val="0"/>
          <w:sz w:val="24"/>
          <w:highlight w:val="none"/>
        </w:rPr>
        <w:t>。</w:t>
      </w:r>
    </w:p>
    <w:p>
      <w:pPr>
        <w:pStyle w:val="4"/>
        <w:spacing w:line="360" w:lineRule="exact"/>
        <w:rPr>
          <w:rFonts w:ascii="宋体" w:hAnsi="宋体" w:cs="宋体"/>
          <w:bCs w:val="0"/>
          <w:color w:val="auto"/>
          <w:sz w:val="24"/>
          <w:szCs w:val="24"/>
          <w:highlight w:val="none"/>
        </w:rPr>
      </w:pPr>
      <w:bookmarkStart w:id="30" w:name="_Toc35393636"/>
      <w:bookmarkStart w:id="31" w:name="_Toc28359018"/>
      <w:bookmarkStart w:id="32" w:name="_Toc28359095"/>
      <w:bookmarkStart w:id="33" w:name="_Toc35393805"/>
      <w:r>
        <w:rPr>
          <w:rFonts w:hint="eastAsia" w:ascii="宋体" w:hAnsi="宋体" w:cs="宋体"/>
          <w:bCs w:val="0"/>
          <w:color w:val="auto"/>
          <w:sz w:val="24"/>
          <w:szCs w:val="24"/>
          <w:highlight w:val="none"/>
        </w:rPr>
        <w:t>八、对本次招标提出询问，请按</w:t>
      </w:r>
      <w:r>
        <w:rPr>
          <w:rFonts w:ascii="宋体" w:hAnsi="宋体" w:cs="宋体"/>
          <w:bCs w:val="0"/>
          <w:color w:val="auto"/>
          <w:sz w:val="24"/>
          <w:szCs w:val="24"/>
          <w:highlight w:val="none"/>
        </w:rPr>
        <w:t>以下方式</w:t>
      </w:r>
      <w:r>
        <w:rPr>
          <w:rFonts w:hint="eastAsia" w:ascii="宋体" w:hAnsi="宋体" w:cs="宋体"/>
          <w:bCs w:val="0"/>
          <w:color w:val="auto"/>
          <w:sz w:val="24"/>
          <w:szCs w:val="24"/>
          <w:highlight w:val="none"/>
        </w:rPr>
        <w:t>联系。</w:t>
      </w:r>
      <w:bookmarkEnd w:id="30"/>
      <w:bookmarkEnd w:id="31"/>
      <w:bookmarkEnd w:id="32"/>
      <w:bookmarkEnd w:id="33"/>
    </w:p>
    <w:p>
      <w:pPr>
        <w:pStyle w:val="4"/>
        <w:spacing w:line="360" w:lineRule="exact"/>
        <w:ind w:firstLine="720" w:firstLineChars="300"/>
        <w:rPr>
          <w:rFonts w:ascii="宋体" w:hAnsi="宋体" w:cs="宋体"/>
          <w:b w:val="0"/>
          <w:color w:val="auto"/>
          <w:sz w:val="24"/>
          <w:szCs w:val="24"/>
          <w:highlight w:val="none"/>
        </w:rPr>
      </w:pPr>
      <w:bookmarkStart w:id="34" w:name="_Toc28359019"/>
      <w:bookmarkStart w:id="35" w:name="_Toc28359096"/>
      <w:bookmarkStart w:id="36" w:name="_Toc35393806"/>
      <w:bookmarkStart w:id="37" w:name="_Toc35393637"/>
      <w:r>
        <w:rPr>
          <w:rFonts w:hint="eastAsia" w:ascii="宋体" w:hAnsi="宋体" w:cs="宋体"/>
          <w:b w:val="0"/>
          <w:color w:val="auto"/>
          <w:sz w:val="24"/>
          <w:szCs w:val="24"/>
          <w:highlight w:val="none"/>
        </w:rPr>
        <w:t>1.采购人信息</w:t>
      </w:r>
      <w:bookmarkEnd w:id="34"/>
      <w:bookmarkEnd w:id="35"/>
      <w:bookmarkEnd w:id="36"/>
      <w:bookmarkEnd w:id="37"/>
    </w:p>
    <w:p>
      <w:pPr>
        <w:spacing w:line="360" w:lineRule="exact"/>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南宁市青秀区土地储备分中心</w:t>
      </w:r>
    </w:p>
    <w:p>
      <w:pPr>
        <w:spacing w:line="36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olor w:val="auto"/>
          <w:sz w:val="24"/>
          <w:szCs w:val="24"/>
          <w:highlight w:val="none"/>
        </w:rPr>
        <w:t>南宁市青秀区悦宾路1号</w:t>
      </w:r>
    </w:p>
    <w:p>
      <w:pPr>
        <w:spacing w:line="360" w:lineRule="exact"/>
        <w:ind w:left="1079" w:leftChars="371" w:hanging="300" w:hangingChars="12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苏桂海</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lang w:val="en-US" w:eastAsia="zh-CN"/>
        </w:rPr>
        <w:t>0771-5826335</w:t>
      </w:r>
    </w:p>
    <w:p>
      <w:pPr>
        <w:pStyle w:val="4"/>
        <w:spacing w:line="360" w:lineRule="exact"/>
        <w:ind w:firstLine="720" w:firstLineChars="300"/>
        <w:rPr>
          <w:rFonts w:ascii="宋体" w:hAnsi="宋体" w:cs="宋体"/>
          <w:b w:val="0"/>
          <w:color w:val="auto"/>
          <w:sz w:val="24"/>
          <w:szCs w:val="24"/>
          <w:highlight w:val="none"/>
        </w:rPr>
      </w:pPr>
      <w:bookmarkStart w:id="38" w:name="_Toc35393807"/>
      <w:bookmarkStart w:id="39" w:name="_Toc28359097"/>
      <w:bookmarkStart w:id="40" w:name="_Toc28359020"/>
      <w:bookmarkStart w:id="41" w:name="_Toc35393638"/>
      <w:r>
        <w:rPr>
          <w:rFonts w:hint="eastAsia" w:ascii="宋体" w:hAnsi="宋体" w:cs="宋体"/>
          <w:b w:val="0"/>
          <w:color w:val="auto"/>
          <w:sz w:val="24"/>
          <w:szCs w:val="24"/>
          <w:highlight w:val="none"/>
        </w:rPr>
        <w:t>2.采购代理机构信息</w:t>
      </w:r>
      <w:bookmarkEnd w:id="38"/>
      <w:bookmarkEnd w:id="39"/>
      <w:bookmarkEnd w:id="40"/>
      <w:bookmarkEnd w:id="41"/>
    </w:p>
    <w:p>
      <w:pPr>
        <w:spacing w:line="3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名    称：广西建设工程机电设备招标中心有限公司</w:t>
      </w:r>
    </w:p>
    <w:p>
      <w:pPr>
        <w:spacing w:line="3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　　址：南宁市青秀区纬武路165号</w:t>
      </w:r>
    </w:p>
    <w:p>
      <w:pPr>
        <w:spacing w:line="36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吴兴红</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周剑 </w:t>
      </w:r>
      <w:r>
        <w:rPr>
          <w:rFonts w:hint="eastAsia" w:ascii="宋体" w:hAnsi="宋体" w:cs="宋体"/>
          <w:color w:val="auto"/>
          <w:sz w:val="24"/>
          <w:szCs w:val="24"/>
          <w:highlight w:val="none"/>
        </w:rPr>
        <w:t>电话：0771-280</w:t>
      </w:r>
      <w:r>
        <w:rPr>
          <w:rFonts w:hint="eastAsia" w:ascii="宋体" w:hAnsi="宋体" w:cs="宋体"/>
          <w:color w:val="auto"/>
          <w:sz w:val="24"/>
          <w:szCs w:val="24"/>
          <w:highlight w:val="none"/>
          <w:lang w:val="en-US" w:eastAsia="zh-CN"/>
        </w:rPr>
        <w:t>7659</w:t>
      </w:r>
      <w:r>
        <w:rPr>
          <w:rFonts w:hint="eastAsia" w:ascii="宋体" w:hAnsi="宋体" w:cs="宋体"/>
          <w:color w:val="auto"/>
          <w:sz w:val="24"/>
          <w:szCs w:val="24"/>
          <w:highlight w:val="none"/>
        </w:rPr>
        <w:t xml:space="preserve">  传真：0771-280</w:t>
      </w:r>
      <w:r>
        <w:rPr>
          <w:rFonts w:hint="eastAsia" w:ascii="宋体" w:hAnsi="宋体" w:cs="宋体"/>
          <w:color w:val="auto"/>
          <w:sz w:val="24"/>
          <w:szCs w:val="24"/>
          <w:highlight w:val="none"/>
          <w:lang w:val="en-US" w:eastAsia="zh-CN"/>
        </w:rPr>
        <w:t>7659</w:t>
      </w:r>
      <w:r>
        <w:rPr>
          <w:rFonts w:hint="eastAsia" w:ascii="宋体" w:hAnsi="宋体" w:cs="宋体"/>
          <w:color w:val="auto"/>
          <w:sz w:val="24"/>
          <w:szCs w:val="24"/>
          <w:highlight w:val="none"/>
        </w:rPr>
        <w:t xml:space="preserve">  </w:t>
      </w:r>
    </w:p>
    <w:p>
      <w:pPr>
        <w:pStyle w:val="4"/>
        <w:spacing w:line="360" w:lineRule="exact"/>
        <w:ind w:firstLine="720" w:firstLineChars="300"/>
        <w:rPr>
          <w:rFonts w:ascii="宋体" w:hAnsi="宋体" w:cs="宋体"/>
          <w:b w:val="0"/>
          <w:color w:val="auto"/>
          <w:sz w:val="24"/>
          <w:szCs w:val="24"/>
          <w:highlight w:val="none"/>
        </w:rPr>
      </w:pPr>
      <w:bookmarkStart w:id="42" w:name="_Toc35393639"/>
      <w:bookmarkStart w:id="43" w:name="_Toc28359098"/>
      <w:bookmarkStart w:id="44" w:name="_Toc35393808"/>
      <w:bookmarkStart w:id="45" w:name="_Toc28359021"/>
      <w:r>
        <w:rPr>
          <w:rFonts w:hint="eastAsia" w:ascii="宋体" w:hAnsi="宋体" w:cs="宋体"/>
          <w:b w:val="0"/>
          <w:color w:val="auto"/>
          <w:sz w:val="24"/>
          <w:szCs w:val="24"/>
          <w:highlight w:val="none"/>
        </w:rPr>
        <w:t>3.项目联系方式</w:t>
      </w:r>
      <w:bookmarkEnd w:id="42"/>
      <w:bookmarkEnd w:id="43"/>
      <w:bookmarkEnd w:id="44"/>
      <w:bookmarkEnd w:id="45"/>
    </w:p>
    <w:p>
      <w:pPr>
        <w:spacing w:line="36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吴兴红</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周剑</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电　　 话：0771-280</w:t>
      </w:r>
      <w:r>
        <w:rPr>
          <w:rFonts w:hint="eastAsia" w:ascii="宋体" w:hAnsi="宋体" w:cs="宋体"/>
          <w:color w:val="auto"/>
          <w:sz w:val="24"/>
          <w:szCs w:val="24"/>
          <w:highlight w:val="none"/>
          <w:lang w:val="en-US" w:eastAsia="zh-CN"/>
        </w:rPr>
        <w:t>7659</w:t>
      </w:r>
    </w:p>
    <w:p>
      <w:pPr>
        <w:wordWrap w:val="0"/>
        <w:snapToGrid w:val="0"/>
        <w:jc w:val="right"/>
        <w:rPr>
          <w:rFonts w:ascii="宋体"/>
          <w:color w:val="auto"/>
          <w:sz w:val="24"/>
          <w:szCs w:val="24"/>
          <w:highlight w:val="none"/>
        </w:rPr>
      </w:pPr>
    </w:p>
    <w:p>
      <w:pPr>
        <w:snapToGrid w:val="0"/>
        <w:jc w:val="right"/>
        <w:rPr>
          <w:rFonts w:ascii="宋体" w:hAnsi="宋体" w:cs="宋体"/>
          <w:color w:val="auto"/>
          <w:sz w:val="24"/>
          <w:szCs w:val="24"/>
          <w:highlight w:val="none"/>
        </w:rPr>
      </w:pPr>
      <w:r>
        <w:rPr>
          <w:rFonts w:hint="eastAsia" w:ascii="宋体" w:hAnsi="宋体" w:cs="宋体"/>
          <w:color w:val="auto"/>
          <w:sz w:val="24"/>
          <w:szCs w:val="24"/>
          <w:highlight w:val="none"/>
        </w:rPr>
        <w:t>采购代理机构：广西建设工程机电设备招标中心有限公司</w:t>
      </w:r>
    </w:p>
    <w:p>
      <w:pPr>
        <w:snapToGrid w:val="0"/>
        <w:jc w:val="right"/>
        <w:rPr>
          <w:rFonts w:ascii="宋体" w:cs="宋体"/>
          <w:color w:val="auto"/>
          <w:sz w:val="24"/>
          <w:szCs w:val="24"/>
          <w:highlight w:val="none"/>
        </w:rPr>
      </w:pPr>
      <w:r>
        <w:rPr>
          <w:rFonts w:ascii="宋体" w:hAnsi="宋体" w:cs="宋体"/>
          <w:color w:val="auto"/>
          <w:sz w:val="24"/>
          <w:szCs w:val="24"/>
          <w:highlight w:val="none"/>
          <w:u w:val="single"/>
        </w:rPr>
        <w:t xml:space="preserve"> 2020</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rPr>
        <w:t>日</w:t>
      </w:r>
    </w:p>
    <w:p>
      <w:pPr>
        <w:spacing w:line="560" w:lineRule="exact"/>
        <w:rPr>
          <w:rFonts w:ascii="仿宋_GB2312" w:eastAsia="仿宋_GB2312"/>
          <w:color w:val="auto"/>
          <w:sz w:val="28"/>
          <w:szCs w:val="28"/>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color w:val="auto"/>
          <w:highlight w:val="none"/>
        </w:rPr>
      </w:pPr>
    </w:p>
    <w:p>
      <w:pPr>
        <w:snapToGrid w:val="0"/>
        <w:jc w:val="center"/>
        <w:outlineLvl w:val="0"/>
        <w:rPr>
          <w:rFonts w:ascii="宋体"/>
          <w:b/>
          <w:bCs/>
          <w:color w:val="auto"/>
          <w:sz w:val="44"/>
          <w:szCs w:val="44"/>
          <w:highlight w:val="none"/>
        </w:rPr>
      </w:pPr>
      <w:bookmarkStart w:id="46" w:name="_Toc6659"/>
      <w:bookmarkStart w:id="47" w:name="_Toc25743"/>
      <w:r>
        <w:rPr>
          <w:rFonts w:hint="eastAsia" w:ascii="宋体" w:hAnsi="宋体" w:cs="宋体"/>
          <w:b/>
          <w:bCs/>
          <w:color w:val="auto"/>
          <w:sz w:val="44"/>
          <w:szCs w:val="44"/>
          <w:highlight w:val="none"/>
        </w:rPr>
        <w:t>第二章招标项目采购需求</w:t>
      </w:r>
      <w:bookmarkEnd w:id="46"/>
      <w:bookmarkEnd w:id="47"/>
    </w:p>
    <w:p>
      <w:pPr>
        <w:spacing w:line="320" w:lineRule="exact"/>
        <w:ind w:firstLine="482" w:firstLineChars="200"/>
        <w:jc w:val="center"/>
        <w:rPr>
          <w:rFonts w:hAnsi="宋体"/>
          <w:b/>
          <w:bCs/>
          <w:color w:val="auto"/>
          <w:sz w:val="24"/>
          <w:szCs w:val="24"/>
          <w:highlight w:val="none"/>
        </w:rPr>
      </w:pPr>
    </w:p>
    <w:p>
      <w:pPr>
        <w:spacing w:line="320" w:lineRule="exact"/>
        <w:ind w:firstLine="482" w:firstLineChars="200"/>
        <w:jc w:val="center"/>
        <w:rPr>
          <w:rFonts w:hAnsi="宋体"/>
          <w:b/>
          <w:bCs/>
          <w:color w:val="auto"/>
          <w:sz w:val="24"/>
          <w:szCs w:val="24"/>
          <w:highlight w:val="none"/>
        </w:rPr>
      </w:pPr>
      <w:r>
        <w:rPr>
          <w:rFonts w:hint="eastAsia" w:hAnsi="宋体" w:cs="宋体"/>
          <w:b/>
          <w:bCs/>
          <w:color w:val="auto"/>
          <w:sz w:val="24"/>
          <w:szCs w:val="24"/>
          <w:highlight w:val="none"/>
        </w:rPr>
        <w:t>服务需求一览表</w:t>
      </w:r>
    </w:p>
    <w:p>
      <w:pPr>
        <w:adjustRightInd w:val="0"/>
        <w:spacing w:line="3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adjustRightInd w:val="0"/>
        <w:spacing w:line="340" w:lineRule="exact"/>
        <w:ind w:left="6" w:firstLine="431"/>
        <w:rPr>
          <w:rFonts w:ascii="宋体" w:hAnsi="宋体" w:cs="宋体"/>
          <w:b/>
          <w:bCs/>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本服务需求一览表中标注★号的部分为实质性要求和条件。</w:t>
      </w:r>
    </w:p>
    <w:p>
      <w:pPr>
        <w:spacing w:line="32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、本服务需求一览表中内容如与第五章“合同条款及格式”相关条款不一致的，以本表为准。</w:t>
      </w:r>
    </w:p>
    <w:p>
      <w:pPr>
        <w:spacing w:line="320" w:lineRule="exact"/>
        <w:ind w:firstLine="482" w:firstLineChars="200"/>
        <w:jc w:val="center"/>
        <w:rPr>
          <w:rFonts w:ascii="宋体" w:hAnsi="宋体"/>
          <w:b/>
          <w:bCs/>
          <w:color w:val="auto"/>
          <w:sz w:val="24"/>
          <w:szCs w:val="24"/>
          <w:highlight w:val="none"/>
        </w:rPr>
      </w:pPr>
    </w:p>
    <w:tbl>
      <w:tblPr>
        <w:tblStyle w:val="37"/>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768"/>
        <w:gridCol w:w="722"/>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Mar>
              <w:top w:w="0" w:type="dxa"/>
              <w:left w:w="0" w:type="dxa"/>
              <w:bottom w:w="0" w:type="dxa"/>
              <w:right w:w="0" w:type="dxa"/>
            </w:tcMar>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项号</w:t>
            </w:r>
          </w:p>
        </w:tc>
        <w:tc>
          <w:tcPr>
            <w:tcW w:w="1768" w:type="dxa"/>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服务名称</w:t>
            </w:r>
          </w:p>
        </w:tc>
        <w:tc>
          <w:tcPr>
            <w:tcW w:w="722" w:type="dxa"/>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6098" w:type="dxa"/>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pPr>
              <w:spacing w:line="360" w:lineRule="exact"/>
              <w:rPr>
                <w:rFonts w:ascii="宋体" w:hAnsi="宋体" w:cs="宋体"/>
                <w:color w:val="auto"/>
                <w:sz w:val="24"/>
                <w:szCs w:val="24"/>
                <w:highlight w:val="none"/>
              </w:rPr>
            </w:pPr>
            <w:r>
              <w:rPr>
                <w:rFonts w:ascii="宋体" w:hAnsi="宋体" w:cs="宋体"/>
                <w:color w:val="auto"/>
                <w:sz w:val="24"/>
                <w:szCs w:val="24"/>
                <w:highlight w:val="none"/>
              </w:rPr>
              <w:t>1</w:t>
            </w:r>
          </w:p>
        </w:tc>
        <w:tc>
          <w:tcPr>
            <w:tcW w:w="1768" w:type="dxa"/>
            <w:vAlign w:val="center"/>
          </w:tcPr>
          <w:p>
            <w:pPr>
              <w:spacing w:line="36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南宁市青秀区两个耕地提质改造（旱改水）项目整改及管护工作</w:t>
            </w:r>
          </w:p>
        </w:tc>
        <w:tc>
          <w:tcPr>
            <w:tcW w:w="722" w:type="dxa"/>
            <w:vAlign w:val="center"/>
          </w:tcPr>
          <w:p>
            <w:pPr>
              <w:spacing w:line="360" w:lineRule="exac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项</w:t>
            </w:r>
          </w:p>
        </w:tc>
        <w:tc>
          <w:tcPr>
            <w:tcW w:w="6098" w:type="dxa"/>
            <w:vAlign w:val="center"/>
          </w:tcPr>
          <w:p>
            <w:pPr>
              <w:numPr>
                <w:ilvl w:val="0"/>
                <w:numId w:val="1"/>
              </w:numPr>
              <w:spacing w:line="480" w:lineRule="auto"/>
              <w:rPr>
                <w:rFonts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rPr>
              <w:t>工程概述</w:t>
            </w:r>
          </w:p>
          <w:p>
            <w:pPr>
              <w:pStyle w:val="18"/>
              <w:snapToGrid w:val="0"/>
              <w:spacing w:line="240" w:lineRule="auto"/>
              <w:ind w:firstLine="488" w:firstLineChars="200"/>
              <w:rPr>
                <w:rFonts w:hint="eastAsia" w:ascii="宋体" w:hAnsi="宋体" w:cs="宋体"/>
                <w:color w:val="auto"/>
                <w:highlight w:val="none"/>
              </w:rPr>
            </w:pPr>
            <w:r>
              <w:rPr>
                <w:rFonts w:hint="eastAsia" w:ascii="宋体" w:hAnsi="宋体" w:cs="宋体"/>
                <w:bCs/>
                <w:color w:val="auto"/>
                <w:spacing w:val="2"/>
                <w:highlight w:val="none"/>
              </w:rPr>
              <w:t>项目地点：南宁市青秀</w:t>
            </w:r>
            <w:r>
              <w:rPr>
                <w:rFonts w:hint="eastAsia" w:ascii="宋体" w:hAnsi="宋体" w:cs="宋体"/>
                <w:color w:val="auto"/>
                <w:highlight w:val="none"/>
              </w:rPr>
              <w:t>区。</w:t>
            </w:r>
          </w:p>
          <w:p>
            <w:pPr>
              <w:pStyle w:val="18"/>
              <w:snapToGrid w:val="0"/>
              <w:spacing w:line="240"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项目情况：</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南宁市青秀区南阳镇等3个乡镇新光村等5个村耕地提质改造（旱改水）项目</w:t>
            </w:r>
            <w:r>
              <w:rPr>
                <w:rFonts w:hint="eastAsia" w:ascii="宋体" w:hAnsi="宋体" w:cs="宋体"/>
                <w:color w:val="auto"/>
                <w:sz w:val="24"/>
                <w:highlight w:val="none"/>
                <w:lang w:val="en-US" w:eastAsia="zh-CN"/>
              </w:rPr>
              <w:t>于2016年8月9日，项目已按设计完成工程施工、工程复核、质量耕地评定等工作，目前项目指标入库所需材料已上报南宁市自然资源局，根据南国土资复[2018]0055号，项目新增水田面积：14.9262公顷，</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宁市自然资源局关于南宁市青秀区伶俐镇石塘村等3个村耕地提质改造（旱改水）项目于2017年2月4日立项，项目已按设计完成工程施工、工程复核、质量耕地评定等工作，目前项目指标入库所需材料已上报南宁市自然资源局，根据南国土资发〔2019〕162号，项目新增水田面积20.5249公顷。</w:t>
            </w:r>
          </w:p>
          <w:p>
            <w:pPr>
              <w:spacing w:before="120" w:after="120"/>
              <w:ind w:firstLine="480" w:firstLineChars="200"/>
              <w:jc w:val="left"/>
              <w:rPr>
                <w:rFonts w:hint="eastAsia" w:ascii="宋体" w:hAnsi="宋体" w:cs="宋体"/>
                <w:color w:val="auto"/>
                <w:highlight w:val="none"/>
              </w:rPr>
            </w:pPr>
            <w:r>
              <w:rPr>
                <w:rFonts w:hint="eastAsia" w:ascii="宋体" w:hAnsi="宋体" w:cs="宋体"/>
                <w:color w:val="auto"/>
                <w:sz w:val="24"/>
                <w:highlight w:val="none"/>
                <w:lang w:val="en-US" w:eastAsia="zh-CN"/>
              </w:rPr>
              <w:t>以上两个项目（立项实施面积共计：43.7386公顷，新增水田面积共计：35.4511公顷）于2019年申报自然资源系统报备入库时南宁市自然资源局依据项目新的管理办法开展新增耕地核定工作，项目涉及的部分地块由于种植甘蔗、玉米等旱生作物，项目“水田指标”未能入库。本次整改和管护工作主要内容：对项目区种植甘蔗、玉米等旱生作物的地块采取有效措施，使项目区达到种植水田的标准，项目通过验收后，负责管护三年，主要内容为原则上保证连续三年每一年至少种植一造水稻、茭白、菱角、莲藕、荸荠（马蹄）、茨菇等水生农作物，确保项目工程和设施完好并正常使用。（整改项目地块情况详见南宁市青秀区南阳镇等3个乡镇新光村等5个村耕地提质改造（旱改水）项目规划设计报告及图件和南宁市青秀区伶俐镇石塘村等3个村耕地提质改造（旱改水）项目规划设计报告及图件）</w:t>
            </w:r>
          </w:p>
          <w:p>
            <w:pPr>
              <w:pStyle w:val="18"/>
              <w:snapToGrid w:val="0"/>
              <w:spacing w:line="240" w:lineRule="auto"/>
              <w:ind w:firstLine="480" w:firstLineChars="200"/>
              <w:rPr>
                <w:rFonts w:hint="eastAsia" w:ascii="宋体" w:hAnsi="宋体" w:cs="宋体"/>
                <w:color w:val="auto"/>
                <w:highlight w:val="none"/>
              </w:rPr>
            </w:pPr>
          </w:p>
          <w:p>
            <w:pPr>
              <w:snapToGrid w:val="0"/>
              <w:rPr>
                <w:rFonts w:ascii="宋体" w:hAnsi="宋体"/>
                <w:b/>
                <w:bCs/>
                <w:color w:val="auto"/>
                <w:spacing w:val="2"/>
                <w:sz w:val="24"/>
                <w:szCs w:val="24"/>
                <w:highlight w:val="none"/>
              </w:rPr>
            </w:pPr>
            <w:r>
              <w:rPr>
                <w:rFonts w:hint="eastAsia" w:ascii="宋体" w:hAnsi="宋体" w:cs="宋体"/>
                <w:b/>
                <w:bCs/>
                <w:color w:val="auto"/>
                <w:spacing w:val="2"/>
                <w:sz w:val="24"/>
                <w:szCs w:val="24"/>
                <w:highlight w:val="none"/>
              </w:rPr>
              <w:t>二</w:t>
            </w:r>
            <w:r>
              <w:rPr>
                <w:rFonts w:ascii="宋体" w:hAnsi="宋体" w:cs="宋体"/>
                <w:b/>
                <w:bCs/>
                <w:color w:val="auto"/>
                <w:spacing w:val="2"/>
                <w:sz w:val="24"/>
                <w:szCs w:val="24"/>
                <w:highlight w:val="none"/>
              </w:rPr>
              <w:t>.</w:t>
            </w:r>
            <w:r>
              <w:rPr>
                <w:rFonts w:hint="eastAsia" w:ascii="宋体" w:hAnsi="宋体" w:cs="宋体"/>
                <w:b/>
                <w:bCs/>
                <w:color w:val="auto"/>
                <w:spacing w:val="2"/>
                <w:sz w:val="24"/>
                <w:szCs w:val="24"/>
                <w:highlight w:val="none"/>
              </w:rPr>
              <w:t>服务内容：</w:t>
            </w:r>
          </w:p>
          <w:p>
            <w:pPr>
              <w:snapToGrid w:val="0"/>
              <w:ind w:firstLine="478" w:firstLineChars="196"/>
              <w:rPr>
                <w:rFonts w:hint="eastAsia" w:ascii="宋体" w:hAnsi="宋体" w:eastAsia="宋体"/>
                <w:color w:val="auto"/>
                <w:spacing w:val="2"/>
                <w:sz w:val="24"/>
                <w:szCs w:val="24"/>
                <w:highlight w:val="none"/>
                <w:lang w:eastAsia="zh-CN"/>
              </w:rPr>
            </w:pPr>
            <w:r>
              <w:rPr>
                <w:rFonts w:hint="eastAsia" w:ascii="宋体" w:hAnsi="宋体"/>
                <w:color w:val="auto"/>
                <w:spacing w:val="2"/>
                <w:sz w:val="24"/>
                <w:szCs w:val="24"/>
                <w:highlight w:val="none"/>
              </w:rPr>
              <w:t>完成南宁市青秀区南阳镇等3个乡镇新光村等5 个村耕地提质 改造(旱改水)项目和伶俐镇石塘村等3个村耕地提质改造(旱改水)项目 整改，获得自然资源厅(局)主管部门批复的水田指标并完成指标报备入 库及报备入库后3年内的项目管护工作</w:t>
            </w:r>
            <w:r>
              <w:rPr>
                <w:rFonts w:hint="eastAsia" w:ascii="宋体" w:hAnsi="宋体"/>
                <w:color w:val="auto"/>
                <w:spacing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商务条款</w:t>
            </w:r>
          </w:p>
        </w:tc>
        <w:tc>
          <w:tcPr>
            <w:tcW w:w="8588" w:type="dxa"/>
            <w:gridSpan w:val="3"/>
          </w:tcPr>
          <w:p>
            <w:pPr>
              <w:widowControl/>
              <w:spacing w:line="400" w:lineRule="exact"/>
              <w:rPr>
                <w:rFonts w:ascii="宋体" w:hAnsi="宋体"/>
                <w:color w:val="auto"/>
                <w:sz w:val="24"/>
                <w:szCs w:val="24"/>
                <w:highlight w:val="none"/>
              </w:rPr>
            </w:pPr>
            <w:r>
              <w:rPr>
                <w:rFonts w:hint="eastAsia" w:ascii="宋体" w:hAnsi="宋体" w:cs="宋体"/>
                <w:color w:val="auto"/>
                <w:sz w:val="24"/>
                <w:szCs w:val="24"/>
                <w:highlight w:val="none"/>
              </w:rPr>
              <w:t>一、合同签订期：自中标通知书发出之日起</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rPr>
              <w:t>日内</w:t>
            </w:r>
          </w:p>
          <w:p>
            <w:pPr>
              <w:spacing w:line="360" w:lineRule="exact"/>
              <w:rPr>
                <w:rFonts w:ascii="宋体" w:hAnsi="宋体"/>
                <w:color w:val="auto"/>
                <w:sz w:val="24"/>
                <w:szCs w:val="24"/>
                <w:highlight w:val="none"/>
              </w:rPr>
            </w:pPr>
            <w:bookmarkStart w:id="128" w:name="_GoBack"/>
            <w:bookmarkEnd w:id="128"/>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二、服务时间：</w:t>
            </w:r>
            <w:r>
              <w:rPr>
                <w:rFonts w:hint="eastAsia" w:ascii="宋体" w:hAnsi="宋体" w:cs="宋体"/>
                <w:color w:val="auto"/>
                <w:sz w:val="24"/>
                <w:highlight w:val="none"/>
                <w:lang w:val="en-US" w:eastAsia="zh-CN"/>
              </w:rPr>
              <w:t>整改期一年（以完成新增水田指标确认入库为准），管护期</w:t>
            </w:r>
            <w:r>
              <w:rPr>
                <w:rFonts w:hint="eastAsia" w:ascii="宋体" w:hAnsi="宋体" w:cs="宋体"/>
                <w:color w:val="auto"/>
                <w:sz w:val="24"/>
                <w:highlight w:val="none"/>
                <w:shd w:val="clear" w:color="auto" w:fill="FFFFFF"/>
                <w:lang w:val="en-US" w:eastAsia="zh-CN"/>
              </w:rPr>
              <w:t>三</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管护期以项目“水田指标”报备入库时间作为起始时间）</w:t>
            </w:r>
            <w:r>
              <w:rPr>
                <w:rFonts w:hint="eastAsia" w:ascii="宋体" w:hAnsi="宋体" w:cs="宋体"/>
                <w:color w:val="auto"/>
                <w:sz w:val="24"/>
                <w:highlight w:val="none"/>
              </w:rPr>
              <w:t>。</w:t>
            </w:r>
          </w:p>
          <w:p>
            <w:pPr>
              <w:widowControl/>
              <w:spacing w:line="400" w:lineRule="exact"/>
              <w:rPr>
                <w:rFonts w:ascii="宋体" w:hAnsi="宋体"/>
                <w:color w:val="auto"/>
                <w:sz w:val="24"/>
                <w:szCs w:val="24"/>
                <w:highlight w:val="none"/>
                <w:u w:val="single"/>
              </w:rPr>
            </w:pPr>
            <w:r>
              <w:rPr>
                <w:rFonts w:hint="eastAsia" w:ascii="宋体" w:hAnsi="宋体" w:cs="宋体"/>
                <w:color w:val="auto"/>
                <w:sz w:val="24"/>
                <w:szCs w:val="24"/>
                <w:highlight w:val="none"/>
              </w:rPr>
              <w:t>三、提交服务成果地点：</w:t>
            </w:r>
            <w:r>
              <w:rPr>
                <w:rFonts w:hint="eastAsia" w:ascii="宋体" w:hAnsi="宋体" w:cs="宋体"/>
                <w:color w:val="auto"/>
                <w:sz w:val="24"/>
                <w:szCs w:val="24"/>
                <w:highlight w:val="none"/>
                <w:u w:val="single"/>
              </w:rPr>
              <w:t>采购人指定地点</w:t>
            </w:r>
          </w:p>
          <w:p>
            <w:pPr>
              <w:widowControl/>
              <w:spacing w:line="400" w:lineRule="exact"/>
              <w:rPr>
                <w:rFonts w:ascii="宋体" w:hAnsi="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四、售后服务要求：</w:t>
            </w:r>
          </w:p>
          <w:p>
            <w:pPr>
              <w:widowControl/>
              <w:spacing w:line="400" w:lineRule="exact"/>
              <w:rPr>
                <w:rFonts w:ascii="宋体" w:hAnsi="宋体"/>
                <w:color w:val="auto"/>
                <w:sz w:val="24"/>
                <w:szCs w:val="24"/>
                <w:highlight w:val="none"/>
                <w:u w:val="thick"/>
              </w:rPr>
            </w:pPr>
            <w:r>
              <w:rPr>
                <w:rFonts w:hint="eastAsia" w:ascii="宋体" w:hAnsi="宋体" w:cs="宋体"/>
                <w:color w:val="auto"/>
                <w:sz w:val="24"/>
                <w:szCs w:val="24"/>
                <w:highlight w:val="none"/>
              </w:rPr>
              <w:t>处理问题响应时间：接到采购人处理问题通知后</w:t>
            </w:r>
            <w:r>
              <w:rPr>
                <w:rFonts w:ascii="宋体" w:hAnsi="宋体" w:cs="宋体"/>
                <w:color w:val="auto"/>
                <w:sz w:val="24"/>
                <w:szCs w:val="24"/>
                <w:highlight w:val="none"/>
                <w:u w:val="single"/>
              </w:rPr>
              <w:t>12</w:t>
            </w:r>
            <w:r>
              <w:rPr>
                <w:rFonts w:hint="eastAsia" w:ascii="宋体" w:hAnsi="宋体" w:cs="宋体"/>
                <w:color w:val="auto"/>
                <w:sz w:val="24"/>
                <w:szCs w:val="24"/>
                <w:highlight w:val="none"/>
              </w:rPr>
              <w:t>小时内到达采购人指定现场。</w:t>
            </w:r>
          </w:p>
          <w:p>
            <w:pPr>
              <w:spacing w:line="400" w:lineRule="exact"/>
              <w:rPr>
                <w:rFonts w:ascii="宋体" w:hAnsi="宋体"/>
                <w:color w:val="auto"/>
                <w:sz w:val="24"/>
                <w:szCs w:val="24"/>
                <w:highlight w:val="none"/>
              </w:rPr>
            </w:pPr>
            <w:r>
              <w:rPr>
                <w:rFonts w:hint="eastAsia" w:ascii="宋体" w:hAnsi="宋体" w:cs="宋体"/>
                <w:color w:val="auto"/>
                <w:sz w:val="24"/>
                <w:szCs w:val="24"/>
                <w:highlight w:val="none"/>
              </w:rPr>
              <w:t>五、其他要求：</w:t>
            </w:r>
          </w:p>
          <w:p>
            <w:pPr>
              <w:spacing w:line="400" w:lineRule="exact"/>
              <w:rPr>
                <w:rFonts w:ascii="宋体" w:hAnsi="宋体"/>
                <w:color w:val="auto"/>
                <w:sz w:val="24"/>
                <w:szCs w:val="24"/>
                <w:highlight w:val="none"/>
              </w:rPr>
            </w:pPr>
            <w:r>
              <w:rPr>
                <w:rFonts w:hint="eastAsia" w:ascii="宋体" w:hAnsi="宋体" w:cs="宋体"/>
                <w:b/>
                <w:bCs/>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、报价必须含以下部分，包括：</w:t>
            </w:r>
          </w:p>
          <w:p>
            <w:pPr>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⑴服务的价格；</w:t>
            </w:r>
          </w:p>
          <w:p>
            <w:pPr>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⑵必要的保险费用和各项税金；</w:t>
            </w:r>
          </w:p>
          <w:p>
            <w:pPr>
              <w:widowControl/>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⑶运营日常用品用具的消耗和折旧费、行政办公用品及资料印刷、服务清单涵盖的所有项目等费用。</w:t>
            </w:r>
          </w:p>
          <w:p>
            <w:pPr>
              <w:widowControl/>
              <w:spacing w:line="400" w:lineRule="exact"/>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付款方式：本项目无预付款，无进度款。为确保中标单位高效、优质的完成以上两个项目的整改和管护工作。在招标合同中明确项目新增水田报备入库面积达到35.4511公顷90%（含本数）以上才予以结账，项目结算价按以下方式计算:(1）新增水田报备入库面积达到35.4511公顷的95%以上（含95%），结算价计算公式:投标人中标单价×新增水田报备入库面积。(2）新增水田报备入库面积达到35.4511公顷的90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-95%（不含95%），结算价计算公式:投标人中标单价×新增水田报备入库面积×Z(Z=新增水田报备入库面积÷35.4511公顷）。指标报备入库后一次性支付项目结算价的90%，预留项目结算价的10%作为后期管护保证金，分三年支付给中标单位，中标单位按约定履行第一年度后期管护义务次年青秀区政府退还4%（不计利息）、按约定履行第二年度后期管护义务次年青秀区政府退还3%（不计利息）、按约定履行第三年度后期管护义务次年青秀区政府退还3%（不计利息）。</w:t>
            </w:r>
          </w:p>
        </w:tc>
      </w:tr>
    </w:tbl>
    <w:p>
      <w:pPr>
        <w:pStyle w:val="18"/>
        <w:rPr>
          <w:rFonts w:hAnsi="宋体"/>
          <w:b/>
          <w:bCs/>
          <w:color w:val="auto"/>
          <w:highlight w:val="none"/>
        </w:rPr>
      </w:pPr>
    </w:p>
    <w:p>
      <w:pPr>
        <w:snapToGrid w:val="0"/>
        <w:jc w:val="center"/>
        <w:outlineLvl w:val="0"/>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snapToGrid w:val="0"/>
        <w:jc w:val="center"/>
        <w:outlineLvl w:val="0"/>
        <w:rPr>
          <w:rFonts w:ascii="宋体"/>
          <w:b/>
          <w:bCs/>
          <w:color w:val="auto"/>
          <w:sz w:val="44"/>
          <w:szCs w:val="44"/>
          <w:highlight w:val="none"/>
        </w:rPr>
      </w:pPr>
      <w:bookmarkStart w:id="48" w:name="_Toc22043"/>
      <w:bookmarkStart w:id="49" w:name="_Toc20956"/>
      <w:r>
        <w:rPr>
          <w:rFonts w:hint="eastAsia" w:ascii="宋体" w:hAnsi="宋体" w:cs="宋体"/>
          <w:b/>
          <w:bCs/>
          <w:color w:val="auto"/>
          <w:sz w:val="44"/>
          <w:szCs w:val="44"/>
          <w:highlight w:val="none"/>
        </w:rPr>
        <w:t>第三章投标人须知</w:t>
      </w:r>
      <w:bookmarkEnd w:id="48"/>
      <w:bookmarkEnd w:id="49"/>
    </w:p>
    <w:p>
      <w:pPr>
        <w:snapToGrid w:val="0"/>
        <w:jc w:val="center"/>
        <w:rPr>
          <w:rFonts w:ascii="宋体"/>
          <w:b/>
          <w:bCs/>
          <w:color w:val="auto"/>
          <w:sz w:val="32"/>
          <w:szCs w:val="32"/>
          <w:highlight w:val="none"/>
        </w:rPr>
      </w:pPr>
      <w:bookmarkStart w:id="50" w:name="_Toc254970526"/>
      <w:bookmarkStart w:id="51" w:name="_Toc254970667"/>
      <w:r>
        <w:rPr>
          <w:rFonts w:hint="eastAsia" w:ascii="宋体" w:hAnsi="宋体" w:cs="宋体"/>
          <w:b/>
          <w:bCs/>
          <w:color w:val="auto"/>
          <w:sz w:val="32"/>
          <w:szCs w:val="32"/>
          <w:highlight w:val="none"/>
        </w:rPr>
        <w:t>前附表</w:t>
      </w:r>
      <w:bookmarkEnd w:id="50"/>
      <w:bookmarkEnd w:id="51"/>
    </w:p>
    <w:tbl>
      <w:tblPr>
        <w:tblStyle w:val="37"/>
        <w:tblW w:w="946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8800" w:type="dxa"/>
            <w:tcBorders>
              <w:top w:val="single" w:color="auto" w:sz="4" w:space="0"/>
              <w:left w:val="single" w:color="auto" w:sz="4" w:space="0"/>
              <w:bottom w:val="single" w:color="auto" w:sz="4" w:space="0"/>
            </w:tcBorders>
            <w:vAlign w:val="center"/>
          </w:tcPr>
          <w:p>
            <w:pPr>
              <w:snapToGrid w:val="0"/>
              <w:jc w:val="center"/>
              <w:rPr>
                <w:rFonts w:ascii="宋体" w:cs="宋体"/>
                <w:color w:val="auto"/>
                <w:sz w:val="24"/>
                <w:szCs w:val="24"/>
                <w:highlight w:val="none"/>
              </w:rPr>
            </w:pPr>
            <w:r>
              <w:rPr>
                <w:rFonts w:hint="eastAsia" w:ascii="宋体" w:hAnsi="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eastAsia="宋体" w:cs="宋体"/>
                <w:b/>
                <w:bCs/>
                <w:color w:val="auto"/>
                <w:sz w:val="24"/>
                <w:szCs w:val="24"/>
                <w:highlight w:val="none"/>
                <w:lang w:eastAsia="zh-CN"/>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lang w:eastAsia="zh-CN"/>
              </w:rPr>
              <w:t>南宁市青秀区两个耕地提质改造（旱改水）项目整改及管护工作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8800" w:type="dxa"/>
            <w:tcBorders>
              <w:top w:val="single" w:color="auto" w:sz="4" w:space="0"/>
              <w:left w:val="single" w:color="auto" w:sz="4" w:space="0"/>
              <w:bottom w:val="single" w:color="auto" w:sz="4" w:space="0"/>
            </w:tcBorders>
            <w:vAlign w:val="center"/>
          </w:tcPr>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总采购预算：</w:t>
            </w:r>
            <w:r>
              <w:rPr>
                <w:rFonts w:hint="eastAsia" w:ascii="宋体" w:hAnsi="宋体" w:cs="宋体"/>
                <w:b/>
                <w:bCs/>
                <w:color w:val="auto"/>
                <w:sz w:val="24"/>
                <w:szCs w:val="24"/>
                <w:highlight w:val="none"/>
                <w:lang w:val="en-US" w:eastAsia="zh-CN"/>
              </w:rPr>
              <w:t>2735070.52</w:t>
            </w:r>
            <w:r>
              <w:rPr>
                <w:rFonts w:hint="eastAsia" w:ascii="宋体" w:hAnsi="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投标报价及费用：</w:t>
            </w:r>
            <w:r>
              <w:rPr>
                <w:rFonts w:ascii="宋体" w:hAnsi="宋体" w:cs="宋体"/>
                <w:color w:val="auto"/>
                <w:sz w:val="24"/>
                <w:szCs w:val="24"/>
                <w:highlight w:val="none"/>
              </w:rPr>
              <w:t>1</w:t>
            </w:r>
            <w:r>
              <w:rPr>
                <w:rFonts w:hint="eastAsia" w:ascii="宋体" w:hAnsi="宋体" w:cs="宋体"/>
                <w:color w:val="auto"/>
                <w:sz w:val="24"/>
                <w:szCs w:val="24"/>
                <w:highlight w:val="none"/>
              </w:rPr>
              <w:t>、本项目投标应以人民币报价；</w:t>
            </w:r>
            <w:r>
              <w:rPr>
                <w:rFonts w:ascii="宋体" w:hAnsi="宋体" w:cs="宋体"/>
                <w:color w:val="auto"/>
                <w:sz w:val="24"/>
                <w:szCs w:val="24"/>
                <w:highlight w:val="none"/>
              </w:rPr>
              <w:t>2</w:t>
            </w:r>
            <w:r>
              <w:rPr>
                <w:rFonts w:hint="eastAsia" w:ascii="宋体" w:hAnsi="宋体" w:cs="宋体"/>
                <w:color w:val="auto"/>
                <w:sz w:val="24"/>
                <w:szCs w:val="24"/>
                <w:highlight w:val="none"/>
              </w:rPr>
              <w:t>、不论投标结果如何，投标人均应自行承担所有与投标有关的全部费用；</w:t>
            </w:r>
            <w:r>
              <w:rPr>
                <w:rFonts w:ascii="宋体" w:hAnsi="宋体" w:cs="宋体"/>
                <w:color w:val="auto"/>
                <w:sz w:val="24"/>
                <w:szCs w:val="24"/>
                <w:highlight w:val="none"/>
              </w:rPr>
              <w:t>3</w:t>
            </w:r>
            <w:r>
              <w:rPr>
                <w:rFonts w:hint="eastAsia" w:ascii="宋体" w:hAnsi="宋体" w:cs="宋体"/>
                <w:color w:val="auto"/>
                <w:sz w:val="24"/>
                <w:szCs w:val="24"/>
                <w:highlight w:val="none"/>
              </w:rPr>
              <w:t>、本项目代理服务费按国家计委《招标代理服务收费管理暂行办法》（计价格</w:t>
            </w:r>
            <w:r>
              <w:rPr>
                <w:rFonts w:ascii="宋体" w:hAnsi="宋体" w:cs="宋体"/>
                <w:color w:val="auto"/>
                <w:sz w:val="24"/>
                <w:szCs w:val="24"/>
                <w:highlight w:val="none"/>
              </w:rPr>
              <w:t>[2002]1980</w:t>
            </w:r>
            <w:r>
              <w:rPr>
                <w:rFonts w:hint="eastAsia" w:ascii="宋体" w:hAnsi="宋体" w:cs="宋体"/>
                <w:color w:val="auto"/>
                <w:sz w:val="24"/>
                <w:szCs w:val="24"/>
                <w:highlight w:val="none"/>
              </w:rPr>
              <w:t>号）规定标准下浮</w:t>
            </w:r>
            <w:r>
              <w:rPr>
                <w:rFonts w:ascii="宋体" w:hAnsi="宋体" w:cs="宋体"/>
                <w:color w:val="auto"/>
                <w:sz w:val="24"/>
                <w:szCs w:val="24"/>
                <w:highlight w:val="none"/>
              </w:rPr>
              <w:t>20%</w:t>
            </w:r>
            <w:r>
              <w:rPr>
                <w:rFonts w:hint="eastAsia" w:ascii="宋体" w:hAnsi="宋体" w:cs="宋体"/>
                <w:color w:val="auto"/>
                <w:sz w:val="24"/>
                <w:szCs w:val="24"/>
                <w:highlight w:val="none"/>
              </w:rPr>
              <w:t>向成交人收取。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投标有效期：</w:t>
            </w:r>
            <w:r>
              <w:rPr>
                <w:rFonts w:hint="eastAsia" w:ascii="宋体" w:hAnsi="宋体" w:cs="宋体"/>
                <w:color w:val="auto"/>
                <w:sz w:val="24"/>
                <w:szCs w:val="24"/>
                <w:highlight w:val="none"/>
              </w:rPr>
              <w:t>□</w:t>
            </w:r>
            <w:r>
              <w:rPr>
                <w:rFonts w:ascii="宋体" w:hAnsi="宋体" w:cs="宋体"/>
                <w:color w:val="auto"/>
                <w:sz w:val="24"/>
                <w:szCs w:val="24"/>
                <w:highlight w:val="none"/>
              </w:rPr>
              <w:t>45</w:t>
            </w:r>
            <w:r>
              <w:rPr>
                <w:rFonts w:hint="eastAsia" w:ascii="宋体" w:hAnsi="宋体" w:cs="宋体"/>
                <w:color w:val="auto"/>
                <w:sz w:val="24"/>
                <w:szCs w:val="24"/>
                <w:highlight w:val="none"/>
              </w:rPr>
              <w:t>天</w:t>
            </w:r>
            <w:r>
              <w:rPr>
                <w:rFonts w:hint="eastAsia" w:ascii="宋体" w:hAnsi="Wingdings 2"/>
                <w:color w:val="auto"/>
                <w:sz w:val="24"/>
                <w:szCs w:val="24"/>
                <w:highlight w:val="none"/>
              </w:rPr>
              <w:sym w:font="Wingdings 2" w:char="F052"/>
            </w:r>
            <w:r>
              <w:rPr>
                <w:rFonts w:ascii="宋体" w:hAnsi="宋体" w:cs="宋体"/>
                <w:color w:val="auto"/>
                <w:sz w:val="24"/>
                <w:szCs w:val="24"/>
                <w:highlight w:val="none"/>
              </w:rPr>
              <w:t>60</w:t>
            </w:r>
            <w:r>
              <w:rPr>
                <w:rFonts w:hint="eastAsia" w:ascii="宋体" w:hAnsi="宋体" w:cs="宋体"/>
                <w:color w:val="auto"/>
                <w:sz w:val="24"/>
                <w:szCs w:val="24"/>
                <w:highlight w:val="none"/>
              </w:rPr>
              <w:t>天□</w:t>
            </w:r>
            <w:r>
              <w:rPr>
                <w:rFonts w:ascii="宋体" w:hAnsi="宋体" w:cs="宋体"/>
                <w:color w:val="auto"/>
                <w:sz w:val="24"/>
                <w:szCs w:val="24"/>
                <w:highlight w:val="none"/>
              </w:rPr>
              <w:t>90</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现场踏勘</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8800" w:type="dxa"/>
            <w:tcBorders>
              <w:top w:val="single" w:color="auto" w:sz="4" w:space="0"/>
              <w:left w:val="single" w:color="auto" w:sz="4" w:space="0"/>
              <w:bottom w:val="single" w:color="auto" w:sz="4" w:space="0"/>
            </w:tcBorders>
            <w:vAlign w:val="center"/>
          </w:tcPr>
          <w:p>
            <w:pPr>
              <w:spacing w:line="360" w:lineRule="auto"/>
              <w:rPr>
                <w:rFonts w:hAnsi="宋体"/>
                <w:color w:val="auto"/>
                <w:sz w:val="24"/>
                <w:szCs w:val="24"/>
                <w:highlight w:val="none"/>
              </w:rPr>
            </w:pPr>
            <w:r>
              <w:rPr>
                <w:rFonts w:hint="eastAsia" w:ascii="宋体" w:hAnsi="宋体" w:cs="宋体"/>
                <w:b/>
                <w:bCs/>
                <w:color w:val="auto"/>
                <w:sz w:val="24"/>
                <w:szCs w:val="24"/>
                <w:highlight w:val="none"/>
              </w:rPr>
              <w:t>答疑、澄清</w:t>
            </w:r>
            <w:r>
              <w:rPr>
                <w:rFonts w:hint="eastAsia" w:ascii="宋体" w:hAnsi="宋体" w:cs="宋体"/>
                <w:color w:val="auto"/>
                <w:sz w:val="24"/>
                <w:szCs w:val="24"/>
                <w:highlight w:val="none"/>
              </w:rPr>
              <w:t>：</w:t>
            </w:r>
            <w:r>
              <w:rPr>
                <w:rFonts w:hint="eastAsia" w:hAnsi="宋体" w:cs="宋体"/>
                <w:color w:val="auto"/>
                <w:sz w:val="24"/>
                <w:szCs w:val="24"/>
                <w:highlight w:val="none"/>
              </w:rPr>
              <w:t>投标人应认真阅读本招标文件，发现其中有误或有不合理要求的，投标人应当于公告届满之日起</w:t>
            </w:r>
            <w:r>
              <w:rPr>
                <w:rFonts w:hAnsi="宋体"/>
                <w:color w:val="auto"/>
                <w:sz w:val="24"/>
                <w:szCs w:val="24"/>
                <w:highlight w:val="none"/>
              </w:rPr>
              <w:t>7</w:t>
            </w:r>
            <w:r>
              <w:rPr>
                <w:rFonts w:hint="eastAsia" w:hAnsi="宋体" w:cs="宋体"/>
                <w:color w:val="auto"/>
                <w:sz w:val="24"/>
                <w:szCs w:val="24"/>
                <w:highlight w:val="none"/>
              </w:rPr>
              <w:t>个工作日前，以书面形式要求招标采购单位澄清。如果澄清、答复、修改或补充的</w:t>
            </w:r>
            <w:r>
              <w:rPr>
                <w:rFonts w:hint="eastAsia" w:cs="宋体"/>
                <w:color w:val="auto"/>
                <w:sz w:val="24"/>
                <w:szCs w:val="24"/>
                <w:highlight w:val="none"/>
              </w:rPr>
              <w:t>内容可能影响投标文件编制的，采购人或者采购代理机构应当在投标截止时间至少</w:t>
            </w:r>
            <w:r>
              <w:rPr>
                <w:color w:val="auto"/>
                <w:sz w:val="24"/>
                <w:szCs w:val="24"/>
                <w:highlight w:val="none"/>
              </w:rPr>
              <w:t>15</w:t>
            </w:r>
            <w:r>
              <w:rPr>
                <w:rFonts w:hint="eastAsia" w:cs="宋体"/>
                <w:color w:val="auto"/>
                <w:sz w:val="24"/>
                <w:szCs w:val="24"/>
                <w:highlight w:val="none"/>
              </w:rPr>
              <w:t>日前发出；不足</w:t>
            </w:r>
            <w:r>
              <w:rPr>
                <w:color w:val="auto"/>
                <w:sz w:val="24"/>
                <w:szCs w:val="24"/>
                <w:highlight w:val="none"/>
              </w:rPr>
              <w:t>15</w:t>
            </w:r>
            <w:r>
              <w:rPr>
                <w:rFonts w:hint="eastAsia" w:cs="宋体"/>
                <w:color w:val="auto"/>
                <w:sz w:val="24"/>
                <w:szCs w:val="24"/>
                <w:highlight w:val="none"/>
              </w:rPr>
              <w:t>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highlight w:val="none"/>
              </w:rPr>
            </w:pPr>
            <w:r>
              <w:rPr>
                <w:rFonts w:hint="eastAsia" w:ascii="宋体" w:hAnsi="宋体" w:cs="宋体"/>
                <w:b/>
                <w:bCs/>
                <w:color w:val="auto"/>
                <w:sz w:val="24"/>
                <w:szCs w:val="24"/>
                <w:highlight w:val="none"/>
              </w:rPr>
              <w:t>投标文件份数</w:t>
            </w:r>
            <w:r>
              <w:rPr>
                <w:rFonts w:hint="eastAsia" w:ascii="宋体" w:hAnsi="宋体" w:cs="宋体"/>
                <w:color w:val="auto"/>
                <w:sz w:val="24"/>
                <w:szCs w:val="24"/>
                <w:highlight w:val="none"/>
              </w:rPr>
              <w:t>：资格审查文件</w:t>
            </w:r>
            <w:r>
              <w:rPr>
                <w:rFonts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份；投标文件（包括商务文件、技术文件和报价文件）正本</w:t>
            </w:r>
            <w:r>
              <w:rPr>
                <w:rFonts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ascii="宋体" w:hAnsi="宋体" w:cs="宋体"/>
                <w:color w:val="auto"/>
                <w:sz w:val="24"/>
                <w:szCs w:val="24"/>
                <w:highlight w:val="none"/>
                <w:u w:val="single"/>
              </w:rPr>
              <w:t xml:space="preserve">  4 </w:t>
            </w:r>
            <w:r>
              <w:rPr>
                <w:rFonts w:hint="eastAsia" w:ascii="宋体" w:hAnsi="宋体" w:cs="宋体"/>
                <w:color w:val="auto"/>
                <w:sz w:val="24"/>
                <w:szCs w:val="24"/>
                <w:highlight w:val="none"/>
              </w:rPr>
              <w:t>份；开标一览表</w:t>
            </w:r>
            <w:r>
              <w:rPr>
                <w:rFonts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8800" w:type="dxa"/>
            <w:tcBorders>
              <w:top w:val="single" w:color="auto" w:sz="4" w:space="0"/>
              <w:left w:val="single" w:color="auto" w:sz="4" w:space="0"/>
              <w:bottom w:val="single" w:color="auto" w:sz="4" w:space="0"/>
            </w:tcBorders>
            <w:vAlign w:val="center"/>
          </w:tcPr>
          <w:p>
            <w:pPr>
              <w:snapToGrid w:val="0"/>
              <w:spacing w:line="320" w:lineRule="exact"/>
              <w:ind w:left="60" w:hanging="60" w:hangingChars="25"/>
              <w:rPr>
                <w:rFonts w:ascii="宋体" w:cs="宋体"/>
                <w:color w:val="auto"/>
                <w:sz w:val="24"/>
                <w:szCs w:val="24"/>
                <w:highlight w:val="none"/>
              </w:rPr>
            </w:pPr>
            <w:r>
              <w:rPr>
                <w:rFonts w:hint="eastAsia" w:ascii="宋体" w:hAnsi="宋体" w:cs="宋体"/>
                <w:b/>
                <w:bCs/>
                <w:color w:val="auto"/>
                <w:sz w:val="24"/>
                <w:szCs w:val="24"/>
                <w:highlight w:val="none"/>
              </w:rPr>
              <w:t>投标文件签署：</w:t>
            </w:r>
            <w:r>
              <w:rPr>
                <w:rFonts w:hint="eastAsia" w:ascii="宋体" w:hAnsi="宋体" w:cs="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highlight w:val="none"/>
                <w:u w:val="single"/>
              </w:rPr>
            </w:pPr>
            <w:r>
              <w:rPr>
                <w:rFonts w:hint="eastAsia" w:ascii="宋体" w:hAnsi="宋体" w:cs="宋体"/>
                <w:b/>
                <w:bCs/>
                <w:color w:val="auto"/>
                <w:sz w:val="24"/>
                <w:szCs w:val="24"/>
                <w:highlight w:val="none"/>
              </w:rPr>
              <w:t>装订要求：</w:t>
            </w:r>
            <w:r>
              <w:rPr>
                <w:rFonts w:hint="eastAsia" w:ascii="宋体" w:hAnsi="宋体" w:cs="宋体"/>
                <w:color w:val="auto"/>
                <w:sz w:val="24"/>
                <w:szCs w:val="24"/>
                <w:highlight w:val="none"/>
              </w:rPr>
              <w:t>按照投标人须知第三部分第（一）项规定的投标文件组成内容，投标文件应按以下要求装订：分册装订，共分</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册，分别为：</w:t>
            </w:r>
            <w:r>
              <w:rPr>
                <w:rFonts w:hint="eastAsia" w:ascii="宋体" w:hAnsi="宋体" w:cs="宋体"/>
                <w:color w:val="auto"/>
                <w:sz w:val="24"/>
                <w:szCs w:val="24"/>
                <w:highlight w:val="none"/>
                <w:u w:val="single"/>
              </w:rPr>
              <w:t>资格审查文件为一册；商务文件、技术文件、报价文件（开标一览表除外）为一册</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开标一览表为一册。</w:t>
            </w:r>
          </w:p>
          <w:p>
            <w:pPr>
              <w:snapToGrid w:val="0"/>
              <w:spacing w:line="320" w:lineRule="exact"/>
              <w:ind w:left="60" w:hanging="60" w:hangingChars="25"/>
              <w:rPr>
                <w:rFonts w:ascii="宋体" w:cs="宋体"/>
                <w:color w:val="auto"/>
                <w:sz w:val="24"/>
                <w:szCs w:val="24"/>
                <w:highlight w:val="none"/>
              </w:rPr>
            </w:pPr>
            <w:r>
              <w:rPr>
                <w:rFonts w:hint="eastAsia" w:ascii="宋体" w:hAnsi="宋体" w:cs="宋体"/>
                <w:color w:val="auto"/>
                <w:sz w:val="24"/>
                <w:szCs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highlight w:val="none"/>
              </w:rPr>
            </w:pPr>
            <w:r>
              <w:rPr>
                <w:rFonts w:hint="eastAsia" w:ascii="宋体" w:hAnsi="宋体" w:cs="宋体"/>
                <w:b/>
                <w:bCs/>
                <w:color w:val="auto"/>
                <w:sz w:val="24"/>
                <w:szCs w:val="24"/>
                <w:highlight w:val="none"/>
              </w:rPr>
              <w:t>包装、密封：</w:t>
            </w:r>
            <w:r>
              <w:rPr>
                <w:rFonts w:hint="eastAsia" w:ascii="宋体" w:hAnsi="宋体" w:cs="宋体"/>
                <w:color w:val="auto"/>
                <w:sz w:val="24"/>
                <w:szCs w:val="24"/>
                <w:highlight w:val="none"/>
              </w:rPr>
              <w:t>投标人应将所有投标文件的</w:t>
            </w:r>
            <w:r>
              <w:rPr>
                <w:rFonts w:hint="eastAsia" w:ascii="宋体" w:hAnsi="宋体" w:cs="宋体"/>
                <w:color w:val="auto"/>
                <w:sz w:val="24"/>
                <w:szCs w:val="24"/>
                <w:highlight w:val="none"/>
                <w:u w:val="single"/>
              </w:rPr>
              <w:t>资格审查文件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商务及技术文件、报价文件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w:t>
            </w:r>
            <w:r>
              <w:rPr>
                <w:rFonts w:hint="eastAsia" w:ascii="宋体" w:hAnsi="宋体" w:cs="宋体"/>
                <w:color w:val="auto"/>
                <w:sz w:val="24"/>
                <w:szCs w:val="24"/>
                <w:highlight w:val="none"/>
              </w:rPr>
              <w:t>分别密封在</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个密封袋内，密封袋上清楚地标明“资格审查文件”或“商务及技术文件、报价文件”或“开标一览表”。</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提交投标文件时应为</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个密封袋。</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投标文件密封袋的封口处应加贴封条并签章（公章、密封章、法定代表人或其委托代理人签名均可）以示密封。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封套上写明：</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投标文件</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项目名称：</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项目编号：</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标项（如有）：</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投标人名称：</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投标人地址：</w:t>
            </w:r>
          </w:p>
          <w:p>
            <w:pPr>
              <w:autoSpaceDE w:val="0"/>
              <w:autoSpaceDN w:val="0"/>
              <w:snapToGrid w:val="0"/>
              <w:jc w:val="right"/>
              <w:textAlignment w:val="bottom"/>
              <w:rPr>
                <w:rFonts w:ascii="宋体" w:cs="宋体"/>
                <w:color w:val="auto"/>
                <w:sz w:val="24"/>
                <w:szCs w:val="24"/>
                <w:highlight w:val="none"/>
              </w:rPr>
            </w:pPr>
            <w:r>
              <w:rPr>
                <w:rFonts w:hint="eastAsia" w:ascii="宋体" w:hAnsi="宋体" w:cs="宋体"/>
                <w:color w:val="auto"/>
                <w:sz w:val="24"/>
                <w:szCs w:val="24"/>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Cs/>
                <w:color w:val="auto"/>
                <w:sz w:val="24"/>
                <w:szCs w:val="24"/>
                <w:highlight w:val="none"/>
              </w:rPr>
              <w:t>1、投标文件递交截止时间</w:t>
            </w:r>
            <w:r>
              <w:rPr>
                <w:rFonts w:hint="eastAsia" w:ascii="宋体" w:hAnsi="宋体" w:cs="宋体"/>
                <w:color w:val="auto"/>
                <w:sz w:val="24"/>
                <w:szCs w:val="24"/>
                <w:highlight w:val="none"/>
              </w:rPr>
              <w:t>：</w:t>
            </w:r>
            <w:r>
              <w:rPr>
                <w:rFonts w:ascii="宋体" w:hAnsi="宋体" w:cs="宋体"/>
                <w:color w:val="auto"/>
                <w:sz w:val="24"/>
                <w:szCs w:val="24"/>
                <w:highlight w:val="none"/>
              </w:rPr>
              <w:t>2020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w:t>
            </w:r>
            <w:r>
              <w:rPr>
                <w:rFonts w:ascii="宋体" w:hAnsi="宋体" w:cs="宋体"/>
                <w:color w:val="auto"/>
                <w:sz w:val="24"/>
                <w:szCs w:val="24"/>
                <w:highlight w:val="none"/>
              </w:rPr>
              <w:t>9</w:t>
            </w:r>
            <w:r>
              <w:rPr>
                <w:rFonts w:hint="eastAsia" w:ascii="宋体" w:hAnsi="宋体" w:cs="宋体"/>
                <w:color w:val="auto"/>
                <w:sz w:val="24"/>
                <w:szCs w:val="24"/>
                <w:highlight w:val="none"/>
              </w:rPr>
              <w:t>时</w:t>
            </w:r>
            <w:r>
              <w:rPr>
                <w:rFonts w:ascii="宋体" w:hAnsi="宋体" w:cs="宋体"/>
                <w:color w:val="auto"/>
                <w:sz w:val="24"/>
                <w:szCs w:val="24"/>
                <w:highlight w:val="none"/>
              </w:rPr>
              <w:t>30</w:t>
            </w:r>
            <w:r>
              <w:rPr>
                <w:rFonts w:hint="eastAsia" w:ascii="宋体" w:hAnsi="宋体" w:cs="宋体"/>
                <w:color w:val="auto"/>
                <w:sz w:val="24"/>
                <w:szCs w:val="24"/>
                <w:highlight w:val="none"/>
              </w:rPr>
              <w:t>分</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2、本项目的投标文件通过邮寄快递的方式送达</w:t>
            </w:r>
            <w:r>
              <w:rPr>
                <w:rFonts w:hint="eastAsia" w:ascii="宋体" w:hAnsi="宋体" w:cs="宋体"/>
                <w:color w:val="auto"/>
                <w:highlight w:val="none"/>
              </w:rPr>
              <w:t>(不接受现场递交)</w:t>
            </w:r>
            <w:r>
              <w:rPr>
                <w:rFonts w:hint="eastAsia" w:ascii="宋体" w:hAnsi="宋体" w:cs="宋体"/>
                <w:bCs/>
                <w:color w:val="auto"/>
                <w:sz w:val="24"/>
                <w:szCs w:val="24"/>
                <w:highlight w:val="none"/>
              </w:rPr>
              <w:t>。</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3、投标文件邮寄地址：南宁市青秀区纬武路165号招标中心</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楼</w:t>
            </w:r>
            <w:r>
              <w:rPr>
                <w:rFonts w:hint="eastAsia" w:ascii="宋体" w:hAnsi="宋体" w:cs="宋体"/>
                <w:bCs/>
                <w:color w:val="auto"/>
                <w:sz w:val="24"/>
                <w:szCs w:val="24"/>
                <w:highlight w:val="none"/>
                <w:lang w:val="en-US" w:eastAsia="zh-CN"/>
              </w:rPr>
              <w:t>206</w:t>
            </w:r>
            <w:r>
              <w:rPr>
                <w:rFonts w:hint="eastAsia" w:ascii="宋体" w:hAnsi="宋体" w:cs="宋体"/>
                <w:bCs/>
                <w:color w:val="auto"/>
                <w:sz w:val="24"/>
                <w:szCs w:val="24"/>
                <w:highlight w:val="none"/>
              </w:rPr>
              <w:t>室；收件人：</w:t>
            </w:r>
            <w:r>
              <w:rPr>
                <w:rFonts w:hint="eastAsia" w:ascii="宋体" w:hAnsi="宋体" w:cs="宋体"/>
                <w:bCs/>
                <w:color w:val="auto"/>
                <w:sz w:val="24"/>
                <w:szCs w:val="24"/>
                <w:highlight w:val="none"/>
                <w:lang w:eastAsia="zh-CN"/>
              </w:rPr>
              <w:t>谌金群</w:t>
            </w:r>
            <w:r>
              <w:rPr>
                <w:rFonts w:hint="eastAsia" w:ascii="宋体" w:hAnsi="宋体" w:cs="宋体"/>
                <w:bCs/>
                <w:color w:val="auto"/>
                <w:sz w:val="24"/>
                <w:szCs w:val="24"/>
                <w:highlight w:val="none"/>
              </w:rPr>
              <w:t>；联系电话：</w:t>
            </w:r>
            <w:r>
              <w:rPr>
                <w:rFonts w:hint="eastAsia" w:ascii="宋体" w:hAnsi="宋体" w:cs="宋体"/>
                <w:bCs/>
                <w:color w:val="auto"/>
                <w:sz w:val="24"/>
                <w:szCs w:val="24"/>
                <w:highlight w:val="none"/>
                <w:lang w:eastAsia="zh-CN"/>
              </w:rPr>
              <w:t>0771-2807659</w:t>
            </w:r>
            <w:r>
              <w:rPr>
                <w:rFonts w:hint="eastAsia" w:ascii="宋体" w:hAnsi="宋体" w:cs="宋体"/>
                <w:bCs/>
                <w:color w:val="auto"/>
                <w:sz w:val="24"/>
                <w:szCs w:val="24"/>
                <w:highlight w:val="none"/>
              </w:rPr>
              <w:t>。</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4、接收邮寄包裹的时间为工作日8：00～18：00。投标文件必须在投标截止时间前送达。招标采购人或招标采购代理机构工作人员签收邮寄包裹的时间即为投标人投标文件的送达时间，逾期送达的投标文件无效，后果由供应商自行承担。</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5、采购代理机构将在投标标截止时间前一小时统一将收到的投标文件运送至南宁市公共资源交易中心，以确保本项目能在竞标截止（开标）时间准时截标。投标人应充分预留投标文件邮寄、送达所需要的时间。为确保疫情防控期间邮寄包裹能及时送达，应选择邮寄运送时间有保障的快递公司寄送投标文件，并确保在投标截止日期1个工作日前内送达。</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6、投标人在按照招标文件的要求装订、密封好</w:t>
            </w:r>
            <w:r>
              <w:rPr>
                <w:rFonts w:hint="eastAsia" w:ascii="宋体" w:hAnsi="宋体" w:cs="宋体"/>
                <w:bCs/>
                <w:color w:val="auto"/>
                <w:sz w:val="24"/>
                <w:szCs w:val="24"/>
                <w:highlight w:val="none"/>
                <w:lang w:eastAsia="zh-CN"/>
              </w:rPr>
              <w:t>投标文件</w:t>
            </w:r>
            <w:r>
              <w:rPr>
                <w:rFonts w:hint="eastAsia" w:ascii="宋体" w:hAnsi="宋体" w:cs="宋体"/>
                <w:bCs/>
                <w:color w:val="auto"/>
                <w:sz w:val="24"/>
                <w:szCs w:val="24"/>
                <w:highlight w:val="none"/>
              </w:rPr>
              <w:t>后，应使用不透明、防水的邮寄袋或箱子再次包裹已密封好的投标文件，并在邮寄袋或箱子上粘牢注明项目名称、项目编号、项目开标日期、有效的电子邮箱等内容的纸质表格（表格格式详见附件）。</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7、招标采购人或招标采购代理机构工作人员在收到投标文件的邮寄包裹后，第一时间按照投标人在邮寄包裹上所预留的电子邮箱告知投标文件收件情况，请供投标人必确保所预留的电子邮箱的有效性，并注意查收邮件。</w:t>
            </w:r>
          </w:p>
          <w:p>
            <w:pPr>
              <w:snapToGrid w:val="0"/>
              <w:rPr>
                <w:rFonts w:ascii="宋体" w:hAnsi="宋体" w:cs="宋体"/>
                <w:bCs/>
                <w:color w:val="auto"/>
                <w:sz w:val="24"/>
                <w:szCs w:val="24"/>
                <w:highlight w:val="none"/>
              </w:rPr>
            </w:pPr>
          </w:p>
          <w:p>
            <w:pPr>
              <w:snapToGrid w:val="0"/>
              <w:rPr>
                <w:rFonts w:ascii="宋体" w:hAnsi="宋体" w:cs="宋体"/>
                <w:bCs/>
                <w:color w:val="auto"/>
                <w:sz w:val="24"/>
                <w:szCs w:val="24"/>
                <w:highlight w:val="none"/>
              </w:rPr>
            </w:pPr>
          </w:p>
          <w:p>
            <w:pPr>
              <w:snapToGrid w:val="0"/>
              <w:rPr>
                <w:rFonts w:ascii="宋体" w:hAnsi="宋体" w:cs="宋体"/>
                <w:bCs/>
                <w:color w:val="auto"/>
                <w:sz w:val="24"/>
                <w:szCs w:val="24"/>
                <w:highlight w:val="none"/>
              </w:rPr>
            </w:pP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附件：</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邮件外包粘贴表格（格式）</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项目编号：</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项目开标日期：</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联系电话：</w:t>
            </w:r>
          </w:p>
          <w:p>
            <w:pPr>
              <w:snapToGrid w:val="0"/>
              <w:rPr>
                <w:rFonts w:ascii="宋体" w:cs="宋体"/>
                <w:color w:val="auto"/>
                <w:sz w:val="24"/>
                <w:szCs w:val="24"/>
                <w:highlight w:val="none"/>
              </w:rPr>
            </w:pPr>
            <w:r>
              <w:rPr>
                <w:rFonts w:hint="eastAsia" w:ascii="宋体" w:hAnsi="宋体" w:cs="宋体"/>
                <w:bCs/>
                <w:color w:val="auto"/>
                <w:sz w:val="24"/>
                <w:szCs w:val="24"/>
                <w:highlight w:val="none"/>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开标时间：</w:t>
            </w:r>
            <w:r>
              <w:rPr>
                <w:rFonts w:ascii="宋体" w:hAnsi="宋体" w:cs="宋体"/>
                <w:color w:val="auto"/>
                <w:sz w:val="24"/>
                <w:szCs w:val="24"/>
                <w:highlight w:val="none"/>
              </w:rPr>
              <w:t>2020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w:t>
            </w:r>
            <w:r>
              <w:rPr>
                <w:rFonts w:ascii="宋体" w:hAnsi="宋体" w:cs="宋体"/>
                <w:color w:val="auto"/>
                <w:sz w:val="24"/>
                <w:szCs w:val="24"/>
                <w:highlight w:val="none"/>
              </w:rPr>
              <w:t>9</w:t>
            </w:r>
            <w:r>
              <w:rPr>
                <w:rFonts w:hint="eastAsia" w:ascii="宋体" w:hAnsi="宋体" w:cs="宋体"/>
                <w:color w:val="auto"/>
                <w:sz w:val="24"/>
                <w:szCs w:val="24"/>
                <w:highlight w:val="none"/>
              </w:rPr>
              <w:t>时</w:t>
            </w:r>
            <w:r>
              <w:rPr>
                <w:rFonts w:ascii="宋体" w:hAnsi="宋体" w:cs="宋体"/>
                <w:color w:val="auto"/>
                <w:sz w:val="24"/>
                <w:szCs w:val="24"/>
                <w:highlight w:val="none"/>
              </w:rPr>
              <w:t>30</w:t>
            </w:r>
            <w:r>
              <w:rPr>
                <w:rFonts w:hint="eastAsia" w:ascii="宋体" w:hAnsi="宋体" w:cs="宋体"/>
                <w:color w:val="auto"/>
                <w:sz w:val="24"/>
                <w:szCs w:val="24"/>
                <w:highlight w:val="none"/>
              </w:rPr>
              <w:t>分</w:t>
            </w:r>
          </w:p>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地点：</w:t>
            </w:r>
            <w:r>
              <w:rPr>
                <w:rFonts w:hint="eastAsia" w:ascii="宋体" w:hAnsi="宋体" w:cs="宋体"/>
                <w:color w:val="auto"/>
                <w:sz w:val="24"/>
                <w:szCs w:val="24"/>
                <w:highlight w:val="none"/>
              </w:rPr>
              <w:t>南宁市良庆区玉洞大道</w:t>
            </w:r>
            <w:r>
              <w:rPr>
                <w:rFonts w:ascii="宋体" w:hAnsi="宋体" w:cs="宋体"/>
                <w:color w:val="auto"/>
                <w:sz w:val="24"/>
                <w:szCs w:val="24"/>
                <w:highlight w:val="none"/>
              </w:rPr>
              <w:t>33</w:t>
            </w:r>
            <w:r>
              <w:rPr>
                <w:rFonts w:hint="eastAsia" w:ascii="宋体" w:hAnsi="宋体" w:cs="宋体"/>
                <w:color w:val="auto"/>
                <w:sz w:val="24"/>
                <w:szCs w:val="24"/>
                <w:highlight w:val="none"/>
              </w:rPr>
              <w:t>号南宁市民中心</w:t>
            </w:r>
            <w:r>
              <w:rPr>
                <w:rFonts w:ascii="宋体" w:hAnsi="宋体" w:cs="宋体"/>
                <w:color w:val="auto"/>
                <w:sz w:val="24"/>
                <w:szCs w:val="24"/>
                <w:highlight w:val="none"/>
              </w:rPr>
              <w:t>9</w:t>
            </w:r>
            <w:r>
              <w:rPr>
                <w:rFonts w:hint="eastAsia" w:ascii="宋体" w:hAnsi="宋体" w:cs="宋体"/>
                <w:color w:val="auto"/>
                <w:sz w:val="24"/>
                <w:szCs w:val="24"/>
                <w:highlight w:val="none"/>
              </w:rPr>
              <w:t>楼（具体安排详见</w:t>
            </w:r>
            <w:r>
              <w:rPr>
                <w:rFonts w:ascii="宋体" w:hAnsi="宋体" w:cs="宋体"/>
                <w:color w:val="auto"/>
                <w:sz w:val="24"/>
                <w:szCs w:val="24"/>
                <w:highlight w:val="none"/>
              </w:rPr>
              <w:t>9</w:t>
            </w:r>
            <w:r>
              <w:rPr>
                <w:rFonts w:hint="eastAsia" w:ascii="宋体" w:hAnsi="宋体" w:cs="宋体"/>
                <w:color w:val="auto"/>
                <w:sz w:val="24"/>
                <w:szCs w:val="24"/>
                <w:highlight w:val="none"/>
              </w:rPr>
              <w:t>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评标办法及评分标准：</w:t>
            </w:r>
            <w:r>
              <w:rPr>
                <w:rFonts w:hint="eastAsia" w:ascii="宋体"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spacing w:line="440" w:lineRule="exact"/>
              <w:textAlignment w:val="bottom"/>
              <w:rPr>
                <w:rFonts w:ascii="宋体"/>
                <w:color w:val="auto"/>
                <w:sz w:val="24"/>
                <w:szCs w:val="24"/>
                <w:highlight w:val="none"/>
              </w:rPr>
            </w:pPr>
            <w:r>
              <w:rPr>
                <w:rFonts w:hint="eastAsia" w:hAnsi="宋体" w:cs="宋体"/>
                <w:b/>
                <w:bCs/>
                <w:color w:val="auto"/>
                <w:sz w:val="24"/>
                <w:szCs w:val="24"/>
                <w:highlight w:val="none"/>
              </w:rPr>
              <w:t>信用查询：</w:t>
            </w: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⑵查询截止时点：中标通知书发出前；</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pStyle w:val="130"/>
              <w:spacing w:line="44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⑷信用信息使用规则：对在“信用中国”网站</w:t>
            </w:r>
            <w:r>
              <w:rPr>
                <w:rFonts w:hAnsi="宋体"/>
                <w:color w:val="auto"/>
                <w:sz w:val="24"/>
                <w:szCs w:val="24"/>
                <w:highlight w:val="none"/>
              </w:rPr>
              <w:t>(www.creditchina.gov.cn)</w:t>
            </w:r>
            <w:r>
              <w:rPr>
                <w:rFonts w:hint="eastAsia" w:hAnsi="宋体"/>
                <w:color w:val="auto"/>
                <w:sz w:val="24"/>
                <w:szCs w:val="24"/>
                <w:highlight w:val="none"/>
              </w:rPr>
              <w:t>、中国政府采购网</w:t>
            </w:r>
            <w:r>
              <w:rPr>
                <w:rFonts w:hAnsi="宋体"/>
                <w:color w:val="auto"/>
                <w:sz w:val="24"/>
                <w:szCs w:val="24"/>
                <w:highlight w:val="none"/>
              </w:rPr>
              <w:t>(www.ccgp.gov.cn)</w:t>
            </w:r>
            <w:r>
              <w:rPr>
                <w:rFonts w:hint="eastAsia" w:hAnsi="宋体"/>
                <w:color w:val="auto"/>
                <w:sz w:val="24"/>
                <w:szCs w:val="24"/>
                <w:highlight w:val="none"/>
              </w:rPr>
              <w:t>等渠道列入失信被执行人、重大税收违法案件当事人名单、政府采购严重违法失信行为记录名单及其他不符合《中华人民共和国政府采购法》第二十二条规定条件的供应商，取消其中标候选人资格。</w:t>
            </w:r>
          </w:p>
          <w:p>
            <w:pPr>
              <w:pStyle w:val="24"/>
              <w:spacing w:line="380" w:lineRule="exact"/>
              <w:ind w:firstLine="472" w:firstLineChars="196"/>
              <w:rPr>
                <w:rFonts w:hAnsi="宋体"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16</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宋体" w:cs="宋体"/>
                <w:color w:val="auto"/>
                <w:sz w:val="24"/>
                <w:szCs w:val="24"/>
                <w:highlight w:val="none"/>
              </w:rPr>
            </w:pPr>
            <w:r>
              <w:rPr>
                <w:rFonts w:hint="eastAsia" w:ascii="宋体" w:hAnsi="宋体" w:cs="宋体"/>
                <w:b/>
                <w:bCs/>
                <w:color w:val="auto"/>
                <w:sz w:val="24"/>
                <w:szCs w:val="24"/>
                <w:highlight w:val="none"/>
              </w:rPr>
              <w:t>中标公告及中标通知书：</w:t>
            </w:r>
            <w:r>
              <w:rPr>
                <w:rFonts w:hint="eastAsia" w:ascii="宋体" w:hAnsi="宋体" w:cs="宋体"/>
                <w:color w:val="auto"/>
                <w:sz w:val="24"/>
                <w:szCs w:val="24"/>
                <w:highlight w:val="none"/>
              </w:rPr>
              <w:t>本中心在采购人依法确认中标人后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highlight w:val="none"/>
              </w:rPr>
            </w:pPr>
            <w:r>
              <w:rPr>
                <w:rFonts w:hint="eastAsia" w:ascii="宋体" w:hAnsi="宋体" w:cs="宋体"/>
                <w:b/>
                <w:bCs/>
                <w:color w:val="auto"/>
                <w:sz w:val="24"/>
                <w:szCs w:val="24"/>
                <w:highlight w:val="none"/>
              </w:rPr>
              <w:t>签订合同时间：</w:t>
            </w:r>
            <w:r>
              <w:rPr>
                <w:rFonts w:hint="eastAsia" w:ascii="宋体" w:hAnsi="宋体" w:cs="宋体"/>
                <w:color w:val="auto"/>
                <w:sz w:val="24"/>
                <w:szCs w:val="24"/>
                <w:highlight w:val="none"/>
              </w:rPr>
              <w:t>中标通知书发出后</w:t>
            </w:r>
            <w:r>
              <w:rPr>
                <w:rFonts w:ascii="宋体" w:hAnsi="宋体" w:cs="宋体"/>
                <w:color w:val="auto"/>
                <w:sz w:val="24"/>
                <w:szCs w:val="24"/>
                <w:highlight w:val="none"/>
              </w:rPr>
              <w:t xml:space="preserve"> 30 </w:t>
            </w:r>
            <w:r>
              <w:rPr>
                <w:rFonts w:hint="eastAsia" w:ascii="宋体" w:hAnsi="宋体" w:cs="宋体"/>
                <w:color w:val="auto"/>
                <w:sz w:val="24"/>
                <w:szCs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18</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highlight w:val="none"/>
              </w:rPr>
            </w:pPr>
            <w:r>
              <w:rPr>
                <w:rFonts w:hint="eastAsia" w:ascii="宋体" w:hAnsi="宋体" w:cs="宋体"/>
                <w:color w:val="auto"/>
                <w:sz w:val="24"/>
                <w:szCs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19</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highlight w:val="none"/>
              </w:rPr>
            </w:pPr>
            <w:r>
              <w:rPr>
                <w:rFonts w:hint="eastAsia" w:ascii="宋体" w:hAnsi="宋体" w:cs="宋体"/>
                <w:color w:val="auto"/>
                <w:sz w:val="24"/>
                <w:szCs w:val="24"/>
                <w:highlight w:val="none"/>
              </w:rPr>
              <w:t>付款方式：由采购单位代付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20</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color w:val="auto"/>
                <w:sz w:val="24"/>
                <w:szCs w:val="24"/>
                <w:highlight w:val="none"/>
              </w:rPr>
              <w:t>解释：本招标文件的解释权属于招标采购代理机构。</w:t>
            </w:r>
          </w:p>
        </w:tc>
      </w:tr>
    </w:tbl>
    <w:p>
      <w:pPr>
        <w:pStyle w:val="24"/>
        <w:tabs>
          <w:tab w:val="left" w:pos="426"/>
        </w:tabs>
        <w:snapToGrid w:val="0"/>
        <w:jc w:val="center"/>
        <w:rPr>
          <w:rFonts w:hAnsi="宋体" w:cs="Times New Roman"/>
          <w:b/>
          <w:bCs/>
          <w:color w:val="auto"/>
          <w:sz w:val="32"/>
          <w:szCs w:val="32"/>
          <w:highlight w:val="none"/>
        </w:rPr>
      </w:pPr>
      <w:r>
        <w:rPr>
          <w:rFonts w:hAnsi="宋体" w:cs="Times New Roman"/>
          <w:b/>
          <w:bCs/>
          <w:color w:val="auto"/>
          <w:highlight w:val="none"/>
        </w:rPr>
        <w:br w:type="page"/>
      </w:r>
      <w:r>
        <w:rPr>
          <w:rFonts w:hint="eastAsia" w:hAnsi="宋体"/>
          <w:b/>
          <w:bCs/>
          <w:color w:val="auto"/>
          <w:sz w:val="32"/>
          <w:szCs w:val="32"/>
          <w:highlight w:val="none"/>
        </w:rPr>
        <w:t>一、总则</w:t>
      </w:r>
    </w:p>
    <w:p>
      <w:pPr>
        <w:snapToGrid w:val="0"/>
        <w:spacing w:line="360" w:lineRule="exact"/>
        <w:jc w:val="left"/>
        <w:rPr>
          <w:rFonts w:ascii="宋体" w:cs="宋体"/>
          <w:b/>
          <w:bCs/>
          <w:color w:val="auto"/>
          <w:sz w:val="24"/>
          <w:szCs w:val="24"/>
          <w:highlight w:val="none"/>
        </w:rPr>
      </w:pPr>
      <w:bookmarkStart w:id="52" w:name="_Toc254970668"/>
      <w:bookmarkStart w:id="53" w:name="_Toc254970527"/>
      <w:r>
        <w:rPr>
          <w:rFonts w:hint="eastAsia" w:ascii="宋体" w:hAnsi="宋体" w:cs="宋体"/>
          <w:b/>
          <w:bCs/>
          <w:color w:val="auto"/>
          <w:sz w:val="24"/>
          <w:szCs w:val="24"/>
          <w:highlight w:val="none"/>
        </w:rPr>
        <w:t>（一）适用范围</w:t>
      </w:r>
      <w:bookmarkEnd w:id="52"/>
      <w:bookmarkEnd w:id="53"/>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lang w:eastAsia="zh-CN"/>
        </w:rPr>
        <w:t>南宁市青秀区土地储备分中心</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lang w:eastAsia="zh-CN"/>
        </w:rPr>
        <w:t>南宁市青秀区两个耕地提质改造（旱改水）项目整改及管护工作</w:t>
      </w:r>
      <w:r>
        <w:rPr>
          <w:rFonts w:hint="eastAsia" w:ascii="宋体" w:hAnsi="宋体" w:cs="宋体"/>
          <w:color w:val="auto"/>
          <w:sz w:val="24"/>
          <w:szCs w:val="24"/>
          <w:highlight w:val="none"/>
        </w:rPr>
        <w:t>的招标、投标、评标、定标、验收、合同履约、付款等行为（法律、法规另有规定的，从其规定）。</w:t>
      </w:r>
    </w:p>
    <w:p>
      <w:pPr>
        <w:snapToGrid w:val="0"/>
        <w:spacing w:line="360" w:lineRule="exact"/>
        <w:jc w:val="left"/>
        <w:rPr>
          <w:rFonts w:ascii="宋体" w:cs="宋体"/>
          <w:b/>
          <w:bCs/>
          <w:color w:val="auto"/>
          <w:sz w:val="24"/>
          <w:szCs w:val="24"/>
          <w:highlight w:val="none"/>
        </w:rPr>
      </w:pPr>
      <w:bookmarkStart w:id="54" w:name="_Toc254970669"/>
      <w:bookmarkStart w:id="55" w:name="_Toc254970528"/>
      <w:r>
        <w:rPr>
          <w:rFonts w:hint="eastAsia" w:ascii="宋体" w:hAnsi="宋体" w:cs="宋体"/>
          <w:b/>
          <w:bCs/>
          <w:color w:val="auto"/>
          <w:sz w:val="24"/>
          <w:szCs w:val="24"/>
          <w:highlight w:val="none"/>
        </w:rPr>
        <w:t>（二）定义</w:t>
      </w:r>
      <w:bookmarkEnd w:id="54"/>
      <w:bookmarkEnd w:id="55"/>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招标采购单位系指组织本次招标的采购人和代理机构。</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“投标人”系指向招标方提交投标文件的单位或自然人。</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“服务”系指招标文件规定投标人须承担的安装、调试、技术协助、校准、培训、技术指导以及其他类似的义务。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“项目”系指投标人按招标文件规定向采购人提供的产品和服务。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“书面形式”包括信函、传真、电子邮件等。</w:t>
      </w:r>
    </w:p>
    <w:p>
      <w:pPr>
        <w:snapToGrid w:val="0"/>
        <w:spacing w:line="360" w:lineRule="exact"/>
        <w:jc w:val="left"/>
        <w:rPr>
          <w:rFonts w:ascii="宋体" w:cs="宋体"/>
          <w:b/>
          <w:bCs/>
          <w:color w:val="auto"/>
          <w:sz w:val="24"/>
          <w:szCs w:val="24"/>
          <w:highlight w:val="none"/>
        </w:rPr>
      </w:pPr>
      <w:bookmarkStart w:id="56" w:name="_Toc254970529"/>
      <w:bookmarkStart w:id="57" w:name="_Toc254970670"/>
      <w:r>
        <w:rPr>
          <w:rFonts w:hint="eastAsia" w:ascii="宋体" w:hAnsi="宋体" w:cs="宋体"/>
          <w:b/>
          <w:bCs/>
          <w:color w:val="auto"/>
          <w:sz w:val="24"/>
          <w:szCs w:val="24"/>
          <w:highlight w:val="none"/>
        </w:rPr>
        <w:t>（三）招标方式</w:t>
      </w:r>
      <w:bookmarkEnd w:id="56"/>
      <w:bookmarkEnd w:id="57"/>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公开招标方式。</w:t>
      </w:r>
    </w:p>
    <w:p>
      <w:pPr>
        <w:tabs>
          <w:tab w:val="left" w:pos="426"/>
        </w:tabs>
        <w:snapToGrid w:val="0"/>
        <w:spacing w:line="360" w:lineRule="exact"/>
        <w:jc w:val="left"/>
        <w:rPr>
          <w:rFonts w:ascii="宋体" w:cs="宋体"/>
          <w:b/>
          <w:bCs/>
          <w:color w:val="auto"/>
          <w:sz w:val="24"/>
          <w:szCs w:val="24"/>
          <w:highlight w:val="none"/>
        </w:rPr>
      </w:pPr>
      <w:bookmarkStart w:id="58" w:name="_Toc254970671"/>
      <w:bookmarkStart w:id="59" w:name="_Toc254970530"/>
      <w:r>
        <w:rPr>
          <w:rFonts w:hint="eastAsia" w:ascii="宋体" w:hAnsi="宋体" w:cs="宋体"/>
          <w:b/>
          <w:bCs/>
          <w:color w:val="auto"/>
          <w:sz w:val="24"/>
          <w:szCs w:val="24"/>
          <w:highlight w:val="none"/>
        </w:rPr>
        <w:t>（四）投标委托</w:t>
      </w:r>
      <w:bookmarkEnd w:id="58"/>
      <w:bookmarkEnd w:id="59"/>
    </w:p>
    <w:p>
      <w:pPr>
        <w:pStyle w:val="19"/>
        <w:snapToGrid w:val="0"/>
        <w:spacing w:line="360" w:lineRule="exact"/>
        <w:ind w:firstLine="360" w:firstLineChars="15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宋体" w:cs="宋体"/>
          <w:b/>
          <w:bCs/>
          <w:color w:val="auto"/>
          <w:sz w:val="24"/>
          <w:szCs w:val="24"/>
          <w:highlight w:val="none"/>
        </w:rPr>
      </w:pPr>
      <w:bookmarkStart w:id="60" w:name="_Toc254970531"/>
      <w:bookmarkStart w:id="61" w:name="_Toc254970672"/>
      <w:r>
        <w:rPr>
          <w:rFonts w:hint="eastAsia" w:ascii="宋体" w:hAnsi="宋体" w:cs="宋体"/>
          <w:b/>
          <w:bCs/>
          <w:color w:val="auto"/>
          <w:sz w:val="24"/>
          <w:szCs w:val="24"/>
          <w:highlight w:val="none"/>
        </w:rPr>
        <w:t>（五）投标费用</w:t>
      </w:r>
      <w:bookmarkEnd w:id="60"/>
      <w:bookmarkEnd w:id="61"/>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不论投标结果如何，投标人均应自行承担所有与投标有关的全部费用（招标文件有相关的规定除外）。</w:t>
      </w:r>
    </w:p>
    <w:p>
      <w:pPr>
        <w:snapToGrid w:val="0"/>
        <w:spacing w:line="360" w:lineRule="exact"/>
        <w:rPr>
          <w:rFonts w:ascii="宋体" w:cs="宋体"/>
          <w:b/>
          <w:bCs/>
          <w:color w:val="auto"/>
          <w:kern w:val="0"/>
          <w:sz w:val="24"/>
          <w:szCs w:val="24"/>
          <w:highlight w:val="none"/>
        </w:rPr>
      </w:pPr>
      <w:r>
        <w:rPr>
          <w:rFonts w:hint="eastAsia" w:ascii="宋体" w:hAnsi="宋体" w:cs="宋体"/>
          <w:b/>
          <w:bCs/>
          <w:color w:val="auto"/>
          <w:sz w:val="24"/>
          <w:szCs w:val="24"/>
          <w:highlight w:val="none"/>
        </w:rPr>
        <w:t>（六）</w:t>
      </w:r>
      <w:r>
        <w:rPr>
          <w:rFonts w:hint="eastAsia" w:ascii="宋体" w:hAnsi="宋体" w:cs="宋体"/>
          <w:b/>
          <w:bCs/>
          <w:color w:val="auto"/>
          <w:kern w:val="0"/>
          <w:sz w:val="24"/>
          <w:szCs w:val="24"/>
          <w:highlight w:val="none"/>
        </w:rPr>
        <w:t>专业分包：</w:t>
      </w:r>
    </w:p>
    <w:p>
      <w:pPr>
        <w:snapToGrid w:val="0"/>
        <w:spacing w:line="360" w:lineRule="exact"/>
        <w:ind w:firstLine="600" w:firstLineChars="250"/>
        <w:rPr>
          <w:rFonts w:ascii="宋体" w:hAnsi="宋体" w:cs="宋体"/>
          <w:b/>
          <w:bCs/>
          <w:color w:val="auto"/>
          <w:kern w:val="0"/>
          <w:sz w:val="24"/>
          <w:szCs w:val="24"/>
          <w:highlight w:val="none"/>
        </w:rPr>
      </w:pPr>
      <w:r>
        <w:rPr>
          <w:rFonts w:hint="eastAsia" w:ascii="宋体" w:hAnsi="宋体" w:cs="宋体"/>
          <w:bCs/>
          <w:color w:val="auto"/>
          <w:kern w:val="0"/>
          <w:sz w:val="24"/>
          <w:szCs w:val="24"/>
          <w:highlight w:val="none"/>
        </w:rPr>
        <w:t>本项目</w:t>
      </w:r>
      <w:r>
        <w:rPr>
          <w:rFonts w:hint="eastAsia" w:ascii="宋体" w:hAnsi="宋体" w:cs="宋体"/>
          <w:bCs/>
          <w:color w:val="auto"/>
          <w:kern w:val="0"/>
          <w:sz w:val="24"/>
          <w:szCs w:val="24"/>
          <w:highlight w:val="none"/>
          <w:u w:val="single"/>
        </w:rPr>
        <w:t>不可以</w:t>
      </w:r>
      <w:r>
        <w:rPr>
          <w:rFonts w:hint="eastAsia" w:ascii="宋体" w:hAnsi="宋体" w:cs="宋体"/>
          <w:bCs/>
          <w:color w:val="auto"/>
          <w:kern w:val="0"/>
          <w:sz w:val="24"/>
          <w:szCs w:val="24"/>
          <w:highlight w:val="none"/>
        </w:rPr>
        <w:t>将</w:t>
      </w:r>
      <w:r>
        <w:rPr>
          <w:rFonts w:hint="eastAsia" w:ascii="宋体" w:hAnsi="宋体" w:cs="宋体"/>
          <w:color w:val="auto"/>
          <w:kern w:val="0"/>
          <w:sz w:val="24"/>
          <w:szCs w:val="24"/>
          <w:highlight w:val="none"/>
        </w:rPr>
        <w:t>非主体、非关键性工作分包。</w:t>
      </w:r>
    </w:p>
    <w:p>
      <w:pPr>
        <w:tabs>
          <w:tab w:val="left" w:pos="426"/>
        </w:tabs>
        <w:snapToGrid w:val="0"/>
        <w:spacing w:line="360" w:lineRule="exact"/>
        <w:jc w:val="left"/>
        <w:rPr>
          <w:rFonts w:ascii="宋体" w:cs="宋体"/>
          <w:b/>
          <w:bCs/>
          <w:color w:val="auto"/>
          <w:sz w:val="24"/>
          <w:szCs w:val="24"/>
          <w:highlight w:val="none"/>
        </w:rPr>
      </w:pPr>
      <w:bookmarkStart w:id="62" w:name="_Toc254970673"/>
      <w:bookmarkStart w:id="63" w:name="_Toc254970532"/>
      <w:r>
        <w:rPr>
          <w:rFonts w:hint="eastAsia" w:ascii="宋体" w:hAnsi="宋体" w:cs="宋体"/>
          <w:b/>
          <w:bCs/>
          <w:color w:val="auto"/>
          <w:sz w:val="24"/>
          <w:szCs w:val="24"/>
          <w:highlight w:val="none"/>
        </w:rPr>
        <w:t>（七）特别说明：</w:t>
      </w:r>
      <w:bookmarkEnd w:id="62"/>
      <w:bookmarkEnd w:id="63"/>
    </w:p>
    <w:p>
      <w:pPr>
        <w:widowControl/>
        <w:shd w:val="clear" w:color="auto" w:fill="FFFFFF"/>
        <w:spacing w:line="360" w:lineRule="exact"/>
        <w:ind w:firstLine="360" w:firstLineChars="150"/>
        <w:jc w:val="left"/>
        <w:rPr>
          <w:rFonts w:ascii="宋体" w:hAnsi="宋体" w:cs="宋体"/>
          <w:color w:val="auto"/>
          <w:sz w:val="24"/>
          <w:szCs w:val="24"/>
          <w:highlight w:val="none"/>
        </w:rPr>
      </w:pPr>
      <w:bookmarkStart w:id="64" w:name="_Toc254970533"/>
      <w:bookmarkStart w:id="65" w:name="_Toc254970674"/>
      <w:r>
        <w:rPr>
          <w:rFonts w:ascii="宋体" w:hAnsi="宋体" w:cs="宋体"/>
          <w:color w:val="auto"/>
          <w:sz w:val="24"/>
          <w:szCs w:val="24"/>
          <w:highlight w:val="none"/>
        </w:rPr>
        <w:t>1</w:t>
      </w:r>
      <w:r>
        <w:rPr>
          <w:rFonts w:hint="eastAsia" w:ascii="宋体" w:hAnsi="宋体" w:cs="宋体"/>
          <w:color w:val="auto"/>
          <w:sz w:val="24"/>
          <w:szCs w:val="24"/>
          <w:highlight w:val="none"/>
        </w:rPr>
        <w:t>、投标人投标所使用的资格、信誉、荣誉、业绩与企业认证必须为本法人或提供服务的服务商所拥有。投标人投标所使用的采购项目实施人员必须为本法人员工（或必须为本法人或控股公司正式员工）。</w:t>
      </w:r>
    </w:p>
    <w:p>
      <w:pPr>
        <w:widowControl/>
        <w:shd w:val="clear" w:color="auto" w:fill="FFFFFF"/>
        <w:spacing w:line="360" w:lineRule="exact"/>
        <w:ind w:firstLine="360" w:firstLineChars="150"/>
        <w:jc w:val="left"/>
        <w:rPr>
          <w:rFonts w:ascii="宋体" w:cs="宋体"/>
          <w:color w:val="auto"/>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投标人应仔细阅读招标文件的所有内容，按照招标文件的要求提交投标文件，并对所提供的全部资料的真实性承担法律责任。</w:t>
      </w:r>
    </w:p>
    <w:p>
      <w:pPr>
        <w:pStyle w:val="24"/>
        <w:snapToGrid w:val="0"/>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投标人在投标活动中提供任何虚假材料</w:t>
      </w:r>
      <w:r>
        <w:rPr>
          <w:rFonts w:hAnsi="宋体"/>
          <w:color w:val="auto"/>
          <w:sz w:val="24"/>
          <w:szCs w:val="24"/>
          <w:highlight w:val="none"/>
        </w:rPr>
        <w:t>,</w:t>
      </w:r>
      <w:r>
        <w:rPr>
          <w:rFonts w:hint="eastAsia" w:hAnsi="宋体"/>
          <w:color w:val="auto"/>
          <w:sz w:val="24"/>
          <w:szCs w:val="24"/>
          <w:highlight w:val="none"/>
        </w:rPr>
        <w:t>其投标无效，并报监管部门查处；中标后发现的</w:t>
      </w:r>
      <w:r>
        <w:rPr>
          <w:rFonts w:hAnsi="宋体"/>
          <w:color w:val="auto"/>
          <w:sz w:val="24"/>
          <w:szCs w:val="24"/>
          <w:highlight w:val="none"/>
        </w:rPr>
        <w:t>,</w:t>
      </w:r>
      <w:r>
        <w:rPr>
          <w:rFonts w:hint="eastAsia" w:hAnsi="宋体"/>
          <w:color w:val="auto"/>
          <w:sz w:val="24"/>
          <w:szCs w:val="24"/>
          <w:highlight w:val="none"/>
        </w:rPr>
        <w:t>中标人须依照《中华人民共和国消费者权益保护法》第</w:t>
      </w:r>
      <w:r>
        <w:rPr>
          <w:rFonts w:hAnsi="宋体"/>
          <w:color w:val="auto"/>
          <w:sz w:val="24"/>
          <w:szCs w:val="24"/>
          <w:highlight w:val="none"/>
        </w:rPr>
        <w:t>49</w:t>
      </w:r>
      <w:r>
        <w:rPr>
          <w:rFonts w:hint="eastAsia" w:hAnsi="宋体"/>
          <w:color w:val="auto"/>
          <w:sz w:val="24"/>
          <w:szCs w:val="24"/>
          <w:highlight w:val="none"/>
        </w:rPr>
        <w:t>条之规定双倍赔偿采购人，且民事赔偿并不免除违法投标人的行政与刑事责任。</w:t>
      </w:r>
    </w:p>
    <w:p>
      <w:pPr>
        <w:pStyle w:val="24"/>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投标截止时间结束后参加投标的供应商不足三家的</w:t>
      </w:r>
      <w:r>
        <w:rPr>
          <w:rFonts w:hAnsi="宋体"/>
          <w:color w:val="auto"/>
          <w:sz w:val="24"/>
          <w:szCs w:val="24"/>
          <w:highlight w:val="none"/>
        </w:rPr>
        <w:t>,</w:t>
      </w:r>
      <w:r>
        <w:rPr>
          <w:rFonts w:hint="eastAsia" w:hAnsi="宋体"/>
          <w:color w:val="auto"/>
          <w:sz w:val="24"/>
          <w:szCs w:val="24"/>
          <w:highlight w:val="none"/>
        </w:rPr>
        <w:t>不予开标，此时将按《政府采购货物和服务招标投标管理办法》（中华人民共和国财政部第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条的有关规定进行办理。</w:t>
      </w:r>
    </w:p>
    <w:p>
      <w:pPr>
        <w:pStyle w:val="24"/>
        <w:spacing w:line="360" w:lineRule="exact"/>
        <w:ind w:firstLine="480" w:firstLineChars="200"/>
        <w:rPr>
          <w:rFonts w:hAnsi="宋体" w:cs="Times New Roman"/>
          <w:color w:val="auto"/>
          <w:sz w:val="24"/>
          <w:szCs w:val="24"/>
          <w:highlight w:val="none"/>
        </w:rPr>
      </w:pPr>
      <w:r>
        <w:rPr>
          <w:rFonts w:hint="eastAsia" w:hAnsi="宋体"/>
          <w:color w:val="auto"/>
          <w:kern w:val="0"/>
          <w:sz w:val="24"/>
          <w:szCs w:val="24"/>
          <w:highlight w:val="none"/>
        </w:rPr>
        <w:t>通过资格审查或符合性审查的投标人不足</w:t>
      </w:r>
      <w:r>
        <w:rPr>
          <w:rFonts w:hAnsi="宋体"/>
          <w:color w:val="auto"/>
          <w:kern w:val="0"/>
          <w:sz w:val="24"/>
          <w:szCs w:val="24"/>
          <w:highlight w:val="none"/>
        </w:rPr>
        <w:t>3</w:t>
      </w:r>
      <w:r>
        <w:rPr>
          <w:rFonts w:hint="eastAsia" w:hAnsi="宋体"/>
          <w:color w:val="auto"/>
          <w:kern w:val="0"/>
          <w:sz w:val="24"/>
          <w:szCs w:val="24"/>
          <w:highlight w:val="none"/>
        </w:rPr>
        <w:t>家的</w:t>
      </w:r>
      <w:r>
        <w:rPr>
          <w:rFonts w:hint="eastAsia" w:hAnsi="宋体"/>
          <w:color w:val="auto"/>
          <w:sz w:val="24"/>
          <w:szCs w:val="24"/>
          <w:highlight w:val="none"/>
        </w:rPr>
        <w:t>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条的有关规定执行。</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有下列情形之一的视为投标人相互串通，投标文件将视为无效：</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）不同投标人的投标文件由同一单位或者个人编制；</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）不同投标人委托同一单位或者个人办理投标事宜</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）不同的投标人的投标文件载明的项目管理员为同一个人</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）不同投标人的投标文件异常一致或投标报价呈规律性差异</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）不同投标人的投标文件相互混装</w:t>
      </w:r>
      <w:r>
        <w:rPr>
          <w:rFonts w:ascii="宋体" w:hAnsi="宋体" w:cs="宋体"/>
          <w:color w:val="auto"/>
          <w:kern w:val="0"/>
          <w:sz w:val="24"/>
          <w:szCs w:val="24"/>
          <w:highlight w:val="none"/>
        </w:rPr>
        <w:t>;</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（八）质疑和投诉</w:t>
      </w:r>
      <w:bookmarkEnd w:id="64"/>
      <w:bookmarkEnd w:id="65"/>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4"/>
        <w:snapToGrid w:val="0"/>
        <w:spacing w:line="360" w:lineRule="exact"/>
        <w:ind w:firstLine="352" w:firstLineChars="147"/>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）对可以质疑的招标采购文件提出质疑的，为公告届满之日；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）对招标采购过程提出质疑的，为各采购程序环节结束之日；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）对中标结果提出质疑的，为中标结果公告期限届满之日。</w:t>
      </w:r>
    </w:p>
    <w:p>
      <w:pPr>
        <w:adjustRightInd w:val="0"/>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kern w:val="0"/>
          <w:sz w:val="24"/>
          <w:szCs w:val="24"/>
          <w:highlight w:val="none"/>
          <w:lang w:val="zh-CN"/>
        </w:rPr>
        <w:t>供应商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时，应当提交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函和必要的证明材料，</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函应当包括下列主要内容：</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）供应商的姓名或者名称、地址、邮编、联系人及联系电话；</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）质疑项目的名称、编号；</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）具体、明确的质疑事项和与质疑事项相关的请求；</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）事实依据；</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）必要的法律依据；</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）提出质疑的日期。</w:t>
      </w:r>
    </w:p>
    <w:p>
      <w:pPr>
        <w:spacing w:line="36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函应当署名。</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供应商为自然人的，应当由本人签字；</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供应商为法人或者其他组织的，应当由法定代表人、主要负责人或者其授权代表签字或者盖章，并加盖公章。</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供应商可以委托代理人办理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事务时，除提交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函外，还应当提交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供应商的授权委托书原件，</w:t>
      </w:r>
      <w:r>
        <w:rPr>
          <w:rFonts w:hint="eastAsia" w:ascii="宋体" w:hAnsi="宋体" w:cs="宋体"/>
          <w:color w:val="auto"/>
          <w:kern w:val="0"/>
          <w:sz w:val="24"/>
          <w:szCs w:val="24"/>
          <w:highlight w:val="none"/>
        </w:rPr>
        <w:t>授权委托书应载明代理人的姓名或者名称、代理事项、具体权限、期限和相关事项。</w:t>
      </w:r>
    </w:p>
    <w:p>
      <w:pPr>
        <w:spacing w:line="360" w:lineRule="exact"/>
        <w:ind w:firstLine="480" w:firstLineChars="200"/>
        <w:rPr>
          <w:rFonts w:ascii="宋体" w:cs="宋体"/>
          <w:color w:val="auto"/>
          <w:kern w:val="0"/>
          <w:sz w:val="24"/>
          <w:szCs w:val="24"/>
          <w:highlight w:val="none"/>
          <w:lang w:val="zh-CN"/>
        </w:rPr>
      </w:pPr>
      <w:r>
        <w:rPr>
          <w:rFonts w:ascii="宋体" w:hAnsi="宋体" w:cs="宋体"/>
          <w:color w:val="auto"/>
          <w:kern w:val="0"/>
          <w:sz w:val="24"/>
          <w:szCs w:val="24"/>
          <w:highlight w:val="none"/>
        </w:rPr>
        <w:t>3.</w:t>
      </w:r>
      <w:r>
        <w:rPr>
          <w:rFonts w:hint="eastAsia" w:ascii="宋体" w:hAnsi="宋体" w:cs="宋体"/>
          <w:color w:val="auto"/>
          <w:sz w:val="24"/>
          <w:szCs w:val="24"/>
          <w:highlight w:val="none"/>
        </w:rPr>
        <w:t>投标人对招标采购单位的质疑答复不满意或者招标采购单位未在规定时间内做出答复的，可以在答复期满后十五个工作日内向同级采购监管部门投诉。</w:t>
      </w:r>
    </w:p>
    <w:p>
      <w:pPr>
        <w:pStyle w:val="24"/>
        <w:snapToGrid w:val="0"/>
        <w:spacing w:line="360" w:lineRule="exact"/>
        <w:ind w:firstLine="472" w:firstLineChars="196"/>
        <w:jc w:val="center"/>
        <w:rPr>
          <w:rFonts w:hAnsi="宋体" w:cs="Times New Roman"/>
          <w:b/>
          <w:bCs/>
          <w:color w:val="auto"/>
          <w:sz w:val="24"/>
          <w:szCs w:val="24"/>
          <w:highlight w:val="none"/>
        </w:rPr>
      </w:pPr>
      <w:bookmarkStart w:id="66" w:name="_Toc254970534"/>
      <w:bookmarkStart w:id="67" w:name="_Toc254970675"/>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二、招标文件</w:t>
      </w:r>
      <w:bookmarkEnd w:id="66"/>
      <w:bookmarkEnd w:id="67"/>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（一）招标文件的组成：</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、公开招标公告</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、招标项目采购需求</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、投标人须知</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、评标办法及评分标准</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、合同主要条款格式</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、投标文件格式</w:t>
      </w:r>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（二）投标人的风险</w:t>
      </w:r>
    </w:p>
    <w:p>
      <w:pPr>
        <w:pStyle w:val="31"/>
        <w:spacing w:after="0" w:line="360" w:lineRule="exact"/>
        <w:ind w:left="0" w:leftChars="0"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宋体" w:hAnsi="宋体" w:cs="宋体"/>
          <w:b/>
          <w:bCs/>
          <w:color w:val="auto"/>
          <w:highlight w:val="none"/>
        </w:rPr>
      </w:pPr>
      <w:r>
        <w:rPr>
          <w:rFonts w:hint="eastAsia" w:ascii="宋体" w:hAnsi="宋体" w:cs="宋体"/>
          <w:b/>
          <w:bCs/>
          <w:color w:val="auto"/>
          <w:highlight w:val="none"/>
        </w:rPr>
        <w:t>（三）招标文件的澄清与修改</w:t>
      </w:r>
    </w:p>
    <w:p>
      <w:pPr>
        <w:spacing w:line="360" w:lineRule="exact"/>
        <w:ind w:firstLine="480" w:firstLineChars="200"/>
        <w:rPr>
          <w:rFonts w:ascii="宋体" w:cs="宋体"/>
          <w:color w:val="auto"/>
          <w:sz w:val="24"/>
          <w:szCs w:val="24"/>
          <w:highlight w:val="none"/>
        </w:rPr>
      </w:pPr>
      <w:bookmarkStart w:id="68" w:name="_Toc254970535"/>
      <w:bookmarkStart w:id="69" w:name="_Toc254970676"/>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投标人应认真阅读本招标文件，发现其中有误或有不合理要求的，投标人应当于</w:t>
      </w:r>
      <w:r>
        <w:rPr>
          <w:rFonts w:hint="eastAsia" w:hAnsi="宋体" w:cs="宋体"/>
          <w:color w:val="auto"/>
          <w:sz w:val="24"/>
          <w:szCs w:val="24"/>
          <w:highlight w:val="none"/>
        </w:rPr>
        <w:t>公告届满之日起</w:t>
      </w:r>
      <w:r>
        <w:rPr>
          <w:rFonts w:hAnsi="宋体"/>
          <w:color w:val="auto"/>
          <w:sz w:val="24"/>
          <w:szCs w:val="24"/>
          <w:highlight w:val="none"/>
        </w:rPr>
        <w:t>7</w:t>
      </w:r>
      <w:r>
        <w:rPr>
          <w:rFonts w:hint="eastAsia" w:hAnsi="宋体" w:cs="宋体"/>
          <w:color w:val="auto"/>
          <w:sz w:val="24"/>
          <w:szCs w:val="24"/>
          <w:highlight w:val="none"/>
        </w:rPr>
        <w:t>个工作日前</w:t>
      </w:r>
      <w:r>
        <w:rPr>
          <w:rFonts w:hint="eastAsia" w:ascii="宋体" w:hAnsi="宋体" w:cs="宋体"/>
          <w:color w:val="auto"/>
          <w:sz w:val="24"/>
          <w:szCs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日前发出；不足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日的，采购人或者采购代理机构应当顺延提交投标文件的截止时间。</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招标文件澄清、答复、修改、补充的内容为招标文件的组成部分。当招标文件与招标文件的答复、澄清、修改、补充通知就同一内容的表述不一致时，以最后发出的文件为准。</w:t>
      </w:r>
    </w:p>
    <w:p>
      <w:pPr>
        <w:pStyle w:val="24"/>
        <w:snapToGrid w:val="0"/>
        <w:spacing w:line="360" w:lineRule="exact"/>
        <w:ind w:firstLine="480" w:firstLineChars="200"/>
        <w:rPr>
          <w:rFonts w:hAnsi="宋体" w:cs="Times New Roman"/>
          <w:color w:val="auto"/>
          <w:sz w:val="24"/>
          <w:szCs w:val="24"/>
          <w:highlight w:val="none"/>
        </w:rPr>
      </w:pPr>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三、投标文件</w:t>
      </w:r>
      <w:bookmarkEnd w:id="68"/>
      <w:bookmarkEnd w:id="69"/>
    </w:p>
    <w:p>
      <w:pPr>
        <w:snapToGrid w:val="0"/>
        <w:spacing w:line="360" w:lineRule="exact"/>
        <w:jc w:val="left"/>
        <w:rPr>
          <w:rFonts w:ascii="宋体" w:cs="宋体"/>
          <w:b/>
          <w:bCs/>
          <w:color w:val="auto"/>
          <w:sz w:val="24"/>
          <w:szCs w:val="24"/>
          <w:highlight w:val="none"/>
        </w:rPr>
      </w:pPr>
      <w:bookmarkStart w:id="70" w:name="_Toc254970677"/>
      <w:bookmarkStart w:id="71" w:name="_Toc254970536"/>
      <w:r>
        <w:rPr>
          <w:rFonts w:hint="eastAsia" w:ascii="宋体" w:hAnsi="宋体" w:cs="宋体"/>
          <w:b/>
          <w:bCs/>
          <w:color w:val="auto"/>
          <w:sz w:val="24"/>
          <w:szCs w:val="24"/>
          <w:highlight w:val="none"/>
        </w:rPr>
        <w:t>（一）投标文件的组成</w:t>
      </w:r>
      <w:bookmarkEnd w:id="70"/>
      <w:bookmarkEnd w:id="71"/>
    </w:p>
    <w:p>
      <w:pPr>
        <w:tabs>
          <w:tab w:val="left" w:pos="3870"/>
          <w:tab w:val="left" w:pos="4085"/>
        </w:tabs>
        <w:snapToGrid w:val="0"/>
        <w:spacing w:line="360" w:lineRule="exact"/>
        <w:ind w:firstLine="480" w:firstLineChars="200"/>
        <w:jc w:val="left"/>
        <w:rPr>
          <w:rFonts w:ascii="宋体" w:cs="宋体"/>
          <w:b/>
          <w:bCs/>
          <w:color w:val="auto"/>
          <w:sz w:val="24"/>
          <w:szCs w:val="24"/>
          <w:highlight w:val="none"/>
        </w:rPr>
      </w:pPr>
      <w:r>
        <w:rPr>
          <w:rFonts w:hint="eastAsia" w:ascii="宋体" w:hAnsi="宋体" w:cs="宋体"/>
          <w:color w:val="auto"/>
          <w:sz w:val="24"/>
          <w:szCs w:val="24"/>
          <w:highlight w:val="none"/>
        </w:rPr>
        <w:t>投标文件由资格审查文件、商务文件、技术文件、投标报价文件组成。</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资格审查文件（必须提供）</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）法人或者其他组织的营业执照复印件等证明文件复印件，（投标人属自然人的提供自然人的身份证明）。</w:t>
      </w:r>
    </w:p>
    <w:p>
      <w:pPr>
        <w:pStyle w:val="24"/>
        <w:snapToGrid w:val="0"/>
        <w:spacing w:line="360" w:lineRule="exact"/>
        <w:ind w:firstLine="354" w:firstLineChars="147"/>
        <w:rPr>
          <w:rFonts w:hAnsi="宋体" w:cs="Times New Roman"/>
          <w:b/>
          <w:bCs/>
          <w:color w:val="auto"/>
          <w:sz w:val="24"/>
          <w:szCs w:val="24"/>
          <w:highlight w:val="none"/>
        </w:rPr>
      </w:pPr>
      <w:r>
        <w:rPr>
          <w:rFonts w:hint="eastAsia" w:hAnsi="宋体"/>
          <w:b/>
          <w:bCs/>
          <w:color w:val="auto"/>
          <w:sz w:val="24"/>
          <w:szCs w:val="24"/>
          <w:highlight w:val="none"/>
        </w:rPr>
        <w:t>注：</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1</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法人包括企业法人、机关法人和社会团体法人；其他组织主要包括合伙企业、非企业专业服务机构、个体工商户、农村承包经营户。</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2</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投标人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投标人半年内连续三个月的依法缴纳社保费的缴费凭证（复印件，原件备查，格式自拟）（必须提供）；无缴费记录的，应提供由投标人所在地社保部门出具的《依法缴纳或依法免缴社保费证明》（格式自拟，复印件，原件备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2018</w:t>
      </w:r>
      <w:r>
        <w:rPr>
          <w:rFonts w:hint="eastAsia" w:hAnsi="宋体"/>
          <w:color w:val="auto"/>
          <w:sz w:val="24"/>
          <w:szCs w:val="24"/>
          <w:highlight w:val="none"/>
        </w:rPr>
        <w:t>或</w:t>
      </w:r>
      <w:r>
        <w:rPr>
          <w:rFonts w:hAnsi="宋体"/>
          <w:color w:val="auto"/>
          <w:sz w:val="24"/>
          <w:szCs w:val="24"/>
          <w:highlight w:val="none"/>
        </w:rPr>
        <w:t>2019</w:t>
      </w:r>
      <w:r>
        <w:rPr>
          <w:rFonts w:hint="eastAsia" w:hAnsi="宋体"/>
          <w:color w:val="auto"/>
          <w:sz w:val="24"/>
          <w:szCs w:val="24"/>
          <w:highlight w:val="none"/>
        </w:rPr>
        <w:t>年财务状况报告（</w:t>
      </w:r>
      <w:r>
        <w:rPr>
          <w:rFonts w:hint="eastAsia" w:hAnsi="宋体"/>
          <w:color w:val="auto"/>
          <w:sz w:val="24"/>
          <w:szCs w:val="24"/>
          <w:highlight w:val="none"/>
          <w:u w:val="single"/>
        </w:rPr>
        <w:t>可以是投标人编制的财务报表或第三方审计报告等证明材料，若为新成立的企业，可根据实际情况提供月度财务报表，或投标人开户行</w:t>
      </w:r>
      <w:r>
        <w:rPr>
          <w:rFonts w:hAnsi="宋体"/>
          <w:color w:val="auto"/>
          <w:sz w:val="24"/>
          <w:szCs w:val="24"/>
          <w:highlight w:val="none"/>
          <w:u w:val="single"/>
        </w:rPr>
        <w:t>2019</w:t>
      </w:r>
      <w:r>
        <w:rPr>
          <w:rFonts w:hint="eastAsia" w:hAnsi="宋体"/>
          <w:color w:val="auto"/>
          <w:sz w:val="24"/>
          <w:szCs w:val="24"/>
          <w:highlight w:val="none"/>
          <w:u w:val="single"/>
        </w:rPr>
        <w:t>年以来出具的银行资信证明文件复印件，格式自拟</w:t>
      </w:r>
      <w:r>
        <w:rPr>
          <w:rFonts w:hint="eastAsia" w:hAnsi="宋体"/>
          <w:color w:val="auto"/>
          <w:sz w:val="24"/>
          <w:szCs w:val="24"/>
          <w:highlight w:val="none"/>
        </w:rPr>
        <w:t>）。</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）具备履行合同所必需的设备和专业技术能力的证明材料（提供投标人基本情况表，格式自拟，须反映投标人履行合同所必需的设备和专业技术能力情况）</w:t>
      </w:r>
      <w:r>
        <w:rPr>
          <w:rFonts w:hint="eastAsia" w:hAnsi="宋体"/>
          <w:color w:val="auto"/>
          <w:sz w:val="24"/>
          <w:szCs w:val="24"/>
          <w:highlight w:val="none"/>
          <w:u w:val="single"/>
        </w:rPr>
        <w:t>或承诺函（投标人须明确承诺具有履行合同所必需的设备和专业技术能力情况，格式自拟）。</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）投标人参加政府采购活动前</w:t>
      </w:r>
      <w:r>
        <w:rPr>
          <w:rFonts w:hAnsi="宋体"/>
          <w:color w:val="auto"/>
          <w:sz w:val="24"/>
          <w:szCs w:val="24"/>
          <w:highlight w:val="none"/>
        </w:rPr>
        <w:t>3</w:t>
      </w:r>
      <w:r>
        <w:rPr>
          <w:rFonts w:hint="eastAsia" w:hAnsi="宋体"/>
          <w:color w:val="auto"/>
          <w:sz w:val="24"/>
          <w:szCs w:val="24"/>
          <w:highlight w:val="none"/>
        </w:rPr>
        <w:t>年内在经营活动中没有重大违法记录的书面声明。</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商务文件</w:t>
      </w:r>
    </w:p>
    <w:p>
      <w:pPr>
        <w:tabs>
          <w:tab w:val="left" w:pos="1305"/>
        </w:tabs>
        <w:spacing w:line="33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）投标声明书</w:t>
      </w:r>
    </w:p>
    <w:p>
      <w:pPr>
        <w:tabs>
          <w:tab w:val="left" w:pos="1305"/>
        </w:tabs>
        <w:spacing w:line="330" w:lineRule="exact"/>
        <w:ind w:firstLine="240" w:firstLineChars="1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）法定代表人身份证明书、相应的法定代表人身份证正反两面复印件</w:t>
      </w:r>
      <w:r>
        <w:rPr>
          <w:rFonts w:hint="eastAsia" w:ascii="宋体" w:hAnsi="宋体" w:cs="宋体"/>
          <w:b/>
          <w:bCs/>
          <w:color w:val="auto"/>
          <w:sz w:val="24"/>
          <w:szCs w:val="24"/>
          <w:highlight w:val="none"/>
        </w:rPr>
        <w:t>（必须提供；</w:t>
      </w:r>
      <w:r>
        <w:rPr>
          <w:rFonts w:hint="eastAsia" w:ascii="宋体" w:hAnsi="宋体" w:cs="宋体"/>
          <w:color w:val="auto"/>
          <w:sz w:val="24"/>
          <w:szCs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）授权委托书原件、委托代理人身份证正反面复印件</w:t>
      </w:r>
      <w:r>
        <w:rPr>
          <w:rFonts w:hint="eastAsia" w:ascii="宋体" w:hAnsi="宋体" w:cs="宋体"/>
          <w:b/>
          <w:bCs/>
          <w:color w:val="auto"/>
          <w:sz w:val="24"/>
          <w:szCs w:val="24"/>
          <w:highlight w:val="none"/>
        </w:rPr>
        <w:t>（委托代理时必须提供）；</w:t>
      </w:r>
    </w:p>
    <w:p>
      <w:pPr>
        <w:spacing w:line="360" w:lineRule="exact"/>
        <w:ind w:left="141" w:leftChars="67" w:firstLine="120" w:firstLineChars="5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）商务条款偏离表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）拟投入人员配备情况表；（格式自拟，必须提供）；</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可作为投标人资信评分的资质证明材料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可选</w:t>
      </w:r>
      <w:r>
        <w:rPr>
          <w:rFonts w:ascii="宋体" w:hAnsi="宋体" w:cs="宋体"/>
          <w:b/>
          <w:bCs/>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）承接过类似业绩</w:t>
      </w:r>
      <w:r>
        <w:rPr>
          <w:rFonts w:ascii="宋体" w:hAnsi="宋体" w:cs="宋体"/>
          <w:color w:val="auto"/>
          <w:sz w:val="24"/>
          <w:szCs w:val="24"/>
          <w:highlight w:val="none"/>
        </w:rPr>
        <w:t>(</w:t>
      </w:r>
      <w:r>
        <w:rPr>
          <w:rFonts w:hint="eastAsia" w:ascii="宋体" w:hAnsi="宋体" w:cs="宋体"/>
          <w:color w:val="auto"/>
          <w:sz w:val="24"/>
          <w:szCs w:val="24"/>
          <w:highlight w:val="none"/>
        </w:rPr>
        <w:t>提供合同复印件</w:t>
      </w:r>
      <w:r>
        <w:rPr>
          <w:rFonts w:ascii="宋体" w:hAnsi="宋体" w:cs="宋体"/>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）其他特殊资质证书</w:t>
      </w:r>
      <w:r>
        <w:rPr>
          <w:rFonts w:ascii="宋体" w:hAnsi="宋体" w:cs="宋体"/>
          <w:color w:val="auto"/>
          <w:sz w:val="24"/>
          <w:szCs w:val="24"/>
          <w:highlight w:val="none"/>
        </w:rPr>
        <w:t>(</w:t>
      </w:r>
      <w:r>
        <w:rPr>
          <w:rFonts w:hint="eastAsia" w:ascii="宋体" w:hAnsi="宋体" w:cs="宋体"/>
          <w:color w:val="auto"/>
          <w:sz w:val="24"/>
          <w:szCs w:val="24"/>
          <w:highlight w:val="none"/>
        </w:rPr>
        <w:t>如本地化服务能力等</w:t>
      </w:r>
      <w:r>
        <w:rPr>
          <w:rFonts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）质量管理和质量保证体系等方面的认证证书</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）投标人认为可以证明其能力或业绩的其他材料</w:t>
      </w:r>
      <w:r>
        <w:rPr>
          <w:rFonts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技术文件</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）技术资料表（必须提供）；</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）技术方案（格式自拟，必须提供）；</w:t>
      </w:r>
    </w:p>
    <w:p>
      <w:pPr>
        <w:spacing w:line="360" w:lineRule="exact"/>
        <w:ind w:left="141" w:leftChars="67"/>
        <w:rPr>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）项目进度安排与服务承诺书（应据项目实际要求描述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）项目实施人员一览表；</w:t>
      </w:r>
    </w:p>
    <w:p>
      <w:pPr>
        <w:spacing w:line="360" w:lineRule="exact"/>
        <w:ind w:left="141" w:leftChars="67"/>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）投标人需要说明的其他文件和说明（格式略）；</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报价文件</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投标报价明细表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r>
        <w:rPr>
          <w:rFonts w:ascii="宋体" w:hAnsi="宋体" w:cs="宋体"/>
          <w:color w:val="auto"/>
          <w:sz w:val="24"/>
          <w:szCs w:val="24"/>
          <w:highlight w:val="none"/>
        </w:rPr>
        <w:t>);</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单独分册</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法定代表人授权委托书必须由法定代表人签名（或盖章）并加盖单位公章；投标声明书、投标函、开标一览表必须由法定代表人或授权代表签名（或盖章）并加盖单位公章。</w:t>
      </w:r>
    </w:p>
    <w:p>
      <w:pPr>
        <w:snapToGrid w:val="0"/>
        <w:spacing w:line="360" w:lineRule="exact"/>
        <w:jc w:val="left"/>
        <w:rPr>
          <w:rFonts w:ascii="宋体" w:cs="宋体"/>
          <w:b/>
          <w:bCs/>
          <w:color w:val="auto"/>
          <w:sz w:val="24"/>
          <w:szCs w:val="24"/>
          <w:highlight w:val="none"/>
        </w:rPr>
      </w:pPr>
      <w:bookmarkStart w:id="72" w:name="_Toc254970678"/>
      <w:bookmarkStart w:id="73" w:name="_Toc254970537"/>
      <w:r>
        <w:rPr>
          <w:rFonts w:hint="eastAsia" w:ascii="宋体" w:hAnsi="宋体" w:cs="宋体"/>
          <w:b/>
          <w:bCs/>
          <w:color w:val="auto"/>
          <w:sz w:val="24"/>
          <w:szCs w:val="24"/>
          <w:highlight w:val="none"/>
        </w:rPr>
        <w:t>（二）投标文件的语言及计量</w:t>
      </w:r>
      <w:bookmarkEnd w:id="72"/>
      <w:bookmarkEnd w:id="73"/>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宋体" w:cs="宋体"/>
          <w:b/>
          <w:bCs/>
          <w:color w:val="auto"/>
          <w:sz w:val="24"/>
          <w:szCs w:val="24"/>
          <w:highlight w:val="none"/>
        </w:rPr>
      </w:pPr>
      <w:bookmarkStart w:id="74" w:name="_Toc254970679"/>
      <w:bookmarkStart w:id="75" w:name="_Toc254970538"/>
      <w:r>
        <w:rPr>
          <w:rFonts w:hint="eastAsia" w:ascii="宋体" w:hAnsi="宋体" w:cs="宋体"/>
          <w:b/>
          <w:bCs/>
          <w:color w:val="auto"/>
          <w:sz w:val="24"/>
          <w:szCs w:val="24"/>
          <w:highlight w:val="none"/>
        </w:rPr>
        <w:t>（三）投标报价</w:t>
      </w:r>
      <w:bookmarkEnd w:id="74"/>
      <w:bookmarkEnd w:id="75"/>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投标报价应按招标文件中相关附表格式填写。</w:t>
      </w:r>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投标报价是履行合同的最终价格，应包括服务、以及培训等一切税金和费用。</w:t>
      </w:r>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宋体" w:cs="宋体"/>
          <w:b/>
          <w:bCs/>
          <w:color w:val="auto"/>
          <w:highlight w:val="none"/>
        </w:rPr>
      </w:pPr>
      <w:r>
        <w:rPr>
          <w:rFonts w:hint="eastAsia" w:ascii="宋体" w:hAnsi="宋体" w:cs="宋体"/>
          <w:b/>
          <w:bCs/>
          <w:color w:val="auto"/>
          <w:highlight w:val="none"/>
        </w:rPr>
        <w:t>（四）投标文件的有效期</w:t>
      </w:r>
    </w:p>
    <w:p>
      <w:pPr>
        <w:pStyle w:val="13"/>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bCs/>
          <w:color w:val="auto"/>
          <w:sz w:val="24"/>
          <w:szCs w:val="24"/>
          <w:highlight w:val="none"/>
        </w:rPr>
      </w:pPr>
      <w:bookmarkStart w:id="76" w:name="_Toc254970539"/>
      <w:bookmarkStart w:id="77" w:name="_Toc254970680"/>
      <w:r>
        <w:rPr>
          <w:rFonts w:ascii="宋体" w:hAnsi="宋体" w:cs="宋体"/>
          <w:color w:val="auto"/>
          <w:sz w:val="24"/>
          <w:szCs w:val="24"/>
          <w:highlight w:val="none"/>
        </w:rPr>
        <w:t>3.</w:t>
      </w:r>
      <w:r>
        <w:rPr>
          <w:rFonts w:hint="eastAsia" w:ascii="宋体" w:hAnsi="宋体" w:cs="宋体"/>
          <w:color w:val="auto"/>
          <w:sz w:val="24"/>
          <w:szCs w:val="24"/>
          <w:highlight w:val="none"/>
        </w:rPr>
        <w:t>投标人可拒绝接受延期要求，但不能修改投标文件。</w:t>
      </w:r>
      <w:bookmarkEnd w:id="76"/>
      <w:bookmarkEnd w:id="77"/>
    </w:p>
    <w:p>
      <w:pPr>
        <w:snapToGrid w:val="0"/>
        <w:spacing w:line="360" w:lineRule="exact"/>
        <w:ind w:firstLine="480" w:firstLineChars="200"/>
        <w:jc w:val="left"/>
        <w:rPr>
          <w:rFonts w:ascii="宋体" w:cs="宋体"/>
          <w:b/>
          <w:bCs/>
          <w:color w:val="auto"/>
          <w:sz w:val="24"/>
          <w:szCs w:val="24"/>
          <w:highlight w:val="none"/>
        </w:rPr>
      </w:pPr>
      <w:bookmarkStart w:id="78" w:name="_Toc254970681"/>
      <w:bookmarkStart w:id="79" w:name="_Toc254970540"/>
      <w:r>
        <w:rPr>
          <w:rFonts w:ascii="宋体" w:hAnsi="宋体" w:cs="宋体"/>
          <w:color w:val="auto"/>
          <w:sz w:val="24"/>
          <w:szCs w:val="24"/>
          <w:highlight w:val="none"/>
        </w:rPr>
        <w:t>4.</w:t>
      </w:r>
      <w:r>
        <w:rPr>
          <w:rFonts w:hint="eastAsia" w:ascii="宋体" w:hAnsi="宋体" w:cs="宋体"/>
          <w:color w:val="auto"/>
          <w:sz w:val="24"/>
          <w:szCs w:val="24"/>
          <w:highlight w:val="none"/>
        </w:rPr>
        <w:t>中标人的投标文件自开标之日起至合同履行完毕止均应保持有效。</w:t>
      </w:r>
      <w:bookmarkEnd w:id="78"/>
      <w:bookmarkEnd w:id="79"/>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（六）投标文件的编制</w:t>
      </w:r>
    </w:p>
    <w:p>
      <w:pPr>
        <w:snapToGrid w:val="0"/>
        <w:spacing w:line="360" w:lineRule="exact"/>
        <w:ind w:firstLine="480" w:firstLineChars="200"/>
        <w:jc w:val="left"/>
        <w:rPr>
          <w:rFonts w:ascii="宋体" w:cs="宋体"/>
          <w:color w:val="auto"/>
          <w:sz w:val="24"/>
          <w:szCs w:val="24"/>
          <w:highlight w:val="none"/>
        </w:rPr>
      </w:pPr>
      <w:bookmarkStart w:id="80" w:name="_Toc254970543"/>
      <w:bookmarkStart w:id="81" w:name="_Toc254970684"/>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投标文件正本一份，副本份数见“投标人须知前附表”。正本和副本的封面上应清楚地标记“正本”或“副本”的字样。书面投标文件副本与书面投标文件正本不符，以投标文件正本为准。</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投标文件的正本需打印或用不褪色的墨水填写，投标文件正本除本投标人须知中规定的可提供复印件外均须提供原件。副本可为正本的复印件。</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4. </w:t>
      </w:r>
      <w:r>
        <w:rPr>
          <w:rFonts w:hint="eastAsia" w:hAnsi="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投标文件不得涂改，若有修改错漏处，须加盖单位公章或者法定代表人或授权委托人签字或盖章。投标文件因字迹潦草或表达不清或提供的资料模糊不清所引起的后果由投标人负责。</w:t>
      </w:r>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四、投标</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（一）投标文件的密封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．投标文件应按“投标人须知前附表”的要求进行包装。</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．投标文件封套上应写明的其他内容见“投标人须知前附表”。</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（二）投标文件的递交</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投标人应在“投标人须知前附表”规定的投标文件递交截止时间前递交投标文件。</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投标人递交投标文件的地点：见“投标人须知前附表”。</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除“投标人须知前附表”另有规定外，投标人所递交的投标文件不予退还。</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招标人收到投标文件后，向投标人出具签收凭证。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逾期送达的或者未送达指定地点的投标文件，招标人不予受理。</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（三）投标文件的修改与撤回</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在“投标人须知前附表”规定的投标文件递交截止时间前，投标人可以补充、修改或撤回已递交的投标文件，但应以书面形式通知招标人或者招标代理机构。</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投标人补充、修改或撤回已递交投标文件的书面通知，应按照本章第三、投标文件第（六）、投标文件第</w:t>
      </w:r>
      <w:r>
        <w:rPr>
          <w:rFonts w:hAnsi="宋体"/>
          <w:color w:val="auto"/>
          <w:sz w:val="24"/>
          <w:szCs w:val="24"/>
          <w:highlight w:val="none"/>
        </w:rPr>
        <w:t>4</w:t>
      </w:r>
      <w:r>
        <w:rPr>
          <w:rFonts w:hint="eastAsia" w:hAnsi="宋体"/>
          <w:color w:val="auto"/>
          <w:sz w:val="24"/>
          <w:szCs w:val="24"/>
          <w:highlight w:val="none"/>
        </w:rPr>
        <w:t>款的要求签字和盖章。招标人或招标代理机构收到书面通知后，向投标人出具签收凭证。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修改的内容为投标文件的组成部分。修改的投标文件应按照本章第三、投标文件和第四、投标第（一）投标文件密封规定进行编制、密封、标记和递交，并标明“修改”字样。</w:t>
      </w:r>
    </w:p>
    <w:p>
      <w:pPr>
        <w:pStyle w:val="24"/>
        <w:spacing w:line="360" w:lineRule="exact"/>
        <w:ind w:firstLine="480" w:firstLineChars="200"/>
        <w:rPr>
          <w:rFonts w:hAnsi="宋体" w:cs="Times New Roman"/>
          <w:color w:val="auto"/>
          <w:sz w:val="24"/>
          <w:szCs w:val="24"/>
          <w:highlight w:val="none"/>
        </w:rPr>
      </w:pPr>
    </w:p>
    <w:bookmarkEnd w:id="80"/>
    <w:bookmarkEnd w:id="81"/>
    <w:p>
      <w:pPr>
        <w:pStyle w:val="19"/>
        <w:snapToGrid w:val="0"/>
        <w:spacing w:line="360" w:lineRule="exact"/>
        <w:ind w:firstLine="630" w:firstLineChars="196"/>
        <w:jc w:val="center"/>
        <w:rPr>
          <w:rFonts w:ascii="宋体" w:hAnsi="宋体" w:eastAsia="宋体" w:cs="Times New Roman"/>
          <w:b/>
          <w:bCs/>
          <w:snapToGrid w:val="0"/>
          <w:color w:val="auto"/>
          <w:highlight w:val="none"/>
        </w:rPr>
      </w:pPr>
      <w:bookmarkStart w:id="82" w:name="_Toc254970544"/>
      <w:bookmarkStart w:id="83" w:name="_Toc254970685"/>
      <w:r>
        <w:rPr>
          <w:rFonts w:hint="eastAsia" w:ascii="宋体" w:hAnsi="宋体" w:eastAsia="宋体" w:cs="宋体"/>
          <w:b/>
          <w:bCs/>
          <w:color w:val="auto"/>
          <w:highlight w:val="none"/>
        </w:rPr>
        <w:t>五、开标</w:t>
      </w:r>
      <w:bookmarkEnd w:id="82"/>
      <w:bookmarkEnd w:id="83"/>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（一）开标准备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招标代理机构将在规定的时间和地点进行开标。采购代理机构在开标会现场登陆开标系统并输入投标供应商全称、社会统一信用代码、联系电话等信息，完成投标签到。疫情期间，投标人不参与开标会。</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（二）开标程序：</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开标会由招标人人或其委托的招标代理机构主持，主持人宣布开标会议开始；</w:t>
      </w:r>
    </w:p>
    <w:p>
      <w:pPr>
        <w:pStyle w:val="24"/>
        <w:spacing w:line="360" w:lineRule="exact"/>
        <w:ind w:firstLine="480" w:firstLineChars="200"/>
        <w:rPr>
          <w:rFonts w:hAnsi="宋体"/>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宣布在提交投标文件截止时间前收到的投标文件数量；</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宣布开标纪律，开标人、唱标人、记录人、监督人等有关人员名单；；</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 xml:space="preserve"> 招标人代表检查投标文件的密封情况并签字确认；</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由招标人或招标代理机构工作人员当众拆封投标文件，宣布投标人名称、投标价格和其他需要宣布的其他内容；</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招标人或招标代理机构做开标记录</w:t>
      </w:r>
      <w:r>
        <w:rPr>
          <w:rFonts w:hAnsi="宋体"/>
          <w:color w:val="auto"/>
          <w:sz w:val="24"/>
          <w:szCs w:val="24"/>
          <w:highlight w:val="none"/>
        </w:rPr>
        <w:t xml:space="preserve">, </w:t>
      </w:r>
      <w:r>
        <w:rPr>
          <w:rFonts w:hint="eastAsia" w:hAnsi="宋体"/>
          <w:color w:val="auto"/>
          <w:sz w:val="24"/>
          <w:szCs w:val="24"/>
          <w:highlight w:val="none"/>
        </w:rPr>
        <w:t>由参加开标的各招标人代表和相关工作人员签字确认后随采购文件一并存档。</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开标会议结束。</w:t>
      </w:r>
    </w:p>
    <w:p>
      <w:pPr>
        <w:pStyle w:val="24"/>
        <w:snapToGrid w:val="0"/>
        <w:spacing w:line="360" w:lineRule="exact"/>
        <w:ind w:left="241" w:hanging="241" w:hangingChars="100"/>
        <w:rPr>
          <w:rFonts w:hAnsi="宋体" w:cs="Times New Roman"/>
          <w:b/>
          <w:bCs/>
          <w:color w:val="auto"/>
          <w:sz w:val="24"/>
          <w:szCs w:val="24"/>
          <w:highlight w:val="none"/>
        </w:rPr>
      </w:pPr>
      <w:bookmarkStart w:id="84" w:name="_Toc254970545"/>
      <w:bookmarkStart w:id="85" w:name="_Toc254970686"/>
    </w:p>
    <w:p>
      <w:pPr>
        <w:pStyle w:val="24"/>
        <w:snapToGrid w:val="0"/>
        <w:spacing w:line="360" w:lineRule="exact"/>
        <w:ind w:left="321" w:hanging="321" w:hangingChars="100"/>
        <w:jc w:val="center"/>
        <w:rPr>
          <w:rFonts w:hAnsi="宋体" w:cs="Times New Roman"/>
          <w:b/>
          <w:bCs/>
          <w:color w:val="auto"/>
          <w:sz w:val="32"/>
          <w:szCs w:val="32"/>
          <w:highlight w:val="none"/>
        </w:rPr>
      </w:pPr>
      <w:r>
        <w:rPr>
          <w:rFonts w:hint="eastAsia" w:hAnsi="宋体"/>
          <w:b/>
          <w:bCs/>
          <w:color w:val="auto"/>
          <w:sz w:val="32"/>
          <w:szCs w:val="32"/>
          <w:highlight w:val="none"/>
        </w:rPr>
        <w:t>六、评标</w:t>
      </w:r>
    </w:p>
    <w:bookmarkEnd w:id="84"/>
    <w:bookmarkEnd w:id="85"/>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（一）组建评标委员会</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评标委员会由采购人代表和评审专家组成，成员人数应当为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采购项目符合下列情形之一的，评标委员会成员人数应当为</w:t>
      </w:r>
      <w:r>
        <w:rPr>
          <w:rFonts w:ascii="宋体" w:hAnsi="宋体" w:cs="宋体"/>
          <w:color w:val="auto"/>
          <w:sz w:val="24"/>
          <w:szCs w:val="24"/>
          <w:highlight w:val="none"/>
        </w:rPr>
        <w:t>7</w:t>
      </w:r>
      <w:r>
        <w:rPr>
          <w:rFonts w:hint="eastAsia" w:ascii="宋体" w:hAnsi="宋体" w:cs="宋体"/>
          <w:color w:val="auto"/>
          <w:sz w:val="24"/>
          <w:szCs w:val="24"/>
          <w:highlight w:val="none"/>
        </w:rPr>
        <w:t>人以上单数：</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．采购预算金额在</w:t>
      </w:r>
      <w:r>
        <w:rPr>
          <w:rFonts w:ascii="宋体" w:hAnsi="宋体" w:cs="宋体"/>
          <w:color w:val="auto"/>
          <w:sz w:val="24"/>
          <w:szCs w:val="24"/>
          <w:highlight w:val="none"/>
        </w:rPr>
        <w:t>1000</w:t>
      </w:r>
      <w:r>
        <w:rPr>
          <w:rFonts w:hint="eastAsia" w:ascii="宋体" w:hAnsi="宋体" w:cs="宋体"/>
          <w:color w:val="auto"/>
          <w:sz w:val="24"/>
          <w:szCs w:val="24"/>
          <w:highlight w:val="none"/>
        </w:rPr>
        <w:t>万元以上；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．技术复杂；</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．社会影响较大。</w:t>
      </w:r>
    </w:p>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（二）评标的方式</w:t>
      </w:r>
    </w:p>
    <w:p>
      <w:pPr>
        <w:pStyle w:val="24"/>
        <w:snapToGrid w:val="0"/>
        <w:spacing w:line="360" w:lineRule="exact"/>
        <w:ind w:left="210" w:leftChars="100" w:firstLine="240" w:firstLineChars="100"/>
        <w:rPr>
          <w:rFonts w:hAnsi="宋体" w:cs="Times New Roman"/>
          <w:color w:val="auto"/>
          <w:sz w:val="24"/>
          <w:szCs w:val="24"/>
          <w:highlight w:val="none"/>
        </w:rPr>
      </w:pPr>
      <w:r>
        <w:rPr>
          <w:rFonts w:hint="eastAsia" w:hAnsi="宋体"/>
          <w:color w:val="auto"/>
          <w:sz w:val="24"/>
          <w:szCs w:val="24"/>
          <w:highlight w:val="none"/>
        </w:rPr>
        <w:t>本项目采用不公开方式评标，评标的依据为招标文件和投标文件。</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（三）资格审查</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采购人代表对投标人的资格进行审查。合格投标人不足</w:t>
      </w:r>
      <w:r>
        <w:rPr>
          <w:rFonts w:hAnsi="宋体"/>
          <w:color w:val="auto"/>
          <w:sz w:val="24"/>
          <w:szCs w:val="24"/>
          <w:highlight w:val="none"/>
        </w:rPr>
        <w:t>3</w:t>
      </w:r>
      <w:r>
        <w:rPr>
          <w:rFonts w:hint="eastAsia" w:hAnsi="宋体"/>
          <w:color w:val="auto"/>
          <w:sz w:val="24"/>
          <w:szCs w:val="24"/>
          <w:highlight w:val="none"/>
        </w:rPr>
        <w:t>家的，不得评标。</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评标委员会仅对通过资格审查的投标人进行评审。</w:t>
      </w:r>
    </w:p>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（四）评标程序</w:t>
      </w:r>
    </w:p>
    <w:p>
      <w:pPr>
        <w:snapToGrid w:val="0"/>
        <w:spacing w:line="36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实质审查与比较</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）评标委员会对通过资格审查的投标文件进行符合性审查。</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）评标委员会审查投标文件的实质性内容是否符合招标文件的实质性要求。</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）评标委员会将根据投标人的投标文件进行审查、核对</w:t>
      </w:r>
      <w:r>
        <w:rPr>
          <w:rFonts w:ascii="宋体" w:hAnsi="宋体" w:cs="宋体"/>
          <w:color w:val="auto"/>
          <w:sz w:val="24"/>
          <w:szCs w:val="24"/>
          <w:highlight w:val="none"/>
        </w:rPr>
        <w:t>,</w:t>
      </w:r>
      <w:r>
        <w:rPr>
          <w:rFonts w:hint="eastAsia" w:ascii="宋体" w:hAnsi="宋体" w:cs="宋体"/>
          <w:color w:val="auto"/>
          <w:sz w:val="24"/>
          <w:szCs w:val="24"/>
          <w:highlight w:val="none"/>
        </w:rPr>
        <w:t>如有疑问</w:t>
      </w:r>
      <w:r>
        <w:rPr>
          <w:rFonts w:ascii="宋体" w:hAnsi="宋体" w:cs="宋体"/>
          <w:color w:val="auto"/>
          <w:sz w:val="24"/>
          <w:szCs w:val="24"/>
          <w:highlight w:val="none"/>
        </w:rPr>
        <w:t>,</w:t>
      </w:r>
      <w:r>
        <w:rPr>
          <w:rFonts w:hint="eastAsia" w:ascii="宋体" w:hAnsi="宋体" w:cs="宋体"/>
          <w:color w:val="auto"/>
          <w:sz w:val="24"/>
          <w:szCs w:val="24"/>
          <w:highlight w:val="none"/>
        </w:rPr>
        <w:t>将对投标人进行询标</w:t>
      </w:r>
      <w:r>
        <w:rPr>
          <w:rFonts w:ascii="宋体" w:hAnsi="宋体" w:cs="宋体"/>
          <w:color w:val="auto"/>
          <w:sz w:val="24"/>
          <w:szCs w:val="24"/>
          <w:highlight w:val="none"/>
        </w:rPr>
        <w:t>,</w:t>
      </w:r>
      <w:r>
        <w:rPr>
          <w:rFonts w:hint="eastAsia" w:ascii="宋体" w:hAnsi="宋体" w:cs="宋体"/>
          <w:color w:val="auto"/>
          <w:sz w:val="24"/>
          <w:szCs w:val="24"/>
          <w:highlight w:val="none"/>
        </w:rPr>
        <w:t>投标人要向评标委员会澄清有关问题</w:t>
      </w:r>
      <w:r>
        <w:rPr>
          <w:rFonts w:ascii="宋体" w:hAnsi="宋体" w:cs="宋体"/>
          <w:color w:val="auto"/>
          <w:sz w:val="24"/>
          <w:szCs w:val="24"/>
          <w:highlight w:val="none"/>
        </w:rPr>
        <w:t>,</w:t>
      </w:r>
      <w:r>
        <w:rPr>
          <w:rFonts w:hint="eastAsia" w:ascii="宋体" w:hAnsi="宋体" w:cs="宋体"/>
          <w:color w:val="auto"/>
          <w:sz w:val="24"/>
          <w:szCs w:val="24"/>
          <w:highlight w:val="none"/>
        </w:rPr>
        <w:t>并最终以书面形式进行答复。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）各投标人的技术得分为所有评委的有效评分的算术平均数，由指定专人进行计算复核。</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）代理机构工作人员协助评标委员会根据本项目的评分标准计算各投标人的商务报价得分。</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）评标委员会完成评标后</w:t>
      </w:r>
      <w:r>
        <w:rPr>
          <w:rFonts w:ascii="宋体" w:hAnsi="宋体" w:cs="宋体"/>
          <w:color w:val="auto"/>
          <w:sz w:val="24"/>
          <w:szCs w:val="24"/>
          <w:highlight w:val="none"/>
        </w:rPr>
        <w:t>,</w:t>
      </w:r>
      <w:r>
        <w:rPr>
          <w:rFonts w:hint="eastAsia" w:ascii="宋体" w:hAnsi="宋体" w:cs="宋体"/>
          <w:color w:val="auto"/>
          <w:sz w:val="24"/>
          <w:szCs w:val="24"/>
          <w:highlight w:val="none"/>
        </w:rPr>
        <w:t>评委对各部分得分汇总</w:t>
      </w:r>
      <w:r>
        <w:rPr>
          <w:rFonts w:ascii="宋体" w:hAnsi="宋体" w:cs="宋体"/>
          <w:color w:val="auto"/>
          <w:sz w:val="24"/>
          <w:szCs w:val="24"/>
          <w:highlight w:val="none"/>
        </w:rPr>
        <w:t>,</w:t>
      </w:r>
      <w:r>
        <w:rPr>
          <w:rFonts w:hint="eastAsia" w:ascii="宋体" w:hAnsi="宋体" w:cs="宋体"/>
          <w:color w:val="auto"/>
          <w:sz w:val="24"/>
          <w:szCs w:val="24"/>
          <w:highlight w:val="none"/>
        </w:rPr>
        <w:t>计算出本项目最终得分。评标委员会按评标原则推荐中标候选人同时起草评标报告。</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（五）澄清问题的形式</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（六）错误修正</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投标文件如果出现计算或表达上的错误，修正错误的原则如下：</w:t>
      </w:r>
    </w:p>
    <w:p>
      <w:pPr>
        <w:pStyle w:val="34"/>
        <w:spacing w:before="0" w:beforeAutospacing="0" w:after="0" w:afterAutospacing="0" w:line="360" w:lineRule="exact"/>
        <w:ind w:firstLine="480" w:firstLineChars="200"/>
        <w:rPr>
          <w:rFonts w:cs="Times New Roman"/>
          <w:color w:val="auto"/>
          <w:kern w:val="2"/>
          <w:highlight w:val="none"/>
        </w:rPr>
      </w:pPr>
      <w:r>
        <w:rPr>
          <w:color w:val="auto"/>
          <w:kern w:val="2"/>
          <w:highlight w:val="none"/>
        </w:rPr>
        <w:t>1</w:t>
      </w:r>
      <w:r>
        <w:rPr>
          <w:rFonts w:hint="eastAsia"/>
          <w:color w:val="auto"/>
          <w:kern w:val="2"/>
          <w:highlight w:val="none"/>
        </w:rPr>
        <w:t>、投标文件中开标一览表（报价表）内容与投标文件中相应内容不一致的，以开标一览表（报价表）为准；</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2</w:t>
      </w:r>
      <w:r>
        <w:rPr>
          <w:rFonts w:hint="eastAsia"/>
          <w:color w:val="auto"/>
          <w:kern w:val="2"/>
          <w:highlight w:val="none"/>
        </w:rPr>
        <w:t>、大写金额和小写金额不一致的，以大写金额为准；</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3</w:t>
      </w:r>
      <w:r>
        <w:rPr>
          <w:rFonts w:hint="eastAsia"/>
          <w:color w:val="auto"/>
          <w:kern w:val="2"/>
          <w:highlight w:val="none"/>
        </w:rPr>
        <w:t>、单价金额小数点或者百分比有明显错位的，以开标一览表的总价为准，并修改单价；</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4</w:t>
      </w:r>
      <w:r>
        <w:rPr>
          <w:rFonts w:hint="eastAsia"/>
          <w:color w:val="auto"/>
          <w:kern w:val="2"/>
          <w:highlight w:val="none"/>
        </w:rPr>
        <w:t>、总价金额与按单价汇总金额不一致的，以单价金额计算结果为准。</w:t>
      </w:r>
    </w:p>
    <w:p>
      <w:pPr>
        <w:pStyle w:val="24"/>
        <w:tabs>
          <w:tab w:val="left" w:pos="567"/>
        </w:tabs>
        <w:snapToGrid w:val="0"/>
        <w:spacing w:line="36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tabs>
          <w:tab w:val="left" w:pos="630"/>
        </w:tabs>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（七）评标原则和评标办法</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评标办法。本项目评标办法是</w:t>
      </w:r>
      <w:r>
        <w:rPr>
          <w:rFonts w:hint="eastAsia" w:hAnsi="宋体"/>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pPr>
        <w:snapToGrid w:val="0"/>
        <w:spacing w:line="400" w:lineRule="exact"/>
        <w:rPr>
          <w:rFonts w:ascii="宋体" w:cs="宋体"/>
          <w:b/>
          <w:bCs/>
          <w:color w:val="auto"/>
          <w:sz w:val="24"/>
          <w:szCs w:val="24"/>
          <w:highlight w:val="none"/>
        </w:rPr>
      </w:pPr>
      <w:r>
        <w:rPr>
          <w:rFonts w:hint="eastAsia" w:ascii="宋体" w:hAnsi="宋体" w:cs="宋体"/>
          <w:b/>
          <w:bCs/>
          <w:color w:val="auto"/>
          <w:sz w:val="24"/>
          <w:szCs w:val="24"/>
          <w:highlight w:val="none"/>
        </w:rPr>
        <w:t>（八）投标无效的情形</w:t>
      </w:r>
    </w:p>
    <w:p>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实质上没有响应招标文件要求的投标将被视为无效投标。投标人不得通过修正或撤销不合要求的偏离或保留从而使其投标成为实质上响应的投标</w:t>
      </w:r>
      <w:r>
        <w:rPr>
          <w:rFonts w:ascii="宋体" w:hAnsi="宋体" w:cs="宋体"/>
          <w:color w:val="auto"/>
          <w:sz w:val="24"/>
          <w:szCs w:val="24"/>
          <w:highlight w:val="none"/>
        </w:rPr>
        <w:t>,</w:t>
      </w:r>
      <w:r>
        <w:rPr>
          <w:rFonts w:hint="eastAsia" w:ascii="宋体" w:hAnsi="宋体" w:cs="宋体"/>
          <w:color w:val="auto"/>
          <w:sz w:val="24"/>
          <w:szCs w:val="24"/>
          <w:highlight w:val="none"/>
        </w:rPr>
        <w:t>但经评标委员会认定属于投标人疏忽、笔误所造成的差错</w:t>
      </w:r>
      <w:r>
        <w:rPr>
          <w:rFonts w:ascii="宋体" w:hAnsi="宋体" w:cs="宋体"/>
          <w:color w:val="auto"/>
          <w:sz w:val="24"/>
          <w:szCs w:val="24"/>
          <w:highlight w:val="none"/>
        </w:rPr>
        <w:t>,</w:t>
      </w:r>
      <w:r>
        <w:rPr>
          <w:rFonts w:hint="eastAsia" w:ascii="宋体" w:hAnsi="宋体" w:cs="宋体"/>
          <w:color w:val="auto"/>
          <w:sz w:val="24"/>
          <w:szCs w:val="24"/>
          <w:highlight w:val="none"/>
        </w:rPr>
        <w:t>应当允许其在评标结束之前进行修改或者补正</w:t>
      </w:r>
      <w:r>
        <w:rPr>
          <w:rFonts w:ascii="宋体" w:hAnsi="宋体" w:cs="宋体"/>
          <w:color w:val="auto"/>
          <w:sz w:val="24"/>
          <w:szCs w:val="24"/>
          <w:highlight w:val="none"/>
        </w:rPr>
        <w:t>(</w:t>
      </w:r>
      <w:r>
        <w:rPr>
          <w:rFonts w:hint="eastAsia" w:ascii="宋体" w:hAnsi="宋体" w:cs="宋体"/>
          <w:color w:val="auto"/>
          <w:sz w:val="24"/>
          <w:szCs w:val="24"/>
          <w:highlight w:val="none"/>
        </w:rPr>
        <w:t>可以是复印件、传真件等</w:t>
      </w:r>
      <w:r>
        <w:rPr>
          <w:rFonts w:ascii="宋体" w:hAnsi="宋体" w:cs="宋体"/>
          <w:color w:val="auto"/>
          <w:sz w:val="24"/>
          <w:szCs w:val="24"/>
          <w:highlight w:val="none"/>
        </w:rPr>
        <w:t>,</w:t>
      </w:r>
      <w:r>
        <w:rPr>
          <w:rFonts w:hint="eastAsia" w:ascii="宋体" w:hAnsi="宋体" w:cs="宋体"/>
          <w:color w:val="auto"/>
          <w:sz w:val="24"/>
          <w:szCs w:val="24"/>
          <w:highlight w:val="none"/>
        </w:rPr>
        <w:t>原件必须加盖单位公章</w:t>
      </w:r>
      <w:r>
        <w:rPr>
          <w:rFonts w:ascii="宋体" w:hAnsi="宋体" w:cs="宋体"/>
          <w:color w:val="auto"/>
          <w:sz w:val="24"/>
          <w:szCs w:val="24"/>
          <w:highlight w:val="none"/>
        </w:rPr>
        <w:t>)</w:t>
      </w:r>
      <w:r>
        <w:rPr>
          <w:rFonts w:hint="eastAsia" w:ascii="宋体" w:hAnsi="宋体" w:cs="宋体"/>
          <w:color w:val="auto"/>
          <w:sz w:val="24"/>
          <w:szCs w:val="24"/>
          <w:highlight w:val="none"/>
        </w:rPr>
        <w:t>。修改或者补正投标文件必须以书面形式进行</w:t>
      </w:r>
      <w:r>
        <w:rPr>
          <w:rFonts w:ascii="宋体" w:hAnsi="宋体" w:cs="宋体"/>
          <w:color w:val="auto"/>
          <w:sz w:val="24"/>
          <w:szCs w:val="24"/>
          <w:highlight w:val="none"/>
        </w:rPr>
        <w:t>,</w:t>
      </w:r>
      <w:r>
        <w:rPr>
          <w:rFonts w:hint="eastAsia" w:ascii="宋体" w:hAnsi="宋体" w:cs="宋体"/>
          <w:color w:val="auto"/>
          <w:sz w:val="24"/>
          <w:szCs w:val="24"/>
          <w:highlight w:val="none"/>
        </w:rPr>
        <w:t>并在中标结果公告之前核查原件。限期内不补正或经补正后仍不符合招标文件要求的</w:t>
      </w:r>
      <w:r>
        <w:rPr>
          <w:rFonts w:ascii="宋体" w:hAnsi="宋体" w:cs="宋体"/>
          <w:color w:val="auto"/>
          <w:sz w:val="24"/>
          <w:szCs w:val="24"/>
          <w:highlight w:val="none"/>
        </w:rPr>
        <w:t>,</w:t>
      </w:r>
      <w:r>
        <w:rPr>
          <w:rFonts w:hint="eastAsia" w:ascii="宋体" w:hAnsi="宋体" w:cs="宋体"/>
          <w:color w:val="auto"/>
          <w:sz w:val="24"/>
          <w:szCs w:val="24"/>
          <w:highlight w:val="none"/>
        </w:rPr>
        <w:t>应认定其投标无效。投标人修改、补正投标文件后</w:t>
      </w:r>
      <w:r>
        <w:rPr>
          <w:rFonts w:ascii="宋体" w:hAnsi="宋体" w:cs="宋体"/>
          <w:color w:val="auto"/>
          <w:sz w:val="24"/>
          <w:szCs w:val="24"/>
          <w:highlight w:val="none"/>
        </w:rPr>
        <w:t>,</w:t>
      </w:r>
      <w:r>
        <w:rPr>
          <w:rFonts w:hint="eastAsia" w:ascii="宋体" w:hAnsi="宋体" w:cs="宋体"/>
          <w:color w:val="auto"/>
          <w:sz w:val="24"/>
          <w:szCs w:val="24"/>
          <w:highlight w:val="none"/>
        </w:rPr>
        <w:t>不影响评标委员会对其投标文件所作的评价和评分结果。</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在资格性审查时，如发现下列情形之一的，投标文件将被视为无效：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）不符合招标公告中对投标人的资格要求的（包括超越了按照法律法规规定必须获得行政许可证或者行政审批的经营范围的）；</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）资格证明文件不全或不符合招标文件表明的资格要求的。</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在符合性审查时，如发现下列情形之一的，投标文件将被视为无效：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）投标文件无法定代表人或其授权委托代理人签字</w:t>
      </w:r>
      <w:r>
        <w:rPr>
          <w:rFonts w:ascii="宋体" w:hAnsi="宋体" w:cs="宋体"/>
          <w:color w:val="auto"/>
          <w:sz w:val="24"/>
          <w:szCs w:val="24"/>
          <w:highlight w:val="none"/>
        </w:rPr>
        <w:t>,</w:t>
      </w:r>
      <w:r>
        <w:rPr>
          <w:rFonts w:hint="eastAsia" w:ascii="宋体" w:hAnsi="宋体" w:cs="宋体"/>
          <w:color w:val="auto"/>
          <w:sz w:val="24"/>
          <w:szCs w:val="24"/>
          <w:highlight w:val="none"/>
        </w:rPr>
        <w:t>或未</w:t>
      </w:r>
      <w:r>
        <w:rPr>
          <w:rFonts w:hint="eastAsia" w:ascii="宋体" w:hAnsi="宋体" w:cs="宋体"/>
          <w:color w:val="auto"/>
          <w:kern w:val="0"/>
          <w:sz w:val="24"/>
          <w:szCs w:val="24"/>
          <w:highlight w:val="none"/>
        </w:rPr>
        <w:t>提供法定代表人授权委托书、声明书或者填写项目不齐全的；</w:t>
      </w:r>
    </w:p>
    <w:p>
      <w:pPr>
        <w:snapToGrid w:val="0"/>
        <w:spacing w:line="40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）投标代表人未能出具身份证明或与法定代表人授权委托人身份不符的；</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项目不齐全或者内容虚假的；</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rPr>
        <w:t>）投标有效期、服务期限等商务条款不能满足招标文件要求的；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）未实质性响应招标文件要求或者投标文件有招标方不能接受的附加条件或者</w:t>
      </w:r>
      <w:r>
        <w:rPr>
          <w:rFonts w:hint="eastAsia" w:ascii="宋体" w:hAnsi="宋体" w:eastAsia="宋体" w:cs="宋体"/>
          <w:color w:val="auto"/>
          <w:kern w:val="0"/>
          <w:sz w:val="24"/>
          <w:szCs w:val="24"/>
          <w:highlight w:val="none"/>
        </w:rPr>
        <w:t>投标人有相互串通行为</w:t>
      </w:r>
      <w:r>
        <w:rPr>
          <w:rFonts w:hint="eastAsia" w:ascii="宋体" w:hAnsi="宋体" w:eastAsia="宋体" w:cs="宋体"/>
          <w:color w:val="auto"/>
          <w:sz w:val="24"/>
          <w:szCs w:val="24"/>
          <w:highlight w:val="none"/>
        </w:rPr>
        <w:t>的；</w:t>
      </w:r>
    </w:p>
    <w:p>
      <w:pPr>
        <w:pStyle w:val="19"/>
        <w:snapToGrid w:val="0"/>
        <w:spacing w:line="400" w:lineRule="exact"/>
        <w:ind w:firstLine="590" w:firstLineChars="246"/>
        <w:rPr>
          <w:rFonts w:ascii="宋体" w:hAnsi="宋体" w:eastAsia="宋体" w:cs="Times New Roman"/>
          <w:color w:val="auto"/>
          <w:sz w:val="24"/>
          <w:szCs w:val="24"/>
          <w:highlight w:val="none"/>
        </w:rPr>
      </w:pPr>
      <w:r>
        <w:rPr>
          <w:rFonts w:hint="eastAsia" w:ascii="宋体" w:hAnsi="宋体" w:eastAsia="宋体" w:cs="宋体"/>
          <w:snapToGrid w:val="0"/>
          <w:color w:val="auto"/>
          <w:sz w:val="24"/>
          <w:szCs w:val="24"/>
          <w:highlight w:val="none"/>
        </w:rPr>
        <w:t>（</w:t>
      </w:r>
      <w:r>
        <w:rPr>
          <w:rFonts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法律、法规规定“投标无效”或招标文件规定的其他“投标无效”的情形的。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在技术评审时，如发现下列情形之一的，投标文件将被视为无效：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）未提供或未如实提供投标服务的技术参数，或者投标文件标明的响应或偏离与事实不符或虚假投标的；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明显不符合招标文件要求的质量标准，或者与</w:t>
      </w:r>
      <w:r>
        <w:rPr>
          <w:rFonts w:hint="eastAsia" w:ascii="宋体" w:hAnsi="宋体" w:eastAsia="宋体" w:cs="宋体"/>
          <w:color w:val="auto"/>
          <w:sz w:val="24"/>
          <w:szCs w:val="24"/>
          <w:highlight w:val="none"/>
        </w:rPr>
        <w:t>招标文件中标“▲或★”的任何一项技术指标、主要功能项目或技术要求发生实质性负偏离的；</w:t>
      </w:r>
    </w:p>
    <w:p>
      <w:pPr>
        <w:pStyle w:val="19"/>
        <w:spacing w:line="400" w:lineRule="exact"/>
        <w:ind w:firstLine="480" w:firstLineChars="200"/>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允许偏离的技术、性能指标或者辅助功能项目发生</w:t>
      </w:r>
      <w:r>
        <w:rPr>
          <w:rFonts w:hint="eastAsia" w:ascii="宋体" w:hAnsi="宋体" w:eastAsia="宋体" w:cs="宋体"/>
          <w:color w:val="auto"/>
          <w:sz w:val="24"/>
          <w:szCs w:val="24"/>
          <w:highlight w:val="none"/>
        </w:rPr>
        <w:t>实质性</w:t>
      </w:r>
      <w:r>
        <w:rPr>
          <w:rFonts w:hint="eastAsia" w:ascii="宋体" w:hAnsi="宋体" w:eastAsia="宋体" w:cs="宋体"/>
          <w:snapToGrid w:val="0"/>
          <w:color w:val="auto"/>
          <w:sz w:val="24"/>
          <w:szCs w:val="24"/>
          <w:highlight w:val="none"/>
        </w:rPr>
        <w:t>负偏离达</w:t>
      </w:r>
      <w:r>
        <w:rPr>
          <w:rFonts w:ascii="宋体" w:hAnsi="宋体" w:eastAsia="宋体" w:cs="宋体"/>
          <w:snapToGrid w:val="0"/>
          <w:color w:val="auto"/>
          <w:sz w:val="24"/>
          <w:szCs w:val="24"/>
          <w:highlight w:val="none"/>
          <w:u w:val="single"/>
        </w:rPr>
        <w:t xml:space="preserve"> 3 </w:t>
      </w:r>
      <w:r>
        <w:rPr>
          <w:rFonts w:hint="eastAsia" w:ascii="宋体" w:hAnsi="宋体" w:eastAsia="宋体" w:cs="宋体"/>
          <w:snapToGrid w:val="0"/>
          <w:color w:val="auto"/>
          <w:sz w:val="24"/>
          <w:szCs w:val="24"/>
          <w:highlight w:val="none"/>
        </w:rPr>
        <w:t>项以上（含</w:t>
      </w:r>
      <w:r>
        <w:rPr>
          <w:rFonts w:ascii="宋体" w:hAnsi="宋体" w:eastAsia="宋体" w:cs="宋体"/>
          <w:snapToGrid w:val="0"/>
          <w:color w:val="auto"/>
          <w:sz w:val="24"/>
          <w:szCs w:val="24"/>
          <w:highlight w:val="none"/>
          <w:u w:val="single"/>
        </w:rPr>
        <w:t xml:space="preserve"> 3 </w:t>
      </w:r>
      <w:r>
        <w:rPr>
          <w:rFonts w:hint="eastAsia" w:ascii="宋体" w:hAnsi="宋体" w:eastAsia="宋体" w:cs="宋体"/>
          <w:snapToGrid w:val="0"/>
          <w:color w:val="auto"/>
          <w:sz w:val="24"/>
          <w:szCs w:val="24"/>
          <w:highlight w:val="none"/>
        </w:rPr>
        <w:t>项）的；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）投标技术方案不明确，存在一个或一个以上备选（替代）投标方案的；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在报价评审时，如发现下列情形之一的，投标文件将被视为无效：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）未采用人民币报价或者未按照招标文件标明的币种报价的；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）报价超出最高限价，或者超出总采购预算金额或分项采购预算，采购人不能支付的；</w:t>
      </w:r>
    </w:p>
    <w:p>
      <w:pPr>
        <w:pStyle w:val="19"/>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）投标报价具有选择性，或者开标价格与投标文件承诺的优惠（折扣）价格不一致的；</w:t>
      </w:r>
    </w:p>
    <w:p>
      <w:pPr>
        <w:pStyle w:val="19"/>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9"/>
        <w:snapToGrid w:val="0"/>
        <w:spacing w:line="400" w:lineRule="exact"/>
        <w:ind w:firstLine="470" w:firstLineChars="196"/>
        <w:outlineLvl w:val="0"/>
        <w:rPr>
          <w:rFonts w:ascii="宋体" w:hAnsi="宋体" w:eastAsia="宋体" w:cs="宋体"/>
          <w:color w:val="auto"/>
          <w:sz w:val="24"/>
          <w:szCs w:val="24"/>
          <w:highlight w:val="none"/>
        </w:rPr>
      </w:pPr>
      <w:bookmarkStart w:id="86" w:name="_Toc25683"/>
      <w:bookmarkStart w:id="87" w:name="_Toc2878"/>
      <w:bookmarkStart w:id="88" w:name="_Toc22501"/>
      <w:bookmarkStart w:id="89" w:name="_Toc27262"/>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有下列情形之一的视为关联供应商参加同一合同项下政府采购活动，投标文件将被视为无效</w:t>
      </w:r>
      <w:r>
        <w:rPr>
          <w:rFonts w:ascii="宋体" w:hAnsi="宋体" w:eastAsia="宋体" w:cs="宋体"/>
          <w:color w:val="auto"/>
          <w:sz w:val="24"/>
          <w:szCs w:val="24"/>
          <w:highlight w:val="none"/>
        </w:rPr>
        <w:t>:</w:t>
      </w:r>
      <w:bookmarkEnd w:id="86"/>
      <w:bookmarkEnd w:id="87"/>
      <w:bookmarkEnd w:id="88"/>
      <w:bookmarkEnd w:id="89"/>
    </w:p>
    <w:p>
      <w:pPr>
        <w:pStyle w:val="19"/>
        <w:snapToGrid w:val="0"/>
        <w:spacing w:line="400" w:lineRule="exact"/>
        <w:ind w:firstLine="470" w:firstLineChars="196"/>
        <w:outlineLvl w:val="0"/>
        <w:rPr>
          <w:rFonts w:ascii="宋体" w:hAnsi="宋体" w:eastAsia="宋体" w:cs="Times New Roman"/>
          <w:color w:val="auto"/>
          <w:sz w:val="24"/>
          <w:szCs w:val="24"/>
          <w:highlight w:val="none"/>
        </w:rPr>
      </w:pPr>
      <w:bookmarkStart w:id="90" w:name="_Toc31174"/>
      <w:bookmarkStart w:id="91" w:name="_Toc30706"/>
      <w:bookmarkStart w:id="92" w:name="_Toc17878"/>
      <w:bookmarkStart w:id="93" w:name="_Toc23032"/>
      <w:r>
        <w:rPr>
          <w:rFonts w:hint="eastAsia" w:ascii="宋体" w:hAnsi="宋体" w:eastAsia="宋体" w:cs="宋体"/>
          <w:color w:val="auto"/>
          <w:sz w:val="24"/>
          <w:szCs w:val="24"/>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90"/>
      <w:bookmarkEnd w:id="91"/>
      <w:bookmarkEnd w:id="92"/>
      <w:bookmarkEnd w:id="93"/>
    </w:p>
    <w:p>
      <w:pPr>
        <w:pStyle w:val="19"/>
        <w:snapToGrid w:val="0"/>
        <w:spacing w:line="400" w:lineRule="exact"/>
        <w:ind w:firstLine="470" w:firstLineChars="196"/>
        <w:outlineLvl w:val="0"/>
        <w:rPr>
          <w:rFonts w:ascii="宋体" w:hAnsi="宋体" w:eastAsia="宋体" w:cs="Times New Roman"/>
          <w:color w:val="auto"/>
          <w:sz w:val="24"/>
          <w:szCs w:val="24"/>
          <w:highlight w:val="none"/>
        </w:rPr>
      </w:pPr>
      <w:bookmarkStart w:id="94" w:name="_Toc27011"/>
      <w:bookmarkStart w:id="95" w:name="_Toc27356"/>
      <w:bookmarkStart w:id="96" w:name="_Toc7850"/>
      <w:bookmarkStart w:id="97" w:name="_Toc3126"/>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有本须知总则特别说明（八）第</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款情形之一的视为投标人相互串通，投标文件将视为无效。</w:t>
      </w:r>
      <w:bookmarkEnd w:id="94"/>
      <w:bookmarkEnd w:id="95"/>
      <w:bookmarkEnd w:id="96"/>
      <w:bookmarkEnd w:id="97"/>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（九）评标过程的监控</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本项目评标过程实行全程录音、录像监控，投标人在评标过程中所进行的试图影响评标结果的不公正活动，可能导致其投标被拒绝。</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⑵查询截止时点：中标通知书发出前；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⑷信用信息使用规则：对在“信用中国”网站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渠道列入失信被执行人、重大税收违法案件当事人名单、政府采购严重违法失信行为记录名单及其他不符合《中华人民共和国政府采购法》第二十二条规定，生产或经营本次招标采购货物的供应商条件的供应商，取消其中标候选人资格。</w:t>
      </w:r>
    </w:p>
    <w:p>
      <w:pPr>
        <w:pStyle w:val="24"/>
        <w:snapToGrid w:val="0"/>
        <w:spacing w:line="360" w:lineRule="exact"/>
        <w:rPr>
          <w:rFonts w:hAnsi="宋体" w:cs="Times New Roman"/>
          <w:b/>
          <w:bCs/>
          <w:color w:val="auto"/>
          <w:sz w:val="24"/>
          <w:szCs w:val="24"/>
          <w:highlight w:val="none"/>
        </w:rPr>
      </w:pPr>
      <w:bookmarkStart w:id="98" w:name="_Toc254970546"/>
      <w:bookmarkStart w:id="99" w:name="_Toc254970687"/>
      <w:r>
        <w:rPr>
          <w:rFonts w:hint="eastAsia" w:hAnsi="宋体"/>
          <w:b/>
          <w:bCs/>
          <w:color w:val="auto"/>
          <w:sz w:val="24"/>
          <w:szCs w:val="24"/>
          <w:highlight w:val="none"/>
        </w:rPr>
        <w:t>（十一）、评标结果</w:t>
      </w:r>
    </w:p>
    <w:bookmarkEnd w:id="98"/>
    <w:bookmarkEnd w:id="99"/>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中标供应商确定后，采购代理机构二个工作日内在原发布招标公告的网上发布中标公告。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发布中标公告的同时，采购代理机构向中标供应商发出中标通知书。</w:t>
      </w:r>
    </w:p>
    <w:p>
      <w:pPr>
        <w:pStyle w:val="24"/>
        <w:snapToGrid w:val="0"/>
        <w:spacing w:line="360" w:lineRule="exact"/>
        <w:ind w:firstLine="470" w:firstLineChars="196"/>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投标人认为招标文件、招标过程或中标结果使自己的权益受到损害的，可以在规定的期限内，以书面形式向采购代理机构提出质疑。并及时索要书面回执。</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采购代理机构应当按照有关规定就采购人委托授权范围内的事项在收到投标人的书面质疑后七个工作日内做出答复，但答复的内容不得涉及商业秘密。</w:t>
      </w:r>
    </w:p>
    <w:p>
      <w:pPr>
        <w:snapToGrid w:val="0"/>
        <w:spacing w:line="36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采购代理机构无义务向未中标人退还其投标文件。</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（十二）废标和重新招标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在招标过程中，出现下列情形之一的，予以废标：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符合专业条件的供应商或者对招标文件作实质响应的供应商不足三家的；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出现影响采购公正的违法、违规行为的；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投标人的报价均超过了总采购预算或分项采购预算</w:t>
      </w:r>
      <w:r>
        <w:rPr>
          <w:rFonts w:ascii="宋体" w:hAnsi="宋体" w:cs="宋体"/>
          <w:color w:val="auto"/>
          <w:sz w:val="24"/>
          <w:szCs w:val="24"/>
          <w:highlight w:val="none"/>
        </w:rPr>
        <w:t>(</w:t>
      </w:r>
      <w:r>
        <w:rPr>
          <w:rFonts w:hint="eastAsia" w:ascii="宋体" w:hAnsi="宋体" w:cs="宋体"/>
          <w:color w:val="auto"/>
          <w:sz w:val="24"/>
          <w:szCs w:val="24"/>
          <w:highlight w:val="none"/>
        </w:rPr>
        <w:t>根据项目增减</w:t>
      </w:r>
      <w:r>
        <w:rPr>
          <w:rFonts w:ascii="宋体" w:hAnsi="宋体" w:cs="宋体"/>
          <w:color w:val="auto"/>
          <w:sz w:val="24"/>
          <w:szCs w:val="24"/>
          <w:highlight w:val="none"/>
        </w:rPr>
        <w:t>)</w:t>
      </w:r>
      <w:r>
        <w:rPr>
          <w:rFonts w:hint="eastAsia" w:ascii="宋体" w:hAnsi="宋体" w:cs="宋体"/>
          <w:color w:val="auto"/>
          <w:sz w:val="24"/>
          <w:szCs w:val="24"/>
          <w:highlight w:val="none"/>
        </w:rPr>
        <w:t>，采购人不能支付的；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废标后，采购代理机构将在原政府采购信息发布媒体上公告废标理由，不再另行通知。</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重新招标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公开招标数额标准以上的采购项目，投标截止后投标人不足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家或者通过资格审查或符合性审查的投标人不足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家的，除采购任务取消情形外，按照以下方式处理：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招标文件存在不合理条款或者招标程序不符合规定的，采购人、采购代理机构改正后依法重新招标；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招标文件没有不合理条款、招标程序符合规定，需要采用其他采购方式采购的，采购人应当依法报同级财政部门批准。</w:t>
      </w:r>
    </w:p>
    <w:p>
      <w:pPr>
        <w:snapToGrid w:val="0"/>
        <w:spacing w:line="360" w:lineRule="exact"/>
        <w:rPr>
          <w:rFonts w:ascii="宋体" w:cs="宋体"/>
          <w:color w:val="auto"/>
          <w:sz w:val="24"/>
          <w:szCs w:val="24"/>
          <w:highlight w:val="none"/>
        </w:rPr>
      </w:pPr>
    </w:p>
    <w:p>
      <w:pPr>
        <w:snapToGrid w:val="0"/>
        <w:spacing w:line="360" w:lineRule="exact"/>
        <w:ind w:firstLine="630" w:firstLineChars="196"/>
        <w:jc w:val="center"/>
        <w:rPr>
          <w:rFonts w:ascii="宋体" w:cs="宋体"/>
          <w:b/>
          <w:bCs/>
          <w:color w:val="auto"/>
          <w:sz w:val="32"/>
          <w:szCs w:val="32"/>
          <w:highlight w:val="none"/>
        </w:rPr>
      </w:pPr>
      <w:r>
        <w:rPr>
          <w:rFonts w:hint="eastAsia" w:ascii="宋体" w:hAnsi="宋体" w:cs="宋体"/>
          <w:b/>
          <w:bCs/>
          <w:color w:val="auto"/>
          <w:sz w:val="32"/>
          <w:szCs w:val="32"/>
          <w:highlight w:val="none"/>
        </w:rPr>
        <w:t>七、签订合同</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（一）合同授予标准</w:t>
      </w:r>
    </w:p>
    <w:p>
      <w:pPr>
        <w:pStyle w:val="24"/>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合同将授予被确定为实质上响应招标文件要求，具备履行合同能力，综合评分排名第一的投标人。</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（二）签订合同</w:t>
      </w:r>
    </w:p>
    <w:p>
      <w:pPr>
        <w:pStyle w:val="24"/>
        <w:spacing w:line="360" w:lineRule="exact"/>
        <w:ind w:firstLine="42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投标人收到中标通知书后，应按中标通知书中规定的时间、地点与采购人签订合同。</w:t>
      </w:r>
    </w:p>
    <w:p>
      <w:pPr>
        <w:pStyle w:val="24"/>
        <w:spacing w:line="360" w:lineRule="exact"/>
        <w:ind w:firstLine="425"/>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如果中标供应商不按中标通知书中规定签订合同，则按中标供应商违约处理。</w:t>
      </w:r>
    </w:p>
    <w:p>
      <w:pPr>
        <w:pStyle w:val="24"/>
        <w:spacing w:line="360" w:lineRule="exact"/>
        <w:ind w:firstLine="42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中标供应商因不可抗力或者自身原因不能履行政府采购合同的，采购人可以与中标供应商之后排名第一的中标候选供应商签订采购合同，以此类推。采购人也可以重新开展采购活动。</w:t>
      </w:r>
    </w:p>
    <w:p>
      <w:pPr>
        <w:pStyle w:val="24"/>
        <w:spacing w:line="360" w:lineRule="exact"/>
        <w:ind w:firstLine="420"/>
        <w:rPr>
          <w:rFonts w:hAnsi="宋体" w:cs="Times New Roman"/>
          <w:b/>
          <w:bCs/>
          <w:color w:val="auto"/>
          <w:sz w:val="24"/>
          <w:szCs w:val="24"/>
          <w:highlight w:val="none"/>
        </w:rPr>
      </w:pPr>
    </w:p>
    <w:p>
      <w:pPr>
        <w:pStyle w:val="24"/>
        <w:snapToGrid w:val="0"/>
        <w:spacing w:line="360" w:lineRule="exact"/>
        <w:ind w:firstLine="315" w:firstLineChars="98"/>
        <w:jc w:val="center"/>
        <w:rPr>
          <w:rFonts w:hAnsi="宋体" w:cs="Times New Roman"/>
          <w:b/>
          <w:bCs/>
          <w:color w:val="auto"/>
          <w:sz w:val="32"/>
          <w:szCs w:val="32"/>
          <w:highlight w:val="none"/>
        </w:rPr>
      </w:pPr>
      <w:r>
        <w:rPr>
          <w:rFonts w:hint="eastAsia" w:hAnsi="宋体"/>
          <w:b/>
          <w:bCs/>
          <w:color w:val="auto"/>
          <w:sz w:val="32"/>
          <w:szCs w:val="32"/>
          <w:highlight w:val="none"/>
        </w:rPr>
        <w:t>八、其他事项</w:t>
      </w:r>
    </w:p>
    <w:p>
      <w:pPr>
        <w:pStyle w:val="24"/>
        <w:snapToGrid w:val="0"/>
        <w:spacing w:line="360" w:lineRule="exact"/>
        <w:outlineLvl w:val="0"/>
        <w:rPr>
          <w:rFonts w:hAnsi="宋体" w:cs="Times New Roman"/>
          <w:b/>
          <w:bCs/>
          <w:color w:val="auto"/>
          <w:sz w:val="24"/>
          <w:szCs w:val="24"/>
          <w:highlight w:val="none"/>
        </w:rPr>
      </w:pPr>
      <w:bookmarkStart w:id="100" w:name="_Toc21936"/>
      <w:bookmarkStart w:id="101" w:name="_Toc14317"/>
      <w:bookmarkStart w:id="102" w:name="_Toc28793"/>
      <w:bookmarkStart w:id="103" w:name="_Toc1021"/>
      <w:r>
        <w:rPr>
          <w:rFonts w:hint="eastAsia" w:hAnsi="宋体"/>
          <w:b/>
          <w:bCs/>
          <w:color w:val="auto"/>
          <w:sz w:val="24"/>
          <w:szCs w:val="24"/>
          <w:highlight w:val="none"/>
        </w:rPr>
        <w:t>（一）招标代理服务费</w:t>
      </w:r>
      <w:bookmarkStart w:id="104" w:name="_Toc254970548"/>
      <w:bookmarkStart w:id="105" w:name="_Toc254970689"/>
      <w:r>
        <w:rPr>
          <w:rFonts w:hint="eastAsia" w:hAnsi="宋体"/>
          <w:color w:val="auto"/>
          <w:sz w:val="24"/>
          <w:szCs w:val="24"/>
          <w:highlight w:val="none"/>
          <w:u w:val="single"/>
        </w:rPr>
        <w:t>按国家计委《招标代理服务收费管理暂行办法》（计价格</w:t>
      </w:r>
      <w:r>
        <w:rPr>
          <w:rFonts w:hAnsi="宋体"/>
          <w:color w:val="auto"/>
          <w:sz w:val="24"/>
          <w:szCs w:val="24"/>
          <w:highlight w:val="none"/>
          <w:u w:val="single"/>
        </w:rPr>
        <w:t>[2002]1980</w:t>
      </w:r>
      <w:r>
        <w:rPr>
          <w:rFonts w:hint="eastAsia" w:hAnsi="宋体"/>
          <w:color w:val="auto"/>
          <w:sz w:val="24"/>
          <w:szCs w:val="24"/>
          <w:highlight w:val="none"/>
          <w:u w:val="single"/>
        </w:rPr>
        <w:t>号）规定标准下浮</w:t>
      </w:r>
      <w:r>
        <w:rPr>
          <w:rFonts w:hAnsi="宋体"/>
          <w:color w:val="auto"/>
          <w:sz w:val="24"/>
          <w:szCs w:val="24"/>
          <w:highlight w:val="none"/>
          <w:u w:val="single"/>
        </w:rPr>
        <w:t>20%</w:t>
      </w:r>
      <w:r>
        <w:rPr>
          <w:rFonts w:hint="eastAsia" w:hAnsi="宋体"/>
          <w:color w:val="auto"/>
          <w:sz w:val="24"/>
          <w:szCs w:val="24"/>
          <w:highlight w:val="none"/>
        </w:rPr>
        <w:t>向</w:t>
      </w:r>
      <w:r>
        <w:rPr>
          <w:rFonts w:hint="eastAsia" w:hAnsi="宋体"/>
          <w:color w:val="auto"/>
          <w:sz w:val="24"/>
          <w:szCs w:val="24"/>
          <w:highlight w:val="none"/>
          <w:u w:val="single"/>
        </w:rPr>
        <w:t>成交供应商</w:t>
      </w:r>
      <w:r>
        <w:rPr>
          <w:rFonts w:hint="eastAsia" w:hAnsi="宋体"/>
          <w:color w:val="auto"/>
          <w:sz w:val="24"/>
          <w:szCs w:val="24"/>
          <w:highlight w:val="none"/>
        </w:rPr>
        <w:t>收取。缴纳方式：</w:t>
      </w:r>
      <w:bookmarkEnd w:id="100"/>
      <w:r>
        <w:rPr>
          <w:rFonts w:hint="eastAsia" w:hAnsi="宋体"/>
          <w:color w:val="auto"/>
          <w:sz w:val="24"/>
          <w:szCs w:val="24"/>
          <w:highlight w:val="none"/>
        </w:rPr>
        <w:t>转账。</w:t>
      </w:r>
      <w:bookmarkEnd w:id="101"/>
      <w:bookmarkEnd w:id="102"/>
      <w:bookmarkEnd w:id="103"/>
    </w:p>
    <w:p>
      <w:pPr>
        <w:pStyle w:val="24"/>
        <w:snapToGrid w:val="0"/>
        <w:outlineLvl w:val="0"/>
        <w:rPr>
          <w:rFonts w:hAnsi="宋体" w:cs="Times New Roman"/>
          <w:b/>
          <w:bCs/>
          <w:color w:val="auto"/>
          <w:sz w:val="30"/>
          <w:szCs w:val="30"/>
          <w:highlight w:val="none"/>
        </w:rPr>
      </w:pPr>
      <w:bookmarkStart w:id="106" w:name="_Toc20376"/>
      <w:bookmarkStart w:id="107" w:name="_Toc11441"/>
      <w:bookmarkStart w:id="108" w:name="_Toc18866"/>
      <w:r>
        <w:rPr>
          <w:rFonts w:hint="eastAsia" w:hAnsi="宋体"/>
          <w:color w:val="auto"/>
          <w:sz w:val="24"/>
          <w:szCs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bookmarkEnd w:id="106"/>
      <w:bookmarkEnd w:id="107"/>
      <w:bookmarkEnd w:id="108"/>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b/>
          <w:bCs/>
          <w:color w:val="auto"/>
          <w:sz w:val="44"/>
          <w:szCs w:val="44"/>
          <w:highlight w:val="none"/>
        </w:rPr>
      </w:pPr>
      <w:bookmarkStart w:id="109" w:name="_Toc26858"/>
      <w:bookmarkStart w:id="110" w:name="_Toc330"/>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cs="Times New Roman"/>
          <w:b/>
          <w:bCs/>
          <w:color w:val="auto"/>
          <w:sz w:val="44"/>
          <w:szCs w:val="44"/>
          <w:highlight w:val="none"/>
        </w:rPr>
      </w:pPr>
      <w:r>
        <w:rPr>
          <w:rFonts w:hint="eastAsia" w:hAnsi="宋体"/>
          <w:b/>
          <w:bCs/>
          <w:color w:val="auto"/>
          <w:sz w:val="44"/>
          <w:szCs w:val="44"/>
          <w:highlight w:val="none"/>
        </w:rPr>
        <w:t>第四章评标办法及评分标准</w:t>
      </w:r>
      <w:bookmarkEnd w:id="104"/>
      <w:bookmarkEnd w:id="105"/>
      <w:bookmarkEnd w:id="109"/>
      <w:bookmarkEnd w:id="110"/>
    </w:p>
    <w:p>
      <w:pPr>
        <w:pStyle w:val="24"/>
        <w:outlineLvl w:val="0"/>
        <w:rPr>
          <w:rFonts w:hAnsi="宋体" w:cs="Times New Roman"/>
          <w:b/>
          <w:bCs/>
          <w:color w:val="auto"/>
          <w:highlight w:val="none"/>
        </w:rPr>
      </w:pPr>
      <w:bookmarkStart w:id="111" w:name="_Toc254970690"/>
      <w:bookmarkStart w:id="112" w:name="_Toc254970549"/>
    </w:p>
    <w:p>
      <w:pPr>
        <w:ind w:firstLine="420" w:firstLineChars="200"/>
        <w:jc w:val="center"/>
        <w:rPr>
          <w:rFonts w:ascii="宋体"/>
          <w:b/>
          <w:bCs/>
          <w:color w:val="auto"/>
          <w:sz w:val="32"/>
          <w:szCs w:val="32"/>
          <w:highlight w:val="none"/>
        </w:rPr>
      </w:pPr>
      <w:r>
        <w:rPr>
          <w:rFonts w:ascii="宋体"/>
          <w:color w:val="auto"/>
          <w:highlight w:val="none"/>
        </w:rPr>
        <w:br w:type="page"/>
      </w:r>
      <w:bookmarkEnd w:id="111"/>
      <w:bookmarkEnd w:id="112"/>
      <w:r>
        <w:rPr>
          <w:rFonts w:hint="eastAsia" w:ascii="宋体" w:hAnsi="宋体" w:cs="宋体"/>
          <w:b/>
          <w:bCs/>
          <w:color w:val="auto"/>
          <w:sz w:val="32"/>
          <w:szCs w:val="32"/>
          <w:highlight w:val="none"/>
        </w:rPr>
        <w:t>评标方法和评标标准（综合评分法）</w:t>
      </w:r>
    </w:p>
    <w:p>
      <w:pPr>
        <w:pStyle w:val="24"/>
        <w:ind w:firstLine="48" w:firstLineChars="20"/>
        <w:rPr>
          <w:rFonts w:hAnsi="宋体" w:cs="Times New Roman"/>
          <w:b/>
          <w:bCs/>
          <w:color w:val="auto"/>
          <w:sz w:val="24"/>
          <w:szCs w:val="24"/>
          <w:highlight w:val="none"/>
        </w:rPr>
      </w:pPr>
      <w:r>
        <w:rPr>
          <w:rFonts w:hint="eastAsia" w:hAnsi="宋体"/>
          <w:b/>
          <w:bCs/>
          <w:color w:val="auto"/>
          <w:sz w:val="24"/>
          <w:szCs w:val="24"/>
          <w:highlight w:val="none"/>
        </w:rPr>
        <w:t>一、评标原则</w:t>
      </w:r>
    </w:p>
    <w:p>
      <w:pPr>
        <w:pStyle w:val="24"/>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一</w:t>
      </w:r>
      <w:r>
        <w:rPr>
          <w:rFonts w:hAnsi="宋体"/>
          <w:color w:val="auto"/>
          <w:sz w:val="24"/>
          <w:szCs w:val="24"/>
          <w:highlight w:val="none"/>
        </w:rPr>
        <w:t>)</w:t>
      </w:r>
      <w:r>
        <w:rPr>
          <w:rFonts w:hint="eastAsia" w:hAnsi="宋体"/>
          <w:color w:val="auto"/>
          <w:sz w:val="24"/>
          <w:szCs w:val="24"/>
          <w:highlight w:val="none"/>
        </w:rPr>
        <w:t>评委构成：本招标采购项目的评委分别由依法组成的专家、采购单位代表共</w:t>
      </w:r>
      <w:r>
        <w:rPr>
          <w:rFonts w:hAnsi="宋体"/>
          <w:color w:val="auto"/>
          <w:sz w:val="24"/>
          <w:szCs w:val="24"/>
          <w:highlight w:val="none"/>
        </w:rPr>
        <w:t xml:space="preserve"> 5</w:t>
      </w:r>
      <w:r>
        <w:rPr>
          <w:rFonts w:hint="eastAsia" w:hAnsi="宋体"/>
          <w:color w:val="auto"/>
          <w:sz w:val="24"/>
          <w:szCs w:val="24"/>
          <w:highlight w:val="none"/>
        </w:rPr>
        <w:t>人以上单数构成，其中专家人数不少于成员总数的三分之二。</w:t>
      </w:r>
    </w:p>
    <w:p>
      <w:pPr>
        <w:pStyle w:val="24"/>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二</w:t>
      </w:r>
      <w:r>
        <w:rPr>
          <w:rFonts w:hAnsi="宋体"/>
          <w:color w:val="auto"/>
          <w:sz w:val="24"/>
          <w:szCs w:val="24"/>
          <w:highlight w:val="none"/>
        </w:rPr>
        <w:t>)</w:t>
      </w:r>
      <w:r>
        <w:rPr>
          <w:rFonts w:hint="eastAsia" w:hAnsi="宋体"/>
          <w:color w:val="auto"/>
          <w:sz w:val="24"/>
          <w:szCs w:val="24"/>
          <w:highlight w:val="none"/>
        </w:rPr>
        <w:t>评标依据：对投标人的投标报价、技术性能及配置、财务状况、业绩、服务方案、政策功能等方面内容打分。其中价格分</w:t>
      </w:r>
      <w:r>
        <w:rPr>
          <w:rFonts w:hAnsi="宋体"/>
          <w:color w:val="auto"/>
          <w:sz w:val="24"/>
          <w:szCs w:val="24"/>
          <w:highlight w:val="none"/>
          <w:u w:val="single"/>
        </w:rPr>
        <w:t xml:space="preserve"> </w:t>
      </w:r>
      <w:r>
        <w:rPr>
          <w:rFonts w:hint="eastAsia" w:hAnsi="宋体"/>
          <w:color w:val="auto"/>
          <w:sz w:val="24"/>
          <w:szCs w:val="24"/>
          <w:highlight w:val="none"/>
          <w:u w:val="single"/>
        </w:rPr>
        <w:t>1</w:t>
      </w:r>
      <w:r>
        <w:rPr>
          <w:rFonts w:hAnsi="宋体"/>
          <w:color w:val="auto"/>
          <w:sz w:val="24"/>
          <w:szCs w:val="24"/>
          <w:highlight w:val="none"/>
          <w:u w:val="single"/>
        </w:rPr>
        <w:t>0</w:t>
      </w:r>
      <w:r>
        <w:rPr>
          <w:rFonts w:hint="eastAsia" w:hAnsi="宋体"/>
          <w:color w:val="auto"/>
          <w:sz w:val="24"/>
          <w:szCs w:val="24"/>
          <w:highlight w:val="none"/>
        </w:rPr>
        <w:t>分；技术分</w:t>
      </w:r>
      <w:r>
        <w:rPr>
          <w:rFonts w:hint="eastAsia" w:hAnsi="宋体"/>
          <w:color w:val="auto"/>
          <w:sz w:val="24"/>
          <w:szCs w:val="24"/>
          <w:highlight w:val="none"/>
          <w:u w:val="single"/>
          <w:lang w:val="en-US" w:eastAsia="zh-CN"/>
        </w:rPr>
        <w:t>60</w:t>
      </w:r>
      <w:r>
        <w:rPr>
          <w:rFonts w:hint="eastAsia" w:hAnsi="宋体"/>
          <w:color w:val="auto"/>
          <w:sz w:val="24"/>
          <w:szCs w:val="24"/>
          <w:highlight w:val="none"/>
        </w:rPr>
        <w:t>分；商务分</w:t>
      </w:r>
      <w:r>
        <w:rPr>
          <w:rFonts w:hint="eastAsia" w:hAnsi="宋体"/>
          <w:color w:val="auto"/>
          <w:sz w:val="24"/>
          <w:szCs w:val="24"/>
          <w:highlight w:val="none"/>
          <w:u w:val="single"/>
          <w:lang w:val="en-US" w:eastAsia="zh-CN"/>
        </w:rPr>
        <w:t>30</w:t>
      </w:r>
      <w:r>
        <w:rPr>
          <w:rFonts w:hint="eastAsia" w:hAnsi="宋体"/>
          <w:color w:val="auto"/>
          <w:sz w:val="24"/>
          <w:szCs w:val="24"/>
          <w:highlight w:val="none"/>
        </w:rPr>
        <w:t>分；诚信分</w:t>
      </w:r>
      <w:r>
        <w:rPr>
          <w:rFonts w:hAnsi="宋体"/>
          <w:color w:val="auto"/>
          <w:sz w:val="24"/>
          <w:szCs w:val="24"/>
          <w:highlight w:val="none"/>
        </w:rPr>
        <w:t>-6</w:t>
      </w:r>
      <w:r>
        <w:rPr>
          <w:rFonts w:hint="eastAsia" w:hAnsi="宋体"/>
          <w:color w:val="auto"/>
          <w:sz w:val="24"/>
          <w:szCs w:val="24"/>
          <w:highlight w:val="none"/>
        </w:rPr>
        <w:t>分。</w:t>
      </w:r>
    </w:p>
    <w:p>
      <w:pPr>
        <w:pStyle w:val="24"/>
        <w:ind w:firstLine="585" w:firstLineChars="244"/>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三</w:t>
      </w:r>
      <w:r>
        <w:rPr>
          <w:rFonts w:hAnsi="宋体"/>
          <w:color w:val="auto"/>
          <w:sz w:val="24"/>
          <w:szCs w:val="24"/>
          <w:highlight w:val="none"/>
        </w:rPr>
        <w:t>)</w:t>
      </w:r>
      <w:r>
        <w:rPr>
          <w:rFonts w:hint="eastAsia" w:hAnsi="宋体"/>
          <w:color w:val="auto"/>
          <w:sz w:val="24"/>
          <w:szCs w:val="24"/>
          <w:highlight w:val="none"/>
        </w:rPr>
        <w:t>评标方式：以封闭方式进行。</w:t>
      </w:r>
    </w:p>
    <w:p>
      <w:pPr>
        <w:pStyle w:val="24"/>
        <w:rPr>
          <w:rFonts w:hAnsi="宋体" w:cs="Times New Roman"/>
          <w:b/>
          <w:bCs/>
          <w:color w:val="auto"/>
          <w:sz w:val="24"/>
          <w:szCs w:val="24"/>
          <w:highlight w:val="none"/>
        </w:rPr>
      </w:pPr>
      <w:r>
        <w:rPr>
          <w:rFonts w:hint="eastAsia" w:hAnsi="宋体"/>
          <w:b/>
          <w:bCs/>
          <w:color w:val="auto"/>
          <w:sz w:val="24"/>
          <w:szCs w:val="24"/>
          <w:highlight w:val="none"/>
        </w:rPr>
        <w:t>二、评定方法</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（一）对进入详评的，采用综合评分法。</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（二）</w:t>
      </w:r>
      <w:r>
        <w:rPr>
          <w:rFonts w:hint="eastAsia" w:hAnsi="宋体"/>
          <w:color w:val="auto"/>
          <w:kern w:val="0"/>
          <w:sz w:val="24"/>
          <w:szCs w:val="24"/>
          <w:highlight w:val="none"/>
        </w:rPr>
        <w:t>根据《政府采购促进中小企业发展暂行办法》（财库</w:t>
      </w:r>
      <w:r>
        <w:rPr>
          <w:rFonts w:hAnsi="宋体"/>
          <w:color w:val="auto"/>
          <w:kern w:val="0"/>
          <w:sz w:val="24"/>
          <w:szCs w:val="24"/>
          <w:highlight w:val="none"/>
        </w:rPr>
        <w:t>[2011]181</w:t>
      </w:r>
      <w:r>
        <w:rPr>
          <w:rFonts w:hint="eastAsia" w:hAnsi="宋体"/>
          <w:color w:val="auto"/>
          <w:kern w:val="0"/>
          <w:sz w:val="24"/>
          <w:szCs w:val="24"/>
          <w:highlight w:val="none"/>
        </w:rPr>
        <w:t>号）第五条的规定：</w:t>
      </w:r>
    </w:p>
    <w:p>
      <w:pPr>
        <w:pStyle w:val="24"/>
        <w:ind w:firstLine="480" w:firstLineChars="200"/>
        <w:rPr>
          <w:rFonts w:hAnsi="宋体" w:cs="Times New Roman"/>
          <w:color w:val="auto"/>
          <w:sz w:val="24"/>
          <w:szCs w:val="24"/>
          <w:highlight w:val="none"/>
        </w:rPr>
      </w:pPr>
      <w:r>
        <w:rPr>
          <w:rFonts w:hint="eastAsia" w:hAnsi="宋体"/>
          <w:color w:val="auto"/>
          <w:kern w:val="0"/>
          <w:sz w:val="24"/>
          <w:szCs w:val="24"/>
          <w:highlight w:val="none"/>
        </w:rPr>
        <w:t>对小型或微型企业产品的价格给予</w:t>
      </w:r>
      <w:r>
        <w:rPr>
          <w:rFonts w:hint="eastAsia" w:hAnsi="宋体"/>
          <w:color w:val="auto"/>
          <w:kern w:val="0"/>
          <w:sz w:val="24"/>
          <w:szCs w:val="24"/>
          <w:highlight w:val="none"/>
          <w:lang w:val="en-US" w:eastAsia="zh-CN"/>
        </w:rPr>
        <w:t>10</w:t>
      </w:r>
      <w:r>
        <w:rPr>
          <w:rFonts w:hAnsi="宋体"/>
          <w:color w:val="auto"/>
          <w:kern w:val="0"/>
          <w:sz w:val="24"/>
          <w:szCs w:val="24"/>
          <w:highlight w:val="none"/>
        </w:rPr>
        <w:t>%</w:t>
      </w:r>
      <w:r>
        <w:rPr>
          <w:rFonts w:hint="eastAsia" w:hAnsi="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w:t>
      </w:r>
      <w:r>
        <w:rPr>
          <w:rFonts w:hint="eastAsia" w:hAnsi="宋体"/>
          <w:color w:val="auto"/>
          <w:sz w:val="24"/>
          <w:szCs w:val="24"/>
          <w:highlight w:val="none"/>
          <w:lang w:val="en-US" w:eastAsia="zh-CN"/>
        </w:rPr>
        <w:t>10</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。（投标人如实填写中小企业声明函，否则不予价格扣除）。</w:t>
      </w:r>
    </w:p>
    <w:p>
      <w:pPr>
        <w:pStyle w:val="24"/>
        <w:ind w:firstLine="480"/>
        <w:rPr>
          <w:rFonts w:hAnsi="宋体" w:cs="Times New Roman"/>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w:t>
      </w:r>
      <w:r>
        <w:rPr>
          <w:rFonts w:hAnsi="宋体"/>
          <w:color w:val="auto"/>
          <w:sz w:val="24"/>
          <w:szCs w:val="24"/>
          <w:highlight w:val="none"/>
        </w:rPr>
        <w:t>30%</w:t>
      </w:r>
      <w:r>
        <w:rPr>
          <w:rFonts w:hint="eastAsia" w:hAnsi="宋体"/>
          <w:color w:val="auto"/>
          <w:sz w:val="24"/>
          <w:szCs w:val="24"/>
          <w:highlight w:val="none"/>
        </w:rPr>
        <w:t>以上的，联合体投标价给予</w:t>
      </w:r>
      <w:r>
        <w:rPr>
          <w:rFonts w:hAnsi="宋体"/>
          <w:color w:val="auto"/>
          <w:sz w:val="24"/>
          <w:szCs w:val="24"/>
          <w:highlight w:val="none"/>
        </w:rPr>
        <w:t>2%</w:t>
      </w:r>
      <w:r>
        <w:rPr>
          <w:rFonts w:hint="eastAsia" w:hAnsi="宋体"/>
          <w:color w:val="auto"/>
          <w:sz w:val="24"/>
          <w:szCs w:val="24"/>
          <w:highlight w:val="none"/>
        </w:rPr>
        <w:t>的扣除，扣除后的价格为评标价，即：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-2%</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w:t>
      </w:r>
    </w:p>
    <w:p>
      <w:pPr>
        <w:pStyle w:val="24"/>
        <w:ind w:firstLine="480"/>
        <w:rPr>
          <w:rFonts w:hAnsi="宋体" w:cs="Times New Roman"/>
          <w:color w:val="auto"/>
          <w:sz w:val="24"/>
          <w:szCs w:val="24"/>
          <w:highlight w:val="none"/>
        </w:rPr>
      </w:pPr>
      <w:r>
        <w:rPr>
          <w:rFonts w:hint="eastAsia" w:hAnsi="宋体"/>
          <w:color w:val="auto"/>
          <w:sz w:val="24"/>
          <w:szCs w:val="24"/>
          <w:highlight w:val="none"/>
        </w:rPr>
        <w:t>另：根据《关于政府采购支持监狱企业发展有关问题的通知》（财库</w:t>
      </w:r>
      <w:r>
        <w:rPr>
          <w:rFonts w:hAnsi="宋体"/>
          <w:color w:val="auto"/>
          <w:sz w:val="24"/>
          <w:szCs w:val="24"/>
          <w:highlight w:val="none"/>
        </w:rPr>
        <w:t>[2014]68</w:t>
      </w:r>
      <w:r>
        <w:rPr>
          <w:rFonts w:hint="eastAsia" w:hAnsi="宋体"/>
          <w:color w:val="auto"/>
          <w:sz w:val="24"/>
          <w:szCs w:val="24"/>
          <w:highlight w:val="none"/>
        </w:rPr>
        <w:t>号、桂财采</w:t>
      </w:r>
      <w:r>
        <w:rPr>
          <w:rFonts w:hAnsi="宋体"/>
          <w:color w:val="auto"/>
          <w:sz w:val="24"/>
          <w:szCs w:val="24"/>
          <w:highlight w:val="none"/>
        </w:rPr>
        <w:t>[2016]25</w:t>
      </w:r>
      <w:r>
        <w:rPr>
          <w:rFonts w:hint="eastAsia" w:hAnsi="宋体"/>
          <w:color w:val="auto"/>
          <w:sz w:val="24"/>
          <w:szCs w:val="24"/>
          <w:highlight w:val="none"/>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rPr>
          <w:rFonts w:hAnsi="宋体" w:cs="Times New Roman"/>
          <w:color w:val="auto"/>
          <w:sz w:val="24"/>
          <w:szCs w:val="24"/>
          <w:highlight w:val="none"/>
        </w:rPr>
      </w:pPr>
      <w:r>
        <w:rPr>
          <w:rFonts w:hint="eastAsia" w:hAnsi="宋体"/>
          <w:color w:val="auto"/>
          <w:sz w:val="24"/>
          <w:szCs w:val="24"/>
          <w:highlight w:val="none"/>
        </w:rPr>
        <w:t>根据《关于促进残疾人就业政府采购政策的通知》（财库【</w:t>
      </w:r>
      <w:r>
        <w:rPr>
          <w:rFonts w:hAnsi="宋体"/>
          <w:color w:val="auto"/>
          <w:sz w:val="24"/>
          <w:szCs w:val="24"/>
          <w:highlight w:val="none"/>
        </w:rPr>
        <w:t>2017</w:t>
      </w:r>
      <w:r>
        <w:rPr>
          <w:rFonts w:hint="eastAsia" w:hAnsi="宋体"/>
          <w:color w:val="auto"/>
          <w:sz w:val="24"/>
          <w:szCs w:val="24"/>
          <w:highlight w:val="none"/>
        </w:rPr>
        <w:t>】</w:t>
      </w:r>
      <w:r>
        <w:rPr>
          <w:rFonts w:hAnsi="宋体"/>
          <w:color w:val="auto"/>
          <w:sz w:val="24"/>
          <w:szCs w:val="24"/>
          <w:highlight w:val="none"/>
        </w:rPr>
        <w:t>141</w:t>
      </w:r>
      <w:r>
        <w:rPr>
          <w:rFonts w:hint="eastAsia" w:hAnsi="宋体"/>
          <w:color w:val="auto"/>
          <w:sz w:val="24"/>
          <w:szCs w:val="24"/>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616" w:firstLineChars="257"/>
        <w:rPr>
          <w:rFonts w:hAnsi="宋体" w:cs="Times New Roman"/>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（三）计分办法（按四舍五入取至百分位）：</w:t>
      </w:r>
    </w:p>
    <w:p>
      <w:pPr>
        <w:pStyle w:val="24"/>
        <w:rPr>
          <w:rFonts w:hAnsi="宋体" w:cs="Times New Roman"/>
          <w:b/>
          <w:bCs/>
          <w:color w:val="auto"/>
          <w:sz w:val="24"/>
          <w:szCs w:val="24"/>
          <w:highlight w:val="none"/>
        </w:rPr>
      </w:pPr>
      <w:r>
        <w:rPr>
          <w:rFonts w:hAnsi="宋体"/>
          <w:b/>
          <w:bCs/>
          <w:color w:val="auto"/>
          <w:sz w:val="24"/>
          <w:szCs w:val="24"/>
          <w:highlight w:val="none"/>
        </w:rPr>
        <w:t>1</w:t>
      </w:r>
      <w:r>
        <w:rPr>
          <w:rFonts w:hint="eastAsia" w:hAnsi="宋体"/>
          <w:b/>
          <w:bCs/>
          <w:color w:val="auto"/>
          <w:sz w:val="24"/>
          <w:szCs w:val="24"/>
          <w:highlight w:val="none"/>
        </w:rPr>
        <w:t>、价格分………………………………………………………………………</w:t>
      </w:r>
      <w:r>
        <w:rPr>
          <w:rFonts w:hAnsi="宋体"/>
          <w:b/>
          <w:bCs/>
          <w:color w:val="auto"/>
          <w:sz w:val="24"/>
          <w:szCs w:val="24"/>
          <w:highlight w:val="none"/>
        </w:rPr>
        <w:t xml:space="preserve"> </w:t>
      </w:r>
      <w:r>
        <w:rPr>
          <w:rFonts w:hint="eastAsia" w:hAnsi="宋体"/>
          <w:b/>
          <w:bCs/>
          <w:color w:val="auto"/>
          <w:sz w:val="24"/>
          <w:szCs w:val="24"/>
          <w:highlight w:val="none"/>
        </w:rPr>
        <w:t>1</w:t>
      </w:r>
      <w:r>
        <w:rPr>
          <w:rFonts w:hAnsi="宋体"/>
          <w:b/>
          <w:bCs/>
          <w:color w:val="auto"/>
          <w:sz w:val="24"/>
          <w:szCs w:val="24"/>
          <w:highlight w:val="none"/>
        </w:rPr>
        <w:t>0</w:t>
      </w:r>
      <w:r>
        <w:rPr>
          <w:rFonts w:hint="eastAsia" w:hAnsi="宋体"/>
          <w:b/>
          <w:bCs/>
          <w:color w:val="auto"/>
          <w:sz w:val="24"/>
          <w:szCs w:val="24"/>
          <w:highlight w:val="none"/>
        </w:rPr>
        <w:t>分</w:t>
      </w:r>
    </w:p>
    <w:p>
      <w:pPr>
        <w:pStyle w:val="24"/>
        <w:spacing w:line="40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）以进入评标的最低的评标价为10分。</w:t>
      </w:r>
    </w:p>
    <w:p>
      <w:pPr>
        <w:autoSpaceDE w:val="0"/>
        <w:autoSpaceDN w:val="0"/>
        <w:adjustRightInd w:val="0"/>
        <w:spacing w:line="400" w:lineRule="exact"/>
        <w:ind w:firstLine="3480" w:firstLineChars="1450"/>
        <w:rPr>
          <w:rFonts w:ascii="宋体"/>
          <w:color w:val="auto"/>
          <w:sz w:val="24"/>
          <w:szCs w:val="24"/>
          <w:highlight w:val="none"/>
        </w:rPr>
      </w:pPr>
      <w:r>
        <w:rPr>
          <w:rFonts w:hint="eastAsia" w:ascii="宋体" w:hAnsi="宋体" w:cs="宋体"/>
          <w:color w:val="auto"/>
          <w:sz w:val="24"/>
          <w:szCs w:val="24"/>
          <w:highlight w:val="none"/>
        </w:rPr>
        <w:t>投标人最低评标价</w:t>
      </w:r>
    </w:p>
    <w:p>
      <w:pPr>
        <w:autoSpaceDE w:val="0"/>
        <w:autoSpaceDN w:val="0"/>
        <w:adjustRightInd w:val="0"/>
        <w:spacing w:line="40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）某投标人价格得分</w:t>
      </w:r>
      <w:r>
        <w:rPr>
          <w:rFonts w:ascii="宋体" w:hAnsi="宋体" w:cs="宋体"/>
          <w:color w:val="auto"/>
          <w:sz w:val="24"/>
          <w:szCs w:val="24"/>
          <w:highlight w:val="none"/>
        </w:rPr>
        <w:t>=</w:t>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分</w:t>
      </w:r>
    </w:p>
    <w:p>
      <w:pPr>
        <w:autoSpaceDE w:val="0"/>
        <w:autoSpaceDN w:val="0"/>
        <w:adjustRightInd w:val="0"/>
        <w:spacing w:line="400" w:lineRule="exact"/>
        <w:ind w:firstLine="3480" w:firstLineChars="1450"/>
        <w:rPr>
          <w:rFonts w:ascii="宋体"/>
          <w:color w:val="auto"/>
          <w:sz w:val="24"/>
          <w:szCs w:val="24"/>
          <w:highlight w:val="none"/>
        </w:rPr>
      </w:pPr>
      <w:r>
        <w:rPr>
          <w:rFonts w:hint="eastAsia" w:ascii="宋体" w:hAnsi="宋体" w:cs="宋体"/>
          <w:color w:val="auto"/>
          <w:sz w:val="24"/>
          <w:szCs w:val="24"/>
          <w:highlight w:val="none"/>
        </w:rPr>
        <w:t>某投标人评标价</w:t>
      </w:r>
    </w:p>
    <w:p>
      <w:pPr>
        <w:autoSpaceDE w:val="0"/>
        <w:autoSpaceDN w:val="0"/>
        <w:adjustRightInd w:val="0"/>
        <w:spacing w:line="240" w:lineRule="exact"/>
        <w:ind w:firstLine="480" w:firstLineChars="200"/>
        <w:rPr>
          <w:rFonts w:ascii="宋体"/>
          <w:color w:val="auto"/>
          <w:sz w:val="24"/>
          <w:szCs w:val="24"/>
          <w:highlight w:val="none"/>
        </w:rPr>
      </w:pPr>
    </w:p>
    <w:p>
      <w:pPr>
        <w:numPr>
          <w:ilvl w:val="0"/>
          <w:numId w:val="2"/>
        </w:numPr>
        <w:rPr>
          <w:rFonts w:ascii="宋体"/>
          <w:b/>
          <w:bCs/>
          <w:color w:val="auto"/>
          <w:spacing w:val="-4"/>
          <w:sz w:val="24"/>
          <w:szCs w:val="24"/>
          <w:highlight w:val="none"/>
        </w:rPr>
      </w:pPr>
      <w:bookmarkStart w:id="113" w:name="_Toc453061765"/>
      <w:r>
        <w:rPr>
          <w:rFonts w:hint="eastAsia" w:ascii="宋体" w:hAnsi="宋体" w:cs="宋体"/>
          <w:b/>
          <w:bCs/>
          <w:color w:val="auto"/>
          <w:spacing w:val="-4"/>
          <w:sz w:val="24"/>
          <w:szCs w:val="24"/>
          <w:highlight w:val="none"/>
        </w:rPr>
        <w:t>技术分</w:t>
      </w:r>
      <w:r>
        <w:rPr>
          <w:rFonts w:hint="eastAsia" w:hAnsi="宋体" w:cs="宋体"/>
          <w:b/>
          <w:bCs/>
          <w:color w:val="auto"/>
          <w:sz w:val="24"/>
          <w:szCs w:val="24"/>
          <w:highlight w:val="none"/>
        </w:rPr>
        <w:t>……………………………………………………………………</w:t>
      </w:r>
      <w:r>
        <w:rPr>
          <w:rFonts w:ascii="宋体" w:hAnsi="宋体" w:cs="宋体"/>
          <w:b/>
          <w:bCs/>
          <w:color w:val="auto"/>
          <w:spacing w:val="-4"/>
          <w:sz w:val="24"/>
          <w:szCs w:val="24"/>
          <w:highlight w:val="none"/>
        </w:rPr>
        <w:t xml:space="preserve"> </w:t>
      </w:r>
      <w:r>
        <w:rPr>
          <w:rFonts w:hint="eastAsia" w:ascii="宋体" w:hAnsi="宋体" w:cs="宋体"/>
          <w:b/>
          <w:bCs/>
          <w:color w:val="auto"/>
          <w:spacing w:val="-4"/>
          <w:sz w:val="24"/>
          <w:szCs w:val="24"/>
          <w:highlight w:val="none"/>
          <w:lang w:val="en-US" w:eastAsia="zh-CN"/>
        </w:rPr>
        <w:t>60</w:t>
      </w:r>
      <w:r>
        <w:rPr>
          <w:rFonts w:hint="eastAsia" w:ascii="宋体" w:hAnsi="宋体" w:cs="宋体"/>
          <w:b/>
          <w:bCs/>
          <w:color w:val="auto"/>
          <w:spacing w:val="-4"/>
          <w:sz w:val="24"/>
          <w:szCs w:val="24"/>
          <w:highlight w:val="none"/>
        </w:rPr>
        <w:t>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(1）提质改造(旱改水)实施方案(满分30分)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由评标委员会根据投标人提供项目提质改造(早改水）实施方案的完整性（应包含项目实施各阶段工作技术方案、组织管理、进度及质量控制等，层次结构的合理性、清晰性、优劣性，各评委独立进行打分，满分30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一档(6分):方案过于简单，无针对性，基本满足项目实施要求。</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二档(12分):技术方案基本可行，满足项目实施需要，没有明显技术错误，架构简单可行。</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三档(18分):技术方案可行，了解项目区旱改水潜力资源情况，针对性一般，具有工作进度及人员安排。</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四档（24分):技术方案较好，熟悉项目区旱改水潜力资源情况，能针对性提出措施，详细说明各个阶段工作安排及进度，实施人员配备合理。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档(30分):技术方案优秀，熟悉掌握项目区旱改水潜力资源情况，充分考虑提质改造点水源条件情况、项目区地貌工程特征及土壤适宜性等情况，并提出有针对性措施，详细说明各个阶段工作技术方案、组织管理、质量控制等措施，实施人员配备合理，方案整体性好，可实施性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(2）后期管护方案（满分20分)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评标委员会根据投标人提供项目后期管护方案的完整性(应包含但不限于后期管护具体反应处置的时间及相应措施、整改的时间及相应措施、服务配合采购人的相关承诺）、可行性、操作性，各评委独立进行打分，满分20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一档(4分):方案简单，可行性不强。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二档(8分):方案基本满足后期管护要求，基本满足项目区土地实施水生作物种植。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三档（12分):方案满足后期管护要求，具备措施保障项目区土地上稳定的实施水生作物种植。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四档（16分):方案满足后期管护要求，可行性较好，实现统一管理，有针对性的满足招标要求，能够确保项目区土地上稳定的实施水生作物种植。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档(20分):充分了解并掌握项目区实地情况，能准确提供实施区域范围，实施方案详细，内容齐全，技术路线正确，方法科学，制定详细作业流程，采用实施方案能够深入理解服务有关要求,完全满足本次招标的后期管护要求。考虑周全,操作性强，对土地种植具有主导性，能够采取科学手段促进提升当地农业生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施工技术措施及质量保证措施（满分10分）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由各评委根据投标人提供施工技术措施及质量保证措施的完整性、合理性、措施完善、可行、满足需求，各评委独立进行打分，满分10分。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一档(1分):具体措施不可行，不满足招标文件的要求。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二档(4分):针对项目实际提出先进、可行、具体的保证措施，满足招标文件的要求。三档(7分）:针对项目实际提出先进、可行、具体的保证措施，优于招标文件的要求及施工验收规范要求。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档（10分）:针对项目实际提出先进、可行、具体的保证措施，有详细的施工技术措施及工艺要求，所应用技术、工艺符合规范要求，并具有创新性和先进性，目标明确、进度计划组织与质量控制措施完善，超过招标文件的要求及施工验收规范要求。</w:t>
      </w:r>
    </w:p>
    <w:p>
      <w:pPr>
        <w:rPr>
          <w:rFonts w:ascii="宋体"/>
          <w:color w:val="auto"/>
          <w:spacing w:val="-4"/>
          <w:sz w:val="24"/>
          <w:szCs w:val="24"/>
          <w:highlight w:val="none"/>
        </w:rPr>
      </w:pPr>
      <w:r>
        <w:rPr>
          <w:rFonts w:ascii="宋体" w:hAnsi="宋体" w:cs="宋体"/>
          <w:color w:val="auto"/>
          <w:spacing w:val="-4"/>
          <w:sz w:val="24"/>
          <w:szCs w:val="24"/>
          <w:highlight w:val="none"/>
        </w:rPr>
        <w:t>3</w:t>
      </w:r>
      <w:r>
        <w:rPr>
          <w:rFonts w:hint="eastAsia" w:ascii="宋体" w:hAnsi="宋体" w:cs="宋体"/>
          <w:color w:val="auto"/>
          <w:spacing w:val="-4"/>
          <w:sz w:val="24"/>
          <w:szCs w:val="24"/>
          <w:highlight w:val="none"/>
        </w:rPr>
        <w:t>、商务分（满分</w:t>
      </w:r>
      <w:r>
        <w:rPr>
          <w:rFonts w:hint="eastAsia" w:ascii="宋体" w:hAnsi="宋体" w:cs="宋体"/>
          <w:color w:val="auto"/>
          <w:spacing w:val="-4"/>
          <w:sz w:val="24"/>
          <w:szCs w:val="24"/>
          <w:highlight w:val="none"/>
          <w:lang w:val="en-US" w:eastAsia="zh-CN"/>
        </w:rPr>
        <w:t>30</w:t>
      </w:r>
      <w:r>
        <w:rPr>
          <w:rFonts w:hint="eastAsia" w:ascii="宋体" w:hAnsi="宋体" w:cs="宋体"/>
          <w:color w:val="auto"/>
          <w:spacing w:val="-4"/>
          <w:sz w:val="24"/>
          <w:szCs w:val="24"/>
          <w:highlight w:val="none"/>
        </w:rPr>
        <w:t>分）</w:t>
      </w:r>
    </w:p>
    <w:p>
      <w:pPr>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）服务承诺方案（满分</w:t>
      </w:r>
      <w:r>
        <w:rPr>
          <w:rFonts w:hint="eastAsia" w:cs="宋体"/>
          <w:color w:val="auto"/>
          <w:sz w:val="24"/>
          <w:szCs w:val="24"/>
          <w:highlight w:val="none"/>
          <w:lang w:val="en-US" w:eastAsia="zh-CN"/>
        </w:rPr>
        <w:t>20</w:t>
      </w:r>
      <w:r>
        <w:rPr>
          <w:rFonts w:hint="eastAsia" w:cs="宋体"/>
          <w:color w:val="auto"/>
          <w:sz w:val="24"/>
          <w:szCs w:val="24"/>
          <w:highlight w:val="none"/>
        </w:rPr>
        <w:t>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由各评委根据投标人提供的服务承诺围绕客户需求服务，具体完善、有详细的保障措施，完全满足项目需求，各评委独立进行打分，满分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分）:应表述的主要内容有较多欠缺，或表述的内容不符合实际、不可行。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二档（</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分）:应表述的内容有欠缺，或表述的内容不完全符合实际、不完全可行，方案一般，有待改进。</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三档（</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分):表述的内容齐全，符合实际，方案可行。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四档（</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分）:表述的内容齐全，符合实际，方案科学、先进、可行。</w:t>
      </w:r>
    </w:p>
    <w:p>
      <w:pPr>
        <w:spacing w:line="360" w:lineRule="auto"/>
        <w:ind w:firstLine="480" w:firstLineChars="200"/>
        <w:rPr>
          <w:color w:val="auto"/>
          <w:sz w:val="24"/>
          <w:szCs w:val="24"/>
          <w:highlight w:val="none"/>
        </w:rPr>
      </w:pPr>
      <w:r>
        <w:rPr>
          <w:rFonts w:hint="eastAsia" w:cs="宋体"/>
          <w:color w:val="auto"/>
          <w:sz w:val="24"/>
          <w:szCs w:val="24"/>
          <w:highlight w:val="none"/>
        </w:rPr>
        <w:t>（</w:t>
      </w:r>
      <w:r>
        <w:rPr>
          <w:color w:val="auto"/>
          <w:sz w:val="24"/>
          <w:szCs w:val="24"/>
          <w:highlight w:val="none"/>
        </w:rPr>
        <w:t>2</w:t>
      </w:r>
      <w:r>
        <w:rPr>
          <w:rFonts w:hint="eastAsia" w:cs="宋体"/>
          <w:color w:val="auto"/>
          <w:sz w:val="24"/>
          <w:szCs w:val="24"/>
          <w:highlight w:val="none"/>
        </w:rPr>
        <w:t>）自</w:t>
      </w:r>
      <w:r>
        <w:rPr>
          <w:color w:val="auto"/>
          <w:sz w:val="24"/>
          <w:szCs w:val="24"/>
          <w:highlight w:val="none"/>
        </w:rPr>
        <w:t>2017</w:t>
      </w:r>
      <w:r>
        <w:rPr>
          <w:rFonts w:hint="eastAsia" w:cs="宋体"/>
          <w:color w:val="auto"/>
          <w:sz w:val="24"/>
          <w:szCs w:val="24"/>
          <w:highlight w:val="none"/>
        </w:rPr>
        <w:t>年以来，企业完成过类似项目的，每个得</w:t>
      </w:r>
      <w:r>
        <w:rPr>
          <w:rFonts w:hint="eastAsia"/>
          <w:color w:val="auto"/>
          <w:sz w:val="24"/>
          <w:szCs w:val="24"/>
          <w:highlight w:val="none"/>
          <w:lang w:val="en-US" w:eastAsia="zh-CN"/>
        </w:rPr>
        <w:t>2</w:t>
      </w:r>
      <w:r>
        <w:rPr>
          <w:rFonts w:hint="eastAsia" w:cs="宋体"/>
          <w:color w:val="auto"/>
          <w:sz w:val="24"/>
          <w:szCs w:val="24"/>
          <w:highlight w:val="none"/>
        </w:rPr>
        <w:t>分，此项满分</w:t>
      </w:r>
      <w:r>
        <w:rPr>
          <w:rFonts w:hint="eastAsia"/>
          <w:color w:val="auto"/>
          <w:sz w:val="24"/>
          <w:szCs w:val="24"/>
          <w:highlight w:val="none"/>
          <w:lang w:val="en-US" w:eastAsia="zh-CN"/>
        </w:rPr>
        <w:t>8</w:t>
      </w:r>
      <w:r>
        <w:rPr>
          <w:rFonts w:hint="eastAsia" w:cs="宋体"/>
          <w:color w:val="auto"/>
          <w:sz w:val="24"/>
          <w:szCs w:val="24"/>
          <w:highlight w:val="none"/>
        </w:rPr>
        <w:t>分（提供合同复印件或中标通知书）。</w:t>
      </w:r>
    </w:p>
    <w:p>
      <w:pPr>
        <w:spacing w:line="360" w:lineRule="auto"/>
        <w:ind w:firstLine="420"/>
        <w:rPr>
          <w:color w:val="auto"/>
          <w:sz w:val="24"/>
          <w:szCs w:val="24"/>
          <w:highlight w:val="none"/>
        </w:rPr>
      </w:pPr>
      <w:r>
        <w:rPr>
          <w:rFonts w:hint="eastAsia" w:cs="宋体"/>
          <w:color w:val="auto"/>
          <w:sz w:val="24"/>
          <w:szCs w:val="24"/>
          <w:highlight w:val="none"/>
        </w:rPr>
        <w:t>（</w:t>
      </w:r>
      <w:r>
        <w:rPr>
          <w:color w:val="auto"/>
          <w:sz w:val="24"/>
          <w:szCs w:val="24"/>
          <w:highlight w:val="none"/>
        </w:rPr>
        <w:t>3</w:t>
      </w:r>
      <w:r>
        <w:rPr>
          <w:rFonts w:hint="eastAsia" w:cs="宋体"/>
          <w:color w:val="auto"/>
          <w:sz w:val="24"/>
          <w:szCs w:val="24"/>
          <w:highlight w:val="none"/>
        </w:rPr>
        <w:t>）</w:t>
      </w:r>
      <w:r>
        <w:rPr>
          <w:rFonts w:hint="eastAsia" w:ascii="宋体" w:hAnsi="宋体" w:cs="宋体"/>
          <w:color w:val="auto"/>
          <w:spacing w:val="-4"/>
          <w:sz w:val="24"/>
          <w:szCs w:val="24"/>
          <w:highlight w:val="none"/>
        </w:rPr>
        <w:t>投标人同时</w:t>
      </w:r>
      <w:r>
        <w:rPr>
          <w:rFonts w:hint="eastAsia" w:ascii="宋体" w:hAnsi="宋体" w:cs="宋体"/>
          <w:color w:val="auto"/>
          <w:kern w:val="1"/>
          <w:sz w:val="24"/>
          <w:szCs w:val="24"/>
          <w:highlight w:val="none"/>
        </w:rPr>
        <w:t>具有</w:t>
      </w:r>
      <w:r>
        <w:rPr>
          <w:rFonts w:ascii="宋体" w:hAnsi="宋体" w:cs="宋体"/>
          <w:color w:val="auto"/>
          <w:kern w:val="0"/>
          <w:sz w:val="24"/>
          <w:szCs w:val="24"/>
          <w:highlight w:val="none"/>
        </w:rPr>
        <w:t>ISO9001</w:t>
      </w:r>
      <w:r>
        <w:rPr>
          <w:rFonts w:hint="eastAsia" w:ascii="宋体" w:hAnsi="宋体" w:cs="宋体"/>
          <w:color w:val="auto"/>
          <w:kern w:val="1"/>
          <w:sz w:val="24"/>
          <w:szCs w:val="24"/>
          <w:highlight w:val="none"/>
        </w:rPr>
        <w:t>质量管理体系认证证书的</w:t>
      </w:r>
      <w:r>
        <w:rPr>
          <w:rFonts w:hint="eastAsia" w:ascii="宋体" w:hAnsi="宋体" w:cs="宋体"/>
          <w:color w:val="auto"/>
          <w:spacing w:val="-4"/>
          <w:sz w:val="24"/>
          <w:szCs w:val="24"/>
          <w:highlight w:val="none"/>
        </w:rPr>
        <w:t>，得</w:t>
      </w:r>
      <w:r>
        <w:rPr>
          <w:rFonts w:ascii="宋体" w:hAnsi="宋体" w:cs="宋体"/>
          <w:color w:val="auto"/>
          <w:spacing w:val="-4"/>
          <w:sz w:val="24"/>
          <w:szCs w:val="24"/>
          <w:highlight w:val="none"/>
        </w:rPr>
        <w:t>2</w:t>
      </w:r>
      <w:r>
        <w:rPr>
          <w:rFonts w:hint="eastAsia" w:ascii="宋体" w:hAnsi="宋体" w:cs="宋体"/>
          <w:color w:val="auto"/>
          <w:spacing w:val="-4"/>
          <w:sz w:val="24"/>
          <w:szCs w:val="24"/>
          <w:highlight w:val="none"/>
        </w:rPr>
        <w:t>分</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满分2分</w:t>
      </w:r>
      <w:r>
        <w:rPr>
          <w:rFonts w:hint="eastAsia" w:ascii="宋体" w:hAnsi="宋体" w:cs="宋体"/>
          <w:color w:val="auto"/>
          <w:sz w:val="24"/>
          <w:szCs w:val="24"/>
          <w:highlight w:val="none"/>
        </w:rPr>
        <w:t>（提供证书证明材料复印件）</w:t>
      </w:r>
      <w:r>
        <w:rPr>
          <w:rFonts w:hint="eastAsia" w:ascii="宋体" w:hAnsi="宋体" w:cs="宋体"/>
          <w:color w:val="auto"/>
          <w:spacing w:val="-4"/>
          <w:sz w:val="24"/>
          <w:szCs w:val="24"/>
          <w:highlight w:val="none"/>
        </w:rPr>
        <w:t>。</w:t>
      </w:r>
    </w:p>
    <w:p>
      <w:pPr>
        <w:rPr>
          <w:rFonts w:ascii="宋体"/>
          <w:color w:val="auto"/>
          <w:spacing w:val="-4"/>
          <w:sz w:val="24"/>
          <w:szCs w:val="24"/>
          <w:highlight w:val="none"/>
        </w:rPr>
      </w:pPr>
      <w:r>
        <w:rPr>
          <w:rFonts w:ascii="宋体" w:hAnsi="宋体" w:cs="宋体"/>
          <w:color w:val="auto"/>
          <w:spacing w:val="-4"/>
          <w:sz w:val="24"/>
          <w:szCs w:val="24"/>
          <w:highlight w:val="none"/>
        </w:rPr>
        <w:t xml:space="preserve"> 4</w:t>
      </w:r>
      <w:r>
        <w:rPr>
          <w:rFonts w:hint="eastAsia" w:ascii="宋体" w:hAnsi="宋体" w:cs="宋体"/>
          <w:color w:val="auto"/>
          <w:spacing w:val="-4"/>
          <w:sz w:val="24"/>
          <w:szCs w:val="24"/>
          <w:highlight w:val="none"/>
        </w:rPr>
        <w:t>、诚信分</w:t>
      </w:r>
    </w:p>
    <w:p>
      <w:pPr>
        <w:widowControl/>
        <w:adjustRightInd w:val="0"/>
        <w:snapToGrid w:val="0"/>
        <w:spacing w:line="42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）诚信处罚扣分………………………………………………………</w:t>
      </w:r>
      <w:r>
        <w:rPr>
          <w:rFonts w:ascii="宋体" w:hAnsi="宋体" w:cs="宋体"/>
          <w:color w:val="auto"/>
          <w:kern w:val="0"/>
          <w:sz w:val="24"/>
          <w:szCs w:val="24"/>
          <w:highlight w:val="none"/>
        </w:rPr>
        <w:t xml:space="preserve"> -6</w:t>
      </w:r>
      <w:r>
        <w:rPr>
          <w:rFonts w:hint="eastAsia" w:ascii="宋体" w:hAnsi="宋体" w:cs="宋体"/>
          <w:color w:val="auto"/>
          <w:kern w:val="0"/>
          <w:sz w:val="24"/>
          <w:szCs w:val="24"/>
          <w:highlight w:val="none"/>
        </w:rPr>
        <w:t>分</w:t>
      </w:r>
    </w:p>
    <w:p>
      <w:pPr>
        <w:widowControl/>
        <w:adjustRightInd w:val="0"/>
        <w:snapToGrid w:val="0"/>
        <w:spacing w:line="42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投标人在截标日前一年内在政府采购活动中存在违约情况的，每次扣除</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分，最高扣</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分。（投标人须出具书面说明或其他有效证明材料作为评分依据，中标后由采购人进行核查，如未如实提供的，按提供虚假材料处理。）</w:t>
      </w:r>
    </w:p>
    <w:p>
      <w:pPr>
        <w:pStyle w:val="18"/>
        <w:rPr>
          <w:rFonts w:ascii="宋体" w:cs="宋体"/>
          <w:color w:val="auto"/>
          <w:kern w:val="0"/>
          <w:highlight w:val="none"/>
        </w:rPr>
      </w:pPr>
    </w:p>
    <w:p>
      <w:pPr>
        <w:numPr>
          <w:ilvl w:val="0"/>
          <w:numId w:val="3"/>
        </w:numPr>
        <w:rPr>
          <w:rFonts w:ascii="宋体"/>
          <w:b/>
          <w:bCs/>
          <w:color w:val="auto"/>
          <w:sz w:val="24"/>
          <w:szCs w:val="24"/>
          <w:highlight w:val="none"/>
        </w:rPr>
      </w:pPr>
      <w:r>
        <w:rPr>
          <w:rFonts w:hint="eastAsia" w:ascii="宋体" w:hAnsi="宋体" w:cs="宋体"/>
          <w:b/>
          <w:bCs/>
          <w:color w:val="auto"/>
          <w:sz w:val="24"/>
          <w:szCs w:val="24"/>
          <w:highlight w:val="none"/>
        </w:rPr>
        <w:t>总得分</w:t>
      </w:r>
      <w:r>
        <w:rPr>
          <w:rFonts w:ascii="宋体" w:hAnsi="宋体" w:cs="宋体"/>
          <w:b/>
          <w:bCs/>
          <w:color w:val="auto"/>
          <w:sz w:val="24"/>
          <w:szCs w:val="24"/>
          <w:highlight w:val="none"/>
        </w:rPr>
        <w:t>=1 + 2 + 3 + 4</w:t>
      </w:r>
      <w:r>
        <w:rPr>
          <w:rFonts w:hint="eastAsia" w:ascii="宋体" w:hAnsi="宋体" w:cs="宋体"/>
          <w:b/>
          <w:bCs/>
          <w:color w:val="auto"/>
          <w:sz w:val="24"/>
          <w:szCs w:val="24"/>
          <w:highlight w:val="none"/>
        </w:rPr>
        <w:t>项得分。</w:t>
      </w:r>
    </w:p>
    <w:p>
      <w:pPr>
        <w:rPr>
          <w:rFonts w:ascii="宋体"/>
          <w:b/>
          <w:bCs/>
          <w:color w:val="auto"/>
          <w:sz w:val="24"/>
          <w:szCs w:val="24"/>
          <w:highlight w:val="none"/>
        </w:rPr>
      </w:pPr>
      <w:r>
        <w:rPr>
          <w:rFonts w:hint="eastAsia" w:ascii="宋体" w:hAnsi="宋体" w:cs="宋体"/>
          <w:b/>
          <w:bCs/>
          <w:color w:val="auto"/>
          <w:sz w:val="24"/>
          <w:szCs w:val="24"/>
          <w:highlight w:val="none"/>
        </w:rPr>
        <w:t>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pacing w:line="360" w:lineRule="exact"/>
        <w:outlineLvl w:val="0"/>
        <w:rPr>
          <w:rFonts w:hAnsi="宋体" w:cs="Times New Roman"/>
          <w:b/>
          <w:bCs/>
          <w:color w:val="auto"/>
          <w:sz w:val="24"/>
          <w:szCs w:val="24"/>
          <w:highlight w:val="none"/>
        </w:rPr>
      </w:pPr>
      <w:bookmarkStart w:id="114" w:name="_Toc6495"/>
      <w:bookmarkStart w:id="115" w:name="_Toc7555"/>
      <w:bookmarkStart w:id="116" w:name="_Toc14377"/>
      <w:bookmarkStart w:id="117" w:name="_Toc22778"/>
      <w:r>
        <w:rPr>
          <w:rFonts w:hint="eastAsia" w:hAnsi="宋体"/>
          <w:b/>
          <w:bCs/>
          <w:color w:val="auto"/>
          <w:sz w:val="24"/>
          <w:szCs w:val="24"/>
          <w:highlight w:val="none"/>
        </w:rPr>
        <w:t>四、中标候选人推荐原则</w:t>
      </w:r>
      <w:bookmarkEnd w:id="113"/>
      <w:bookmarkEnd w:id="114"/>
      <w:bookmarkEnd w:id="115"/>
      <w:bookmarkEnd w:id="116"/>
      <w:bookmarkEnd w:id="117"/>
    </w:p>
    <w:p>
      <w:pPr>
        <w:pStyle w:val="24"/>
        <w:ind w:firstLine="480" w:firstLineChars="200"/>
        <w:rPr>
          <w:rFonts w:ascii="宋体"/>
          <w:b/>
          <w:bCs/>
          <w:color w:val="auto"/>
          <w:sz w:val="44"/>
          <w:szCs w:val="44"/>
          <w:highlight w:val="none"/>
        </w:rPr>
      </w:pPr>
      <w:r>
        <w:rPr>
          <w:rFonts w:hint="eastAsia" w:hAnsi="宋体"/>
          <w:color w:val="auto"/>
          <w:sz w:val="24"/>
          <w:szCs w:val="24"/>
          <w:highlight w:val="none"/>
        </w:rPr>
        <w:t>评标委员会将根据综合得分由高到低排列次序（得分相同时，以投标报价由低到高顺序排列；得分相同且投标报价相同的，按技术标优劣顺序排列）并推荐不超过</w:t>
      </w:r>
      <w:r>
        <w:rPr>
          <w:rFonts w:hAnsi="宋体"/>
          <w:color w:val="auto"/>
          <w:sz w:val="24"/>
          <w:szCs w:val="24"/>
          <w:highlight w:val="none"/>
        </w:rPr>
        <w:t>3</w:t>
      </w:r>
      <w:r>
        <w:rPr>
          <w:rFonts w:hint="eastAsia" w:hAnsi="宋体"/>
          <w:color w:val="auto"/>
          <w:sz w:val="24"/>
          <w:szCs w:val="24"/>
          <w:highlight w:val="none"/>
        </w:rPr>
        <w:t>名中标候选供应商。招标采购单位应当确定评审委员会推荐排名第一的中标候选人为中标人。根据桂财采〔</w:t>
      </w:r>
      <w:r>
        <w:rPr>
          <w:rFonts w:hAnsi="宋体"/>
          <w:color w:val="auto"/>
          <w:sz w:val="24"/>
          <w:szCs w:val="24"/>
          <w:highlight w:val="none"/>
        </w:rPr>
        <w:t>2016</w:t>
      </w:r>
      <w:r>
        <w:rPr>
          <w:rFonts w:hint="eastAsia" w:hAnsi="宋体"/>
          <w:color w:val="auto"/>
          <w:sz w:val="24"/>
          <w:szCs w:val="24"/>
          <w:highlight w:val="none"/>
        </w:rPr>
        <w:t>〕</w:t>
      </w:r>
      <w:r>
        <w:rPr>
          <w:rFonts w:hAnsi="宋体"/>
          <w:color w:val="auto"/>
          <w:sz w:val="24"/>
          <w:szCs w:val="24"/>
          <w:highlight w:val="none"/>
        </w:rPr>
        <w:t>37</w:t>
      </w:r>
      <w:r>
        <w:rPr>
          <w:rFonts w:hint="eastAsia" w:hAnsi="宋体"/>
          <w:color w:val="auto"/>
          <w:sz w:val="24"/>
          <w:szCs w:val="24"/>
          <w:highlight w:val="none"/>
        </w:rPr>
        <w:t>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jc w:val="center"/>
        <w:outlineLvl w:val="0"/>
        <w:rPr>
          <w:rFonts w:ascii="宋体"/>
          <w:b/>
          <w:bCs/>
          <w:color w:val="auto"/>
          <w:sz w:val="44"/>
          <w:szCs w:val="44"/>
          <w:highlight w:val="none"/>
        </w:rPr>
      </w:pPr>
      <w:bookmarkStart w:id="118" w:name="_Toc15812"/>
      <w:r>
        <w:rPr>
          <w:color w:val="auto"/>
          <w:highlight w:val="none"/>
        </w:rPr>
        <w:br w:type="page"/>
      </w:r>
      <w:bookmarkStart w:id="119" w:name="_Toc31377"/>
      <w:r>
        <w:rPr>
          <w:rFonts w:hint="eastAsia" w:ascii="宋体" w:hAnsi="宋体" w:cs="宋体"/>
          <w:b/>
          <w:bCs/>
          <w:color w:val="auto"/>
          <w:sz w:val="44"/>
          <w:szCs w:val="44"/>
          <w:highlight w:val="none"/>
        </w:rPr>
        <w:t>第五章合同主要条款格式</w:t>
      </w:r>
      <w:bookmarkEnd w:id="118"/>
      <w:bookmarkEnd w:id="119"/>
    </w:p>
    <w:p>
      <w:pPr>
        <w:spacing w:line="360" w:lineRule="auto"/>
        <w:jc w:val="center"/>
        <w:rPr>
          <w:rFonts w:ascii="宋体"/>
          <w:b/>
          <w:bCs/>
          <w:color w:val="auto"/>
          <w:sz w:val="52"/>
          <w:highlight w:val="none"/>
        </w:rPr>
      </w:pPr>
      <w:r>
        <w:rPr>
          <w:rFonts w:hint="eastAsia" w:ascii="宋体"/>
          <w:b/>
          <w:bCs/>
          <w:color w:val="auto"/>
          <w:sz w:val="52"/>
          <w:highlight w:val="none"/>
        </w:rPr>
        <w:t>青 秀 区 政 府 采 购</w:t>
      </w: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r>
        <w:rPr>
          <w:rFonts w:hint="eastAsia" w:ascii="宋体"/>
          <w:color w:val="auto"/>
          <w:highlight w:val="none"/>
        </w:rPr>
        <w:t xml:space="preserve">                                                 </w:t>
      </w:r>
    </w:p>
    <w:p>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pPr>
        <w:spacing w:line="360" w:lineRule="auto"/>
        <w:jc w:val="center"/>
        <w:rPr>
          <w:rFonts w:ascii="宋体"/>
          <w:b/>
          <w:bCs/>
          <w:color w:val="auto"/>
          <w:sz w:val="44"/>
          <w:highlight w:val="none"/>
        </w:rPr>
      </w:pPr>
    </w:p>
    <w:p>
      <w:pPr>
        <w:spacing w:line="360" w:lineRule="auto"/>
        <w:jc w:val="center"/>
        <w:rPr>
          <w:rFonts w:ascii="宋体"/>
          <w:b/>
          <w:bCs/>
          <w:color w:val="auto"/>
          <w:sz w:val="44"/>
          <w:highlight w:val="none"/>
        </w:rPr>
      </w:pPr>
    </w:p>
    <w:p>
      <w:pPr>
        <w:spacing w:line="360" w:lineRule="auto"/>
        <w:ind w:firstLine="3507" w:firstLineChars="794"/>
        <w:rPr>
          <w:rFonts w:ascii="宋体"/>
          <w:b/>
          <w:bCs/>
          <w:color w:val="auto"/>
          <w:sz w:val="44"/>
          <w:highlight w:val="none"/>
        </w:rPr>
      </w:pPr>
    </w:p>
    <w:p>
      <w:pPr>
        <w:spacing w:line="360" w:lineRule="auto"/>
        <w:ind w:firstLine="3507" w:firstLineChars="794"/>
        <w:rPr>
          <w:rFonts w:ascii="宋体"/>
          <w:b/>
          <w:bCs/>
          <w:color w:val="auto"/>
          <w:sz w:val="44"/>
          <w:highlight w:val="none"/>
        </w:rPr>
      </w:pPr>
    </w:p>
    <w:p>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pPr>
        <w:rPr>
          <w:rFonts w:ascii="宋体" w:hAnsi="宋体"/>
          <w:b/>
          <w:color w:val="auto"/>
          <w:sz w:val="36"/>
          <w:szCs w:val="36"/>
          <w:highlight w:val="none"/>
          <w:u w:val="single"/>
        </w:rPr>
      </w:pPr>
    </w:p>
    <w:p>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pPr>
        <w:tabs>
          <w:tab w:val="left" w:pos="7380"/>
        </w:tabs>
        <w:spacing w:line="360" w:lineRule="auto"/>
        <w:rPr>
          <w:rFonts w:ascii="宋体"/>
          <w:b/>
          <w:bCs/>
          <w:color w:val="auto"/>
          <w:sz w:val="44"/>
          <w:highlight w:val="none"/>
        </w:rPr>
      </w:pPr>
    </w:p>
    <w:p>
      <w:pPr>
        <w:tabs>
          <w:tab w:val="left" w:pos="7380"/>
        </w:tabs>
        <w:spacing w:line="360" w:lineRule="auto"/>
        <w:jc w:val="center"/>
        <w:rPr>
          <w:rFonts w:ascii="宋体"/>
          <w:b/>
          <w:bCs/>
          <w:color w:val="auto"/>
          <w:sz w:val="44"/>
          <w:highlight w:val="none"/>
        </w:rPr>
      </w:pPr>
      <w:r>
        <w:rPr>
          <w:rFonts w:hint="eastAsia" w:ascii="宋体"/>
          <w:b/>
          <w:bCs/>
          <w:color w:val="auto"/>
          <w:sz w:val="44"/>
          <w:highlight w:val="none"/>
        </w:rPr>
        <w:br w:type="page"/>
      </w:r>
      <w:r>
        <w:rPr>
          <w:rFonts w:hint="eastAsia"/>
          <w:b/>
          <w:color w:val="auto"/>
          <w:sz w:val="36"/>
          <w:szCs w:val="36"/>
          <w:highlight w:val="none"/>
        </w:rPr>
        <w:t>目</w:t>
      </w:r>
      <w:r>
        <w:rPr>
          <w:b/>
          <w:color w:val="auto"/>
          <w:sz w:val="36"/>
          <w:szCs w:val="36"/>
          <w:highlight w:val="none"/>
        </w:rPr>
        <w:t xml:space="preserve">  </w:t>
      </w:r>
      <w:r>
        <w:rPr>
          <w:rFonts w:hint="eastAsia"/>
          <w:b/>
          <w:color w:val="auto"/>
          <w:sz w:val="36"/>
          <w:szCs w:val="36"/>
          <w:highlight w:val="none"/>
        </w:rPr>
        <w:t>录</w:t>
      </w:r>
    </w:p>
    <w:p>
      <w:pPr>
        <w:tabs>
          <w:tab w:val="left" w:pos="1170"/>
        </w:tabs>
        <w:spacing w:line="360" w:lineRule="auto"/>
        <w:ind w:left="359" w:leftChars="171" w:firstLine="198" w:firstLineChars="71"/>
        <w:rPr>
          <w:rFonts w:ascii="宋体" w:hAnsi="宋体"/>
          <w:color w:val="auto"/>
          <w:sz w:val="28"/>
          <w:highlight w:val="none"/>
        </w:rPr>
      </w:pPr>
      <w:r>
        <w:rPr>
          <w:rFonts w:hint="eastAsia" w:ascii="宋体" w:hAnsi="宋体"/>
          <w:color w:val="auto"/>
          <w:sz w:val="28"/>
          <w:highlight w:val="none"/>
        </w:rPr>
        <w:tab/>
      </w:r>
    </w:p>
    <w:p>
      <w:pPr>
        <w:spacing w:line="360" w:lineRule="auto"/>
        <w:rPr>
          <w:b/>
          <w:color w:val="auto"/>
          <w:sz w:val="30"/>
          <w:szCs w:val="30"/>
          <w:highlight w:val="none"/>
        </w:rPr>
      </w:pPr>
      <w:r>
        <w:rPr>
          <w:rFonts w:hint="eastAsia"/>
          <w:b/>
          <w:color w:val="auto"/>
          <w:sz w:val="30"/>
          <w:szCs w:val="30"/>
          <w:highlight w:val="none"/>
        </w:rPr>
        <w:t>一、青秀区政府采购合同书</w:t>
      </w:r>
    </w:p>
    <w:p>
      <w:pPr>
        <w:spacing w:line="360" w:lineRule="auto"/>
        <w:rPr>
          <w:b/>
          <w:color w:val="auto"/>
          <w:sz w:val="30"/>
          <w:szCs w:val="30"/>
          <w:highlight w:val="none"/>
        </w:rPr>
      </w:pPr>
      <w:r>
        <w:rPr>
          <w:rFonts w:hint="eastAsia"/>
          <w:b/>
          <w:color w:val="auto"/>
          <w:sz w:val="30"/>
          <w:szCs w:val="30"/>
          <w:highlight w:val="none"/>
        </w:rPr>
        <w:t>二、合同附件</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1、中标通知书</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2、招标文件服务需求一览表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3、招标文件的澄清和修改</w:t>
      </w:r>
      <w:r>
        <w:rPr>
          <w:color w:val="auto"/>
          <w:sz w:val="28"/>
          <w:szCs w:val="28"/>
          <w:highlight w:val="none"/>
        </w:rPr>
        <w:t>（如有请提</w:t>
      </w:r>
      <w:r>
        <w:rPr>
          <w:color w:val="auto"/>
          <w:sz w:val="30"/>
          <w:szCs w:val="30"/>
          <w:highlight w:val="none"/>
        </w:rPr>
        <w:t>供</w:t>
      </w:r>
      <w:r>
        <w:rPr>
          <w:color w:val="auto"/>
          <w:sz w:val="28"/>
          <w:szCs w:val="28"/>
          <w:highlight w:val="none"/>
        </w:rPr>
        <w:t>）</w:t>
      </w:r>
    </w:p>
    <w:p>
      <w:pPr>
        <w:spacing w:line="360" w:lineRule="auto"/>
        <w:ind w:firstLine="560" w:firstLineChars="200"/>
        <w:rPr>
          <w:rFonts w:ascii="宋体" w:hAnsi="宋体"/>
          <w:color w:val="auto"/>
          <w:sz w:val="28"/>
          <w:szCs w:val="28"/>
          <w:highlight w:val="none"/>
        </w:rPr>
      </w:pPr>
      <w:r>
        <w:rPr>
          <w:color w:val="auto"/>
          <w:sz w:val="28"/>
          <w:szCs w:val="28"/>
          <w:highlight w:val="none"/>
        </w:rPr>
        <w:t>4</w:t>
      </w:r>
      <w:r>
        <w:rPr>
          <w:rFonts w:hint="eastAsia"/>
          <w:color w:val="auto"/>
          <w:sz w:val="28"/>
          <w:szCs w:val="28"/>
          <w:highlight w:val="none"/>
        </w:rPr>
        <w:t>、投标函</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5、投标报价表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6、投标服务技术资料表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7、商务条款偏离表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8、中标供应商澄清函</w:t>
      </w:r>
      <w:r>
        <w:rPr>
          <w:color w:val="auto"/>
          <w:sz w:val="28"/>
          <w:szCs w:val="28"/>
          <w:highlight w:val="none"/>
        </w:rPr>
        <w:t>（如有请提</w:t>
      </w:r>
      <w:r>
        <w:rPr>
          <w:color w:val="auto"/>
          <w:sz w:val="30"/>
          <w:szCs w:val="30"/>
          <w:highlight w:val="none"/>
        </w:rPr>
        <w:t>供</w:t>
      </w:r>
      <w:r>
        <w:rPr>
          <w:color w:val="auto"/>
          <w:sz w:val="28"/>
          <w:szCs w:val="28"/>
          <w:highlight w:val="none"/>
        </w:rPr>
        <w:t>）</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9、其他与本合同相关的资料</w:t>
      </w:r>
      <w:r>
        <w:rPr>
          <w:color w:val="auto"/>
          <w:sz w:val="28"/>
          <w:szCs w:val="28"/>
          <w:highlight w:val="none"/>
        </w:rPr>
        <w:t>（如有请提</w:t>
      </w:r>
      <w:r>
        <w:rPr>
          <w:color w:val="auto"/>
          <w:sz w:val="30"/>
          <w:szCs w:val="30"/>
          <w:highlight w:val="none"/>
        </w:rPr>
        <w:t>供</w:t>
      </w:r>
      <w:r>
        <w:rPr>
          <w:color w:val="auto"/>
          <w:sz w:val="28"/>
          <w:szCs w:val="28"/>
          <w:highlight w:val="none"/>
        </w:rPr>
        <w:t>）</w:t>
      </w:r>
    </w:p>
    <w:p>
      <w:pPr>
        <w:rPr>
          <w:b/>
          <w:color w:val="auto"/>
          <w:sz w:val="30"/>
          <w:szCs w:val="30"/>
          <w:highlight w:val="none"/>
        </w:rPr>
      </w:pPr>
    </w:p>
    <w:p>
      <w:pPr>
        <w:spacing w:line="360" w:lineRule="auto"/>
        <w:jc w:val="center"/>
        <w:rPr>
          <w:rFonts w:ascii="宋体" w:hAnsi="宋体"/>
          <w:b/>
          <w:bCs/>
          <w:color w:val="auto"/>
          <w:sz w:val="28"/>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outlineLvl w:val="0"/>
        <w:rPr>
          <w:rFonts w:hAnsi="宋体"/>
          <w:b/>
          <w:bCs/>
          <w:color w:val="auto"/>
          <w:sz w:val="32"/>
          <w:szCs w:val="32"/>
          <w:highlight w:val="none"/>
        </w:rPr>
      </w:pP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u w:val="single"/>
        </w:rPr>
      </w:pPr>
      <w:r>
        <w:rPr>
          <w:rFonts w:hint="eastAsia" w:ascii="宋体" w:hAnsi="宋体" w:cs="宋体"/>
          <w:color w:val="auto"/>
          <w:sz w:val="24"/>
          <w:highlight w:val="none"/>
        </w:rPr>
        <w:t>甲方（全称）：</w:t>
      </w:r>
      <w:r>
        <w:rPr>
          <w:rFonts w:hint="eastAsia" w:ascii="宋体" w:hAnsi="宋体" w:cs="宋体"/>
          <w:color w:val="auto"/>
          <w:sz w:val="24"/>
          <w:highlight w:val="none"/>
          <w:u w:val="single"/>
        </w:rPr>
        <w:t xml:space="preserve"> 南宁市青秀区土地储备分中心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rPr>
        <w:t>乙方（全称）：</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rPr>
        <w:t>甲方以公开招标方式确定乙方为</w:t>
      </w:r>
      <w:r>
        <w:rPr>
          <w:rFonts w:hint="eastAsia" w:hAnsi="宋体"/>
          <w:b/>
          <w:bCs/>
          <w:color w:val="auto"/>
          <w:sz w:val="24"/>
          <w:szCs w:val="24"/>
          <w:highlight w:val="none"/>
          <w:u w:val="single"/>
          <w:lang w:eastAsia="zh-CN"/>
        </w:rPr>
        <w:t>南宁市青秀区两个耕地提质改造（旱改水）项目整改及管护工作</w:t>
      </w:r>
      <w:r>
        <w:rPr>
          <w:rFonts w:hint="eastAsia" w:ascii="宋体" w:hAnsi="宋体" w:cs="宋体"/>
          <w:color w:val="auto"/>
          <w:sz w:val="24"/>
          <w:highlight w:val="none"/>
        </w:rPr>
        <w:t>的承建单位（实施主体）。经甲乙双方友好协商，按照合作共赢、互惠互利的原则，双方达成本协议，以共同遵守。</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第一条  </w:t>
      </w:r>
      <w:r>
        <w:rPr>
          <w:rFonts w:hint="eastAsia" w:ascii="宋体" w:hAnsi="宋体" w:cs="宋体"/>
          <w:b/>
          <w:bCs/>
          <w:color w:val="auto"/>
          <w:sz w:val="24"/>
          <w:highlight w:val="none"/>
          <w:lang w:val="en-US" w:eastAsia="zh-CN"/>
        </w:rPr>
        <w:t>项目</w:t>
      </w:r>
      <w:r>
        <w:rPr>
          <w:rFonts w:hint="eastAsia" w:ascii="宋体" w:hAnsi="宋体" w:cs="宋体"/>
          <w:b/>
          <w:bCs/>
          <w:color w:val="auto"/>
          <w:sz w:val="24"/>
          <w:highlight w:val="none"/>
        </w:rPr>
        <w:t>基本</w:t>
      </w:r>
      <w:r>
        <w:rPr>
          <w:rFonts w:hint="eastAsia" w:ascii="宋体" w:hAnsi="宋体" w:cs="宋体"/>
          <w:b/>
          <w:bCs/>
          <w:color w:val="auto"/>
          <w:sz w:val="24"/>
          <w:highlight w:val="none"/>
          <w:lang w:val="en-US" w:eastAsia="zh-CN"/>
        </w:rPr>
        <w:t>情况</w:t>
      </w:r>
    </w:p>
    <w:p>
      <w:pPr>
        <w:pStyle w:val="147"/>
        <w:keepNext w:val="0"/>
        <w:keepLines w:val="0"/>
        <w:pageBreakBefore w:val="0"/>
        <w:widowControl w:val="0"/>
        <w:kinsoku/>
        <w:wordWrap/>
        <w:overflowPunct/>
        <w:topLinePunct w:val="0"/>
        <w:bidi w:val="0"/>
        <w:snapToGrid/>
        <w:spacing w:line="440" w:lineRule="exact"/>
        <w:ind w:firstLine="480"/>
        <w:jc w:val="left"/>
        <w:textAlignment w:val="auto"/>
        <w:rPr>
          <w:rFonts w:hint="eastAsia" w:hAnsi="宋体"/>
          <w:b/>
          <w:bCs/>
          <w:color w:val="auto"/>
          <w:sz w:val="24"/>
          <w:szCs w:val="24"/>
          <w:highlight w:val="none"/>
          <w:u w:val="single"/>
          <w:lang w:eastAsia="zh-CN"/>
        </w:rPr>
      </w:pPr>
      <w:r>
        <w:rPr>
          <w:rFonts w:hint="eastAsia" w:ascii="宋体" w:hAnsi="宋体" w:cs="宋体"/>
          <w:color w:val="auto"/>
          <w:sz w:val="24"/>
          <w:highlight w:val="none"/>
        </w:rPr>
        <w:t>1、项目名称：</w:t>
      </w:r>
      <w:r>
        <w:rPr>
          <w:rFonts w:hint="eastAsia" w:hAnsi="宋体"/>
          <w:b/>
          <w:bCs/>
          <w:color w:val="auto"/>
          <w:sz w:val="24"/>
          <w:szCs w:val="24"/>
          <w:highlight w:val="none"/>
          <w:u w:val="single"/>
          <w:lang w:eastAsia="zh-CN"/>
        </w:rPr>
        <w:t>南宁市青秀区两个耕地提质改造（旱改水）项目整改及管护工作</w:t>
      </w:r>
    </w:p>
    <w:p>
      <w:pPr>
        <w:pStyle w:val="147"/>
        <w:keepNext w:val="0"/>
        <w:keepLines w:val="0"/>
        <w:pageBreakBefore w:val="0"/>
        <w:widowControl w:val="0"/>
        <w:kinsoku/>
        <w:wordWrap/>
        <w:overflowPunct/>
        <w:topLinePunct w:val="0"/>
        <w:bidi w:val="0"/>
        <w:snapToGrid/>
        <w:spacing w:line="440" w:lineRule="exact"/>
        <w:ind w:firstLine="480"/>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2、项目编号：</w:t>
      </w:r>
      <w:r>
        <w:rPr>
          <w:rFonts w:hint="eastAsia" w:ascii="宋体" w:hAnsi="宋体" w:cs="宋体"/>
          <w:color w:val="auto"/>
          <w:sz w:val="24"/>
          <w:highlight w:val="none"/>
          <w:u w:val="single"/>
          <w:lang w:val="en-US" w:eastAsia="zh-CN"/>
        </w:rPr>
        <w:t xml:space="preserve">                                                        </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3、项目概况：</w:t>
      </w:r>
      <w:r>
        <w:rPr>
          <w:rFonts w:hint="eastAsia" w:ascii="宋体" w:hAnsi="宋体" w:cs="宋体"/>
          <w:color w:val="auto"/>
          <w:sz w:val="24"/>
          <w:highlight w:val="none"/>
          <w:lang w:eastAsia="zh-CN"/>
        </w:rPr>
        <w:t>南宁市青秀区南阳镇等3个乡镇新光村等5个村耕地提质改造（旱改水）项目</w:t>
      </w:r>
      <w:r>
        <w:rPr>
          <w:rFonts w:hint="eastAsia" w:ascii="宋体" w:hAnsi="宋体" w:cs="宋体"/>
          <w:color w:val="auto"/>
          <w:sz w:val="24"/>
          <w:highlight w:val="none"/>
          <w:lang w:val="en-US" w:eastAsia="zh-CN"/>
        </w:rPr>
        <w:t>于2016年8月9日，项目已按设计完成工程施工、工程复核、质量耕地评定等工作，目前项目指标入库所需材料已上报南宁市自然资源局，根据南国土资复[2018]0055号，项目新增水田面积：14.9262公顷，</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宁市自然资源局关于南宁市青秀区伶俐镇石塘村等3个村耕地提质改造（旱改水）项目于2017年2月4日立项，项目已按设计完成工程施工、工程复核、质量耕地评定等工作，目前项目指标入库所需材料已上报南宁市自然资源局，根据南国土资发〔2019〕162号，项目新增水田面积20.5249公顷。</w:t>
      </w:r>
    </w:p>
    <w:p>
      <w:pPr>
        <w:pStyle w:val="147"/>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以上两个项目（立项实施面积共计：43.7386公顷，新增水田面积共计：35.4511公顷）于2019年申报自然资源系统报备入库时南宁市自然资源局依据项目新的管理办法开展新增耕地核定工作，项目涉及的部分地块由于种植甘蔗、玉米等旱生作物，项目“水田指标”未能入库。本次整改和管护工作主要内容：对项目区种植甘蔗、玉米等旱生作物的地块采取有效措施，使项目区达到种植水田的标准，项目通过验收后，负责管护三年，主要内容为原则上保证连续三年每一年至少种植一造水稻、茭白、菱角、莲藕、荸荠（马蹄）、茨菇等水生农作物，确保项目工程和设施完好并正常使用。（整改项目地块情况详见南宁市青秀区南阳镇等3个乡镇新光村等5个村耕地提质改造（旱改水）项目规划设计报告及图件和南宁市青秀区伶俐镇石塘村等3个村耕地提质改造（旱改水）项目规划设计报告及图件）</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outlineLvl w:val="0"/>
        <w:rPr>
          <w:rFonts w:ascii="宋体" w:hAnsi="宋体" w:cs="宋体"/>
          <w:b/>
          <w:color w:val="auto"/>
          <w:sz w:val="24"/>
          <w:highlight w:val="none"/>
        </w:rPr>
      </w:pPr>
      <w:r>
        <w:rPr>
          <w:rFonts w:hint="eastAsia" w:ascii="宋体" w:hAnsi="宋体" w:cs="宋体"/>
          <w:b/>
          <w:color w:val="auto"/>
          <w:sz w:val="24"/>
          <w:highlight w:val="none"/>
        </w:rPr>
        <w:t>第二条 合作方式</w:t>
      </w:r>
    </w:p>
    <w:p>
      <w:pPr>
        <w:pStyle w:val="147"/>
        <w:keepNext w:val="0"/>
        <w:keepLines w:val="0"/>
        <w:pageBreakBefore w:val="0"/>
        <w:widowControl w:val="0"/>
        <w:numPr>
          <w:ilvl w:val="0"/>
          <w:numId w:val="0"/>
        </w:numPr>
        <w:kinsoku/>
        <w:wordWrap/>
        <w:overflowPunct/>
        <w:topLinePunct w:val="0"/>
        <w:bidi w:val="0"/>
        <w:snapToGrid/>
        <w:spacing w:line="440" w:lineRule="exact"/>
        <w:ind w:leftChars="0" w:firstLine="488" w:firstLineChars="200"/>
        <w:jc w:val="left"/>
        <w:textAlignment w:val="auto"/>
        <w:rPr>
          <w:rFonts w:hint="eastAsia" w:ascii="宋体" w:hAnsi="宋体"/>
          <w:color w:val="auto"/>
          <w:spacing w:val="2"/>
          <w:sz w:val="24"/>
          <w:szCs w:val="24"/>
          <w:highlight w:val="none"/>
          <w:lang w:eastAsia="zh-CN"/>
        </w:rPr>
      </w:pPr>
      <w:r>
        <w:rPr>
          <w:rFonts w:hint="eastAsia" w:ascii="宋体" w:hAnsi="宋体"/>
          <w:color w:val="auto"/>
          <w:spacing w:val="2"/>
          <w:sz w:val="24"/>
          <w:szCs w:val="24"/>
          <w:highlight w:val="none"/>
          <w:lang w:val="en-US" w:eastAsia="zh-CN"/>
        </w:rPr>
        <w:t>1、 乙方</w:t>
      </w:r>
      <w:r>
        <w:rPr>
          <w:rFonts w:hint="eastAsia" w:ascii="宋体" w:hAnsi="宋体"/>
          <w:color w:val="auto"/>
          <w:spacing w:val="2"/>
          <w:sz w:val="24"/>
          <w:szCs w:val="24"/>
          <w:highlight w:val="none"/>
        </w:rPr>
        <w:t>完成南宁市青秀区南阳镇等3个乡镇新光村等5 个村耕地提质 改造(旱改水)项目和伶俐镇石塘村等3个村耕地提质改造(旱改水)项目 整改，获得自然资源厅(局)主管部门批复的水田指标并完成指标报备入 库及报备入库后3年内的项目管护工作</w:t>
      </w:r>
      <w:r>
        <w:rPr>
          <w:rFonts w:hint="eastAsia" w:ascii="宋体" w:hAnsi="宋体"/>
          <w:color w:val="auto"/>
          <w:spacing w:val="2"/>
          <w:sz w:val="24"/>
          <w:szCs w:val="24"/>
          <w:highlight w:val="none"/>
          <w:lang w:eastAsia="zh-CN"/>
        </w:rPr>
        <w:t>。</w:t>
      </w:r>
    </w:p>
    <w:p>
      <w:pPr>
        <w:spacing w:line="360" w:lineRule="exact"/>
        <w:ind w:firstLine="480" w:firstLineChars="200"/>
        <w:rPr>
          <w:rFonts w:hint="eastAsia" w:ascii="宋体" w:hAnsi="宋体"/>
          <w:color w:val="auto"/>
          <w:spacing w:val="2"/>
          <w:sz w:val="24"/>
          <w:szCs w:val="24"/>
          <w:highlight w:val="none"/>
          <w:lang w:eastAsia="zh-CN"/>
        </w:rPr>
      </w:pPr>
      <w:r>
        <w:rPr>
          <w:rFonts w:hint="eastAsia" w:ascii="宋体" w:hAnsi="宋体" w:cs="宋体"/>
          <w:color w:val="auto"/>
          <w:sz w:val="24"/>
          <w:highlight w:val="none"/>
          <w:lang w:val="en-US" w:eastAsia="zh-CN"/>
        </w:rPr>
        <w:t>2、整改期一年（以完成新增水田指标确认入库为准），管护期</w:t>
      </w:r>
      <w:r>
        <w:rPr>
          <w:rFonts w:hint="eastAsia" w:ascii="宋体" w:hAnsi="宋体" w:cs="宋体"/>
          <w:color w:val="auto"/>
          <w:sz w:val="24"/>
          <w:highlight w:val="none"/>
          <w:shd w:val="clear" w:color="auto" w:fill="FFFFFF"/>
          <w:lang w:val="en-US" w:eastAsia="zh-CN"/>
        </w:rPr>
        <w:t>三</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管护期以项目“水田指标”报备入库时间作为起始时间）</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第三条 合作事项的收益分配、拨付</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甲乙双方友好协商，达成以下共同意见。</w:t>
      </w:r>
    </w:p>
    <w:p>
      <w:pPr>
        <w:keepNext w:val="0"/>
        <w:keepLines w:val="0"/>
        <w:pageBreakBefore w:val="0"/>
        <w:widowControl w:val="0"/>
        <w:kinsoku/>
        <w:wordWrap/>
        <w:overflowPunct/>
        <w:topLinePunct w:val="0"/>
        <w:autoSpaceDE/>
        <w:autoSpaceDN/>
        <w:bidi w:val="0"/>
        <w:adjustRightInd/>
        <w:snapToGrid/>
        <w:spacing w:line="420" w:lineRule="exact"/>
        <w:ind w:firstLine="488" w:firstLineChars="200"/>
        <w:textAlignment w:val="auto"/>
        <w:outlineLvl w:val="9"/>
        <w:rPr>
          <w:rFonts w:hint="eastAsia" w:ascii="宋体" w:hAnsi="宋体" w:eastAsia="宋体" w:cs="Times New Roman"/>
          <w:color w:val="auto"/>
          <w:spacing w:val="2"/>
          <w:kern w:val="2"/>
          <w:sz w:val="24"/>
          <w:szCs w:val="24"/>
          <w:highlight w:val="none"/>
          <w:lang w:val="en-US" w:eastAsia="zh-CN" w:bidi="ar-SA"/>
        </w:rPr>
      </w:pPr>
      <w:r>
        <w:rPr>
          <w:rFonts w:hint="eastAsia" w:ascii="宋体" w:hAnsi="宋体" w:eastAsia="宋体" w:cs="Times New Roman"/>
          <w:color w:val="auto"/>
          <w:spacing w:val="2"/>
          <w:kern w:val="2"/>
          <w:sz w:val="24"/>
          <w:szCs w:val="24"/>
          <w:highlight w:val="none"/>
          <w:lang w:val="en-US" w:eastAsia="zh-CN" w:bidi="ar-SA"/>
        </w:rPr>
        <w:t>本项目无预付款，无进度款。为确保</w:t>
      </w:r>
      <w:r>
        <w:rPr>
          <w:rFonts w:hint="eastAsia" w:ascii="宋体" w:hAnsi="宋体" w:cs="Times New Roman"/>
          <w:color w:val="auto"/>
          <w:spacing w:val="2"/>
          <w:kern w:val="2"/>
          <w:sz w:val="24"/>
          <w:szCs w:val="24"/>
          <w:highlight w:val="none"/>
          <w:lang w:val="en-US" w:eastAsia="zh-CN" w:bidi="ar-SA"/>
        </w:rPr>
        <w:t>乙方</w:t>
      </w:r>
      <w:r>
        <w:rPr>
          <w:rFonts w:hint="eastAsia" w:ascii="宋体" w:hAnsi="宋体" w:eastAsia="宋体" w:cs="Times New Roman"/>
          <w:color w:val="auto"/>
          <w:spacing w:val="2"/>
          <w:kern w:val="2"/>
          <w:sz w:val="24"/>
          <w:szCs w:val="24"/>
          <w:highlight w:val="none"/>
          <w:lang w:val="en-US" w:eastAsia="zh-CN" w:bidi="ar-SA"/>
        </w:rPr>
        <w:t>高效、优质的完成以上两个项目的整改和管护工作。项目新增水田报备入库面积达到35.4511公顷</w:t>
      </w:r>
      <w:r>
        <w:rPr>
          <w:rFonts w:hint="eastAsia" w:ascii="宋体" w:hAnsi="宋体" w:cs="Times New Roman"/>
          <w:color w:val="auto"/>
          <w:spacing w:val="2"/>
          <w:kern w:val="2"/>
          <w:sz w:val="24"/>
          <w:szCs w:val="24"/>
          <w:highlight w:val="none"/>
          <w:lang w:val="en-US" w:eastAsia="zh-CN" w:bidi="ar-SA"/>
        </w:rPr>
        <w:t>的</w:t>
      </w:r>
      <w:r>
        <w:rPr>
          <w:rFonts w:hint="eastAsia" w:ascii="宋体" w:hAnsi="宋体" w:eastAsia="宋体" w:cs="Times New Roman"/>
          <w:color w:val="auto"/>
          <w:spacing w:val="2"/>
          <w:kern w:val="2"/>
          <w:sz w:val="24"/>
          <w:szCs w:val="24"/>
          <w:highlight w:val="none"/>
          <w:lang w:val="en-US" w:eastAsia="zh-CN" w:bidi="ar-SA"/>
        </w:rPr>
        <w:t>90%（含本数）以上才予以结账，项目结算价按以下方式计算：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8" w:firstLineChars="200"/>
        <w:textAlignment w:val="auto"/>
        <w:outlineLvl w:val="9"/>
        <w:rPr>
          <w:rFonts w:hint="eastAsia" w:ascii="宋体" w:hAnsi="宋体" w:eastAsia="宋体" w:cs="Times New Roman"/>
          <w:color w:val="auto"/>
          <w:spacing w:val="2"/>
          <w:kern w:val="2"/>
          <w:sz w:val="24"/>
          <w:szCs w:val="24"/>
          <w:highlight w:val="none"/>
          <w:lang w:val="en-US" w:eastAsia="zh-CN" w:bidi="ar-SA"/>
        </w:rPr>
      </w:pPr>
      <w:r>
        <w:rPr>
          <w:rFonts w:hint="eastAsia" w:ascii="宋体" w:hAnsi="宋体" w:eastAsia="宋体" w:cs="Times New Roman"/>
          <w:color w:val="auto"/>
          <w:spacing w:val="2"/>
          <w:kern w:val="2"/>
          <w:sz w:val="24"/>
          <w:szCs w:val="24"/>
          <w:highlight w:val="none"/>
          <w:lang w:val="en-US" w:eastAsia="zh-CN" w:bidi="ar-SA"/>
        </w:rPr>
        <w:t>（1）</w:t>
      </w:r>
      <w:bookmarkStart w:id="120" w:name="OLE_LINK1"/>
      <w:r>
        <w:rPr>
          <w:rFonts w:hint="eastAsia" w:ascii="宋体" w:hAnsi="宋体" w:eastAsia="宋体" w:cs="Times New Roman"/>
          <w:color w:val="auto"/>
          <w:spacing w:val="2"/>
          <w:kern w:val="2"/>
          <w:sz w:val="24"/>
          <w:szCs w:val="24"/>
          <w:highlight w:val="none"/>
          <w:lang w:val="en-US" w:eastAsia="zh-CN" w:bidi="ar-SA"/>
        </w:rPr>
        <w:t>新增水田报备入库面积达到</w:t>
      </w:r>
      <w:bookmarkEnd w:id="120"/>
      <w:r>
        <w:rPr>
          <w:rFonts w:hint="eastAsia" w:ascii="宋体" w:hAnsi="宋体" w:eastAsia="宋体" w:cs="Times New Roman"/>
          <w:color w:val="auto"/>
          <w:spacing w:val="2"/>
          <w:kern w:val="2"/>
          <w:sz w:val="24"/>
          <w:szCs w:val="24"/>
          <w:highlight w:val="none"/>
          <w:lang w:val="en-US" w:eastAsia="zh-CN" w:bidi="ar-SA"/>
        </w:rPr>
        <w:t>35.4511公顷的95%以上（含95%），结算价计算公式：投标人中标单价×新增水田报备入库面积。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8" w:firstLineChars="200"/>
        <w:textAlignment w:val="auto"/>
        <w:outlineLvl w:val="9"/>
        <w:rPr>
          <w:rFonts w:hint="eastAsia" w:ascii="宋体" w:hAnsi="宋体" w:eastAsia="宋体" w:cs="Times New Roman"/>
          <w:color w:val="auto"/>
          <w:spacing w:val="2"/>
          <w:kern w:val="2"/>
          <w:sz w:val="24"/>
          <w:szCs w:val="24"/>
          <w:highlight w:val="none"/>
          <w:lang w:val="en-US" w:eastAsia="zh-CN" w:bidi="ar-SA"/>
        </w:rPr>
      </w:pPr>
      <w:r>
        <w:rPr>
          <w:rFonts w:hint="eastAsia" w:ascii="宋体" w:hAnsi="宋体" w:eastAsia="宋体" w:cs="Times New Roman"/>
          <w:color w:val="auto"/>
          <w:spacing w:val="2"/>
          <w:kern w:val="2"/>
          <w:sz w:val="24"/>
          <w:szCs w:val="24"/>
          <w:highlight w:val="none"/>
          <w:lang w:val="en-US" w:eastAsia="zh-CN" w:bidi="ar-SA"/>
        </w:rPr>
        <w:t>（2）新增水田报备入库面积达到35.4511公顷的90</w:t>
      </w:r>
      <w:r>
        <w:rPr>
          <w:rFonts w:hint="eastAsia" w:ascii="宋体" w:hAnsi="宋体" w:cs="Times New Roman"/>
          <w:color w:val="auto"/>
          <w:spacing w:val="2"/>
          <w:kern w:val="2"/>
          <w:sz w:val="24"/>
          <w:szCs w:val="24"/>
          <w:highlight w:val="none"/>
          <w:lang w:val="en-US" w:eastAsia="zh-CN" w:bidi="ar-SA"/>
        </w:rPr>
        <w:t>%</w:t>
      </w:r>
      <w:r>
        <w:rPr>
          <w:rFonts w:hint="eastAsia" w:ascii="宋体" w:hAnsi="宋体" w:eastAsia="宋体" w:cs="Times New Roman"/>
          <w:color w:val="auto"/>
          <w:spacing w:val="2"/>
          <w:kern w:val="2"/>
          <w:sz w:val="24"/>
          <w:szCs w:val="24"/>
          <w:highlight w:val="none"/>
          <w:lang w:val="en-US" w:eastAsia="zh-CN" w:bidi="ar-SA"/>
        </w:rPr>
        <w:t>-95%（不含95%），结算价计算公式：投标人中标单价×新增水田报备入库面积×Z(Z=新增水田报备入库面积</w:t>
      </w:r>
      <w:r>
        <w:rPr>
          <w:rFonts w:hint="default" w:ascii="宋体" w:hAnsi="宋体" w:eastAsia="宋体" w:cs="Times New Roman"/>
          <w:color w:val="auto"/>
          <w:spacing w:val="2"/>
          <w:kern w:val="2"/>
          <w:sz w:val="24"/>
          <w:szCs w:val="24"/>
          <w:highlight w:val="none"/>
          <w:lang w:val="en-US" w:eastAsia="zh-CN" w:bidi="ar-SA"/>
        </w:rPr>
        <w:t>÷</w:t>
      </w:r>
      <w:r>
        <w:rPr>
          <w:rFonts w:hint="eastAsia" w:ascii="宋体" w:hAnsi="宋体" w:eastAsia="宋体" w:cs="Times New Roman"/>
          <w:color w:val="auto"/>
          <w:spacing w:val="2"/>
          <w:kern w:val="2"/>
          <w:sz w:val="24"/>
          <w:szCs w:val="24"/>
          <w:highlight w:val="none"/>
          <w:lang w:val="en-US" w:eastAsia="zh-CN" w:bidi="ar-SA"/>
        </w:rPr>
        <w:t>35.4511公顷）。</w:t>
      </w:r>
    </w:p>
    <w:p>
      <w:pPr>
        <w:pStyle w:val="3"/>
        <w:pageBreakBefore w:val="0"/>
        <w:widowControl w:val="0"/>
        <w:kinsoku/>
        <w:wordWrap/>
        <w:overflowPunct/>
        <w:topLinePunct w:val="0"/>
        <w:autoSpaceDE/>
        <w:autoSpaceDN/>
        <w:bidi w:val="0"/>
        <w:adjustRightInd/>
        <w:snapToGrid/>
        <w:spacing w:before="0" w:after="0" w:line="420" w:lineRule="exact"/>
        <w:ind w:firstLine="490" w:firstLineChars="200"/>
        <w:jc w:val="left"/>
        <w:textAlignment w:val="auto"/>
        <w:rPr>
          <w:rFonts w:hint="default" w:ascii="仿宋_GB2312" w:eastAsia="仿宋_GB2312"/>
          <w:color w:val="auto"/>
          <w:sz w:val="32"/>
          <w:szCs w:val="32"/>
          <w:highlight w:val="none"/>
          <w:lang w:val="en-US" w:eastAsia="zh-CN"/>
        </w:rPr>
      </w:pPr>
      <w:r>
        <w:rPr>
          <w:rFonts w:hint="eastAsia" w:ascii="宋体" w:hAnsi="宋体" w:eastAsia="宋体" w:cs="Times New Roman"/>
          <w:color w:val="auto"/>
          <w:spacing w:val="2"/>
          <w:kern w:val="2"/>
          <w:sz w:val="24"/>
          <w:szCs w:val="24"/>
          <w:highlight w:val="none"/>
          <w:lang w:val="en-US" w:eastAsia="zh-CN" w:bidi="ar-SA"/>
        </w:rPr>
        <w:t>指标报备入库后一次性支付项目结算价的90%，预留项目结算价的10%作为后期管护保证金，分三年支付给中标单位，中标单位按约定履行第一年度后期管护义务次年青秀区政府退还4%（不计利息）、按约定履行第二年度后期管护义务次年青秀区政府退还3%（不计利息）、按约定履行第三年度后期管护义务次年青秀区政府退还3%（不计利息）。</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第四条  双方的权利与义务</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（一）甲方的权利与义务</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b w:val="0"/>
          <w:bCs w:val="0"/>
          <w:color w:val="auto"/>
          <w:highlight w:val="none"/>
        </w:rPr>
      </w:pPr>
      <w:r>
        <w:rPr>
          <w:rFonts w:hint="eastAsia" w:ascii="宋体" w:hAnsi="宋体" w:cs="宋体"/>
          <w:b w:val="0"/>
          <w:bCs w:val="0"/>
          <w:color w:val="auto"/>
          <w:highlight w:val="none"/>
        </w:rPr>
        <w:t>1.监督乙方抓好项目实施，为乙方实施项目提供数据、资料、基础图件等文件材料，涉及需要费用的资料和图件甲方协助乙方提取，所需费用由乙方承担，组织协调有关部门开展项目各级评审、验收等工作，为乙方提供良好的实施环境。</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2.项目建成后产生的“旱改水”耕地指标归属甲方所在地的青秀区人民政府所有，乙方无权干预“旱改水”耕地指标的使用安排。</w:t>
      </w:r>
    </w:p>
    <w:p>
      <w:pPr>
        <w:pStyle w:val="146"/>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3、定期检查在建项目或计划纳入新增立项项目备选地块的基本情况，检查项目的实施进度和工程质量情况。</w:t>
      </w:r>
    </w:p>
    <w:p>
      <w:pPr>
        <w:keepNext w:val="0"/>
        <w:keepLines w:val="0"/>
        <w:pageBreakBefore w:val="0"/>
        <w:widowControl w:val="0"/>
        <w:kinsoku/>
        <w:wordWrap/>
        <w:overflowPunct/>
        <w:topLinePunct w:val="0"/>
        <w:autoSpaceDE w:val="0"/>
        <w:autoSpaceDN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（二）乙方的权利和义务</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.依法依规选定具备相应资质的施工单位负责项目施工，施工单位严格按照国家和自治区、南宁市发布的土地整治技术规范进行施工，确保工程质量合格。选取</w:t>
      </w:r>
      <w:r>
        <w:rPr>
          <w:rFonts w:hint="eastAsia" w:ascii="宋体" w:hAnsi="宋体" w:cs="宋体"/>
          <w:color w:val="auto"/>
          <w:sz w:val="24"/>
          <w:highlight w:val="none"/>
          <w:lang w:eastAsia="zh-CN"/>
        </w:rPr>
        <w:t>单位前</w:t>
      </w:r>
      <w:r>
        <w:rPr>
          <w:rFonts w:hint="eastAsia" w:ascii="宋体" w:hAnsi="宋体" w:cs="宋体"/>
          <w:color w:val="auto"/>
          <w:sz w:val="24"/>
          <w:highlight w:val="none"/>
        </w:rPr>
        <w:t>，乙方需将</w:t>
      </w:r>
      <w:r>
        <w:rPr>
          <w:rFonts w:hint="eastAsia" w:ascii="宋体" w:hAnsi="宋体" w:cs="宋体"/>
          <w:color w:val="auto"/>
          <w:sz w:val="24"/>
          <w:highlight w:val="none"/>
          <w:lang w:eastAsia="zh-CN"/>
        </w:rPr>
        <w:t>选取</w:t>
      </w:r>
      <w:r>
        <w:rPr>
          <w:rFonts w:hint="eastAsia" w:ascii="宋体" w:hAnsi="宋体" w:cs="宋体"/>
          <w:color w:val="auto"/>
          <w:sz w:val="24"/>
          <w:highlight w:val="none"/>
        </w:rPr>
        <w:t>单位的企业资质等详细情况书面向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申请报备。</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.按照《广西壮族自治区自然资源厅 广西壮族自治区农业农村厅关于印发广西壮族自治区耕地提质改造项目立项与验收规范（试行）的通知》（桂自然资发〔2018〕17号）、《土地整治工程 验收技术规程DB 45/T 1057-2014》等规定（如有新政策文件出台，则以新政策文件规定为准），开展项目</w:t>
      </w:r>
      <w:r>
        <w:rPr>
          <w:rFonts w:hint="eastAsia" w:ascii="宋体" w:hAnsi="宋体" w:cs="宋体"/>
          <w:color w:val="auto"/>
          <w:sz w:val="24"/>
          <w:highlight w:val="none"/>
          <w:lang w:val="en-US" w:eastAsia="zh-CN"/>
        </w:rPr>
        <w:t>整改后报备</w:t>
      </w:r>
      <w:r>
        <w:rPr>
          <w:rFonts w:hint="eastAsia" w:ascii="宋体" w:hAnsi="宋体" w:cs="宋体"/>
          <w:color w:val="auto"/>
          <w:sz w:val="24"/>
          <w:highlight w:val="none"/>
        </w:rPr>
        <w:t>材料</w:t>
      </w:r>
      <w:r>
        <w:rPr>
          <w:rFonts w:hint="eastAsia" w:ascii="宋体" w:hAnsi="宋体" w:cs="宋体"/>
          <w:color w:val="auto"/>
          <w:sz w:val="24"/>
          <w:highlight w:val="none"/>
          <w:lang w:val="en-US" w:eastAsia="zh-CN"/>
        </w:rPr>
        <w:t>的整理</w:t>
      </w:r>
      <w:r>
        <w:rPr>
          <w:rFonts w:hint="eastAsia" w:ascii="宋体" w:hAnsi="宋体" w:cs="宋体"/>
          <w:color w:val="auto"/>
          <w:sz w:val="24"/>
          <w:highlight w:val="none"/>
        </w:rPr>
        <w:t>工作，申请项目验收，确保项目获得耕地提质改造（旱改水）水田确认批文，并通过自治区、自然资源部有关信息系统报备。</w:t>
      </w:r>
    </w:p>
    <w:p>
      <w:pPr>
        <w:pStyle w:val="146"/>
        <w:keepNext w:val="0"/>
        <w:keepLines w:val="0"/>
        <w:pageBreakBefore w:val="0"/>
        <w:widowControl w:val="0"/>
        <w:kinsoku/>
        <w:wordWrap/>
        <w:overflowPunct/>
        <w:topLinePunct w:val="0"/>
        <w:bidi w:val="0"/>
        <w:snapToGrid/>
        <w:spacing w:line="440" w:lineRule="exact"/>
        <w:jc w:val="both"/>
        <w:textAlignment w:val="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w:t>
      </w:r>
      <w:r>
        <w:rPr>
          <w:rFonts w:hint="eastAsia" w:ascii="宋体" w:hAnsi="宋体" w:cs="宋体"/>
          <w:color w:val="auto"/>
          <w:highlight w:val="none"/>
        </w:rPr>
        <w:t>.按照南宁市人民政府办公厅关于印发《南宁市土地整治和高标准农田建设新增耕地核定工作方案的通知》（南府办函〔2018〕188号）、广西壮族自治区自然资源厅办公室《关于进一步规范我区土地整治和高标准农田建设项目新增耕地核定技术审查有关事项的通知》（桂自然资办〔2019〕288号）等文件（如有新政策文件出台，则以新政策文件规定为准）相关要求开展新增耕地核定工作，确保数量真实、质量可靠。</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.对项目实施全过程的安全生产负总责，乙方是安全生产责任主体，如项目实施过程发生安全生产事故，由乙方自行处置，消除负面影响，产生的一切安全生产责任与甲方无关。</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.乙方自行明确所选</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单位之间的权利义务，乙方所选参建单位之间产生的一切矛盾纠纷与甲方无关。</w:t>
      </w:r>
    </w:p>
    <w:p>
      <w:pPr>
        <w:pStyle w:val="146"/>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按照广西壮族自治区人力资源和社会保障厅《关于开展农民工工资保证金三方监管工作的通知》（桂人社发〔2019〕30号）等有关规定（如有新政策文件出台，则以新政策文件规定为准），按时足额缴存农民工工资保证金。</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第五条  项目进度计划要求</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shd w:val="clear" w:color="auto" w:fill="FFFFFF"/>
        </w:rPr>
        <w:t>如遇因不可抗力因素（包括自然灾害，如</w:t>
      </w:r>
      <w:r>
        <w:rPr>
          <w:color w:val="auto"/>
          <w:highlight w:val="none"/>
        </w:rPr>
        <w:fldChar w:fldCharType="begin"/>
      </w:r>
      <w:r>
        <w:rPr>
          <w:color w:val="auto"/>
          <w:highlight w:val="none"/>
        </w:rPr>
        <w:instrText xml:space="preserve"> HYPERLINK "https://baike.baidu.com/item/%E5%8F%B0%E9%A3%8E/17003" \t "_blank" </w:instrText>
      </w:r>
      <w:r>
        <w:rPr>
          <w:color w:val="auto"/>
          <w:highlight w:val="none"/>
        </w:rPr>
        <w:fldChar w:fldCharType="separate"/>
      </w:r>
      <w:r>
        <w:rPr>
          <w:rStyle w:val="43"/>
          <w:rFonts w:hint="eastAsia" w:ascii="宋体" w:hAnsi="宋体" w:cs="宋体"/>
          <w:color w:val="auto"/>
          <w:highlight w:val="none"/>
          <w:shd w:val="clear" w:color="auto" w:fill="FFFFFF"/>
        </w:rPr>
        <w:t>台风</w:t>
      </w:r>
      <w:r>
        <w:rPr>
          <w:rStyle w:val="43"/>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w:t>
      </w:r>
      <w:r>
        <w:rPr>
          <w:color w:val="auto"/>
          <w:highlight w:val="none"/>
        </w:rPr>
        <w:fldChar w:fldCharType="begin"/>
      </w:r>
      <w:r>
        <w:rPr>
          <w:color w:val="auto"/>
          <w:highlight w:val="none"/>
        </w:rPr>
        <w:instrText xml:space="preserve"> HYPERLINK "https://baike.baidu.com/item/%E5%9C%B0%E9%9C%87/40588" \t "_blank" </w:instrText>
      </w:r>
      <w:r>
        <w:rPr>
          <w:color w:val="auto"/>
          <w:highlight w:val="none"/>
        </w:rPr>
        <w:fldChar w:fldCharType="separate"/>
      </w:r>
      <w:r>
        <w:rPr>
          <w:rStyle w:val="43"/>
          <w:rFonts w:hint="eastAsia" w:ascii="宋体" w:hAnsi="宋体" w:cs="宋体"/>
          <w:color w:val="auto"/>
          <w:highlight w:val="none"/>
          <w:shd w:val="clear" w:color="auto" w:fill="FFFFFF"/>
        </w:rPr>
        <w:t>地震</w:t>
      </w:r>
      <w:r>
        <w:rPr>
          <w:rStyle w:val="43"/>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、洪水、冰雹；政府行为，如征收、征用；社会异常事件，如罢工、骚乱三方面）导致项目不能按计划实施的，</w:t>
      </w:r>
      <w:r>
        <w:rPr>
          <w:rFonts w:hint="eastAsia" w:ascii="宋体" w:hAnsi="宋体" w:cs="宋体"/>
          <w:color w:val="auto"/>
          <w:highlight w:val="none"/>
        </w:rPr>
        <w:t>“旱改水”指标确认和广西国土资源提质改造项目监管系统、农村土地整治监测监管系统等系统报备完成期限顺延，</w:t>
      </w:r>
      <w:r>
        <w:rPr>
          <w:rFonts w:hint="eastAsia" w:ascii="宋体" w:hAnsi="宋体" w:cs="宋体"/>
          <w:color w:val="auto"/>
          <w:highlight w:val="none"/>
          <w:shd w:val="clear" w:color="auto" w:fill="FFFFFF"/>
        </w:rPr>
        <w:t>双方签订补充协议约定期限顺延时间，</w:t>
      </w:r>
      <w:r>
        <w:rPr>
          <w:rFonts w:hint="eastAsia" w:ascii="宋体" w:hAnsi="宋体" w:cs="宋体"/>
          <w:color w:val="auto"/>
          <w:highlight w:val="none"/>
        </w:rPr>
        <w:t>期限顺延后，甲乙双方权利义务按照原协议条款约定顺延时间履行。</w:t>
      </w:r>
    </w:p>
    <w:p>
      <w:pPr>
        <w:pStyle w:val="146"/>
        <w:keepNext w:val="0"/>
        <w:keepLines w:val="0"/>
        <w:pageBreakBefore w:val="0"/>
        <w:widowControl w:val="0"/>
        <w:kinsoku/>
        <w:wordWrap/>
        <w:overflowPunct/>
        <w:topLinePunct w:val="0"/>
        <w:bidi w:val="0"/>
        <w:snapToGrid/>
        <w:spacing w:line="440" w:lineRule="exact"/>
        <w:ind w:firstLine="482" w:firstLineChars="200"/>
        <w:jc w:val="both"/>
        <w:textAlignment w:val="auto"/>
        <w:rPr>
          <w:rFonts w:ascii="宋体" w:hAnsi="宋体" w:cs="宋体"/>
          <w:b/>
          <w:bCs/>
          <w:color w:val="auto"/>
          <w:highlight w:val="none"/>
        </w:rPr>
      </w:pPr>
      <w:r>
        <w:rPr>
          <w:rFonts w:hint="eastAsia" w:ascii="宋体" w:hAnsi="宋体" w:cs="宋体"/>
          <w:b/>
          <w:bCs/>
          <w:color w:val="auto"/>
          <w:highlight w:val="none"/>
        </w:rPr>
        <w:t>第六条  验收规范</w:t>
      </w:r>
    </w:p>
    <w:p>
      <w:pPr>
        <w:pStyle w:val="146"/>
        <w:keepNext w:val="0"/>
        <w:keepLines w:val="0"/>
        <w:pageBreakBefore w:val="0"/>
        <w:widowControl w:val="0"/>
        <w:kinsoku/>
        <w:wordWrap/>
        <w:overflowPunct/>
        <w:topLinePunct w:val="0"/>
        <w:bidi w:val="0"/>
        <w:snapToGrid/>
        <w:spacing w:line="440" w:lineRule="exact"/>
        <w:ind w:firstLine="660"/>
        <w:jc w:val="both"/>
        <w:textAlignment w:val="auto"/>
        <w:rPr>
          <w:rFonts w:ascii="宋体" w:hAnsi="宋体" w:cs="宋体"/>
          <w:b/>
          <w:color w:val="auto"/>
          <w:highlight w:val="none"/>
        </w:rPr>
      </w:pPr>
      <w:r>
        <w:rPr>
          <w:rFonts w:hint="eastAsia" w:ascii="宋体" w:hAnsi="宋体" w:cs="宋体"/>
          <w:b/>
          <w:color w:val="auto"/>
          <w:highlight w:val="none"/>
        </w:rPr>
        <w:t>（一）验收标准</w:t>
      </w:r>
    </w:p>
    <w:p>
      <w:pPr>
        <w:pStyle w:val="146"/>
        <w:keepNext w:val="0"/>
        <w:keepLines w:val="0"/>
        <w:pageBreakBefore w:val="0"/>
        <w:widowControl w:val="0"/>
        <w:kinsoku/>
        <w:wordWrap/>
        <w:overflowPunct/>
        <w:topLinePunct w:val="0"/>
        <w:bidi w:val="0"/>
        <w:snapToGrid/>
        <w:spacing w:line="440" w:lineRule="exact"/>
        <w:ind w:firstLine="660"/>
        <w:jc w:val="both"/>
        <w:textAlignment w:val="auto"/>
        <w:rPr>
          <w:rFonts w:ascii="宋体" w:hAnsi="宋体" w:cs="宋体"/>
          <w:color w:val="auto"/>
          <w:highlight w:val="none"/>
        </w:rPr>
      </w:pPr>
      <w:r>
        <w:rPr>
          <w:rFonts w:hint="eastAsia" w:ascii="宋体" w:hAnsi="宋体" w:cs="宋体"/>
          <w:color w:val="auto"/>
          <w:highlight w:val="none"/>
        </w:rPr>
        <w:t>1.项目验收标准按照《广西壮族自治区自然资源厅 广西壮族自治区农业农村厅关于印发广西壮族自治区耕地提质改造项目立项与验收规范（试行）的通知》（桂自然资发〔2018〕17号）、《土地整治工程 第3部分 验收技术规程DB 45/T 1057-2014》等规定执行。如有新政策文件规定，则按新政策文件规定执行。</w:t>
      </w:r>
    </w:p>
    <w:p>
      <w:pPr>
        <w:pStyle w:val="146"/>
        <w:keepNext w:val="0"/>
        <w:keepLines w:val="0"/>
        <w:pageBreakBefore w:val="0"/>
        <w:widowControl w:val="0"/>
        <w:kinsoku/>
        <w:wordWrap/>
        <w:overflowPunct/>
        <w:topLinePunct w:val="0"/>
        <w:bidi w:val="0"/>
        <w:snapToGrid/>
        <w:spacing w:line="440" w:lineRule="exact"/>
        <w:jc w:val="both"/>
        <w:textAlignment w:val="auto"/>
        <w:rPr>
          <w:rFonts w:ascii="宋体" w:hAnsi="宋体" w:cs="宋体"/>
          <w:b/>
          <w:color w:val="auto"/>
          <w:highlight w:val="none"/>
        </w:rPr>
      </w:pPr>
      <w:r>
        <w:rPr>
          <w:rFonts w:hint="eastAsia" w:ascii="宋体" w:hAnsi="宋体" w:cs="宋体"/>
          <w:b/>
          <w:color w:val="auto"/>
          <w:highlight w:val="none"/>
        </w:rPr>
        <w:t xml:space="preserve">    （二）验收程序</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sz w:val="24"/>
          <w:highlight w:val="none"/>
        </w:rPr>
        <w:t>1.由乙方</w:t>
      </w:r>
      <w:r>
        <w:rPr>
          <w:rFonts w:hint="eastAsia" w:ascii="宋体" w:hAnsi="宋体" w:cs="宋体"/>
          <w:color w:val="auto"/>
          <w:sz w:val="24"/>
          <w:highlight w:val="none"/>
          <w:lang w:val="en-US" w:eastAsia="zh-CN"/>
        </w:rPr>
        <w:t>根据甲方提供及已报请南宁市自然资源局的验收材料</w:t>
      </w:r>
      <w:r>
        <w:rPr>
          <w:rFonts w:hint="eastAsia" w:ascii="宋体" w:hAnsi="宋体" w:cs="宋体"/>
          <w:color w:val="auto"/>
          <w:sz w:val="24"/>
          <w:highlight w:val="none"/>
        </w:rPr>
        <w:t>整理</w:t>
      </w:r>
      <w:r>
        <w:rPr>
          <w:rFonts w:hint="eastAsia" w:ascii="宋体" w:hAnsi="宋体" w:cs="宋体"/>
          <w:color w:val="auto"/>
          <w:sz w:val="24"/>
          <w:highlight w:val="none"/>
          <w:lang w:val="en-US" w:eastAsia="zh-CN"/>
        </w:rPr>
        <w:t>报备</w:t>
      </w:r>
      <w:r>
        <w:rPr>
          <w:rFonts w:hint="eastAsia" w:ascii="宋体" w:hAnsi="宋体" w:cs="宋体"/>
          <w:color w:val="auto"/>
          <w:sz w:val="24"/>
          <w:highlight w:val="none"/>
        </w:rPr>
        <w:t>资料，确保项目满足</w:t>
      </w:r>
      <w:r>
        <w:rPr>
          <w:rFonts w:hint="eastAsia" w:ascii="宋体" w:hAnsi="宋体" w:cs="宋体"/>
          <w:color w:val="auto"/>
          <w:sz w:val="24"/>
          <w:highlight w:val="none"/>
          <w:lang w:val="en-US" w:eastAsia="zh-CN"/>
        </w:rPr>
        <w:t>项目报备</w:t>
      </w:r>
      <w:r>
        <w:rPr>
          <w:rFonts w:hint="eastAsia" w:ascii="宋体" w:hAnsi="宋体" w:cs="宋体"/>
          <w:color w:val="auto"/>
          <w:sz w:val="24"/>
          <w:highlight w:val="none"/>
        </w:rPr>
        <w:t>具备的基本条件。</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第七条  质量保修</w:t>
      </w:r>
    </w:p>
    <w:p>
      <w:pPr>
        <w:pStyle w:val="146"/>
        <w:keepNext w:val="0"/>
        <w:keepLines w:val="0"/>
        <w:pageBreakBefore w:val="0"/>
        <w:widowControl w:val="0"/>
        <w:kinsoku/>
        <w:wordWrap/>
        <w:overflowPunct/>
        <w:topLinePunct w:val="0"/>
        <w:bidi w:val="0"/>
        <w:snapToGrid/>
        <w:spacing w:line="440" w:lineRule="exact"/>
        <w:ind w:firstLine="465"/>
        <w:jc w:val="both"/>
        <w:textAlignment w:val="auto"/>
        <w:rPr>
          <w:rFonts w:ascii="宋体" w:hAnsi="宋体" w:cs="宋体"/>
          <w:b/>
          <w:color w:val="auto"/>
          <w:highlight w:val="none"/>
        </w:rPr>
      </w:pPr>
      <w:r>
        <w:rPr>
          <w:rFonts w:hint="eastAsia" w:ascii="宋体" w:hAnsi="宋体" w:cs="宋体"/>
          <w:b/>
          <w:color w:val="auto"/>
          <w:highlight w:val="none"/>
        </w:rPr>
        <w:t>（一）质量保修范围</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lang w:val="en-US" w:eastAsia="zh-CN"/>
        </w:rPr>
        <w:t>项目完成的</w:t>
      </w:r>
      <w:r>
        <w:rPr>
          <w:rFonts w:hint="eastAsia" w:ascii="宋体" w:hAnsi="宋体" w:cs="宋体"/>
          <w:color w:val="auto"/>
          <w:highlight w:val="none"/>
        </w:rPr>
        <w:t>所有工程设施</w:t>
      </w:r>
      <w:r>
        <w:rPr>
          <w:rFonts w:hint="eastAsia" w:ascii="宋体" w:hAnsi="宋体" w:cs="宋体"/>
          <w:color w:val="auto"/>
          <w:highlight w:val="none"/>
          <w:lang w:val="en-US" w:eastAsia="zh-CN"/>
        </w:rPr>
        <w:t>无需乙方质保，乙方为完成整改和管护工作而开展的其它工程设施由乙方履行质保</w:t>
      </w:r>
      <w:r>
        <w:rPr>
          <w:rFonts w:hint="eastAsia" w:ascii="宋体" w:hAnsi="宋体" w:cs="宋体"/>
          <w:color w:val="auto"/>
          <w:highlight w:val="none"/>
        </w:rPr>
        <w:t>。</w:t>
      </w:r>
    </w:p>
    <w:p>
      <w:pPr>
        <w:pStyle w:val="146"/>
        <w:keepNext w:val="0"/>
        <w:keepLines w:val="0"/>
        <w:pageBreakBefore w:val="0"/>
        <w:widowControl w:val="0"/>
        <w:kinsoku/>
        <w:wordWrap/>
        <w:overflowPunct/>
        <w:topLinePunct w:val="0"/>
        <w:bidi w:val="0"/>
        <w:snapToGrid/>
        <w:spacing w:line="440" w:lineRule="exact"/>
        <w:ind w:firstLine="465"/>
        <w:jc w:val="both"/>
        <w:textAlignment w:val="auto"/>
        <w:rPr>
          <w:rFonts w:ascii="宋体" w:hAnsi="宋体" w:cs="宋体"/>
          <w:b/>
          <w:color w:val="auto"/>
          <w:highlight w:val="none"/>
        </w:rPr>
      </w:pPr>
      <w:r>
        <w:rPr>
          <w:rFonts w:hint="eastAsia" w:ascii="宋体" w:hAnsi="宋体" w:cs="宋体"/>
          <w:b/>
          <w:color w:val="auto"/>
          <w:highlight w:val="none"/>
        </w:rPr>
        <w:t>（二）质量保修期限</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lang w:val="en-US" w:eastAsia="zh-CN"/>
        </w:rPr>
        <w:t>乙方为完成整改和管护工作而开展的工程设施由乙方履行质保，项目</w:t>
      </w:r>
      <w:r>
        <w:rPr>
          <w:rFonts w:hint="eastAsia" w:ascii="宋体" w:hAnsi="宋体" w:cs="宋体"/>
          <w:color w:val="auto"/>
          <w:highlight w:val="none"/>
        </w:rPr>
        <w:t>指标申报入库（广西国土资源提质改造项目监管系统、农村土地整治监测监管系统等系统报备）之日起3年。</w:t>
      </w:r>
    </w:p>
    <w:p>
      <w:pPr>
        <w:pStyle w:val="146"/>
        <w:keepNext w:val="0"/>
        <w:keepLines w:val="0"/>
        <w:pageBreakBefore w:val="0"/>
        <w:widowControl w:val="0"/>
        <w:kinsoku/>
        <w:wordWrap/>
        <w:overflowPunct/>
        <w:topLinePunct w:val="0"/>
        <w:bidi w:val="0"/>
        <w:snapToGrid/>
        <w:spacing w:line="440" w:lineRule="exact"/>
        <w:ind w:firstLine="472" w:firstLineChars="196"/>
        <w:jc w:val="both"/>
        <w:textAlignment w:val="auto"/>
        <w:rPr>
          <w:rFonts w:ascii="宋体" w:hAnsi="宋体" w:cs="宋体"/>
          <w:b/>
          <w:color w:val="auto"/>
          <w:highlight w:val="none"/>
        </w:rPr>
      </w:pPr>
      <w:r>
        <w:rPr>
          <w:rFonts w:hint="eastAsia" w:ascii="宋体" w:hAnsi="宋体" w:cs="宋体"/>
          <w:b/>
          <w:color w:val="auto"/>
          <w:highlight w:val="none"/>
        </w:rPr>
        <w:t>（三）质量保修责任</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发生紧急抢修事故的，乙方在接到事故通知后，应当立即到事故现场抢修，抢修费用由乙方支付。</w:t>
      </w:r>
    </w:p>
    <w:p>
      <w:pPr>
        <w:pStyle w:val="146"/>
        <w:keepNext w:val="0"/>
        <w:keepLines w:val="0"/>
        <w:pageBreakBefore w:val="0"/>
        <w:widowControl w:val="0"/>
        <w:kinsoku/>
        <w:wordWrap/>
        <w:overflowPunct/>
        <w:topLinePunct w:val="0"/>
        <w:bidi w:val="0"/>
        <w:snapToGrid/>
        <w:spacing w:line="440" w:lineRule="exact"/>
        <w:ind w:firstLine="482" w:firstLineChars="200"/>
        <w:jc w:val="both"/>
        <w:textAlignment w:val="auto"/>
        <w:rPr>
          <w:rFonts w:ascii="宋体" w:hAnsi="宋体" w:cs="宋体"/>
          <w:b/>
          <w:bCs/>
          <w:color w:val="auto"/>
          <w:highlight w:val="none"/>
        </w:rPr>
      </w:pPr>
      <w:r>
        <w:rPr>
          <w:rFonts w:hint="eastAsia" w:ascii="宋体" w:hAnsi="宋体" w:cs="宋体"/>
          <w:b/>
          <w:bCs/>
          <w:color w:val="auto"/>
          <w:highlight w:val="none"/>
        </w:rPr>
        <w:t>第八条  后期管护</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1.项目通过</w:t>
      </w:r>
      <w:r>
        <w:rPr>
          <w:rFonts w:hint="eastAsia" w:ascii="宋体" w:hAnsi="宋体" w:cs="宋体"/>
          <w:color w:val="auto"/>
          <w:kern w:val="0"/>
          <w:sz w:val="24"/>
          <w:highlight w:val="none"/>
          <w:lang w:val="en-US" w:eastAsia="zh-CN"/>
        </w:rPr>
        <w:t>报备入库</w:t>
      </w:r>
      <w:r>
        <w:rPr>
          <w:rFonts w:hint="eastAsia" w:ascii="宋体" w:hAnsi="宋体" w:cs="宋体"/>
          <w:color w:val="auto"/>
          <w:kern w:val="0"/>
          <w:sz w:val="24"/>
          <w:highlight w:val="none"/>
        </w:rPr>
        <w:t>后，乙方将项目</w:t>
      </w:r>
      <w:r>
        <w:rPr>
          <w:rFonts w:hint="eastAsia" w:ascii="宋体" w:hAnsi="宋体" w:cs="宋体"/>
          <w:color w:val="auto"/>
          <w:kern w:val="0"/>
          <w:sz w:val="24"/>
          <w:highlight w:val="none"/>
          <w:lang w:val="en-US" w:eastAsia="zh-CN"/>
        </w:rPr>
        <w:t>整改时配套完成的</w:t>
      </w:r>
      <w:r>
        <w:rPr>
          <w:rFonts w:hint="eastAsia" w:ascii="宋体" w:hAnsi="宋体" w:cs="宋体"/>
          <w:color w:val="auto"/>
          <w:kern w:val="0"/>
          <w:sz w:val="24"/>
          <w:highlight w:val="none"/>
        </w:rPr>
        <w:t>工程设施移交土地权利人所在村委使用，由乙方负责管护3年并承担期间所有管护费用，水田原则上保证连续3年每1年至少种植一造水稻、茭白、菱角、莲藕、</w:t>
      </w:r>
      <w:r>
        <w:rPr>
          <w:color w:val="auto"/>
          <w:highlight w:val="none"/>
        </w:rPr>
        <w:fldChar w:fldCharType="begin"/>
      </w:r>
      <w:r>
        <w:rPr>
          <w:color w:val="auto"/>
          <w:highlight w:val="none"/>
        </w:rPr>
        <w:instrText xml:space="preserve"> HYPERLINK "https://www.baidu.com/s?wd=%E8%8D%B8%E8%8D%A0&amp;tn=SE_PcZhidaonwhc_ngpagmjz&amp;rsv_dl=gh_pc_zhidao" \t "_blank" </w:instrText>
      </w:r>
      <w:r>
        <w:rPr>
          <w:color w:val="auto"/>
          <w:highlight w:val="none"/>
        </w:rPr>
        <w:fldChar w:fldCharType="separate"/>
      </w:r>
      <w:r>
        <w:rPr>
          <w:rFonts w:hint="eastAsia" w:ascii="宋体" w:hAnsi="宋体" w:cs="宋体"/>
          <w:color w:val="auto"/>
          <w:kern w:val="0"/>
          <w:sz w:val="24"/>
          <w:highlight w:val="none"/>
        </w:rPr>
        <w:t>荸荠</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（马蹄）、茨菇等水生农作物（如有新政策文件要求，则按新政策文件规定执行）。</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乙方后期管护质量应确保通过南宁市人民政府办公厅关于印发《南宁市土地整治和高标准农田建设新增耕地核定工作方案的通知》（南府办函〔2018〕188号）、广西壮族自治区自然资源厅办公室《关于进一步规范我区土地整治和高标准农田建设项目新增耕地核定技术审查有关事项的通知》（桂自然资办〔2019〕288号）等规定（如有新政策文件规定，则按新政策文件规定执行）新增耕地核定，满足上级主管部门水田认定标准。</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第九条  违约责任</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1.乙方未按时间期限要求完成项目</w:t>
      </w:r>
      <w:r>
        <w:rPr>
          <w:rFonts w:hint="eastAsia" w:ascii="宋体" w:hAnsi="宋体" w:cs="宋体"/>
          <w:color w:val="auto"/>
          <w:sz w:val="24"/>
          <w:highlight w:val="none"/>
          <w:lang w:val="en-US" w:eastAsia="zh-CN"/>
        </w:rPr>
        <w:t>整改工作</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有权根据实际情况</w:t>
      </w:r>
      <w:r>
        <w:rPr>
          <w:rFonts w:hint="eastAsia" w:ascii="宋体" w:hAnsi="宋体" w:cs="宋体"/>
          <w:color w:val="auto"/>
          <w:sz w:val="24"/>
          <w:highlight w:val="none"/>
        </w:rPr>
        <w:t>解除终止合作协议，乙方自行承担已经投入的相关资金损失并按甲方要求完成现场的清理和撤离。</w:t>
      </w:r>
    </w:p>
    <w:p>
      <w:pPr>
        <w:pStyle w:val="146"/>
        <w:keepNext w:val="0"/>
        <w:keepLines w:val="0"/>
        <w:pageBreakBefore w:val="0"/>
        <w:widowControl w:val="0"/>
        <w:kinsoku/>
        <w:wordWrap/>
        <w:overflowPunct/>
        <w:topLinePunct w:val="0"/>
        <w:bidi w:val="0"/>
        <w:snapToGrid/>
        <w:spacing w:line="440" w:lineRule="exact"/>
        <w:ind w:firstLine="482" w:firstLineChars="200"/>
        <w:jc w:val="both"/>
        <w:textAlignment w:val="auto"/>
        <w:rPr>
          <w:rFonts w:ascii="宋体" w:hAnsi="宋体" w:cs="宋体"/>
          <w:b/>
          <w:bCs/>
          <w:color w:val="auto"/>
          <w:highlight w:val="none"/>
        </w:rPr>
      </w:pPr>
      <w:r>
        <w:rPr>
          <w:rFonts w:hint="eastAsia" w:ascii="宋体" w:hAnsi="宋体" w:cs="宋体"/>
          <w:b/>
          <w:bCs/>
          <w:color w:val="auto"/>
          <w:highlight w:val="none"/>
        </w:rPr>
        <w:t>2.乙方委派的施工单位或乙方作为施工主体</w:t>
      </w:r>
      <w:r>
        <w:rPr>
          <w:rFonts w:hint="eastAsia" w:ascii="宋体" w:hAnsi="宋体" w:cs="宋体"/>
          <w:b/>
          <w:bCs/>
          <w:color w:val="auto"/>
          <w:highlight w:val="none"/>
          <w:lang w:eastAsia="zh-CN"/>
        </w:rPr>
        <w:t>时</w:t>
      </w:r>
      <w:r>
        <w:rPr>
          <w:rFonts w:hint="eastAsia" w:ascii="宋体" w:hAnsi="宋体" w:cs="宋体"/>
          <w:b/>
          <w:bCs/>
          <w:color w:val="auto"/>
          <w:highlight w:val="none"/>
        </w:rPr>
        <w:t>，如果未按规定足额缴存农民工工资保证金的，乙方应</w:t>
      </w:r>
      <w:r>
        <w:rPr>
          <w:rFonts w:hint="eastAsia" w:ascii="宋体" w:hAnsi="宋体" w:cs="宋体"/>
          <w:b/>
          <w:bCs/>
          <w:color w:val="auto"/>
          <w:highlight w:val="none"/>
          <w:lang w:eastAsia="zh-CN"/>
        </w:rPr>
        <w:t>督促</w:t>
      </w:r>
      <w:r>
        <w:rPr>
          <w:rFonts w:hint="eastAsia" w:ascii="宋体" w:hAnsi="宋体" w:cs="宋体"/>
          <w:b/>
          <w:bCs/>
          <w:color w:val="auto"/>
          <w:highlight w:val="none"/>
        </w:rPr>
        <w:t>或由乙方</w:t>
      </w:r>
      <w:r>
        <w:rPr>
          <w:rFonts w:hint="eastAsia" w:ascii="宋体" w:hAnsi="宋体" w:cs="宋体"/>
          <w:b/>
          <w:bCs/>
          <w:color w:val="auto"/>
          <w:highlight w:val="none"/>
          <w:lang w:eastAsia="zh-CN"/>
        </w:rPr>
        <w:t>（</w:t>
      </w:r>
      <w:r>
        <w:rPr>
          <w:rFonts w:hint="eastAsia" w:ascii="宋体" w:hAnsi="宋体" w:cs="宋体"/>
          <w:b/>
          <w:bCs/>
          <w:color w:val="auto"/>
          <w:highlight w:val="none"/>
        </w:rPr>
        <w:t>作为施工主体</w:t>
      </w:r>
      <w:r>
        <w:rPr>
          <w:rFonts w:hint="eastAsia" w:ascii="宋体" w:hAnsi="宋体" w:cs="宋体"/>
          <w:b/>
          <w:bCs/>
          <w:color w:val="auto"/>
          <w:highlight w:val="none"/>
          <w:lang w:eastAsia="zh-CN"/>
        </w:rPr>
        <w:t>时）</w:t>
      </w:r>
      <w:r>
        <w:rPr>
          <w:rFonts w:hint="eastAsia" w:ascii="宋体" w:hAnsi="宋体" w:cs="宋体"/>
          <w:b/>
          <w:bCs/>
          <w:color w:val="auto"/>
          <w:highlight w:val="none"/>
        </w:rPr>
        <w:t>足额缴存农民工工资保证金，并及时解决存在的问题，由此产生的后果由乙方或其委派的施工单位承担，甲方有权解除终止合作协议，并上报有关部门依法进行处罚。</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b/>
          <w:bCs/>
          <w:color w:val="auto"/>
          <w:highlight w:val="none"/>
        </w:rPr>
      </w:pPr>
      <w:r>
        <w:rPr>
          <w:rFonts w:hint="eastAsia" w:ascii="宋体" w:hAnsi="宋体" w:cs="宋体"/>
          <w:color w:val="auto"/>
          <w:highlight w:val="none"/>
        </w:rPr>
        <w:t>3.乙方未按约定履行项目后期管护和工程质量保修义务的，甲方有权启用后期管护保证金委托第三方进行后期管护和返修整改。</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.乙方对实施的项目质量负总责，确保“旱改水”耕地指标数量真实、质量可靠，符合占补平衡要求，如项目质量方面原因造成不能获批耕地提质改造（旱改水）指标，乙方自行承担已经投入的相关资金损失。</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第十条  协议解除</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1.经双方协商一致，可以解除协议，协议解除后，乙方应按甲方要求完成现场的清理和撤离。</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b/>
          <w:bCs/>
          <w:color w:val="auto"/>
          <w:highlight w:val="none"/>
        </w:rPr>
      </w:pPr>
      <w:r>
        <w:rPr>
          <w:rFonts w:hint="eastAsia" w:ascii="宋体" w:hAnsi="宋体" w:cs="宋体"/>
          <w:color w:val="auto"/>
          <w:highlight w:val="none"/>
        </w:rPr>
        <w:t>2.本协议自签订之日起15日内，如乙方不进场开展项目建设相关工作，甲方有权解除终止协议并取消乙方中标承建项目资格。</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.乙方如有违约，经甲方三次书面警告后，乙方仍未能整改的，甲方有权单方解除协议，对于影响劳动生产、未达到使用要求或违反政策法规的工程设施，乙方应承担费用并予以拆除，自行消除影响，恢复原状。</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6.甲方按照本协调有关条款解除协议后，所有已验收、未验收的项目工程设施的所有权、使用权、处置权归属甲方，甲方可在已验收、未验收的工程设施成果基础上施工作业，乙方应向甲方移交工程设施有关施工资料、技术资料且不得进行任何形式的干涉行为。</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第十一条  争议的解决</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本合同履行过程中若发生争议，应友好协商解决；若协商不成，双方向青秀区人民法院提起诉讼。</w:t>
      </w:r>
    </w:p>
    <w:p>
      <w:pPr>
        <w:keepNext w:val="0"/>
        <w:keepLines w:val="0"/>
        <w:pageBreakBefore w:val="0"/>
        <w:widowControl w:val="0"/>
        <w:kinsoku/>
        <w:wordWrap/>
        <w:overflowPunct/>
        <w:topLinePunct w:val="0"/>
        <w:bidi w:val="0"/>
        <w:snapToGrid/>
        <w:spacing w:line="440" w:lineRule="exact"/>
        <w:ind w:firstLine="645"/>
        <w:textAlignment w:val="auto"/>
        <w:rPr>
          <w:rFonts w:ascii="宋体" w:hAnsi="宋体" w:cs="宋体"/>
          <w:b/>
          <w:bCs/>
          <w:color w:val="auto"/>
          <w:sz w:val="24"/>
          <w:highlight w:val="none"/>
        </w:rPr>
      </w:pPr>
      <w:r>
        <w:rPr>
          <w:rFonts w:hint="eastAsia" w:ascii="宋体" w:hAnsi="宋体" w:cs="宋体"/>
          <w:b/>
          <w:bCs/>
          <w:color w:val="auto"/>
          <w:sz w:val="24"/>
          <w:highlight w:val="none"/>
        </w:rPr>
        <w:t>第十二条  其他约定</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甲乙双方已确认本协议所填写的地址及联系方式，一切联系以此为准，双方按本协议地址、电子邮箱收发文书，无论是他人代收、本人拒收、无人签收均视为已送达，已发送信息到电子邮箱视为送达。如一方改变联系方式或联系人的，须及时书面通知对方，否则他方仍有权按原定的联系方式进行联系且视为送达。</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第十三条  附则</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1.本协议自签订之日起生效，项目</w:t>
      </w:r>
      <w:r>
        <w:rPr>
          <w:rFonts w:hint="eastAsia" w:ascii="宋体" w:hAnsi="宋体" w:cs="宋体"/>
          <w:color w:val="auto"/>
          <w:kern w:val="0"/>
          <w:sz w:val="24"/>
          <w:highlight w:val="none"/>
          <w:lang w:val="en-US" w:eastAsia="zh-CN"/>
        </w:rPr>
        <w:t>完成整改和管护工作</w:t>
      </w:r>
      <w:r>
        <w:rPr>
          <w:rFonts w:hint="eastAsia" w:ascii="宋体" w:hAnsi="宋体" w:cs="宋体"/>
          <w:color w:val="auto"/>
          <w:kern w:val="0"/>
          <w:sz w:val="24"/>
          <w:highlight w:val="none"/>
        </w:rPr>
        <w:t>后，本协议自行终止。</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2.本协议的签订及效力不受甲乙双方法定代表人的变更影响。</w:t>
      </w:r>
    </w:p>
    <w:p>
      <w:pPr>
        <w:keepNext w:val="0"/>
        <w:keepLines w:val="0"/>
        <w:pageBreakBefore w:val="0"/>
        <w:widowControl w:val="0"/>
        <w:tabs>
          <w:tab w:val="left" w:pos="5895"/>
        </w:tabs>
        <w:kinsoku/>
        <w:wordWrap/>
        <w:overflowPunct/>
        <w:topLinePunct w:val="0"/>
        <w:bidi w:val="0"/>
        <w:snapToGrid/>
        <w:spacing w:line="440" w:lineRule="exact"/>
        <w:ind w:left="0" w:leftChars="0" w:firstLine="420" w:firstLineChars="175"/>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3.本协议条款约定内容如与青秀区政府政策发生冲突的，以青秀区政府常务会议审定为准，双方可签订补充协议，补充协议与本协议具有同等的法律效力。</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4.协议未尽事宜或有其他情况发生，双方可协商签订补充协议，补充协议与本协议具有同等的法律效力。</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5.本协议一式捌份，甲方、乙方各执肆份，具有同等法律效力，协议经双方法定代表人签字并盖单位公章后生效。</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（正文结束，后为签字盖章页）</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甲方：（公章）                         乙方：（公章）              </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住所：                                    住所：</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或委托代理人（签字）：                   或委托代理人（签字）：</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授权代理人：                              授权代理人：</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电话：                                    电话：</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传真：                                    传真：</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开户名称：                                  开户名称：</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开户银行：                                开户银行：    </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帐号：                                     帐号：</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邮政编码：                                 邮政编码：</w:t>
      </w:r>
    </w:p>
    <w:p>
      <w:pPr>
        <w:pStyle w:val="132"/>
        <w:spacing w:after="160" w:line="240" w:lineRule="auto"/>
        <w:ind w:firstLine="0"/>
        <w:jc w:val="left"/>
        <w:rPr>
          <w:rFonts w:cs="Times New Roman"/>
          <w:color w:val="auto"/>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Ansi="宋体" w:cs="Times New Roman"/>
          <w:b/>
          <w:bCs/>
          <w:color w:val="auto"/>
          <w:sz w:val="36"/>
          <w:szCs w:val="36"/>
          <w:highlight w:val="none"/>
        </w:rPr>
      </w:pPr>
      <w:r>
        <w:rPr>
          <w:rFonts w:hint="eastAsia" w:hAnsi="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color w:val="auto"/>
          <w:kern w:val="0"/>
          <w:highlight w:val="none"/>
        </w:rPr>
      </w:pPr>
      <w:r>
        <w:rPr>
          <w:rFonts w:hint="eastAsia" w:ascii="宋体" w:hAnsi="宋体" w:cs="宋体"/>
          <w:color w:val="auto"/>
          <w:kern w:val="0"/>
          <w:highlight w:val="none"/>
        </w:rPr>
        <w:t>根据政府采购合同</w:t>
      </w:r>
      <w:r>
        <w:rPr>
          <w:rFonts w:hint="eastAsia" w:ascii="宋体" w:hAnsi="宋体" w:cs="宋体"/>
          <w:color w:val="auto"/>
          <w:kern w:val="0"/>
          <w:highlight w:val="none"/>
          <w:u w:val="single"/>
        </w:rPr>
        <w:t>（采购合同编号：</w:t>
      </w:r>
      <w:r>
        <w:rPr>
          <w:rFonts w:ascii="宋体"/>
          <w:color w:val="auto"/>
          <w:kern w:val="0"/>
          <w:highlight w:val="none"/>
          <w:u w:val="single"/>
        </w:rPr>
        <w:t>  </w:t>
      </w:r>
      <w:r>
        <w:rPr>
          <w:rFonts w:hint="eastAsia" w:ascii="宋体" w:hAnsi="宋体" w:cs="宋体"/>
          <w:color w:val="auto"/>
          <w:kern w:val="0"/>
          <w:highlight w:val="none"/>
          <w:u w:val="single"/>
        </w:rPr>
        <w:t>）的约定，我单位对（项目名称）政府采购项目中标（或成交）供应商（公司名称）</w:t>
      </w:r>
      <w:r>
        <w:rPr>
          <w:rFonts w:hint="eastAsia" w:ascii="宋体" w:hAnsi="宋体" w:cs="宋体"/>
          <w:color w:val="auto"/>
          <w:kern w:val="0"/>
          <w:highlight w:val="none"/>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验收方式：</w:t>
            </w:r>
          </w:p>
        </w:tc>
        <w:tc>
          <w:tcPr>
            <w:tcW w:w="6218" w:type="dxa"/>
            <w:gridSpan w:val="5"/>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□自行验收</w:t>
            </w:r>
            <w:r>
              <w:rPr>
                <w:rFonts w:ascii="宋体"/>
                <w:color w:val="auto"/>
                <w:kern w:val="0"/>
                <w:highlight w:val="none"/>
              </w:rPr>
              <w:t>        </w:t>
            </w:r>
            <w:r>
              <w:rPr>
                <w:rFonts w:hint="eastAsia" w:ascii="宋体" w:hAnsi="宋体" w:cs="宋体"/>
                <w:color w:val="auto"/>
                <w:kern w:val="0"/>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序号</w:t>
            </w:r>
          </w:p>
        </w:tc>
        <w:tc>
          <w:tcPr>
            <w:tcW w:w="1963"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名</w:t>
            </w:r>
            <w:r>
              <w:rPr>
                <w:rFonts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数量</w:t>
            </w:r>
          </w:p>
        </w:tc>
        <w:tc>
          <w:tcPr>
            <w:tcW w:w="1779"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与合同约定</w:t>
            </w:r>
          </w:p>
          <w:p>
            <w:pPr>
              <w:widowControl/>
              <w:snapToGrid w:val="0"/>
              <w:ind w:left="-3"/>
              <w:jc w:val="center"/>
              <w:rPr>
                <w:rFonts w:ascii="宋体"/>
                <w:color w:val="auto"/>
                <w:kern w:val="0"/>
                <w:highlight w:val="none"/>
              </w:rPr>
            </w:pPr>
            <w:r>
              <w:rPr>
                <w:rFonts w:hint="eastAsia" w:ascii="宋体" w:hAnsi="宋体" w:cs="宋体"/>
                <w:color w:val="auto"/>
                <w:kern w:val="0"/>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实际供货日期</w:t>
            </w:r>
          </w:p>
        </w:tc>
        <w:tc>
          <w:tcPr>
            <w:tcW w:w="3542" w:type="dxa"/>
            <w:gridSpan w:val="2"/>
            <w:vAlign w:val="center"/>
          </w:tcPr>
          <w:p>
            <w:pPr>
              <w:snapToGrid w:val="0"/>
              <w:jc w:val="left"/>
              <w:rPr>
                <w:rFonts w:ascii="宋体"/>
                <w:color w:val="auto"/>
                <w:kern w:val="0"/>
                <w:highlight w:val="none"/>
              </w:rPr>
            </w:pPr>
          </w:p>
        </w:tc>
        <w:tc>
          <w:tcPr>
            <w:tcW w:w="2522" w:type="dxa"/>
            <w:gridSpan w:val="2"/>
            <w:vAlign w:val="center"/>
          </w:tcPr>
          <w:p>
            <w:pPr>
              <w:snapToGrid w:val="0"/>
              <w:ind w:left="590"/>
              <w:jc w:val="left"/>
              <w:rPr>
                <w:rFonts w:ascii="宋体"/>
                <w:color w:val="auto"/>
                <w:kern w:val="0"/>
                <w:highlight w:val="none"/>
              </w:rPr>
            </w:pPr>
            <w:r>
              <w:rPr>
                <w:rFonts w:hint="eastAsia" w:ascii="宋体" w:hAnsi="宋体" w:cs="宋体"/>
                <w:color w:val="auto"/>
                <w:kern w:val="0"/>
                <w:highlight w:val="none"/>
              </w:rPr>
              <w:t>合同交货验收日期</w:t>
            </w:r>
          </w:p>
        </w:tc>
        <w:tc>
          <w:tcPr>
            <w:tcW w:w="2117" w:type="dxa"/>
            <w:gridSpan w:val="2"/>
            <w:vAlign w:val="center"/>
          </w:tcPr>
          <w:p>
            <w:pPr>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color w:val="auto"/>
                <w:kern w:val="0"/>
                <w:highlight w:val="none"/>
              </w:rPr>
            </w:pPr>
            <w:r>
              <w:rPr>
                <w:rFonts w:ascii="宋体"/>
                <w:color w:val="auto"/>
                <w:kern w:val="0"/>
                <w:highlight w:val="none"/>
              </w:rPr>
              <w:t> </w:t>
            </w:r>
            <w:r>
              <w:rPr>
                <w:rFonts w:ascii="宋体" w:hAnsi="宋体" w:cs="宋体"/>
                <w:color w:val="auto"/>
                <w:kern w:val="0"/>
                <w:highlight w:val="none"/>
              </w:rPr>
              <w:t>(</w:t>
            </w:r>
            <w:r>
              <w:rPr>
                <w:rFonts w:hint="eastAsia" w:ascii="宋体" w:hAnsi="宋体" w:cs="宋体"/>
                <w:color w:val="auto"/>
                <w:kern w:val="0"/>
                <w:highlight w:val="none"/>
              </w:rPr>
              <w:t>按招标采购文件及验收方案等。可附件</w:t>
            </w:r>
            <w:r>
              <w:rPr>
                <w:rFonts w:ascii="宋体" w:hAnsi="宋体" w:cs="宋体"/>
                <w:color w:val="auto"/>
                <w:kern w:val="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验收小组意见</w:t>
            </w:r>
          </w:p>
        </w:tc>
        <w:tc>
          <w:tcPr>
            <w:tcW w:w="8181" w:type="dxa"/>
            <w:gridSpan w:val="6"/>
            <w:vAlign w:val="center"/>
          </w:tcPr>
          <w:p>
            <w:pPr>
              <w:widowControl/>
              <w:jc w:val="left"/>
              <w:rPr>
                <w:rFonts w:ascii="宋体"/>
                <w:color w:val="auto"/>
                <w:kern w:val="0"/>
                <w:highlight w:val="none"/>
              </w:rPr>
            </w:pPr>
            <w:r>
              <w:rPr>
                <w:rFonts w:ascii="宋体"/>
                <w:color w:val="auto"/>
                <w:kern w:val="0"/>
                <w:highlight w:val="none"/>
              </w:rPr>
              <w:t> </w:t>
            </w:r>
          </w:p>
          <w:p>
            <w:pPr>
              <w:widowControl/>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供应商签字或盖章：</w:t>
            </w:r>
          </w:p>
          <w:p>
            <w:pPr>
              <w:widowControl/>
              <w:jc w:val="left"/>
              <w:rPr>
                <w:rFonts w:ascii="宋体"/>
                <w:color w:val="auto"/>
                <w:kern w:val="0"/>
                <w:highlight w:val="none"/>
              </w:rPr>
            </w:pPr>
            <w:r>
              <w:rPr>
                <w:rFonts w:hint="eastAsia" w:ascii="宋体" w:hAnsi="宋体" w:cs="宋体"/>
                <w:color w:val="auto"/>
                <w:kern w:val="0"/>
                <w:highlight w:val="none"/>
              </w:rPr>
              <w:t>联系方式：</w:t>
            </w:r>
            <w:r>
              <w:rPr>
                <w:rFonts w:ascii="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c>
          <w:tcPr>
            <w:tcW w:w="4639" w:type="dxa"/>
            <w:gridSpan w:val="4"/>
            <w:vAlign w:val="center"/>
          </w:tcPr>
          <w:p>
            <w:pPr>
              <w:widowControl/>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采购单位盖章：</w:t>
            </w:r>
          </w:p>
          <w:p>
            <w:pPr>
              <w:widowControl/>
              <w:ind w:firstLine="2119"/>
              <w:jc w:val="left"/>
              <w:rPr>
                <w:rFonts w:ascii="宋体"/>
                <w:color w:val="auto"/>
                <w:kern w:val="0"/>
                <w:highlight w:val="none"/>
              </w:rPr>
            </w:pP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r>
    </w:tbl>
    <w:p>
      <w:pPr>
        <w:widowControl/>
        <w:jc w:val="left"/>
        <w:rPr>
          <w:rFonts w:ascii="宋体"/>
          <w:color w:val="auto"/>
          <w:kern w:val="0"/>
          <w:highlight w:val="none"/>
        </w:rPr>
      </w:pPr>
      <w:r>
        <w:rPr>
          <w:rFonts w:hint="eastAsia" w:ascii="宋体" w:hAnsi="宋体" w:cs="宋体"/>
          <w:color w:val="auto"/>
          <w:spacing w:val="-20"/>
          <w:kern w:val="0"/>
          <w:highlight w:val="none"/>
        </w:rPr>
        <w:t>备注：本报告单一式</w:t>
      </w:r>
      <w:r>
        <w:rPr>
          <w:rFonts w:ascii="宋体" w:hAnsi="宋体" w:cs="宋体"/>
          <w:color w:val="auto"/>
          <w:spacing w:val="-20"/>
          <w:kern w:val="0"/>
          <w:highlight w:val="none"/>
        </w:rPr>
        <w:t xml:space="preserve"> 4 </w:t>
      </w:r>
      <w:r>
        <w:rPr>
          <w:rFonts w:hint="eastAsia" w:ascii="宋体" w:hAnsi="宋体" w:cs="宋体"/>
          <w:color w:val="auto"/>
          <w:spacing w:val="-20"/>
          <w:kern w:val="0"/>
          <w:highlight w:val="none"/>
        </w:rPr>
        <w:t>份（采购单位</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份、供应商</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份、采购监督部门备案</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份、采购代理机构</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w:t>
      </w:r>
      <w:r>
        <w:rPr>
          <w:rFonts w:hint="eastAsia" w:ascii="宋体" w:hAnsi="宋体" w:cs="宋体"/>
          <w:color w:val="auto"/>
          <w:kern w:val="0"/>
          <w:highlight w:val="none"/>
        </w:rPr>
        <w:t>）。</w:t>
      </w:r>
    </w:p>
    <w:p>
      <w:pPr>
        <w:jc w:val="left"/>
        <w:rPr>
          <w:rFonts w:ascii="宋体"/>
          <w:color w:val="auto"/>
          <w:sz w:val="24"/>
          <w:szCs w:val="24"/>
          <w:highlight w:val="none"/>
        </w:rPr>
      </w:pPr>
    </w:p>
    <w:p>
      <w:pPr>
        <w:pStyle w:val="24"/>
        <w:tabs>
          <w:tab w:val="left" w:pos="2472"/>
        </w:tabs>
        <w:snapToGrid w:val="0"/>
        <w:jc w:val="center"/>
        <w:rPr>
          <w:rFonts w:hAnsi="宋体" w:cs="Times New Roman"/>
          <w:color w:val="auto"/>
          <w:highlight w:val="none"/>
        </w:rPr>
        <w:sectPr>
          <w:footerReference r:id="rId4" w:type="first"/>
          <w:footerReference r:id="rId3" w:type="default"/>
          <w:pgSz w:w="11900" w:h="16840"/>
          <w:pgMar w:top="1418" w:right="1418" w:bottom="1418" w:left="1418" w:header="851" w:footer="992" w:gutter="0"/>
          <w:cols w:space="720" w:num="1"/>
          <w:titlePg/>
          <w:docGrid w:linePitch="312" w:charSpace="0"/>
        </w:sectPr>
      </w:pPr>
    </w:p>
    <w:p>
      <w:pPr>
        <w:pStyle w:val="24"/>
        <w:tabs>
          <w:tab w:val="left" w:pos="2472"/>
        </w:tabs>
        <w:snapToGrid w:val="0"/>
        <w:jc w:val="center"/>
        <w:rPr>
          <w:rFonts w:hAnsi="宋体" w:cs="Times New Roman"/>
          <w:color w:val="auto"/>
          <w:highlight w:val="none"/>
        </w:rPr>
      </w:pPr>
    </w:p>
    <w:p>
      <w:pPr>
        <w:pStyle w:val="24"/>
        <w:tabs>
          <w:tab w:val="left" w:pos="2472"/>
        </w:tabs>
        <w:snapToGrid w:val="0"/>
        <w:jc w:val="center"/>
        <w:rPr>
          <w:rFonts w:hAnsi="宋体" w:cs="Times New Roman"/>
          <w:color w:val="auto"/>
          <w:highlight w:val="none"/>
        </w:rPr>
      </w:pPr>
    </w:p>
    <w:p>
      <w:pPr>
        <w:pStyle w:val="24"/>
        <w:tabs>
          <w:tab w:val="left" w:pos="2472"/>
        </w:tabs>
        <w:snapToGrid w:val="0"/>
        <w:jc w:val="center"/>
        <w:outlineLvl w:val="0"/>
        <w:rPr>
          <w:rFonts w:hAnsi="宋体" w:cs="Times New Roman"/>
          <w:b/>
          <w:bCs/>
          <w:color w:val="auto"/>
          <w:sz w:val="44"/>
          <w:szCs w:val="44"/>
          <w:highlight w:val="none"/>
        </w:rPr>
      </w:pPr>
    </w:p>
    <w:p>
      <w:pPr>
        <w:pStyle w:val="24"/>
        <w:tabs>
          <w:tab w:val="left" w:pos="2472"/>
        </w:tabs>
        <w:snapToGrid w:val="0"/>
        <w:jc w:val="center"/>
        <w:outlineLvl w:val="0"/>
        <w:rPr>
          <w:rFonts w:hAnsi="宋体" w:cs="Times New Roman"/>
          <w:b/>
          <w:bCs/>
          <w:color w:val="auto"/>
          <w:sz w:val="44"/>
          <w:szCs w:val="44"/>
          <w:highlight w:val="none"/>
        </w:rPr>
      </w:pPr>
    </w:p>
    <w:p>
      <w:pPr>
        <w:pStyle w:val="24"/>
        <w:tabs>
          <w:tab w:val="left" w:pos="2472"/>
        </w:tabs>
        <w:snapToGrid w:val="0"/>
        <w:jc w:val="center"/>
        <w:outlineLvl w:val="0"/>
        <w:rPr>
          <w:rFonts w:hAnsi="宋体" w:cs="Times New Roman"/>
          <w:b/>
          <w:bCs/>
          <w:color w:val="auto"/>
          <w:sz w:val="44"/>
          <w:szCs w:val="44"/>
          <w:highlight w:val="none"/>
        </w:rPr>
      </w:pPr>
      <w:bookmarkStart w:id="121" w:name="_Toc26296"/>
      <w:bookmarkStart w:id="122" w:name="_Toc30020"/>
      <w:r>
        <w:rPr>
          <w:rFonts w:hint="eastAsia" w:hAnsi="宋体"/>
          <w:b/>
          <w:bCs/>
          <w:color w:val="auto"/>
          <w:sz w:val="44"/>
          <w:szCs w:val="44"/>
          <w:highlight w:val="none"/>
        </w:rPr>
        <w:t>第六章投标文件格式</w:t>
      </w:r>
      <w:bookmarkEnd w:id="121"/>
      <w:bookmarkEnd w:id="122"/>
    </w:p>
    <w:p>
      <w:pPr>
        <w:snapToGrid w:val="0"/>
        <w:rPr>
          <w:rFonts w:ascii="宋体"/>
          <w:b/>
          <w:bCs/>
          <w:color w:val="auto"/>
          <w:sz w:val="24"/>
          <w:szCs w:val="24"/>
          <w:highlight w:val="none"/>
        </w:rPr>
      </w:pPr>
      <w:r>
        <w:rPr>
          <w:rFonts w:ascii="宋体"/>
          <w:color w:val="auto"/>
          <w:highlight w:val="none"/>
        </w:rPr>
        <w:br w:type="page"/>
      </w:r>
      <w:r>
        <w:rPr>
          <w:rFonts w:hint="eastAsia" w:ascii="宋体" w:hAnsi="宋体" w:cs="宋体"/>
          <w:b/>
          <w:bCs/>
          <w:color w:val="auto"/>
          <w:sz w:val="24"/>
          <w:szCs w:val="24"/>
          <w:highlight w:val="none"/>
        </w:rPr>
        <w:t>开标一览表信封封面格式（可以手写，密封）：</w:t>
      </w:r>
    </w:p>
    <w:p>
      <w:pPr>
        <w:snapToGrid w:val="0"/>
        <w:rPr>
          <w:rFonts w:ascii="宋体"/>
          <w:color w:val="auto"/>
          <w:sz w:val="24"/>
          <w:szCs w:val="24"/>
          <w:highlight w:val="none"/>
        </w:rPr>
      </w:pPr>
    </w:p>
    <w:p>
      <w:pPr>
        <w:snapToGrid w:val="0"/>
        <w:rPr>
          <w:rFonts w:ascii="宋体"/>
          <w:color w:val="auto"/>
          <w:sz w:val="24"/>
          <w:szCs w:val="24"/>
          <w:highlight w:val="none"/>
        </w:rPr>
      </w:pPr>
    </w:p>
    <w:p>
      <w:pPr>
        <w:pStyle w:val="24"/>
        <w:snapToGrid w:val="0"/>
        <w:jc w:val="center"/>
        <w:rPr>
          <w:rFonts w:hAnsi="宋体" w:cs="Times New Roman"/>
          <w:color w:val="auto"/>
          <w:sz w:val="24"/>
          <w:szCs w:val="24"/>
          <w:highlight w:val="none"/>
        </w:rPr>
      </w:pPr>
      <w:r>
        <w:rPr>
          <w:rFonts w:hint="eastAsia" w:hAnsi="宋体"/>
          <w:color w:val="auto"/>
          <w:sz w:val="24"/>
          <w:szCs w:val="24"/>
          <w:highlight w:val="none"/>
        </w:rPr>
        <w:t>开标一览表</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项目名称：</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分标（此处有分标时填写具体分标号，无分标时填写“无”）</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投标人名称：</w:t>
      </w:r>
    </w:p>
    <w:p>
      <w:pPr>
        <w:pStyle w:val="24"/>
        <w:snapToGrid w:val="0"/>
        <w:jc w:val="center"/>
        <w:rPr>
          <w:rFonts w:hAnsi="宋体" w:cs="Times New Roman"/>
          <w:color w:val="auto"/>
          <w:sz w:val="24"/>
          <w:szCs w:val="24"/>
          <w:highlight w:val="none"/>
        </w:rPr>
      </w:pPr>
    </w:p>
    <w:p>
      <w:pPr>
        <w:pStyle w:val="24"/>
        <w:snapToGrid w:val="0"/>
        <w:jc w:val="center"/>
        <w:rPr>
          <w:rFonts w:hAnsi="宋体" w:cs="Times New Roman"/>
          <w:color w:val="auto"/>
          <w:sz w:val="24"/>
          <w:szCs w:val="24"/>
          <w:highlight w:val="none"/>
        </w:rPr>
      </w:pPr>
    </w:p>
    <w:p>
      <w:pPr>
        <w:rPr>
          <w:rFonts w:ascii="宋体"/>
          <w:color w:val="auto"/>
          <w:sz w:val="24"/>
          <w:szCs w:val="24"/>
          <w:highlight w:val="none"/>
        </w:rPr>
      </w:pPr>
    </w:p>
    <w:p>
      <w:pPr>
        <w:pStyle w:val="8"/>
        <w:snapToGrid w:val="0"/>
        <w:ind w:firstLine="3960" w:firstLineChars="1650"/>
        <w:rPr>
          <w:rFonts w:ascii="宋体"/>
          <w:color w:val="auto"/>
          <w:sz w:val="24"/>
          <w:szCs w:val="24"/>
          <w:highlight w:val="none"/>
        </w:rPr>
      </w:pPr>
      <w:r>
        <w:rPr>
          <w:rFonts w:hint="eastAsia" w:ascii="宋体" w:hAnsi="宋体" w:cs="宋体"/>
          <w:color w:val="auto"/>
          <w:sz w:val="24"/>
          <w:szCs w:val="24"/>
          <w:highlight w:val="none"/>
        </w:rPr>
        <w:t>在开标时间之前不得启封</w:t>
      </w:r>
    </w:p>
    <w:p>
      <w:pPr>
        <w:pStyle w:val="8"/>
        <w:snapToGrid w:val="0"/>
        <w:ind w:firstLine="998" w:firstLineChars="416"/>
        <w:rPr>
          <w:rFonts w:ascii="宋体"/>
          <w:color w:val="auto"/>
          <w:sz w:val="24"/>
          <w:szCs w:val="24"/>
          <w:highlight w:val="none"/>
        </w:rPr>
      </w:pPr>
    </w:p>
    <w:p>
      <w:pPr>
        <w:snapToGrid w:val="0"/>
        <w:ind w:firstLine="645"/>
        <w:jc w:val="center"/>
        <w:rPr>
          <w:rFonts w:ascii="宋体"/>
          <w:color w:val="auto"/>
          <w:sz w:val="24"/>
          <w:szCs w:val="24"/>
          <w:highlight w:val="none"/>
        </w:rPr>
      </w:pPr>
      <w:r>
        <w:rPr>
          <w:rFonts w:hint="eastAsia" w:ascii="宋体" w:hAnsi="宋体" w:cs="宋体"/>
          <w:color w:val="auto"/>
          <w:sz w:val="24"/>
          <w:szCs w:val="24"/>
          <w:highlight w:val="none"/>
        </w:rPr>
        <w:t>年月日</w:t>
      </w:r>
    </w:p>
    <w:p>
      <w:pPr>
        <w:snapToGrid w:val="0"/>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开标一览表（格式）</w:t>
      </w: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napToGrid w:val="0"/>
        <w:jc w:val="center"/>
        <w:rPr>
          <w:rFonts w:ascii="宋体"/>
          <w:b/>
          <w:bCs/>
          <w:color w:val="auto"/>
          <w:sz w:val="24"/>
          <w:szCs w:val="24"/>
          <w:highlight w:val="none"/>
        </w:rPr>
      </w:pPr>
    </w:p>
    <w:p>
      <w:pPr>
        <w:pStyle w:val="18"/>
        <w:rPr>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仿宋_GB2312" w:eastAsia="仿宋_GB2312"/>
          <w:color w:val="auto"/>
          <w:sz w:val="24"/>
          <w:szCs w:val="24"/>
          <w:highlight w:val="none"/>
        </w:rPr>
      </w:pPr>
      <w:r>
        <w:rPr>
          <w:rFonts w:hint="eastAsia" w:ascii="宋体" w:hAnsi="宋体" w:cs="宋体"/>
          <w:color w:val="auto"/>
          <w:sz w:val="24"/>
          <w:szCs w:val="24"/>
          <w:highlight w:val="none"/>
        </w:rPr>
        <w:t>投标人名称：</w:t>
      </w:r>
    </w:p>
    <w:tbl>
      <w:tblPr>
        <w:tblStyle w:val="37"/>
        <w:tblpPr w:leftFromText="180" w:rightFromText="180" w:vertAnchor="text" w:horzAnchor="margin" w:tblpXSpec="right" w:tblpY="22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8"/>
        <w:gridCol w:w="1560"/>
        <w:gridCol w:w="1500"/>
        <w:gridCol w:w="1050"/>
        <w:gridCol w:w="12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988"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1560"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50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05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245"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1796"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Align w:val="center"/>
          </w:tcPr>
          <w:p>
            <w:pPr>
              <w:rPr>
                <w:rFonts w:eastAsia="仿宋_GB2312"/>
                <w:color w:val="auto"/>
                <w:highlight w:val="none"/>
              </w:rPr>
            </w:pPr>
            <w:r>
              <w:rPr>
                <w:rFonts w:eastAsia="仿宋_GB2312"/>
                <w:color w:val="auto"/>
                <w:highlight w:val="none"/>
              </w:rPr>
              <w:t>1</w:t>
            </w:r>
          </w:p>
        </w:tc>
        <w:tc>
          <w:tcPr>
            <w:tcW w:w="988" w:type="dxa"/>
            <w:vAlign w:val="center"/>
          </w:tcPr>
          <w:p>
            <w:pPr>
              <w:rPr>
                <w:rFonts w:eastAsia="仿宋_GB2312"/>
                <w:color w:val="auto"/>
                <w:highlight w:val="none"/>
              </w:rPr>
            </w:pPr>
          </w:p>
        </w:tc>
        <w:tc>
          <w:tcPr>
            <w:tcW w:w="1560" w:type="dxa"/>
            <w:vAlign w:val="center"/>
          </w:tcPr>
          <w:p>
            <w:pPr>
              <w:rPr>
                <w:rFonts w:eastAsia="仿宋_GB2312"/>
                <w:color w:val="auto"/>
                <w:highlight w:val="none"/>
              </w:rPr>
            </w:pPr>
          </w:p>
        </w:tc>
        <w:tc>
          <w:tcPr>
            <w:tcW w:w="1500" w:type="dxa"/>
            <w:vAlign w:val="center"/>
          </w:tcPr>
          <w:p>
            <w:pPr>
              <w:rPr>
                <w:rFonts w:eastAsia="仿宋_GB2312"/>
                <w:color w:val="auto"/>
                <w:highlight w:val="none"/>
              </w:rPr>
            </w:pPr>
            <w:r>
              <w:rPr>
                <w:rFonts w:hint="eastAsia" w:eastAsia="仿宋_GB2312" w:cs="仿宋_GB2312"/>
                <w:color w:val="auto"/>
                <w:highlight w:val="none"/>
              </w:rPr>
              <w:t>35.4511公顷</w:t>
            </w:r>
          </w:p>
        </w:tc>
        <w:tc>
          <w:tcPr>
            <w:tcW w:w="1050"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796" w:type="dxa"/>
            <w:vAlign w:val="center"/>
          </w:tcPr>
          <w:p>
            <w:pPr>
              <w:rPr>
                <w:rFonts w:hint="default" w:eastAsia="仿宋_GB2312"/>
                <w:color w:val="auto"/>
                <w:highlight w:val="none"/>
                <w:lang w:val="en-US" w:eastAsia="zh-CN"/>
              </w:rPr>
            </w:pPr>
            <w:r>
              <w:rPr>
                <w:rFonts w:hint="eastAsia" w:eastAsia="仿宋_GB2312"/>
                <w:color w:val="auto"/>
                <w:highlight w:val="none"/>
                <w:lang w:val="en-US" w:eastAsia="zh-CN"/>
              </w:rPr>
              <w:t>当最终批复的水田报备入库面积超过35.4511公顷，并且结算总价超过本项目的最高限价时，双方另行协商解决，其中，结算单价按中标的报价计取。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0" w:type="dxa"/>
            <w:vAlign w:val="center"/>
          </w:tcPr>
          <w:p>
            <w:pPr>
              <w:rPr>
                <w:rFonts w:eastAsia="仿宋_GB2312"/>
                <w:color w:val="auto"/>
                <w:highlight w:val="none"/>
              </w:rPr>
            </w:pPr>
            <w:r>
              <w:rPr>
                <w:rFonts w:eastAsia="仿宋_GB2312"/>
                <w:color w:val="auto"/>
                <w:highlight w:val="none"/>
              </w:rPr>
              <w:t>2</w:t>
            </w:r>
          </w:p>
        </w:tc>
        <w:tc>
          <w:tcPr>
            <w:tcW w:w="988" w:type="dxa"/>
            <w:vAlign w:val="center"/>
          </w:tcPr>
          <w:p>
            <w:pPr>
              <w:rPr>
                <w:rFonts w:eastAsia="仿宋_GB2312"/>
                <w:color w:val="auto"/>
                <w:highlight w:val="none"/>
              </w:rPr>
            </w:pPr>
          </w:p>
        </w:tc>
        <w:tc>
          <w:tcPr>
            <w:tcW w:w="1560" w:type="dxa"/>
            <w:vAlign w:val="center"/>
          </w:tcPr>
          <w:p>
            <w:pPr>
              <w:rPr>
                <w:rFonts w:eastAsia="仿宋_GB2312"/>
                <w:color w:val="auto"/>
                <w:highlight w:val="none"/>
              </w:rPr>
            </w:pPr>
          </w:p>
        </w:tc>
        <w:tc>
          <w:tcPr>
            <w:tcW w:w="1500" w:type="dxa"/>
            <w:vAlign w:val="center"/>
          </w:tcPr>
          <w:p>
            <w:pPr>
              <w:rPr>
                <w:rFonts w:eastAsia="仿宋_GB2312"/>
                <w:color w:val="auto"/>
                <w:highlight w:val="none"/>
              </w:rPr>
            </w:pPr>
          </w:p>
        </w:tc>
        <w:tc>
          <w:tcPr>
            <w:tcW w:w="1050"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79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0" w:type="dxa"/>
            <w:vAlign w:val="center"/>
          </w:tcPr>
          <w:p>
            <w:pPr>
              <w:rPr>
                <w:rFonts w:eastAsia="仿宋_GB2312"/>
                <w:color w:val="auto"/>
                <w:highlight w:val="none"/>
              </w:rPr>
            </w:pPr>
            <w:r>
              <w:rPr>
                <w:rFonts w:eastAsia="仿宋_GB2312"/>
                <w:color w:val="auto"/>
                <w:highlight w:val="none"/>
              </w:rPr>
              <w:t>...</w:t>
            </w:r>
          </w:p>
        </w:tc>
        <w:tc>
          <w:tcPr>
            <w:tcW w:w="988" w:type="dxa"/>
            <w:vAlign w:val="center"/>
          </w:tcPr>
          <w:p>
            <w:pPr>
              <w:rPr>
                <w:rFonts w:eastAsia="仿宋_GB2312"/>
                <w:color w:val="auto"/>
                <w:highlight w:val="none"/>
              </w:rPr>
            </w:pPr>
          </w:p>
        </w:tc>
        <w:tc>
          <w:tcPr>
            <w:tcW w:w="1560" w:type="dxa"/>
            <w:vAlign w:val="center"/>
          </w:tcPr>
          <w:p>
            <w:pPr>
              <w:rPr>
                <w:rFonts w:eastAsia="仿宋_GB2312"/>
                <w:color w:val="auto"/>
                <w:highlight w:val="none"/>
              </w:rPr>
            </w:pPr>
          </w:p>
        </w:tc>
        <w:tc>
          <w:tcPr>
            <w:tcW w:w="1500" w:type="dxa"/>
            <w:vAlign w:val="center"/>
          </w:tcPr>
          <w:p>
            <w:pPr>
              <w:rPr>
                <w:rFonts w:eastAsia="仿宋_GB2312"/>
                <w:color w:val="auto"/>
                <w:highlight w:val="none"/>
              </w:rPr>
            </w:pPr>
          </w:p>
        </w:tc>
        <w:tc>
          <w:tcPr>
            <w:tcW w:w="1050"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79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w:t>
      </w:r>
      <w:r>
        <w:rPr>
          <w:rFonts w:ascii="仿宋_GB2312" w:eastAsia="仿宋_GB2312" w:cs="仿宋_GB2312"/>
          <w:color w:val="auto"/>
          <w:sz w:val="24"/>
          <w:szCs w:val="24"/>
          <w:highlight w:val="none"/>
        </w:rPr>
        <w:t>1</w:t>
      </w:r>
      <w:r>
        <w:rPr>
          <w:rFonts w:hint="eastAsia" w:ascii="仿宋_GB2312" w:eastAsia="仿宋_GB2312" w:cs="仿宋_GB2312"/>
          <w:color w:val="auto"/>
          <w:sz w:val="24"/>
          <w:szCs w:val="24"/>
          <w:highlight w:val="none"/>
        </w:rPr>
        <w:t>、表格内容均需按要求填写并盖章，不得留空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snapToGrid w:val="0"/>
        <w:ind w:firstLine="480" w:firstLineChars="2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 xml:space="preserve">    2</w:t>
      </w:r>
      <w:r>
        <w:rPr>
          <w:rFonts w:hint="eastAsia" w:ascii="仿宋_GB2312" w:eastAsia="仿宋_GB2312" w:cs="仿宋_GB2312"/>
          <w:color w:val="auto"/>
          <w:sz w:val="24"/>
          <w:szCs w:val="24"/>
          <w:highlight w:val="none"/>
        </w:rPr>
        <w:t>、以上“报价合计”应与“投标报价明细表”中的“报价合计”相一致。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3</w:t>
      </w:r>
      <w:r>
        <w:rPr>
          <w:rFonts w:hint="eastAsia" w:ascii="仿宋_GB2312" w:eastAsia="仿宋_GB2312" w:cs="仿宋_GB2312"/>
          <w:color w:val="auto"/>
          <w:sz w:val="24"/>
          <w:szCs w:val="24"/>
          <w:highlight w:val="none"/>
        </w:rPr>
        <w:t>、此表请单独用信封封装，信封封面请注明招标编号、标项、投标人名称及“开标一览表”字样。如有多个标段的，每表须分别单独用信封密封。</w:t>
      </w: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snapToGrid w:val="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封套格式：</w:t>
      </w:r>
    </w:p>
    <w:p>
      <w:pPr>
        <w:snapToGrid w:val="0"/>
        <w:rPr>
          <w:rFonts w:ascii="宋体"/>
          <w:color w:val="auto"/>
          <w:sz w:val="24"/>
          <w:szCs w:val="2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标项（如有）：</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在年月日时分前不得开启日</w:t>
      </w:r>
    </w:p>
    <w:p>
      <w:pPr>
        <w:snapToGrid w:val="0"/>
        <w:rPr>
          <w:rFonts w:ascii="宋体"/>
          <w:b/>
          <w:bCs/>
          <w:color w:val="auto"/>
          <w:sz w:val="24"/>
          <w:szCs w:val="24"/>
          <w:highlight w:val="none"/>
        </w:rPr>
      </w:pPr>
    </w:p>
    <w:p>
      <w:pPr>
        <w:snapToGrid w:val="0"/>
        <w:rPr>
          <w:rFonts w:ascii="宋体"/>
          <w:b/>
          <w:bCs/>
          <w:color w:val="auto"/>
          <w:sz w:val="24"/>
          <w:szCs w:val="24"/>
          <w:highlight w:val="none"/>
        </w:rPr>
      </w:pPr>
      <w:r>
        <w:rPr>
          <w:rFonts w:ascii="宋体"/>
          <w:b/>
          <w:bCs/>
          <w:color w:val="auto"/>
          <w:sz w:val="24"/>
          <w:szCs w:val="24"/>
          <w:highlight w:val="none"/>
        </w:rPr>
        <w:br w:type="textWrapping"/>
      </w:r>
      <w:r>
        <w:rPr>
          <w:rFonts w:ascii="宋体"/>
          <w:b/>
          <w:bCs/>
          <w:color w:val="auto"/>
          <w:sz w:val="24"/>
          <w:szCs w:val="24"/>
          <w:highlight w:val="none"/>
        </w:rPr>
        <w:br w:type="page"/>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投标文件封面格式：</w:t>
      </w:r>
    </w:p>
    <w:p>
      <w:pPr>
        <w:snapToGrid w:val="0"/>
        <w:rPr>
          <w:rFonts w:ascii="宋体"/>
          <w:b/>
          <w:bCs/>
          <w:color w:val="auto"/>
          <w:sz w:val="44"/>
          <w:szCs w:val="44"/>
          <w:highlight w:val="none"/>
        </w:rPr>
      </w:pPr>
      <w:r>
        <w:rPr>
          <w:rFonts w:hint="eastAsia" w:ascii="宋体" w:hAnsi="宋体" w:cs="宋体"/>
          <w:b/>
          <w:bCs/>
          <w:color w:val="auto"/>
          <w:sz w:val="44"/>
          <w:szCs w:val="44"/>
          <w:highlight w:val="none"/>
        </w:rPr>
        <w:t>正本</w:t>
      </w:r>
      <w:r>
        <w:rPr>
          <w:rFonts w:ascii="宋体" w:hAnsi="宋体" w:cs="宋体"/>
          <w:b/>
          <w:bCs/>
          <w:color w:val="auto"/>
          <w:sz w:val="44"/>
          <w:szCs w:val="44"/>
          <w:highlight w:val="none"/>
        </w:rPr>
        <w:t>/</w:t>
      </w:r>
      <w:r>
        <w:rPr>
          <w:rFonts w:hint="eastAsia" w:ascii="宋体" w:hAnsi="宋体" w:cs="宋体"/>
          <w:b/>
          <w:bCs/>
          <w:color w:val="auto"/>
          <w:sz w:val="44"/>
          <w:szCs w:val="44"/>
          <w:highlight w:val="none"/>
        </w:rPr>
        <w:t>或副本</w:t>
      </w:r>
    </w:p>
    <w:p>
      <w:pPr>
        <w:snapToGrid w:val="0"/>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rPr>
          <w:rFonts w:ascii="宋体"/>
          <w:color w:val="auto"/>
          <w:sz w:val="24"/>
          <w:szCs w:val="24"/>
          <w:highlight w:val="none"/>
        </w:rPr>
      </w:pP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标项：</w:t>
      </w:r>
    </w:p>
    <w:p>
      <w:pPr>
        <w:snapToGrid w:val="0"/>
        <w:ind w:firstLine="643" w:firstLineChars="200"/>
        <w:rPr>
          <w:rFonts w:ascii="宋体"/>
          <w:b/>
          <w:bCs/>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285" w:firstLineChars="400"/>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年月日</w:t>
      </w:r>
    </w:p>
    <w:p>
      <w:pPr>
        <w:snapToGrid w:val="0"/>
        <w:rPr>
          <w:rFonts w:ascii="宋体"/>
          <w:color w:val="auto"/>
          <w:sz w:val="24"/>
          <w:szCs w:val="24"/>
          <w:highlight w:val="none"/>
        </w:rPr>
      </w:pPr>
      <w:r>
        <w:rPr>
          <w:rFonts w:ascii="宋体"/>
          <w:color w:val="auto"/>
          <w:sz w:val="24"/>
          <w:szCs w:val="24"/>
          <w:highlight w:val="none"/>
        </w:rPr>
        <w:br w:type="page"/>
      </w:r>
      <w:r>
        <w:rPr>
          <w:rFonts w:ascii="宋体" w:hAnsi="宋体" w:cs="宋体"/>
          <w:color w:val="auto"/>
          <w:sz w:val="24"/>
          <w:szCs w:val="24"/>
          <w:highlight w:val="none"/>
        </w:rPr>
        <w:t>3.</w:t>
      </w:r>
      <w:r>
        <w:rPr>
          <w:rFonts w:hint="eastAsia" w:ascii="宋体" w:hAnsi="宋体" w:cs="宋体"/>
          <w:b/>
          <w:bCs/>
          <w:color w:val="auto"/>
          <w:sz w:val="24"/>
          <w:szCs w:val="24"/>
          <w:highlight w:val="none"/>
        </w:rPr>
        <w:t>投标文件目录</w:t>
      </w:r>
    </w:p>
    <w:p>
      <w:pPr>
        <w:snapToGrid w:val="0"/>
        <w:rPr>
          <w:rFonts w:ascii="宋体"/>
          <w:color w:val="auto"/>
          <w:sz w:val="24"/>
          <w:szCs w:val="24"/>
          <w:highlight w:val="none"/>
        </w:rPr>
      </w:pPr>
    </w:p>
    <w:p>
      <w:pPr>
        <w:snapToGrid w:val="0"/>
        <w:jc w:val="left"/>
        <w:rPr>
          <w:rFonts w:ascii="宋体"/>
          <w:color w:val="auto"/>
          <w:sz w:val="24"/>
          <w:szCs w:val="24"/>
          <w:highlight w:val="none"/>
        </w:rPr>
      </w:pPr>
      <w:r>
        <w:rPr>
          <w:rFonts w:hint="eastAsia" w:ascii="宋体" w:hAnsi="宋体" w:cs="宋体"/>
          <w:color w:val="auto"/>
          <w:sz w:val="24"/>
          <w:szCs w:val="24"/>
          <w:highlight w:val="none"/>
        </w:rPr>
        <w:t>按照招标文件第三章“投标人须知”中“三之（一）投标文件的组成”的顺序编排</w:t>
      </w:r>
    </w:p>
    <w:p>
      <w:pPr>
        <w:snapToGrid w:val="0"/>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投标函格式：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投标函</w:t>
      </w:r>
    </w:p>
    <w:p>
      <w:pPr>
        <w:snapToGrid w:val="0"/>
        <w:jc w:val="center"/>
        <w:rPr>
          <w:rFonts w:ascii="宋体"/>
          <w:b/>
          <w:bCs/>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（招标采购单位名称）：</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根据贵方为项目的招标公告（项目编号：</w:t>
      </w:r>
      <w:r>
        <w:rPr>
          <w:rFonts w:ascii="宋体" w:hAnsi="宋体" w:cs="宋体"/>
          <w:color w:val="auto"/>
          <w:sz w:val="24"/>
          <w:szCs w:val="24"/>
          <w:highlight w:val="none"/>
        </w:rPr>
        <w:t>____</w:t>
      </w:r>
      <w:r>
        <w:rPr>
          <w:rFonts w:hint="eastAsia" w:ascii="宋体" w:hAnsi="宋体" w:cs="宋体"/>
          <w:color w:val="auto"/>
          <w:sz w:val="24"/>
          <w:szCs w:val="24"/>
          <w:highlight w:val="none"/>
        </w:rPr>
        <w:t>），签字代表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（全名）经正式授权并代表投标人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投标人名称）提交投标文件正本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据此函，签字代表宣布同意如下：</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pStyle w:val="24"/>
        <w:snapToGrid w:val="0"/>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、按投标报价明细表报价。</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投标人在投标之前已经与贵方进行了充分的沟通，完全理解并接受招标文件的各项规定和要求，对招标文件的合理性、合法性不再有异议。</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如中标，本投标文件至本项目合同履行完毕止均保持有效，本投标人将按“招标文件”及政府采购法律、法规的规定履行合同责任和义务。</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投标人同意按照贵方要求提供与投标有关的一切数据或资料。</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与本投标有关的一切正式往来信函请寄：</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____________</w:t>
      </w:r>
      <w:r>
        <w:rPr>
          <w:rFonts w:hint="eastAsia" w:ascii="宋体" w:hAnsi="宋体" w:cs="宋体"/>
          <w:color w:val="auto"/>
          <w:sz w:val="24"/>
          <w:szCs w:val="24"/>
          <w:highlight w:val="none"/>
        </w:rPr>
        <w:t>邮编：</w:t>
      </w:r>
      <w:r>
        <w:rPr>
          <w:rFonts w:ascii="宋体" w:hAnsi="宋体" w:cs="宋体"/>
          <w:color w:val="auto"/>
          <w:sz w:val="24"/>
          <w:szCs w:val="24"/>
          <w:highlight w:val="none"/>
        </w:rPr>
        <w:t xml:space="preserve">__________   </w:t>
      </w:r>
      <w:r>
        <w:rPr>
          <w:rFonts w:hint="eastAsia" w:ascii="宋体" w:hAnsi="宋体" w:cs="宋体"/>
          <w:color w:val="auto"/>
          <w:sz w:val="24"/>
          <w:szCs w:val="24"/>
          <w:highlight w:val="none"/>
        </w:rPr>
        <w:t>电话：</w:t>
      </w:r>
      <w:r>
        <w:rPr>
          <w:rFonts w:ascii="宋体" w:hAnsi="宋体" w:cs="宋体"/>
          <w:color w:val="auto"/>
          <w:sz w:val="24"/>
          <w:szCs w:val="24"/>
          <w:highlight w:val="none"/>
        </w:rPr>
        <w:t>_____________</w:t>
      </w:r>
    </w:p>
    <w:p>
      <w:pPr>
        <w:snapToGrid w:val="0"/>
        <w:ind w:firstLine="480" w:firstLineChars="200"/>
        <w:rPr>
          <w:rFonts w:ascii="宋体"/>
          <w:color w:val="auto"/>
          <w:sz w:val="24"/>
          <w:szCs w:val="24"/>
          <w:highlight w:val="none"/>
        </w:rPr>
      </w:pP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___________   </w:t>
      </w: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_________ </w:t>
      </w:r>
      <w:r>
        <w:rPr>
          <w:rFonts w:hint="eastAsia" w:ascii="宋体" w:hAnsi="宋体" w:cs="宋体"/>
          <w:color w:val="auto"/>
          <w:sz w:val="24"/>
          <w:szCs w:val="24"/>
          <w:highlight w:val="none"/>
        </w:rPr>
        <w:t>职务：</w:t>
      </w:r>
      <w:r>
        <w:rPr>
          <w:rFonts w:ascii="宋体" w:hAnsi="宋体" w:cs="宋体"/>
          <w:color w:val="auto"/>
          <w:sz w:val="24"/>
          <w:szCs w:val="24"/>
          <w:highlight w:val="none"/>
        </w:rPr>
        <w:t>_____________</w:t>
      </w:r>
    </w:p>
    <w:p>
      <w:pPr>
        <w:snapToGrid w:val="0"/>
        <w:rPr>
          <w:rFonts w:ascii="宋体"/>
          <w:color w:val="auto"/>
          <w:sz w:val="24"/>
          <w:szCs w:val="24"/>
          <w:highlight w:val="none"/>
        </w:rPr>
      </w:pP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投标人名称</w:t>
      </w:r>
      <w:r>
        <w:rPr>
          <w:rFonts w:ascii="宋体" w:hAnsi="宋体" w:cs="宋体"/>
          <w:color w:val="auto"/>
          <w:sz w:val="24"/>
          <w:szCs w:val="24"/>
          <w:highlight w:val="none"/>
        </w:rPr>
        <w:t>:_________________</w:t>
      </w: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开户银行：银行帐号：</w:t>
      </w:r>
    </w:p>
    <w:p>
      <w:pPr>
        <w:snapToGrid w:val="0"/>
        <w:jc w:val="center"/>
        <w:rPr>
          <w:rFonts w:ascii="宋体"/>
          <w:color w:val="auto"/>
          <w:sz w:val="24"/>
          <w:szCs w:val="24"/>
          <w:highlight w:val="none"/>
        </w:rPr>
      </w:pPr>
    </w:p>
    <w:p>
      <w:pPr>
        <w:snapToGrid w:val="0"/>
        <w:jc w:val="center"/>
        <w:rPr>
          <w:rFonts w:ascii="宋体"/>
          <w:color w:val="auto"/>
          <w:sz w:val="24"/>
          <w:szCs w:val="24"/>
          <w:highlight w:val="none"/>
        </w:rPr>
      </w:pPr>
    </w:p>
    <w:p>
      <w:pPr>
        <w:snapToGrid w:val="0"/>
        <w:ind w:firstLine="5040" w:firstLineChars="2100"/>
        <w:rPr>
          <w:rFonts w:ascii="宋体"/>
          <w:color w:val="auto"/>
          <w:sz w:val="24"/>
          <w:szCs w:val="24"/>
          <w:highlight w:val="none"/>
        </w:rPr>
      </w:pPr>
    </w:p>
    <w:p>
      <w:pPr>
        <w:snapToGrid w:val="0"/>
        <w:ind w:firstLine="1920" w:firstLineChars="800"/>
        <w:rPr>
          <w:rFonts w:ascii="宋体" w:hAnsi="宋体" w:cs="宋体"/>
          <w:color w:val="auto"/>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rPr>
          <w:rFonts w:ascii="宋体" w:cs="宋体"/>
          <w:color w:val="auto"/>
          <w:sz w:val="24"/>
          <w:szCs w:val="24"/>
          <w:highlight w:val="none"/>
        </w:rPr>
      </w:pPr>
      <w:r>
        <w:rPr>
          <w:rFonts w:hint="eastAsia" w:ascii="宋体" w:hAnsi="宋体" w:cs="宋体"/>
          <w:color w:val="auto"/>
          <w:sz w:val="24"/>
          <w:szCs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widowControl/>
        <w:jc w:val="left"/>
        <w:rPr>
          <w:rFonts w:ascii="宋体"/>
          <w:color w:val="auto"/>
          <w:highlight w:val="none"/>
        </w:rPr>
      </w:pPr>
      <w:r>
        <w:rPr>
          <w:rFonts w:ascii="宋体"/>
          <w:color w:val="auto"/>
          <w:highlight w:val="none"/>
        </w:rPr>
        <w:br w:type="page"/>
      </w:r>
    </w:p>
    <w:p>
      <w:pPr>
        <w:snapToGrid w:val="0"/>
        <w:ind w:firstLine="2289" w:firstLineChars="950"/>
        <w:rPr>
          <w:rFonts w:ascii="宋体"/>
          <w:b/>
          <w:bCs/>
          <w:color w:val="auto"/>
          <w:sz w:val="24"/>
          <w:szCs w:val="24"/>
          <w:highlight w:val="none"/>
        </w:rPr>
      </w:pPr>
    </w:p>
    <w:p>
      <w:pPr>
        <w:snapToGrid w:val="0"/>
        <w:rPr>
          <w:rFonts w:ascii="宋体"/>
          <w:b/>
          <w:bCs/>
          <w:color w:val="auto"/>
          <w:sz w:val="24"/>
          <w:szCs w:val="24"/>
          <w:highlight w:val="none"/>
        </w:rPr>
      </w:pPr>
      <w:r>
        <w:rPr>
          <w:rFonts w:hint="eastAsia" w:ascii="宋体" w:hAnsi="宋体" w:cs="宋体"/>
          <w:b/>
          <w:bCs/>
          <w:color w:val="auto"/>
          <w:sz w:val="24"/>
          <w:szCs w:val="24"/>
          <w:highlight w:val="none"/>
        </w:rPr>
        <w:t>投标报价明细表格式：</w:t>
      </w:r>
    </w:p>
    <w:p>
      <w:pPr>
        <w:pStyle w:val="24"/>
        <w:snapToGrid w:val="0"/>
        <w:jc w:val="center"/>
        <w:rPr>
          <w:rFonts w:hAnsi="宋体" w:cs="Times New Roman"/>
          <w:b/>
          <w:bCs/>
          <w:color w:val="auto"/>
          <w:sz w:val="32"/>
          <w:szCs w:val="32"/>
          <w:highlight w:val="none"/>
        </w:rPr>
      </w:pPr>
    </w:p>
    <w:p>
      <w:pPr>
        <w:pStyle w:val="24"/>
        <w:snapToGrid w:val="0"/>
        <w:jc w:val="center"/>
        <w:rPr>
          <w:rFonts w:hAnsi="宋体" w:cs="Times New Roman"/>
          <w:b/>
          <w:bCs/>
          <w:color w:val="auto"/>
          <w:sz w:val="32"/>
          <w:szCs w:val="32"/>
          <w:highlight w:val="none"/>
        </w:rPr>
      </w:pPr>
      <w:r>
        <w:rPr>
          <w:rFonts w:hint="eastAsia" w:hAnsi="宋体"/>
          <w:b/>
          <w:bCs/>
          <w:color w:val="auto"/>
          <w:sz w:val="32"/>
          <w:szCs w:val="32"/>
          <w:highlight w:val="none"/>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68"/>
        <w:gridCol w:w="1065"/>
        <w:gridCol w:w="1245"/>
        <w:gridCol w:w="106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1468"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065"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45"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065"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2036"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1468" w:type="dxa"/>
            <w:vAlign w:val="center"/>
          </w:tcPr>
          <w:p>
            <w:pPr>
              <w:rPr>
                <w:rFonts w:eastAsia="仿宋_GB2312"/>
                <w:color w:val="auto"/>
                <w:highlight w:val="none"/>
              </w:rPr>
            </w:pPr>
          </w:p>
        </w:tc>
        <w:tc>
          <w:tcPr>
            <w:tcW w:w="1065" w:type="dxa"/>
            <w:vAlign w:val="center"/>
          </w:tcPr>
          <w:p>
            <w:pPr>
              <w:rPr>
                <w:rFonts w:eastAsia="仿宋_GB2312"/>
                <w:color w:val="auto"/>
                <w:highlight w:val="none"/>
              </w:rPr>
            </w:pPr>
            <w:r>
              <w:rPr>
                <w:rFonts w:hint="eastAsia" w:eastAsia="仿宋_GB2312" w:cs="仿宋_GB2312"/>
                <w:color w:val="auto"/>
                <w:highlight w:val="none"/>
              </w:rPr>
              <w:t>35.4511公顷</w:t>
            </w:r>
          </w:p>
        </w:tc>
        <w:tc>
          <w:tcPr>
            <w:tcW w:w="1245"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2036" w:type="dxa"/>
            <w:vAlign w:val="center"/>
          </w:tcPr>
          <w:p>
            <w:pPr>
              <w:rPr>
                <w:rFonts w:eastAsia="仿宋_GB2312"/>
                <w:color w:val="auto"/>
                <w:highlight w:val="none"/>
              </w:rPr>
            </w:pPr>
            <w:r>
              <w:rPr>
                <w:rFonts w:hint="eastAsia" w:eastAsia="仿宋_GB2312"/>
                <w:color w:val="auto"/>
                <w:highlight w:val="none"/>
                <w:lang w:val="en-US" w:eastAsia="zh-CN"/>
              </w:rPr>
              <w:t>当最终批复的水田报备入库面积超过35.4511公顷，并且结算总价超过本项目的最高限价时，双方另行协商解决，其中，结算单价按中标的报价计取。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1468"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203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1468"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203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ind w:firstLine="480" w:firstLineChars="200"/>
        <w:rPr>
          <w:rFonts w:ascii="仿宋_GB2312" w:eastAsia="仿宋_GB2312"/>
          <w:color w:val="auto"/>
          <w:sz w:val="24"/>
          <w:szCs w:val="24"/>
          <w:highlight w:val="none"/>
        </w:rPr>
      </w:pPr>
    </w:p>
    <w:p>
      <w:pPr>
        <w:ind w:firstLine="480" w:firstLineChars="200"/>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ind w:firstLine="480" w:firstLineChars="200"/>
        <w:rPr>
          <w:rFonts w:ascii="仿宋_GB2312" w:eastAsia="仿宋_GB2312"/>
          <w:color w:val="auto"/>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pStyle w:val="24"/>
        <w:ind w:firstLine="602" w:firstLineChars="250"/>
        <w:rPr>
          <w:rFonts w:hAnsi="宋体" w:cs="Times New Roman"/>
          <w:b/>
          <w:bCs/>
          <w:color w:val="auto"/>
          <w:sz w:val="24"/>
          <w:szCs w:val="24"/>
          <w:highlight w:val="none"/>
        </w:rPr>
      </w:pPr>
    </w:p>
    <w:p>
      <w:pPr>
        <w:tabs>
          <w:tab w:val="left" w:pos="3870"/>
          <w:tab w:val="left" w:pos="4085"/>
        </w:tabs>
        <w:snapToGrid w:val="0"/>
        <w:ind w:firstLine="480" w:firstLineChars="200"/>
        <w:rPr>
          <w:rFonts w:ascii="宋体"/>
          <w:color w:val="auto"/>
          <w:highlight w:val="none"/>
        </w:rPr>
      </w:pPr>
      <w:r>
        <w:rPr>
          <w:rFonts w:hAnsi="宋体"/>
          <w:color w:val="auto"/>
          <w:sz w:val="24"/>
          <w:szCs w:val="24"/>
          <w:highlight w:val="none"/>
        </w:rPr>
        <w:br w:type="page"/>
      </w:r>
    </w:p>
    <w:p>
      <w:pPr>
        <w:rPr>
          <w:rFonts w:ascii="宋体"/>
          <w:color w:val="auto"/>
          <w:highlight w:val="none"/>
        </w:rPr>
      </w:pPr>
    </w:p>
    <w:p>
      <w:pPr>
        <w:tabs>
          <w:tab w:val="left" w:pos="3870"/>
          <w:tab w:val="left" w:pos="4085"/>
        </w:tabs>
        <w:snapToGrid w:val="0"/>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投标声明书格式：</w:t>
      </w:r>
    </w:p>
    <w:p>
      <w:pPr>
        <w:snapToGrid w:val="0"/>
        <w:jc w:val="left"/>
        <w:rPr>
          <w:rFonts w:ascii="宋体"/>
          <w:color w:val="auto"/>
          <w:sz w:val="24"/>
          <w:szCs w:val="24"/>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投标声明书</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spacing w:line="460" w:lineRule="exact"/>
        <w:rPr>
          <w:rFonts w:ascii="宋体"/>
          <w:color w:val="auto"/>
          <w:highlight w:val="none"/>
        </w:rPr>
      </w:pPr>
      <w:r>
        <w:rPr>
          <w:rFonts w:hint="eastAsia" w:ascii="宋体" w:hAnsi="宋体" w:cs="宋体"/>
          <w:color w:val="auto"/>
          <w:highlight w:val="none"/>
        </w:rPr>
        <w:t>致：（招标采购单位名称）：</w:t>
      </w:r>
    </w:p>
    <w:p>
      <w:pPr>
        <w:snapToGrid w:val="0"/>
        <w:spacing w:line="460" w:lineRule="exact"/>
        <w:ind w:firstLine="630" w:firstLineChars="300"/>
        <w:rPr>
          <w:rFonts w:ascii="宋体"/>
          <w:color w:val="auto"/>
          <w:highlight w:val="none"/>
        </w:rPr>
      </w:pPr>
      <w:r>
        <w:rPr>
          <w:rFonts w:ascii="宋体" w:hAnsi="宋体" w:cs="宋体"/>
          <w:color w:val="auto"/>
          <w:highlight w:val="none"/>
        </w:rPr>
        <w:t>______</w:t>
      </w:r>
      <w:r>
        <w:rPr>
          <w:rFonts w:hint="eastAsia" w:ascii="宋体" w:hAnsi="宋体" w:cs="宋体"/>
          <w:color w:val="auto"/>
          <w:highlight w:val="none"/>
        </w:rPr>
        <w:t>（投标人名称）系中华人民共和国合法企业，经营地址。</w:t>
      </w:r>
    </w:p>
    <w:p>
      <w:pPr>
        <w:snapToGrid w:val="0"/>
        <w:spacing w:line="460" w:lineRule="exact"/>
        <w:ind w:firstLine="645"/>
        <w:rPr>
          <w:rFonts w:ascii="宋体"/>
          <w:color w:val="auto"/>
          <w:highlight w:val="none"/>
        </w:rPr>
      </w:pPr>
      <w:r>
        <w:rPr>
          <w:rFonts w:hint="eastAsia" w:ascii="宋体" w:hAnsi="宋体" w:cs="宋体"/>
          <w:color w:val="auto"/>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snapToGrid w:val="0"/>
        <w:spacing w:line="46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我方在参加政府采购活动前</w:t>
      </w:r>
      <w:r>
        <w:rPr>
          <w:rFonts w:ascii="宋体" w:hAnsi="宋体" w:cs="宋体"/>
          <w:color w:val="auto"/>
          <w:highlight w:val="none"/>
        </w:rPr>
        <w:t>3</w:t>
      </w:r>
      <w:r>
        <w:rPr>
          <w:rFonts w:hint="eastAsia" w:ascii="宋体" w:hAnsi="宋体" w:cs="宋体"/>
          <w:color w:val="auto"/>
          <w:highlight w:val="none"/>
        </w:rPr>
        <w:t>年内在经营活动中</w:t>
      </w:r>
      <w:r>
        <w:rPr>
          <w:rFonts w:hint="eastAsia" w:cs="宋体"/>
          <w:color w:val="auto"/>
          <w:highlight w:val="none"/>
          <w:u w:val="single"/>
        </w:rPr>
        <w:t>（填</w:t>
      </w:r>
      <w:r>
        <w:rPr>
          <w:rFonts w:hint="eastAsia" w:ascii="宋体" w:hAnsi="宋体" w:cs="宋体"/>
          <w:color w:val="auto"/>
          <w:highlight w:val="none"/>
          <w:u w:val="single"/>
        </w:rPr>
        <w:t>没有或有</w:t>
      </w:r>
      <w:r>
        <w:rPr>
          <w:rFonts w:hint="eastAsia" w:cs="宋体"/>
          <w:color w:val="auto"/>
          <w:highlight w:val="none"/>
          <w:u w:val="single"/>
        </w:rPr>
        <w:t>）</w:t>
      </w:r>
      <w:r>
        <w:rPr>
          <w:rFonts w:hint="eastAsia" w:ascii="宋体" w:hAnsi="宋体" w:cs="宋体"/>
          <w:color w:val="auto"/>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、我方在“信用中国”或“中国政府采购网”的被列为失信被执行人、重大税收违法案件当事人名单、政府采购严重违法失信行为记录名单情况：</w:t>
      </w:r>
      <w:r>
        <w:rPr>
          <w:rFonts w:hint="eastAsia" w:cs="宋体"/>
          <w:color w:val="auto"/>
          <w:highlight w:val="none"/>
        </w:rPr>
        <w:t>。</w:t>
      </w:r>
    </w:p>
    <w:p>
      <w:pPr>
        <w:snapToGrid w:val="0"/>
        <w:spacing w:line="46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以上事项如有虚假或隐瞒，我方愿意承担一切后果，并不再寻求任何旨在减轻或免除法律责任的辩解。</w:t>
      </w:r>
    </w:p>
    <w:p>
      <w:pPr>
        <w:pStyle w:val="21"/>
        <w:tabs>
          <w:tab w:val="left" w:pos="939"/>
        </w:tabs>
        <w:snapToGrid w:val="0"/>
        <w:spacing w:line="46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120"/>
        <w:snapToGrid w:val="0"/>
        <w:spacing w:line="420" w:lineRule="exact"/>
        <w:ind w:firstLine="200"/>
        <w:rPr>
          <w:rFonts w:ascii="宋体" w:cs="Times New Roman"/>
          <w:color w:val="auto"/>
          <w:sz w:val="21"/>
          <w:szCs w:val="21"/>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snapToGrid w:val="0"/>
        <w:jc w:val="left"/>
        <w:rPr>
          <w:rFonts w:ascii="宋体"/>
          <w:color w:val="auto"/>
          <w:highlight w:val="none"/>
        </w:rPr>
      </w:pPr>
    </w:p>
    <w:p>
      <w:pPr>
        <w:widowControl/>
        <w:jc w:val="left"/>
        <w:rPr>
          <w:rFonts w:ascii="宋体"/>
          <w:b/>
          <w:bCs/>
          <w:color w:val="auto"/>
          <w:kern w:val="0"/>
          <w:sz w:val="36"/>
          <w:szCs w:val="36"/>
          <w:highlight w:val="none"/>
        </w:rPr>
      </w:pPr>
      <w:r>
        <w:rPr>
          <w:rFonts w:ascii="宋体"/>
          <w:b/>
          <w:bCs/>
          <w:color w:val="auto"/>
          <w:kern w:val="0"/>
          <w:sz w:val="36"/>
          <w:szCs w:val="36"/>
          <w:highlight w:val="none"/>
        </w:rPr>
        <w:br w:type="page"/>
      </w: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投标人参加政府采购活动前</w:t>
      </w:r>
      <w:r>
        <w:rPr>
          <w:rFonts w:ascii="宋体" w:hAnsi="宋体" w:cs="宋体"/>
          <w:b/>
          <w:bCs/>
          <w:color w:val="auto"/>
          <w:kern w:val="0"/>
          <w:sz w:val="36"/>
          <w:szCs w:val="36"/>
          <w:highlight w:val="none"/>
        </w:rPr>
        <w:t>3</w:t>
      </w:r>
      <w:r>
        <w:rPr>
          <w:rFonts w:hint="eastAsia" w:ascii="宋体" w:hAnsi="宋体" w:cs="宋体"/>
          <w:b/>
          <w:bCs/>
          <w:color w:val="auto"/>
          <w:kern w:val="0"/>
          <w:sz w:val="36"/>
          <w:szCs w:val="36"/>
          <w:highlight w:val="none"/>
        </w:rPr>
        <w:t>年内在经营活动中没有重大违法记录的声明</w:t>
      </w: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致：广西建设工程机电设备招标中心有限公司</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本公司郑重声明，在参加投标人参加政府采购活动前</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年内在经营活动中没有重大违法记录（重大违法记录指因违法经营收到刑事处罚或者责令停产停业、吊销许可证或者执照、较大数额罚</w:t>
      </w:r>
      <w:r>
        <w:rPr>
          <w:rFonts w:hint="eastAsia" w:ascii="宋体" w:hAnsi="宋体" w:cs="宋体"/>
          <w:color w:val="auto"/>
          <w:sz w:val="24"/>
          <w:szCs w:val="24"/>
          <w:highlight w:val="none"/>
        </w:rPr>
        <w:t>款等行政处</w:t>
      </w:r>
      <w:r>
        <w:rPr>
          <w:rFonts w:hint="eastAsia" w:ascii="宋体" w:hAnsi="宋体" w:cs="宋体"/>
          <w:color w:val="auto"/>
          <w:kern w:val="0"/>
          <w:sz w:val="24"/>
          <w:szCs w:val="24"/>
          <w:highlight w:val="none"/>
        </w:rPr>
        <w:t>罚）</w:t>
      </w: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法定代表人身份证明书格式：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法定代表人身份证明书</w:t>
      </w:r>
    </w:p>
    <w:p>
      <w:pPr>
        <w:ind w:firstLine="840" w:firstLineChars="400"/>
        <w:rPr>
          <w:rFonts w:ascii="宋体"/>
          <w:color w:val="auto"/>
          <w:highlight w:val="none"/>
          <w:u w:val="single"/>
        </w:rPr>
      </w:pPr>
    </w:p>
    <w:p>
      <w:pPr>
        <w:ind w:firstLine="960" w:firstLineChars="400"/>
        <w:rPr>
          <w:rFonts w:ascii="宋体"/>
          <w:color w:val="auto"/>
          <w:sz w:val="24"/>
          <w:szCs w:val="24"/>
          <w:highlight w:val="none"/>
        </w:rPr>
      </w:pPr>
      <w:r>
        <w:rPr>
          <w:rFonts w:hint="eastAsia" w:ascii="宋体" w:hAnsi="宋体" w:cs="宋体"/>
          <w:color w:val="auto"/>
          <w:sz w:val="24"/>
          <w:szCs w:val="24"/>
          <w:highlight w:val="none"/>
          <w:u w:val="single"/>
        </w:rPr>
        <w:t>（法定代表人名字）</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任职务，是</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的法定代表人。</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特此证明。</w:t>
      </w:r>
    </w:p>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u w:val="single"/>
        </w:rPr>
      </w:pPr>
      <w:r>
        <w:rPr>
          <w:rFonts w:hint="eastAsia" w:ascii="宋体" w:hAnsi="宋体" w:cs="宋体"/>
          <w:color w:val="auto"/>
          <w:sz w:val="24"/>
          <w:szCs w:val="24"/>
          <w:highlight w:val="none"/>
        </w:rPr>
        <w:t>单位名称：</w:t>
      </w:r>
    </w:p>
    <w:p>
      <w:pPr>
        <w:rPr>
          <w:rFonts w:ascii="宋体"/>
          <w:color w:val="auto"/>
          <w:sz w:val="24"/>
          <w:szCs w:val="24"/>
          <w:highlight w:val="none"/>
        </w:rPr>
      </w:pPr>
      <w:r>
        <w:rPr>
          <w:rFonts w:hint="eastAsia" w:ascii="宋体" w:hAnsi="宋体" w:cs="宋体"/>
          <w:color w:val="auto"/>
          <w:sz w:val="24"/>
          <w:szCs w:val="24"/>
          <w:highlight w:val="none"/>
        </w:rPr>
        <w:t>（单位公章）</w:t>
      </w:r>
    </w:p>
    <w:p>
      <w:pPr>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法定代表人身份证号码：</w:t>
      </w:r>
    </w:p>
    <w:p>
      <w:pPr>
        <w:ind w:firstLine="360" w:firstLineChars="150"/>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住址：</w:t>
      </w:r>
    </w:p>
    <w:p>
      <w:pPr>
        <w:pStyle w:val="24"/>
        <w:jc w:val="center"/>
        <w:rPr>
          <w:rFonts w:hAnsi="宋体" w:cs="Times New Roman"/>
          <w:color w:val="auto"/>
          <w:sz w:val="24"/>
          <w:szCs w:val="24"/>
          <w:highlight w:val="none"/>
        </w:rPr>
      </w:pPr>
    </w:p>
    <w:p>
      <w:pPr>
        <w:snapToGrid w:val="0"/>
        <w:ind w:firstLine="470" w:firstLineChars="196"/>
        <w:jc w:val="center"/>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投标人法定代表人身份证复印件</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投标人法定代表人身份证复印件：</w:t>
      </w:r>
    </w:p>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p>
            <w:pPr>
              <w:jc w:val="center"/>
              <w:rPr>
                <w:rFonts w:ascii="宋体"/>
                <w:color w:val="auto"/>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法定代表人签名（签章）：</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投标单位（公章）：</w:t>
      </w:r>
    </w:p>
    <w:p>
      <w:pPr>
        <w:rPr>
          <w:rFonts w:ascii="宋体"/>
          <w:color w:val="auto"/>
          <w:highlight w:val="none"/>
        </w:rPr>
      </w:pPr>
    </w:p>
    <w:p>
      <w:pPr>
        <w:ind w:firstLine="735" w:firstLineChars="350"/>
        <w:rPr>
          <w:rFonts w:ascii="宋体"/>
          <w:b/>
          <w:bCs/>
          <w:color w:val="auto"/>
          <w:sz w:val="24"/>
          <w:szCs w:val="24"/>
          <w:highlight w:val="none"/>
        </w:rPr>
      </w:pPr>
      <w:r>
        <w:rPr>
          <w:rFonts w:hint="eastAsia" w:ascii="宋体" w:hAnsi="宋体" w:cs="宋体"/>
          <w:color w:val="auto"/>
          <w:highlight w:val="none"/>
        </w:rPr>
        <w:t>年月日</w:t>
      </w:r>
      <w:r>
        <w:rPr>
          <w:rFonts w:ascii="宋体"/>
          <w:color w:val="auto"/>
          <w:highlight w:val="none"/>
        </w:rPr>
        <w:br w:type="page"/>
      </w:r>
      <w:r>
        <w:rPr>
          <w:rFonts w:hint="eastAsia" w:ascii="宋体" w:hAnsi="宋体" w:cs="宋体"/>
          <w:b/>
          <w:bCs/>
          <w:color w:val="auto"/>
          <w:sz w:val="24"/>
          <w:szCs w:val="24"/>
          <w:highlight w:val="none"/>
        </w:rPr>
        <w:t>授权委托书格式：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授权委托书（格式一）</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我（姓名）系（投标人名称）的法定代表人（投标人若为其他组织形式无法定代表人的应为机构负责人），现授权委托本单位在职职工（姓名）以我方的名义参加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我方对被授权人的签名事项负全部责任。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所在部门：</w:t>
      </w:r>
    </w:p>
    <w:p>
      <w:pPr>
        <w:snapToGrid w:val="0"/>
        <w:rPr>
          <w:rFonts w:ascii="宋体"/>
          <w:color w:val="auto"/>
          <w:sz w:val="24"/>
          <w:szCs w:val="24"/>
          <w:highlight w:val="none"/>
        </w:rPr>
      </w:pPr>
      <w:r>
        <w:rPr>
          <w:rFonts w:hint="eastAsia" w:ascii="宋体" w:hAnsi="宋体" w:cs="宋体"/>
          <w:color w:val="auto"/>
          <w:sz w:val="24"/>
          <w:szCs w:val="24"/>
          <w:highlight w:val="none"/>
        </w:rPr>
        <w:t>职务：</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法定代表人（签字或盖章）：</w:t>
      </w: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投标人公章：</w:t>
      </w:r>
    </w:p>
    <w:p>
      <w:pPr>
        <w:snapToGrid w:val="0"/>
        <w:ind w:firstLine="470" w:firstLineChars="196"/>
        <w:jc w:val="left"/>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rPr>
          <w:rFonts w:ascii="宋体"/>
          <w:color w:val="auto"/>
          <w:highlight w:val="none"/>
        </w:rPr>
      </w:pPr>
    </w:p>
    <w:p>
      <w:pPr>
        <w:rPr>
          <w:rFonts w:ascii="宋体"/>
          <w:color w:val="auto"/>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授权委托书（格式二）</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我（姓名）系自然人，现授权委托（姓名）以本人名义参加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项目的投标活动，并代表本人全权办理针对上述项目的投标、开标、评标、签约等具体事务和签署相关文件。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本人对被授权人的签名事项负全部责任。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3000" w:firstLineChars="1250"/>
        <w:rPr>
          <w:rFonts w:ascii="宋体"/>
          <w:color w:val="auto"/>
          <w:sz w:val="24"/>
          <w:szCs w:val="24"/>
          <w:highlight w:val="none"/>
        </w:rPr>
      </w:pPr>
      <w:r>
        <w:rPr>
          <w:rFonts w:hint="eastAsia" w:ascii="宋体" w:hAnsi="宋体" w:cs="宋体"/>
          <w:color w:val="auto"/>
          <w:sz w:val="24"/>
          <w:szCs w:val="24"/>
          <w:highlight w:val="none"/>
        </w:rPr>
        <w:t>自然人签名并在签名处加盖指印：</w:t>
      </w:r>
    </w:p>
    <w:p>
      <w:pPr>
        <w:snapToGrid w:val="0"/>
        <w:ind w:firstLine="5400" w:firstLineChars="2250"/>
        <w:rPr>
          <w:rFonts w:ascii="宋体"/>
          <w:color w:val="auto"/>
          <w:sz w:val="24"/>
          <w:szCs w:val="24"/>
          <w:highlight w:val="none"/>
        </w:rPr>
      </w:pPr>
    </w:p>
    <w:p>
      <w:pPr>
        <w:snapToGrid w:val="0"/>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highlight w:val="none"/>
        </w:rPr>
      </w:pPr>
      <w:r>
        <w:rPr>
          <w:rFonts w:ascii="宋体"/>
          <w:color w:val="auto"/>
          <w:highlight w:val="none"/>
        </w:rPr>
        <w:br w:type="page"/>
      </w:r>
      <w:r>
        <w:rPr>
          <w:rFonts w:hint="eastAsia" w:ascii="宋体" w:hAnsi="宋体" w:cs="宋体"/>
          <w:color w:val="auto"/>
          <w:highlight w:val="none"/>
        </w:rPr>
        <w:t>委托代理人身份证复印件：</w:t>
      </w:r>
    </w:p>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委托代理人签名：</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委托单位（公章，自然人除外）：</w:t>
      </w:r>
    </w:p>
    <w:p>
      <w:pPr>
        <w:widowControl/>
        <w:jc w:val="left"/>
        <w:rPr>
          <w:rFonts w:ascii="宋体"/>
          <w:b/>
          <w:bCs/>
          <w:color w:val="auto"/>
          <w:sz w:val="24"/>
          <w:szCs w:val="24"/>
          <w:highlight w:val="none"/>
        </w:rPr>
      </w:pPr>
      <w:r>
        <w:rPr>
          <w:rFonts w:ascii="宋体"/>
          <w:b/>
          <w:bCs/>
          <w:color w:val="auto"/>
          <w:sz w:val="24"/>
          <w:szCs w:val="24"/>
          <w:highlight w:val="none"/>
        </w:rPr>
        <w:br w:type="page"/>
      </w:r>
    </w:p>
    <w:p>
      <w:pPr>
        <w:widowControl/>
        <w:jc w:val="left"/>
        <w:rPr>
          <w:rFonts w:ascii="宋体"/>
          <w:b/>
          <w:bCs/>
          <w:color w:val="auto"/>
          <w:sz w:val="24"/>
          <w:szCs w:val="24"/>
          <w:highlight w:val="none"/>
        </w:rPr>
      </w:pPr>
    </w:p>
    <w:p>
      <w:pPr>
        <w:snapToGrid w:val="0"/>
        <w:jc w:val="left"/>
        <w:rPr>
          <w:rFonts w:ascii="宋体"/>
          <w:b/>
          <w:bCs/>
          <w:color w:val="auto"/>
          <w:sz w:val="24"/>
          <w:szCs w:val="24"/>
          <w:highlight w:val="none"/>
        </w:rPr>
      </w:pPr>
      <w:r>
        <w:rPr>
          <w:rFonts w:hint="eastAsia" w:ascii="宋体" w:hAnsi="宋体" w:cs="宋体"/>
          <w:b/>
          <w:bCs/>
          <w:color w:val="auto"/>
          <w:sz w:val="24"/>
          <w:szCs w:val="24"/>
          <w:highlight w:val="none"/>
        </w:rPr>
        <w:t>商务条款偏离表格式：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商务条款偏离表</w:t>
      </w:r>
    </w:p>
    <w:p>
      <w:pPr>
        <w:pStyle w:val="24"/>
        <w:spacing w:line="4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商务条款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的要求，详细填写相应的具体内容。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p>
      <w:pPr>
        <w:pStyle w:val="24"/>
        <w:ind w:firstLine="640" w:firstLineChars="200"/>
        <w:rPr>
          <w:rFonts w:ascii="Times New Roman" w:hAnsi="Times New Roman" w:eastAsia="仿宋_GB2312" w:cs="Times New Roman"/>
          <w:color w:val="auto"/>
          <w:sz w:val="32"/>
          <w:szCs w:val="32"/>
          <w:highlight w:val="none"/>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项号</w:t>
            </w:r>
          </w:p>
        </w:tc>
        <w:tc>
          <w:tcPr>
            <w:tcW w:w="4071"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招标文件的商务需求</w:t>
            </w:r>
          </w:p>
        </w:tc>
        <w:tc>
          <w:tcPr>
            <w:tcW w:w="3720"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投标文件承诺的商务条款</w:t>
            </w:r>
          </w:p>
        </w:tc>
        <w:tc>
          <w:tcPr>
            <w:tcW w:w="1320"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一</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二</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4071"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3720"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1320" w:type="dxa"/>
          </w:tcPr>
          <w:p>
            <w:pPr>
              <w:pStyle w:val="24"/>
              <w:spacing w:line="300" w:lineRule="exact"/>
              <w:rPr>
                <w:rFonts w:ascii="Times New Roman" w:hAnsi="Times New Roman" w:eastAsia="仿宋_GB2312" w:cs="Times New Roman"/>
                <w:color w:val="auto"/>
                <w:highlight w:val="none"/>
              </w:rPr>
            </w:pPr>
          </w:p>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u w:val="single"/>
              </w:rPr>
              <w:t>　　</w:t>
            </w:r>
            <w:r>
              <w:rPr>
                <w:rFonts w:hint="eastAsia" w:ascii="Times New Roman" w:hAnsi="Times New Roman" w:eastAsia="仿宋_GB2312" w:cs="仿宋_GB2312"/>
                <w:color w:val="auto"/>
                <w:highlight w:val="none"/>
              </w:rPr>
              <w:t>分标（此处有分标时填写具体分标号，无分标时填写</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无</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4"/>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widowControl/>
        <w:jc w:val="left"/>
        <w:rPr>
          <w:rFonts w:ascii="宋体"/>
          <w:b/>
          <w:bCs/>
          <w:color w:val="auto"/>
          <w:sz w:val="32"/>
          <w:szCs w:val="32"/>
          <w:highlight w:val="none"/>
        </w:rPr>
      </w:pPr>
      <w:r>
        <w:rPr>
          <w:rFonts w:hAnsi="宋体"/>
          <w:b/>
          <w:bCs/>
          <w:color w:val="auto"/>
          <w:sz w:val="32"/>
          <w:szCs w:val="32"/>
          <w:highlight w:val="none"/>
        </w:rPr>
        <w:br w:type="page"/>
      </w:r>
    </w:p>
    <w:p>
      <w:pPr>
        <w:pStyle w:val="24"/>
        <w:ind w:firstLine="380"/>
        <w:jc w:val="center"/>
        <w:rPr>
          <w:rFonts w:hAnsi="宋体" w:cs="Times New Roman"/>
          <w:b/>
          <w:bCs/>
          <w:color w:val="auto"/>
          <w:sz w:val="32"/>
          <w:szCs w:val="32"/>
          <w:highlight w:val="none"/>
        </w:rPr>
      </w:pPr>
    </w:p>
    <w:p>
      <w:pPr>
        <w:pStyle w:val="24"/>
        <w:ind w:firstLine="380"/>
        <w:jc w:val="center"/>
        <w:rPr>
          <w:rFonts w:hAnsi="宋体" w:cs="Times New Roman"/>
          <w:b/>
          <w:bCs/>
          <w:color w:val="auto"/>
          <w:sz w:val="32"/>
          <w:szCs w:val="32"/>
          <w:highlight w:val="none"/>
        </w:rPr>
      </w:pPr>
    </w:p>
    <w:p>
      <w:pPr>
        <w:pStyle w:val="24"/>
        <w:ind w:firstLine="380"/>
        <w:jc w:val="center"/>
        <w:rPr>
          <w:rFonts w:hAnsi="宋体" w:cs="Times New Roman"/>
          <w:b/>
          <w:bCs/>
          <w:color w:val="auto"/>
          <w:sz w:val="32"/>
          <w:szCs w:val="32"/>
          <w:highlight w:val="none"/>
        </w:rPr>
      </w:pPr>
      <w:r>
        <w:rPr>
          <w:rFonts w:hint="eastAsia" w:hAnsi="宋体"/>
          <w:b/>
          <w:bCs/>
          <w:color w:val="auto"/>
          <w:sz w:val="32"/>
          <w:szCs w:val="32"/>
          <w:highlight w:val="none"/>
        </w:rPr>
        <w:t>售后服务承诺书</w:t>
      </w:r>
    </w:p>
    <w:p>
      <w:pPr>
        <w:snapToGrid w:val="0"/>
        <w:jc w:val="center"/>
        <w:rPr>
          <w:rFonts w:ascii="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由投标人按《招标需求》及评分办法的要求自行分别填写</w:t>
      </w:r>
      <w:r>
        <w:rPr>
          <w:rFonts w:ascii="宋体" w:hAnsi="宋体" w:cs="宋体"/>
          <w:color w:val="auto"/>
          <w:sz w:val="24"/>
          <w:szCs w:val="24"/>
          <w:highlight w:val="none"/>
        </w:rPr>
        <w:t>)</w:t>
      </w:r>
    </w:p>
    <w:p>
      <w:pPr>
        <w:rPr>
          <w:rFonts w:ascii="宋体"/>
          <w:color w:val="auto"/>
          <w:highlight w:val="none"/>
        </w:rPr>
      </w:pPr>
      <w:r>
        <w:rPr>
          <w:rFonts w:ascii="宋体"/>
          <w:b/>
          <w:bCs/>
          <w:color w:val="auto"/>
          <w:sz w:val="24"/>
          <w:szCs w:val="24"/>
          <w:highlight w:val="none"/>
        </w:rPr>
        <w:br w:type="page"/>
      </w:r>
    </w:p>
    <w:p>
      <w:pPr>
        <w:snapToGrid w:val="0"/>
        <w:ind w:firstLine="472" w:firstLineChars="196"/>
        <w:jc w:val="center"/>
        <w:rPr>
          <w:rFonts w:ascii="宋体"/>
          <w:b/>
          <w:bCs/>
          <w:color w:val="auto"/>
          <w:sz w:val="24"/>
          <w:szCs w:val="24"/>
          <w:highlight w:val="none"/>
        </w:rPr>
      </w:pPr>
    </w:p>
    <w:p>
      <w:pPr>
        <w:snapToGrid w:val="0"/>
        <w:rPr>
          <w:rFonts w:ascii="宋体"/>
          <w:b/>
          <w:bCs/>
          <w:color w:val="auto"/>
          <w:highlight w:val="none"/>
        </w:rPr>
      </w:pPr>
      <w:r>
        <w:rPr>
          <w:rFonts w:hint="eastAsia" w:ascii="宋体" w:hAnsi="宋体" w:cs="宋体"/>
          <w:b/>
          <w:bCs/>
          <w:color w:val="auto"/>
          <w:sz w:val="24"/>
          <w:szCs w:val="24"/>
          <w:highlight w:val="none"/>
        </w:rPr>
        <w:t>投标人类似项目业绩情况一览表格式：</w:t>
      </w:r>
    </w:p>
    <w:tbl>
      <w:tblPr>
        <w:tblStyle w:val="37"/>
        <w:tblW w:w="9213"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991"/>
        <w:gridCol w:w="1786"/>
        <w:gridCol w:w="2364"/>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1860" w:type="dxa"/>
            <w:tcBorders>
              <w:top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采购单位名称</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服务名称</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采购数量</w:t>
            </w:r>
          </w:p>
        </w:tc>
        <w:tc>
          <w:tcPr>
            <w:tcW w:w="23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合同金额（万元）</w:t>
            </w:r>
          </w:p>
        </w:tc>
        <w:tc>
          <w:tcPr>
            <w:tcW w:w="1212" w:type="dxa"/>
            <w:tcBorders>
              <w:top w:val="single" w:color="auto" w:sz="4" w:space="0"/>
              <w:lef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bl>
    <w:p>
      <w:pPr>
        <w:snapToGrid w:val="0"/>
        <w:rPr>
          <w:rFonts w:ascii="宋体"/>
          <w:color w:val="auto"/>
          <w:sz w:val="24"/>
          <w:szCs w:val="24"/>
          <w:highlight w:val="none"/>
        </w:rPr>
      </w:pPr>
      <w:r>
        <w:rPr>
          <w:rFonts w:hint="eastAsia" w:ascii="宋体" w:hAnsi="宋体" w:cs="宋体"/>
          <w:color w:val="auto"/>
          <w:sz w:val="24"/>
          <w:szCs w:val="24"/>
          <w:highlight w:val="none"/>
        </w:rPr>
        <w:t>附：销售合同等其他证明复印件</w:t>
      </w: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1995" w:firstLineChars="950"/>
        <w:rPr>
          <w:rFonts w:ascii="宋体"/>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snapToGrid w:val="0"/>
        <w:jc w:val="center"/>
        <w:rPr>
          <w:rFonts w:ascii="宋体"/>
          <w:color w:val="auto"/>
          <w:sz w:val="24"/>
          <w:szCs w:val="24"/>
          <w:highlight w:val="none"/>
        </w:rPr>
      </w:pPr>
    </w:p>
    <w:p>
      <w:pPr>
        <w:jc w:val="center"/>
        <w:rPr>
          <w:rFonts w:ascii="宋体"/>
          <w:b/>
          <w:bCs/>
          <w:color w:val="auto"/>
          <w:sz w:val="28"/>
          <w:szCs w:val="28"/>
          <w:highlight w:val="none"/>
        </w:rPr>
      </w:pPr>
      <w:r>
        <w:rPr>
          <w:rFonts w:ascii="宋体"/>
          <w:b/>
          <w:bCs/>
          <w:color w:val="auto"/>
          <w:sz w:val="24"/>
          <w:szCs w:val="24"/>
          <w:highlight w:val="none"/>
        </w:rPr>
        <w:br w:type="page"/>
      </w:r>
      <w:r>
        <w:rPr>
          <w:rFonts w:hint="eastAsia" w:ascii="宋体" w:hAnsi="宋体" w:cs="宋体"/>
          <w:b/>
          <w:bCs/>
          <w:color w:val="auto"/>
          <w:sz w:val="28"/>
          <w:szCs w:val="28"/>
          <w:highlight w:val="none"/>
        </w:rPr>
        <w:t>技术资料表</w:t>
      </w:r>
    </w:p>
    <w:p>
      <w:pPr>
        <w:pStyle w:val="24"/>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请根据所投服务的实际技术参数，逐条对应本项目招标文件第二章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中的服务内容及要求详细填写相应的具体内容。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eastAsia="仿宋_GB2312"/>
                <w:color w:val="auto"/>
                <w:highlight w:val="none"/>
              </w:rPr>
            </w:pPr>
            <w:r>
              <w:rPr>
                <w:rFonts w:hint="eastAsia" w:eastAsia="仿宋_GB2312" w:cs="仿宋_GB2312"/>
                <w:color w:val="auto"/>
                <w:highlight w:val="none"/>
              </w:rPr>
              <w:t>项号</w:t>
            </w:r>
          </w:p>
        </w:tc>
        <w:tc>
          <w:tcPr>
            <w:tcW w:w="3570" w:type="dxa"/>
            <w:gridSpan w:val="2"/>
            <w:vAlign w:val="center"/>
          </w:tcPr>
          <w:p>
            <w:pPr>
              <w:jc w:val="center"/>
              <w:rPr>
                <w:rFonts w:eastAsia="仿宋_GB2312"/>
                <w:color w:val="auto"/>
                <w:highlight w:val="none"/>
              </w:rPr>
            </w:pPr>
            <w:r>
              <w:rPr>
                <w:rFonts w:hint="eastAsia" w:eastAsia="仿宋_GB2312" w:cs="仿宋_GB2312"/>
                <w:color w:val="auto"/>
                <w:highlight w:val="none"/>
              </w:rPr>
              <w:t>招标文件需求</w:t>
            </w:r>
          </w:p>
        </w:tc>
        <w:tc>
          <w:tcPr>
            <w:tcW w:w="4813" w:type="dxa"/>
            <w:gridSpan w:val="2"/>
            <w:vAlign w:val="center"/>
          </w:tcPr>
          <w:p>
            <w:pPr>
              <w:jc w:val="center"/>
              <w:rPr>
                <w:rFonts w:eastAsia="仿宋_GB2312"/>
                <w:color w:val="auto"/>
                <w:highlight w:val="none"/>
              </w:rPr>
            </w:pPr>
            <w:r>
              <w:rPr>
                <w:rFonts w:hint="eastAsia" w:eastAsia="仿宋_GB2312" w:cs="仿宋_GB2312"/>
                <w:color w:val="auto"/>
                <w:highlight w:val="none"/>
              </w:rPr>
              <w:t>投标文件承诺</w:t>
            </w:r>
          </w:p>
        </w:tc>
        <w:tc>
          <w:tcPr>
            <w:tcW w:w="1168" w:type="dxa"/>
            <w:vMerge w:val="restart"/>
            <w:vAlign w:val="center"/>
          </w:tcPr>
          <w:p>
            <w:pPr>
              <w:rPr>
                <w:rFonts w:eastAsia="仿宋_GB2312"/>
                <w:color w:val="auto"/>
                <w:highlight w:val="none"/>
              </w:rPr>
            </w:pPr>
            <w:r>
              <w:rPr>
                <w:rFonts w:hint="eastAsia"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eastAsia="仿宋_GB2312"/>
                <w:color w:val="auto"/>
                <w:highlight w:val="none"/>
              </w:rPr>
            </w:pPr>
          </w:p>
        </w:tc>
        <w:tc>
          <w:tcPr>
            <w:tcW w:w="1260"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2310" w:type="dxa"/>
            <w:vAlign w:val="center"/>
          </w:tcPr>
          <w:p>
            <w:pPr>
              <w:jc w:val="center"/>
              <w:rPr>
                <w:rFonts w:eastAsia="仿宋_GB2312"/>
                <w:color w:val="auto"/>
                <w:highlight w:val="none"/>
              </w:rPr>
            </w:pPr>
            <w:r>
              <w:rPr>
                <w:rFonts w:hint="eastAsia" w:eastAsia="仿宋_GB2312" w:cs="仿宋_GB2312"/>
                <w:color w:val="auto"/>
                <w:highlight w:val="none"/>
              </w:rPr>
              <w:t>服务内容及要求</w:t>
            </w:r>
          </w:p>
        </w:tc>
        <w:tc>
          <w:tcPr>
            <w:tcW w:w="1516"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3297" w:type="dxa"/>
            <w:vAlign w:val="center"/>
          </w:tcPr>
          <w:p>
            <w:pPr>
              <w:jc w:val="center"/>
              <w:rPr>
                <w:rFonts w:eastAsia="仿宋_GB2312"/>
                <w:color w:val="auto"/>
                <w:highlight w:val="none"/>
              </w:rPr>
            </w:pPr>
            <w:r>
              <w:rPr>
                <w:rFonts w:hint="eastAsia" w:eastAsia="仿宋_GB2312" w:cs="仿宋_GB2312"/>
                <w:color w:val="auto"/>
                <w:highlight w:val="none"/>
              </w:rPr>
              <w:t>所提供服务的内容</w:t>
            </w:r>
          </w:p>
        </w:tc>
        <w:tc>
          <w:tcPr>
            <w:tcW w:w="1168" w:type="dxa"/>
            <w:vMerge w:val="continue"/>
            <w:vAlign w:val="center"/>
          </w:tcPr>
          <w:p>
            <w:pPr>
              <w:widowControl/>
              <w:jc w:val="left"/>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310" w:type="dxa"/>
            <w:vAlign w:val="center"/>
          </w:tcPr>
          <w:p>
            <w:pPr>
              <w:rPr>
                <w:rFonts w:eastAsia="仿宋_GB2312"/>
                <w:color w:val="auto"/>
                <w:highlight w:val="none"/>
              </w:rPr>
            </w:pPr>
          </w:p>
        </w:tc>
        <w:tc>
          <w:tcPr>
            <w:tcW w:w="1516" w:type="dxa"/>
            <w:vAlign w:val="center"/>
          </w:tcPr>
          <w:p>
            <w:pPr>
              <w:rPr>
                <w:rFonts w:eastAsia="仿宋_GB2312"/>
                <w:color w:val="auto"/>
                <w:highlight w:val="none"/>
              </w:rPr>
            </w:pPr>
          </w:p>
        </w:tc>
        <w:tc>
          <w:tcPr>
            <w:tcW w:w="3297" w:type="dxa"/>
            <w:vAlign w:val="center"/>
          </w:tcPr>
          <w:p>
            <w:pPr>
              <w:rPr>
                <w:rFonts w:eastAsia="仿宋_GB2312"/>
                <w:color w:val="auto"/>
                <w:highlight w:val="none"/>
              </w:rPr>
            </w:pPr>
          </w:p>
        </w:tc>
        <w:tc>
          <w:tcPr>
            <w:tcW w:w="1168"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4"/>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4"/>
        <w:spacing w:line="400" w:lineRule="exact"/>
        <w:ind w:left="719" w:leftChars="228" w:hanging="240" w:hangingChars="100"/>
        <w:rPr>
          <w:rFonts w:ascii="Times New Roman" w:hAnsi="Times New Roman" w:eastAsia="楷体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4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p>
    <w:p>
      <w:pPr>
        <w:snapToGrid w:val="0"/>
        <w:jc w:val="center"/>
        <w:rPr>
          <w:rFonts w:ascii="宋体"/>
          <w:color w:val="auto"/>
          <w:sz w:val="24"/>
          <w:szCs w:val="24"/>
          <w:highlight w:val="none"/>
        </w:rPr>
      </w:pPr>
    </w:p>
    <w:p>
      <w:pPr>
        <w:widowControl/>
        <w:shd w:val="clear" w:color="auto" w:fill="FFFFFF"/>
        <w:spacing w:after="240" w:line="360" w:lineRule="atLeast"/>
        <w:ind w:firstLine="480"/>
        <w:jc w:val="center"/>
        <w:rPr>
          <w:rFonts w:ascii="宋体"/>
          <w:b/>
          <w:bCs/>
          <w:color w:val="auto"/>
          <w:kern w:val="0"/>
          <w:sz w:val="28"/>
          <w:szCs w:val="28"/>
          <w:highlight w:val="none"/>
        </w:rPr>
      </w:pPr>
      <w:r>
        <w:rPr>
          <w:rFonts w:ascii="宋体"/>
          <w:color w:val="auto"/>
          <w:highlight w:val="none"/>
        </w:rPr>
        <w:br w:type="page"/>
      </w:r>
      <w:r>
        <w:rPr>
          <w:rFonts w:hint="eastAsia" w:ascii="宋体" w:hAnsi="宋体" w:cs="宋体"/>
          <w:b/>
          <w:bCs/>
          <w:color w:val="auto"/>
          <w:kern w:val="0"/>
          <w:sz w:val="28"/>
          <w:szCs w:val="28"/>
          <w:highlight w:val="none"/>
        </w:rPr>
        <w:t>中小企业声明函</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r>
        <w:rPr>
          <w:rFonts w:hint="eastAsia" w:ascii="宋体" w:hAnsi="宋体" w:cs="宋体"/>
          <w:color w:val="auto"/>
          <w:kern w:val="0"/>
          <w:sz w:val="24"/>
          <w:szCs w:val="24"/>
          <w:highlight w:val="none"/>
        </w:rPr>
        <w:t>本公司郑重声明，根据《政府采购促进中小企业发展暂行办法》（财库</w:t>
      </w:r>
      <w:r>
        <w:rPr>
          <w:rFonts w:ascii="宋体" w:hAnsi="宋体" w:cs="宋体"/>
          <w:color w:val="auto"/>
          <w:kern w:val="0"/>
          <w:sz w:val="24"/>
          <w:szCs w:val="24"/>
          <w:highlight w:val="none"/>
        </w:rPr>
        <w:t>[2011]181</w:t>
      </w:r>
      <w:r>
        <w:rPr>
          <w:rFonts w:hint="eastAsia" w:ascii="宋体" w:hAnsi="宋体" w:cs="宋体"/>
          <w:color w:val="auto"/>
          <w:kern w:val="0"/>
          <w:sz w:val="24"/>
          <w:szCs w:val="24"/>
          <w:highlight w:val="none"/>
        </w:rPr>
        <w:t>号）的规定，本公司为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（请填写：中型、小型、微型）企业。即，本公司同时满足以下条件：</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szCs w:val="24"/>
          <w:highlight w:val="none"/>
        </w:rPr>
        <w:t>[2011]300</w:t>
      </w:r>
      <w:r>
        <w:rPr>
          <w:rFonts w:hint="eastAsia" w:ascii="宋体" w:hAnsi="宋体" w:cs="宋体"/>
          <w:color w:val="auto"/>
          <w:kern w:val="0"/>
          <w:sz w:val="24"/>
          <w:szCs w:val="24"/>
          <w:highlight w:val="none"/>
        </w:rPr>
        <w:t>号）规定的划分标准，本公司为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本公司参加</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单位的</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项目采购活动提供本企业制造的货物，由本企业承担工程、提供服务，或者提供其他</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（请填写：中型、小型、微型）企业制造的货物。本条所称货物不包括使用大型企业注册商标的货物。</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本公司对上述声明的真实性负责。如有虚假，将依法承担相应责任。</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企业名称（盖章）：</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日期：年月日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588" w:lineRule="exact"/>
        <w:jc w:val="center"/>
        <w:rPr>
          <w:rFonts w:ascii="宋体"/>
          <w:b/>
          <w:bCs/>
          <w:color w:val="auto"/>
          <w:spacing w:val="6"/>
          <w:sz w:val="24"/>
          <w:szCs w:val="24"/>
          <w:highlight w:val="none"/>
        </w:rPr>
      </w:pPr>
      <w:bookmarkStart w:id="123" w:name="OLE_LINK14"/>
      <w:bookmarkStart w:id="124" w:name="OLE_LINK13"/>
      <w:r>
        <w:rPr>
          <w:rFonts w:hint="eastAsia" w:ascii="宋体" w:hAnsi="宋体" w:cs="宋体"/>
          <w:b/>
          <w:bCs/>
          <w:color w:val="auto"/>
          <w:spacing w:val="6"/>
          <w:sz w:val="24"/>
          <w:szCs w:val="24"/>
          <w:highlight w:val="none"/>
        </w:rPr>
        <w:t>残疾人福利性单位声明函</w:t>
      </w:r>
    </w:p>
    <w:bookmarkEnd w:id="123"/>
    <w:bookmarkEnd w:id="124"/>
    <w:p>
      <w:pPr>
        <w:spacing w:line="588" w:lineRule="exact"/>
        <w:rPr>
          <w:rFonts w:ascii="宋体"/>
          <w:b/>
          <w:bCs/>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cs="宋体"/>
          <w:color w:val="auto"/>
          <w:sz w:val="24"/>
          <w:szCs w:val="24"/>
          <w:highlight w:val="none"/>
        </w:rPr>
        <w:t>〔</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单位的</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单位名称（盖章）：</w:t>
      </w: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kern w:val="0"/>
          <w:sz w:val="24"/>
          <w:szCs w:val="24"/>
          <w:highlight w:val="none"/>
        </w:rPr>
        <w:t>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pStyle w:val="18"/>
        <w:rPr>
          <w:color w:val="auto"/>
          <w:highlight w:val="none"/>
        </w:rPr>
      </w:pPr>
    </w:p>
    <w:p>
      <w:pPr>
        <w:spacing w:line="360" w:lineRule="auto"/>
        <w:rPr>
          <w:color w:val="auto"/>
          <w:sz w:val="24"/>
          <w:szCs w:val="24"/>
          <w:highlight w:val="none"/>
        </w:rPr>
      </w:pPr>
    </w:p>
    <w:p>
      <w:pPr>
        <w:spacing w:line="360" w:lineRule="auto"/>
        <w:rPr>
          <w:color w:val="auto"/>
          <w:sz w:val="24"/>
          <w:szCs w:val="24"/>
          <w:highlight w:val="none"/>
        </w:rPr>
      </w:pP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第七章质疑函及投诉书格式</w:t>
      </w:r>
    </w:p>
    <w:p>
      <w:pPr>
        <w:spacing w:line="36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质疑函</w:t>
      </w:r>
    </w:p>
    <w:p>
      <w:pPr>
        <w:tabs>
          <w:tab w:val="left" w:pos="606"/>
        </w:tabs>
        <w:rPr>
          <w:rFonts w:ascii="宋体" w:cs="宋体"/>
          <w:color w:val="auto"/>
          <w:sz w:val="24"/>
          <w:szCs w:val="24"/>
          <w:highlight w:val="none"/>
        </w:rPr>
      </w:pPr>
      <w:r>
        <w:rPr>
          <w:rFonts w:hint="eastAsia" w:ascii="宋体" w:hAnsi="宋体" w:cs="宋体"/>
          <w:color w:val="auto"/>
          <w:sz w:val="24"/>
          <w:szCs w:val="24"/>
          <w:highlight w:val="none"/>
        </w:rPr>
        <w:t>一、质疑供应商基本信息</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联系人：联系电话：</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w:t>
      </w:r>
    </w:p>
    <w:p>
      <w:pPr>
        <w:adjustRightInd w:val="0"/>
        <w:snapToGri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二、质疑项目基本情况</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质疑项目的编号：包号：</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采购文件获取日期：</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三、质疑事项具体内容</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pPr>
        <w:adjustRightInd w:val="0"/>
        <w:snapToGrid w:val="0"/>
        <w:spacing w:line="360" w:lineRule="exact"/>
        <w:rPr>
          <w:rFonts w:ascii="宋体" w:cs="宋体"/>
          <w:color w:val="auto"/>
          <w:sz w:val="24"/>
          <w:szCs w:val="24"/>
          <w:highlight w:val="none"/>
        </w:rPr>
      </w:pP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pPr>
        <w:adjustRightInd w:val="0"/>
        <w:snapToGrid w:val="0"/>
        <w:spacing w:line="360" w:lineRule="exact"/>
        <w:rPr>
          <w:rFonts w:ascii="宋体" w:hAnsi="宋体" w:cs="宋体"/>
          <w:color w:val="auto"/>
          <w:sz w:val="24"/>
          <w:szCs w:val="24"/>
          <w:highlight w:val="none"/>
          <w:u w:val="dotted"/>
        </w:rPr>
      </w:pPr>
    </w:p>
    <w:p>
      <w:pPr>
        <w:adjustRightInd w:val="0"/>
        <w:snapToGrid w:val="0"/>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四、与质疑事项相关的质疑请求</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adjustRightInd w:val="0"/>
        <w:snapToGrid w:val="0"/>
        <w:spacing w:line="360" w:lineRule="exact"/>
        <w:rPr>
          <w:rFonts w:ascii="宋体" w:cs="宋体"/>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pStyle w:val="129"/>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宋体" w:cs="宋体"/>
          <w:b/>
          <w:bCs/>
          <w:color w:val="auto"/>
          <w:sz w:val="28"/>
          <w:szCs w:val="28"/>
          <w:highlight w:val="none"/>
        </w:rPr>
      </w:pPr>
      <w:bookmarkStart w:id="125" w:name="page2"/>
      <w:bookmarkEnd w:id="125"/>
      <w:r>
        <w:rPr>
          <w:rFonts w:hint="eastAsia" w:ascii="宋体" w:hAnsi="宋体" w:cs="宋体"/>
          <w:b/>
          <w:bCs/>
          <w:color w:val="auto"/>
          <w:sz w:val="28"/>
          <w:szCs w:val="28"/>
          <w:highlight w:val="none"/>
        </w:rPr>
        <w:t>投诉书</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投诉人：</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采购人名称：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三、质疑基本情况</w:t>
      </w:r>
    </w:p>
    <w:p>
      <w:pPr>
        <w:spacing w:line="360" w:lineRule="exact"/>
        <w:ind w:firstLine="480" w:firstLineChars="200"/>
        <w:rPr>
          <w:rFonts w:ascii="宋体" w:hAnsi="宋体" w:cs="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hAns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exact"/>
        <w:rPr>
          <w:rFonts w:ascii="宋体" w:cs="宋体"/>
          <w:color w:val="auto"/>
          <w:sz w:val="24"/>
          <w:szCs w:val="24"/>
          <w:highlight w:val="none"/>
          <w:u w:val="dotted"/>
        </w:rPr>
      </w:pPr>
    </w:p>
    <w:p>
      <w:pPr>
        <w:spacing w:line="360" w:lineRule="exact"/>
        <w:ind w:firstLine="360" w:firstLineChars="150"/>
        <w:rPr>
          <w:rFonts w:ascii="宋体" w:cs="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hAns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事实依据：</w:t>
      </w:r>
    </w:p>
    <w:p>
      <w:pPr>
        <w:spacing w:line="360" w:lineRule="exact"/>
        <w:rPr>
          <w:rFonts w:ascii="宋体" w:hAnsi="宋体" w:cs="宋体"/>
          <w:color w:val="auto"/>
          <w:sz w:val="24"/>
          <w:szCs w:val="24"/>
          <w:highlight w:val="none"/>
          <w:u w:val="dotted"/>
        </w:rPr>
      </w:pP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exact"/>
        <w:rPr>
          <w:rFonts w:ascii="宋体" w:hAnsi="宋体" w:cs="宋体"/>
          <w:color w:val="auto"/>
          <w:sz w:val="24"/>
          <w:szCs w:val="24"/>
          <w:highlight w:val="none"/>
          <w:u w:val="dotted"/>
        </w:rPr>
      </w:pP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s="宋体"/>
          <w:color w:val="auto"/>
          <w:sz w:val="28"/>
          <w:szCs w:val="28"/>
          <w:highlight w:val="none"/>
        </w:rPr>
      </w:pPr>
    </w:p>
    <w:p>
      <w:pPr>
        <w:tabs>
          <w:tab w:val="left" w:pos="1087"/>
        </w:tabs>
        <w:spacing w:line="360" w:lineRule="auto"/>
        <w:rPr>
          <w:color w:val="auto"/>
          <w:sz w:val="24"/>
          <w:szCs w:val="24"/>
          <w:highlight w:val="none"/>
        </w:rPr>
      </w:pPr>
      <w:r>
        <w:rPr>
          <w:color w:val="auto"/>
          <w:sz w:val="24"/>
          <w:szCs w:val="24"/>
          <w:highlight w:val="none"/>
        </w:rPr>
        <w:tab/>
      </w:r>
    </w:p>
    <w:p>
      <w:pPr>
        <w:spacing w:line="360" w:lineRule="auto"/>
        <w:rPr>
          <w:color w:val="auto"/>
          <w:sz w:val="24"/>
          <w:szCs w:val="24"/>
          <w:highlight w:val="none"/>
        </w:rPr>
      </w:pPr>
    </w:p>
    <w:p>
      <w:pPr>
        <w:spacing w:line="360" w:lineRule="auto"/>
        <w:rPr>
          <w:color w:val="auto"/>
          <w:sz w:val="24"/>
          <w:szCs w:val="24"/>
          <w:highlight w:val="none"/>
        </w:rPr>
      </w:pPr>
    </w:p>
    <w:p>
      <w:pPr>
        <w:tabs>
          <w:tab w:val="left" w:pos="606"/>
        </w:tabs>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tabs>
          <w:tab w:val="left" w:pos="606"/>
        </w:tabs>
        <w:rPr>
          <w:color w:val="auto"/>
          <w:highlight w:val="none"/>
        </w:rPr>
      </w:pPr>
      <w:r>
        <w:rPr>
          <w:rFonts w:hint="eastAsia" w:ascii="宋体" w:hAnsi="宋体" w:cs="宋体"/>
          <w:b/>
          <w:bCs/>
          <w:color w:val="auto"/>
          <w:kern w:val="0"/>
          <w:sz w:val="36"/>
          <w:szCs w:val="36"/>
          <w:highlight w:val="none"/>
        </w:rPr>
        <w:t>附件</w:t>
      </w:r>
    </w:p>
    <w:p>
      <w:pPr>
        <w:tabs>
          <w:tab w:val="left" w:pos="606"/>
        </w:tabs>
        <w:rPr>
          <w:color w:val="auto"/>
          <w:highlight w:val="none"/>
        </w:rPr>
      </w:pPr>
    </w:p>
    <w:p>
      <w:pPr>
        <w:pStyle w:val="3"/>
        <w:jc w:val="center"/>
        <w:rPr>
          <w:color w:val="auto"/>
          <w:highlight w:val="none"/>
        </w:rPr>
      </w:pPr>
      <w:bookmarkStart w:id="126" w:name="_Toc27844"/>
      <w:bookmarkStart w:id="127" w:name="_Toc24796"/>
      <w:r>
        <w:rPr>
          <w:rFonts w:hint="eastAsia" w:cs="宋体"/>
          <w:color w:val="auto"/>
          <w:highlight w:val="none"/>
        </w:rPr>
        <w:t>中标通知书</w:t>
      </w:r>
      <w:bookmarkEnd w:id="126"/>
      <w:bookmarkEnd w:id="127"/>
    </w:p>
    <w:p>
      <w:pPr>
        <w:tabs>
          <w:tab w:val="left" w:pos="606"/>
        </w:tabs>
        <w:rPr>
          <w:color w:val="auto"/>
          <w:sz w:val="28"/>
          <w:szCs w:val="28"/>
          <w:highlight w:val="none"/>
        </w:rPr>
      </w:pPr>
      <w:r>
        <w:rPr>
          <w:rFonts w:hint="eastAsia" w:cs="宋体"/>
          <w:color w:val="auto"/>
          <w:sz w:val="28"/>
          <w:szCs w:val="28"/>
          <w:highlight w:val="none"/>
        </w:rPr>
        <w:t>公司：</w:t>
      </w:r>
    </w:p>
    <w:p>
      <w:pPr>
        <w:tabs>
          <w:tab w:val="left" w:pos="606"/>
        </w:tabs>
        <w:ind w:firstLine="420"/>
        <w:rPr>
          <w:color w:val="auto"/>
          <w:sz w:val="28"/>
          <w:szCs w:val="28"/>
          <w:highlight w:val="none"/>
        </w:rPr>
      </w:pPr>
      <w:r>
        <w:rPr>
          <w:rFonts w:hint="eastAsia" w:cs="宋体"/>
          <w:color w:val="auto"/>
          <w:sz w:val="28"/>
          <w:szCs w:val="28"/>
          <w:highlight w:val="none"/>
          <w:u w:val="single"/>
        </w:rPr>
        <w:t>（代理机构名称）</w:t>
      </w:r>
      <w:r>
        <w:rPr>
          <w:rFonts w:hint="eastAsia" w:cs="宋体"/>
          <w:color w:val="auto"/>
          <w:sz w:val="28"/>
          <w:szCs w:val="28"/>
          <w:highlight w:val="none"/>
        </w:rPr>
        <w:t>受</w:t>
      </w:r>
      <w:r>
        <w:rPr>
          <w:rFonts w:hint="eastAsia" w:cs="宋体"/>
          <w:color w:val="auto"/>
          <w:sz w:val="28"/>
          <w:szCs w:val="28"/>
          <w:highlight w:val="none"/>
          <w:u w:val="single"/>
        </w:rPr>
        <w:t>（采购单位名称）</w:t>
      </w:r>
      <w:r>
        <w:rPr>
          <w:rFonts w:hint="eastAsia" w:cs="宋体"/>
          <w:color w:val="auto"/>
          <w:sz w:val="28"/>
          <w:szCs w:val="28"/>
          <w:highlight w:val="none"/>
        </w:rPr>
        <w:t>的委托，就</w:t>
      </w:r>
      <w:r>
        <w:rPr>
          <w:rFonts w:hint="eastAsia" w:cs="宋体"/>
          <w:color w:val="auto"/>
          <w:sz w:val="28"/>
          <w:szCs w:val="28"/>
          <w:highlight w:val="none"/>
          <w:u w:val="single"/>
        </w:rPr>
        <w:t>项目</w:t>
      </w:r>
      <w:r>
        <w:rPr>
          <w:rFonts w:hint="eastAsia" w:cs="宋体"/>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中标单位：公司</w:t>
      </w:r>
    </w:p>
    <w:p>
      <w:pPr>
        <w:tabs>
          <w:tab w:val="left" w:pos="606"/>
        </w:tabs>
        <w:ind w:firstLine="420"/>
        <w:rPr>
          <w:color w:val="auto"/>
          <w:sz w:val="28"/>
          <w:szCs w:val="28"/>
          <w:highlight w:val="none"/>
        </w:rPr>
      </w:pPr>
      <w:r>
        <w:rPr>
          <w:rFonts w:hint="eastAsia" w:cs="宋体"/>
          <w:color w:val="auto"/>
          <w:sz w:val="28"/>
          <w:szCs w:val="28"/>
          <w:highlight w:val="none"/>
        </w:rPr>
        <w:t>企业规模：□中型□小型□微型□其他</w:t>
      </w:r>
    </w:p>
    <w:p>
      <w:pPr>
        <w:tabs>
          <w:tab w:val="left" w:pos="606"/>
        </w:tabs>
        <w:ind w:firstLine="420"/>
        <w:rPr>
          <w:color w:val="auto"/>
          <w:sz w:val="28"/>
          <w:szCs w:val="28"/>
          <w:highlight w:val="none"/>
        </w:rPr>
      </w:pPr>
      <w:r>
        <w:rPr>
          <w:rFonts w:hint="eastAsia" w:cs="宋体"/>
          <w:color w:val="auto"/>
          <w:sz w:val="28"/>
          <w:szCs w:val="28"/>
          <w:highlight w:val="none"/>
        </w:rPr>
        <w:t>中标金额：（￥元）</w:t>
      </w:r>
    </w:p>
    <w:p>
      <w:pPr>
        <w:tabs>
          <w:tab w:val="left" w:pos="606"/>
        </w:tabs>
        <w:ind w:firstLine="420"/>
        <w:rPr>
          <w:color w:val="auto"/>
          <w:sz w:val="28"/>
          <w:szCs w:val="28"/>
          <w:highlight w:val="none"/>
        </w:rPr>
      </w:pPr>
      <w:r>
        <w:rPr>
          <w:rFonts w:hint="eastAsia" w:cs="宋体"/>
          <w:color w:val="auto"/>
          <w:sz w:val="28"/>
          <w:szCs w:val="28"/>
          <w:highlight w:val="none"/>
        </w:rPr>
        <w:t>交货时间：自合同签定之日起天内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s="宋体"/>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s="宋体"/>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s="宋体"/>
          <w:color w:val="auto"/>
          <w:sz w:val="28"/>
          <w:szCs w:val="28"/>
          <w:highlight w:val="none"/>
        </w:rPr>
        <w:t>代理机构（盖章）：</w:t>
      </w:r>
    </w:p>
    <w:p>
      <w:pPr>
        <w:tabs>
          <w:tab w:val="left" w:pos="606"/>
        </w:tabs>
        <w:ind w:firstLine="4480" w:firstLineChars="1600"/>
        <w:rPr>
          <w:color w:val="auto"/>
          <w:highlight w:val="none"/>
        </w:rPr>
      </w:pPr>
      <w:r>
        <w:rPr>
          <w:rFonts w:hint="eastAsia" w:cs="宋体"/>
          <w:color w:val="auto"/>
          <w:sz w:val="28"/>
          <w:szCs w:val="28"/>
          <w:highlight w:val="none"/>
        </w:rPr>
        <w:t>日期：年月日</w:t>
      </w:r>
    </w:p>
    <w:sectPr>
      <w:pgSz w:w="11900" w:h="16840"/>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0" o:spid="_x0000_s410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JOGzXe4AQAAVgMAAA4AAAAAAAAAAQAgAAAAHwEAAGRycy9lMm9Eb2MueG1sUEsFBgAAAAAGAAYA&#10;WQEAAEkF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55</w:t>
                </w:r>
                <w:r>
                  <w:fldChar w:fldCharType="end"/>
                </w:r>
              </w:p>
            </w:txbxContent>
          </v:textbox>
        </v:shape>
      </w:pict>
    </w:r>
    <w:r>
      <w:pict>
        <v:shape id="文本框 11" o:spid="_x0000_s4102" o:spt="202" type="#_x0000_t202" style="position:absolute;left:0pt;margin-left:750pt;margin-top:508.25pt;height:9.85pt;width:34.55pt;mso-position-horizontal-relative:page;mso-position-vertical-relative:page;mso-wrap-style:none;z-index:-251655168;mso-width-relative:page;mso-height-relative:page;" filled="f" stroked="f" coordsize="21600,21600" o:gfxdata="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3f+42AAAAA8BAAAPAAAAAAAAAAEAIAAAACIAAABkcnMvZG93bnJldi54bWxQSwECFAAUAAAA&#10;CACHTuJAzuOSWLUBAABLAwAADgAAAAAAAAABACAAAAAnAQAAZHJzL2Uyb0RvYy54bWxQSwUGAAAA&#10;AAYABgBZAQAATgUAAAAA&#10;">
          <v:path/>
          <v:fill on="f" focussize="0,0"/>
          <v:stroke on="f" joinstyle="miter"/>
          <v:imagedata o:title=""/>
          <o:lock v:ext="edit"/>
          <v:textbox inset="0mm,0mm,0mm,0mm" style="mso-fit-shape-to-text:t;">
            <w:txbxContent>
              <w:p>
                <w:pPr>
                  <w:jc w:val="left"/>
                  <w:rPr>
                    <w:color w:val="2E2F2F"/>
                    <w:sz w:val="28"/>
                    <w:szCs w:val="28"/>
                    <w:lang w:val="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2" o:spid="_x0000_s4100"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URTtJroBAABWAwAADgAAAAAAAAABACAAAAAfAQAAZHJzL2Uyb0RvYy54bWxQSwUGAAAAAAYA&#10;BgBZAQAASwU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31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45777"/>
    <w:multiLevelType w:val="singleLevel"/>
    <w:tmpl w:val="DB245777"/>
    <w:lvl w:ilvl="0" w:tentative="0">
      <w:start w:val="1"/>
      <w:numFmt w:val="chineseCounting"/>
      <w:lvlText w:val="%1."/>
      <w:lvlJc w:val="left"/>
      <w:pPr>
        <w:tabs>
          <w:tab w:val="left" w:pos="312"/>
        </w:tabs>
      </w:pPr>
      <w:rPr>
        <w:rFonts w:hint="eastAsia"/>
      </w:rPr>
    </w:lvl>
  </w:abstractNum>
  <w:abstractNum w:abstractNumId="1">
    <w:nsid w:val="246CF2D3"/>
    <w:multiLevelType w:val="singleLevel"/>
    <w:tmpl w:val="246CF2D3"/>
    <w:lvl w:ilvl="0" w:tentative="0">
      <w:start w:val="3"/>
      <w:numFmt w:val="chineseCounting"/>
      <w:suff w:val="nothing"/>
      <w:lvlText w:val="（%1）"/>
      <w:lvlJc w:val="left"/>
      <w:rPr>
        <w:rFonts w:hint="eastAsia"/>
      </w:rPr>
    </w:lvl>
  </w:abstractNum>
  <w:abstractNum w:abstractNumId="2">
    <w:nsid w:val="3A7217AC"/>
    <w:multiLevelType w:val="singleLevel"/>
    <w:tmpl w:val="3A7217A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57BA"/>
    <w:rsid w:val="00026337"/>
    <w:rsid w:val="00027C7D"/>
    <w:rsid w:val="00030B35"/>
    <w:rsid w:val="00033872"/>
    <w:rsid w:val="00035C93"/>
    <w:rsid w:val="000369F0"/>
    <w:rsid w:val="00037C8F"/>
    <w:rsid w:val="000403D6"/>
    <w:rsid w:val="00041069"/>
    <w:rsid w:val="00041914"/>
    <w:rsid w:val="000423BF"/>
    <w:rsid w:val="00042EAA"/>
    <w:rsid w:val="00043276"/>
    <w:rsid w:val="00043BC4"/>
    <w:rsid w:val="00044292"/>
    <w:rsid w:val="0004471C"/>
    <w:rsid w:val="00044AFC"/>
    <w:rsid w:val="00045544"/>
    <w:rsid w:val="00047850"/>
    <w:rsid w:val="00047B43"/>
    <w:rsid w:val="00047DE2"/>
    <w:rsid w:val="00050208"/>
    <w:rsid w:val="00051654"/>
    <w:rsid w:val="00051AB7"/>
    <w:rsid w:val="0005233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433"/>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2A8"/>
    <w:rsid w:val="00094717"/>
    <w:rsid w:val="00096217"/>
    <w:rsid w:val="000970AC"/>
    <w:rsid w:val="00097C11"/>
    <w:rsid w:val="000A039F"/>
    <w:rsid w:val="000A0C3A"/>
    <w:rsid w:val="000A0D4E"/>
    <w:rsid w:val="000A1094"/>
    <w:rsid w:val="000A157E"/>
    <w:rsid w:val="000A1DD1"/>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1723"/>
    <w:rsid w:val="000F2036"/>
    <w:rsid w:val="000F6442"/>
    <w:rsid w:val="000F6D2F"/>
    <w:rsid w:val="00103631"/>
    <w:rsid w:val="0010495C"/>
    <w:rsid w:val="0010572F"/>
    <w:rsid w:val="00105882"/>
    <w:rsid w:val="00106614"/>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6F1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024B"/>
    <w:rsid w:val="00141869"/>
    <w:rsid w:val="001421B0"/>
    <w:rsid w:val="001431A2"/>
    <w:rsid w:val="00143F6C"/>
    <w:rsid w:val="00144B48"/>
    <w:rsid w:val="00145F39"/>
    <w:rsid w:val="00146229"/>
    <w:rsid w:val="00146FFB"/>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4348"/>
    <w:rsid w:val="0016511C"/>
    <w:rsid w:val="001651AC"/>
    <w:rsid w:val="0016544B"/>
    <w:rsid w:val="00165540"/>
    <w:rsid w:val="00165BE5"/>
    <w:rsid w:val="001661C8"/>
    <w:rsid w:val="00166B37"/>
    <w:rsid w:val="0016722F"/>
    <w:rsid w:val="001673D1"/>
    <w:rsid w:val="0016754E"/>
    <w:rsid w:val="0016778B"/>
    <w:rsid w:val="001708A0"/>
    <w:rsid w:val="001718A3"/>
    <w:rsid w:val="00171BA6"/>
    <w:rsid w:val="0017219E"/>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0E8A"/>
    <w:rsid w:val="00191828"/>
    <w:rsid w:val="00191EE3"/>
    <w:rsid w:val="001925D6"/>
    <w:rsid w:val="001929B1"/>
    <w:rsid w:val="00192AC2"/>
    <w:rsid w:val="00192BB1"/>
    <w:rsid w:val="00192EAE"/>
    <w:rsid w:val="0019336D"/>
    <w:rsid w:val="001936FC"/>
    <w:rsid w:val="00194697"/>
    <w:rsid w:val="001946BA"/>
    <w:rsid w:val="00195FAD"/>
    <w:rsid w:val="00196B64"/>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632"/>
    <w:rsid w:val="00216AC6"/>
    <w:rsid w:val="00216E58"/>
    <w:rsid w:val="002177B1"/>
    <w:rsid w:val="0022445D"/>
    <w:rsid w:val="002247C5"/>
    <w:rsid w:val="0022542B"/>
    <w:rsid w:val="002259F1"/>
    <w:rsid w:val="00226529"/>
    <w:rsid w:val="0022720F"/>
    <w:rsid w:val="00227F47"/>
    <w:rsid w:val="0023068F"/>
    <w:rsid w:val="00230D7A"/>
    <w:rsid w:val="00232951"/>
    <w:rsid w:val="00232C3F"/>
    <w:rsid w:val="002335F5"/>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12A"/>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76F56"/>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5E2A"/>
    <w:rsid w:val="002B6F4C"/>
    <w:rsid w:val="002B7383"/>
    <w:rsid w:val="002B760E"/>
    <w:rsid w:val="002C1634"/>
    <w:rsid w:val="002C1C3C"/>
    <w:rsid w:val="002C22C6"/>
    <w:rsid w:val="002C25B2"/>
    <w:rsid w:val="002C2919"/>
    <w:rsid w:val="002C41A5"/>
    <w:rsid w:val="002C454F"/>
    <w:rsid w:val="002C4AC2"/>
    <w:rsid w:val="002C5303"/>
    <w:rsid w:val="002C5422"/>
    <w:rsid w:val="002C66A0"/>
    <w:rsid w:val="002C6969"/>
    <w:rsid w:val="002C74F0"/>
    <w:rsid w:val="002C7CC1"/>
    <w:rsid w:val="002C7D11"/>
    <w:rsid w:val="002D07C7"/>
    <w:rsid w:val="002D121B"/>
    <w:rsid w:val="002D197E"/>
    <w:rsid w:val="002D23DB"/>
    <w:rsid w:val="002D24C0"/>
    <w:rsid w:val="002D2980"/>
    <w:rsid w:val="002D3717"/>
    <w:rsid w:val="002D3FDF"/>
    <w:rsid w:val="002D41A7"/>
    <w:rsid w:val="002D49AA"/>
    <w:rsid w:val="002D4A44"/>
    <w:rsid w:val="002D4AE8"/>
    <w:rsid w:val="002D5288"/>
    <w:rsid w:val="002D5702"/>
    <w:rsid w:val="002D7055"/>
    <w:rsid w:val="002D71CB"/>
    <w:rsid w:val="002D72CD"/>
    <w:rsid w:val="002D7920"/>
    <w:rsid w:val="002D7A45"/>
    <w:rsid w:val="002D7D66"/>
    <w:rsid w:val="002E1235"/>
    <w:rsid w:val="002E1398"/>
    <w:rsid w:val="002E2674"/>
    <w:rsid w:val="002E31E0"/>
    <w:rsid w:val="002E3300"/>
    <w:rsid w:val="002E409D"/>
    <w:rsid w:val="002E44B9"/>
    <w:rsid w:val="002E4869"/>
    <w:rsid w:val="002E4A87"/>
    <w:rsid w:val="002E5932"/>
    <w:rsid w:val="002F1032"/>
    <w:rsid w:val="002F1CB1"/>
    <w:rsid w:val="002F477C"/>
    <w:rsid w:val="002F603B"/>
    <w:rsid w:val="002F626F"/>
    <w:rsid w:val="002F6DB1"/>
    <w:rsid w:val="003007B7"/>
    <w:rsid w:val="00301578"/>
    <w:rsid w:val="003020F2"/>
    <w:rsid w:val="003025BB"/>
    <w:rsid w:val="00302E13"/>
    <w:rsid w:val="003067E9"/>
    <w:rsid w:val="0031025B"/>
    <w:rsid w:val="003110B1"/>
    <w:rsid w:val="00311184"/>
    <w:rsid w:val="00315E34"/>
    <w:rsid w:val="00315FCA"/>
    <w:rsid w:val="003162BD"/>
    <w:rsid w:val="003178A8"/>
    <w:rsid w:val="00320DC9"/>
    <w:rsid w:val="00321E4E"/>
    <w:rsid w:val="0032217D"/>
    <w:rsid w:val="00322397"/>
    <w:rsid w:val="00322E72"/>
    <w:rsid w:val="003249B8"/>
    <w:rsid w:val="00324F95"/>
    <w:rsid w:val="0032588B"/>
    <w:rsid w:val="00325C46"/>
    <w:rsid w:val="00325C4C"/>
    <w:rsid w:val="00325F39"/>
    <w:rsid w:val="00326B7D"/>
    <w:rsid w:val="00326F66"/>
    <w:rsid w:val="00327D3C"/>
    <w:rsid w:val="00330317"/>
    <w:rsid w:val="0033085E"/>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31CE"/>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D2B"/>
    <w:rsid w:val="003A0E7B"/>
    <w:rsid w:val="003A0FBC"/>
    <w:rsid w:val="003A1395"/>
    <w:rsid w:val="003A17E0"/>
    <w:rsid w:val="003A1C4F"/>
    <w:rsid w:val="003A1EA5"/>
    <w:rsid w:val="003A2C33"/>
    <w:rsid w:val="003A50FF"/>
    <w:rsid w:val="003A6122"/>
    <w:rsid w:val="003A6291"/>
    <w:rsid w:val="003A6CDC"/>
    <w:rsid w:val="003A77A4"/>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71C"/>
    <w:rsid w:val="00403F3A"/>
    <w:rsid w:val="00404FD6"/>
    <w:rsid w:val="00405031"/>
    <w:rsid w:val="0040529F"/>
    <w:rsid w:val="0040602B"/>
    <w:rsid w:val="00406FA3"/>
    <w:rsid w:val="0040775C"/>
    <w:rsid w:val="00411515"/>
    <w:rsid w:val="00411E75"/>
    <w:rsid w:val="00412F0F"/>
    <w:rsid w:val="00412F71"/>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4D07"/>
    <w:rsid w:val="004251F1"/>
    <w:rsid w:val="0042525E"/>
    <w:rsid w:val="00425861"/>
    <w:rsid w:val="0043063A"/>
    <w:rsid w:val="00430ADD"/>
    <w:rsid w:val="004327FC"/>
    <w:rsid w:val="004339AC"/>
    <w:rsid w:val="00433C3C"/>
    <w:rsid w:val="00434B75"/>
    <w:rsid w:val="00434D0D"/>
    <w:rsid w:val="00436580"/>
    <w:rsid w:val="004410C9"/>
    <w:rsid w:val="00441232"/>
    <w:rsid w:val="00441FE7"/>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58AE"/>
    <w:rsid w:val="00456170"/>
    <w:rsid w:val="004564F0"/>
    <w:rsid w:val="004564F6"/>
    <w:rsid w:val="00456E98"/>
    <w:rsid w:val="00457DFE"/>
    <w:rsid w:val="0046029F"/>
    <w:rsid w:val="00461C4D"/>
    <w:rsid w:val="0046305D"/>
    <w:rsid w:val="004645C7"/>
    <w:rsid w:val="00464C9F"/>
    <w:rsid w:val="004673E2"/>
    <w:rsid w:val="00467751"/>
    <w:rsid w:val="00467B09"/>
    <w:rsid w:val="004734AB"/>
    <w:rsid w:val="00473E39"/>
    <w:rsid w:val="00474A5F"/>
    <w:rsid w:val="00476484"/>
    <w:rsid w:val="0047703F"/>
    <w:rsid w:val="004776B6"/>
    <w:rsid w:val="0047773A"/>
    <w:rsid w:val="0047776A"/>
    <w:rsid w:val="0048029F"/>
    <w:rsid w:val="0048083B"/>
    <w:rsid w:val="00480E49"/>
    <w:rsid w:val="00481766"/>
    <w:rsid w:val="00481B0F"/>
    <w:rsid w:val="00482922"/>
    <w:rsid w:val="004832E5"/>
    <w:rsid w:val="004836BA"/>
    <w:rsid w:val="00484809"/>
    <w:rsid w:val="00484D47"/>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58C0"/>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580"/>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6A5D"/>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7E1"/>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EED"/>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56A1"/>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3BE"/>
    <w:rsid w:val="00611FE0"/>
    <w:rsid w:val="00613019"/>
    <w:rsid w:val="00613307"/>
    <w:rsid w:val="00613A2E"/>
    <w:rsid w:val="00613C5A"/>
    <w:rsid w:val="006143D7"/>
    <w:rsid w:val="006144FE"/>
    <w:rsid w:val="006149E0"/>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0ECD"/>
    <w:rsid w:val="00642F11"/>
    <w:rsid w:val="006434CB"/>
    <w:rsid w:val="006439C6"/>
    <w:rsid w:val="00644E33"/>
    <w:rsid w:val="00644E78"/>
    <w:rsid w:val="00644F73"/>
    <w:rsid w:val="00644FC0"/>
    <w:rsid w:val="006454BA"/>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361"/>
    <w:rsid w:val="00663640"/>
    <w:rsid w:val="00663E5B"/>
    <w:rsid w:val="00665EE2"/>
    <w:rsid w:val="00666E90"/>
    <w:rsid w:val="0067114C"/>
    <w:rsid w:val="006711B2"/>
    <w:rsid w:val="0067202E"/>
    <w:rsid w:val="006729CA"/>
    <w:rsid w:val="00673A13"/>
    <w:rsid w:val="006758B8"/>
    <w:rsid w:val="00676634"/>
    <w:rsid w:val="00680E97"/>
    <w:rsid w:val="006812F0"/>
    <w:rsid w:val="006813F1"/>
    <w:rsid w:val="00681B0C"/>
    <w:rsid w:val="0068257E"/>
    <w:rsid w:val="006828FB"/>
    <w:rsid w:val="00682E9E"/>
    <w:rsid w:val="00683108"/>
    <w:rsid w:val="00683348"/>
    <w:rsid w:val="006838E5"/>
    <w:rsid w:val="006870FB"/>
    <w:rsid w:val="0068744D"/>
    <w:rsid w:val="0068760E"/>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4B85"/>
    <w:rsid w:val="006B5BE7"/>
    <w:rsid w:val="006B6523"/>
    <w:rsid w:val="006C03AA"/>
    <w:rsid w:val="006C0AB1"/>
    <w:rsid w:val="006C0B18"/>
    <w:rsid w:val="006C36CE"/>
    <w:rsid w:val="006C39A1"/>
    <w:rsid w:val="006C3D05"/>
    <w:rsid w:val="006C40AA"/>
    <w:rsid w:val="006C568C"/>
    <w:rsid w:val="006C5BE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7DC"/>
    <w:rsid w:val="00732CA0"/>
    <w:rsid w:val="00733AF9"/>
    <w:rsid w:val="007342EA"/>
    <w:rsid w:val="00734411"/>
    <w:rsid w:val="00735EB9"/>
    <w:rsid w:val="007360CA"/>
    <w:rsid w:val="00736D48"/>
    <w:rsid w:val="007414DE"/>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40"/>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4F2"/>
    <w:rsid w:val="00782678"/>
    <w:rsid w:val="00782E5C"/>
    <w:rsid w:val="00783C32"/>
    <w:rsid w:val="00783CDE"/>
    <w:rsid w:val="0078682B"/>
    <w:rsid w:val="00786E34"/>
    <w:rsid w:val="007903FD"/>
    <w:rsid w:val="00790FFB"/>
    <w:rsid w:val="00791ADF"/>
    <w:rsid w:val="0079359B"/>
    <w:rsid w:val="00795F26"/>
    <w:rsid w:val="00796F88"/>
    <w:rsid w:val="007A0C70"/>
    <w:rsid w:val="007A1126"/>
    <w:rsid w:val="007A144A"/>
    <w:rsid w:val="007A1670"/>
    <w:rsid w:val="007A18AE"/>
    <w:rsid w:val="007A1AD0"/>
    <w:rsid w:val="007A28C1"/>
    <w:rsid w:val="007A3325"/>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507"/>
    <w:rsid w:val="007C7CC3"/>
    <w:rsid w:val="007C7DFD"/>
    <w:rsid w:val="007D000F"/>
    <w:rsid w:val="007D1895"/>
    <w:rsid w:val="007D199A"/>
    <w:rsid w:val="007D28DC"/>
    <w:rsid w:val="007D2CA3"/>
    <w:rsid w:val="007D2FB0"/>
    <w:rsid w:val="007D3E61"/>
    <w:rsid w:val="007D468D"/>
    <w:rsid w:val="007D4BC0"/>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57FD"/>
    <w:rsid w:val="00806C7B"/>
    <w:rsid w:val="00807BB9"/>
    <w:rsid w:val="00807BE2"/>
    <w:rsid w:val="00811208"/>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C1D"/>
    <w:rsid w:val="008344B1"/>
    <w:rsid w:val="008364BD"/>
    <w:rsid w:val="0083740A"/>
    <w:rsid w:val="0083749A"/>
    <w:rsid w:val="0083750A"/>
    <w:rsid w:val="00837F39"/>
    <w:rsid w:val="00837F42"/>
    <w:rsid w:val="00841FE8"/>
    <w:rsid w:val="00842202"/>
    <w:rsid w:val="008422B7"/>
    <w:rsid w:val="0084262D"/>
    <w:rsid w:val="00843073"/>
    <w:rsid w:val="00843539"/>
    <w:rsid w:val="0084403C"/>
    <w:rsid w:val="00844417"/>
    <w:rsid w:val="0084496E"/>
    <w:rsid w:val="00844A7D"/>
    <w:rsid w:val="00844AE0"/>
    <w:rsid w:val="008467C3"/>
    <w:rsid w:val="00846BF3"/>
    <w:rsid w:val="00847032"/>
    <w:rsid w:val="008473D5"/>
    <w:rsid w:val="00847C5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81F"/>
    <w:rsid w:val="00884CC9"/>
    <w:rsid w:val="00885437"/>
    <w:rsid w:val="00890687"/>
    <w:rsid w:val="008910B5"/>
    <w:rsid w:val="00891385"/>
    <w:rsid w:val="008916EF"/>
    <w:rsid w:val="00892E46"/>
    <w:rsid w:val="008933EB"/>
    <w:rsid w:val="00893AEC"/>
    <w:rsid w:val="008941CE"/>
    <w:rsid w:val="00894ABA"/>
    <w:rsid w:val="00894EAB"/>
    <w:rsid w:val="00896B8C"/>
    <w:rsid w:val="00897522"/>
    <w:rsid w:val="008A0589"/>
    <w:rsid w:val="008A0D3F"/>
    <w:rsid w:val="008A155E"/>
    <w:rsid w:val="008A52DB"/>
    <w:rsid w:val="008B0339"/>
    <w:rsid w:val="008B09A0"/>
    <w:rsid w:val="008B3CC4"/>
    <w:rsid w:val="008B4AA4"/>
    <w:rsid w:val="008B507A"/>
    <w:rsid w:val="008B5608"/>
    <w:rsid w:val="008B59D2"/>
    <w:rsid w:val="008B70EB"/>
    <w:rsid w:val="008C0028"/>
    <w:rsid w:val="008C0633"/>
    <w:rsid w:val="008C0F2D"/>
    <w:rsid w:val="008C1158"/>
    <w:rsid w:val="008C1A4D"/>
    <w:rsid w:val="008C22F4"/>
    <w:rsid w:val="008C6CC4"/>
    <w:rsid w:val="008D10CD"/>
    <w:rsid w:val="008D190B"/>
    <w:rsid w:val="008D3B5E"/>
    <w:rsid w:val="008D4066"/>
    <w:rsid w:val="008D5214"/>
    <w:rsid w:val="008D5B39"/>
    <w:rsid w:val="008D63F9"/>
    <w:rsid w:val="008D696D"/>
    <w:rsid w:val="008D7974"/>
    <w:rsid w:val="008D7A85"/>
    <w:rsid w:val="008E267B"/>
    <w:rsid w:val="008E50EE"/>
    <w:rsid w:val="008E5879"/>
    <w:rsid w:val="008F12F2"/>
    <w:rsid w:val="008F15E6"/>
    <w:rsid w:val="008F1BD1"/>
    <w:rsid w:val="008F27A0"/>
    <w:rsid w:val="008F573A"/>
    <w:rsid w:val="008F7244"/>
    <w:rsid w:val="00902A0B"/>
    <w:rsid w:val="009031D1"/>
    <w:rsid w:val="009046F7"/>
    <w:rsid w:val="00905C23"/>
    <w:rsid w:val="00905F95"/>
    <w:rsid w:val="00906B2A"/>
    <w:rsid w:val="009078E4"/>
    <w:rsid w:val="00910919"/>
    <w:rsid w:val="00910DF3"/>
    <w:rsid w:val="009112B6"/>
    <w:rsid w:val="009117B4"/>
    <w:rsid w:val="00912F32"/>
    <w:rsid w:val="0091395E"/>
    <w:rsid w:val="00914544"/>
    <w:rsid w:val="00915213"/>
    <w:rsid w:val="00917405"/>
    <w:rsid w:val="00917E2E"/>
    <w:rsid w:val="009205D0"/>
    <w:rsid w:val="00920624"/>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A3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6F1B"/>
    <w:rsid w:val="00977091"/>
    <w:rsid w:val="00982F54"/>
    <w:rsid w:val="009842CD"/>
    <w:rsid w:val="0098431C"/>
    <w:rsid w:val="00984CEC"/>
    <w:rsid w:val="009857A2"/>
    <w:rsid w:val="00985A8B"/>
    <w:rsid w:val="00985D3C"/>
    <w:rsid w:val="00985F7B"/>
    <w:rsid w:val="00987F44"/>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00D"/>
    <w:rsid w:val="009C3412"/>
    <w:rsid w:val="009C38D7"/>
    <w:rsid w:val="009C3900"/>
    <w:rsid w:val="009C4308"/>
    <w:rsid w:val="009C46AB"/>
    <w:rsid w:val="009C599B"/>
    <w:rsid w:val="009C59E4"/>
    <w:rsid w:val="009C5C11"/>
    <w:rsid w:val="009C7B8A"/>
    <w:rsid w:val="009D000A"/>
    <w:rsid w:val="009D142B"/>
    <w:rsid w:val="009D205F"/>
    <w:rsid w:val="009D3D83"/>
    <w:rsid w:val="009D3DBD"/>
    <w:rsid w:val="009D51AC"/>
    <w:rsid w:val="009D5A52"/>
    <w:rsid w:val="009D5D44"/>
    <w:rsid w:val="009D6014"/>
    <w:rsid w:val="009D6361"/>
    <w:rsid w:val="009D63C6"/>
    <w:rsid w:val="009E0D00"/>
    <w:rsid w:val="009E1699"/>
    <w:rsid w:val="009E355A"/>
    <w:rsid w:val="009E41E3"/>
    <w:rsid w:val="009E56D5"/>
    <w:rsid w:val="009E7397"/>
    <w:rsid w:val="009F1EEF"/>
    <w:rsid w:val="009F380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9CB"/>
    <w:rsid w:val="00A12BC5"/>
    <w:rsid w:val="00A12CA4"/>
    <w:rsid w:val="00A13B8C"/>
    <w:rsid w:val="00A13F53"/>
    <w:rsid w:val="00A14F76"/>
    <w:rsid w:val="00A155CD"/>
    <w:rsid w:val="00A165EB"/>
    <w:rsid w:val="00A16D29"/>
    <w:rsid w:val="00A17B40"/>
    <w:rsid w:val="00A207F7"/>
    <w:rsid w:val="00A2135E"/>
    <w:rsid w:val="00A217DF"/>
    <w:rsid w:val="00A21999"/>
    <w:rsid w:val="00A21FF5"/>
    <w:rsid w:val="00A23B8A"/>
    <w:rsid w:val="00A242C4"/>
    <w:rsid w:val="00A24D20"/>
    <w:rsid w:val="00A254FD"/>
    <w:rsid w:val="00A25524"/>
    <w:rsid w:val="00A25FF3"/>
    <w:rsid w:val="00A263B3"/>
    <w:rsid w:val="00A26AE2"/>
    <w:rsid w:val="00A26F65"/>
    <w:rsid w:val="00A27F42"/>
    <w:rsid w:val="00A31D9F"/>
    <w:rsid w:val="00A3358A"/>
    <w:rsid w:val="00A34A78"/>
    <w:rsid w:val="00A3551B"/>
    <w:rsid w:val="00A35BB1"/>
    <w:rsid w:val="00A373C9"/>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739"/>
    <w:rsid w:val="00A47937"/>
    <w:rsid w:val="00A512CF"/>
    <w:rsid w:val="00A51D10"/>
    <w:rsid w:val="00A5367C"/>
    <w:rsid w:val="00A5369C"/>
    <w:rsid w:val="00A543CB"/>
    <w:rsid w:val="00A553C9"/>
    <w:rsid w:val="00A55E4C"/>
    <w:rsid w:val="00A564EC"/>
    <w:rsid w:val="00A6013C"/>
    <w:rsid w:val="00A60CC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08C"/>
    <w:rsid w:val="00A83251"/>
    <w:rsid w:val="00A83563"/>
    <w:rsid w:val="00A83B40"/>
    <w:rsid w:val="00A83B7E"/>
    <w:rsid w:val="00A84440"/>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0DF9"/>
    <w:rsid w:val="00AB12F2"/>
    <w:rsid w:val="00AB21C3"/>
    <w:rsid w:val="00AB2856"/>
    <w:rsid w:val="00AB31EC"/>
    <w:rsid w:val="00AB35C9"/>
    <w:rsid w:val="00AB3B35"/>
    <w:rsid w:val="00AB42FD"/>
    <w:rsid w:val="00AB4449"/>
    <w:rsid w:val="00AB5553"/>
    <w:rsid w:val="00AB624D"/>
    <w:rsid w:val="00AB65A6"/>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0BC"/>
    <w:rsid w:val="00AF015E"/>
    <w:rsid w:val="00AF0C6E"/>
    <w:rsid w:val="00AF152A"/>
    <w:rsid w:val="00AF22EF"/>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3CE4"/>
    <w:rsid w:val="00B04543"/>
    <w:rsid w:val="00B04876"/>
    <w:rsid w:val="00B04878"/>
    <w:rsid w:val="00B05123"/>
    <w:rsid w:val="00B052C6"/>
    <w:rsid w:val="00B055F6"/>
    <w:rsid w:val="00B0682A"/>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1A7E"/>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6669"/>
    <w:rsid w:val="00B3752C"/>
    <w:rsid w:val="00B37F1F"/>
    <w:rsid w:val="00B40EDE"/>
    <w:rsid w:val="00B421F6"/>
    <w:rsid w:val="00B422DC"/>
    <w:rsid w:val="00B43798"/>
    <w:rsid w:val="00B43DD4"/>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6522E"/>
    <w:rsid w:val="00B70176"/>
    <w:rsid w:val="00B710B5"/>
    <w:rsid w:val="00B7244D"/>
    <w:rsid w:val="00B729FE"/>
    <w:rsid w:val="00B7339D"/>
    <w:rsid w:val="00B736A1"/>
    <w:rsid w:val="00B7370A"/>
    <w:rsid w:val="00B738F6"/>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016"/>
    <w:rsid w:val="00BA1226"/>
    <w:rsid w:val="00BA16EE"/>
    <w:rsid w:val="00BA2231"/>
    <w:rsid w:val="00BA3AD1"/>
    <w:rsid w:val="00BA3BA6"/>
    <w:rsid w:val="00BA48F9"/>
    <w:rsid w:val="00BA5652"/>
    <w:rsid w:val="00BA58DF"/>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EAF"/>
    <w:rsid w:val="00BD4F55"/>
    <w:rsid w:val="00BD5279"/>
    <w:rsid w:val="00BD5E04"/>
    <w:rsid w:val="00BD79B7"/>
    <w:rsid w:val="00BE01FE"/>
    <w:rsid w:val="00BE33D2"/>
    <w:rsid w:val="00BE3B61"/>
    <w:rsid w:val="00BE46A1"/>
    <w:rsid w:val="00BE68A2"/>
    <w:rsid w:val="00BF0FD9"/>
    <w:rsid w:val="00BF262E"/>
    <w:rsid w:val="00BF2C16"/>
    <w:rsid w:val="00BF43AF"/>
    <w:rsid w:val="00BF5709"/>
    <w:rsid w:val="00BF5C38"/>
    <w:rsid w:val="00BF5FE4"/>
    <w:rsid w:val="00BF67A2"/>
    <w:rsid w:val="00BF7194"/>
    <w:rsid w:val="00C0088D"/>
    <w:rsid w:val="00C0146E"/>
    <w:rsid w:val="00C04CA0"/>
    <w:rsid w:val="00C04CE6"/>
    <w:rsid w:val="00C05A9B"/>
    <w:rsid w:val="00C0729A"/>
    <w:rsid w:val="00C076CC"/>
    <w:rsid w:val="00C07743"/>
    <w:rsid w:val="00C106B5"/>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3B71"/>
    <w:rsid w:val="00C2644A"/>
    <w:rsid w:val="00C270FA"/>
    <w:rsid w:val="00C272F5"/>
    <w:rsid w:val="00C311A4"/>
    <w:rsid w:val="00C314AD"/>
    <w:rsid w:val="00C319C5"/>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0B5"/>
    <w:rsid w:val="00C50988"/>
    <w:rsid w:val="00C54581"/>
    <w:rsid w:val="00C54953"/>
    <w:rsid w:val="00C55C43"/>
    <w:rsid w:val="00C55CDD"/>
    <w:rsid w:val="00C56114"/>
    <w:rsid w:val="00C577FA"/>
    <w:rsid w:val="00C57A7A"/>
    <w:rsid w:val="00C62FB6"/>
    <w:rsid w:val="00C63A6B"/>
    <w:rsid w:val="00C6420C"/>
    <w:rsid w:val="00C64C09"/>
    <w:rsid w:val="00C64CCC"/>
    <w:rsid w:val="00C65198"/>
    <w:rsid w:val="00C6574C"/>
    <w:rsid w:val="00C65A7B"/>
    <w:rsid w:val="00C6670B"/>
    <w:rsid w:val="00C66CA5"/>
    <w:rsid w:val="00C67746"/>
    <w:rsid w:val="00C707DE"/>
    <w:rsid w:val="00C70945"/>
    <w:rsid w:val="00C70C7A"/>
    <w:rsid w:val="00C71C09"/>
    <w:rsid w:val="00C71CD9"/>
    <w:rsid w:val="00C71DC1"/>
    <w:rsid w:val="00C73664"/>
    <w:rsid w:val="00C741B0"/>
    <w:rsid w:val="00C745AF"/>
    <w:rsid w:val="00C77301"/>
    <w:rsid w:val="00C774E0"/>
    <w:rsid w:val="00C7766F"/>
    <w:rsid w:val="00C77A7C"/>
    <w:rsid w:val="00C81D99"/>
    <w:rsid w:val="00C826BB"/>
    <w:rsid w:val="00C84029"/>
    <w:rsid w:val="00C84435"/>
    <w:rsid w:val="00C84EE3"/>
    <w:rsid w:val="00C8519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02C9"/>
    <w:rsid w:val="00CC4F6F"/>
    <w:rsid w:val="00CC600E"/>
    <w:rsid w:val="00CC687C"/>
    <w:rsid w:val="00CC7713"/>
    <w:rsid w:val="00CC7772"/>
    <w:rsid w:val="00CC7D35"/>
    <w:rsid w:val="00CD040A"/>
    <w:rsid w:val="00CD2392"/>
    <w:rsid w:val="00CD255F"/>
    <w:rsid w:val="00CD296D"/>
    <w:rsid w:val="00CD4DA0"/>
    <w:rsid w:val="00CD4E5B"/>
    <w:rsid w:val="00CD50ED"/>
    <w:rsid w:val="00CD56FA"/>
    <w:rsid w:val="00CD60D7"/>
    <w:rsid w:val="00CE1398"/>
    <w:rsid w:val="00CE1A20"/>
    <w:rsid w:val="00CE1D87"/>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4DAD"/>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28C4"/>
    <w:rsid w:val="00D73235"/>
    <w:rsid w:val="00D734F0"/>
    <w:rsid w:val="00D7398D"/>
    <w:rsid w:val="00D75057"/>
    <w:rsid w:val="00D75DA9"/>
    <w:rsid w:val="00D7737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A96"/>
    <w:rsid w:val="00DB0B5C"/>
    <w:rsid w:val="00DB0E24"/>
    <w:rsid w:val="00DB17B8"/>
    <w:rsid w:val="00DB25DD"/>
    <w:rsid w:val="00DB494A"/>
    <w:rsid w:val="00DB5877"/>
    <w:rsid w:val="00DB5D9D"/>
    <w:rsid w:val="00DB5F6D"/>
    <w:rsid w:val="00DB6E83"/>
    <w:rsid w:val="00DC083B"/>
    <w:rsid w:val="00DC14DF"/>
    <w:rsid w:val="00DC15F4"/>
    <w:rsid w:val="00DC1F0C"/>
    <w:rsid w:val="00DC20E2"/>
    <w:rsid w:val="00DC22F8"/>
    <w:rsid w:val="00DC2ADD"/>
    <w:rsid w:val="00DC3389"/>
    <w:rsid w:val="00DC37B3"/>
    <w:rsid w:val="00DC3C43"/>
    <w:rsid w:val="00DC3E1F"/>
    <w:rsid w:val="00DC529B"/>
    <w:rsid w:val="00DC5C67"/>
    <w:rsid w:val="00DC6940"/>
    <w:rsid w:val="00DC7354"/>
    <w:rsid w:val="00DD18CA"/>
    <w:rsid w:val="00DD5D42"/>
    <w:rsid w:val="00DD6095"/>
    <w:rsid w:val="00DD6678"/>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7CE"/>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3A14"/>
    <w:rsid w:val="00E16381"/>
    <w:rsid w:val="00E1750B"/>
    <w:rsid w:val="00E21036"/>
    <w:rsid w:val="00E21AB0"/>
    <w:rsid w:val="00E22014"/>
    <w:rsid w:val="00E22BCD"/>
    <w:rsid w:val="00E25DA1"/>
    <w:rsid w:val="00E2605A"/>
    <w:rsid w:val="00E26393"/>
    <w:rsid w:val="00E26492"/>
    <w:rsid w:val="00E273B1"/>
    <w:rsid w:val="00E30313"/>
    <w:rsid w:val="00E30895"/>
    <w:rsid w:val="00E30BA0"/>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222"/>
    <w:rsid w:val="00E50ADD"/>
    <w:rsid w:val="00E511E7"/>
    <w:rsid w:val="00E52000"/>
    <w:rsid w:val="00E532AF"/>
    <w:rsid w:val="00E54380"/>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92C"/>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1FD"/>
    <w:rsid w:val="00E938C2"/>
    <w:rsid w:val="00E943C5"/>
    <w:rsid w:val="00E9497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1DD1"/>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4C4"/>
    <w:rsid w:val="00F36BFA"/>
    <w:rsid w:val="00F36E2B"/>
    <w:rsid w:val="00F40839"/>
    <w:rsid w:val="00F40A79"/>
    <w:rsid w:val="00F40BD2"/>
    <w:rsid w:val="00F41115"/>
    <w:rsid w:val="00F41D11"/>
    <w:rsid w:val="00F44905"/>
    <w:rsid w:val="00F4490F"/>
    <w:rsid w:val="00F44DCF"/>
    <w:rsid w:val="00F45C2E"/>
    <w:rsid w:val="00F46537"/>
    <w:rsid w:val="00F46A31"/>
    <w:rsid w:val="00F51D03"/>
    <w:rsid w:val="00F523E8"/>
    <w:rsid w:val="00F52BF6"/>
    <w:rsid w:val="00F5309E"/>
    <w:rsid w:val="00F53F78"/>
    <w:rsid w:val="00F5487E"/>
    <w:rsid w:val="00F549F1"/>
    <w:rsid w:val="00F55E10"/>
    <w:rsid w:val="00F56907"/>
    <w:rsid w:val="00F56B74"/>
    <w:rsid w:val="00F574B1"/>
    <w:rsid w:val="00F57C16"/>
    <w:rsid w:val="00F6078E"/>
    <w:rsid w:val="00F620DD"/>
    <w:rsid w:val="00F62FE4"/>
    <w:rsid w:val="00F63875"/>
    <w:rsid w:val="00F6575C"/>
    <w:rsid w:val="00F663C1"/>
    <w:rsid w:val="00F66C5C"/>
    <w:rsid w:val="00F67699"/>
    <w:rsid w:val="00F7019E"/>
    <w:rsid w:val="00F71229"/>
    <w:rsid w:val="00F7284C"/>
    <w:rsid w:val="00F75178"/>
    <w:rsid w:val="00F76136"/>
    <w:rsid w:val="00F77CBC"/>
    <w:rsid w:val="00F815B6"/>
    <w:rsid w:val="00F837F0"/>
    <w:rsid w:val="00F84554"/>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4E7B"/>
    <w:rsid w:val="00FA59DC"/>
    <w:rsid w:val="00FA5F99"/>
    <w:rsid w:val="00FA6AA8"/>
    <w:rsid w:val="00FA7C64"/>
    <w:rsid w:val="00FB1366"/>
    <w:rsid w:val="00FB1DA7"/>
    <w:rsid w:val="00FB1E7C"/>
    <w:rsid w:val="00FB2BA7"/>
    <w:rsid w:val="00FB5795"/>
    <w:rsid w:val="00FB5BEE"/>
    <w:rsid w:val="00FB7D22"/>
    <w:rsid w:val="00FC0390"/>
    <w:rsid w:val="00FC1CF1"/>
    <w:rsid w:val="00FC1EF5"/>
    <w:rsid w:val="00FC3916"/>
    <w:rsid w:val="00FC3EAA"/>
    <w:rsid w:val="00FC4660"/>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028"/>
    <w:rsid w:val="00FE38DC"/>
    <w:rsid w:val="00FE6083"/>
    <w:rsid w:val="00FE781E"/>
    <w:rsid w:val="00FF11A5"/>
    <w:rsid w:val="00FF4CFE"/>
    <w:rsid w:val="00FF4E3B"/>
    <w:rsid w:val="00FF5DCD"/>
    <w:rsid w:val="014A2300"/>
    <w:rsid w:val="014A752E"/>
    <w:rsid w:val="01552358"/>
    <w:rsid w:val="01AE2741"/>
    <w:rsid w:val="01B43697"/>
    <w:rsid w:val="01C759C5"/>
    <w:rsid w:val="01CF485B"/>
    <w:rsid w:val="01E16A27"/>
    <w:rsid w:val="026F1BE5"/>
    <w:rsid w:val="02767157"/>
    <w:rsid w:val="027C2116"/>
    <w:rsid w:val="028B383B"/>
    <w:rsid w:val="029063F9"/>
    <w:rsid w:val="0297496C"/>
    <w:rsid w:val="02BF4727"/>
    <w:rsid w:val="03261BB7"/>
    <w:rsid w:val="033F194C"/>
    <w:rsid w:val="03587E9C"/>
    <w:rsid w:val="03795DEE"/>
    <w:rsid w:val="03C031BE"/>
    <w:rsid w:val="03C76875"/>
    <w:rsid w:val="03CA6095"/>
    <w:rsid w:val="03DB6583"/>
    <w:rsid w:val="04012347"/>
    <w:rsid w:val="043D57F5"/>
    <w:rsid w:val="04663D58"/>
    <w:rsid w:val="046C67BE"/>
    <w:rsid w:val="047C71AE"/>
    <w:rsid w:val="047F7DB3"/>
    <w:rsid w:val="04A77498"/>
    <w:rsid w:val="04AC35B9"/>
    <w:rsid w:val="04BC386B"/>
    <w:rsid w:val="04E73165"/>
    <w:rsid w:val="04EA0654"/>
    <w:rsid w:val="05092798"/>
    <w:rsid w:val="050F208C"/>
    <w:rsid w:val="0550336F"/>
    <w:rsid w:val="0562120F"/>
    <w:rsid w:val="059D4A76"/>
    <w:rsid w:val="05B67ECF"/>
    <w:rsid w:val="05B705E8"/>
    <w:rsid w:val="05D21940"/>
    <w:rsid w:val="05DF58DF"/>
    <w:rsid w:val="0622316F"/>
    <w:rsid w:val="06234E0B"/>
    <w:rsid w:val="068C365A"/>
    <w:rsid w:val="0699045D"/>
    <w:rsid w:val="06A364D0"/>
    <w:rsid w:val="06A52457"/>
    <w:rsid w:val="06BF4A2A"/>
    <w:rsid w:val="073E238E"/>
    <w:rsid w:val="07770A55"/>
    <w:rsid w:val="079052BA"/>
    <w:rsid w:val="07996AA3"/>
    <w:rsid w:val="07B92CA2"/>
    <w:rsid w:val="07D73443"/>
    <w:rsid w:val="080F6937"/>
    <w:rsid w:val="0817739A"/>
    <w:rsid w:val="083065C9"/>
    <w:rsid w:val="084B3A43"/>
    <w:rsid w:val="0898555E"/>
    <w:rsid w:val="089A1126"/>
    <w:rsid w:val="08AA3203"/>
    <w:rsid w:val="091C760F"/>
    <w:rsid w:val="093268A2"/>
    <w:rsid w:val="093B2A1B"/>
    <w:rsid w:val="09715E82"/>
    <w:rsid w:val="09E172B1"/>
    <w:rsid w:val="0A2027B8"/>
    <w:rsid w:val="0A8945A3"/>
    <w:rsid w:val="0ACF3355"/>
    <w:rsid w:val="0B00627E"/>
    <w:rsid w:val="0B055582"/>
    <w:rsid w:val="0B0E05BA"/>
    <w:rsid w:val="0B165B2D"/>
    <w:rsid w:val="0B3811FC"/>
    <w:rsid w:val="0B6304D2"/>
    <w:rsid w:val="0B9F1513"/>
    <w:rsid w:val="0BA8085E"/>
    <w:rsid w:val="0BDF0443"/>
    <w:rsid w:val="0BE643D6"/>
    <w:rsid w:val="0C00171E"/>
    <w:rsid w:val="0C492E5E"/>
    <w:rsid w:val="0C6D30F8"/>
    <w:rsid w:val="0C9822D7"/>
    <w:rsid w:val="0CA72BED"/>
    <w:rsid w:val="0CAF6C7D"/>
    <w:rsid w:val="0CBE1219"/>
    <w:rsid w:val="0CC44A71"/>
    <w:rsid w:val="0CDD5AC5"/>
    <w:rsid w:val="0D0453E1"/>
    <w:rsid w:val="0D3660F0"/>
    <w:rsid w:val="0D8042AF"/>
    <w:rsid w:val="0D843340"/>
    <w:rsid w:val="0D88040D"/>
    <w:rsid w:val="0DA678C6"/>
    <w:rsid w:val="0DBF1C4B"/>
    <w:rsid w:val="0E133442"/>
    <w:rsid w:val="0E462C8F"/>
    <w:rsid w:val="0E4815C8"/>
    <w:rsid w:val="0E5C7718"/>
    <w:rsid w:val="0E627C0D"/>
    <w:rsid w:val="0E834F3A"/>
    <w:rsid w:val="0E9B3DEB"/>
    <w:rsid w:val="0EB46560"/>
    <w:rsid w:val="0EC1062A"/>
    <w:rsid w:val="0F0B2E6C"/>
    <w:rsid w:val="0F1C0E68"/>
    <w:rsid w:val="0F3157C2"/>
    <w:rsid w:val="0F43506A"/>
    <w:rsid w:val="0F621FE5"/>
    <w:rsid w:val="0F652177"/>
    <w:rsid w:val="0FC04AF5"/>
    <w:rsid w:val="0FE07656"/>
    <w:rsid w:val="100E41DD"/>
    <w:rsid w:val="10104AC9"/>
    <w:rsid w:val="1038265C"/>
    <w:rsid w:val="104D23BA"/>
    <w:rsid w:val="104D3D65"/>
    <w:rsid w:val="10741127"/>
    <w:rsid w:val="11081A60"/>
    <w:rsid w:val="11523B6C"/>
    <w:rsid w:val="11767935"/>
    <w:rsid w:val="117C2142"/>
    <w:rsid w:val="1188158C"/>
    <w:rsid w:val="11892F62"/>
    <w:rsid w:val="11AE1BA5"/>
    <w:rsid w:val="120A104E"/>
    <w:rsid w:val="120C19E3"/>
    <w:rsid w:val="1229050A"/>
    <w:rsid w:val="123F76A9"/>
    <w:rsid w:val="12403B36"/>
    <w:rsid w:val="12503BB3"/>
    <w:rsid w:val="12A96F3E"/>
    <w:rsid w:val="133411CC"/>
    <w:rsid w:val="134960EA"/>
    <w:rsid w:val="138B4FFF"/>
    <w:rsid w:val="13A82415"/>
    <w:rsid w:val="13A907F4"/>
    <w:rsid w:val="13B51A43"/>
    <w:rsid w:val="13B703F7"/>
    <w:rsid w:val="13C71982"/>
    <w:rsid w:val="140623D8"/>
    <w:rsid w:val="143026C9"/>
    <w:rsid w:val="14487382"/>
    <w:rsid w:val="145350C7"/>
    <w:rsid w:val="14792129"/>
    <w:rsid w:val="152016F7"/>
    <w:rsid w:val="15405664"/>
    <w:rsid w:val="15465AC2"/>
    <w:rsid w:val="158811E5"/>
    <w:rsid w:val="15A707A0"/>
    <w:rsid w:val="15DA3D8B"/>
    <w:rsid w:val="16285D80"/>
    <w:rsid w:val="16894D06"/>
    <w:rsid w:val="16B82A17"/>
    <w:rsid w:val="16DC2ABE"/>
    <w:rsid w:val="16F02B11"/>
    <w:rsid w:val="173E50E0"/>
    <w:rsid w:val="17757953"/>
    <w:rsid w:val="177C4A4B"/>
    <w:rsid w:val="1782320F"/>
    <w:rsid w:val="17A37C18"/>
    <w:rsid w:val="17B47721"/>
    <w:rsid w:val="18296D42"/>
    <w:rsid w:val="183325E9"/>
    <w:rsid w:val="1880481B"/>
    <w:rsid w:val="189D034B"/>
    <w:rsid w:val="18A41D1C"/>
    <w:rsid w:val="1925649C"/>
    <w:rsid w:val="192A0F80"/>
    <w:rsid w:val="194626F1"/>
    <w:rsid w:val="1A003E41"/>
    <w:rsid w:val="1A1C1108"/>
    <w:rsid w:val="1A350D36"/>
    <w:rsid w:val="1A4674A9"/>
    <w:rsid w:val="1A4B069F"/>
    <w:rsid w:val="1A7819CF"/>
    <w:rsid w:val="1A7E2030"/>
    <w:rsid w:val="1ABF3177"/>
    <w:rsid w:val="1ADD3A44"/>
    <w:rsid w:val="1AF33E06"/>
    <w:rsid w:val="1B202CBD"/>
    <w:rsid w:val="1B2C17A0"/>
    <w:rsid w:val="1B3214FA"/>
    <w:rsid w:val="1B486B63"/>
    <w:rsid w:val="1B734F3C"/>
    <w:rsid w:val="1BA3553D"/>
    <w:rsid w:val="1BC06F08"/>
    <w:rsid w:val="1BCC4205"/>
    <w:rsid w:val="1BD9199A"/>
    <w:rsid w:val="1C21447A"/>
    <w:rsid w:val="1C67605A"/>
    <w:rsid w:val="1C790EC2"/>
    <w:rsid w:val="1CB41B4A"/>
    <w:rsid w:val="1CF100D0"/>
    <w:rsid w:val="1CF6273D"/>
    <w:rsid w:val="1D06547B"/>
    <w:rsid w:val="1D41730D"/>
    <w:rsid w:val="1D9A2CE2"/>
    <w:rsid w:val="1D9B6BB2"/>
    <w:rsid w:val="1DEF219F"/>
    <w:rsid w:val="1E262D67"/>
    <w:rsid w:val="1E401FB3"/>
    <w:rsid w:val="1E852668"/>
    <w:rsid w:val="1E9B6502"/>
    <w:rsid w:val="1EC32CA3"/>
    <w:rsid w:val="1F286BCB"/>
    <w:rsid w:val="1F2A1DCC"/>
    <w:rsid w:val="1F3704AB"/>
    <w:rsid w:val="1F37777B"/>
    <w:rsid w:val="1F4402DB"/>
    <w:rsid w:val="1F4962F9"/>
    <w:rsid w:val="1F6E61E0"/>
    <w:rsid w:val="1F7473E9"/>
    <w:rsid w:val="1F762BDC"/>
    <w:rsid w:val="1FB916B2"/>
    <w:rsid w:val="1FC87C09"/>
    <w:rsid w:val="1FCD36B9"/>
    <w:rsid w:val="1FD06C97"/>
    <w:rsid w:val="2004052B"/>
    <w:rsid w:val="201B164B"/>
    <w:rsid w:val="204810B6"/>
    <w:rsid w:val="20554C84"/>
    <w:rsid w:val="20832C36"/>
    <w:rsid w:val="20A63D8D"/>
    <w:rsid w:val="20BE4D04"/>
    <w:rsid w:val="20C23E78"/>
    <w:rsid w:val="20F45B73"/>
    <w:rsid w:val="21102F1A"/>
    <w:rsid w:val="215C757E"/>
    <w:rsid w:val="21683239"/>
    <w:rsid w:val="2171327D"/>
    <w:rsid w:val="2192082A"/>
    <w:rsid w:val="21B25BF6"/>
    <w:rsid w:val="21CD670E"/>
    <w:rsid w:val="21D60F17"/>
    <w:rsid w:val="21F67AD7"/>
    <w:rsid w:val="220B5755"/>
    <w:rsid w:val="22104AF2"/>
    <w:rsid w:val="22232FD1"/>
    <w:rsid w:val="2223535C"/>
    <w:rsid w:val="227B060E"/>
    <w:rsid w:val="227B307E"/>
    <w:rsid w:val="228C0744"/>
    <w:rsid w:val="22C06A10"/>
    <w:rsid w:val="233D1688"/>
    <w:rsid w:val="23410897"/>
    <w:rsid w:val="234F6569"/>
    <w:rsid w:val="23571A56"/>
    <w:rsid w:val="23C21DFE"/>
    <w:rsid w:val="23C66C86"/>
    <w:rsid w:val="23FD7A7B"/>
    <w:rsid w:val="24184A87"/>
    <w:rsid w:val="24541003"/>
    <w:rsid w:val="24773A4C"/>
    <w:rsid w:val="24BA5EAF"/>
    <w:rsid w:val="24C07963"/>
    <w:rsid w:val="2503095F"/>
    <w:rsid w:val="25041FF1"/>
    <w:rsid w:val="2506532E"/>
    <w:rsid w:val="25195047"/>
    <w:rsid w:val="251B50D8"/>
    <w:rsid w:val="257B5A82"/>
    <w:rsid w:val="25A63C73"/>
    <w:rsid w:val="25AB796F"/>
    <w:rsid w:val="260570A8"/>
    <w:rsid w:val="26163321"/>
    <w:rsid w:val="2623181B"/>
    <w:rsid w:val="26297F31"/>
    <w:rsid w:val="2637684E"/>
    <w:rsid w:val="265041C4"/>
    <w:rsid w:val="266B1B2B"/>
    <w:rsid w:val="268A0A7D"/>
    <w:rsid w:val="26A7493E"/>
    <w:rsid w:val="26AA57F9"/>
    <w:rsid w:val="26C43081"/>
    <w:rsid w:val="26D742A1"/>
    <w:rsid w:val="26E107E4"/>
    <w:rsid w:val="277F1F69"/>
    <w:rsid w:val="27836261"/>
    <w:rsid w:val="27983052"/>
    <w:rsid w:val="27BB3100"/>
    <w:rsid w:val="27C53841"/>
    <w:rsid w:val="28023ADA"/>
    <w:rsid w:val="280C5EA4"/>
    <w:rsid w:val="282D7F06"/>
    <w:rsid w:val="284072D8"/>
    <w:rsid w:val="28586CCB"/>
    <w:rsid w:val="285D5D0E"/>
    <w:rsid w:val="28951F6C"/>
    <w:rsid w:val="28AC052B"/>
    <w:rsid w:val="28DE649D"/>
    <w:rsid w:val="28E63CF9"/>
    <w:rsid w:val="29100BDA"/>
    <w:rsid w:val="293E0ED0"/>
    <w:rsid w:val="2985793F"/>
    <w:rsid w:val="298F5607"/>
    <w:rsid w:val="29B631A8"/>
    <w:rsid w:val="2A002DB3"/>
    <w:rsid w:val="2A2D7BD0"/>
    <w:rsid w:val="2A614A76"/>
    <w:rsid w:val="2A835A28"/>
    <w:rsid w:val="2A8615FC"/>
    <w:rsid w:val="2A8D32E3"/>
    <w:rsid w:val="2A97775F"/>
    <w:rsid w:val="2AC07868"/>
    <w:rsid w:val="2AC44231"/>
    <w:rsid w:val="2AD00FAD"/>
    <w:rsid w:val="2B114963"/>
    <w:rsid w:val="2B235820"/>
    <w:rsid w:val="2B394E61"/>
    <w:rsid w:val="2B437FDF"/>
    <w:rsid w:val="2B6B0BB2"/>
    <w:rsid w:val="2B761DD2"/>
    <w:rsid w:val="2B924003"/>
    <w:rsid w:val="2BCA7B70"/>
    <w:rsid w:val="2C147EF1"/>
    <w:rsid w:val="2C5F5153"/>
    <w:rsid w:val="2CF3037F"/>
    <w:rsid w:val="2CF854AC"/>
    <w:rsid w:val="2D0666BB"/>
    <w:rsid w:val="2D237A1C"/>
    <w:rsid w:val="2D702BDC"/>
    <w:rsid w:val="2D7266E9"/>
    <w:rsid w:val="2DB34DB6"/>
    <w:rsid w:val="2E140A68"/>
    <w:rsid w:val="2E364A9A"/>
    <w:rsid w:val="2E6C44EF"/>
    <w:rsid w:val="2E82506C"/>
    <w:rsid w:val="2E930E90"/>
    <w:rsid w:val="2EC61D9D"/>
    <w:rsid w:val="2F1340CB"/>
    <w:rsid w:val="2F266720"/>
    <w:rsid w:val="2F3B2D82"/>
    <w:rsid w:val="2F677070"/>
    <w:rsid w:val="2F7219B6"/>
    <w:rsid w:val="2FA63E73"/>
    <w:rsid w:val="2FD2516A"/>
    <w:rsid w:val="2FE41E7C"/>
    <w:rsid w:val="30050574"/>
    <w:rsid w:val="30076994"/>
    <w:rsid w:val="30227969"/>
    <w:rsid w:val="30835019"/>
    <w:rsid w:val="3088786A"/>
    <w:rsid w:val="308D51A4"/>
    <w:rsid w:val="30A20CDA"/>
    <w:rsid w:val="30B83A5F"/>
    <w:rsid w:val="30C44A5B"/>
    <w:rsid w:val="30F17F5A"/>
    <w:rsid w:val="30FD257F"/>
    <w:rsid w:val="31097C8E"/>
    <w:rsid w:val="31270FA5"/>
    <w:rsid w:val="316D2EC0"/>
    <w:rsid w:val="318025A2"/>
    <w:rsid w:val="31847CAC"/>
    <w:rsid w:val="31AD2C9A"/>
    <w:rsid w:val="31CD0018"/>
    <w:rsid w:val="31ED4079"/>
    <w:rsid w:val="320011F8"/>
    <w:rsid w:val="321A7FB8"/>
    <w:rsid w:val="326B18D7"/>
    <w:rsid w:val="328161F2"/>
    <w:rsid w:val="32936DD4"/>
    <w:rsid w:val="32CB2EAC"/>
    <w:rsid w:val="32FB6A94"/>
    <w:rsid w:val="32FC6692"/>
    <w:rsid w:val="335B0139"/>
    <w:rsid w:val="336428A7"/>
    <w:rsid w:val="33A3511B"/>
    <w:rsid w:val="33A9243F"/>
    <w:rsid w:val="33BD1983"/>
    <w:rsid w:val="33F259F0"/>
    <w:rsid w:val="34182A84"/>
    <w:rsid w:val="34284029"/>
    <w:rsid w:val="34293EA8"/>
    <w:rsid w:val="34315323"/>
    <w:rsid w:val="34375B9E"/>
    <w:rsid w:val="3459554E"/>
    <w:rsid w:val="346C4588"/>
    <w:rsid w:val="347529DF"/>
    <w:rsid w:val="349B7D92"/>
    <w:rsid w:val="34EB79A4"/>
    <w:rsid w:val="34EC277C"/>
    <w:rsid w:val="3537746B"/>
    <w:rsid w:val="3557056D"/>
    <w:rsid w:val="356F7E75"/>
    <w:rsid w:val="358A0909"/>
    <w:rsid w:val="35D9704B"/>
    <w:rsid w:val="35E571CB"/>
    <w:rsid w:val="362E2FC5"/>
    <w:rsid w:val="365636AC"/>
    <w:rsid w:val="36911DCC"/>
    <w:rsid w:val="36A930AD"/>
    <w:rsid w:val="36EE2EC0"/>
    <w:rsid w:val="374E6416"/>
    <w:rsid w:val="376F7763"/>
    <w:rsid w:val="37A0553D"/>
    <w:rsid w:val="37AB28AB"/>
    <w:rsid w:val="37B7410E"/>
    <w:rsid w:val="37CC0B37"/>
    <w:rsid w:val="37F233F6"/>
    <w:rsid w:val="380E50F8"/>
    <w:rsid w:val="38412935"/>
    <w:rsid w:val="38460B12"/>
    <w:rsid w:val="38506A19"/>
    <w:rsid w:val="38656FA3"/>
    <w:rsid w:val="386E4620"/>
    <w:rsid w:val="38811467"/>
    <w:rsid w:val="38CE5D4B"/>
    <w:rsid w:val="38ED7518"/>
    <w:rsid w:val="390C7F95"/>
    <w:rsid w:val="39280403"/>
    <w:rsid w:val="392D6095"/>
    <w:rsid w:val="39754642"/>
    <w:rsid w:val="39995B99"/>
    <w:rsid w:val="399D4230"/>
    <w:rsid w:val="3A0B3466"/>
    <w:rsid w:val="3A526216"/>
    <w:rsid w:val="3ABB0B98"/>
    <w:rsid w:val="3AD83D63"/>
    <w:rsid w:val="3AE326CE"/>
    <w:rsid w:val="3AED02D8"/>
    <w:rsid w:val="3B1E64AC"/>
    <w:rsid w:val="3B6D745D"/>
    <w:rsid w:val="3B747A20"/>
    <w:rsid w:val="3BB46037"/>
    <w:rsid w:val="3BD836ED"/>
    <w:rsid w:val="3BE64E43"/>
    <w:rsid w:val="3C9154FB"/>
    <w:rsid w:val="3D5F2564"/>
    <w:rsid w:val="3D8854D5"/>
    <w:rsid w:val="3E3E1EB6"/>
    <w:rsid w:val="3E4E7CA6"/>
    <w:rsid w:val="3E505B65"/>
    <w:rsid w:val="3E524703"/>
    <w:rsid w:val="3E8F245D"/>
    <w:rsid w:val="3E922372"/>
    <w:rsid w:val="3EC27BEE"/>
    <w:rsid w:val="3F0D4FF4"/>
    <w:rsid w:val="3F456218"/>
    <w:rsid w:val="3F934C7A"/>
    <w:rsid w:val="3FA45EBA"/>
    <w:rsid w:val="404C661A"/>
    <w:rsid w:val="40874F1F"/>
    <w:rsid w:val="40A31587"/>
    <w:rsid w:val="40AC0111"/>
    <w:rsid w:val="40C267AB"/>
    <w:rsid w:val="40F742C7"/>
    <w:rsid w:val="41182A31"/>
    <w:rsid w:val="4196023D"/>
    <w:rsid w:val="41F140EA"/>
    <w:rsid w:val="42132817"/>
    <w:rsid w:val="423263A4"/>
    <w:rsid w:val="42335E1F"/>
    <w:rsid w:val="425C4316"/>
    <w:rsid w:val="42843010"/>
    <w:rsid w:val="42910515"/>
    <w:rsid w:val="42923C31"/>
    <w:rsid w:val="429B54B0"/>
    <w:rsid w:val="42BE44BD"/>
    <w:rsid w:val="42CC2F63"/>
    <w:rsid w:val="42D219D0"/>
    <w:rsid w:val="42FE2688"/>
    <w:rsid w:val="43652D66"/>
    <w:rsid w:val="437F70B4"/>
    <w:rsid w:val="438718F0"/>
    <w:rsid w:val="43E902BD"/>
    <w:rsid w:val="440C6969"/>
    <w:rsid w:val="445273C7"/>
    <w:rsid w:val="44EA6C09"/>
    <w:rsid w:val="450F78C1"/>
    <w:rsid w:val="45323501"/>
    <w:rsid w:val="454F306F"/>
    <w:rsid w:val="45721D1C"/>
    <w:rsid w:val="45AB7D97"/>
    <w:rsid w:val="45D32483"/>
    <w:rsid w:val="45DD10E1"/>
    <w:rsid w:val="45E67996"/>
    <w:rsid w:val="45E96A73"/>
    <w:rsid w:val="462702F0"/>
    <w:rsid w:val="462F75F1"/>
    <w:rsid w:val="46311AFC"/>
    <w:rsid w:val="46505A6E"/>
    <w:rsid w:val="466665DF"/>
    <w:rsid w:val="46760099"/>
    <w:rsid w:val="46AD6928"/>
    <w:rsid w:val="46B20D96"/>
    <w:rsid w:val="46D53136"/>
    <w:rsid w:val="47353D1A"/>
    <w:rsid w:val="4744721C"/>
    <w:rsid w:val="47EF0A7F"/>
    <w:rsid w:val="480C24AE"/>
    <w:rsid w:val="48206638"/>
    <w:rsid w:val="4835522A"/>
    <w:rsid w:val="483B7B4C"/>
    <w:rsid w:val="489E2A73"/>
    <w:rsid w:val="48BD55C3"/>
    <w:rsid w:val="48C6797A"/>
    <w:rsid w:val="49136555"/>
    <w:rsid w:val="494734F2"/>
    <w:rsid w:val="494A1752"/>
    <w:rsid w:val="49B958DD"/>
    <w:rsid w:val="49E25883"/>
    <w:rsid w:val="49EE4422"/>
    <w:rsid w:val="49F103A0"/>
    <w:rsid w:val="4A4C2296"/>
    <w:rsid w:val="4ABB651C"/>
    <w:rsid w:val="4AE80A8C"/>
    <w:rsid w:val="4B0B6B4D"/>
    <w:rsid w:val="4B423C92"/>
    <w:rsid w:val="4B574CAA"/>
    <w:rsid w:val="4B7C59F1"/>
    <w:rsid w:val="4B977C57"/>
    <w:rsid w:val="4B9D5BAA"/>
    <w:rsid w:val="4BB20E78"/>
    <w:rsid w:val="4BD2139A"/>
    <w:rsid w:val="4BE168A0"/>
    <w:rsid w:val="4C000A01"/>
    <w:rsid w:val="4C684C1E"/>
    <w:rsid w:val="4C9361E9"/>
    <w:rsid w:val="4CD46DEC"/>
    <w:rsid w:val="4CF211F0"/>
    <w:rsid w:val="4D0A6F77"/>
    <w:rsid w:val="4D1C3CD0"/>
    <w:rsid w:val="4D8E71D5"/>
    <w:rsid w:val="4DEA10B3"/>
    <w:rsid w:val="4E0350F8"/>
    <w:rsid w:val="4E243B8D"/>
    <w:rsid w:val="4E436B37"/>
    <w:rsid w:val="4E5223C2"/>
    <w:rsid w:val="4EA656DA"/>
    <w:rsid w:val="4EC45EA1"/>
    <w:rsid w:val="4EC970E1"/>
    <w:rsid w:val="4EE11397"/>
    <w:rsid w:val="4EE61ACA"/>
    <w:rsid w:val="4EFE2072"/>
    <w:rsid w:val="4EFE4AE3"/>
    <w:rsid w:val="4F20554F"/>
    <w:rsid w:val="4F225AAA"/>
    <w:rsid w:val="4F2549BE"/>
    <w:rsid w:val="4F3B6619"/>
    <w:rsid w:val="4F8739D1"/>
    <w:rsid w:val="4FB563EF"/>
    <w:rsid w:val="4FB64583"/>
    <w:rsid w:val="4FDD21D9"/>
    <w:rsid w:val="50120BFD"/>
    <w:rsid w:val="5014690D"/>
    <w:rsid w:val="504659F0"/>
    <w:rsid w:val="50491DE4"/>
    <w:rsid w:val="506D034B"/>
    <w:rsid w:val="50787F57"/>
    <w:rsid w:val="50D0255D"/>
    <w:rsid w:val="50D90D5F"/>
    <w:rsid w:val="511700A3"/>
    <w:rsid w:val="51553B40"/>
    <w:rsid w:val="5155574D"/>
    <w:rsid w:val="51634EAC"/>
    <w:rsid w:val="51745F08"/>
    <w:rsid w:val="517C59CC"/>
    <w:rsid w:val="523732E4"/>
    <w:rsid w:val="524A0CA9"/>
    <w:rsid w:val="52671E16"/>
    <w:rsid w:val="5282130E"/>
    <w:rsid w:val="52857241"/>
    <w:rsid w:val="52984670"/>
    <w:rsid w:val="52CF5403"/>
    <w:rsid w:val="52DE71E5"/>
    <w:rsid w:val="52F00587"/>
    <w:rsid w:val="534501D7"/>
    <w:rsid w:val="535D4D2F"/>
    <w:rsid w:val="53DC561E"/>
    <w:rsid w:val="53EF1D12"/>
    <w:rsid w:val="54397FEA"/>
    <w:rsid w:val="54BA33AD"/>
    <w:rsid w:val="54FC24CE"/>
    <w:rsid w:val="555653CF"/>
    <w:rsid w:val="558B43E9"/>
    <w:rsid w:val="55B763DF"/>
    <w:rsid w:val="55C57C62"/>
    <w:rsid w:val="55D716CF"/>
    <w:rsid w:val="565A144E"/>
    <w:rsid w:val="56734CC6"/>
    <w:rsid w:val="56773030"/>
    <w:rsid w:val="5680145C"/>
    <w:rsid w:val="56AD2C7D"/>
    <w:rsid w:val="56BD0BB6"/>
    <w:rsid w:val="56CB45AE"/>
    <w:rsid w:val="56D7638C"/>
    <w:rsid w:val="57293CFA"/>
    <w:rsid w:val="57390D5B"/>
    <w:rsid w:val="57792FDC"/>
    <w:rsid w:val="5795304D"/>
    <w:rsid w:val="57C652E5"/>
    <w:rsid w:val="57EB09A3"/>
    <w:rsid w:val="57F43747"/>
    <w:rsid w:val="57FE59D8"/>
    <w:rsid w:val="580D008A"/>
    <w:rsid w:val="58150E72"/>
    <w:rsid w:val="583F0A9B"/>
    <w:rsid w:val="58510921"/>
    <w:rsid w:val="587E4484"/>
    <w:rsid w:val="58873694"/>
    <w:rsid w:val="58991371"/>
    <w:rsid w:val="58DB5FA5"/>
    <w:rsid w:val="58E163D7"/>
    <w:rsid w:val="5916085F"/>
    <w:rsid w:val="595C7288"/>
    <w:rsid w:val="59921D99"/>
    <w:rsid w:val="59A726A9"/>
    <w:rsid w:val="59B158F4"/>
    <w:rsid w:val="59BE5BAA"/>
    <w:rsid w:val="59C437FE"/>
    <w:rsid w:val="59CE3BCF"/>
    <w:rsid w:val="59FE517B"/>
    <w:rsid w:val="5A267527"/>
    <w:rsid w:val="5AB76440"/>
    <w:rsid w:val="5B031D49"/>
    <w:rsid w:val="5B2C134D"/>
    <w:rsid w:val="5B2F339B"/>
    <w:rsid w:val="5B962F9A"/>
    <w:rsid w:val="5BBD4C06"/>
    <w:rsid w:val="5BD61C15"/>
    <w:rsid w:val="5C0266B2"/>
    <w:rsid w:val="5C1E33C4"/>
    <w:rsid w:val="5C4C5654"/>
    <w:rsid w:val="5C725934"/>
    <w:rsid w:val="5C8D16E1"/>
    <w:rsid w:val="5CC57612"/>
    <w:rsid w:val="5D04765F"/>
    <w:rsid w:val="5D1426A8"/>
    <w:rsid w:val="5D2525BB"/>
    <w:rsid w:val="5D270646"/>
    <w:rsid w:val="5D587593"/>
    <w:rsid w:val="5D6632BE"/>
    <w:rsid w:val="5D746A2F"/>
    <w:rsid w:val="5D79362F"/>
    <w:rsid w:val="5DA66D74"/>
    <w:rsid w:val="5E035603"/>
    <w:rsid w:val="5E2E6D07"/>
    <w:rsid w:val="5E434644"/>
    <w:rsid w:val="5E7163CA"/>
    <w:rsid w:val="5EE540DA"/>
    <w:rsid w:val="5EEA34F4"/>
    <w:rsid w:val="5EF27C7E"/>
    <w:rsid w:val="5F0741A8"/>
    <w:rsid w:val="5F274022"/>
    <w:rsid w:val="5F322FC1"/>
    <w:rsid w:val="5F3C1DA9"/>
    <w:rsid w:val="5F930D63"/>
    <w:rsid w:val="5F93783B"/>
    <w:rsid w:val="60040CB9"/>
    <w:rsid w:val="60326878"/>
    <w:rsid w:val="6039647F"/>
    <w:rsid w:val="60586B40"/>
    <w:rsid w:val="60654D08"/>
    <w:rsid w:val="606F4BAD"/>
    <w:rsid w:val="60897EB4"/>
    <w:rsid w:val="60AF4B45"/>
    <w:rsid w:val="60C8132B"/>
    <w:rsid w:val="60CD5FF7"/>
    <w:rsid w:val="60FC0F63"/>
    <w:rsid w:val="610D23F7"/>
    <w:rsid w:val="610D2E70"/>
    <w:rsid w:val="610F2437"/>
    <w:rsid w:val="61563C74"/>
    <w:rsid w:val="61A3229B"/>
    <w:rsid w:val="61CB6E43"/>
    <w:rsid w:val="61F865E3"/>
    <w:rsid w:val="61FE2DAE"/>
    <w:rsid w:val="625D5ECF"/>
    <w:rsid w:val="627A2E03"/>
    <w:rsid w:val="62983893"/>
    <w:rsid w:val="629F4473"/>
    <w:rsid w:val="62C41DFD"/>
    <w:rsid w:val="631B55AD"/>
    <w:rsid w:val="6339262C"/>
    <w:rsid w:val="633950CF"/>
    <w:rsid w:val="63573E02"/>
    <w:rsid w:val="63697262"/>
    <w:rsid w:val="63C343D2"/>
    <w:rsid w:val="63EE3DDA"/>
    <w:rsid w:val="64317378"/>
    <w:rsid w:val="6435526F"/>
    <w:rsid w:val="64AA0728"/>
    <w:rsid w:val="64D178EE"/>
    <w:rsid w:val="64FE675E"/>
    <w:rsid w:val="6524245C"/>
    <w:rsid w:val="656A44D5"/>
    <w:rsid w:val="658F1E34"/>
    <w:rsid w:val="65D11D1A"/>
    <w:rsid w:val="65F35FF0"/>
    <w:rsid w:val="65F375CB"/>
    <w:rsid w:val="6637683D"/>
    <w:rsid w:val="66580DBE"/>
    <w:rsid w:val="66612E6A"/>
    <w:rsid w:val="667A1841"/>
    <w:rsid w:val="66800F51"/>
    <w:rsid w:val="66911818"/>
    <w:rsid w:val="66E14CA0"/>
    <w:rsid w:val="66FA713B"/>
    <w:rsid w:val="674C7B73"/>
    <w:rsid w:val="67552C37"/>
    <w:rsid w:val="675E3F8C"/>
    <w:rsid w:val="6775241D"/>
    <w:rsid w:val="681A03FA"/>
    <w:rsid w:val="685544E3"/>
    <w:rsid w:val="686328D9"/>
    <w:rsid w:val="68663DEF"/>
    <w:rsid w:val="686A13E8"/>
    <w:rsid w:val="688321E8"/>
    <w:rsid w:val="688F4A85"/>
    <w:rsid w:val="68D7106C"/>
    <w:rsid w:val="68EC254E"/>
    <w:rsid w:val="68F94CAE"/>
    <w:rsid w:val="695B657F"/>
    <w:rsid w:val="69653473"/>
    <w:rsid w:val="696A10AD"/>
    <w:rsid w:val="697B7C18"/>
    <w:rsid w:val="69D35E64"/>
    <w:rsid w:val="6A192068"/>
    <w:rsid w:val="6A2717A4"/>
    <w:rsid w:val="6A5A0129"/>
    <w:rsid w:val="6A875E44"/>
    <w:rsid w:val="6A8E2BD7"/>
    <w:rsid w:val="6AA428F0"/>
    <w:rsid w:val="6B250556"/>
    <w:rsid w:val="6B7C4F05"/>
    <w:rsid w:val="6BAD1164"/>
    <w:rsid w:val="6BDD6438"/>
    <w:rsid w:val="6BE469A7"/>
    <w:rsid w:val="6BF144F7"/>
    <w:rsid w:val="6BFC05B5"/>
    <w:rsid w:val="6C041747"/>
    <w:rsid w:val="6C2E63F3"/>
    <w:rsid w:val="6C3F3C8F"/>
    <w:rsid w:val="6CA4065B"/>
    <w:rsid w:val="6CEA248B"/>
    <w:rsid w:val="6CF02525"/>
    <w:rsid w:val="6D0439B9"/>
    <w:rsid w:val="6DA31861"/>
    <w:rsid w:val="6DEB2CA1"/>
    <w:rsid w:val="6E664D54"/>
    <w:rsid w:val="6E7A1526"/>
    <w:rsid w:val="6E8C07C4"/>
    <w:rsid w:val="6E955E22"/>
    <w:rsid w:val="6EA27422"/>
    <w:rsid w:val="6EBE346C"/>
    <w:rsid w:val="6ECC66E0"/>
    <w:rsid w:val="6EF91155"/>
    <w:rsid w:val="6F0C72EE"/>
    <w:rsid w:val="6F173DD6"/>
    <w:rsid w:val="6F6C5419"/>
    <w:rsid w:val="6F7C05AD"/>
    <w:rsid w:val="6F977989"/>
    <w:rsid w:val="6FBA409B"/>
    <w:rsid w:val="6FBC714B"/>
    <w:rsid w:val="6FCE0B16"/>
    <w:rsid w:val="70055EC7"/>
    <w:rsid w:val="70336F5A"/>
    <w:rsid w:val="707130F4"/>
    <w:rsid w:val="70CC5FE9"/>
    <w:rsid w:val="70EC342D"/>
    <w:rsid w:val="70F071B0"/>
    <w:rsid w:val="711B75A2"/>
    <w:rsid w:val="717075C2"/>
    <w:rsid w:val="71AD7D69"/>
    <w:rsid w:val="71BB3162"/>
    <w:rsid w:val="71D7696F"/>
    <w:rsid w:val="71FF5BB1"/>
    <w:rsid w:val="72005C2B"/>
    <w:rsid w:val="72492811"/>
    <w:rsid w:val="726B496A"/>
    <w:rsid w:val="729001EE"/>
    <w:rsid w:val="72EC1F89"/>
    <w:rsid w:val="72FF148A"/>
    <w:rsid w:val="73013145"/>
    <w:rsid w:val="73577DB2"/>
    <w:rsid w:val="738952CD"/>
    <w:rsid w:val="73EF0F11"/>
    <w:rsid w:val="73F242F1"/>
    <w:rsid w:val="73F80A65"/>
    <w:rsid w:val="740645AC"/>
    <w:rsid w:val="74262C68"/>
    <w:rsid w:val="747C59C7"/>
    <w:rsid w:val="74874888"/>
    <w:rsid w:val="74D15B2C"/>
    <w:rsid w:val="74E33AF0"/>
    <w:rsid w:val="75025100"/>
    <w:rsid w:val="751C5E64"/>
    <w:rsid w:val="75392624"/>
    <w:rsid w:val="754F316E"/>
    <w:rsid w:val="75943EB9"/>
    <w:rsid w:val="75AC3286"/>
    <w:rsid w:val="75AF53FF"/>
    <w:rsid w:val="75BB3703"/>
    <w:rsid w:val="760427CF"/>
    <w:rsid w:val="767E7E96"/>
    <w:rsid w:val="768D7127"/>
    <w:rsid w:val="76A72394"/>
    <w:rsid w:val="76E52C6F"/>
    <w:rsid w:val="76E8529D"/>
    <w:rsid w:val="76F50D20"/>
    <w:rsid w:val="770C4FF9"/>
    <w:rsid w:val="77465F26"/>
    <w:rsid w:val="77620F31"/>
    <w:rsid w:val="776B0446"/>
    <w:rsid w:val="779A2975"/>
    <w:rsid w:val="77B47658"/>
    <w:rsid w:val="77C24033"/>
    <w:rsid w:val="77ED11DA"/>
    <w:rsid w:val="783368F4"/>
    <w:rsid w:val="78906088"/>
    <w:rsid w:val="78DD04F7"/>
    <w:rsid w:val="791051F1"/>
    <w:rsid w:val="793165A3"/>
    <w:rsid w:val="793C51A6"/>
    <w:rsid w:val="795507C0"/>
    <w:rsid w:val="795C4DD9"/>
    <w:rsid w:val="79717ADD"/>
    <w:rsid w:val="799A4154"/>
    <w:rsid w:val="7A0D6B59"/>
    <w:rsid w:val="7A254FE0"/>
    <w:rsid w:val="7A441E6D"/>
    <w:rsid w:val="7A4D3E5E"/>
    <w:rsid w:val="7A7705EC"/>
    <w:rsid w:val="7A7E0E86"/>
    <w:rsid w:val="7AB22185"/>
    <w:rsid w:val="7AB84FDC"/>
    <w:rsid w:val="7AF85B45"/>
    <w:rsid w:val="7B007493"/>
    <w:rsid w:val="7B0B4BCC"/>
    <w:rsid w:val="7B2D7314"/>
    <w:rsid w:val="7B3210E5"/>
    <w:rsid w:val="7BC91B84"/>
    <w:rsid w:val="7BCE339E"/>
    <w:rsid w:val="7C2305C1"/>
    <w:rsid w:val="7C7763B7"/>
    <w:rsid w:val="7C9E175C"/>
    <w:rsid w:val="7CB86531"/>
    <w:rsid w:val="7D1C2ABC"/>
    <w:rsid w:val="7D1E6714"/>
    <w:rsid w:val="7DB608A6"/>
    <w:rsid w:val="7DB7501F"/>
    <w:rsid w:val="7DD73DDE"/>
    <w:rsid w:val="7DE26F2E"/>
    <w:rsid w:val="7E2A3ED8"/>
    <w:rsid w:val="7E553559"/>
    <w:rsid w:val="7E694E23"/>
    <w:rsid w:val="7E902EEF"/>
    <w:rsid w:val="7EA60F62"/>
    <w:rsid w:val="7ED73A56"/>
    <w:rsid w:val="7F7979A1"/>
    <w:rsid w:val="7FBD7C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9"/>
    <w:pPr>
      <w:keepNext/>
      <w:keepLines/>
      <w:adjustRightInd w:val="0"/>
      <w:snapToGrid w:val="0"/>
      <w:spacing w:before="120" w:after="120"/>
      <w:outlineLvl w:val="3"/>
    </w:pPr>
    <w:rPr>
      <w:rFonts w:ascii="Arial" w:hAnsi="Arial" w:cs="Arial"/>
      <w:b/>
      <w:bCs/>
      <w:sz w:val="28"/>
      <w:szCs w:val="28"/>
    </w:rPr>
  </w:style>
  <w:style w:type="paragraph" w:styleId="7">
    <w:name w:val="heading 5"/>
    <w:basedOn w:val="1"/>
    <w:next w:val="8"/>
    <w:link w:val="49"/>
    <w:qFormat/>
    <w:uiPriority w:val="99"/>
    <w:pPr>
      <w:keepNext/>
      <w:keepLines/>
      <w:spacing w:before="280" w:after="290" w:line="376" w:lineRule="auto"/>
      <w:outlineLvl w:val="4"/>
    </w:pPr>
    <w:rPr>
      <w:b/>
      <w:bCs/>
      <w:sz w:val="28"/>
      <w:szCs w:val="28"/>
    </w:rPr>
  </w:style>
  <w:style w:type="paragraph" w:styleId="9">
    <w:name w:val="heading 6"/>
    <w:basedOn w:val="1"/>
    <w:next w:val="8"/>
    <w:link w:val="50"/>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8"/>
    <w:link w:val="51"/>
    <w:qFormat/>
    <w:uiPriority w:val="99"/>
    <w:pPr>
      <w:keepNext/>
      <w:keepLines/>
      <w:spacing w:before="240" w:after="64" w:line="320" w:lineRule="auto"/>
      <w:outlineLvl w:val="6"/>
    </w:pPr>
    <w:rPr>
      <w:b/>
      <w:bCs/>
      <w:sz w:val="24"/>
      <w:szCs w:val="24"/>
    </w:rPr>
  </w:style>
  <w:style w:type="paragraph" w:styleId="11">
    <w:name w:val="heading 8"/>
    <w:basedOn w:val="1"/>
    <w:next w:val="8"/>
    <w:link w:val="52"/>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8"/>
    <w:link w:val="53"/>
    <w:qFormat/>
    <w:uiPriority w:val="99"/>
    <w:pPr>
      <w:keepNext/>
      <w:keepLines/>
      <w:spacing w:before="240" w:after="64" w:line="320" w:lineRule="auto"/>
      <w:outlineLvl w:val="8"/>
    </w:pPr>
    <w:rPr>
      <w:rFonts w:ascii="Arial" w:hAnsi="Arial" w:eastAsia="黑体"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61"/>
    <w:qFormat/>
    <w:uiPriority w:val="99"/>
    <w:pPr>
      <w:ind w:firstLine="630"/>
    </w:pPr>
    <w:rPr>
      <w:sz w:val="32"/>
      <w:szCs w:val="32"/>
    </w:rPr>
  </w:style>
  <w:style w:type="paragraph" w:styleId="8">
    <w:name w:val="Normal Indent"/>
    <w:basedOn w:val="1"/>
    <w:qFormat/>
    <w:uiPriority w:val="99"/>
    <w:pPr>
      <w:ind w:firstLine="420"/>
    </w:pPr>
  </w:style>
  <w:style w:type="paragraph" w:styleId="13">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55"/>
    <w:semiHidden/>
    <w:qFormat/>
    <w:uiPriority w:val="99"/>
    <w:pPr>
      <w:shd w:val="clear" w:color="auto" w:fill="000080"/>
    </w:pPr>
  </w:style>
  <w:style w:type="paragraph" w:styleId="16">
    <w:name w:val="annotation text"/>
    <w:basedOn w:val="1"/>
    <w:link w:val="56"/>
    <w:semiHidden/>
    <w:qFormat/>
    <w:uiPriority w:val="99"/>
    <w:pPr>
      <w:jc w:val="left"/>
    </w:pPr>
  </w:style>
  <w:style w:type="paragraph" w:styleId="17">
    <w:name w:val="Body Text 3"/>
    <w:basedOn w:val="1"/>
    <w:link w:val="57"/>
    <w:qFormat/>
    <w:uiPriority w:val="99"/>
    <w:pPr>
      <w:spacing w:line="500" w:lineRule="exact"/>
    </w:pPr>
    <w:rPr>
      <w:b/>
      <w:bCs/>
      <w:sz w:val="24"/>
      <w:szCs w:val="24"/>
    </w:rPr>
  </w:style>
  <w:style w:type="paragraph" w:styleId="18">
    <w:name w:val="Body Text"/>
    <w:basedOn w:val="1"/>
    <w:link w:val="54"/>
    <w:qFormat/>
    <w:uiPriority w:val="0"/>
    <w:pPr>
      <w:spacing w:line="380" w:lineRule="exact"/>
    </w:pPr>
    <w:rPr>
      <w:sz w:val="24"/>
      <w:szCs w:val="24"/>
    </w:rPr>
  </w:style>
  <w:style w:type="paragraph" w:styleId="19">
    <w:name w:val="Body Text Indent"/>
    <w:basedOn w:val="1"/>
    <w:link w:val="58"/>
    <w:qFormat/>
    <w:uiPriority w:val="99"/>
    <w:pPr>
      <w:ind w:firstLine="830" w:firstLineChars="352"/>
    </w:pPr>
    <w:rPr>
      <w:rFonts w:ascii="仿宋_GB2312" w:eastAsia="仿宋_GB2312" w:cs="仿宋_GB2312"/>
      <w:sz w:val="32"/>
      <w:szCs w:val="32"/>
    </w:rPr>
  </w:style>
  <w:style w:type="paragraph" w:styleId="20">
    <w:name w:val="List Number 3"/>
    <w:basedOn w:val="1"/>
    <w:qFormat/>
    <w:uiPriority w:val="99"/>
  </w:style>
  <w:style w:type="paragraph" w:styleId="21">
    <w:name w:val="List 2"/>
    <w:basedOn w:val="1"/>
    <w:qFormat/>
    <w:uiPriority w:val="99"/>
    <w:pPr>
      <w:ind w:left="100" w:leftChars="200" w:hanging="200" w:hangingChars="200"/>
    </w:pPr>
    <w:rPr>
      <w:sz w:val="28"/>
      <w:szCs w:val="28"/>
    </w:rPr>
  </w:style>
  <w:style w:type="paragraph" w:styleId="22">
    <w:name w:val="Block Text"/>
    <w:basedOn w:val="1"/>
    <w:qFormat/>
    <w:uiPriority w:val="99"/>
    <w:pPr>
      <w:spacing w:line="600" w:lineRule="exact"/>
      <w:ind w:left="-40" w:right="-198" w:firstLine="560" w:firstLineChars="200"/>
    </w:pPr>
    <w:rPr>
      <w:rFonts w:ascii="宋体" w:hAnsi="宋体" w:cs="宋体"/>
      <w:sz w:val="28"/>
      <w:szCs w:val="28"/>
    </w:rPr>
  </w:style>
  <w:style w:type="paragraph" w:styleId="23">
    <w:name w:val="toc 3"/>
    <w:basedOn w:val="1"/>
    <w:next w:val="1"/>
    <w:semiHidden/>
    <w:qFormat/>
    <w:uiPriority w:val="99"/>
    <w:pPr>
      <w:ind w:left="840" w:leftChars="400"/>
    </w:pPr>
  </w:style>
  <w:style w:type="paragraph" w:styleId="24">
    <w:name w:val="Plain Text"/>
    <w:basedOn w:val="1"/>
    <w:next w:val="1"/>
    <w:link w:val="70"/>
    <w:qFormat/>
    <w:uiPriority w:val="0"/>
    <w:rPr>
      <w:rFonts w:ascii="宋体" w:hAnsi="Courier New" w:cs="宋体"/>
    </w:rPr>
  </w:style>
  <w:style w:type="paragraph" w:styleId="25">
    <w:name w:val="Date"/>
    <w:basedOn w:val="1"/>
    <w:next w:val="1"/>
    <w:link w:val="60"/>
    <w:qFormat/>
    <w:uiPriority w:val="99"/>
    <w:pPr>
      <w:ind w:left="100" w:leftChars="2500"/>
    </w:pPr>
    <w:rPr>
      <w:rFonts w:ascii="宋体" w:hAnsi="Courier New" w:cs="宋体"/>
    </w:rPr>
  </w:style>
  <w:style w:type="paragraph" w:styleId="26">
    <w:name w:val="Balloon Text"/>
    <w:basedOn w:val="1"/>
    <w:link w:val="62"/>
    <w:semiHidden/>
    <w:qFormat/>
    <w:uiPriority w:val="99"/>
    <w:rPr>
      <w:sz w:val="18"/>
      <w:szCs w:val="18"/>
    </w:rPr>
  </w:style>
  <w:style w:type="paragraph" w:styleId="27">
    <w:name w:val="footer"/>
    <w:basedOn w:val="1"/>
    <w:link w:val="63"/>
    <w:qFormat/>
    <w:uiPriority w:val="99"/>
    <w:pPr>
      <w:tabs>
        <w:tab w:val="center" w:pos="4153"/>
        <w:tab w:val="right" w:pos="8306"/>
      </w:tabs>
      <w:snapToGrid w:val="0"/>
      <w:jc w:val="left"/>
    </w:pPr>
    <w:rPr>
      <w:sz w:val="18"/>
      <w:szCs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tabs>
        <w:tab w:val="right" w:leader="dot" w:pos="8398"/>
      </w:tabs>
      <w:spacing w:before="120" w:after="120"/>
      <w:ind w:firstLine="240" w:firstLineChars="100"/>
      <w:jc w:val="left"/>
    </w:pPr>
    <w:rPr>
      <w:rFonts w:ascii="宋体" w:hAnsi="宋体" w:cs="宋体"/>
      <w:b/>
      <w:bCs/>
      <w:caps/>
      <w:sz w:val="24"/>
      <w:szCs w:val="24"/>
    </w:rPr>
  </w:style>
  <w:style w:type="paragraph" w:styleId="30">
    <w:name w:val="List"/>
    <w:basedOn w:val="1"/>
    <w:qFormat/>
    <w:uiPriority w:val="99"/>
    <w:pPr>
      <w:ind w:left="200" w:hanging="200" w:hangingChars="200"/>
    </w:pPr>
    <w:rPr>
      <w:sz w:val="28"/>
      <w:szCs w:val="28"/>
    </w:rPr>
  </w:style>
  <w:style w:type="paragraph" w:styleId="31">
    <w:name w:val="Body Text Indent 3"/>
    <w:basedOn w:val="1"/>
    <w:link w:val="65"/>
    <w:qFormat/>
    <w:uiPriority w:val="99"/>
    <w:pPr>
      <w:spacing w:after="120"/>
      <w:ind w:left="420" w:leftChars="200"/>
    </w:pPr>
    <w:rPr>
      <w:sz w:val="16"/>
      <w:szCs w:val="16"/>
    </w:rPr>
  </w:style>
  <w:style w:type="paragraph" w:styleId="32">
    <w:name w:val="toc 2"/>
    <w:basedOn w:val="1"/>
    <w:next w:val="1"/>
    <w:semiHidden/>
    <w:qFormat/>
    <w:uiPriority w:val="99"/>
    <w:pPr>
      <w:ind w:left="420" w:leftChars="200"/>
    </w:pPr>
  </w:style>
  <w:style w:type="paragraph" w:styleId="33">
    <w:name w:val="Body Text 2"/>
    <w:basedOn w:val="1"/>
    <w:link w:val="66"/>
    <w:qFormat/>
    <w:uiPriority w:val="99"/>
    <w:pPr>
      <w:spacing w:after="120" w:line="480" w:lineRule="auto"/>
    </w:pPr>
  </w:style>
  <w:style w:type="paragraph" w:styleId="34">
    <w:name w:val="Normal (Web)"/>
    <w:basedOn w:val="1"/>
    <w:link w:val="7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99"/>
    <w:pPr>
      <w:spacing w:line="400" w:lineRule="exact"/>
      <w:ind w:firstLine="420" w:firstLineChars="200"/>
    </w:pPr>
    <w:rPr>
      <w:rFonts w:ascii="宋体" w:hAnsi="Courier New" w:cs="宋体"/>
      <w:b/>
      <w:bCs/>
    </w:rPr>
  </w:style>
  <w:style w:type="paragraph" w:styleId="36">
    <w:name w:val="annotation subject"/>
    <w:basedOn w:val="16"/>
    <w:next w:val="16"/>
    <w:link w:val="67"/>
    <w:semiHidden/>
    <w:qFormat/>
    <w:uiPriority w:val="99"/>
    <w:rPr>
      <w:b/>
      <w:bCs/>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b/>
      <w:bCs/>
    </w:rPr>
  </w:style>
  <w:style w:type="character" w:styleId="41">
    <w:name w:val="page number"/>
    <w:basedOn w:val="39"/>
    <w:qFormat/>
    <w:uiPriority w:val="99"/>
  </w:style>
  <w:style w:type="character" w:styleId="42">
    <w:name w:val="FollowedHyperlink"/>
    <w:qFormat/>
    <w:uiPriority w:val="99"/>
    <w:rPr>
      <w:color w:val="auto"/>
      <w:u w:val="none"/>
    </w:rPr>
  </w:style>
  <w:style w:type="character" w:styleId="43">
    <w:name w:val="Hyperlink"/>
    <w:basedOn w:val="39"/>
    <w:qFormat/>
    <w:uiPriority w:val="99"/>
    <w:rPr>
      <w:color w:val="auto"/>
      <w:u w:val="none"/>
    </w:rPr>
  </w:style>
  <w:style w:type="character" w:styleId="44">
    <w:name w:val="annotation reference"/>
    <w:semiHidden/>
    <w:qFormat/>
    <w:uiPriority w:val="99"/>
    <w:rPr>
      <w:sz w:val="21"/>
      <w:szCs w:val="21"/>
    </w:rPr>
  </w:style>
  <w:style w:type="character" w:customStyle="1" w:styleId="45">
    <w:name w:val="标题 1 Char"/>
    <w:link w:val="3"/>
    <w:qFormat/>
    <w:locked/>
    <w:uiPriority w:val="99"/>
    <w:rPr>
      <w:b/>
      <w:bCs/>
      <w:kern w:val="44"/>
      <w:sz w:val="44"/>
      <w:szCs w:val="44"/>
    </w:rPr>
  </w:style>
  <w:style w:type="character" w:customStyle="1" w:styleId="46">
    <w:name w:val="标题 2 Char"/>
    <w:link w:val="4"/>
    <w:semiHidden/>
    <w:qFormat/>
    <w:uiPriority w:val="9"/>
    <w:rPr>
      <w:rFonts w:ascii="Cambria" w:hAnsi="Cambria" w:eastAsia="宋体" w:cs="Times New Roman"/>
      <w:b/>
      <w:bCs/>
      <w:sz w:val="32"/>
      <w:szCs w:val="32"/>
    </w:rPr>
  </w:style>
  <w:style w:type="character" w:customStyle="1" w:styleId="47">
    <w:name w:val="标题 3 Char"/>
    <w:link w:val="5"/>
    <w:semiHidden/>
    <w:qFormat/>
    <w:uiPriority w:val="9"/>
    <w:rPr>
      <w:b/>
      <w:bCs/>
      <w:sz w:val="32"/>
      <w:szCs w:val="32"/>
    </w:rPr>
  </w:style>
  <w:style w:type="character" w:customStyle="1" w:styleId="48">
    <w:name w:val="标题 4 Char"/>
    <w:link w:val="6"/>
    <w:qFormat/>
    <w:locked/>
    <w:uiPriority w:val="99"/>
    <w:rPr>
      <w:rFonts w:ascii="Arial" w:hAnsi="Arial" w:cs="Arial"/>
      <w:b/>
      <w:bCs/>
      <w:kern w:val="2"/>
      <w:sz w:val="28"/>
      <w:szCs w:val="28"/>
    </w:rPr>
  </w:style>
  <w:style w:type="character" w:customStyle="1" w:styleId="49">
    <w:name w:val="标题 5 Char"/>
    <w:link w:val="7"/>
    <w:semiHidden/>
    <w:qFormat/>
    <w:uiPriority w:val="9"/>
    <w:rPr>
      <w:b/>
      <w:bCs/>
      <w:sz w:val="28"/>
      <w:szCs w:val="28"/>
    </w:rPr>
  </w:style>
  <w:style w:type="character" w:customStyle="1" w:styleId="50">
    <w:name w:val="标题 6 Char"/>
    <w:link w:val="9"/>
    <w:semiHidden/>
    <w:qFormat/>
    <w:uiPriority w:val="9"/>
    <w:rPr>
      <w:rFonts w:ascii="Cambria" w:hAnsi="Cambria" w:eastAsia="宋体" w:cs="Times New Roman"/>
      <w:b/>
      <w:bCs/>
      <w:sz w:val="24"/>
      <w:szCs w:val="24"/>
    </w:rPr>
  </w:style>
  <w:style w:type="character" w:customStyle="1" w:styleId="51">
    <w:name w:val="标题 7 Char"/>
    <w:link w:val="10"/>
    <w:semiHidden/>
    <w:qFormat/>
    <w:uiPriority w:val="9"/>
    <w:rPr>
      <w:b/>
      <w:bCs/>
      <w:sz w:val="24"/>
      <w:szCs w:val="24"/>
    </w:rPr>
  </w:style>
  <w:style w:type="character" w:customStyle="1" w:styleId="52">
    <w:name w:val="标题 8 Char"/>
    <w:link w:val="11"/>
    <w:semiHidden/>
    <w:qFormat/>
    <w:uiPriority w:val="9"/>
    <w:rPr>
      <w:rFonts w:ascii="Cambria" w:hAnsi="Cambria" w:eastAsia="宋体" w:cs="Times New Roman"/>
      <w:sz w:val="24"/>
      <w:szCs w:val="24"/>
    </w:rPr>
  </w:style>
  <w:style w:type="character" w:customStyle="1" w:styleId="53">
    <w:name w:val="标题 9 Char"/>
    <w:link w:val="12"/>
    <w:semiHidden/>
    <w:qFormat/>
    <w:uiPriority w:val="9"/>
    <w:rPr>
      <w:rFonts w:ascii="Cambria" w:hAnsi="Cambria" w:eastAsia="宋体" w:cs="Times New Roman"/>
      <w:szCs w:val="21"/>
    </w:rPr>
  </w:style>
  <w:style w:type="character" w:customStyle="1" w:styleId="54">
    <w:name w:val="正文文本 Char"/>
    <w:link w:val="18"/>
    <w:qFormat/>
    <w:uiPriority w:val="0"/>
    <w:rPr>
      <w:szCs w:val="21"/>
    </w:rPr>
  </w:style>
  <w:style w:type="character" w:customStyle="1" w:styleId="55">
    <w:name w:val="文档结构图 Char"/>
    <w:link w:val="15"/>
    <w:semiHidden/>
    <w:qFormat/>
    <w:uiPriority w:val="99"/>
    <w:rPr>
      <w:sz w:val="0"/>
      <w:szCs w:val="0"/>
    </w:rPr>
  </w:style>
  <w:style w:type="character" w:customStyle="1" w:styleId="56">
    <w:name w:val="批注文字 Char"/>
    <w:link w:val="16"/>
    <w:qFormat/>
    <w:locked/>
    <w:uiPriority w:val="99"/>
    <w:rPr>
      <w:kern w:val="2"/>
      <w:sz w:val="24"/>
      <w:szCs w:val="24"/>
    </w:rPr>
  </w:style>
  <w:style w:type="character" w:customStyle="1" w:styleId="57">
    <w:name w:val="正文文本 3 Char"/>
    <w:link w:val="17"/>
    <w:semiHidden/>
    <w:qFormat/>
    <w:uiPriority w:val="99"/>
    <w:rPr>
      <w:sz w:val="16"/>
      <w:szCs w:val="16"/>
    </w:rPr>
  </w:style>
  <w:style w:type="character" w:customStyle="1" w:styleId="58">
    <w:name w:val="正文文本缩进 Char"/>
    <w:link w:val="19"/>
    <w:qFormat/>
    <w:locked/>
    <w:uiPriority w:val="99"/>
    <w:rPr>
      <w:rFonts w:ascii="仿宋_GB2312" w:eastAsia="仿宋_GB2312" w:cs="仿宋_GB2312"/>
      <w:kern w:val="2"/>
      <w:sz w:val="32"/>
      <w:szCs w:val="32"/>
    </w:rPr>
  </w:style>
  <w:style w:type="character" w:customStyle="1" w:styleId="59">
    <w:name w:val="Plain Text Char"/>
    <w:qFormat/>
    <w:locked/>
    <w:uiPriority w:val="99"/>
    <w:rPr>
      <w:rFonts w:ascii="宋体" w:hAnsi="Courier New" w:eastAsia="宋体" w:cs="宋体"/>
      <w:kern w:val="2"/>
      <w:sz w:val="21"/>
      <w:szCs w:val="21"/>
      <w:lang w:val="en-US" w:eastAsia="zh-CN"/>
    </w:rPr>
  </w:style>
  <w:style w:type="character" w:customStyle="1" w:styleId="60">
    <w:name w:val="日期 Char"/>
    <w:link w:val="25"/>
    <w:semiHidden/>
    <w:qFormat/>
    <w:uiPriority w:val="99"/>
    <w:rPr>
      <w:szCs w:val="21"/>
    </w:rPr>
  </w:style>
  <w:style w:type="character" w:customStyle="1" w:styleId="61">
    <w:name w:val="正文文本缩进 2 Char"/>
    <w:link w:val="2"/>
    <w:semiHidden/>
    <w:qFormat/>
    <w:uiPriority w:val="99"/>
    <w:rPr>
      <w:szCs w:val="21"/>
    </w:rPr>
  </w:style>
  <w:style w:type="character" w:customStyle="1" w:styleId="62">
    <w:name w:val="批注框文本 Char"/>
    <w:link w:val="26"/>
    <w:semiHidden/>
    <w:qFormat/>
    <w:uiPriority w:val="99"/>
    <w:rPr>
      <w:sz w:val="0"/>
      <w:szCs w:val="0"/>
    </w:rPr>
  </w:style>
  <w:style w:type="character" w:customStyle="1" w:styleId="63">
    <w:name w:val="页脚 Char"/>
    <w:link w:val="27"/>
    <w:qFormat/>
    <w:locked/>
    <w:uiPriority w:val="99"/>
    <w:rPr>
      <w:kern w:val="2"/>
      <w:sz w:val="18"/>
      <w:szCs w:val="18"/>
    </w:rPr>
  </w:style>
  <w:style w:type="character" w:customStyle="1" w:styleId="64">
    <w:name w:val="页眉 Char"/>
    <w:link w:val="28"/>
    <w:qFormat/>
    <w:locked/>
    <w:uiPriority w:val="99"/>
    <w:rPr>
      <w:kern w:val="2"/>
      <w:sz w:val="18"/>
      <w:szCs w:val="18"/>
    </w:rPr>
  </w:style>
  <w:style w:type="character" w:customStyle="1" w:styleId="65">
    <w:name w:val="正文文本缩进 3 Char"/>
    <w:link w:val="31"/>
    <w:semiHidden/>
    <w:qFormat/>
    <w:uiPriority w:val="99"/>
    <w:rPr>
      <w:sz w:val="16"/>
      <w:szCs w:val="16"/>
    </w:rPr>
  </w:style>
  <w:style w:type="character" w:customStyle="1" w:styleId="66">
    <w:name w:val="正文文本 2 Char"/>
    <w:link w:val="33"/>
    <w:semiHidden/>
    <w:qFormat/>
    <w:uiPriority w:val="99"/>
    <w:rPr>
      <w:szCs w:val="21"/>
    </w:rPr>
  </w:style>
  <w:style w:type="character" w:customStyle="1" w:styleId="67">
    <w:name w:val="批注主题 Char"/>
    <w:link w:val="36"/>
    <w:qFormat/>
    <w:locked/>
    <w:uiPriority w:val="99"/>
    <w:rPr>
      <w:b/>
      <w:bCs/>
      <w:kern w:val="2"/>
      <w:sz w:val="24"/>
      <w:szCs w:val="24"/>
    </w:rPr>
  </w:style>
  <w:style w:type="character" w:customStyle="1" w:styleId="68">
    <w:name w:val="普通文字 Char Char2"/>
    <w:qFormat/>
    <w:uiPriority w:val="99"/>
    <w:rPr>
      <w:rFonts w:ascii="宋体" w:hAnsi="Courier New" w:eastAsia="宋体" w:cs="宋体"/>
      <w:b/>
      <w:bCs/>
      <w:i/>
      <w:iCs/>
      <w:color w:val="000000"/>
      <w:kern w:val="2"/>
      <w:sz w:val="21"/>
      <w:szCs w:val="21"/>
      <w:lang w:val="en-US" w:eastAsia="zh-CN"/>
    </w:rPr>
  </w:style>
  <w:style w:type="character" w:customStyle="1" w:styleId="69">
    <w:name w:val="Char Char4"/>
    <w:qFormat/>
    <w:uiPriority w:val="99"/>
    <w:rPr>
      <w:rFonts w:ascii="宋体" w:hAnsi="Courier New" w:eastAsia="宋体" w:cs="宋体"/>
      <w:kern w:val="2"/>
      <w:sz w:val="21"/>
      <w:szCs w:val="21"/>
      <w:lang w:val="en-US" w:eastAsia="zh-CN"/>
    </w:rPr>
  </w:style>
  <w:style w:type="character" w:customStyle="1" w:styleId="70">
    <w:name w:val="纯文本 Char"/>
    <w:link w:val="24"/>
    <w:qFormat/>
    <w:locked/>
    <w:uiPriority w:val="0"/>
    <w:rPr>
      <w:rFonts w:ascii="宋体" w:hAnsi="Courier New" w:eastAsia="宋体" w:cs="宋体"/>
      <w:kern w:val="2"/>
      <w:sz w:val="21"/>
      <w:szCs w:val="21"/>
      <w:lang w:val="en-US" w:eastAsia="zh-CN"/>
    </w:rPr>
  </w:style>
  <w:style w:type="character" w:customStyle="1" w:styleId="71">
    <w:name w:val="普通(网站) Char"/>
    <w:link w:val="34"/>
    <w:qFormat/>
    <w:locked/>
    <w:uiPriority w:val="99"/>
    <w:rPr>
      <w:rFonts w:ascii="宋体" w:eastAsia="宋体" w:cs="宋体"/>
      <w:sz w:val="24"/>
      <w:szCs w:val="24"/>
    </w:rPr>
  </w:style>
  <w:style w:type="character" w:customStyle="1" w:styleId="72">
    <w:name w:val="apple-converted-space"/>
    <w:basedOn w:val="39"/>
    <w:qFormat/>
    <w:uiPriority w:val="99"/>
  </w:style>
  <w:style w:type="character" w:customStyle="1" w:styleId="73">
    <w:name w:val="Char Char2"/>
    <w:qFormat/>
    <w:uiPriority w:val="99"/>
    <w:rPr>
      <w:rFonts w:ascii="宋体" w:hAnsi="宋体" w:eastAsia="宋体" w:cs="宋体"/>
      <w:kern w:val="2"/>
      <w:sz w:val="24"/>
      <w:szCs w:val="24"/>
      <w:lang w:val="en-US" w:eastAsia="zh-CN"/>
    </w:rPr>
  </w:style>
  <w:style w:type="character" w:customStyle="1" w:styleId="74">
    <w:name w:val="无间隔 Char"/>
    <w:link w:val="75"/>
    <w:qFormat/>
    <w:locked/>
    <w:uiPriority w:val="99"/>
    <w:rPr>
      <w:rFonts w:ascii="Calibri" w:hAnsi="Calibri" w:cs="Calibri"/>
      <w:sz w:val="22"/>
      <w:szCs w:val="22"/>
      <w:lang w:val="en-US" w:eastAsia="zh-CN"/>
    </w:rPr>
  </w:style>
  <w:style w:type="paragraph" w:customStyle="1" w:styleId="75">
    <w:name w:val="无间隔1"/>
    <w:link w:val="74"/>
    <w:qFormat/>
    <w:uiPriority w:val="99"/>
    <w:rPr>
      <w:rFonts w:ascii="Calibri" w:hAnsi="Calibri" w:eastAsia="宋体" w:cs="Calibri"/>
      <w:sz w:val="22"/>
      <w:szCs w:val="22"/>
      <w:lang w:val="en-US" w:eastAsia="zh-CN" w:bidi="ar-SA"/>
    </w:rPr>
  </w:style>
  <w:style w:type="character" w:customStyle="1" w:styleId="76">
    <w:name w:val="case31"/>
    <w:qFormat/>
    <w:uiPriority w:val="99"/>
    <w:rPr>
      <w:sz w:val="21"/>
      <w:szCs w:val="21"/>
    </w:rPr>
  </w:style>
  <w:style w:type="character" w:customStyle="1" w:styleId="77">
    <w:name w:val="样式 body + 仿宋_GB2312 三号"/>
    <w:qFormat/>
    <w:uiPriority w:val="99"/>
    <w:rPr>
      <w:rFonts w:ascii="宋体" w:eastAsia="宋体" w:cs="宋体"/>
      <w:kern w:val="0"/>
      <w:sz w:val="24"/>
      <w:szCs w:val="24"/>
      <w:lang w:val="en-US" w:eastAsia="zh-CN"/>
    </w:rPr>
  </w:style>
  <w:style w:type="character" w:customStyle="1" w:styleId="78">
    <w:name w:val="14"/>
    <w:basedOn w:val="39"/>
    <w:qFormat/>
    <w:uiPriority w:val="99"/>
  </w:style>
  <w:style w:type="character" w:customStyle="1" w:styleId="79">
    <w:name w:val="lb1"/>
    <w:qFormat/>
    <w:uiPriority w:val="99"/>
    <w:rPr>
      <w:b/>
      <w:bCs/>
      <w:color w:val="auto"/>
      <w:sz w:val="27"/>
      <w:szCs w:val="27"/>
    </w:rPr>
  </w:style>
  <w:style w:type="character" w:customStyle="1" w:styleId="80">
    <w:name w:val="textcontents"/>
    <w:basedOn w:val="39"/>
    <w:qFormat/>
    <w:uiPriority w:val="99"/>
  </w:style>
  <w:style w:type="character" w:customStyle="1" w:styleId="81">
    <w:name w:val="Char Char Char"/>
    <w:qFormat/>
    <w:uiPriority w:val="99"/>
    <w:rPr>
      <w:rFonts w:ascii="宋体" w:hAnsi="Courier New" w:eastAsia="宋体" w:cs="宋体"/>
      <w:kern w:val="2"/>
      <w:sz w:val="21"/>
      <w:szCs w:val="21"/>
      <w:lang w:val="en-US" w:eastAsia="zh-CN"/>
    </w:rPr>
  </w:style>
  <w:style w:type="paragraph" w:customStyle="1" w:styleId="82">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5">
    <w:name w:val="正文段"/>
    <w:basedOn w:val="1"/>
    <w:qFormat/>
    <w:uiPriority w:val="99"/>
    <w:pPr>
      <w:widowControl/>
      <w:snapToGrid w:val="0"/>
      <w:spacing w:afterLines="50"/>
      <w:ind w:firstLine="200" w:firstLineChars="200"/>
    </w:pPr>
    <w:rPr>
      <w:kern w:val="0"/>
      <w:sz w:val="24"/>
      <w:szCs w:val="24"/>
    </w:rPr>
  </w:style>
  <w:style w:type="paragraph" w:customStyle="1" w:styleId="8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90">
    <w:name w:val="Char2"/>
    <w:basedOn w:val="15"/>
    <w:semiHidden/>
    <w:qFormat/>
    <w:uiPriority w:val="99"/>
    <w:rPr>
      <w:rFonts w:ascii="Tahoma" w:hAnsi="Tahoma" w:cs="Tahoma"/>
      <w:kern w:val="0"/>
      <w:sz w:val="18"/>
      <w:szCs w:val="18"/>
    </w:rPr>
  </w:style>
  <w:style w:type="paragraph" w:customStyle="1" w:styleId="91">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2">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仿宋_GB2312"/>
      <w:sz w:val="32"/>
      <w:szCs w:val="32"/>
    </w:rPr>
  </w:style>
  <w:style w:type="paragraph" w:customStyle="1" w:styleId="93">
    <w:name w:val="表格"/>
    <w:basedOn w:val="1"/>
    <w:qFormat/>
    <w:uiPriority w:val="99"/>
    <w:pPr>
      <w:spacing w:line="400" w:lineRule="exact"/>
    </w:pPr>
    <w:rPr>
      <w:sz w:val="24"/>
      <w:szCs w:val="24"/>
    </w:rPr>
  </w:style>
  <w:style w:type="paragraph" w:customStyle="1" w:styleId="94">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
    <w:name w:val="_Style 81"/>
    <w:basedOn w:val="15"/>
    <w:qFormat/>
    <w:uiPriority w:val="99"/>
    <w:pPr>
      <w:widowControl/>
      <w:ind w:firstLine="454"/>
      <w:jc w:val="left"/>
    </w:pPr>
  </w:style>
  <w:style w:type="paragraph" w:customStyle="1" w:styleId="96">
    <w:name w:val="样式 首行缩进:  2 字符"/>
    <w:basedOn w:val="1"/>
    <w:qFormat/>
    <w:uiPriority w:val="99"/>
    <w:pPr>
      <w:spacing w:line="400" w:lineRule="exact"/>
      <w:ind w:firstLine="200" w:firstLineChars="200"/>
    </w:pPr>
    <w:rPr>
      <w:sz w:val="24"/>
      <w:szCs w:val="24"/>
    </w:rPr>
  </w:style>
  <w:style w:type="paragraph" w:customStyle="1" w:styleId="97">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98">
    <w:name w:val="Char1"/>
    <w:basedOn w:val="1"/>
    <w:qFormat/>
    <w:uiPriority w:val="99"/>
  </w:style>
  <w:style w:type="paragraph" w:customStyle="1" w:styleId="99">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1">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2">
    <w:name w:val="xl31"/>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Char Char Char Char Char Char"/>
    <w:basedOn w:val="1"/>
    <w:qFormat/>
    <w:uiPriority w:val="99"/>
  </w:style>
  <w:style w:type="paragraph" w:customStyle="1" w:styleId="108">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9">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10">
    <w:name w:val="修订1"/>
    <w:qFormat/>
    <w:uiPriority w:val="99"/>
    <w:rPr>
      <w:rFonts w:ascii="Times New Roman" w:hAnsi="Times New Roman" w:eastAsia="宋体" w:cs="Times New Roman"/>
      <w:kern w:val="2"/>
      <w:sz w:val="21"/>
      <w:szCs w:val="21"/>
      <w:lang w:val="en-US" w:eastAsia="zh-CN" w:bidi="ar-SA"/>
    </w:rPr>
  </w:style>
  <w:style w:type="paragraph" w:customStyle="1" w:styleId="1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3">
    <w:name w:val="font7"/>
    <w:basedOn w:val="1"/>
    <w:qFormat/>
    <w:uiPriority w:val="99"/>
    <w:pPr>
      <w:widowControl/>
      <w:spacing w:before="100" w:beforeAutospacing="1" w:after="100" w:afterAutospacing="1"/>
      <w:jc w:val="left"/>
    </w:pPr>
    <w:rPr>
      <w:kern w:val="0"/>
      <w:sz w:val="16"/>
      <w:szCs w:val="16"/>
    </w:rPr>
  </w:style>
  <w:style w:type="paragraph" w:customStyle="1" w:styleId="114">
    <w:name w:val="Char"/>
    <w:basedOn w:val="1"/>
    <w:qFormat/>
    <w:uiPriority w:val="99"/>
  </w:style>
  <w:style w:type="paragraph" w:customStyle="1" w:styleId="115">
    <w:name w:val="默认段落字体 Para Char"/>
    <w:basedOn w:val="1"/>
    <w:qFormat/>
    <w:uiPriority w:val="99"/>
    <w:pPr>
      <w:adjustRightInd w:val="0"/>
      <w:spacing w:line="360" w:lineRule="auto"/>
    </w:pPr>
    <w:rPr>
      <w:kern w:val="0"/>
      <w:sz w:val="24"/>
      <w:szCs w:val="24"/>
    </w:rPr>
  </w:style>
  <w:style w:type="paragraph" w:customStyle="1" w:styleId="116">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17">
    <w:name w:val="Char3"/>
    <w:basedOn w:val="15"/>
    <w:qFormat/>
    <w:uiPriority w:val="99"/>
    <w:pPr>
      <w:widowControl/>
      <w:ind w:firstLine="454"/>
      <w:jc w:val="left"/>
    </w:pPr>
    <w:rPr>
      <w:rFonts w:ascii="Tahoma" w:hAnsi="Tahoma" w:cs="Tahoma"/>
      <w:kern w:val="0"/>
      <w:sz w:val="24"/>
      <w:szCs w:val="24"/>
    </w:rPr>
  </w:style>
  <w:style w:type="paragraph" w:customStyle="1" w:styleId="11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120">
    <w:name w:val="默认段落字体 Para Char Char Char Char Char Char Char Char Char1 Char Char Char Char"/>
    <w:basedOn w:val="1"/>
    <w:qFormat/>
    <w:uiPriority w:val="99"/>
    <w:rPr>
      <w:rFonts w:ascii="Tahoma" w:hAnsi="Tahoma" w:cs="Tahoma"/>
      <w:sz w:val="24"/>
      <w:szCs w:val="24"/>
    </w:rPr>
  </w:style>
  <w:style w:type="paragraph" w:customStyle="1" w:styleId="12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2">
    <w:name w:val="表内文字"/>
    <w:basedOn w:val="1"/>
    <w:qFormat/>
    <w:uiPriority w:val="99"/>
    <w:pPr>
      <w:snapToGrid w:val="0"/>
      <w:jc w:val="center"/>
    </w:pPr>
    <w:rPr>
      <w:rFonts w:ascii="宋体" w:hAnsi="宋体" w:cs="宋体"/>
      <w:color w:val="FF0000"/>
      <w:sz w:val="24"/>
      <w:szCs w:val="24"/>
    </w:rPr>
  </w:style>
  <w:style w:type="paragraph" w:customStyle="1" w:styleId="12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黑体"/>
      <w:b/>
      <w:bCs/>
      <w:kern w:val="0"/>
      <w:sz w:val="18"/>
      <w:szCs w:val="18"/>
    </w:rPr>
  </w:style>
  <w:style w:type="paragraph" w:customStyle="1" w:styleId="12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5">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6">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8">
    <w:name w:val="char"/>
    <w:basedOn w:val="1"/>
    <w:qFormat/>
    <w:uiPriority w:val="99"/>
    <w:pPr>
      <w:widowControl/>
      <w:adjustRightInd w:val="0"/>
      <w:snapToGrid w:val="0"/>
      <w:spacing w:beforeLines="50" w:after="160" w:line="360" w:lineRule="exact"/>
      <w:ind w:firstLine="496" w:firstLineChars="200"/>
      <w:jc w:val="left"/>
    </w:pPr>
    <w:rPr>
      <w:rFonts w:ascii="宋体" w:hAnsi="宋体" w:cs="宋体"/>
      <w:color w:val="000000"/>
      <w:spacing w:val="4"/>
      <w:kern w:val="0"/>
      <w:sz w:val="24"/>
      <w:szCs w:val="24"/>
      <w:lang w:eastAsia="en-US"/>
    </w:rPr>
  </w:style>
  <w:style w:type="paragraph" w:customStyle="1" w:styleId="12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rPr>
  </w:style>
  <w:style w:type="paragraph" w:customStyle="1" w:styleId="130">
    <w:name w:val="1"/>
    <w:basedOn w:val="1"/>
    <w:next w:val="24"/>
    <w:qFormat/>
    <w:uiPriority w:val="99"/>
    <w:rPr>
      <w:rFonts w:ascii="宋体" w:hAnsi="Courier New" w:cs="宋体"/>
    </w:rPr>
  </w:style>
  <w:style w:type="paragraph" w:customStyle="1" w:styleId="131">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32">
    <w:name w:val="Body text|1"/>
    <w:basedOn w:val="1"/>
    <w:qFormat/>
    <w:uiPriority w:val="99"/>
    <w:pPr>
      <w:spacing w:line="442" w:lineRule="auto"/>
      <w:ind w:firstLine="400"/>
    </w:pPr>
    <w:rPr>
      <w:rFonts w:ascii="宋体" w:hAnsi="宋体" w:cs="宋体"/>
      <w:color w:val="2E2F2F"/>
      <w:sz w:val="28"/>
      <w:szCs w:val="28"/>
      <w:lang w:val="zh-TW" w:eastAsia="zh-TW"/>
    </w:rPr>
  </w:style>
  <w:style w:type="paragraph" w:customStyle="1" w:styleId="133">
    <w:name w:val="Body text|2"/>
    <w:basedOn w:val="1"/>
    <w:qFormat/>
    <w:uiPriority w:val="99"/>
    <w:pPr>
      <w:spacing w:line="596" w:lineRule="exact"/>
      <w:ind w:firstLine="670"/>
    </w:pPr>
    <w:rPr>
      <w:rFonts w:ascii="宋体" w:hAnsi="宋体" w:cs="宋体"/>
      <w:color w:val="2E2F2F"/>
      <w:sz w:val="32"/>
      <w:szCs w:val="32"/>
      <w:lang w:val="zh-TW" w:eastAsia="zh-TW"/>
    </w:rPr>
  </w:style>
  <w:style w:type="paragraph" w:customStyle="1" w:styleId="134">
    <w:name w:val="Table of contents|1"/>
    <w:basedOn w:val="1"/>
    <w:qFormat/>
    <w:uiPriority w:val="99"/>
    <w:pPr>
      <w:spacing w:line="605" w:lineRule="exact"/>
      <w:ind w:firstLine="750"/>
    </w:pPr>
    <w:rPr>
      <w:rFonts w:ascii="宋体" w:hAnsi="宋体" w:cs="宋体"/>
      <w:color w:val="2E2F2F"/>
      <w:sz w:val="28"/>
      <w:szCs w:val="28"/>
      <w:lang w:val="zh-TW" w:eastAsia="zh-TW"/>
    </w:rPr>
  </w:style>
  <w:style w:type="paragraph" w:customStyle="1" w:styleId="135">
    <w:name w:val="Header or footer|2"/>
    <w:basedOn w:val="1"/>
    <w:qFormat/>
    <w:uiPriority w:val="99"/>
    <w:rPr>
      <w:sz w:val="20"/>
      <w:szCs w:val="20"/>
      <w:lang w:val="zh-TW" w:eastAsia="zh-TW"/>
    </w:rPr>
  </w:style>
  <w:style w:type="paragraph" w:customStyle="1" w:styleId="136">
    <w:name w:val="Heading #3|1"/>
    <w:qFormat/>
    <w:uiPriority w:val="99"/>
    <w:pPr>
      <w:widowControl w:val="0"/>
      <w:spacing w:after="340" w:line="600" w:lineRule="exact"/>
      <w:jc w:val="center"/>
      <w:outlineLvl w:val="2"/>
    </w:pPr>
    <w:rPr>
      <w:rFonts w:ascii="宋体" w:hAnsi="宋体" w:eastAsia="宋体" w:cs="宋体"/>
      <w:color w:val="2E2F2F"/>
      <w:kern w:val="2"/>
      <w:sz w:val="42"/>
      <w:szCs w:val="42"/>
      <w:lang w:val="zh-TW" w:eastAsia="zh-TW" w:bidi="ar-SA"/>
    </w:rPr>
  </w:style>
  <w:style w:type="paragraph" w:customStyle="1" w:styleId="137">
    <w:name w:val="Other|1"/>
    <w:qFormat/>
    <w:uiPriority w:val="99"/>
    <w:pPr>
      <w:widowControl w:val="0"/>
      <w:spacing w:line="307" w:lineRule="exact"/>
      <w:jc w:val="both"/>
    </w:pPr>
    <w:rPr>
      <w:rFonts w:ascii="宋体" w:hAnsi="宋体" w:eastAsia="宋体" w:cs="宋体"/>
      <w:color w:val="2E2F2F"/>
      <w:kern w:val="2"/>
      <w:lang w:val="zh-TW" w:eastAsia="zh-TW" w:bidi="ar-SA"/>
    </w:rPr>
  </w:style>
  <w:style w:type="paragraph" w:customStyle="1" w:styleId="138">
    <w:name w:val="Other|2"/>
    <w:qFormat/>
    <w:uiPriority w:val="99"/>
    <w:pPr>
      <w:widowControl w:val="0"/>
      <w:jc w:val="center"/>
    </w:pPr>
    <w:rPr>
      <w:rFonts w:ascii="宋体" w:hAnsi="宋体" w:eastAsia="宋体" w:cs="宋体"/>
      <w:color w:val="2E2F2F"/>
      <w:kern w:val="2"/>
      <w:lang w:val="zh-TW" w:eastAsia="zh-TW" w:bidi="ar-SA"/>
    </w:rPr>
  </w:style>
  <w:style w:type="paragraph" w:customStyle="1" w:styleId="139">
    <w:name w:val="Header or footer|1"/>
    <w:qFormat/>
    <w:uiPriority w:val="99"/>
    <w:pPr>
      <w:widowControl w:val="0"/>
      <w:jc w:val="both"/>
    </w:pPr>
    <w:rPr>
      <w:rFonts w:ascii="Times New Roman" w:hAnsi="Times New Roman" w:eastAsia="宋体" w:cs="Times New Roman"/>
      <w:color w:val="2E2F2F"/>
      <w:kern w:val="2"/>
      <w:sz w:val="28"/>
      <w:szCs w:val="28"/>
      <w:lang w:val="zh-CN" w:eastAsia="zh-CN" w:bidi="ar-SA"/>
    </w:rPr>
  </w:style>
  <w:style w:type="paragraph" w:customStyle="1" w:styleId="140">
    <w:name w:val="表格内容"/>
    <w:basedOn w:val="1"/>
    <w:qFormat/>
    <w:uiPriority w:val="99"/>
    <w:pPr>
      <w:jc w:val="center"/>
    </w:pPr>
    <w:rPr>
      <w:rFonts w:ascii="宋体" w:hAnsi="宋体" w:cs="宋体"/>
      <w:kern w:val="0"/>
    </w:rPr>
  </w:style>
  <w:style w:type="paragraph" w:customStyle="1" w:styleId="141">
    <w:name w:val="正文_2_0"/>
    <w:basedOn w:val="142"/>
    <w:qFormat/>
    <w:uiPriority w:val="99"/>
  </w:style>
  <w:style w:type="paragraph" w:customStyle="1" w:styleId="142">
    <w:name w:val="正文_2_1"/>
    <w:basedOn w:val="143"/>
    <w:qFormat/>
    <w:uiPriority w:val="99"/>
  </w:style>
  <w:style w:type="paragraph" w:customStyle="1" w:styleId="143">
    <w:name w:val="正文_2_2"/>
    <w:qFormat/>
    <w:uiPriority w:val="99"/>
    <w:pPr>
      <w:widowControl w:val="0"/>
      <w:jc w:val="both"/>
    </w:pPr>
    <w:rPr>
      <w:rFonts w:ascii="Calibri" w:hAnsi="Calibri" w:eastAsia="宋体" w:cs="Calibri"/>
      <w:kern w:val="2"/>
      <w:sz w:val="21"/>
      <w:szCs w:val="21"/>
      <w:lang w:val="en-US" w:eastAsia="zh-CN" w:bidi="ar-SA"/>
    </w:rPr>
  </w:style>
  <w:style w:type="character" w:customStyle="1" w:styleId="144">
    <w:name w:val="10_1"/>
    <w:qFormat/>
    <w:uiPriority w:val="99"/>
    <w:rPr>
      <w:rFonts w:ascii="Times New Roman" w:hAnsi="Times New Roman" w:eastAsia="宋体" w:cs="Times New Roman"/>
    </w:rPr>
  </w:style>
  <w:style w:type="paragraph" w:customStyle="1" w:styleId="145">
    <w:name w:val="5正文文本"/>
    <w:basedOn w:val="18"/>
    <w:qFormat/>
    <w:uiPriority w:val="0"/>
    <w:pPr>
      <w:adjustRightInd w:val="0"/>
      <w:snapToGrid w:val="0"/>
      <w:spacing w:after="0" w:line="360" w:lineRule="auto"/>
      <w:ind w:firstLine="200" w:firstLineChars="200"/>
    </w:pPr>
    <w:rPr>
      <w:rFonts w:ascii="Times New Roman" w:hAnsi="Times New Roman" w:eastAsia="仿宋_GB2312" w:cs="Times New Roman"/>
      <w:sz w:val="24"/>
    </w:rPr>
  </w:style>
  <w:style w:type="paragraph" w:customStyle="1" w:styleId="146">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147">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25148</Words>
  <Characters>3950</Characters>
  <Lines>32</Lines>
  <Paragraphs>58</Paragraphs>
  <TotalTime>50</TotalTime>
  <ScaleCrop>false</ScaleCrop>
  <LinksUpToDate>false</LinksUpToDate>
  <CharactersWithSpaces>29040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2020-08-26T07:22:00Z</dcterms:created>
  <dc:creator>User</dc:creator>
  <cp:lastModifiedBy>miss wu</cp:lastModifiedBy>
  <cp:lastPrinted>2020-05-09T02:55:00Z</cp:lastPrinted>
  <dcterms:modified xsi:type="dcterms:W3CDTF">2020-11-13T05:28:44Z</dcterms:modified>
  <dc:title>广西壮族自治区建设工程机电设备招标中心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